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4D2" w:rsidRPr="00C46726" w:rsidRDefault="00BB54D2" w:rsidP="00BB54D2">
      <w:pPr>
        <w:pStyle w:val="T1"/>
        <w:pBdr>
          <w:bottom w:val="single" w:sz="6" w:space="0" w:color="auto"/>
        </w:pBdr>
        <w:spacing w:after="240"/>
      </w:pPr>
      <w:r w:rsidRPr="00C46726">
        <w:t>IEEE P802.11</w:t>
      </w:r>
      <w:r w:rsidRPr="00C46726">
        <w:br/>
        <w:t>Wireless LANs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3"/>
        <w:gridCol w:w="2086"/>
        <w:gridCol w:w="967"/>
        <w:gridCol w:w="793"/>
        <w:gridCol w:w="3707"/>
      </w:tblGrid>
      <w:tr w:rsidR="00DB6E8E" w:rsidRPr="00C46726" w:rsidTr="00DB6E8E">
        <w:trPr>
          <w:trHeight w:val="485"/>
          <w:jc w:val="center"/>
        </w:trPr>
        <w:tc>
          <w:tcPr>
            <w:tcW w:w="5000" w:type="pct"/>
            <w:gridSpan w:val="5"/>
            <w:vAlign w:val="center"/>
          </w:tcPr>
          <w:p w:rsidR="00DB6E8E" w:rsidRPr="00C46726" w:rsidRDefault="00DB6E8E" w:rsidP="00DB6E8E">
            <w:pPr>
              <w:pStyle w:val="T2"/>
            </w:pPr>
            <w:r>
              <w:rPr>
                <w:b w:val="0"/>
              </w:rPr>
              <w:t>PHY/MAC Complete Proposal Specification</w:t>
            </w:r>
          </w:p>
        </w:tc>
      </w:tr>
      <w:tr w:rsidR="00DB6E8E" w:rsidRPr="00C46726" w:rsidTr="00DB6E8E">
        <w:trPr>
          <w:trHeight w:val="359"/>
          <w:jc w:val="center"/>
        </w:trPr>
        <w:tc>
          <w:tcPr>
            <w:tcW w:w="5000" w:type="pct"/>
            <w:gridSpan w:val="5"/>
            <w:vAlign w:val="center"/>
          </w:tcPr>
          <w:p w:rsidR="00DB6E8E" w:rsidRPr="00C46726" w:rsidRDefault="00DB6E8E" w:rsidP="00DB6E8E">
            <w:pPr>
              <w:pStyle w:val="T2"/>
              <w:ind w:left="0"/>
              <w:rPr>
                <w:sz w:val="20"/>
              </w:rPr>
            </w:pPr>
            <w:r w:rsidRPr="00C46726">
              <w:rPr>
                <w:sz w:val="20"/>
              </w:rPr>
              <w:t>Date:</w:t>
            </w:r>
            <w:r w:rsidRPr="00C46726">
              <w:rPr>
                <w:b w:val="0"/>
                <w:sz w:val="20"/>
              </w:rPr>
              <w:t xml:space="preserve">  20</w:t>
            </w:r>
            <w:r>
              <w:rPr>
                <w:b w:val="0"/>
                <w:sz w:val="20"/>
              </w:rPr>
              <w:t>10-05</w:t>
            </w:r>
            <w:r w:rsidRPr="00C46726">
              <w:rPr>
                <w:b w:val="0"/>
                <w:sz w:val="20"/>
              </w:rPr>
              <w:t>-</w:t>
            </w:r>
            <w:r>
              <w:rPr>
                <w:b w:val="0"/>
                <w:sz w:val="20"/>
              </w:rPr>
              <w:t>02</w:t>
            </w:r>
          </w:p>
        </w:tc>
      </w:tr>
      <w:tr w:rsidR="00DB6E8E" w:rsidRPr="00C46726" w:rsidTr="00DB6E8E">
        <w:trPr>
          <w:cantSplit/>
          <w:jc w:val="center"/>
        </w:trPr>
        <w:tc>
          <w:tcPr>
            <w:tcW w:w="5000" w:type="pct"/>
            <w:gridSpan w:val="5"/>
            <w:vAlign w:val="center"/>
          </w:tcPr>
          <w:p w:rsidR="00DB6E8E" w:rsidRPr="00C46726" w:rsidRDefault="00DB6E8E" w:rsidP="00DB6E8E">
            <w:pPr>
              <w:pStyle w:val="T2"/>
              <w:spacing w:after="0"/>
              <w:ind w:left="0" w:right="0"/>
              <w:jc w:val="left"/>
              <w:rPr>
                <w:sz w:val="20"/>
              </w:rPr>
            </w:pPr>
            <w:r w:rsidRPr="00C46726">
              <w:rPr>
                <w:sz w:val="20"/>
              </w:rPr>
              <w:t>Author(s):</w:t>
            </w:r>
          </w:p>
        </w:tc>
      </w:tr>
      <w:tr w:rsidR="00DB6E8E" w:rsidRPr="00C46726" w:rsidTr="00DB6E8E">
        <w:trPr>
          <w:jc w:val="center"/>
        </w:trPr>
        <w:tc>
          <w:tcPr>
            <w:tcW w:w="1267" w:type="pct"/>
            <w:vAlign w:val="center"/>
          </w:tcPr>
          <w:p w:rsidR="00DB6E8E" w:rsidRPr="00C46726" w:rsidRDefault="00DB6E8E" w:rsidP="00DB6E8E">
            <w:pPr>
              <w:pStyle w:val="T2"/>
              <w:spacing w:after="0"/>
              <w:ind w:left="0" w:right="0"/>
              <w:jc w:val="left"/>
              <w:rPr>
                <w:sz w:val="20"/>
              </w:rPr>
            </w:pPr>
            <w:r w:rsidRPr="00C46726">
              <w:rPr>
                <w:sz w:val="20"/>
              </w:rPr>
              <w:t>Name</w:t>
            </w:r>
          </w:p>
        </w:tc>
        <w:tc>
          <w:tcPr>
            <w:tcW w:w="1031" w:type="pct"/>
            <w:vAlign w:val="center"/>
          </w:tcPr>
          <w:p w:rsidR="00DB6E8E" w:rsidRPr="00C46726" w:rsidRDefault="00DB6E8E" w:rsidP="00DB6E8E">
            <w:pPr>
              <w:pStyle w:val="T2"/>
              <w:spacing w:after="0"/>
              <w:ind w:left="0" w:right="0"/>
              <w:jc w:val="left"/>
              <w:rPr>
                <w:sz w:val="20"/>
              </w:rPr>
            </w:pPr>
            <w:r w:rsidRPr="00C46726">
              <w:rPr>
                <w:sz w:val="20"/>
              </w:rPr>
              <w:t>Company</w:t>
            </w:r>
          </w:p>
        </w:tc>
        <w:tc>
          <w:tcPr>
            <w:tcW w:w="478" w:type="pct"/>
            <w:vAlign w:val="center"/>
          </w:tcPr>
          <w:p w:rsidR="00DB6E8E" w:rsidRPr="00C46726" w:rsidRDefault="00DB6E8E" w:rsidP="00DB6E8E">
            <w:pPr>
              <w:pStyle w:val="T2"/>
              <w:spacing w:after="0"/>
              <w:ind w:left="0" w:right="0"/>
              <w:jc w:val="left"/>
              <w:rPr>
                <w:sz w:val="20"/>
              </w:rPr>
            </w:pPr>
            <w:r w:rsidRPr="00C46726">
              <w:rPr>
                <w:sz w:val="20"/>
              </w:rPr>
              <w:t>Address</w:t>
            </w:r>
          </w:p>
        </w:tc>
        <w:tc>
          <w:tcPr>
            <w:tcW w:w="392" w:type="pct"/>
            <w:vAlign w:val="center"/>
          </w:tcPr>
          <w:p w:rsidR="00DB6E8E" w:rsidRPr="00C46726" w:rsidRDefault="00DB6E8E" w:rsidP="00DB6E8E">
            <w:pPr>
              <w:pStyle w:val="T2"/>
              <w:spacing w:after="0"/>
              <w:ind w:left="0" w:right="0"/>
              <w:jc w:val="left"/>
              <w:rPr>
                <w:sz w:val="20"/>
              </w:rPr>
            </w:pPr>
            <w:r w:rsidRPr="00C46726">
              <w:rPr>
                <w:sz w:val="20"/>
              </w:rPr>
              <w:t>Phone</w:t>
            </w:r>
          </w:p>
        </w:tc>
        <w:tc>
          <w:tcPr>
            <w:tcW w:w="1832" w:type="pct"/>
            <w:vAlign w:val="center"/>
          </w:tcPr>
          <w:p w:rsidR="00DB6E8E" w:rsidRPr="00C46726" w:rsidRDefault="00DB6E8E" w:rsidP="00DB6E8E">
            <w:pPr>
              <w:pStyle w:val="T2"/>
              <w:spacing w:after="0"/>
              <w:ind w:left="0" w:right="0"/>
              <w:jc w:val="left"/>
              <w:rPr>
                <w:sz w:val="20"/>
              </w:rPr>
            </w:pPr>
            <w:r w:rsidRPr="00C46726">
              <w:rPr>
                <w:sz w:val="20"/>
              </w:rPr>
              <w:t>email</w:t>
            </w:r>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4E5CF2">
              <w:rPr>
                <w:b w:val="0"/>
                <w:sz w:val="20"/>
              </w:rPr>
              <w:t>Abu-Surra, Shadi</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0A4AF1" w:rsidRDefault="00DB6E8E" w:rsidP="00DB6E8E">
            <w:pPr>
              <w:pStyle w:val="T2"/>
              <w:spacing w:after="0"/>
              <w:ind w:left="0" w:right="0"/>
              <w:rPr>
                <w:rStyle w:val="Hyperlink"/>
                <w:sz w:val="20"/>
              </w:rPr>
            </w:pPr>
            <w:r w:rsidRPr="000A4AF1">
              <w:rPr>
                <w:rStyle w:val="Hyperlink"/>
                <w:sz w:val="20"/>
              </w:rPr>
              <w:t>sasurra@sta.samsung.com</w:t>
            </w:r>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Pr>
                <w:b w:val="0"/>
                <w:sz w:val="20"/>
              </w:rPr>
              <w:t xml:space="preserve">Ban, </w:t>
            </w:r>
            <w:r w:rsidRPr="00DF7CA4">
              <w:rPr>
                <w:b w:val="0"/>
                <w:sz w:val="20"/>
              </w:rPr>
              <w:t>Koichiro</w:t>
            </w:r>
          </w:p>
        </w:tc>
        <w:tc>
          <w:tcPr>
            <w:tcW w:w="1031" w:type="pct"/>
            <w:vAlign w:val="center"/>
          </w:tcPr>
          <w:p w:rsidR="00DB6E8E" w:rsidRDefault="00DB6E8E" w:rsidP="00DB6E8E">
            <w:pPr>
              <w:pStyle w:val="T2"/>
              <w:spacing w:after="0"/>
              <w:ind w:left="0" w:right="0"/>
              <w:rPr>
                <w:b w:val="0"/>
                <w:sz w:val="20"/>
              </w:rPr>
            </w:pPr>
            <w:r>
              <w:rPr>
                <w:b w:val="0"/>
                <w:sz w:val="20"/>
              </w:rPr>
              <w:t>Toshiba</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9" w:history="1">
              <w:r w:rsidRPr="00DB2D2E">
                <w:rPr>
                  <w:rStyle w:val="Hyperlink"/>
                  <w:sz w:val="20"/>
                </w:rPr>
                <w:t>koichiro.ban@toshiba.co.jp</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Pr>
                <w:b w:val="0"/>
                <w:sz w:val="20"/>
              </w:rPr>
              <w:t>Bane</w:t>
            </w:r>
            <w:r w:rsidRPr="004E5CF2">
              <w:rPr>
                <w:b w:val="0"/>
                <w:sz w:val="20"/>
              </w:rPr>
              <w:t>rjea, Raja</w:t>
            </w:r>
          </w:p>
        </w:tc>
        <w:tc>
          <w:tcPr>
            <w:tcW w:w="1031" w:type="pct"/>
            <w:vAlign w:val="center"/>
          </w:tcPr>
          <w:p w:rsidR="00DB6E8E" w:rsidRPr="004E5CF2" w:rsidRDefault="00DB6E8E" w:rsidP="00DB6E8E">
            <w:pPr>
              <w:pStyle w:val="T2"/>
              <w:spacing w:after="0"/>
              <w:ind w:left="0" w:right="0"/>
              <w:rPr>
                <w:b w:val="0"/>
                <w:sz w:val="20"/>
              </w:rPr>
            </w:pPr>
            <w:r>
              <w:rPr>
                <w:b w:val="0"/>
                <w:sz w:val="20"/>
              </w:rPr>
              <w:t>Marvell</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r w:rsidRPr="000A4AF1">
              <w:rPr>
                <w:rStyle w:val="Hyperlink"/>
                <w:sz w:val="20"/>
              </w:rPr>
              <w:t>rajab@marvell.com</w:t>
            </w:r>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Basson, Gal</w:t>
            </w:r>
          </w:p>
        </w:tc>
        <w:tc>
          <w:tcPr>
            <w:tcW w:w="1031" w:type="pct"/>
            <w:vAlign w:val="center"/>
          </w:tcPr>
          <w:p w:rsidR="00DB6E8E" w:rsidRDefault="00DB6E8E" w:rsidP="00DB6E8E">
            <w:pPr>
              <w:pStyle w:val="T2"/>
              <w:spacing w:after="0"/>
              <w:ind w:left="0" w:right="0"/>
              <w:rPr>
                <w:b w:val="0"/>
                <w:sz w:val="20"/>
              </w:rPr>
            </w:pPr>
            <w:r>
              <w:rPr>
                <w:b w:val="0"/>
                <w:sz w:val="20"/>
              </w:rPr>
              <w:t>Wilocity</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10" w:history="1">
              <w:r w:rsidRPr="00DB2D2E">
                <w:rPr>
                  <w:rStyle w:val="Hyperlink"/>
                  <w:sz w:val="20"/>
                </w:rPr>
                <w:t>gal.basson@wilocity.com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Blanksby, Andrew</w:t>
            </w:r>
          </w:p>
        </w:tc>
        <w:tc>
          <w:tcPr>
            <w:tcW w:w="1031" w:type="pct"/>
            <w:vAlign w:val="center"/>
          </w:tcPr>
          <w:p w:rsidR="00DB6E8E" w:rsidRPr="004E5CF2" w:rsidRDefault="00DB6E8E" w:rsidP="00DB6E8E">
            <w:pPr>
              <w:pStyle w:val="T2"/>
              <w:spacing w:after="0"/>
              <w:ind w:left="0" w:right="0"/>
              <w:rPr>
                <w:b w:val="0"/>
                <w:sz w:val="20"/>
              </w:rPr>
            </w:pPr>
            <w:r>
              <w:rPr>
                <w:b w:val="0"/>
                <w:sz w:val="20"/>
              </w:rPr>
              <w:t>Broadcom</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r w:rsidRPr="000A4AF1">
              <w:rPr>
                <w:rStyle w:val="Hyperlink"/>
                <w:sz w:val="20"/>
              </w:rPr>
              <w:t>andrew.blanksby@broadcom.com</w:t>
            </w:r>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Pr>
                <w:b w:val="0"/>
                <w:sz w:val="20"/>
              </w:rPr>
              <w:t>Borges, Daniel</w:t>
            </w:r>
          </w:p>
        </w:tc>
        <w:tc>
          <w:tcPr>
            <w:tcW w:w="1031" w:type="pct"/>
            <w:vAlign w:val="center"/>
          </w:tcPr>
          <w:p w:rsidR="00DB6E8E" w:rsidRDefault="00DB6E8E" w:rsidP="00DB6E8E">
            <w:pPr>
              <w:pStyle w:val="T2"/>
              <w:spacing w:after="0"/>
              <w:ind w:left="0" w:right="0"/>
              <w:rPr>
                <w:b w:val="0"/>
                <w:sz w:val="20"/>
              </w:rPr>
            </w:pPr>
            <w:r>
              <w:rPr>
                <w:b w:val="0"/>
                <w:sz w:val="20"/>
              </w:rPr>
              <w:t>Apple</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0A4AF1" w:rsidRDefault="00DB6E8E" w:rsidP="00DB6E8E">
            <w:pPr>
              <w:pStyle w:val="T2"/>
              <w:spacing w:after="0"/>
              <w:ind w:left="0" w:right="0"/>
              <w:rPr>
                <w:rStyle w:val="Hyperlink"/>
                <w:sz w:val="20"/>
              </w:rPr>
            </w:pPr>
            <w:r w:rsidRPr="00B0610E">
              <w:rPr>
                <w:color w:val="0000FF"/>
                <w:sz w:val="20"/>
                <w:u w:val="single"/>
              </w:rPr>
              <w:t>drborges@apple.com</w:t>
            </w:r>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Borison</w:t>
            </w:r>
            <w:r>
              <w:rPr>
                <w:b w:val="0"/>
                <w:sz w:val="20"/>
              </w:rPr>
              <w:t xml:space="preserve">, </w:t>
            </w:r>
            <w:r w:rsidRPr="00DF7CA4">
              <w:rPr>
                <w:b w:val="0"/>
                <w:sz w:val="20"/>
              </w:rPr>
              <w:t>David</w:t>
            </w:r>
          </w:p>
        </w:tc>
        <w:tc>
          <w:tcPr>
            <w:tcW w:w="1031" w:type="pct"/>
            <w:vAlign w:val="center"/>
          </w:tcPr>
          <w:p w:rsidR="00DB6E8E" w:rsidRDefault="00DB6E8E" w:rsidP="00DB6E8E">
            <w:pPr>
              <w:pStyle w:val="T2"/>
              <w:spacing w:after="0"/>
              <w:ind w:left="0" w:right="0"/>
              <w:rPr>
                <w:b w:val="0"/>
                <w:sz w:val="20"/>
              </w:rPr>
            </w:pPr>
            <w:r>
              <w:rPr>
                <w:b w:val="0"/>
                <w:sz w:val="20"/>
              </w:rPr>
              <w:t>Ralink</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11" w:history="1">
              <w:r w:rsidRPr="00DB2D2E">
                <w:rPr>
                  <w:rStyle w:val="Hyperlink"/>
                  <w:sz w:val="20"/>
                </w:rPr>
                <w:t>david_borison@ralinktech.com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Pr>
                <w:b w:val="0"/>
                <w:sz w:val="20"/>
              </w:rPr>
              <w:t>Chang, Kapseok</w:t>
            </w:r>
          </w:p>
        </w:tc>
        <w:tc>
          <w:tcPr>
            <w:tcW w:w="1031" w:type="pct"/>
            <w:vAlign w:val="center"/>
          </w:tcPr>
          <w:p w:rsidR="00DB6E8E" w:rsidRDefault="00DB6E8E" w:rsidP="00DB6E8E">
            <w:pPr>
              <w:pStyle w:val="T2"/>
              <w:spacing w:after="0"/>
              <w:ind w:left="0" w:right="0"/>
              <w:rPr>
                <w:b w:val="0"/>
                <w:sz w:val="20"/>
              </w:rPr>
            </w:pPr>
            <w:r>
              <w:rPr>
                <w:b w:val="0"/>
                <w:sz w:val="20"/>
              </w:rPr>
              <w:t>ETRI</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Default="00DB6E8E" w:rsidP="00DB6E8E">
            <w:pPr>
              <w:pStyle w:val="T2"/>
              <w:spacing w:after="0"/>
              <w:ind w:left="0" w:right="0"/>
            </w:pPr>
            <w:hyperlink r:id="rId12" w:history="1">
              <w:r w:rsidRPr="00DA36D4">
                <w:rPr>
                  <w:rStyle w:val="Hyperlink"/>
                  <w:rFonts w:eastAsia="PMingLiU"/>
                  <w:sz w:val="20"/>
                </w:rPr>
                <w:t>kschang@etri.re.kr</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Chu, Liwen</w:t>
            </w:r>
          </w:p>
        </w:tc>
        <w:tc>
          <w:tcPr>
            <w:tcW w:w="1031" w:type="pct"/>
            <w:vAlign w:val="center"/>
          </w:tcPr>
          <w:p w:rsidR="00DB6E8E" w:rsidRDefault="00DB6E8E" w:rsidP="00DB6E8E">
            <w:pPr>
              <w:pStyle w:val="T2"/>
              <w:spacing w:after="0"/>
              <w:ind w:left="0" w:right="0"/>
              <w:rPr>
                <w:b w:val="0"/>
                <w:sz w:val="20"/>
              </w:rPr>
            </w:pPr>
            <w:r>
              <w:rPr>
                <w:b w:val="0"/>
                <w:sz w:val="20"/>
              </w:rPr>
              <w:t>STMicroelectronics</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13" w:history="1">
              <w:r w:rsidRPr="00DB2D2E">
                <w:rPr>
                  <w:rStyle w:val="Hyperlink"/>
                  <w:sz w:val="20"/>
                </w:rPr>
                <w:t>Liwen.chu@st.com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Pr>
                <w:b w:val="0"/>
                <w:sz w:val="20"/>
              </w:rPr>
              <w:t xml:space="preserve">Chung, </w:t>
            </w:r>
            <w:r w:rsidRPr="00D0477B">
              <w:rPr>
                <w:b w:val="0"/>
                <w:sz w:val="20"/>
              </w:rPr>
              <w:t>Hyun Kyu</w:t>
            </w:r>
          </w:p>
        </w:tc>
        <w:tc>
          <w:tcPr>
            <w:tcW w:w="1031" w:type="pct"/>
            <w:vAlign w:val="center"/>
          </w:tcPr>
          <w:p w:rsidR="00DB6E8E" w:rsidRDefault="00DB6E8E" w:rsidP="00DB6E8E">
            <w:pPr>
              <w:pStyle w:val="T2"/>
              <w:spacing w:after="0"/>
              <w:ind w:left="0" w:right="0"/>
              <w:rPr>
                <w:b w:val="0"/>
                <w:sz w:val="20"/>
              </w:rPr>
            </w:pPr>
            <w:r>
              <w:rPr>
                <w:b w:val="0"/>
                <w:sz w:val="20"/>
              </w:rPr>
              <w:t>ETRI</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Default="00DB6E8E" w:rsidP="00DB6E8E">
            <w:pPr>
              <w:pStyle w:val="T2"/>
              <w:spacing w:after="0"/>
              <w:ind w:left="0" w:right="0"/>
            </w:pPr>
            <w:hyperlink r:id="rId14" w:history="1">
              <w:r w:rsidRPr="00DA36D4">
                <w:rPr>
                  <w:rStyle w:val="Hyperlink"/>
                  <w:rFonts w:eastAsia="PMingLiU"/>
                  <w:sz w:val="20"/>
                </w:rPr>
                <w:t>hkchung@etri.re.kr</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Coffey</w:t>
            </w:r>
            <w:r>
              <w:rPr>
                <w:b w:val="0"/>
                <w:sz w:val="20"/>
              </w:rPr>
              <w:t xml:space="preserve">, </w:t>
            </w:r>
            <w:r w:rsidRPr="00DF7CA4">
              <w:rPr>
                <w:b w:val="0"/>
                <w:sz w:val="20"/>
              </w:rPr>
              <w:t>Sean</w:t>
            </w:r>
          </w:p>
        </w:tc>
        <w:tc>
          <w:tcPr>
            <w:tcW w:w="1031" w:type="pct"/>
            <w:vAlign w:val="center"/>
          </w:tcPr>
          <w:p w:rsidR="00DB6E8E" w:rsidRDefault="00DB6E8E" w:rsidP="00DB6E8E">
            <w:pPr>
              <w:pStyle w:val="T2"/>
              <w:spacing w:after="0"/>
              <w:ind w:left="0" w:right="0"/>
              <w:rPr>
                <w:b w:val="0"/>
                <w:sz w:val="20"/>
              </w:rPr>
            </w:pPr>
            <w:r>
              <w:rPr>
                <w:b w:val="0"/>
                <w:sz w:val="20"/>
              </w:rPr>
              <w:t>Realtek</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15" w:history="1">
              <w:r w:rsidRPr="00DB2D2E">
                <w:rPr>
                  <w:rStyle w:val="Hyperlink"/>
                  <w:sz w:val="20"/>
                </w:rPr>
                <w:t>coffey@realtek.com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DF7CA4">
              <w:rPr>
                <w:b w:val="0"/>
                <w:sz w:val="20"/>
              </w:rPr>
              <w:t>Cordeiro</w:t>
            </w:r>
            <w:r>
              <w:rPr>
                <w:b w:val="0"/>
                <w:sz w:val="20"/>
              </w:rPr>
              <w:t>, Carlos</w:t>
            </w:r>
          </w:p>
        </w:tc>
        <w:tc>
          <w:tcPr>
            <w:tcW w:w="1031" w:type="pct"/>
            <w:vAlign w:val="center"/>
          </w:tcPr>
          <w:p w:rsidR="00DB6E8E" w:rsidRPr="004E5CF2" w:rsidRDefault="00DB6E8E" w:rsidP="00DB6E8E">
            <w:pPr>
              <w:pStyle w:val="T2"/>
              <w:spacing w:after="0"/>
              <w:ind w:left="0" w:right="0"/>
              <w:rPr>
                <w:b w:val="0"/>
                <w:sz w:val="20"/>
              </w:rPr>
            </w:pPr>
            <w:r w:rsidRPr="004E5CF2">
              <w:rPr>
                <w:b w:val="0"/>
                <w:sz w:val="20"/>
              </w:rPr>
              <w:t>Intel</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16" w:history="1">
              <w:r w:rsidRPr="00DB2D2E">
                <w:rPr>
                  <w:rStyle w:val="Hyperlink"/>
                  <w:sz w:val="20"/>
                </w:rPr>
                <w:t>Carlos.Cordeiro@intel.com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Dorsey</w:t>
            </w:r>
            <w:r>
              <w:rPr>
                <w:b w:val="0"/>
                <w:sz w:val="20"/>
              </w:rPr>
              <w:t>, John</w:t>
            </w:r>
          </w:p>
        </w:tc>
        <w:tc>
          <w:tcPr>
            <w:tcW w:w="1031" w:type="pct"/>
            <w:vAlign w:val="center"/>
          </w:tcPr>
          <w:p w:rsidR="00DB6E8E" w:rsidRPr="004E5CF2" w:rsidRDefault="00DB6E8E" w:rsidP="00DB6E8E">
            <w:pPr>
              <w:pStyle w:val="T2"/>
              <w:spacing w:after="0"/>
              <w:ind w:left="0" w:right="0"/>
              <w:rPr>
                <w:b w:val="0"/>
                <w:sz w:val="20"/>
              </w:rPr>
            </w:pPr>
            <w:r w:rsidRPr="004E5CF2">
              <w:rPr>
                <w:b w:val="0"/>
                <w:sz w:val="20"/>
              </w:rPr>
              <w:t>Apple</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17" w:history="1">
              <w:r w:rsidRPr="00DB2D2E">
                <w:rPr>
                  <w:rStyle w:val="Hyperlink"/>
                  <w:sz w:val="20"/>
                </w:rPr>
                <w:t>jdorsey@apple.com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Elboim, Yaron</w:t>
            </w:r>
          </w:p>
        </w:tc>
        <w:tc>
          <w:tcPr>
            <w:tcW w:w="1031" w:type="pct"/>
            <w:vAlign w:val="center"/>
          </w:tcPr>
          <w:p w:rsidR="00DB6E8E" w:rsidRPr="004E5CF2" w:rsidRDefault="00DB6E8E" w:rsidP="00DB6E8E">
            <w:pPr>
              <w:pStyle w:val="T2"/>
              <w:spacing w:after="0"/>
              <w:ind w:left="0" w:right="0"/>
              <w:rPr>
                <w:b w:val="0"/>
                <w:sz w:val="20"/>
              </w:rPr>
            </w:pPr>
            <w:r>
              <w:rPr>
                <w:b w:val="0"/>
                <w:sz w:val="20"/>
              </w:rPr>
              <w:t>Wilocity</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18" w:history="1">
              <w:r w:rsidRPr="00D23E96">
                <w:rPr>
                  <w:rStyle w:val="Hyperlink"/>
                  <w:sz w:val="20"/>
                </w:rPr>
                <w:t>yaron.elboim@wilocity.com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Fischer, Matthew</w:t>
            </w:r>
          </w:p>
        </w:tc>
        <w:tc>
          <w:tcPr>
            <w:tcW w:w="1031" w:type="pct"/>
            <w:vAlign w:val="center"/>
          </w:tcPr>
          <w:p w:rsidR="00DB6E8E" w:rsidRPr="004E5CF2" w:rsidRDefault="00DB6E8E" w:rsidP="00DB6E8E">
            <w:pPr>
              <w:pStyle w:val="T2"/>
              <w:spacing w:after="0"/>
              <w:ind w:left="0" w:right="0"/>
              <w:rPr>
                <w:b w:val="0"/>
                <w:sz w:val="20"/>
              </w:rPr>
            </w:pPr>
            <w:r>
              <w:rPr>
                <w:b w:val="0"/>
                <w:sz w:val="20"/>
              </w:rPr>
              <w:t>Broadcom</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19" w:history="1">
              <w:r w:rsidRPr="00D23E96">
                <w:rPr>
                  <w:rStyle w:val="Hyperlink"/>
                  <w:sz w:val="20"/>
                </w:rPr>
                <w:t>mfischer@broadcom.com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Giraud</w:t>
            </w:r>
            <w:r>
              <w:rPr>
                <w:b w:val="0"/>
                <w:sz w:val="20"/>
              </w:rPr>
              <w:t xml:space="preserve">, </w:t>
            </w:r>
            <w:r w:rsidRPr="00DF7CA4">
              <w:rPr>
                <w:b w:val="0"/>
                <w:sz w:val="20"/>
              </w:rPr>
              <w:t>Claude</w:t>
            </w:r>
          </w:p>
        </w:tc>
        <w:tc>
          <w:tcPr>
            <w:tcW w:w="1031" w:type="pct"/>
            <w:vAlign w:val="center"/>
          </w:tcPr>
          <w:p w:rsidR="00DB6E8E" w:rsidRPr="004E5CF2" w:rsidRDefault="00DB6E8E" w:rsidP="00DB6E8E">
            <w:pPr>
              <w:pStyle w:val="T2"/>
              <w:spacing w:after="0"/>
              <w:ind w:left="0" w:right="0"/>
              <w:rPr>
                <w:b w:val="0"/>
                <w:sz w:val="20"/>
              </w:rPr>
            </w:pPr>
            <w:r w:rsidRPr="004E5CF2">
              <w:rPr>
                <w:b w:val="0"/>
                <w:sz w:val="20"/>
              </w:rPr>
              <w:t>NXP</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20" w:history="1">
              <w:r w:rsidRPr="00DB2D2E">
                <w:rPr>
                  <w:rStyle w:val="Hyperlink"/>
                  <w:sz w:val="20"/>
                </w:rPr>
                <w:t>claude.giraud@nxp.com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Golan, Ziv</w:t>
            </w:r>
          </w:p>
        </w:tc>
        <w:tc>
          <w:tcPr>
            <w:tcW w:w="1031" w:type="pct"/>
            <w:vAlign w:val="center"/>
          </w:tcPr>
          <w:p w:rsidR="00DB6E8E" w:rsidRPr="004E5CF2" w:rsidRDefault="00DB6E8E" w:rsidP="00DB6E8E">
            <w:pPr>
              <w:pStyle w:val="T2"/>
              <w:spacing w:after="0"/>
              <w:ind w:left="0" w:right="0"/>
              <w:rPr>
                <w:b w:val="0"/>
                <w:sz w:val="20"/>
              </w:rPr>
            </w:pPr>
            <w:r>
              <w:rPr>
                <w:b w:val="0"/>
                <w:sz w:val="20"/>
              </w:rPr>
              <w:t>Wilocity</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r>
              <w:rPr>
                <w:rStyle w:val="Hyperlink"/>
                <w:sz w:val="20"/>
              </w:rPr>
              <w:t>Ziv.golan@wilocity.com</w:t>
            </w:r>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Gong, Michelle</w:t>
            </w:r>
          </w:p>
        </w:tc>
        <w:tc>
          <w:tcPr>
            <w:tcW w:w="1031" w:type="pct"/>
            <w:vAlign w:val="center"/>
          </w:tcPr>
          <w:p w:rsidR="00DB6E8E" w:rsidRPr="004E5CF2" w:rsidRDefault="00DB6E8E" w:rsidP="00DB6E8E">
            <w:pPr>
              <w:pStyle w:val="T2"/>
              <w:spacing w:after="0"/>
              <w:ind w:left="0" w:right="0"/>
              <w:rPr>
                <w:b w:val="0"/>
                <w:sz w:val="20"/>
              </w:rPr>
            </w:pPr>
            <w:r>
              <w:rPr>
                <w:b w:val="0"/>
                <w:sz w:val="20"/>
              </w:rPr>
              <w:t>Intel</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r w:rsidRPr="00DB2D2E">
              <w:rPr>
                <w:rStyle w:val="Hyperlink"/>
                <w:sz w:val="20"/>
              </w:rPr>
              <w:t>Michelle.x.gong@intel.com</w:t>
            </w:r>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Grieve</w:t>
            </w:r>
            <w:r>
              <w:rPr>
                <w:b w:val="0"/>
                <w:sz w:val="20"/>
              </w:rPr>
              <w:t xml:space="preserve">, </w:t>
            </w:r>
            <w:r w:rsidRPr="00DF7CA4">
              <w:rPr>
                <w:b w:val="0"/>
                <w:sz w:val="20"/>
              </w:rPr>
              <w:t>David</w:t>
            </w:r>
          </w:p>
        </w:tc>
        <w:tc>
          <w:tcPr>
            <w:tcW w:w="1031" w:type="pct"/>
            <w:vAlign w:val="center"/>
          </w:tcPr>
          <w:p w:rsidR="00DB6E8E" w:rsidRPr="004E5CF2" w:rsidRDefault="00DB6E8E" w:rsidP="00DB6E8E">
            <w:pPr>
              <w:pStyle w:val="T2"/>
              <w:spacing w:after="0"/>
              <w:ind w:left="0" w:right="0"/>
              <w:rPr>
                <w:b w:val="0"/>
                <w:sz w:val="20"/>
              </w:rPr>
            </w:pPr>
            <w:r w:rsidRPr="004E5CF2">
              <w:rPr>
                <w:b w:val="0"/>
                <w:sz w:val="20"/>
              </w:rPr>
              <w:t>Agilent</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21" w:history="1">
              <w:r w:rsidRPr="00DB2D2E">
                <w:rPr>
                  <w:rStyle w:val="Hyperlink"/>
                  <w:sz w:val="20"/>
                </w:rPr>
                <w:t>david_grieve@agilent.com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Grodzinsky, Mark</w:t>
            </w:r>
          </w:p>
        </w:tc>
        <w:tc>
          <w:tcPr>
            <w:tcW w:w="1031" w:type="pct"/>
            <w:vAlign w:val="center"/>
          </w:tcPr>
          <w:p w:rsidR="00DB6E8E" w:rsidRPr="004E5CF2" w:rsidRDefault="00DB6E8E" w:rsidP="00DB6E8E">
            <w:pPr>
              <w:pStyle w:val="T2"/>
              <w:spacing w:after="0"/>
              <w:ind w:left="0" w:right="0"/>
              <w:rPr>
                <w:b w:val="0"/>
                <w:sz w:val="20"/>
              </w:rPr>
            </w:pPr>
            <w:r>
              <w:rPr>
                <w:b w:val="0"/>
                <w:sz w:val="20"/>
              </w:rPr>
              <w:t>Wilocity</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22" w:history="1">
              <w:r w:rsidRPr="00D23E96">
                <w:rPr>
                  <w:rStyle w:val="Hyperlink"/>
                  <w:sz w:val="20"/>
                </w:rPr>
                <w:t>Mark.grodzinsky@wilocity.com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Hansen, Christopher</w:t>
            </w:r>
          </w:p>
        </w:tc>
        <w:tc>
          <w:tcPr>
            <w:tcW w:w="1031" w:type="pct"/>
            <w:vAlign w:val="center"/>
          </w:tcPr>
          <w:p w:rsidR="00DB6E8E" w:rsidRPr="004E5CF2" w:rsidRDefault="00DB6E8E" w:rsidP="00DB6E8E">
            <w:pPr>
              <w:pStyle w:val="T2"/>
              <w:spacing w:after="0"/>
              <w:ind w:left="0" w:right="0"/>
              <w:rPr>
                <w:b w:val="0"/>
                <w:sz w:val="20"/>
              </w:rPr>
            </w:pPr>
            <w:r>
              <w:rPr>
                <w:b w:val="0"/>
                <w:sz w:val="20"/>
              </w:rPr>
              <w:t>Broadcom</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23" w:history="1">
              <w:r w:rsidRPr="00D23E96">
                <w:rPr>
                  <w:rStyle w:val="Hyperlink"/>
                  <w:sz w:val="20"/>
                </w:rPr>
                <w:t>chansen@broadcom.com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Pr>
                <w:b w:val="0"/>
                <w:sz w:val="20"/>
              </w:rPr>
              <w:t>Hart, Brian</w:t>
            </w:r>
          </w:p>
        </w:tc>
        <w:tc>
          <w:tcPr>
            <w:tcW w:w="1031" w:type="pct"/>
            <w:vAlign w:val="center"/>
          </w:tcPr>
          <w:p w:rsidR="00DB6E8E" w:rsidRDefault="00DB6E8E" w:rsidP="00DB6E8E">
            <w:pPr>
              <w:pStyle w:val="T2"/>
              <w:spacing w:after="0"/>
              <w:ind w:left="0" w:right="0"/>
              <w:rPr>
                <w:b w:val="0"/>
                <w:sz w:val="20"/>
              </w:rPr>
            </w:pPr>
            <w:r>
              <w:rPr>
                <w:b w:val="0"/>
                <w:sz w:val="20"/>
              </w:rPr>
              <w:t>Cisco</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CA69E3" w:rsidRDefault="00DB6E8E" w:rsidP="00DB6E8E">
            <w:pPr>
              <w:pStyle w:val="T2"/>
              <w:spacing w:after="0"/>
              <w:ind w:left="0" w:right="0"/>
              <w:rPr>
                <w:rStyle w:val="Hyperlink"/>
                <w:sz w:val="20"/>
              </w:rPr>
            </w:pPr>
            <w:hyperlink r:id="rId24" w:history="1">
              <w:r w:rsidRPr="00CA69E3">
                <w:rPr>
                  <w:rStyle w:val="Hyperlink"/>
                  <w:rFonts w:eastAsia="MS Mincho"/>
                  <w:sz w:val="20"/>
                  <w:szCs w:val="20"/>
                </w:rPr>
                <w:t>brianh@cisco.com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DF7CA4">
              <w:rPr>
                <w:b w:val="0"/>
                <w:sz w:val="20"/>
              </w:rPr>
              <w:t>Hassan</w:t>
            </w:r>
            <w:r>
              <w:rPr>
                <w:b w:val="0"/>
                <w:sz w:val="20"/>
              </w:rPr>
              <w:t xml:space="preserve">, </w:t>
            </w:r>
            <w:r w:rsidRPr="00DF7CA4">
              <w:rPr>
                <w:b w:val="0"/>
                <w:sz w:val="20"/>
              </w:rPr>
              <w:t>Amer</w:t>
            </w:r>
          </w:p>
        </w:tc>
        <w:tc>
          <w:tcPr>
            <w:tcW w:w="1031" w:type="pct"/>
            <w:vAlign w:val="center"/>
          </w:tcPr>
          <w:p w:rsidR="00DB6E8E" w:rsidRPr="004E5CF2" w:rsidRDefault="00DB6E8E" w:rsidP="00DB6E8E">
            <w:pPr>
              <w:pStyle w:val="T2"/>
              <w:spacing w:after="0"/>
              <w:ind w:left="0" w:right="0"/>
              <w:rPr>
                <w:b w:val="0"/>
                <w:sz w:val="20"/>
              </w:rPr>
            </w:pPr>
            <w:r w:rsidRPr="004E5CF2">
              <w:rPr>
                <w:b w:val="0"/>
                <w:sz w:val="20"/>
              </w:rPr>
              <w:t>Microsoft</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25" w:history="1">
              <w:r w:rsidRPr="00DB2D2E">
                <w:rPr>
                  <w:rStyle w:val="Hyperlink"/>
                  <w:sz w:val="20"/>
                </w:rPr>
                <w:t>amerh@microsoft.com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Pr>
                <w:b w:val="0"/>
                <w:sz w:val="20"/>
              </w:rPr>
              <w:t xml:space="preserve">Hong, </w:t>
            </w:r>
            <w:r w:rsidRPr="00E0479E">
              <w:rPr>
                <w:b w:val="0"/>
                <w:sz w:val="20"/>
              </w:rPr>
              <w:t>Seung Eun</w:t>
            </w:r>
          </w:p>
        </w:tc>
        <w:tc>
          <w:tcPr>
            <w:tcW w:w="1031" w:type="pct"/>
            <w:vAlign w:val="center"/>
          </w:tcPr>
          <w:p w:rsidR="00DB6E8E" w:rsidRPr="004E5CF2" w:rsidRDefault="00DB6E8E" w:rsidP="00DB6E8E">
            <w:pPr>
              <w:pStyle w:val="T2"/>
              <w:spacing w:after="0"/>
              <w:ind w:left="0" w:right="0"/>
              <w:rPr>
                <w:b w:val="0"/>
                <w:sz w:val="20"/>
              </w:rPr>
            </w:pPr>
            <w:r>
              <w:rPr>
                <w:b w:val="0"/>
                <w:sz w:val="20"/>
              </w:rPr>
              <w:t>ETRI</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Default="00DB6E8E" w:rsidP="00DB6E8E">
            <w:pPr>
              <w:pStyle w:val="T2"/>
              <w:spacing w:after="0"/>
              <w:ind w:left="0" w:right="0"/>
            </w:pPr>
            <w:hyperlink r:id="rId26" w:history="1">
              <w:r w:rsidRPr="00DA36D4">
                <w:rPr>
                  <w:rStyle w:val="Hyperlink"/>
                  <w:rFonts w:eastAsia="PMingLiU"/>
                  <w:sz w:val="20"/>
                </w:rPr>
                <w:t>iptvguru@etri.re.kr</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B67EB">
              <w:rPr>
                <w:b w:val="0"/>
                <w:sz w:val="20"/>
              </w:rPr>
              <w:t>Hosoya, Kenichi</w:t>
            </w:r>
          </w:p>
        </w:tc>
        <w:tc>
          <w:tcPr>
            <w:tcW w:w="1031" w:type="pct"/>
            <w:vAlign w:val="center"/>
          </w:tcPr>
          <w:p w:rsidR="00DB6E8E" w:rsidRPr="004E5CF2" w:rsidRDefault="00DB6E8E" w:rsidP="00DB6E8E">
            <w:pPr>
              <w:pStyle w:val="T2"/>
              <w:spacing w:after="0"/>
              <w:ind w:left="0" w:right="0"/>
              <w:rPr>
                <w:b w:val="0"/>
                <w:sz w:val="20"/>
              </w:rPr>
            </w:pPr>
            <w:r>
              <w:rPr>
                <w:b w:val="0"/>
                <w:sz w:val="20"/>
              </w:rPr>
              <w:t>NEC</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27" w:history="1">
              <w:r w:rsidRPr="00DB67EB">
                <w:rPr>
                  <w:rStyle w:val="Hyperlink"/>
                  <w:sz w:val="20"/>
                </w:rPr>
                <w:t>k-hosoya@ce.jp.nec.com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Hosur</w:t>
            </w:r>
            <w:r>
              <w:rPr>
                <w:b w:val="0"/>
                <w:sz w:val="20"/>
              </w:rPr>
              <w:t xml:space="preserve">, </w:t>
            </w:r>
            <w:r w:rsidRPr="00DF7CA4">
              <w:rPr>
                <w:b w:val="0"/>
                <w:sz w:val="20"/>
              </w:rPr>
              <w:t>Srinath</w:t>
            </w:r>
          </w:p>
        </w:tc>
        <w:tc>
          <w:tcPr>
            <w:tcW w:w="1031" w:type="pct"/>
            <w:vAlign w:val="center"/>
          </w:tcPr>
          <w:p w:rsidR="00DB6E8E" w:rsidRPr="00DB67EB" w:rsidRDefault="00DB6E8E" w:rsidP="00DB6E8E">
            <w:pPr>
              <w:pStyle w:val="T2"/>
              <w:spacing w:after="0"/>
              <w:ind w:left="0" w:right="0"/>
              <w:rPr>
                <w:b w:val="0"/>
                <w:sz w:val="20"/>
              </w:rPr>
            </w:pPr>
            <w:r w:rsidRPr="00DB67EB">
              <w:rPr>
                <w:b w:val="0"/>
                <w:sz w:val="20"/>
              </w:rPr>
              <w:t>Texas Instruments</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28" w:history="1">
              <w:r w:rsidRPr="00DB2D2E">
                <w:rPr>
                  <w:rStyle w:val="Hyperlink"/>
                  <w:sz w:val="20"/>
                </w:rPr>
                <w:t>hosur@ti.com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Pr>
                <w:b w:val="0"/>
                <w:sz w:val="20"/>
              </w:rPr>
              <w:t>Hsu, Alvin</w:t>
            </w:r>
          </w:p>
        </w:tc>
        <w:tc>
          <w:tcPr>
            <w:tcW w:w="1031" w:type="pct"/>
            <w:vAlign w:val="center"/>
          </w:tcPr>
          <w:p w:rsidR="00DB6E8E" w:rsidRDefault="00DB6E8E" w:rsidP="00DB6E8E">
            <w:pPr>
              <w:pStyle w:val="T2"/>
              <w:spacing w:after="0"/>
              <w:ind w:left="0" w:right="0"/>
              <w:rPr>
                <w:b w:val="0"/>
                <w:sz w:val="20"/>
              </w:rPr>
            </w:pPr>
            <w:r>
              <w:rPr>
                <w:b w:val="0"/>
                <w:sz w:val="20"/>
              </w:rPr>
              <w:t>MediaTek</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Default="00DB6E8E" w:rsidP="00DB6E8E">
            <w:pPr>
              <w:pStyle w:val="T2"/>
              <w:spacing w:after="0"/>
              <w:ind w:left="0" w:right="0"/>
              <w:rPr>
                <w:rStyle w:val="Hyperlink"/>
                <w:sz w:val="20"/>
              </w:rPr>
            </w:pPr>
            <w:hyperlink r:id="rId29" w:history="1">
              <w:r w:rsidRPr="004B6B5D">
                <w:rPr>
                  <w:rStyle w:val="Hyperlink"/>
                  <w:sz w:val="20"/>
                </w:rPr>
                <w:t>alvin.hsu@mediatek.com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Hsu, Julan</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30" w:history="1">
              <w:r w:rsidRPr="00D23E96">
                <w:rPr>
                  <w:rStyle w:val="Hyperlink"/>
                  <w:sz w:val="20"/>
                </w:rPr>
                <w:t>Julan.hsu@samsung.com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Pr>
                <w:b w:val="0"/>
                <w:sz w:val="20"/>
              </w:rPr>
              <w:t xml:space="preserve">Hung, </w:t>
            </w:r>
            <w:r w:rsidRPr="004B6B5D">
              <w:rPr>
                <w:b w:val="0"/>
                <w:sz w:val="20"/>
              </w:rPr>
              <w:t>Kun-Chien</w:t>
            </w:r>
          </w:p>
        </w:tc>
        <w:tc>
          <w:tcPr>
            <w:tcW w:w="1031" w:type="pct"/>
            <w:vAlign w:val="center"/>
          </w:tcPr>
          <w:p w:rsidR="00DB6E8E" w:rsidRPr="004E5CF2" w:rsidRDefault="00DB6E8E" w:rsidP="00DB6E8E">
            <w:pPr>
              <w:pStyle w:val="T2"/>
              <w:spacing w:after="0"/>
              <w:ind w:left="0" w:right="0"/>
              <w:rPr>
                <w:b w:val="0"/>
                <w:sz w:val="20"/>
              </w:rPr>
            </w:pPr>
            <w:r>
              <w:rPr>
                <w:b w:val="0"/>
                <w:sz w:val="20"/>
              </w:rPr>
              <w:t>MediaTek</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4B6B5D" w:rsidRDefault="00DB6E8E" w:rsidP="00DB6E8E">
            <w:pPr>
              <w:pStyle w:val="T2"/>
              <w:spacing w:after="0"/>
              <w:ind w:left="0" w:right="0"/>
              <w:rPr>
                <w:rStyle w:val="Hyperlink"/>
                <w:sz w:val="20"/>
              </w:rPr>
            </w:pPr>
            <w:hyperlink r:id="rId31" w:history="1">
              <w:r w:rsidRPr="004B6B5D">
                <w:rPr>
                  <w:rStyle w:val="Hyperlink"/>
                  <w:sz w:val="20"/>
                </w:rPr>
                <w:t>kc.hung@mediatek.com</w:t>
              </w:r>
            </w:hyperlink>
          </w:p>
        </w:tc>
      </w:tr>
      <w:tr w:rsidR="00DB6E8E" w:rsidRPr="00C46726" w:rsidTr="00DB6E8E">
        <w:trPr>
          <w:jc w:val="center"/>
        </w:trPr>
        <w:tc>
          <w:tcPr>
            <w:tcW w:w="1267" w:type="pct"/>
            <w:vAlign w:val="center"/>
          </w:tcPr>
          <w:p w:rsidR="00DB6E8E" w:rsidRDefault="00DB6E8E" w:rsidP="00DB6E8E">
            <w:pPr>
              <w:pStyle w:val="T2"/>
              <w:spacing w:after="0"/>
              <w:ind w:left="0" w:right="0"/>
              <w:rPr>
                <w:b w:val="0"/>
                <w:sz w:val="20"/>
              </w:rPr>
            </w:pPr>
            <w:r>
              <w:rPr>
                <w:b w:val="0"/>
                <w:sz w:val="20"/>
              </w:rPr>
              <w:t>Jain, Avinash</w:t>
            </w:r>
          </w:p>
        </w:tc>
        <w:tc>
          <w:tcPr>
            <w:tcW w:w="1031" w:type="pct"/>
            <w:vAlign w:val="center"/>
          </w:tcPr>
          <w:p w:rsidR="00DB6E8E" w:rsidRDefault="00DB6E8E" w:rsidP="00DB6E8E">
            <w:pPr>
              <w:pStyle w:val="T2"/>
              <w:spacing w:after="0"/>
              <w:ind w:left="0" w:right="0"/>
              <w:rPr>
                <w:b w:val="0"/>
                <w:sz w:val="20"/>
              </w:rPr>
            </w:pPr>
            <w:r>
              <w:rPr>
                <w:b w:val="0"/>
                <w:sz w:val="20"/>
              </w:rPr>
              <w:t>Qualcomm</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Default="00DB6E8E" w:rsidP="00DB6E8E">
            <w:pPr>
              <w:pStyle w:val="T2"/>
              <w:spacing w:after="0"/>
              <w:ind w:left="0" w:right="0"/>
            </w:pPr>
            <w:hyperlink r:id="rId32" w:history="1">
              <w:r w:rsidRPr="000D4511">
                <w:rPr>
                  <w:rStyle w:val="Hyperlink"/>
                  <w:sz w:val="20"/>
                </w:rPr>
                <w:t>avinashj@qualcomm.com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Pr>
                <w:b w:val="0"/>
                <w:sz w:val="20"/>
              </w:rPr>
              <w:t>Jauh, Alan</w:t>
            </w:r>
          </w:p>
        </w:tc>
        <w:tc>
          <w:tcPr>
            <w:tcW w:w="1031" w:type="pct"/>
            <w:vAlign w:val="center"/>
          </w:tcPr>
          <w:p w:rsidR="00DB6E8E" w:rsidRPr="004E5CF2" w:rsidRDefault="00DB6E8E" w:rsidP="00DB6E8E">
            <w:pPr>
              <w:pStyle w:val="T2"/>
              <w:spacing w:after="0"/>
              <w:ind w:left="0" w:right="0"/>
              <w:rPr>
                <w:b w:val="0"/>
                <w:sz w:val="20"/>
              </w:rPr>
            </w:pPr>
            <w:r>
              <w:rPr>
                <w:b w:val="0"/>
                <w:sz w:val="20"/>
              </w:rPr>
              <w:t>MediaTek</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4B6B5D" w:rsidRDefault="00DB6E8E" w:rsidP="00DB6E8E">
            <w:pPr>
              <w:pStyle w:val="T2"/>
              <w:spacing w:after="0"/>
              <w:ind w:left="0" w:right="0"/>
              <w:rPr>
                <w:rStyle w:val="Hyperlink"/>
                <w:sz w:val="20"/>
              </w:rPr>
            </w:pPr>
            <w:hyperlink r:id="rId33" w:history="1">
              <w:r w:rsidRPr="004B6B5D">
                <w:rPr>
                  <w:rStyle w:val="Hyperlink"/>
                  <w:sz w:val="20"/>
                </w:rPr>
                <w:t>alan.jauh@mediatek.com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Jeon</w:t>
            </w:r>
            <w:r>
              <w:rPr>
                <w:b w:val="0"/>
                <w:sz w:val="20"/>
              </w:rPr>
              <w:t xml:space="preserve">, </w:t>
            </w:r>
            <w:r w:rsidRPr="00DF7CA4">
              <w:rPr>
                <w:b w:val="0"/>
                <w:sz w:val="20"/>
              </w:rPr>
              <w:t>Paul</w:t>
            </w:r>
          </w:p>
        </w:tc>
        <w:tc>
          <w:tcPr>
            <w:tcW w:w="1031" w:type="pct"/>
            <w:vAlign w:val="center"/>
          </w:tcPr>
          <w:p w:rsidR="00DB6E8E" w:rsidRPr="004E5CF2" w:rsidRDefault="00DB6E8E" w:rsidP="00DB6E8E">
            <w:pPr>
              <w:pStyle w:val="T2"/>
              <w:spacing w:after="0"/>
              <w:ind w:left="0" w:right="0"/>
              <w:rPr>
                <w:b w:val="0"/>
                <w:sz w:val="20"/>
              </w:rPr>
            </w:pPr>
            <w:r w:rsidRPr="004E5CF2">
              <w:rPr>
                <w:b w:val="0"/>
                <w:sz w:val="20"/>
              </w:rPr>
              <w:t>LG</w:t>
            </w:r>
            <w:r>
              <w:rPr>
                <w:b w:val="0"/>
                <w:sz w:val="20"/>
              </w:rPr>
              <w:t>E</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34" w:history="1">
              <w:r w:rsidRPr="00DB2D2E">
                <w:rPr>
                  <w:rStyle w:val="Hyperlink"/>
                  <w:sz w:val="20"/>
                </w:rPr>
                <w:t>bjjeon@lge.com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Pr>
                <w:b w:val="0"/>
                <w:sz w:val="20"/>
              </w:rPr>
              <w:t xml:space="preserve">Jin, </w:t>
            </w:r>
            <w:r w:rsidRPr="00E0479E">
              <w:rPr>
                <w:b w:val="0"/>
                <w:sz w:val="20"/>
              </w:rPr>
              <w:t>Sunggeun</w:t>
            </w:r>
          </w:p>
        </w:tc>
        <w:tc>
          <w:tcPr>
            <w:tcW w:w="1031" w:type="pct"/>
            <w:vAlign w:val="center"/>
          </w:tcPr>
          <w:p w:rsidR="00DB6E8E" w:rsidRPr="004E5CF2" w:rsidRDefault="00DB6E8E" w:rsidP="00DB6E8E">
            <w:pPr>
              <w:pStyle w:val="T2"/>
              <w:spacing w:after="0"/>
              <w:ind w:left="0" w:right="0"/>
              <w:rPr>
                <w:b w:val="0"/>
                <w:sz w:val="20"/>
              </w:rPr>
            </w:pPr>
            <w:r>
              <w:rPr>
                <w:b w:val="0"/>
                <w:sz w:val="20"/>
              </w:rPr>
              <w:t>ETRI</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Default="00DB6E8E" w:rsidP="00DB6E8E">
            <w:pPr>
              <w:pStyle w:val="T2"/>
              <w:spacing w:after="0"/>
              <w:ind w:left="0" w:right="0"/>
            </w:pPr>
            <w:hyperlink r:id="rId35" w:history="1">
              <w:r w:rsidRPr="00DA36D4">
                <w:rPr>
                  <w:rStyle w:val="Hyperlink"/>
                  <w:rFonts w:eastAsia="PMingLiU"/>
                  <w:sz w:val="20"/>
                </w:rPr>
                <w:t>sgjin@etri.re.kr</w:t>
              </w:r>
            </w:hyperlink>
          </w:p>
        </w:tc>
      </w:tr>
      <w:tr w:rsidR="00DB6E8E" w:rsidRPr="00C46726" w:rsidTr="00DB6E8E">
        <w:trPr>
          <w:jc w:val="center"/>
        </w:trPr>
        <w:tc>
          <w:tcPr>
            <w:tcW w:w="1267" w:type="pct"/>
            <w:vAlign w:val="center"/>
          </w:tcPr>
          <w:p w:rsidR="00DB6E8E" w:rsidRDefault="00DB6E8E" w:rsidP="00DB6E8E">
            <w:pPr>
              <w:pStyle w:val="T2"/>
              <w:spacing w:after="0"/>
              <w:ind w:left="0" w:right="0"/>
              <w:rPr>
                <w:b w:val="0"/>
                <w:sz w:val="20"/>
              </w:rPr>
            </w:pPr>
            <w:r>
              <w:rPr>
                <w:b w:val="0"/>
                <w:sz w:val="20"/>
              </w:rPr>
              <w:t>Jones, VK</w:t>
            </w:r>
          </w:p>
        </w:tc>
        <w:tc>
          <w:tcPr>
            <w:tcW w:w="1031" w:type="pct"/>
            <w:vAlign w:val="center"/>
          </w:tcPr>
          <w:p w:rsidR="00DB6E8E" w:rsidRDefault="00DB6E8E" w:rsidP="00DB6E8E">
            <w:pPr>
              <w:pStyle w:val="T2"/>
              <w:spacing w:after="0"/>
              <w:ind w:left="0" w:right="0"/>
              <w:rPr>
                <w:b w:val="0"/>
                <w:sz w:val="20"/>
              </w:rPr>
            </w:pPr>
            <w:r>
              <w:rPr>
                <w:b w:val="0"/>
                <w:sz w:val="20"/>
              </w:rPr>
              <w:t>Qualcomm</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4C0F8C" w:rsidRDefault="00DB6E8E" w:rsidP="00DB6E8E">
            <w:pPr>
              <w:pStyle w:val="T2"/>
              <w:spacing w:after="0"/>
              <w:ind w:left="0" w:right="0"/>
              <w:rPr>
                <w:rStyle w:val="Hyperlink"/>
                <w:sz w:val="20"/>
              </w:rPr>
            </w:pPr>
            <w:hyperlink r:id="rId36" w:history="1">
              <w:r w:rsidRPr="004C0F8C">
                <w:rPr>
                  <w:rStyle w:val="Hyperlink"/>
                  <w:sz w:val="20"/>
                </w:rPr>
                <w:t>vkjones@qualcomm.com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Joseph</w:t>
            </w:r>
            <w:r>
              <w:rPr>
                <w:b w:val="0"/>
                <w:sz w:val="20"/>
              </w:rPr>
              <w:t xml:space="preserve">, </w:t>
            </w:r>
            <w:r w:rsidRPr="00DF7CA4">
              <w:rPr>
                <w:b w:val="0"/>
                <w:sz w:val="20"/>
              </w:rPr>
              <w:t>Stacy</w:t>
            </w:r>
          </w:p>
        </w:tc>
        <w:tc>
          <w:tcPr>
            <w:tcW w:w="1031" w:type="pct"/>
            <w:vAlign w:val="center"/>
          </w:tcPr>
          <w:p w:rsidR="00DB6E8E" w:rsidRPr="00B62CBD" w:rsidRDefault="00DB6E8E" w:rsidP="00DB6E8E">
            <w:pPr>
              <w:pStyle w:val="T2"/>
              <w:spacing w:after="0"/>
              <w:ind w:left="0" w:right="0"/>
              <w:rPr>
                <w:b w:val="0"/>
                <w:sz w:val="20"/>
              </w:rPr>
            </w:pPr>
            <w:r w:rsidRPr="00B62CBD">
              <w:rPr>
                <w:b w:val="0"/>
                <w:sz w:val="20"/>
              </w:rPr>
              <w:t>Beam Networks</w:t>
            </w:r>
          </w:p>
        </w:tc>
        <w:tc>
          <w:tcPr>
            <w:tcW w:w="478" w:type="pct"/>
            <w:vAlign w:val="center"/>
          </w:tcPr>
          <w:p w:rsidR="00DB6E8E" w:rsidRPr="00B62CBD" w:rsidRDefault="00DB6E8E" w:rsidP="00DB6E8E">
            <w:pPr>
              <w:pStyle w:val="T2"/>
              <w:spacing w:after="0"/>
              <w:ind w:left="0" w:right="0"/>
              <w:rPr>
                <w:b w:val="0"/>
                <w:sz w:val="20"/>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37" w:history="1">
              <w:r w:rsidRPr="00DB2D2E">
                <w:rPr>
                  <w:rStyle w:val="Hyperlink"/>
                  <w:sz w:val="20"/>
                </w:rPr>
                <w:t>stacy@beamnetworks.com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Jun, Haeyoung</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38" w:history="1">
              <w:r w:rsidRPr="00D23E96">
                <w:rPr>
                  <w:rStyle w:val="Hyperlink"/>
                  <w:sz w:val="20"/>
                </w:rPr>
                <w:t>Haeyoung.jun@samsung.com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4E5CF2">
              <w:rPr>
                <w:b w:val="0"/>
                <w:sz w:val="20"/>
              </w:rPr>
              <w:t>Kaaja, Harald</w:t>
            </w:r>
          </w:p>
        </w:tc>
        <w:tc>
          <w:tcPr>
            <w:tcW w:w="1031" w:type="pct"/>
            <w:vAlign w:val="center"/>
          </w:tcPr>
          <w:p w:rsidR="00DB6E8E" w:rsidRPr="004E5CF2" w:rsidRDefault="00DB6E8E" w:rsidP="00DB6E8E">
            <w:pPr>
              <w:pStyle w:val="T2"/>
              <w:spacing w:after="0"/>
              <w:ind w:left="0" w:right="0"/>
              <w:rPr>
                <w:b w:val="0"/>
                <w:sz w:val="20"/>
              </w:rPr>
            </w:pPr>
            <w:r>
              <w:rPr>
                <w:b w:val="0"/>
                <w:sz w:val="20"/>
              </w:rPr>
              <w:t>Nokia</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39" w:history="1">
              <w:r w:rsidRPr="00DB2D2E">
                <w:rPr>
                  <w:rStyle w:val="Hyperlink"/>
                  <w:sz w:val="20"/>
                </w:rPr>
                <w:t>harald.kaaja@nokia.com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Kafle, Padam</w:t>
            </w:r>
          </w:p>
        </w:tc>
        <w:tc>
          <w:tcPr>
            <w:tcW w:w="1031" w:type="pct"/>
            <w:vAlign w:val="center"/>
          </w:tcPr>
          <w:p w:rsidR="00DB6E8E" w:rsidRPr="004E5CF2" w:rsidRDefault="00DB6E8E" w:rsidP="00DB6E8E">
            <w:pPr>
              <w:pStyle w:val="T2"/>
              <w:spacing w:after="0"/>
              <w:ind w:left="0" w:right="0"/>
              <w:rPr>
                <w:b w:val="0"/>
                <w:sz w:val="20"/>
              </w:rPr>
            </w:pPr>
            <w:r>
              <w:rPr>
                <w:b w:val="0"/>
                <w:sz w:val="20"/>
              </w:rPr>
              <w:t>Nokia</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40" w:history="1">
              <w:r w:rsidRPr="00DB2D2E">
                <w:rPr>
                  <w:rStyle w:val="Hyperlink"/>
                  <w:sz w:val="20"/>
                </w:rPr>
                <w:t>padam.kafle@nokia.com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Kakani, Naveen</w:t>
            </w:r>
          </w:p>
        </w:tc>
        <w:tc>
          <w:tcPr>
            <w:tcW w:w="1031" w:type="pct"/>
            <w:vAlign w:val="center"/>
          </w:tcPr>
          <w:p w:rsidR="00DB6E8E" w:rsidRPr="004E5CF2" w:rsidRDefault="00DB6E8E" w:rsidP="00DB6E8E">
            <w:pPr>
              <w:pStyle w:val="T2"/>
              <w:spacing w:after="0"/>
              <w:ind w:left="0" w:right="0"/>
              <w:rPr>
                <w:b w:val="0"/>
                <w:sz w:val="20"/>
              </w:rPr>
            </w:pPr>
            <w:r w:rsidRPr="004E5CF2">
              <w:rPr>
                <w:b w:val="0"/>
                <w:sz w:val="20"/>
              </w:rPr>
              <w:t>Nokia</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41" w:history="1">
              <w:r w:rsidRPr="00DB2D2E">
                <w:rPr>
                  <w:rStyle w:val="Hyperlink"/>
                  <w:sz w:val="20"/>
                </w:rPr>
                <w:t>naveen.kakani@nokia.com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Kasher, Assaf</w:t>
            </w:r>
          </w:p>
        </w:tc>
        <w:tc>
          <w:tcPr>
            <w:tcW w:w="1031" w:type="pct"/>
            <w:vAlign w:val="center"/>
          </w:tcPr>
          <w:p w:rsidR="00DB6E8E" w:rsidRPr="004E5CF2" w:rsidRDefault="00DB6E8E" w:rsidP="00DB6E8E">
            <w:pPr>
              <w:pStyle w:val="T2"/>
              <w:spacing w:after="0"/>
              <w:ind w:left="0" w:right="0"/>
              <w:rPr>
                <w:b w:val="0"/>
                <w:sz w:val="20"/>
              </w:rPr>
            </w:pPr>
            <w:r>
              <w:rPr>
                <w:b w:val="0"/>
                <w:sz w:val="20"/>
              </w:rPr>
              <w:t>Intel</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42" w:history="1">
              <w:r w:rsidRPr="00D23E96">
                <w:rPr>
                  <w:rStyle w:val="Hyperlink"/>
                  <w:sz w:val="20"/>
                </w:rPr>
                <w:t>Assaf.kasher@intel.com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Kasslin, Mika</w:t>
            </w:r>
          </w:p>
        </w:tc>
        <w:tc>
          <w:tcPr>
            <w:tcW w:w="1031" w:type="pct"/>
            <w:vAlign w:val="center"/>
          </w:tcPr>
          <w:p w:rsidR="00DB6E8E" w:rsidRPr="004E5CF2" w:rsidRDefault="00DB6E8E" w:rsidP="00DB6E8E">
            <w:pPr>
              <w:pStyle w:val="T2"/>
              <w:spacing w:after="0"/>
              <w:ind w:left="0" w:right="0"/>
              <w:rPr>
                <w:b w:val="0"/>
                <w:sz w:val="20"/>
              </w:rPr>
            </w:pPr>
            <w:r>
              <w:rPr>
                <w:b w:val="0"/>
                <w:sz w:val="20"/>
              </w:rPr>
              <w:t>Nokia</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43" w:history="1">
              <w:r w:rsidRPr="00DB2D2E">
                <w:rPr>
                  <w:rStyle w:val="Hyperlink"/>
                  <w:sz w:val="20"/>
                </w:rPr>
                <w:t>mika.kasslin@nokia.com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Kim, Hodong</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44" w:history="1">
              <w:r w:rsidRPr="00D23E96">
                <w:rPr>
                  <w:rStyle w:val="Hyperlink"/>
                  <w:sz w:val="20"/>
                </w:rPr>
                <w:t>hodong0803.kim@samsung.com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Pr>
                <w:b w:val="0"/>
                <w:sz w:val="20"/>
              </w:rPr>
              <w:t xml:space="preserve">Kim, </w:t>
            </w:r>
            <w:r w:rsidRPr="00E0479E">
              <w:rPr>
                <w:b w:val="0"/>
                <w:sz w:val="20"/>
              </w:rPr>
              <w:t>Yongsun</w:t>
            </w:r>
          </w:p>
        </w:tc>
        <w:tc>
          <w:tcPr>
            <w:tcW w:w="1031" w:type="pct"/>
            <w:vAlign w:val="center"/>
          </w:tcPr>
          <w:p w:rsidR="00DB6E8E" w:rsidRDefault="00DB6E8E" w:rsidP="00DB6E8E">
            <w:pPr>
              <w:pStyle w:val="T2"/>
              <w:spacing w:after="0"/>
              <w:ind w:left="0" w:right="0"/>
              <w:rPr>
                <w:b w:val="0"/>
                <w:sz w:val="20"/>
              </w:rPr>
            </w:pPr>
            <w:r>
              <w:rPr>
                <w:b w:val="0"/>
                <w:sz w:val="20"/>
              </w:rPr>
              <w:t>ETRI</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Default="00DB6E8E" w:rsidP="00DB6E8E">
            <w:pPr>
              <w:pStyle w:val="T2"/>
              <w:spacing w:after="0"/>
              <w:ind w:left="0" w:right="0"/>
            </w:pPr>
            <w:hyperlink r:id="rId45" w:history="1">
              <w:r w:rsidRPr="00DA36D4">
                <w:rPr>
                  <w:rStyle w:val="Hyperlink"/>
                  <w:rFonts w:eastAsia="PMingLiU"/>
                  <w:sz w:val="20"/>
                </w:rPr>
                <w:t>doori@etri.re.kr</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B62CBD">
              <w:rPr>
                <w:b w:val="0"/>
                <w:sz w:val="20"/>
              </w:rPr>
              <w:t>Kreifeldt</w:t>
            </w:r>
            <w:r>
              <w:rPr>
                <w:b w:val="0"/>
                <w:sz w:val="20"/>
              </w:rPr>
              <w:t xml:space="preserve">, </w:t>
            </w:r>
            <w:r w:rsidRPr="00B62CBD">
              <w:rPr>
                <w:b w:val="0"/>
                <w:sz w:val="20"/>
              </w:rPr>
              <w:t>Rick</w:t>
            </w:r>
          </w:p>
        </w:tc>
        <w:tc>
          <w:tcPr>
            <w:tcW w:w="1031" w:type="pct"/>
            <w:vAlign w:val="center"/>
          </w:tcPr>
          <w:p w:rsidR="00DB6E8E" w:rsidRPr="00B62CBD" w:rsidRDefault="00DB6E8E" w:rsidP="00DB6E8E">
            <w:pPr>
              <w:pStyle w:val="T2"/>
              <w:spacing w:after="0"/>
              <w:ind w:left="0" w:right="0"/>
              <w:rPr>
                <w:b w:val="0"/>
                <w:sz w:val="20"/>
              </w:rPr>
            </w:pPr>
            <w:r w:rsidRPr="00B62CBD">
              <w:rPr>
                <w:b w:val="0"/>
                <w:sz w:val="20"/>
              </w:rPr>
              <w:t>Harman Intern</w:t>
            </w:r>
            <w:r>
              <w:rPr>
                <w:b w:val="0"/>
                <w:sz w:val="20"/>
              </w:rPr>
              <w:t>a</w:t>
            </w:r>
            <w:r w:rsidRPr="00B62CBD">
              <w:rPr>
                <w:b w:val="0"/>
                <w:sz w:val="20"/>
              </w:rPr>
              <w:t>tional</w:t>
            </w:r>
          </w:p>
        </w:tc>
        <w:tc>
          <w:tcPr>
            <w:tcW w:w="478" w:type="pct"/>
            <w:vAlign w:val="center"/>
          </w:tcPr>
          <w:p w:rsidR="00DB6E8E" w:rsidRPr="00B62CBD" w:rsidRDefault="00DB6E8E" w:rsidP="00DB6E8E">
            <w:pPr>
              <w:pStyle w:val="T2"/>
              <w:spacing w:after="0"/>
              <w:ind w:left="0" w:right="0"/>
              <w:rPr>
                <w:b w:val="0"/>
                <w:sz w:val="20"/>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DB2D2E" w:rsidRDefault="00DB6E8E" w:rsidP="00DB6E8E">
            <w:pPr>
              <w:pStyle w:val="T2"/>
              <w:spacing w:after="0"/>
              <w:ind w:left="0" w:right="0"/>
              <w:rPr>
                <w:rStyle w:val="Hyperlink"/>
                <w:sz w:val="20"/>
              </w:rPr>
            </w:pPr>
            <w:hyperlink r:id="rId46" w:history="1">
              <w:r w:rsidRPr="00DB2D2E">
                <w:rPr>
                  <w:rStyle w:val="Hyperlink"/>
                  <w:sz w:val="20"/>
                </w:rPr>
                <w:t>rick.kreifeldt@harman.com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Kwon, Edwin</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E0479E" w:rsidRDefault="00DB6E8E" w:rsidP="00DB6E8E">
            <w:pPr>
              <w:pStyle w:val="covertext"/>
              <w:spacing w:before="0" w:after="0"/>
              <w:rPr>
                <w:bCs/>
                <w:sz w:val="20"/>
                <w:szCs w:val="28"/>
                <w:lang w:bidi="he-IL"/>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47" w:history="1">
              <w:r>
                <w:rPr>
                  <w:rStyle w:val="Hyperlink"/>
                  <w:sz w:val="20"/>
                </w:rPr>
                <w:t>cy.kwon@samsung.com</w:t>
              </w:r>
            </w:hyperlink>
          </w:p>
        </w:tc>
      </w:tr>
      <w:tr w:rsidR="00DB6E8E" w:rsidRPr="00C46726" w:rsidTr="00DB6E8E">
        <w:trPr>
          <w:jc w:val="center"/>
        </w:trPr>
        <w:tc>
          <w:tcPr>
            <w:tcW w:w="1267" w:type="pct"/>
            <w:vAlign w:val="center"/>
          </w:tcPr>
          <w:p w:rsidR="00DB6E8E" w:rsidRPr="00E0479E" w:rsidRDefault="00DB6E8E" w:rsidP="00DB6E8E">
            <w:pPr>
              <w:pStyle w:val="T2"/>
              <w:spacing w:after="0"/>
              <w:ind w:left="0" w:right="0"/>
              <w:rPr>
                <w:b w:val="0"/>
                <w:sz w:val="20"/>
              </w:rPr>
            </w:pPr>
            <w:r w:rsidRPr="00E0479E">
              <w:rPr>
                <w:b w:val="0"/>
                <w:sz w:val="20"/>
              </w:rPr>
              <w:t>Kwon</w:t>
            </w:r>
            <w:r>
              <w:rPr>
                <w:b w:val="0"/>
                <w:sz w:val="20"/>
              </w:rPr>
              <w:t xml:space="preserve">, </w:t>
            </w:r>
            <w:r w:rsidRPr="00E0479E">
              <w:rPr>
                <w:b w:val="0"/>
                <w:sz w:val="20"/>
              </w:rPr>
              <w:t>Hyoungjin</w:t>
            </w:r>
          </w:p>
        </w:tc>
        <w:tc>
          <w:tcPr>
            <w:tcW w:w="1031" w:type="pct"/>
          </w:tcPr>
          <w:p w:rsidR="00DB6E8E" w:rsidRPr="00E0479E" w:rsidRDefault="00DB6E8E" w:rsidP="00DB6E8E">
            <w:pPr>
              <w:pStyle w:val="T2"/>
              <w:spacing w:after="0"/>
              <w:ind w:left="0" w:right="0"/>
              <w:rPr>
                <w:b w:val="0"/>
                <w:sz w:val="20"/>
              </w:rPr>
            </w:pPr>
            <w:r w:rsidRPr="00E0479E">
              <w:rPr>
                <w:b w:val="0"/>
                <w:sz w:val="20"/>
              </w:rPr>
              <w:t>ETRI</w:t>
            </w:r>
          </w:p>
        </w:tc>
        <w:tc>
          <w:tcPr>
            <w:tcW w:w="478" w:type="pct"/>
          </w:tcPr>
          <w:p w:rsidR="00DB6E8E" w:rsidRPr="00E0479E" w:rsidRDefault="00DB6E8E" w:rsidP="00DB6E8E">
            <w:pPr>
              <w:pStyle w:val="T2"/>
              <w:spacing w:after="0"/>
              <w:ind w:left="0" w:right="0"/>
              <w:rPr>
                <w:b w:val="0"/>
                <w:sz w:val="20"/>
              </w:rPr>
            </w:pPr>
          </w:p>
        </w:tc>
        <w:tc>
          <w:tcPr>
            <w:tcW w:w="392" w:type="pct"/>
          </w:tcPr>
          <w:p w:rsidR="00DB6E8E" w:rsidRPr="00E0479E" w:rsidRDefault="00DB6E8E" w:rsidP="00DB6E8E">
            <w:pPr>
              <w:pStyle w:val="T2"/>
              <w:spacing w:after="0"/>
              <w:ind w:left="0" w:right="0"/>
              <w:rPr>
                <w:b w:val="0"/>
                <w:sz w:val="20"/>
              </w:rPr>
            </w:pPr>
          </w:p>
        </w:tc>
        <w:tc>
          <w:tcPr>
            <w:tcW w:w="1832" w:type="pct"/>
            <w:vAlign w:val="center"/>
          </w:tcPr>
          <w:p w:rsidR="00DB6E8E" w:rsidRPr="00E0479E" w:rsidRDefault="00DB6E8E" w:rsidP="00DB6E8E">
            <w:pPr>
              <w:pStyle w:val="T2"/>
              <w:spacing w:after="0"/>
              <w:ind w:left="0" w:right="0"/>
            </w:pPr>
            <w:hyperlink r:id="rId48" w:history="1">
              <w:r w:rsidRPr="00E0479E">
                <w:rPr>
                  <w:rStyle w:val="Hyperlink"/>
                  <w:rFonts w:eastAsia="PMingLiU"/>
                  <w:sz w:val="20"/>
                </w:rPr>
                <w:t>kwonjin@etri.re.kr</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lastRenderedPageBreak/>
              <w:t>Kwon, Hyukchoon</w:t>
            </w:r>
          </w:p>
        </w:tc>
        <w:tc>
          <w:tcPr>
            <w:tcW w:w="1031" w:type="pct"/>
            <w:vAlign w:val="center"/>
          </w:tcPr>
          <w:p w:rsidR="00DB6E8E" w:rsidRDefault="00DB6E8E" w:rsidP="00DB6E8E">
            <w:pPr>
              <w:pStyle w:val="T2"/>
              <w:spacing w:after="0"/>
              <w:ind w:left="0" w:right="0"/>
              <w:rPr>
                <w:b w:val="0"/>
                <w:sz w:val="20"/>
              </w:rPr>
            </w:pPr>
            <w:r>
              <w:rPr>
                <w:b w:val="0"/>
                <w:sz w:val="20"/>
              </w:rPr>
              <w:t>Samsung</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49" w:history="1">
              <w:r w:rsidRPr="00DB2D2E">
                <w:rPr>
                  <w:rStyle w:val="Hyperlink"/>
                  <w:sz w:val="20"/>
                </w:rPr>
                <w:t>hyukchoon.kwon@samsung.com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Laine, Tuomas</w:t>
            </w:r>
          </w:p>
        </w:tc>
        <w:tc>
          <w:tcPr>
            <w:tcW w:w="1031" w:type="pct"/>
            <w:vAlign w:val="center"/>
          </w:tcPr>
          <w:p w:rsidR="00DB6E8E" w:rsidRPr="004E5CF2" w:rsidRDefault="00DB6E8E" w:rsidP="00DB6E8E">
            <w:pPr>
              <w:pStyle w:val="T2"/>
              <w:spacing w:after="0"/>
              <w:ind w:left="0" w:right="0"/>
              <w:rPr>
                <w:b w:val="0"/>
                <w:sz w:val="20"/>
              </w:rPr>
            </w:pPr>
            <w:r>
              <w:rPr>
                <w:b w:val="0"/>
                <w:sz w:val="20"/>
              </w:rPr>
              <w:t>Nokia</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50" w:history="1">
              <w:r w:rsidRPr="00DB2D2E">
                <w:rPr>
                  <w:rStyle w:val="Hyperlink"/>
                  <w:sz w:val="20"/>
                </w:rPr>
                <w:t>tuomas.laine@nokia.com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Lakkis, Ismail</w:t>
            </w:r>
          </w:p>
        </w:tc>
        <w:tc>
          <w:tcPr>
            <w:tcW w:w="1031" w:type="pct"/>
            <w:vAlign w:val="center"/>
          </w:tcPr>
          <w:p w:rsidR="00DB6E8E" w:rsidRDefault="00DB6E8E" w:rsidP="00DB6E8E">
            <w:pPr>
              <w:pStyle w:val="T2"/>
              <w:spacing w:after="0"/>
              <w:ind w:left="0" w:right="0"/>
              <w:rPr>
                <w:b w:val="0"/>
                <w:sz w:val="20"/>
              </w:rPr>
            </w:pPr>
            <w:r>
              <w:rPr>
                <w:b w:val="0"/>
                <w:sz w:val="20"/>
              </w:rPr>
              <w:t>Tensorcom</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51" w:history="1">
              <w:r w:rsidRPr="00DB2D2E">
                <w:rPr>
                  <w:rStyle w:val="Hyperlink"/>
                  <w:sz w:val="20"/>
                </w:rPr>
                <w:t>ilakkis@tensorcom.com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Pr>
                <w:b w:val="0"/>
                <w:sz w:val="20"/>
              </w:rPr>
              <w:t xml:space="preserve">Lee, </w:t>
            </w:r>
            <w:r w:rsidRPr="00E0479E">
              <w:rPr>
                <w:b w:val="0"/>
                <w:sz w:val="20"/>
              </w:rPr>
              <w:t>Hoosung</w:t>
            </w:r>
          </w:p>
        </w:tc>
        <w:tc>
          <w:tcPr>
            <w:tcW w:w="1031" w:type="pct"/>
            <w:vAlign w:val="center"/>
          </w:tcPr>
          <w:p w:rsidR="00DB6E8E" w:rsidRDefault="00DB6E8E" w:rsidP="00DB6E8E">
            <w:pPr>
              <w:pStyle w:val="T2"/>
              <w:spacing w:after="0"/>
              <w:ind w:left="0" w:right="0"/>
              <w:rPr>
                <w:b w:val="0"/>
                <w:sz w:val="20"/>
              </w:rPr>
            </w:pPr>
            <w:r>
              <w:rPr>
                <w:b w:val="0"/>
                <w:sz w:val="20"/>
              </w:rPr>
              <w:t>ETRI</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Default="00DB6E8E" w:rsidP="00DB6E8E">
            <w:pPr>
              <w:pStyle w:val="T2"/>
              <w:spacing w:after="0"/>
              <w:ind w:left="0" w:right="0"/>
            </w:pPr>
            <w:hyperlink r:id="rId52" w:history="1">
              <w:r w:rsidRPr="006D3588">
                <w:rPr>
                  <w:rStyle w:val="Hyperlink"/>
                  <w:rFonts w:eastAsia="PMingLiU"/>
                  <w:sz w:val="20"/>
                </w:rPr>
                <w:t>hslee@etri.re.kr</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Pr>
                <w:b w:val="0"/>
                <w:sz w:val="20"/>
              </w:rPr>
              <w:t xml:space="preserve">Lee, </w:t>
            </w:r>
            <w:r w:rsidRPr="00DF7CA4">
              <w:rPr>
                <w:b w:val="0"/>
                <w:sz w:val="20"/>
              </w:rPr>
              <w:t>Keith</w:t>
            </w:r>
          </w:p>
        </w:tc>
        <w:tc>
          <w:tcPr>
            <w:tcW w:w="1031" w:type="pct"/>
            <w:vAlign w:val="center"/>
          </w:tcPr>
          <w:p w:rsidR="00DB6E8E" w:rsidRDefault="00DB6E8E" w:rsidP="00DB6E8E">
            <w:pPr>
              <w:pStyle w:val="T2"/>
              <w:spacing w:after="0"/>
              <w:ind w:left="0" w:right="0"/>
              <w:rPr>
                <w:b w:val="0"/>
                <w:sz w:val="20"/>
              </w:rPr>
            </w:pPr>
            <w:r>
              <w:rPr>
                <w:b w:val="0"/>
                <w:sz w:val="20"/>
              </w:rPr>
              <w:t>AMD</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53" w:history="1">
              <w:r w:rsidRPr="00DB2D2E">
                <w:rPr>
                  <w:rStyle w:val="Hyperlink"/>
                  <w:sz w:val="20"/>
                </w:rPr>
                <w:t>keith.lee@amd.com</w:t>
              </w:r>
            </w:hyperlink>
          </w:p>
        </w:tc>
      </w:tr>
      <w:tr w:rsidR="00DB6E8E" w:rsidRPr="00C46726" w:rsidTr="00DB6E8E">
        <w:trPr>
          <w:jc w:val="center"/>
        </w:trPr>
        <w:tc>
          <w:tcPr>
            <w:tcW w:w="1267" w:type="pct"/>
            <w:vAlign w:val="center"/>
          </w:tcPr>
          <w:p w:rsidR="00DB6E8E" w:rsidRDefault="00DB6E8E" w:rsidP="00DB6E8E">
            <w:pPr>
              <w:pStyle w:val="T2"/>
              <w:spacing w:after="0"/>
              <w:ind w:left="0" w:right="0"/>
              <w:rPr>
                <w:b w:val="0"/>
                <w:sz w:val="20"/>
              </w:rPr>
            </w:pPr>
            <w:r>
              <w:rPr>
                <w:b w:val="0"/>
                <w:sz w:val="20"/>
              </w:rPr>
              <w:t xml:space="preserve">Lee, </w:t>
            </w:r>
            <w:r w:rsidRPr="00E0479E">
              <w:rPr>
                <w:b w:val="0"/>
                <w:sz w:val="20"/>
              </w:rPr>
              <w:t>Wooyong</w:t>
            </w:r>
          </w:p>
        </w:tc>
        <w:tc>
          <w:tcPr>
            <w:tcW w:w="1031" w:type="pct"/>
            <w:vAlign w:val="center"/>
          </w:tcPr>
          <w:p w:rsidR="00DB6E8E" w:rsidRDefault="00DB6E8E" w:rsidP="00DB6E8E">
            <w:pPr>
              <w:pStyle w:val="T2"/>
              <w:spacing w:after="0"/>
              <w:ind w:left="0" w:right="0"/>
              <w:rPr>
                <w:b w:val="0"/>
                <w:sz w:val="20"/>
              </w:rPr>
            </w:pPr>
            <w:r>
              <w:rPr>
                <w:b w:val="0"/>
                <w:sz w:val="20"/>
              </w:rPr>
              <w:t>ETRI</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Default="00DB6E8E" w:rsidP="00DB6E8E">
            <w:pPr>
              <w:pStyle w:val="T2"/>
              <w:spacing w:after="0"/>
              <w:ind w:left="0" w:right="0"/>
            </w:pPr>
            <w:hyperlink r:id="rId54" w:history="1">
              <w:r w:rsidRPr="00DA36D4">
                <w:rPr>
                  <w:rStyle w:val="Hyperlink"/>
                  <w:rFonts w:eastAsia="PMingLiU"/>
                  <w:sz w:val="20"/>
                </w:rPr>
                <w:t>wylee@etri.re.kr</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Liu, Yong</w:t>
            </w:r>
          </w:p>
        </w:tc>
        <w:tc>
          <w:tcPr>
            <w:tcW w:w="1031" w:type="pct"/>
            <w:vAlign w:val="center"/>
          </w:tcPr>
          <w:p w:rsidR="00DB6E8E" w:rsidRPr="004E5CF2" w:rsidRDefault="00DB6E8E" w:rsidP="00DB6E8E">
            <w:pPr>
              <w:pStyle w:val="T2"/>
              <w:spacing w:after="0"/>
              <w:ind w:left="0" w:right="0"/>
              <w:rPr>
                <w:b w:val="0"/>
                <w:sz w:val="20"/>
              </w:rPr>
            </w:pPr>
            <w:r>
              <w:rPr>
                <w:b w:val="0"/>
                <w:sz w:val="20"/>
              </w:rPr>
              <w:t>Marvell</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r w:rsidRPr="009335BF">
              <w:rPr>
                <w:rStyle w:val="Hyperlink"/>
                <w:sz w:val="20"/>
              </w:rPr>
              <w:t>yongliu@marvell.com</w:t>
            </w:r>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Lou, Hui-Ling</w:t>
            </w:r>
          </w:p>
        </w:tc>
        <w:tc>
          <w:tcPr>
            <w:tcW w:w="1031" w:type="pct"/>
            <w:vAlign w:val="center"/>
          </w:tcPr>
          <w:p w:rsidR="00DB6E8E" w:rsidRDefault="00DB6E8E" w:rsidP="00DB6E8E">
            <w:pPr>
              <w:pStyle w:val="T2"/>
              <w:spacing w:after="0"/>
              <w:ind w:left="0" w:right="0"/>
              <w:rPr>
                <w:b w:val="0"/>
                <w:sz w:val="20"/>
              </w:rPr>
            </w:pPr>
            <w:r>
              <w:rPr>
                <w:b w:val="0"/>
                <w:sz w:val="20"/>
              </w:rPr>
              <w:t>Marvell</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55" w:history="1">
              <w:r w:rsidRPr="00DB2D2E">
                <w:rPr>
                  <w:rStyle w:val="Hyperlink"/>
                  <w:sz w:val="20"/>
                </w:rPr>
                <w:t>hlou@marvell.com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Majkowski, Jakub</w:t>
            </w:r>
          </w:p>
        </w:tc>
        <w:tc>
          <w:tcPr>
            <w:tcW w:w="1031" w:type="pct"/>
            <w:vAlign w:val="center"/>
          </w:tcPr>
          <w:p w:rsidR="00DB6E8E" w:rsidRPr="004E5CF2" w:rsidRDefault="00DB6E8E" w:rsidP="00DB6E8E">
            <w:pPr>
              <w:pStyle w:val="T2"/>
              <w:spacing w:after="0"/>
              <w:ind w:left="0" w:right="0"/>
              <w:rPr>
                <w:b w:val="0"/>
                <w:sz w:val="20"/>
              </w:rPr>
            </w:pPr>
            <w:r>
              <w:rPr>
                <w:b w:val="0"/>
                <w:sz w:val="20"/>
              </w:rPr>
              <w:t>Nokia</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56" w:history="1">
              <w:r w:rsidRPr="00DB2D2E">
                <w:rPr>
                  <w:rStyle w:val="Hyperlink"/>
                  <w:sz w:val="20"/>
                </w:rPr>
                <w:t>jakub.majkowski@nokia.com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Marin, Janne</w:t>
            </w:r>
          </w:p>
        </w:tc>
        <w:tc>
          <w:tcPr>
            <w:tcW w:w="1031" w:type="pct"/>
            <w:vAlign w:val="center"/>
          </w:tcPr>
          <w:p w:rsidR="00DB6E8E" w:rsidRPr="004E5CF2" w:rsidRDefault="00DB6E8E" w:rsidP="00DB6E8E">
            <w:pPr>
              <w:pStyle w:val="T2"/>
              <w:spacing w:after="0"/>
              <w:ind w:left="0" w:right="0"/>
              <w:rPr>
                <w:b w:val="0"/>
                <w:sz w:val="20"/>
              </w:rPr>
            </w:pPr>
            <w:r>
              <w:rPr>
                <w:b w:val="0"/>
                <w:sz w:val="20"/>
              </w:rPr>
              <w:t>Nokia</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57" w:history="1">
              <w:r w:rsidRPr="00DB2D2E">
                <w:rPr>
                  <w:rStyle w:val="Hyperlink"/>
                  <w:sz w:val="20"/>
                </w:rPr>
                <w:t>janne.marin@nokia.com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Maruhashi, Kenichi</w:t>
            </w:r>
          </w:p>
        </w:tc>
        <w:tc>
          <w:tcPr>
            <w:tcW w:w="1031" w:type="pct"/>
            <w:vAlign w:val="center"/>
          </w:tcPr>
          <w:p w:rsidR="00DB6E8E" w:rsidRDefault="00DB6E8E" w:rsidP="00DB6E8E">
            <w:pPr>
              <w:pStyle w:val="T2"/>
              <w:spacing w:after="0"/>
              <w:ind w:left="0" w:right="0"/>
              <w:rPr>
                <w:b w:val="0"/>
                <w:sz w:val="20"/>
              </w:rPr>
            </w:pPr>
            <w:r>
              <w:rPr>
                <w:b w:val="0"/>
                <w:sz w:val="20"/>
              </w:rPr>
              <w:t>NEC</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58" w:history="1">
              <w:r w:rsidRPr="00DB2D2E">
                <w:rPr>
                  <w:rStyle w:val="Hyperlink"/>
                  <w:sz w:val="20"/>
                </w:rPr>
                <w:t>k-maruhashi@bl.jp.nec.com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Matsumoto, Taisuke</w:t>
            </w:r>
          </w:p>
        </w:tc>
        <w:tc>
          <w:tcPr>
            <w:tcW w:w="1031" w:type="pct"/>
            <w:vAlign w:val="center"/>
          </w:tcPr>
          <w:p w:rsidR="00DB6E8E" w:rsidRPr="004E5CF2" w:rsidRDefault="00DB6E8E" w:rsidP="00DB6E8E">
            <w:pPr>
              <w:pStyle w:val="T2"/>
              <w:spacing w:after="0"/>
              <w:ind w:left="0" w:right="0"/>
              <w:rPr>
                <w:b w:val="0"/>
                <w:sz w:val="20"/>
              </w:rPr>
            </w:pPr>
            <w:r>
              <w:rPr>
                <w:b w:val="0"/>
                <w:sz w:val="20"/>
              </w:rPr>
              <w:t>Panasonic</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r w:rsidRPr="002C252F">
              <w:rPr>
                <w:rStyle w:val="Hyperlink"/>
                <w:sz w:val="20"/>
              </w:rPr>
              <w:t>matsumoto.taisuke@jp.panasonic.com</w:t>
            </w:r>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Meerson, Yury</w:t>
            </w:r>
          </w:p>
        </w:tc>
        <w:tc>
          <w:tcPr>
            <w:tcW w:w="1031" w:type="pct"/>
            <w:vAlign w:val="center"/>
          </w:tcPr>
          <w:p w:rsidR="00DB6E8E" w:rsidRPr="004E5CF2" w:rsidRDefault="00DB6E8E" w:rsidP="00DB6E8E">
            <w:pPr>
              <w:pStyle w:val="T2"/>
              <w:spacing w:after="0"/>
              <w:ind w:left="0" w:right="0"/>
              <w:rPr>
                <w:b w:val="0"/>
                <w:sz w:val="20"/>
              </w:rPr>
            </w:pPr>
            <w:r>
              <w:rPr>
                <w:b w:val="0"/>
                <w:sz w:val="20"/>
              </w:rPr>
              <w:t>Wilocity</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r>
              <w:rPr>
                <w:rStyle w:val="Hyperlink"/>
                <w:sz w:val="20"/>
              </w:rPr>
              <w:t>Yury.meerson@wilocity.com</w:t>
            </w:r>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Mese, Murat</w:t>
            </w:r>
          </w:p>
        </w:tc>
        <w:tc>
          <w:tcPr>
            <w:tcW w:w="1031" w:type="pct"/>
            <w:vAlign w:val="center"/>
          </w:tcPr>
          <w:p w:rsidR="00DB6E8E" w:rsidRPr="004E5CF2" w:rsidRDefault="00DB6E8E" w:rsidP="00DB6E8E">
            <w:pPr>
              <w:pStyle w:val="T2"/>
              <w:spacing w:after="0"/>
              <w:ind w:left="0" w:right="0"/>
              <w:rPr>
                <w:b w:val="0"/>
                <w:sz w:val="20"/>
              </w:rPr>
            </w:pPr>
            <w:r>
              <w:rPr>
                <w:b w:val="0"/>
                <w:sz w:val="20"/>
              </w:rPr>
              <w:t>Broadcom</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59" w:history="1">
              <w:r w:rsidRPr="00D23E96">
                <w:rPr>
                  <w:rStyle w:val="Hyperlink"/>
                  <w:sz w:val="20"/>
                </w:rPr>
                <w:t>mesem@broadcom.com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Montag, Bruce</w:t>
            </w:r>
          </w:p>
        </w:tc>
        <w:tc>
          <w:tcPr>
            <w:tcW w:w="1031" w:type="pct"/>
            <w:vAlign w:val="center"/>
          </w:tcPr>
          <w:p w:rsidR="00DB6E8E" w:rsidRDefault="00DB6E8E" w:rsidP="00DB6E8E">
            <w:pPr>
              <w:pStyle w:val="T2"/>
              <w:spacing w:after="0"/>
              <w:ind w:left="0" w:right="0"/>
              <w:rPr>
                <w:b w:val="0"/>
                <w:sz w:val="20"/>
              </w:rPr>
            </w:pPr>
            <w:r>
              <w:rPr>
                <w:b w:val="0"/>
                <w:sz w:val="20"/>
              </w:rPr>
              <w:t>Dell</w:t>
            </w:r>
          </w:p>
        </w:tc>
        <w:tc>
          <w:tcPr>
            <w:tcW w:w="478" w:type="pct"/>
            <w:vAlign w:val="center"/>
          </w:tcPr>
          <w:p w:rsidR="00DB6E8E" w:rsidRPr="007505A1" w:rsidRDefault="00DB6E8E" w:rsidP="00DB6E8E">
            <w:pPr>
              <w:pStyle w:val="T2"/>
              <w:spacing w:after="0"/>
              <w:ind w:left="0" w:right="0"/>
              <w:rPr>
                <w:b w:val="0"/>
                <w:sz w:val="20"/>
              </w:rPr>
            </w:pPr>
          </w:p>
        </w:tc>
        <w:tc>
          <w:tcPr>
            <w:tcW w:w="392" w:type="pct"/>
            <w:vAlign w:val="center"/>
          </w:tcPr>
          <w:p w:rsidR="00DB6E8E" w:rsidRPr="007505A1"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60" w:history="1">
              <w:r w:rsidRPr="00DB2D2E">
                <w:rPr>
                  <w:rStyle w:val="Hyperlink"/>
                  <w:sz w:val="20"/>
                </w:rPr>
                <w:t>bruce_montag@dell.com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Pr>
                <w:b w:val="0"/>
                <w:sz w:val="20"/>
              </w:rPr>
              <w:t>Myles, Andrew</w:t>
            </w:r>
          </w:p>
        </w:tc>
        <w:tc>
          <w:tcPr>
            <w:tcW w:w="1031" w:type="pct"/>
            <w:vAlign w:val="center"/>
          </w:tcPr>
          <w:p w:rsidR="00DB6E8E" w:rsidRDefault="00DB6E8E" w:rsidP="00DB6E8E">
            <w:pPr>
              <w:pStyle w:val="T2"/>
              <w:spacing w:after="0"/>
              <w:ind w:left="0" w:right="0"/>
              <w:rPr>
                <w:b w:val="0"/>
                <w:sz w:val="20"/>
              </w:rPr>
            </w:pPr>
            <w:r>
              <w:rPr>
                <w:b w:val="0"/>
                <w:sz w:val="20"/>
              </w:rPr>
              <w:t>Cisco</w:t>
            </w:r>
          </w:p>
        </w:tc>
        <w:tc>
          <w:tcPr>
            <w:tcW w:w="478" w:type="pct"/>
            <w:vAlign w:val="center"/>
          </w:tcPr>
          <w:p w:rsidR="00DB6E8E" w:rsidRPr="007505A1" w:rsidRDefault="00DB6E8E" w:rsidP="00DB6E8E">
            <w:pPr>
              <w:pStyle w:val="T2"/>
              <w:spacing w:after="0"/>
              <w:ind w:left="0" w:right="0"/>
              <w:rPr>
                <w:b w:val="0"/>
                <w:sz w:val="20"/>
              </w:rPr>
            </w:pPr>
          </w:p>
        </w:tc>
        <w:tc>
          <w:tcPr>
            <w:tcW w:w="392" w:type="pct"/>
            <w:vAlign w:val="center"/>
          </w:tcPr>
          <w:p w:rsidR="00DB6E8E" w:rsidRPr="007505A1" w:rsidRDefault="00DB6E8E" w:rsidP="00DB6E8E">
            <w:pPr>
              <w:pStyle w:val="T2"/>
              <w:spacing w:after="0"/>
              <w:ind w:left="0" w:right="0"/>
              <w:rPr>
                <w:b w:val="0"/>
                <w:sz w:val="20"/>
                <w:lang w:val="it-IT"/>
              </w:rPr>
            </w:pPr>
          </w:p>
        </w:tc>
        <w:tc>
          <w:tcPr>
            <w:tcW w:w="1832" w:type="pct"/>
            <w:vAlign w:val="center"/>
          </w:tcPr>
          <w:p w:rsidR="00DB6E8E" w:rsidRPr="00CA69E3" w:rsidRDefault="00DB6E8E" w:rsidP="00DB6E8E">
            <w:pPr>
              <w:pStyle w:val="T2"/>
              <w:spacing w:after="0"/>
              <w:ind w:left="0" w:right="0"/>
              <w:rPr>
                <w:rStyle w:val="Hyperlink"/>
                <w:sz w:val="20"/>
              </w:rPr>
            </w:pPr>
            <w:hyperlink r:id="rId61" w:history="1">
              <w:r w:rsidRPr="00CA69E3">
                <w:rPr>
                  <w:rStyle w:val="Hyperlink"/>
                  <w:rFonts w:eastAsia="MS Mincho"/>
                  <w:sz w:val="20"/>
                  <w:szCs w:val="20"/>
                </w:rPr>
                <w:t>amyles@cisco.com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Nandagopalan, Saishankar</w:t>
            </w:r>
          </w:p>
        </w:tc>
        <w:tc>
          <w:tcPr>
            <w:tcW w:w="1031" w:type="pct"/>
            <w:vAlign w:val="center"/>
          </w:tcPr>
          <w:p w:rsidR="00DB6E8E" w:rsidRPr="004E5CF2" w:rsidRDefault="00DB6E8E" w:rsidP="00DB6E8E">
            <w:pPr>
              <w:pStyle w:val="T2"/>
              <w:spacing w:after="0"/>
              <w:ind w:left="0" w:right="0"/>
              <w:rPr>
                <w:b w:val="0"/>
                <w:sz w:val="20"/>
              </w:rPr>
            </w:pPr>
            <w:r>
              <w:rPr>
                <w:b w:val="0"/>
                <w:sz w:val="20"/>
              </w:rPr>
              <w:t>Broadcom</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62" w:history="1">
              <w:r w:rsidRPr="00D23E96">
                <w:rPr>
                  <w:rStyle w:val="Hyperlink"/>
                  <w:sz w:val="20"/>
                </w:rPr>
                <w:t>nsai@broadcom.com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Ngo, Chiu</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63" w:history="1">
              <w:r w:rsidRPr="00D23E96">
                <w:rPr>
                  <w:rStyle w:val="Hyperlink"/>
                  <w:sz w:val="20"/>
                </w:rPr>
                <w:t>Chiu.ngo@samsung.com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Nikula, Eero</w:t>
            </w:r>
          </w:p>
        </w:tc>
        <w:tc>
          <w:tcPr>
            <w:tcW w:w="1031" w:type="pct"/>
            <w:vAlign w:val="center"/>
          </w:tcPr>
          <w:p w:rsidR="00DB6E8E" w:rsidRPr="004E5CF2" w:rsidRDefault="00DB6E8E" w:rsidP="00DB6E8E">
            <w:pPr>
              <w:pStyle w:val="T2"/>
              <w:spacing w:after="0"/>
              <w:ind w:left="0" w:right="0"/>
              <w:rPr>
                <w:b w:val="0"/>
                <w:sz w:val="20"/>
              </w:rPr>
            </w:pPr>
            <w:r>
              <w:rPr>
                <w:b w:val="0"/>
                <w:sz w:val="20"/>
              </w:rPr>
              <w:t>Nokia</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64" w:history="1">
              <w:r w:rsidRPr="00DB2D2E">
                <w:rPr>
                  <w:rStyle w:val="Hyperlink"/>
                  <w:sz w:val="20"/>
                </w:rPr>
                <w:t>eero.nikula@nokia.com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Park, DS</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65" w:history="1">
              <w:r w:rsidRPr="00D23E96">
                <w:rPr>
                  <w:rStyle w:val="Hyperlink"/>
                  <w:sz w:val="20"/>
                </w:rPr>
                <w:t>dspark@samsung.com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Park, Minyoung</w:t>
            </w:r>
          </w:p>
        </w:tc>
        <w:tc>
          <w:tcPr>
            <w:tcW w:w="1031" w:type="pct"/>
            <w:vAlign w:val="center"/>
          </w:tcPr>
          <w:p w:rsidR="00DB6E8E" w:rsidRPr="004E5CF2" w:rsidRDefault="00DB6E8E" w:rsidP="00DB6E8E">
            <w:pPr>
              <w:pStyle w:val="T2"/>
              <w:spacing w:after="0"/>
              <w:ind w:left="0" w:right="0"/>
              <w:rPr>
                <w:b w:val="0"/>
                <w:sz w:val="20"/>
              </w:rPr>
            </w:pPr>
            <w:r>
              <w:rPr>
                <w:b w:val="0"/>
                <w:sz w:val="20"/>
              </w:rPr>
              <w:t>Intel</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66" w:history="1">
              <w:r w:rsidRPr="00D23E96">
                <w:rPr>
                  <w:rStyle w:val="Hyperlink"/>
                  <w:sz w:val="20"/>
                </w:rPr>
                <w:t>Minyoung.park@intel.com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Pi, Zhouyue</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67" w:history="1">
              <w:r w:rsidRPr="00D23E96">
                <w:rPr>
                  <w:rStyle w:val="Hyperlink"/>
                  <w:sz w:val="20"/>
                </w:rPr>
                <w:t>zpi@sta.samsung.com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B6B5D">
              <w:rPr>
                <w:b w:val="0"/>
                <w:sz w:val="20"/>
              </w:rPr>
              <w:t>Ponnampalam, Vish</w:t>
            </w:r>
          </w:p>
        </w:tc>
        <w:tc>
          <w:tcPr>
            <w:tcW w:w="1031" w:type="pct"/>
            <w:vAlign w:val="center"/>
          </w:tcPr>
          <w:p w:rsidR="00DB6E8E" w:rsidRDefault="00DB6E8E" w:rsidP="00DB6E8E">
            <w:pPr>
              <w:pStyle w:val="T2"/>
              <w:spacing w:after="0"/>
              <w:ind w:left="0" w:right="0"/>
              <w:rPr>
                <w:b w:val="0"/>
                <w:sz w:val="20"/>
              </w:rPr>
            </w:pPr>
            <w:r>
              <w:rPr>
                <w:b w:val="0"/>
                <w:sz w:val="20"/>
              </w:rPr>
              <w:t>MediaTek</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Default="00DB6E8E" w:rsidP="00DB6E8E">
            <w:pPr>
              <w:pStyle w:val="T2"/>
              <w:spacing w:after="0"/>
              <w:ind w:left="0" w:right="0"/>
              <w:rPr>
                <w:rStyle w:val="Hyperlink"/>
                <w:sz w:val="20"/>
              </w:rPr>
            </w:pPr>
            <w:hyperlink r:id="rId68" w:history="1">
              <w:r w:rsidRPr="004B6B5D">
                <w:rPr>
                  <w:rStyle w:val="Hyperlink"/>
                  <w:sz w:val="20"/>
                </w:rPr>
                <w:t>vish.ponnampalam@mediatek.com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Pr>
                <w:b w:val="0"/>
                <w:sz w:val="20"/>
              </w:rPr>
              <w:t xml:space="preserve">Prasad, </w:t>
            </w:r>
            <w:r w:rsidRPr="00DB67EB">
              <w:rPr>
                <w:b w:val="0"/>
                <w:sz w:val="20"/>
              </w:rPr>
              <w:t>Narayan</w:t>
            </w:r>
          </w:p>
        </w:tc>
        <w:tc>
          <w:tcPr>
            <w:tcW w:w="1031" w:type="pct"/>
            <w:vAlign w:val="center"/>
          </w:tcPr>
          <w:p w:rsidR="00DB6E8E" w:rsidRDefault="00DB6E8E" w:rsidP="00DB6E8E">
            <w:pPr>
              <w:pStyle w:val="T2"/>
              <w:spacing w:after="0"/>
              <w:ind w:left="0" w:right="0"/>
              <w:rPr>
                <w:b w:val="0"/>
                <w:sz w:val="20"/>
              </w:rPr>
            </w:pPr>
            <w:r>
              <w:rPr>
                <w:b w:val="0"/>
                <w:sz w:val="20"/>
              </w:rPr>
              <w:t>NEC</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Default="00DB6E8E" w:rsidP="00DB6E8E">
            <w:pPr>
              <w:pStyle w:val="T2"/>
              <w:spacing w:after="0"/>
              <w:ind w:left="0" w:right="0"/>
              <w:rPr>
                <w:rStyle w:val="Hyperlink"/>
                <w:sz w:val="20"/>
              </w:rPr>
            </w:pPr>
            <w:hyperlink r:id="rId69" w:history="1">
              <w:r w:rsidRPr="00DB67EB">
                <w:rPr>
                  <w:rStyle w:val="Hyperlink"/>
                  <w:sz w:val="20"/>
                </w:rPr>
                <w:t>prasad@nec-labs.com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Prat, Gideon</w:t>
            </w:r>
          </w:p>
        </w:tc>
        <w:tc>
          <w:tcPr>
            <w:tcW w:w="1031" w:type="pct"/>
            <w:vAlign w:val="center"/>
          </w:tcPr>
          <w:p w:rsidR="00DB6E8E" w:rsidRPr="004E5CF2" w:rsidRDefault="00DB6E8E" w:rsidP="00DB6E8E">
            <w:pPr>
              <w:pStyle w:val="T2"/>
              <w:spacing w:after="0"/>
              <w:ind w:left="0" w:right="0"/>
              <w:rPr>
                <w:b w:val="0"/>
                <w:sz w:val="20"/>
              </w:rPr>
            </w:pPr>
            <w:r>
              <w:rPr>
                <w:b w:val="0"/>
                <w:sz w:val="20"/>
              </w:rPr>
              <w:t>Intel</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70" w:history="1">
              <w:r w:rsidRPr="00D23E96">
                <w:rPr>
                  <w:rStyle w:val="Hyperlink"/>
                  <w:sz w:val="20"/>
                </w:rPr>
                <w:t>Gideon.prat@intel.com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Ramachandran, Kishore</w:t>
            </w:r>
          </w:p>
        </w:tc>
        <w:tc>
          <w:tcPr>
            <w:tcW w:w="1031" w:type="pct"/>
            <w:vAlign w:val="center"/>
          </w:tcPr>
          <w:p w:rsidR="00DB6E8E" w:rsidRPr="004E5CF2" w:rsidRDefault="00DB6E8E" w:rsidP="00DB6E8E">
            <w:pPr>
              <w:pStyle w:val="T2"/>
              <w:spacing w:after="0"/>
              <w:ind w:left="0" w:right="0"/>
              <w:rPr>
                <w:b w:val="0"/>
                <w:sz w:val="20"/>
              </w:rPr>
            </w:pPr>
            <w:r>
              <w:rPr>
                <w:b w:val="0"/>
                <w:sz w:val="20"/>
              </w:rPr>
              <w:t>NEC</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71" w:history="1">
              <w:r w:rsidRPr="00D23E96">
                <w:rPr>
                  <w:rStyle w:val="Hyperlink"/>
                  <w:sz w:val="20"/>
                </w:rPr>
                <w:t>kishore@nec-labs.com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Raymond, Yu Zhan</w:t>
            </w:r>
          </w:p>
        </w:tc>
        <w:tc>
          <w:tcPr>
            <w:tcW w:w="1031" w:type="pct"/>
            <w:vAlign w:val="center"/>
          </w:tcPr>
          <w:p w:rsidR="00DB6E8E" w:rsidRPr="004E5CF2" w:rsidRDefault="00DB6E8E" w:rsidP="00DB6E8E">
            <w:pPr>
              <w:pStyle w:val="T2"/>
              <w:spacing w:after="0"/>
              <w:ind w:left="0" w:right="0"/>
              <w:rPr>
                <w:b w:val="0"/>
                <w:sz w:val="20"/>
              </w:rPr>
            </w:pPr>
            <w:r>
              <w:rPr>
                <w:b w:val="0"/>
                <w:sz w:val="20"/>
              </w:rPr>
              <w:t>Panasonic</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72" w:history="1">
              <w:r w:rsidRPr="00D23E96">
                <w:rPr>
                  <w:rStyle w:val="Hyperlink"/>
                  <w:sz w:val="20"/>
                </w:rPr>
                <w:t>Raymond.Yuz@sg.panasonic.com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Ronkin, Roee</w:t>
            </w:r>
          </w:p>
        </w:tc>
        <w:tc>
          <w:tcPr>
            <w:tcW w:w="1031" w:type="pct"/>
            <w:vAlign w:val="center"/>
          </w:tcPr>
          <w:p w:rsidR="00DB6E8E" w:rsidRPr="004E5CF2" w:rsidRDefault="00DB6E8E" w:rsidP="00DB6E8E">
            <w:pPr>
              <w:pStyle w:val="T2"/>
              <w:spacing w:after="0"/>
              <w:ind w:left="0" w:right="0"/>
              <w:rPr>
                <w:b w:val="0"/>
                <w:sz w:val="20"/>
              </w:rPr>
            </w:pPr>
            <w:r>
              <w:rPr>
                <w:b w:val="0"/>
                <w:sz w:val="20"/>
              </w:rPr>
              <w:t>Wilocity</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73" w:history="1">
              <w:r w:rsidRPr="00A02A38">
                <w:rPr>
                  <w:rStyle w:val="Hyperlink"/>
                  <w:sz w:val="20"/>
                </w:rPr>
                <w:t>Roee.ronkin@wilocity.com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Rozen, Ohad</w:t>
            </w:r>
          </w:p>
        </w:tc>
        <w:tc>
          <w:tcPr>
            <w:tcW w:w="1031" w:type="pct"/>
            <w:vAlign w:val="center"/>
          </w:tcPr>
          <w:p w:rsidR="00DB6E8E" w:rsidRPr="004E5CF2" w:rsidRDefault="00DB6E8E" w:rsidP="00DB6E8E">
            <w:pPr>
              <w:pStyle w:val="T2"/>
              <w:spacing w:after="0"/>
              <w:ind w:left="0" w:right="0"/>
              <w:rPr>
                <w:b w:val="0"/>
                <w:sz w:val="20"/>
              </w:rPr>
            </w:pPr>
            <w:r>
              <w:rPr>
                <w:b w:val="0"/>
                <w:sz w:val="20"/>
              </w:rPr>
              <w:t>Wilocity</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74" w:history="1">
              <w:r w:rsidRPr="00A02A38">
                <w:rPr>
                  <w:rStyle w:val="Hyperlink"/>
                  <w:sz w:val="20"/>
                </w:rPr>
                <w:t>Ohad.rozen@wilocity.com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Sachdev</w:t>
            </w:r>
            <w:r>
              <w:rPr>
                <w:b w:val="0"/>
                <w:sz w:val="20"/>
              </w:rPr>
              <w:t xml:space="preserve">, </w:t>
            </w:r>
            <w:r w:rsidRPr="00DF7CA4">
              <w:rPr>
                <w:b w:val="0"/>
                <w:sz w:val="20"/>
              </w:rPr>
              <w:t>Devang</w:t>
            </w:r>
          </w:p>
        </w:tc>
        <w:tc>
          <w:tcPr>
            <w:tcW w:w="1031" w:type="pct"/>
            <w:vAlign w:val="center"/>
          </w:tcPr>
          <w:p w:rsidR="00DB6E8E" w:rsidRDefault="00DB6E8E" w:rsidP="00DB6E8E">
            <w:pPr>
              <w:pStyle w:val="T2"/>
              <w:spacing w:after="0"/>
              <w:ind w:left="0" w:right="0"/>
              <w:rPr>
                <w:b w:val="0"/>
                <w:sz w:val="20"/>
              </w:rPr>
            </w:pPr>
            <w:r>
              <w:rPr>
                <w:b w:val="0"/>
                <w:sz w:val="20"/>
              </w:rPr>
              <w:t>NVIDIA</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75" w:history="1">
              <w:r w:rsidRPr="00DB2D2E">
                <w:rPr>
                  <w:rStyle w:val="Hyperlink"/>
                  <w:sz w:val="20"/>
                </w:rPr>
                <w:t>dsachdev@nvidia.com</w:t>
              </w:r>
            </w:hyperlink>
          </w:p>
        </w:tc>
      </w:tr>
      <w:tr w:rsidR="00DB6E8E" w:rsidRPr="00C46726" w:rsidTr="00DB6E8E">
        <w:trPr>
          <w:jc w:val="center"/>
        </w:trPr>
        <w:tc>
          <w:tcPr>
            <w:tcW w:w="1267" w:type="pct"/>
            <w:vAlign w:val="center"/>
          </w:tcPr>
          <w:p w:rsidR="00DB6E8E" w:rsidRPr="004E5CF2" w:rsidRDefault="00DB6E8E" w:rsidP="00DB6E8E">
            <w:pPr>
              <w:pStyle w:val="T2"/>
              <w:spacing w:after="0"/>
              <w:ind w:left="0" w:right="0"/>
              <w:rPr>
                <w:b w:val="0"/>
                <w:sz w:val="20"/>
              </w:rPr>
            </w:pPr>
            <w:r w:rsidRPr="00DF7CA4">
              <w:rPr>
                <w:b w:val="0"/>
                <w:sz w:val="20"/>
              </w:rPr>
              <w:t>Sadri</w:t>
            </w:r>
            <w:r>
              <w:rPr>
                <w:b w:val="0"/>
                <w:sz w:val="20"/>
              </w:rPr>
              <w:t>, Ali</w:t>
            </w:r>
          </w:p>
        </w:tc>
        <w:tc>
          <w:tcPr>
            <w:tcW w:w="1031" w:type="pct"/>
            <w:vAlign w:val="center"/>
          </w:tcPr>
          <w:p w:rsidR="00DB6E8E" w:rsidRPr="00C10E1A" w:rsidRDefault="00DB6E8E" w:rsidP="00DB6E8E">
            <w:pPr>
              <w:pStyle w:val="T2"/>
              <w:spacing w:after="0"/>
              <w:ind w:left="0" w:right="0"/>
              <w:rPr>
                <w:b w:val="0"/>
                <w:sz w:val="20"/>
              </w:rPr>
            </w:pPr>
            <w:r>
              <w:rPr>
                <w:b w:val="0"/>
                <w:sz w:val="20"/>
              </w:rPr>
              <w:t>Intel</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76" w:history="1">
              <w:r w:rsidRPr="00DB2D2E">
                <w:rPr>
                  <w:rStyle w:val="Hyperlink"/>
                  <w:sz w:val="20"/>
                </w:rPr>
                <w:t>Ali.S.Sadri@intel.com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Pr>
                <w:b w:val="0"/>
                <w:sz w:val="20"/>
              </w:rPr>
              <w:t>Sampath, Hemanth</w:t>
            </w:r>
          </w:p>
        </w:tc>
        <w:tc>
          <w:tcPr>
            <w:tcW w:w="1031" w:type="pct"/>
            <w:vAlign w:val="center"/>
          </w:tcPr>
          <w:p w:rsidR="00DB6E8E" w:rsidRDefault="00DB6E8E" w:rsidP="00DB6E8E">
            <w:pPr>
              <w:pStyle w:val="T2"/>
              <w:spacing w:after="0"/>
              <w:ind w:left="0" w:right="0"/>
              <w:rPr>
                <w:b w:val="0"/>
                <w:sz w:val="20"/>
              </w:rPr>
            </w:pPr>
            <w:r>
              <w:rPr>
                <w:b w:val="0"/>
                <w:sz w:val="20"/>
              </w:rPr>
              <w:t>Qualcomm</w:t>
            </w:r>
          </w:p>
        </w:tc>
        <w:tc>
          <w:tcPr>
            <w:tcW w:w="478" w:type="pct"/>
            <w:vAlign w:val="center"/>
          </w:tcPr>
          <w:p w:rsidR="00DB6E8E" w:rsidRPr="00C10E1A" w:rsidRDefault="00DB6E8E" w:rsidP="00DB6E8E">
            <w:pPr>
              <w:pStyle w:val="covertext"/>
              <w:spacing w:before="0" w:after="0"/>
              <w:rPr>
                <w:rFonts w:eastAsia="MS Mincho"/>
                <w:b/>
                <w:sz w:val="20"/>
              </w:rPr>
            </w:pPr>
          </w:p>
        </w:tc>
        <w:tc>
          <w:tcPr>
            <w:tcW w:w="392" w:type="pct"/>
            <w:vAlign w:val="center"/>
          </w:tcPr>
          <w:p w:rsidR="00DB6E8E" w:rsidRPr="00C10E1A" w:rsidRDefault="00DB6E8E" w:rsidP="00DB6E8E">
            <w:pPr>
              <w:pStyle w:val="T2"/>
              <w:spacing w:after="0"/>
              <w:ind w:left="0" w:right="0"/>
              <w:rPr>
                <w:b w:val="0"/>
                <w:sz w:val="20"/>
              </w:rPr>
            </w:pPr>
          </w:p>
        </w:tc>
        <w:tc>
          <w:tcPr>
            <w:tcW w:w="1832" w:type="pct"/>
            <w:vAlign w:val="center"/>
          </w:tcPr>
          <w:p w:rsidR="00DB6E8E" w:rsidRPr="000D4511" w:rsidRDefault="00DB6E8E" w:rsidP="00DB6E8E">
            <w:pPr>
              <w:pStyle w:val="T2"/>
              <w:spacing w:after="0"/>
              <w:ind w:left="0" w:right="0"/>
              <w:rPr>
                <w:rStyle w:val="Hyperlink"/>
                <w:sz w:val="20"/>
              </w:rPr>
            </w:pPr>
            <w:hyperlink r:id="rId77" w:history="1">
              <w:r w:rsidRPr="000D4511">
                <w:rPr>
                  <w:rStyle w:val="Hyperlink"/>
                  <w:sz w:val="20"/>
                </w:rPr>
                <w:t>hsampath@qualcomm.com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Sanderovich, Amichai</w:t>
            </w:r>
          </w:p>
        </w:tc>
        <w:tc>
          <w:tcPr>
            <w:tcW w:w="1031" w:type="pct"/>
            <w:vAlign w:val="center"/>
          </w:tcPr>
          <w:p w:rsidR="00DB6E8E" w:rsidRPr="004E5CF2" w:rsidRDefault="00DB6E8E" w:rsidP="00DB6E8E">
            <w:pPr>
              <w:pStyle w:val="T2"/>
              <w:spacing w:after="0"/>
              <w:ind w:left="0" w:right="0"/>
              <w:rPr>
                <w:b w:val="0"/>
                <w:sz w:val="20"/>
              </w:rPr>
            </w:pPr>
            <w:r>
              <w:rPr>
                <w:b w:val="0"/>
                <w:sz w:val="20"/>
              </w:rPr>
              <w:t>Wilocity</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78" w:history="1">
              <w:r w:rsidRPr="00A02A38">
                <w:rPr>
                  <w:rStyle w:val="Hyperlink"/>
                  <w:sz w:val="20"/>
                </w:rPr>
                <w:t>Amichai.sanderovich@wilocity.com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BC43C2">
              <w:rPr>
                <w:b w:val="0"/>
                <w:sz w:val="20"/>
              </w:rPr>
              <w:t>Sankaran, Sundar</w:t>
            </w:r>
          </w:p>
        </w:tc>
        <w:tc>
          <w:tcPr>
            <w:tcW w:w="1031" w:type="pct"/>
            <w:vAlign w:val="center"/>
          </w:tcPr>
          <w:p w:rsidR="00DB6E8E" w:rsidRDefault="00DB6E8E" w:rsidP="00DB6E8E">
            <w:pPr>
              <w:pStyle w:val="T2"/>
              <w:spacing w:after="0"/>
              <w:ind w:left="0" w:right="0"/>
              <w:rPr>
                <w:b w:val="0"/>
                <w:sz w:val="20"/>
              </w:rPr>
            </w:pPr>
            <w:r w:rsidRPr="00BC43C2">
              <w:rPr>
                <w:b w:val="0"/>
                <w:sz w:val="20"/>
              </w:rPr>
              <w:t>Atheros</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Default="00DB6E8E" w:rsidP="00DB6E8E">
            <w:pPr>
              <w:pStyle w:val="T2"/>
              <w:spacing w:after="0"/>
              <w:ind w:left="0" w:right="0"/>
              <w:rPr>
                <w:rStyle w:val="Hyperlink"/>
                <w:sz w:val="20"/>
              </w:rPr>
            </w:pPr>
            <w:hyperlink r:id="rId79" w:history="1">
              <w:r w:rsidRPr="00BC43C2">
                <w:rPr>
                  <w:rStyle w:val="Hyperlink"/>
                  <w:bCs w:val="0"/>
                  <w:sz w:val="20"/>
                </w:rPr>
                <w:t>Sundar.Sankaran@Atheros.com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Scarpa, Vincenzo</w:t>
            </w:r>
          </w:p>
        </w:tc>
        <w:tc>
          <w:tcPr>
            <w:tcW w:w="1031" w:type="pct"/>
            <w:vAlign w:val="center"/>
          </w:tcPr>
          <w:p w:rsidR="00DB6E8E" w:rsidRPr="004E5CF2" w:rsidRDefault="00DB6E8E" w:rsidP="00DB6E8E">
            <w:pPr>
              <w:pStyle w:val="T2"/>
              <w:spacing w:after="0"/>
              <w:ind w:left="0" w:right="0"/>
              <w:rPr>
                <w:b w:val="0"/>
                <w:sz w:val="20"/>
              </w:rPr>
            </w:pPr>
            <w:r>
              <w:rPr>
                <w:b w:val="0"/>
                <w:sz w:val="20"/>
              </w:rPr>
              <w:t>STMicroelectronics</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80" w:history="1">
              <w:r w:rsidRPr="00D23E96">
                <w:rPr>
                  <w:rStyle w:val="Hyperlink"/>
                  <w:sz w:val="20"/>
                </w:rPr>
                <w:t>vincenzo.scarpa@st.com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Pr>
                <w:b w:val="0"/>
                <w:sz w:val="20"/>
              </w:rPr>
              <w:t>Seok, Yongho</w:t>
            </w:r>
          </w:p>
        </w:tc>
        <w:tc>
          <w:tcPr>
            <w:tcW w:w="1031" w:type="pct"/>
            <w:vAlign w:val="center"/>
          </w:tcPr>
          <w:p w:rsidR="00DB6E8E" w:rsidRDefault="00DB6E8E" w:rsidP="00DB6E8E">
            <w:pPr>
              <w:pStyle w:val="T2"/>
              <w:spacing w:after="0"/>
              <w:ind w:left="0" w:right="0"/>
              <w:rPr>
                <w:b w:val="0"/>
                <w:sz w:val="20"/>
              </w:rPr>
            </w:pPr>
            <w:r>
              <w:rPr>
                <w:b w:val="0"/>
                <w:sz w:val="20"/>
              </w:rPr>
              <w:t>LGE</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Default="00DB6E8E" w:rsidP="00DB6E8E">
            <w:pPr>
              <w:pStyle w:val="T2"/>
              <w:spacing w:after="0"/>
              <w:ind w:left="0" w:right="0"/>
            </w:pPr>
            <w:r w:rsidRPr="009571DB">
              <w:rPr>
                <w:rStyle w:val="Hyperlink"/>
                <w:sz w:val="20"/>
              </w:rPr>
              <w:t>yongho.seok@lge.com</w:t>
            </w:r>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Shao, Huai-Rong</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81" w:history="1">
              <w:r w:rsidRPr="00D23E96">
                <w:rPr>
                  <w:rStyle w:val="Hyperlink"/>
                  <w:sz w:val="20"/>
                </w:rPr>
                <w:t>hr.shao@samsung.com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Shen, Ba-Zhong</w:t>
            </w:r>
          </w:p>
        </w:tc>
        <w:tc>
          <w:tcPr>
            <w:tcW w:w="1031" w:type="pct"/>
            <w:vAlign w:val="center"/>
          </w:tcPr>
          <w:p w:rsidR="00DB6E8E" w:rsidRPr="004E5CF2" w:rsidRDefault="00DB6E8E" w:rsidP="00DB6E8E">
            <w:pPr>
              <w:pStyle w:val="T2"/>
              <w:spacing w:after="0"/>
              <w:ind w:left="0" w:right="0"/>
              <w:rPr>
                <w:b w:val="0"/>
                <w:sz w:val="20"/>
              </w:rPr>
            </w:pPr>
            <w:r>
              <w:rPr>
                <w:b w:val="0"/>
                <w:sz w:val="20"/>
              </w:rPr>
              <w:t>Broadcom</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r w:rsidRPr="000A4AF1">
              <w:rPr>
                <w:rStyle w:val="Hyperlink"/>
                <w:sz w:val="20"/>
              </w:rPr>
              <w:t>bzshen@broadcom.com</w:t>
            </w:r>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Sim, Michael</w:t>
            </w:r>
          </w:p>
        </w:tc>
        <w:tc>
          <w:tcPr>
            <w:tcW w:w="1031" w:type="pct"/>
            <w:vAlign w:val="center"/>
          </w:tcPr>
          <w:p w:rsidR="00DB6E8E" w:rsidRPr="004E5CF2" w:rsidRDefault="00DB6E8E" w:rsidP="00DB6E8E">
            <w:pPr>
              <w:pStyle w:val="T2"/>
              <w:spacing w:after="0"/>
              <w:ind w:left="0" w:right="0"/>
              <w:rPr>
                <w:b w:val="0"/>
                <w:sz w:val="20"/>
              </w:rPr>
            </w:pPr>
            <w:r>
              <w:rPr>
                <w:b w:val="0"/>
                <w:sz w:val="20"/>
              </w:rPr>
              <w:t>Panasonic</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r w:rsidRPr="000A4AF1">
              <w:rPr>
                <w:rStyle w:val="Hyperlink"/>
                <w:sz w:val="20"/>
              </w:rPr>
              <w:t>Michael.Simhc@sg.panasonic.com</w:t>
            </w:r>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Singh, Harkirat</w:t>
            </w:r>
          </w:p>
        </w:tc>
        <w:tc>
          <w:tcPr>
            <w:tcW w:w="1031" w:type="pct"/>
            <w:vAlign w:val="center"/>
          </w:tcPr>
          <w:p w:rsidR="00DB6E8E" w:rsidRPr="004E5CF2" w:rsidRDefault="00DB6E8E" w:rsidP="00DB6E8E">
            <w:pPr>
              <w:pStyle w:val="T2"/>
              <w:spacing w:after="0"/>
              <w:ind w:left="0" w:right="0"/>
              <w:rPr>
                <w:b w:val="0"/>
                <w:sz w:val="20"/>
              </w:rPr>
            </w:pPr>
            <w:r>
              <w:rPr>
                <w:b w:val="0"/>
                <w:sz w:val="20"/>
              </w:rPr>
              <w:t>Samsung</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r w:rsidRPr="000A4AF1">
              <w:rPr>
                <w:rStyle w:val="Hyperlink"/>
                <w:sz w:val="20"/>
              </w:rPr>
              <w:t>har.singh@sisa.samsung.com</w:t>
            </w:r>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Soffer, Menashe</w:t>
            </w:r>
          </w:p>
        </w:tc>
        <w:tc>
          <w:tcPr>
            <w:tcW w:w="1031" w:type="pct"/>
            <w:vAlign w:val="center"/>
          </w:tcPr>
          <w:p w:rsidR="00DB6E8E" w:rsidRPr="004E5CF2" w:rsidRDefault="00DB6E8E" w:rsidP="00DB6E8E">
            <w:pPr>
              <w:pStyle w:val="T2"/>
              <w:spacing w:after="0"/>
              <w:ind w:left="0" w:right="0"/>
              <w:rPr>
                <w:b w:val="0"/>
                <w:sz w:val="20"/>
              </w:rPr>
            </w:pPr>
            <w:r>
              <w:rPr>
                <w:b w:val="0"/>
                <w:sz w:val="20"/>
              </w:rPr>
              <w:t>Intel</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82" w:history="1">
              <w:r w:rsidRPr="00D23E96">
                <w:rPr>
                  <w:rStyle w:val="Hyperlink"/>
                  <w:sz w:val="20"/>
                </w:rPr>
                <w:t>Menashe.soffer@intel.com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sidRPr="00DF7CA4">
              <w:rPr>
                <w:b w:val="0"/>
                <w:sz w:val="20"/>
              </w:rPr>
              <w:t>Song</w:t>
            </w:r>
            <w:r>
              <w:rPr>
                <w:b w:val="0"/>
                <w:sz w:val="20"/>
              </w:rPr>
              <w:t xml:space="preserve">, </w:t>
            </w:r>
            <w:r w:rsidRPr="00DF7CA4">
              <w:rPr>
                <w:b w:val="0"/>
                <w:sz w:val="20"/>
              </w:rPr>
              <w:t>Seungho</w:t>
            </w:r>
          </w:p>
        </w:tc>
        <w:tc>
          <w:tcPr>
            <w:tcW w:w="1031" w:type="pct"/>
            <w:vAlign w:val="center"/>
          </w:tcPr>
          <w:p w:rsidR="00DB6E8E" w:rsidRDefault="00DB6E8E" w:rsidP="00DB6E8E">
            <w:pPr>
              <w:pStyle w:val="T2"/>
              <w:spacing w:after="0"/>
              <w:ind w:left="0" w:right="0"/>
              <w:rPr>
                <w:b w:val="0"/>
                <w:sz w:val="20"/>
              </w:rPr>
            </w:pPr>
            <w:r>
              <w:rPr>
                <w:b w:val="0"/>
                <w:sz w:val="20"/>
              </w:rPr>
              <w:t>SK Telecom</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83" w:history="1">
              <w:r w:rsidRPr="00DB2D2E">
                <w:rPr>
                  <w:rStyle w:val="Hyperlink"/>
                  <w:sz w:val="20"/>
                </w:rPr>
                <w:t>shsong@sktelecom.com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Sorin, Simha</w:t>
            </w:r>
          </w:p>
        </w:tc>
        <w:tc>
          <w:tcPr>
            <w:tcW w:w="1031" w:type="pct"/>
            <w:vAlign w:val="center"/>
          </w:tcPr>
          <w:p w:rsidR="00DB6E8E" w:rsidRPr="004E5CF2" w:rsidRDefault="00DB6E8E" w:rsidP="00DB6E8E">
            <w:pPr>
              <w:pStyle w:val="T2"/>
              <w:spacing w:after="0"/>
              <w:ind w:left="0" w:right="0"/>
              <w:rPr>
                <w:b w:val="0"/>
                <w:sz w:val="20"/>
              </w:rPr>
            </w:pPr>
            <w:r>
              <w:rPr>
                <w:b w:val="0"/>
                <w:sz w:val="20"/>
              </w:rPr>
              <w:t>Wilocity</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r>
              <w:rPr>
                <w:rStyle w:val="Hyperlink"/>
                <w:sz w:val="20"/>
              </w:rPr>
              <w:t>Simha.sorin@wilocity.com</w:t>
            </w:r>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Smith, Matt</w:t>
            </w:r>
          </w:p>
        </w:tc>
        <w:tc>
          <w:tcPr>
            <w:tcW w:w="1031" w:type="pct"/>
            <w:vAlign w:val="center"/>
          </w:tcPr>
          <w:p w:rsidR="00DB6E8E" w:rsidRDefault="00DB6E8E" w:rsidP="00DB6E8E">
            <w:pPr>
              <w:pStyle w:val="T2"/>
              <w:spacing w:after="0"/>
              <w:ind w:left="0" w:right="0"/>
              <w:rPr>
                <w:b w:val="0"/>
                <w:sz w:val="20"/>
              </w:rPr>
            </w:pPr>
            <w:r>
              <w:rPr>
                <w:b w:val="0"/>
                <w:sz w:val="20"/>
              </w:rPr>
              <w:t>Atheros</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84" w:history="1">
              <w:r w:rsidRPr="00DB2D2E">
                <w:rPr>
                  <w:rStyle w:val="Hyperlink"/>
                  <w:sz w:val="20"/>
                </w:rPr>
                <w:t>matt.smith@atheros.com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Stacey, Robert</w:t>
            </w:r>
          </w:p>
        </w:tc>
        <w:tc>
          <w:tcPr>
            <w:tcW w:w="1031" w:type="pct"/>
            <w:vAlign w:val="center"/>
          </w:tcPr>
          <w:p w:rsidR="00DB6E8E" w:rsidRPr="004E5CF2" w:rsidRDefault="00DB6E8E" w:rsidP="00DB6E8E">
            <w:pPr>
              <w:pStyle w:val="T2"/>
              <w:spacing w:after="0"/>
              <w:ind w:left="0" w:right="0"/>
              <w:rPr>
                <w:b w:val="0"/>
                <w:sz w:val="20"/>
              </w:rPr>
            </w:pPr>
            <w:r>
              <w:rPr>
                <w:b w:val="0"/>
                <w:sz w:val="20"/>
              </w:rPr>
              <w:t>Intel</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85" w:history="1">
              <w:r w:rsidRPr="00D23E96">
                <w:rPr>
                  <w:rStyle w:val="Hyperlink"/>
                  <w:sz w:val="20"/>
                </w:rPr>
                <w:t>Robert.stacey@intel.com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Sutskover, Ilan</w:t>
            </w:r>
          </w:p>
        </w:tc>
        <w:tc>
          <w:tcPr>
            <w:tcW w:w="1031" w:type="pct"/>
            <w:vAlign w:val="center"/>
          </w:tcPr>
          <w:p w:rsidR="00DB6E8E" w:rsidRPr="004E5CF2" w:rsidRDefault="00DB6E8E" w:rsidP="00DB6E8E">
            <w:pPr>
              <w:pStyle w:val="T2"/>
              <w:spacing w:after="0"/>
              <w:ind w:left="0" w:right="0"/>
              <w:rPr>
                <w:b w:val="0"/>
                <w:sz w:val="20"/>
              </w:rPr>
            </w:pPr>
            <w:r>
              <w:rPr>
                <w:b w:val="0"/>
                <w:sz w:val="20"/>
              </w:rPr>
              <w:t>Intel</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86" w:history="1">
              <w:r w:rsidRPr="00D23E96">
                <w:rPr>
                  <w:rStyle w:val="Hyperlink"/>
                  <w:sz w:val="20"/>
                </w:rPr>
                <w:t>Ilan.sutskover@intel.com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0D4511">
              <w:rPr>
                <w:b w:val="0"/>
                <w:sz w:val="20"/>
              </w:rPr>
              <w:t>Taghavi, Hossain</w:t>
            </w:r>
          </w:p>
        </w:tc>
        <w:tc>
          <w:tcPr>
            <w:tcW w:w="1031" w:type="pct"/>
            <w:vAlign w:val="center"/>
          </w:tcPr>
          <w:p w:rsidR="00DB6E8E" w:rsidRDefault="00DB6E8E" w:rsidP="00DB6E8E">
            <w:pPr>
              <w:pStyle w:val="T2"/>
              <w:spacing w:after="0"/>
              <w:ind w:left="0" w:right="0"/>
              <w:rPr>
                <w:b w:val="0"/>
                <w:sz w:val="20"/>
              </w:rPr>
            </w:pPr>
            <w:r>
              <w:rPr>
                <w:b w:val="0"/>
                <w:sz w:val="20"/>
              </w:rPr>
              <w:t>Qualcomm</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Default="00DB6E8E" w:rsidP="00DB6E8E">
            <w:pPr>
              <w:pStyle w:val="T2"/>
              <w:spacing w:after="0"/>
              <w:ind w:left="0" w:right="0"/>
            </w:pPr>
            <w:hyperlink r:id="rId87" w:history="1">
              <w:r w:rsidRPr="000D4511">
                <w:rPr>
                  <w:rStyle w:val="Hyperlink"/>
                  <w:sz w:val="20"/>
                </w:rPr>
                <w:t>mtaghavi@qualcomm.com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Takahashi, Kazuaki</w:t>
            </w:r>
          </w:p>
        </w:tc>
        <w:tc>
          <w:tcPr>
            <w:tcW w:w="1031" w:type="pct"/>
            <w:vAlign w:val="center"/>
          </w:tcPr>
          <w:p w:rsidR="00DB6E8E" w:rsidRPr="004E5CF2" w:rsidRDefault="00DB6E8E" w:rsidP="00DB6E8E">
            <w:pPr>
              <w:pStyle w:val="T2"/>
              <w:spacing w:after="0"/>
              <w:ind w:left="0" w:right="0"/>
              <w:rPr>
                <w:b w:val="0"/>
                <w:sz w:val="20"/>
              </w:rPr>
            </w:pPr>
            <w:r>
              <w:rPr>
                <w:b w:val="0"/>
                <w:sz w:val="20"/>
              </w:rPr>
              <w:t>Panasonic</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88" w:history="1">
              <w:r w:rsidRPr="00A82FBA">
                <w:rPr>
                  <w:rStyle w:val="Hyperlink"/>
                  <w:sz w:val="20"/>
                </w:rPr>
                <w:t>takahashi.kazu@jp.panasonic.com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Trachewsky, Jason</w:t>
            </w:r>
          </w:p>
        </w:tc>
        <w:tc>
          <w:tcPr>
            <w:tcW w:w="1031" w:type="pct"/>
            <w:vAlign w:val="center"/>
          </w:tcPr>
          <w:p w:rsidR="00DB6E8E" w:rsidRPr="004E5CF2" w:rsidRDefault="00DB6E8E" w:rsidP="00DB6E8E">
            <w:pPr>
              <w:pStyle w:val="T2"/>
              <w:spacing w:after="0"/>
              <w:ind w:left="0" w:right="0"/>
              <w:rPr>
                <w:b w:val="0"/>
                <w:sz w:val="20"/>
              </w:rPr>
            </w:pPr>
            <w:r>
              <w:rPr>
                <w:b w:val="0"/>
                <w:sz w:val="20"/>
              </w:rPr>
              <w:t>Self</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89" w:history="1">
              <w:r w:rsidRPr="00DB2D2E">
                <w:rPr>
                  <w:rStyle w:val="Hyperlink"/>
                  <w:sz w:val="20"/>
                </w:rPr>
                <w:t>jtrachewsky@gmail.com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Trainin, Solomon</w:t>
            </w:r>
          </w:p>
        </w:tc>
        <w:tc>
          <w:tcPr>
            <w:tcW w:w="1031" w:type="pct"/>
            <w:vAlign w:val="center"/>
          </w:tcPr>
          <w:p w:rsidR="00DB6E8E" w:rsidRPr="004E5CF2" w:rsidRDefault="00DB6E8E" w:rsidP="00DB6E8E">
            <w:pPr>
              <w:pStyle w:val="T2"/>
              <w:spacing w:after="0"/>
              <w:ind w:left="0" w:right="0"/>
              <w:rPr>
                <w:b w:val="0"/>
                <w:sz w:val="20"/>
              </w:rPr>
            </w:pPr>
            <w:r>
              <w:rPr>
                <w:b w:val="0"/>
                <w:sz w:val="20"/>
              </w:rPr>
              <w:t>Intel</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90" w:history="1">
              <w:r w:rsidRPr="00D23E96">
                <w:rPr>
                  <w:rStyle w:val="Hyperlink"/>
                  <w:sz w:val="20"/>
                </w:rPr>
                <w:t>Solomon.trainin@intel.com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Usuki, Naoshi</w:t>
            </w:r>
          </w:p>
        </w:tc>
        <w:tc>
          <w:tcPr>
            <w:tcW w:w="1031" w:type="pct"/>
            <w:vAlign w:val="center"/>
          </w:tcPr>
          <w:p w:rsidR="00DB6E8E" w:rsidRDefault="00DB6E8E" w:rsidP="00DB6E8E">
            <w:pPr>
              <w:pStyle w:val="T2"/>
              <w:spacing w:after="0"/>
              <w:ind w:left="0" w:right="0"/>
              <w:rPr>
                <w:b w:val="0"/>
                <w:sz w:val="20"/>
              </w:rPr>
            </w:pPr>
            <w:r>
              <w:rPr>
                <w:b w:val="0"/>
                <w:sz w:val="20"/>
              </w:rPr>
              <w:t>Panasonic</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91" w:history="1">
              <w:r w:rsidRPr="00DB2D2E">
                <w:rPr>
                  <w:rStyle w:val="Hyperlink"/>
                  <w:sz w:val="20"/>
                </w:rPr>
                <w:t>usuki.naoshi@jp.panasonic.com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Varshney, Prabodh</w:t>
            </w:r>
          </w:p>
        </w:tc>
        <w:tc>
          <w:tcPr>
            <w:tcW w:w="1031" w:type="pct"/>
            <w:vAlign w:val="center"/>
          </w:tcPr>
          <w:p w:rsidR="00DB6E8E" w:rsidRPr="004E5CF2" w:rsidRDefault="00DB6E8E" w:rsidP="00DB6E8E">
            <w:pPr>
              <w:pStyle w:val="T2"/>
              <w:spacing w:after="0"/>
              <w:ind w:left="0" w:right="0"/>
              <w:rPr>
                <w:b w:val="0"/>
                <w:sz w:val="20"/>
              </w:rPr>
            </w:pPr>
            <w:r>
              <w:rPr>
                <w:b w:val="0"/>
                <w:sz w:val="20"/>
              </w:rPr>
              <w:t>Nokia</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DB2D2E" w:rsidRDefault="00DB6E8E" w:rsidP="00DB6E8E">
            <w:pPr>
              <w:pStyle w:val="T2"/>
              <w:spacing w:after="0"/>
              <w:ind w:left="0" w:right="0"/>
              <w:rPr>
                <w:rStyle w:val="Hyperlink"/>
                <w:sz w:val="20"/>
              </w:rPr>
            </w:pPr>
            <w:hyperlink r:id="rId92" w:history="1">
              <w:r w:rsidRPr="00DB2D2E">
                <w:rPr>
                  <w:rStyle w:val="Hyperlink"/>
                  <w:sz w:val="20"/>
                </w:rPr>
                <w:t>prabodh.varshney@nokia.com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Vertenten, Bart</w:t>
            </w:r>
          </w:p>
        </w:tc>
        <w:tc>
          <w:tcPr>
            <w:tcW w:w="1031" w:type="pct"/>
            <w:vAlign w:val="center"/>
          </w:tcPr>
          <w:p w:rsidR="00DB6E8E" w:rsidRPr="004E5CF2" w:rsidRDefault="00DB6E8E" w:rsidP="00DB6E8E">
            <w:pPr>
              <w:pStyle w:val="T2"/>
              <w:spacing w:after="0"/>
              <w:ind w:left="0" w:right="0"/>
              <w:rPr>
                <w:b w:val="0"/>
                <w:sz w:val="20"/>
              </w:rPr>
            </w:pPr>
            <w:r>
              <w:rPr>
                <w:b w:val="0"/>
                <w:sz w:val="20"/>
              </w:rPr>
              <w:t>NXP</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93" w:history="1">
              <w:r w:rsidRPr="00D23E96">
                <w:rPr>
                  <w:rStyle w:val="Hyperlink"/>
                  <w:sz w:val="20"/>
                </w:rPr>
                <w:t>bart.vertenten@nxp.com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Vlantis, George</w:t>
            </w:r>
          </w:p>
        </w:tc>
        <w:tc>
          <w:tcPr>
            <w:tcW w:w="1031" w:type="pct"/>
            <w:vAlign w:val="center"/>
          </w:tcPr>
          <w:p w:rsidR="00DB6E8E" w:rsidRPr="004E5CF2" w:rsidRDefault="00DB6E8E" w:rsidP="00DB6E8E">
            <w:pPr>
              <w:pStyle w:val="T2"/>
              <w:spacing w:after="0"/>
              <w:ind w:left="0" w:right="0"/>
              <w:rPr>
                <w:b w:val="0"/>
                <w:sz w:val="20"/>
              </w:rPr>
            </w:pPr>
            <w:r>
              <w:rPr>
                <w:b w:val="0"/>
                <w:sz w:val="20"/>
              </w:rPr>
              <w:t>STMicroelectronics</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94" w:history="1">
              <w:r w:rsidRPr="00D23E96">
                <w:rPr>
                  <w:rStyle w:val="Hyperlink"/>
                  <w:sz w:val="20"/>
                </w:rPr>
                <w:t>george.vlantis@st.com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Wang, Chao-Chun</w:t>
            </w:r>
          </w:p>
        </w:tc>
        <w:tc>
          <w:tcPr>
            <w:tcW w:w="1031" w:type="pct"/>
            <w:vAlign w:val="center"/>
          </w:tcPr>
          <w:p w:rsidR="00DB6E8E" w:rsidRPr="004E5CF2" w:rsidRDefault="00DB6E8E" w:rsidP="00DB6E8E">
            <w:pPr>
              <w:pStyle w:val="T2"/>
              <w:spacing w:after="0"/>
              <w:ind w:left="0" w:right="0"/>
              <w:rPr>
                <w:b w:val="0"/>
                <w:sz w:val="20"/>
              </w:rPr>
            </w:pPr>
            <w:r>
              <w:rPr>
                <w:b w:val="0"/>
                <w:sz w:val="20"/>
              </w:rPr>
              <w:t>MediaTek</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95" w:history="1">
              <w:r w:rsidRPr="00D23E96">
                <w:rPr>
                  <w:rStyle w:val="Hyperlink"/>
                  <w:sz w:val="20"/>
                </w:rPr>
                <w:t>chaochun.wang@mediatek.com</w:t>
              </w:r>
            </w:hyperlink>
          </w:p>
        </w:tc>
      </w:tr>
      <w:tr w:rsidR="00DB6E8E" w:rsidRPr="00C46726" w:rsidTr="00DB6E8E">
        <w:trPr>
          <w:jc w:val="center"/>
        </w:trPr>
        <w:tc>
          <w:tcPr>
            <w:tcW w:w="1267" w:type="pct"/>
            <w:vAlign w:val="center"/>
          </w:tcPr>
          <w:p w:rsidR="00DB6E8E" w:rsidRPr="00DF7CA4" w:rsidRDefault="00DB6E8E" w:rsidP="00DB6E8E">
            <w:pPr>
              <w:pStyle w:val="T2"/>
              <w:spacing w:after="0"/>
              <w:ind w:left="0" w:right="0"/>
              <w:rPr>
                <w:b w:val="0"/>
                <w:sz w:val="20"/>
              </w:rPr>
            </w:pPr>
            <w:r>
              <w:rPr>
                <w:b w:val="0"/>
                <w:sz w:val="20"/>
              </w:rPr>
              <w:t xml:space="preserve">Wang, </w:t>
            </w:r>
            <w:r w:rsidRPr="00DF7CA4">
              <w:rPr>
                <w:b w:val="0"/>
                <w:sz w:val="20"/>
              </w:rPr>
              <w:t>Homber</w:t>
            </w:r>
          </w:p>
        </w:tc>
        <w:tc>
          <w:tcPr>
            <w:tcW w:w="1031" w:type="pct"/>
            <w:vAlign w:val="center"/>
          </w:tcPr>
          <w:p w:rsidR="00DB6E8E" w:rsidRDefault="00DB6E8E" w:rsidP="00DB6E8E">
            <w:pPr>
              <w:pStyle w:val="T2"/>
              <w:spacing w:after="0"/>
              <w:ind w:left="0" w:right="0"/>
              <w:rPr>
                <w:b w:val="0"/>
                <w:sz w:val="20"/>
              </w:rPr>
            </w:pPr>
            <w:r>
              <w:rPr>
                <w:b w:val="0"/>
                <w:sz w:val="20"/>
              </w:rPr>
              <w:t>TMC</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96" w:history="1">
              <w:r w:rsidRPr="00DB2D2E">
                <w:rPr>
                  <w:rStyle w:val="Hyperlink"/>
                  <w:sz w:val="20"/>
                </w:rPr>
                <w:t>homber@emcite.com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lastRenderedPageBreak/>
              <w:t>Wang, James</w:t>
            </w:r>
          </w:p>
        </w:tc>
        <w:tc>
          <w:tcPr>
            <w:tcW w:w="1031" w:type="pct"/>
            <w:vAlign w:val="center"/>
          </w:tcPr>
          <w:p w:rsidR="00DB6E8E" w:rsidRPr="004E5CF2" w:rsidRDefault="00DB6E8E" w:rsidP="00DB6E8E">
            <w:pPr>
              <w:pStyle w:val="T2"/>
              <w:spacing w:after="0"/>
              <w:ind w:left="0" w:right="0"/>
              <w:rPr>
                <w:b w:val="0"/>
                <w:sz w:val="20"/>
              </w:rPr>
            </w:pPr>
            <w:r>
              <w:rPr>
                <w:b w:val="0"/>
                <w:sz w:val="20"/>
              </w:rPr>
              <w:t>MediaTek</w:t>
            </w:r>
          </w:p>
        </w:tc>
        <w:tc>
          <w:tcPr>
            <w:tcW w:w="478" w:type="pct"/>
            <w:vAlign w:val="center"/>
          </w:tcPr>
          <w:p w:rsidR="00DB6E8E" w:rsidRPr="00C46726" w:rsidRDefault="00DB6E8E" w:rsidP="00DB6E8E">
            <w:pPr>
              <w:pStyle w:val="T2"/>
              <w:spacing w:after="0"/>
              <w:ind w:left="0" w:right="0"/>
              <w:rPr>
                <w:b w:val="0"/>
                <w:sz w:val="20"/>
              </w:rPr>
            </w:pPr>
          </w:p>
        </w:tc>
        <w:tc>
          <w:tcPr>
            <w:tcW w:w="392" w:type="pct"/>
            <w:vAlign w:val="center"/>
          </w:tcPr>
          <w:p w:rsidR="00DB6E8E" w:rsidRPr="00C46726" w:rsidRDefault="00DB6E8E" w:rsidP="00DB6E8E">
            <w:pPr>
              <w:pStyle w:val="T2"/>
              <w:spacing w:after="0"/>
              <w:ind w:left="0" w:right="0"/>
              <w:rPr>
                <w:b w:val="0"/>
                <w:sz w:val="20"/>
              </w:rPr>
            </w:pPr>
          </w:p>
        </w:tc>
        <w:tc>
          <w:tcPr>
            <w:tcW w:w="1832" w:type="pct"/>
            <w:vAlign w:val="center"/>
          </w:tcPr>
          <w:p w:rsidR="00DB6E8E" w:rsidRPr="008607B6" w:rsidRDefault="00DB6E8E" w:rsidP="00DB6E8E">
            <w:pPr>
              <w:pStyle w:val="T2"/>
              <w:spacing w:after="0"/>
              <w:ind w:left="0" w:right="0"/>
              <w:rPr>
                <w:rStyle w:val="Hyperlink"/>
                <w:sz w:val="20"/>
              </w:rPr>
            </w:pPr>
            <w:hyperlink r:id="rId97" w:history="1">
              <w:r w:rsidRPr="00D23E96">
                <w:rPr>
                  <w:rStyle w:val="Hyperlink"/>
                  <w:sz w:val="20"/>
                </w:rPr>
                <w:t>james.wang@mediatek.com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Yee, James</w:t>
            </w:r>
          </w:p>
        </w:tc>
        <w:tc>
          <w:tcPr>
            <w:tcW w:w="1031" w:type="pct"/>
            <w:vAlign w:val="center"/>
          </w:tcPr>
          <w:p w:rsidR="00DB6E8E" w:rsidRDefault="00DB6E8E" w:rsidP="00DB6E8E">
            <w:pPr>
              <w:pStyle w:val="T2"/>
              <w:spacing w:after="0"/>
              <w:ind w:left="0" w:right="0"/>
              <w:rPr>
                <w:b w:val="0"/>
                <w:sz w:val="20"/>
              </w:rPr>
            </w:pPr>
            <w:r>
              <w:rPr>
                <w:b w:val="0"/>
                <w:sz w:val="20"/>
              </w:rPr>
              <w:t>MediaTek</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98" w:history="1">
              <w:r w:rsidRPr="00DB2D2E">
                <w:rPr>
                  <w:rStyle w:val="Hyperlink"/>
                  <w:sz w:val="20"/>
                </w:rPr>
                <w:t>james.yee@mediatek.com</w:t>
              </w:r>
            </w:hyperlink>
          </w:p>
        </w:tc>
      </w:tr>
      <w:tr w:rsidR="00DB6E8E" w:rsidRPr="00C46726" w:rsidTr="00DB6E8E">
        <w:trPr>
          <w:jc w:val="center"/>
        </w:trPr>
        <w:tc>
          <w:tcPr>
            <w:tcW w:w="1267" w:type="pct"/>
          </w:tcPr>
          <w:p w:rsidR="00DB6E8E" w:rsidRPr="004E5CF2" w:rsidRDefault="00DB6E8E" w:rsidP="00DB6E8E">
            <w:pPr>
              <w:pStyle w:val="T2"/>
              <w:spacing w:after="0"/>
              <w:ind w:left="0" w:right="0"/>
              <w:rPr>
                <w:b w:val="0"/>
                <w:sz w:val="20"/>
              </w:rPr>
            </w:pPr>
            <w:r w:rsidRPr="00BC43C2">
              <w:rPr>
                <w:b w:val="0"/>
                <w:sz w:val="20"/>
              </w:rPr>
              <w:t>Yucek, Tevfik</w:t>
            </w:r>
          </w:p>
        </w:tc>
        <w:tc>
          <w:tcPr>
            <w:tcW w:w="1031" w:type="pct"/>
            <w:vAlign w:val="center"/>
          </w:tcPr>
          <w:p w:rsidR="00DB6E8E" w:rsidRDefault="00DB6E8E" w:rsidP="00DB6E8E">
            <w:pPr>
              <w:pStyle w:val="T2"/>
              <w:spacing w:after="0"/>
              <w:ind w:left="0" w:right="0"/>
              <w:rPr>
                <w:b w:val="0"/>
                <w:sz w:val="20"/>
              </w:rPr>
            </w:pPr>
            <w:r w:rsidRPr="00BC43C2">
              <w:rPr>
                <w:b w:val="0"/>
                <w:sz w:val="20"/>
              </w:rPr>
              <w:t>Atheros</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99" w:history="1">
              <w:r w:rsidRPr="00BC43C2">
                <w:rPr>
                  <w:rStyle w:val="Hyperlink"/>
                  <w:bCs w:val="0"/>
                  <w:sz w:val="20"/>
                </w:rPr>
                <w:t>Tevfik.Yucek@Atheros.com</w:t>
              </w:r>
            </w:hyperlink>
          </w:p>
        </w:tc>
      </w:tr>
      <w:tr w:rsidR="00DB6E8E" w:rsidRPr="007505A1"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Yong, Su Khiong</w:t>
            </w:r>
          </w:p>
        </w:tc>
        <w:tc>
          <w:tcPr>
            <w:tcW w:w="1031" w:type="pct"/>
            <w:vAlign w:val="center"/>
          </w:tcPr>
          <w:p w:rsidR="00DB6E8E" w:rsidRPr="004E5CF2" w:rsidRDefault="00DB6E8E" w:rsidP="00DB6E8E">
            <w:pPr>
              <w:pStyle w:val="T2"/>
              <w:spacing w:after="0"/>
              <w:ind w:left="0" w:right="0"/>
              <w:rPr>
                <w:b w:val="0"/>
                <w:sz w:val="20"/>
              </w:rPr>
            </w:pPr>
            <w:r>
              <w:rPr>
                <w:b w:val="0"/>
                <w:sz w:val="20"/>
              </w:rPr>
              <w:t>Marvell</w:t>
            </w:r>
          </w:p>
        </w:tc>
        <w:tc>
          <w:tcPr>
            <w:tcW w:w="478" w:type="pct"/>
            <w:vAlign w:val="center"/>
          </w:tcPr>
          <w:p w:rsidR="00DB6E8E" w:rsidRPr="007505A1" w:rsidRDefault="00DB6E8E" w:rsidP="00DB6E8E">
            <w:pPr>
              <w:pStyle w:val="T2"/>
              <w:spacing w:after="0"/>
              <w:ind w:left="0" w:right="0"/>
              <w:rPr>
                <w:b w:val="0"/>
                <w:sz w:val="20"/>
              </w:rPr>
            </w:pPr>
          </w:p>
        </w:tc>
        <w:tc>
          <w:tcPr>
            <w:tcW w:w="392" w:type="pct"/>
            <w:vAlign w:val="center"/>
          </w:tcPr>
          <w:p w:rsidR="00DB6E8E" w:rsidRPr="007505A1"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100" w:history="1">
              <w:r w:rsidRPr="00D23E96">
                <w:rPr>
                  <w:rStyle w:val="Hyperlink"/>
                  <w:sz w:val="20"/>
                </w:rPr>
                <w:t>skyong@marvell.com</w:t>
              </w:r>
            </w:hyperlink>
          </w:p>
        </w:tc>
      </w:tr>
      <w:tr w:rsidR="00DB6E8E" w:rsidRPr="007505A1" w:rsidTr="00DB6E8E">
        <w:trPr>
          <w:jc w:val="center"/>
        </w:trPr>
        <w:tc>
          <w:tcPr>
            <w:tcW w:w="1267" w:type="pct"/>
          </w:tcPr>
          <w:p w:rsidR="00DB6E8E" w:rsidRPr="004E5CF2" w:rsidRDefault="00DB6E8E" w:rsidP="00DB6E8E">
            <w:pPr>
              <w:pStyle w:val="T2"/>
              <w:spacing w:after="0"/>
              <w:ind w:left="0" w:right="0"/>
              <w:rPr>
                <w:b w:val="0"/>
                <w:sz w:val="20"/>
              </w:rPr>
            </w:pPr>
            <w:r w:rsidRPr="004E5CF2">
              <w:rPr>
                <w:b w:val="0"/>
                <w:sz w:val="20"/>
              </w:rPr>
              <w:t>Zhang, Hongyuan</w:t>
            </w:r>
          </w:p>
        </w:tc>
        <w:tc>
          <w:tcPr>
            <w:tcW w:w="1031" w:type="pct"/>
            <w:vAlign w:val="center"/>
          </w:tcPr>
          <w:p w:rsidR="00DB6E8E" w:rsidRPr="004E5CF2" w:rsidRDefault="00DB6E8E" w:rsidP="00DB6E8E">
            <w:pPr>
              <w:pStyle w:val="T2"/>
              <w:spacing w:after="0"/>
              <w:ind w:left="0" w:right="0"/>
              <w:rPr>
                <w:b w:val="0"/>
                <w:sz w:val="20"/>
              </w:rPr>
            </w:pPr>
            <w:r>
              <w:rPr>
                <w:b w:val="0"/>
                <w:sz w:val="20"/>
              </w:rPr>
              <w:t>Marvell</w:t>
            </w:r>
          </w:p>
        </w:tc>
        <w:tc>
          <w:tcPr>
            <w:tcW w:w="478" w:type="pct"/>
            <w:vAlign w:val="center"/>
          </w:tcPr>
          <w:p w:rsidR="00DB6E8E" w:rsidRPr="007505A1" w:rsidRDefault="00DB6E8E" w:rsidP="00DB6E8E">
            <w:pPr>
              <w:pStyle w:val="T2"/>
              <w:spacing w:after="0"/>
              <w:ind w:left="0" w:right="0"/>
              <w:rPr>
                <w:b w:val="0"/>
                <w:sz w:val="20"/>
                <w:lang w:val="it-IT"/>
              </w:rPr>
            </w:pPr>
          </w:p>
        </w:tc>
        <w:tc>
          <w:tcPr>
            <w:tcW w:w="392" w:type="pct"/>
            <w:vAlign w:val="center"/>
          </w:tcPr>
          <w:p w:rsidR="00DB6E8E" w:rsidRDefault="00DB6E8E" w:rsidP="00DB6E8E">
            <w:pPr>
              <w:pStyle w:val="T2"/>
              <w:spacing w:after="0"/>
              <w:ind w:left="0" w:right="0"/>
              <w:rPr>
                <w:b w:val="0"/>
                <w:sz w:val="20"/>
                <w:lang w:val="it-IT"/>
              </w:rPr>
            </w:pPr>
          </w:p>
        </w:tc>
        <w:tc>
          <w:tcPr>
            <w:tcW w:w="1832" w:type="pct"/>
            <w:vAlign w:val="center"/>
          </w:tcPr>
          <w:p w:rsidR="00DB6E8E" w:rsidRPr="008607B6" w:rsidRDefault="00DB6E8E" w:rsidP="00DB6E8E">
            <w:pPr>
              <w:pStyle w:val="T2"/>
              <w:spacing w:after="0"/>
              <w:ind w:left="0" w:right="0"/>
              <w:rPr>
                <w:rStyle w:val="Hyperlink"/>
                <w:sz w:val="20"/>
              </w:rPr>
            </w:pPr>
            <w:hyperlink r:id="rId101" w:history="1">
              <w:r w:rsidRPr="00D23E96">
                <w:rPr>
                  <w:rStyle w:val="Hyperlink"/>
                  <w:sz w:val="20"/>
                </w:rPr>
                <w:t>hongyuan@marvell.com</w:t>
              </w:r>
            </w:hyperlink>
          </w:p>
        </w:tc>
      </w:tr>
    </w:tbl>
    <w:p w:rsidR="00BB54D2" w:rsidRPr="007505A1" w:rsidRDefault="00BB54D2" w:rsidP="00BB54D2">
      <w:pPr>
        <w:pStyle w:val="T1"/>
        <w:spacing w:after="120"/>
        <w:jc w:val="left"/>
        <w:rPr>
          <w:sz w:val="22"/>
          <w:lang w:val="it-IT"/>
        </w:rPr>
      </w:pPr>
    </w:p>
    <w:p w:rsidR="00BB54D2" w:rsidRDefault="00BB54D2" w:rsidP="00BB54D2">
      <w:pPr>
        <w:pStyle w:val="T1"/>
        <w:spacing w:after="120"/>
      </w:pPr>
      <w:r>
        <w:t>Abstract</w:t>
      </w:r>
    </w:p>
    <w:p w:rsidR="00BB54D2" w:rsidRDefault="00BB54D2" w:rsidP="00CF6BC6">
      <w:r w:rsidRPr="00D64C19">
        <w:t>This document is part and is in support of the complete proposal described in 802.11-10/</w:t>
      </w:r>
      <w:r>
        <w:t>432r0 (slides) and 802.11-10/433r0</w:t>
      </w:r>
      <w:r w:rsidRPr="00D64C19">
        <w:t xml:space="preserve"> (text).</w:t>
      </w:r>
    </w:p>
    <w:p w:rsidR="00CF6BC6" w:rsidRPr="00D64C19" w:rsidRDefault="00CF6BC6" w:rsidP="00CF6BC6">
      <w:pPr>
        <w:rPr>
          <w:b/>
          <w:bCs/>
        </w:rPr>
      </w:pPr>
    </w:p>
    <w:p w:rsidR="00BB54D2" w:rsidRPr="00D64C19" w:rsidRDefault="00BB54D2" w:rsidP="00CF6BC6">
      <w:pPr>
        <w:rPr>
          <w:b/>
        </w:rPr>
      </w:pPr>
      <w:r w:rsidRPr="00D64C19">
        <w:t xml:space="preserve">This document </w:t>
      </w:r>
      <w:r w:rsidR="00B37261">
        <w:t xml:space="preserve">is the </w:t>
      </w:r>
      <w:r w:rsidR="001A404B">
        <w:t xml:space="preserve">technical specification text </w:t>
      </w:r>
      <w:r w:rsidR="00B37261">
        <w:t>as required in the TGad selection procedure</w:t>
      </w:r>
      <w:r w:rsidR="002E138F">
        <w:t xml:space="preserve"> (802.11-09/935r5)</w:t>
      </w:r>
      <w:r w:rsidR="00B37261">
        <w:t>.</w:t>
      </w:r>
    </w:p>
    <w:p w:rsidR="00EA691D" w:rsidRDefault="00EA691D" w:rsidP="00CF6BC6">
      <w:pPr>
        <w:rPr>
          <w:color w:val="000000"/>
        </w:rPr>
      </w:pPr>
    </w:p>
    <w:p w:rsidR="007F7004" w:rsidRPr="00617E00" w:rsidRDefault="007F7004" w:rsidP="001C1C41">
      <w:pPr>
        <w:rPr>
          <w:color w:val="000000"/>
        </w:rPr>
      </w:pPr>
    </w:p>
    <w:p w:rsidR="007F7004" w:rsidRDefault="007F7004">
      <w:pPr>
        <w:rPr>
          <w:color w:val="000000"/>
        </w:rPr>
      </w:pPr>
      <w:r>
        <w:rPr>
          <w:color w:val="000000"/>
        </w:rPr>
        <w:br w:type="page"/>
      </w:r>
    </w:p>
    <w:p w:rsidR="008C36FC" w:rsidRPr="00617E00" w:rsidRDefault="008C36FC" w:rsidP="008C4C94">
      <w:pPr>
        <w:jc w:val="center"/>
        <w:rPr>
          <w:color w:val="000000"/>
        </w:rPr>
      </w:pPr>
    </w:p>
    <w:p w:rsidR="008C36FC" w:rsidRDefault="000D1CE0" w:rsidP="007F7004">
      <w:pPr>
        <w:outlineLvl w:val="0"/>
        <w:rPr>
          <w:b/>
          <w:color w:val="000000"/>
          <w:sz w:val="32"/>
        </w:rPr>
      </w:pPr>
      <w:r w:rsidRPr="00617E00">
        <w:rPr>
          <w:b/>
          <w:color w:val="000000"/>
          <w:sz w:val="32"/>
        </w:rPr>
        <w:t>C</w:t>
      </w:r>
      <w:r w:rsidR="008C36FC" w:rsidRPr="00617E00">
        <w:rPr>
          <w:b/>
          <w:color w:val="000000"/>
          <w:sz w:val="32"/>
        </w:rPr>
        <w:t>ontents</w:t>
      </w:r>
    </w:p>
    <w:p w:rsidR="007F7004" w:rsidRPr="00617E00" w:rsidRDefault="007F7004" w:rsidP="007F7004">
      <w:pPr>
        <w:outlineLvl w:val="0"/>
        <w:rPr>
          <w:b/>
          <w:color w:val="000000"/>
          <w:sz w:val="32"/>
        </w:rPr>
      </w:pPr>
    </w:p>
    <w:p w:rsidR="003E4210" w:rsidRDefault="00BD151C">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r w:rsidRPr="00BD151C">
        <w:rPr>
          <w:b w:val="0"/>
          <w:bCs w:val="0"/>
          <w:color w:val="000000"/>
        </w:rPr>
        <w:fldChar w:fldCharType="begin"/>
      </w:r>
      <w:r w:rsidR="00903F1A">
        <w:rPr>
          <w:b w:val="0"/>
          <w:bCs w:val="0"/>
          <w:color w:val="000000"/>
        </w:rPr>
        <w:instrText xml:space="preserve"> TOC \o "4-5" \h \z \t "Heading 1,1,Heading 2,2,Heading 3,3" </w:instrText>
      </w:r>
      <w:r w:rsidRPr="00BD151C">
        <w:rPr>
          <w:b w:val="0"/>
          <w:bCs w:val="0"/>
          <w:color w:val="000000"/>
        </w:rPr>
        <w:fldChar w:fldCharType="separate"/>
      </w:r>
      <w:hyperlink w:anchor="_Toc259716831" w:history="1">
        <w:r w:rsidR="003E4210" w:rsidRPr="005B500B">
          <w:rPr>
            <w:rStyle w:val="Hyperlink"/>
            <w:noProof/>
          </w:rPr>
          <w:t>1</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Overview</w:t>
        </w:r>
        <w:r w:rsidR="003E4210">
          <w:rPr>
            <w:noProof/>
            <w:webHidden/>
          </w:rPr>
          <w:tab/>
        </w:r>
        <w:r>
          <w:rPr>
            <w:noProof/>
            <w:webHidden/>
          </w:rPr>
          <w:fldChar w:fldCharType="begin"/>
        </w:r>
        <w:r w:rsidR="003E4210">
          <w:rPr>
            <w:noProof/>
            <w:webHidden/>
          </w:rPr>
          <w:instrText xml:space="preserve"> PAGEREF _Toc259716831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6832" w:history="1">
        <w:r w:rsidR="003E4210" w:rsidRPr="005B500B">
          <w:rPr>
            <w:rStyle w:val="Hyperlink"/>
            <w:noProof/>
          </w:rPr>
          <w:t>1.1 Scope</w:t>
        </w:r>
        <w:r w:rsidR="003E4210">
          <w:rPr>
            <w:noProof/>
            <w:webHidden/>
          </w:rPr>
          <w:tab/>
        </w:r>
        <w:r>
          <w:rPr>
            <w:noProof/>
            <w:webHidden/>
          </w:rPr>
          <w:fldChar w:fldCharType="begin"/>
        </w:r>
        <w:r w:rsidR="003E4210">
          <w:rPr>
            <w:noProof/>
            <w:webHidden/>
          </w:rPr>
          <w:instrText xml:space="preserve"> PAGEREF _Toc259716832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6833" w:history="1">
        <w:r w:rsidR="003E4210" w:rsidRPr="005B500B">
          <w:rPr>
            <w:rStyle w:val="Hyperlink"/>
            <w:noProof/>
          </w:rPr>
          <w:t>1.2 Purpose</w:t>
        </w:r>
        <w:r w:rsidR="003E4210">
          <w:rPr>
            <w:noProof/>
            <w:webHidden/>
          </w:rPr>
          <w:tab/>
        </w:r>
        <w:r>
          <w:rPr>
            <w:noProof/>
            <w:webHidden/>
          </w:rPr>
          <w:fldChar w:fldCharType="begin"/>
        </w:r>
        <w:r w:rsidR="003E4210">
          <w:rPr>
            <w:noProof/>
            <w:webHidden/>
          </w:rPr>
          <w:instrText xml:space="preserve"> PAGEREF _Toc259716833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BD151C">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4" w:history="1">
        <w:r w:rsidR="003E4210" w:rsidRPr="005B500B">
          <w:rPr>
            <w:rStyle w:val="Hyperlink"/>
            <w:noProof/>
          </w:rPr>
          <w:t>2</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Normative references</w:t>
        </w:r>
        <w:r w:rsidR="003E4210">
          <w:rPr>
            <w:noProof/>
            <w:webHidden/>
          </w:rPr>
          <w:tab/>
        </w:r>
        <w:r>
          <w:rPr>
            <w:noProof/>
            <w:webHidden/>
          </w:rPr>
          <w:fldChar w:fldCharType="begin"/>
        </w:r>
        <w:r w:rsidR="003E4210">
          <w:rPr>
            <w:noProof/>
            <w:webHidden/>
          </w:rPr>
          <w:instrText xml:space="preserve"> PAGEREF _Toc259716834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BD151C">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5" w:history="1">
        <w:r w:rsidR="003E4210" w:rsidRPr="005B500B">
          <w:rPr>
            <w:rStyle w:val="Hyperlink"/>
            <w:noProof/>
          </w:rPr>
          <w:t>3</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Definitions</w:t>
        </w:r>
        <w:r w:rsidR="003E4210">
          <w:rPr>
            <w:noProof/>
            <w:webHidden/>
          </w:rPr>
          <w:tab/>
        </w:r>
        <w:r>
          <w:rPr>
            <w:noProof/>
            <w:webHidden/>
          </w:rPr>
          <w:fldChar w:fldCharType="begin"/>
        </w:r>
        <w:r w:rsidR="003E4210">
          <w:rPr>
            <w:noProof/>
            <w:webHidden/>
          </w:rPr>
          <w:instrText xml:space="preserve"> PAGEREF _Toc259716835 \h </w:instrText>
        </w:r>
        <w:r>
          <w:rPr>
            <w:noProof/>
            <w:webHidden/>
          </w:rPr>
        </w:r>
        <w:r>
          <w:rPr>
            <w:noProof/>
            <w:webHidden/>
          </w:rPr>
          <w:fldChar w:fldCharType="separate"/>
        </w:r>
        <w:r w:rsidR="003E4210">
          <w:rPr>
            <w:noProof/>
            <w:webHidden/>
          </w:rPr>
          <w:t>20</w:t>
        </w:r>
        <w:r>
          <w:rPr>
            <w:noProof/>
            <w:webHidden/>
          </w:rPr>
          <w:fldChar w:fldCharType="end"/>
        </w:r>
      </w:hyperlink>
    </w:p>
    <w:p w:rsidR="003E4210" w:rsidRDefault="00BD151C">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6" w:history="1">
        <w:r w:rsidR="003E4210" w:rsidRPr="005B500B">
          <w:rPr>
            <w:rStyle w:val="Hyperlink"/>
            <w:noProof/>
          </w:rPr>
          <w:t>4</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Abbreviations and acronyms</w:t>
        </w:r>
        <w:r w:rsidR="003E4210">
          <w:rPr>
            <w:noProof/>
            <w:webHidden/>
          </w:rPr>
          <w:tab/>
        </w:r>
        <w:r>
          <w:rPr>
            <w:noProof/>
            <w:webHidden/>
          </w:rPr>
          <w:fldChar w:fldCharType="begin"/>
        </w:r>
        <w:r w:rsidR="003E4210">
          <w:rPr>
            <w:noProof/>
            <w:webHidden/>
          </w:rPr>
          <w:instrText xml:space="preserve"> PAGEREF _Toc259716836 \h </w:instrText>
        </w:r>
        <w:r>
          <w:rPr>
            <w:noProof/>
            <w:webHidden/>
          </w:rPr>
        </w:r>
        <w:r>
          <w:rPr>
            <w:noProof/>
            <w:webHidden/>
          </w:rPr>
          <w:fldChar w:fldCharType="separate"/>
        </w:r>
        <w:r w:rsidR="003E4210">
          <w:rPr>
            <w:noProof/>
            <w:webHidden/>
          </w:rPr>
          <w:t>21</w:t>
        </w:r>
        <w:r>
          <w:rPr>
            <w:noProof/>
            <w:webHidden/>
          </w:rPr>
          <w:fldChar w:fldCharType="end"/>
        </w:r>
      </w:hyperlink>
    </w:p>
    <w:p w:rsidR="003E4210" w:rsidRDefault="00BD151C">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7" w:history="1">
        <w:r w:rsidR="003E4210" w:rsidRPr="005B500B">
          <w:rPr>
            <w:rStyle w:val="Hyperlink"/>
            <w:noProof/>
          </w:rPr>
          <w:t>5</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General description</w:t>
        </w:r>
        <w:r w:rsidR="003E4210">
          <w:rPr>
            <w:noProof/>
            <w:webHidden/>
          </w:rPr>
          <w:tab/>
        </w:r>
        <w:r>
          <w:rPr>
            <w:noProof/>
            <w:webHidden/>
          </w:rPr>
          <w:fldChar w:fldCharType="begin"/>
        </w:r>
        <w:r w:rsidR="003E4210">
          <w:rPr>
            <w:noProof/>
            <w:webHidden/>
          </w:rPr>
          <w:instrText xml:space="preserve"> PAGEREF _Toc259716837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6838" w:history="1">
        <w:r w:rsidR="003E4210" w:rsidRPr="005B500B">
          <w:rPr>
            <w:rStyle w:val="Hyperlink"/>
            <w:noProof/>
            <w:lang w:eastAsia="ko-KR"/>
          </w:rPr>
          <w:t>5.2 Components of the IEEE 802.11 architecture</w:t>
        </w:r>
        <w:r w:rsidR="003E4210">
          <w:rPr>
            <w:noProof/>
            <w:webHidden/>
          </w:rPr>
          <w:tab/>
        </w:r>
        <w:r>
          <w:rPr>
            <w:noProof/>
            <w:webHidden/>
          </w:rPr>
          <w:fldChar w:fldCharType="begin"/>
        </w:r>
        <w:r w:rsidR="003E4210">
          <w:rPr>
            <w:noProof/>
            <w:webHidden/>
          </w:rPr>
          <w:instrText xml:space="preserve"> PAGEREF _Toc259716838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39" w:history="1">
        <w:r w:rsidR="003E4210" w:rsidRPr="005B500B">
          <w:rPr>
            <w:rStyle w:val="Hyperlink"/>
            <w:noProof/>
            <w:lang w:eastAsia="ko-KR"/>
          </w:rPr>
          <w:t>5.2.1a The Personal BSS (PBSS) as an ad hoc network</w:t>
        </w:r>
        <w:r w:rsidR="003E4210">
          <w:rPr>
            <w:noProof/>
            <w:webHidden/>
          </w:rPr>
          <w:tab/>
        </w:r>
        <w:r>
          <w:rPr>
            <w:noProof/>
            <w:webHidden/>
          </w:rPr>
          <w:fldChar w:fldCharType="begin"/>
        </w:r>
        <w:r w:rsidR="003E4210">
          <w:rPr>
            <w:noProof/>
            <w:webHidden/>
          </w:rPr>
          <w:instrText xml:space="preserve"> PAGEREF _Toc259716839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0" w:history="1">
        <w:r w:rsidR="003E4210" w:rsidRPr="005B500B">
          <w:rPr>
            <w:rStyle w:val="Hyperlink"/>
            <w:noProof/>
            <w:lang w:eastAsia="ko-KR"/>
          </w:rPr>
          <w:t>5.2.6 QoS BSS: The QoS network</w:t>
        </w:r>
        <w:r w:rsidR="003E4210">
          <w:rPr>
            <w:noProof/>
            <w:webHidden/>
          </w:rPr>
          <w:tab/>
        </w:r>
        <w:r>
          <w:rPr>
            <w:noProof/>
            <w:webHidden/>
          </w:rPr>
          <w:fldChar w:fldCharType="begin"/>
        </w:r>
        <w:r w:rsidR="003E4210">
          <w:rPr>
            <w:noProof/>
            <w:webHidden/>
          </w:rPr>
          <w:instrText xml:space="preserve"> PAGEREF _Toc259716840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1" w:history="1">
        <w:r w:rsidR="003E4210" w:rsidRPr="005B500B">
          <w:rPr>
            <w:rStyle w:val="Hyperlink"/>
            <w:noProof/>
            <w:lang w:eastAsia="ko-KR"/>
          </w:rPr>
          <w:t>5.2.10 mmWave STA (mSTA)</w:t>
        </w:r>
        <w:r w:rsidR="003E4210">
          <w:rPr>
            <w:noProof/>
            <w:webHidden/>
          </w:rPr>
          <w:tab/>
        </w:r>
        <w:r>
          <w:rPr>
            <w:noProof/>
            <w:webHidden/>
          </w:rPr>
          <w:fldChar w:fldCharType="begin"/>
        </w:r>
        <w:r w:rsidR="003E4210">
          <w:rPr>
            <w:noProof/>
            <w:webHidden/>
          </w:rPr>
          <w:instrText xml:space="preserve"> PAGEREF _Toc259716841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6842" w:history="1">
        <w:r w:rsidR="003E4210" w:rsidRPr="005B500B">
          <w:rPr>
            <w:rStyle w:val="Hyperlink"/>
            <w:noProof/>
            <w:lang w:eastAsia="ko-KR"/>
          </w:rPr>
          <w:t>5.3 Logical service interfaces</w:t>
        </w:r>
        <w:r w:rsidR="003E4210">
          <w:rPr>
            <w:noProof/>
            <w:webHidden/>
          </w:rPr>
          <w:tab/>
        </w:r>
        <w:r>
          <w:rPr>
            <w:noProof/>
            <w:webHidden/>
          </w:rPr>
          <w:fldChar w:fldCharType="begin"/>
        </w:r>
        <w:r w:rsidR="003E4210">
          <w:rPr>
            <w:noProof/>
            <w:webHidden/>
          </w:rPr>
          <w:instrText xml:space="preserve"> PAGEREF _Toc259716842 \h </w:instrText>
        </w:r>
        <w:r>
          <w:rPr>
            <w:noProof/>
            <w:webHidden/>
          </w:rPr>
        </w:r>
        <w:r>
          <w:rPr>
            <w:noProof/>
            <w:webHidden/>
          </w:rPr>
          <w:fldChar w:fldCharType="separate"/>
        </w:r>
        <w:r w:rsidR="003E4210">
          <w:rPr>
            <w:noProof/>
            <w:webHidden/>
          </w:rPr>
          <w:t>24</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3" w:history="1">
        <w:r w:rsidR="003E4210" w:rsidRPr="005B500B">
          <w:rPr>
            <w:rStyle w:val="Hyperlink"/>
            <w:noProof/>
            <w:lang w:eastAsia="ko-KR"/>
          </w:rPr>
          <w:t>5.3.2 DSS</w:t>
        </w:r>
        <w:r w:rsidR="003E4210">
          <w:rPr>
            <w:noProof/>
            <w:webHidden/>
          </w:rPr>
          <w:tab/>
        </w:r>
        <w:r>
          <w:rPr>
            <w:noProof/>
            <w:webHidden/>
          </w:rPr>
          <w:fldChar w:fldCharType="begin"/>
        </w:r>
        <w:r w:rsidR="003E4210">
          <w:rPr>
            <w:noProof/>
            <w:webHidden/>
          </w:rPr>
          <w:instrText xml:space="preserve"> PAGEREF _Toc259716843 \h </w:instrText>
        </w:r>
        <w:r>
          <w:rPr>
            <w:noProof/>
            <w:webHidden/>
          </w:rPr>
        </w:r>
        <w:r>
          <w:rPr>
            <w:noProof/>
            <w:webHidden/>
          </w:rPr>
          <w:fldChar w:fldCharType="separate"/>
        </w:r>
        <w:r w:rsidR="003E4210">
          <w:rPr>
            <w:noProof/>
            <w:webHidden/>
          </w:rPr>
          <w:t>24</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6844" w:history="1">
        <w:r w:rsidR="003E4210" w:rsidRPr="005B500B">
          <w:rPr>
            <w:rStyle w:val="Hyperlink"/>
            <w:noProof/>
            <w:lang w:eastAsia="ko-KR"/>
          </w:rPr>
          <w:t>5.4 Overview of the services</w:t>
        </w:r>
        <w:r w:rsidR="003E4210">
          <w:rPr>
            <w:noProof/>
            <w:webHidden/>
          </w:rPr>
          <w:tab/>
        </w:r>
        <w:r>
          <w:rPr>
            <w:noProof/>
            <w:webHidden/>
          </w:rPr>
          <w:fldChar w:fldCharType="begin"/>
        </w:r>
        <w:r w:rsidR="003E4210">
          <w:rPr>
            <w:noProof/>
            <w:webHidden/>
          </w:rPr>
          <w:instrText xml:space="preserve"> PAGEREF _Toc259716844 \h </w:instrText>
        </w:r>
        <w:r>
          <w:rPr>
            <w:noProof/>
            <w:webHidden/>
          </w:rPr>
        </w:r>
        <w:r>
          <w:rPr>
            <w:noProof/>
            <w:webHidden/>
          </w:rPr>
          <w:fldChar w:fldCharType="separate"/>
        </w:r>
        <w:r w:rsidR="003E4210">
          <w:rPr>
            <w:noProof/>
            <w:webHidden/>
          </w:rPr>
          <w:t>24</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6845" w:history="1">
        <w:r w:rsidR="003E4210" w:rsidRPr="005B500B">
          <w:rPr>
            <w:rStyle w:val="Hyperlink"/>
            <w:noProof/>
            <w:lang w:eastAsia="ko-KR"/>
          </w:rPr>
          <w:t>5.6 Differences between ESS, PBSS and IBSS LANs</w:t>
        </w:r>
        <w:r w:rsidR="003E4210">
          <w:rPr>
            <w:noProof/>
            <w:webHidden/>
          </w:rPr>
          <w:tab/>
        </w:r>
        <w:r>
          <w:rPr>
            <w:noProof/>
            <w:webHidden/>
          </w:rPr>
          <w:fldChar w:fldCharType="begin"/>
        </w:r>
        <w:r w:rsidR="003E4210">
          <w:rPr>
            <w:noProof/>
            <w:webHidden/>
          </w:rPr>
          <w:instrText xml:space="preserve"> PAGEREF _Toc259716845 \h </w:instrText>
        </w:r>
        <w:r>
          <w:rPr>
            <w:noProof/>
            <w:webHidden/>
          </w:rPr>
        </w:r>
        <w:r>
          <w:rPr>
            <w:noProof/>
            <w:webHidden/>
          </w:rPr>
          <w:fldChar w:fldCharType="separate"/>
        </w:r>
        <w:r w:rsidR="003E4210">
          <w:rPr>
            <w:noProof/>
            <w:webHidden/>
          </w:rPr>
          <w:t>25</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6846" w:history="1">
        <w:r w:rsidR="003E4210" w:rsidRPr="005B500B">
          <w:rPr>
            <w:rStyle w:val="Hyperlink"/>
            <w:noProof/>
            <w:lang w:eastAsia="ko-KR"/>
          </w:rPr>
          <w:t>5.8 IEEE Std 802.11 and IEEE Std 802.1X-2004</w:t>
        </w:r>
        <w:r w:rsidR="003E4210">
          <w:rPr>
            <w:noProof/>
            <w:webHidden/>
          </w:rPr>
          <w:tab/>
        </w:r>
        <w:r>
          <w:rPr>
            <w:noProof/>
            <w:webHidden/>
          </w:rPr>
          <w:fldChar w:fldCharType="begin"/>
        </w:r>
        <w:r w:rsidR="003E4210">
          <w:rPr>
            <w:noProof/>
            <w:webHidden/>
          </w:rPr>
          <w:instrText xml:space="preserve"> PAGEREF _Toc259716846 \h </w:instrText>
        </w:r>
        <w:r>
          <w:rPr>
            <w:noProof/>
            <w:webHidden/>
          </w:rPr>
        </w:r>
        <w:r>
          <w:rPr>
            <w:noProof/>
            <w:webHidden/>
          </w:rPr>
          <w:fldChar w:fldCharType="separate"/>
        </w:r>
        <w:r w:rsidR="003E4210">
          <w:rPr>
            <w:noProof/>
            <w:webHidden/>
          </w:rPr>
          <w:t>26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7" w:history="1">
        <w:r w:rsidR="003E4210" w:rsidRPr="005B500B">
          <w:rPr>
            <w:rStyle w:val="Hyperlink"/>
            <w:noProof/>
            <w:lang w:eastAsia="ko-KR"/>
          </w:rPr>
          <w:t>5.8.3a PBSS functional model description</w:t>
        </w:r>
        <w:r w:rsidR="003E4210">
          <w:rPr>
            <w:noProof/>
            <w:webHidden/>
          </w:rPr>
          <w:tab/>
        </w:r>
        <w:r>
          <w:rPr>
            <w:noProof/>
            <w:webHidden/>
          </w:rPr>
          <w:fldChar w:fldCharType="begin"/>
        </w:r>
        <w:r w:rsidR="003E4210">
          <w:rPr>
            <w:noProof/>
            <w:webHidden/>
          </w:rPr>
          <w:instrText xml:space="preserve"> PAGEREF _Toc259716847 \h </w:instrText>
        </w:r>
        <w:r>
          <w:rPr>
            <w:noProof/>
            <w:webHidden/>
          </w:rPr>
        </w:r>
        <w:r>
          <w:rPr>
            <w:noProof/>
            <w:webHidden/>
          </w:rPr>
          <w:fldChar w:fldCharType="separate"/>
        </w:r>
        <w:r w:rsidR="003E4210">
          <w:rPr>
            <w:noProof/>
            <w:webHidden/>
          </w:rPr>
          <w:t>26</w:t>
        </w:r>
        <w:r>
          <w:rPr>
            <w:noProof/>
            <w:webHidden/>
          </w:rPr>
          <w:fldChar w:fldCharType="end"/>
        </w:r>
      </w:hyperlink>
    </w:p>
    <w:p w:rsidR="003E4210" w:rsidRDefault="00BD151C">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6848" w:history="1">
        <w:r w:rsidR="003E4210" w:rsidRPr="005B500B">
          <w:rPr>
            <w:rStyle w:val="Hyperlink"/>
            <w:noProof/>
          </w:rPr>
          <w:t>7 Frame formats</w:t>
        </w:r>
        <w:r w:rsidR="003E4210">
          <w:rPr>
            <w:noProof/>
            <w:webHidden/>
          </w:rPr>
          <w:tab/>
        </w:r>
        <w:r>
          <w:rPr>
            <w:noProof/>
            <w:webHidden/>
          </w:rPr>
          <w:fldChar w:fldCharType="begin"/>
        </w:r>
        <w:r w:rsidR="003E4210">
          <w:rPr>
            <w:noProof/>
            <w:webHidden/>
          </w:rPr>
          <w:instrText xml:space="preserve"> PAGEREF _Toc259716848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6849" w:history="1">
        <w:r w:rsidR="003E4210" w:rsidRPr="005B500B">
          <w:rPr>
            <w:rStyle w:val="Hyperlink"/>
            <w:noProof/>
          </w:rPr>
          <w:t>7.1 MAC frame formats</w:t>
        </w:r>
        <w:r w:rsidR="003E4210">
          <w:rPr>
            <w:noProof/>
            <w:webHidden/>
          </w:rPr>
          <w:tab/>
        </w:r>
        <w:r>
          <w:rPr>
            <w:noProof/>
            <w:webHidden/>
          </w:rPr>
          <w:fldChar w:fldCharType="begin"/>
        </w:r>
        <w:r w:rsidR="003E4210">
          <w:rPr>
            <w:noProof/>
            <w:webHidden/>
          </w:rPr>
          <w:instrText xml:space="preserve"> PAGEREF _Toc259716849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50" w:history="1">
        <w:r w:rsidR="003E4210" w:rsidRPr="005B500B">
          <w:rPr>
            <w:rStyle w:val="Hyperlink"/>
            <w:noProof/>
          </w:rPr>
          <w:t>7.1.2 General frame format</w:t>
        </w:r>
        <w:r w:rsidR="003E4210">
          <w:rPr>
            <w:noProof/>
            <w:webHidden/>
          </w:rPr>
          <w:tab/>
        </w:r>
        <w:r>
          <w:rPr>
            <w:noProof/>
            <w:webHidden/>
          </w:rPr>
          <w:fldChar w:fldCharType="begin"/>
        </w:r>
        <w:r w:rsidR="003E4210">
          <w:rPr>
            <w:noProof/>
            <w:webHidden/>
          </w:rPr>
          <w:instrText xml:space="preserve"> PAGEREF _Toc259716850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51" w:history="1">
        <w:r w:rsidR="003E4210" w:rsidRPr="005B500B">
          <w:rPr>
            <w:rStyle w:val="Hyperlink"/>
            <w:noProof/>
          </w:rPr>
          <w:t>7.1.3 Frame fields</w:t>
        </w:r>
        <w:r w:rsidR="003E4210">
          <w:rPr>
            <w:noProof/>
            <w:webHidden/>
          </w:rPr>
          <w:tab/>
        </w:r>
        <w:r>
          <w:rPr>
            <w:noProof/>
            <w:webHidden/>
          </w:rPr>
          <w:fldChar w:fldCharType="begin"/>
        </w:r>
        <w:r w:rsidR="003E4210">
          <w:rPr>
            <w:noProof/>
            <w:webHidden/>
          </w:rPr>
          <w:instrText xml:space="preserve"> PAGEREF _Toc259716851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852" w:history="1">
        <w:r w:rsidR="003E4210" w:rsidRPr="005B500B">
          <w:rPr>
            <w:rStyle w:val="Hyperlink"/>
            <w:noProof/>
          </w:rPr>
          <w:t>7.1.3.1 Frame Control field</w:t>
        </w:r>
        <w:r w:rsidR="003E4210">
          <w:rPr>
            <w:noProof/>
            <w:webHidden/>
          </w:rPr>
          <w:tab/>
        </w:r>
        <w:r>
          <w:rPr>
            <w:noProof/>
            <w:webHidden/>
          </w:rPr>
          <w:fldChar w:fldCharType="begin"/>
        </w:r>
        <w:r w:rsidR="003E4210">
          <w:rPr>
            <w:noProof/>
            <w:webHidden/>
          </w:rPr>
          <w:instrText xml:space="preserve"> PAGEREF _Toc259716852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3" w:history="1">
        <w:r w:rsidR="003E4210" w:rsidRPr="005B500B">
          <w:rPr>
            <w:rStyle w:val="Hyperlink"/>
            <w:noProof/>
          </w:rPr>
          <w:t>7.1.3.1.2</w:t>
        </w:r>
        <w:r w:rsidR="003E4210">
          <w:rPr>
            <w:rFonts w:asciiTheme="minorHAnsi" w:eastAsiaTheme="minorEastAsia" w:hAnsiTheme="minorHAnsi" w:cstheme="minorBidi"/>
            <w:noProof/>
            <w:sz w:val="22"/>
            <w:szCs w:val="22"/>
            <w:lang w:bidi="ar-SA"/>
          </w:rPr>
          <w:tab/>
        </w:r>
        <w:r w:rsidR="003E4210" w:rsidRPr="005B500B">
          <w:rPr>
            <w:rStyle w:val="Hyperlink"/>
            <w:noProof/>
          </w:rPr>
          <w:t>Type and Subtype fields</w:t>
        </w:r>
        <w:r w:rsidR="003E4210">
          <w:rPr>
            <w:noProof/>
            <w:webHidden/>
          </w:rPr>
          <w:tab/>
        </w:r>
        <w:r>
          <w:rPr>
            <w:noProof/>
            <w:webHidden/>
          </w:rPr>
          <w:fldChar w:fldCharType="begin"/>
        </w:r>
        <w:r w:rsidR="003E4210">
          <w:rPr>
            <w:noProof/>
            <w:webHidden/>
          </w:rPr>
          <w:instrText xml:space="preserve"> PAGEREF _Toc259716853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4" w:history="1">
        <w:r w:rsidR="003E4210" w:rsidRPr="005B500B">
          <w:rPr>
            <w:rStyle w:val="Hyperlink"/>
            <w:noProof/>
          </w:rPr>
          <w:t>7.1.3.1.3</w:t>
        </w:r>
        <w:r w:rsidR="003E4210">
          <w:rPr>
            <w:rFonts w:asciiTheme="minorHAnsi" w:eastAsiaTheme="minorEastAsia" w:hAnsiTheme="minorHAnsi" w:cstheme="minorBidi"/>
            <w:noProof/>
            <w:sz w:val="22"/>
            <w:szCs w:val="22"/>
            <w:lang w:bidi="ar-SA"/>
          </w:rPr>
          <w:tab/>
        </w:r>
        <w:r w:rsidR="003E4210" w:rsidRPr="005B500B">
          <w:rPr>
            <w:rStyle w:val="Hyperlink"/>
            <w:noProof/>
          </w:rPr>
          <w:t>To DS and From DS fields</w:t>
        </w:r>
        <w:r w:rsidR="003E4210">
          <w:rPr>
            <w:noProof/>
            <w:webHidden/>
          </w:rPr>
          <w:tab/>
        </w:r>
        <w:r>
          <w:rPr>
            <w:noProof/>
            <w:webHidden/>
          </w:rPr>
          <w:fldChar w:fldCharType="begin"/>
        </w:r>
        <w:r w:rsidR="003E4210">
          <w:rPr>
            <w:noProof/>
            <w:webHidden/>
          </w:rPr>
          <w:instrText xml:space="preserve"> PAGEREF _Toc259716854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5" w:history="1">
        <w:r w:rsidR="003E4210" w:rsidRPr="005B500B">
          <w:rPr>
            <w:rStyle w:val="Hyperlink"/>
            <w:noProof/>
          </w:rPr>
          <w:t>7.1.3.1.4</w:t>
        </w:r>
        <w:r w:rsidR="003E4210">
          <w:rPr>
            <w:rFonts w:asciiTheme="minorHAnsi" w:eastAsiaTheme="minorEastAsia" w:hAnsiTheme="minorHAnsi" w:cstheme="minorBidi"/>
            <w:noProof/>
            <w:sz w:val="22"/>
            <w:szCs w:val="22"/>
            <w:lang w:bidi="ar-SA"/>
          </w:rPr>
          <w:tab/>
        </w:r>
        <w:r w:rsidR="003E4210" w:rsidRPr="005B500B">
          <w:rPr>
            <w:rStyle w:val="Hyperlink"/>
            <w:noProof/>
          </w:rPr>
          <w:t>More Fragments field</w:t>
        </w:r>
        <w:r w:rsidR="003E4210">
          <w:rPr>
            <w:noProof/>
            <w:webHidden/>
          </w:rPr>
          <w:tab/>
        </w:r>
        <w:r>
          <w:rPr>
            <w:noProof/>
            <w:webHidden/>
          </w:rPr>
          <w:fldChar w:fldCharType="begin"/>
        </w:r>
        <w:r w:rsidR="003E4210">
          <w:rPr>
            <w:noProof/>
            <w:webHidden/>
          </w:rPr>
          <w:instrText xml:space="preserve"> PAGEREF _Toc259716855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6" w:history="1">
        <w:r w:rsidR="003E4210" w:rsidRPr="005B500B">
          <w:rPr>
            <w:rStyle w:val="Hyperlink"/>
            <w:noProof/>
          </w:rPr>
          <w:t>7.1.3.1.5</w:t>
        </w:r>
        <w:r w:rsidR="003E4210">
          <w:rPr>
            <w:rFonts w:asciiTheme="minorHAnsi" w:eastAsiaTheme="minorEastAsia" w:hAnsiTheme="minorHAnsi" w:cstheme="minorBidi"/>
            <w:noProof/>
            <w:sz w:val="22"/>
            <w:szCs w:val="22"/>
            <w:lang w:bidi="ar-SA"/>
          </w:rPr>
          <w:tab/>
        </w:r>
        <w:r w:rsidR="003E4210" w:rsidRPr="005B500B">
          <w:rPr>
            <w:rStyle w:val="Hyperlink"/>
            <w:noProof/>
          </w:rPr>
          <w:t>Retry field</w:t>
        </w:r>
        <w:r w:rsidR="003E4210">
          <w:rPr>
            <w:noProof/>
            <w:webHidden/>
          </w:rPr>
          <w:tab/>
        </w:r>
        <w:r>
          <w:rPr>
            <w:noProof/>
            <w:webHidden/>
          </w:rPr>
          <w:fldChar w:fldCharType="begin"/>
        </w:r>
        <w:r w:rsidR="003E4210">
          <w:rPr>
            <w:noProof/>
            <w:webHidden/>
          </w:rPr>
          <w:instrText xml:space="preserve"> PAGEREF _Toc259716856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7" w:history="1">
        <w:r w:rsidR="003E4210" w:rsidRPr="005B500B">
          <w:rPr>
            <w:rStyle w:val="Hyperlink"/>
            <w:noProof/>
          </w:rPr>
          <w:t>7.1.3.1.7</w:t>
        </w:r>
        <w:r w:rsidR="003E4210">
          <w:rPr>
            <w:rFonts w:asciiTheme="minorHAnsi" w:eastAsiaTheme="minorEastAsia" w:hAnsiTheme="minorHAnsi" w:cstheme="minorBidi"/>
            <w:noProof/>
            <w:sz w:val="22"/>
            <w:szCs w:val="22"/>
            <w:lang w:bidi="ar-SA"/>
          </w:rPr>
          <w:tab/>
        </w:r>
        <w:r w:rsidR="003E4210" w:rsidRPr="005B500B">
          <w:rPr>
            <w:rStyle w:val="Hyperlink"/>
            <w:noProof/>
          </w:rPr>
          <w:t>More Data field</w:t>
        </w:r>
        <w:r w:rsidR="003E4210">
          <w:rPr>
            <w:noProof/>
            <w:webHidden/>
          </w:rPr>
          <w:tab/>
        </w:r>
        <w:r>
          <w:rPr>
            <w:noProof/>
            <w:webHidden/>
          </w:rPr>
          <w:fldChar w:fldCharType="begin"/>
        </w:r>
        <w:r w:rsidR="003E4210">
          <w:rPr>
            <w:noProof/>
            <w:webHidden/>
          </w:rPr>
          <w:instrText xml:space="preserve"> PAGEREF _Toc259716857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8" w:history="1">
        <w:r w:rsidR="003E4210" w:rsidRPr="005B500B">
          <w:rPr>
            <w:rStyle w:val="Hyperlink"/>
            <w:noProof/>
          </w:rPr>
          <w:t>7.1.3.1.8</w:t>
        </w:r>
        <w:r w:rsidR="003E4210">
          <w:rPr>
            <w:rFonts w:asciiTheme="minorHAnsi" w:eastAsiaTheme="minorEastAsia" w:hAnsiTheme="minorHAnsi" w:cstheme="minorBidi"/>
            <w:noProof/>
            <w:sz w:val="22"/>
            <w:szCs w:val="22"/>
            <w:lang w:bidi="ar-SA"/>
          </w:rPr>
          <w:tab/>
        </w:r>
        <w:r w:rsidR="003E4210" w:rsidRPr="005B500B">
          <w:rPr>
            <w:rStyle w:val="Hyperlink"/>
            <w:noProof/>
          </w:rPr>
          <w:t>Protected Frame field</w:t>
        </w:r>
        <w:r w:rsidR="003E4210">
          <w:rPr>
            <w:noProof/>
            <w:webHidden/>
          </w:rPr>
          <w:tab/>
        </w:r>
        <w:r>
          <w:rPr>
            <w:noProof/>
            <w:webHidden/>
          </w:rPr>
          <w:fldChar w:fldCharType="begin"/>
        </w:r>
        <w:r w:rsidR="003E4210">
          <w:rPr>
            <w:noProof/>
            <w:webHidden/>
          </w:rPr>
          <w:instrText xml:space="preserve"> PAGEREF _Toc259716858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9" w:history="1">
        <w:r w:rsidR="003E4210" w:rsidRPr="005B500B">
          <w:rPr>
            <w:rStyle w:val="Hyperlink"/>
            <w:noProof/>
          </w:rPr>
          <w:t>7.1.3.1.9</w:t>
        </w:r>
        <w:r w:rsidR="003E4210">
          <w:rPr>
            <w:rFonts w:asciiTheme="minorHAnsi" w:eastAsiaTheme="minorEastAsia" w:hAnsiTheme="minorHAnsi" w:cstheme="minorBidi"/>
            <w:noProof/>
            <w:sz w:val="22"/>
            <w:szCs w:val="22"/>
            <w:lang w:bidi="ar-SA"/>
          </w:rPr>
          <w:tab/>
        </w:r>
        <w:r w:rsidR="003E4210" w:rsidRPr="005B500B">
          <w:rPr>
            <w:rStyle w:val="Hyperlink"/>
            <w:noProof/>
          </w:rPr>
          <w:t>Order field</w:t>
        </w:r>
        <w:r w:rsidR="003E4210">
          <w:rPr>
            <w:noProof/>
            <w:webHidden/>
          </w:rPr>
          <w:tab/>
        </w:r>
        <w:r>
          <w:rPr>
            <w:noProof/>
            <w:webHidden/>
          </w:rPr>
          <w:fldChar w:fldCharType="begin"/>
        </w:r>
        <w:r w:rsidR="003E4210">
          <w:rPr>
            <w:noProof/>
            <w:webHidden/>
          </w:rPr>
          <w:instrText xml:space="preserve"> PAGEREF _Toc259716859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60" w:history="1">
        <w:r w:rsidR="003E4210" w:rsidRPr="005B500B">
          <w:rPr>
            <w:rStyle w:val="Hyperlink"/>
            <w:noProof/>
          </w:rPr>
          <w:t>7.1.3.2</w:t>
        </w:r>
        <w:r w:rsidR="003E4210">
          <w:rPr>
            <w:rFonts w:asciiTheme="minorHAnsi" w:eastAsiaTheme="minorEastAsia" w:hAnsiTheme="minorHAnsi" w:cstheme="minorBidi"/>
            <w:noProof/>
            <w:sz w:val="22"/>
            <w:szCs w:val="22"/>
            <w:lang w:bidi="ar-SA"/>
          </w:rPr>
          <w:tab/>
        </w:r>
        <w:r w:rsidR="003E4210" w:rsidRPr="005B500B">
          <w:rPr>
            <w:rStyle w:val="Hyperlink"/>
            <w:noProof/>
          </w:rPr>
          <w:t>Duration/ID field</w:t>
        </w:r>
        <w:r w:rsidR="003E4210">
          <w:rPr>
            <w:noProof/>
            <w:webHidden/>
          </w:rPr>
          <w:tab/>
        </w:r>
        <w:r>
          <w:rPr>
            <w:noProof/>
            <w:webHidden/>
          </w:rPr>
          <w:fldChar w:fldCharType="begin"/>
        </w:r>
        <w:r w:rsidR="003E4210">
          <w:rPr>
            <w:noProof/>
            <w:webHidden/>
          </w:rPr>
          <w:instrText xml:space="preserve"> PAGEREF _Toc259716860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61" w:history="1">
        <w:r w:rsidR="003E4210" w:rsidRPr="005B500B">
          <w:rPr>
            <w:rStyle w:val="Hyperlink"/>
            <w:noProof/>
          </w:rPr>
          <w:t>7.1.3.3</w:t>
        </w:r>
        <w:r w:rsidR="003E4210">
          <w:rPr>
            <w:rFonts w:asciiTheme="minorHAnsi" w:eastAsiaTheme="minorEastAsia" w:hAnsiTheme="minorHAnsi" w:cstheme="minorBidi"/>
            <w:noProof/>
            <w:sz w:val="22"/>
            <w:szCs w:val="22"/>
            <w:lang w:bidi="ar-SA"/>
          </w:rPr>
          <w:tab/>
        </w:r>
        <w:r w:rsidR="003E4210" w:rsidRPr="005B500B">
          <w:rPr>
            <w:rStyle w:val="Hyperlink"/>
            <w:noProof/>
          </w:rPr>
          <w:t>Address fields</w:t>
        </w:r>
        <w:r w:rsidR="003E4210">
          <w:rPr>
            <w:noProof/>
            <w:webHidden/>
          </w:rPr>
          <w:tab/>
        </w:r>
        <w:r>
          <w:rPr>
            <w:noProof/>
            <w:webHidden/>
          </w:rPr>
          <w:fldChar w:fldCharType="begin"/>
        </w:r>
        <w:r w:rsidR="003E4210">
          <w:rPr>
            <w:noProof/>
            <w:webHidden/>
          </w:rPr>
          <w:instrText xml:space="preserve"> PAGEREF _Toc259716861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6862" w:history="1">
        <w:r w:rsidR="003E4210" w:rsidRPr="005B500B">
          <w:rPr>
            <w:rStyle w:val="Hyperlink"/>
            <w:noProof/>
          </w:rPr>
          <w:t>7.1.3.3.3 BSSID field</w:t>
        </w:r>
        <w:r w:rsidR="003E4210">
          <w:rPr>
            <w:noProof/>
            <w:webHidden/>
          </w:rPr>
          <w:tab/>
        </w:r>
        <w:r>
          <w:rPr>
            <w:noProof/>
            <w:webHidden/>
          </w:rPr>
          <w:fldChar w:fldCharType="begin"/>
        </w:r>
        <w:r w:rsidR="003E4210">
          <w:rPr>
            <w:noProof/>
            <w:webHidden/>
          </w:rPr>
          <w:instrText xml:space="preserve"> PAGEREF _Toc259716862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63" w:history="1">
        <w:r w:rsidR="003E4210" w:rsidRPr="005B500B">
          <w:rPr>
            <w:rStyle w:val="Hyperlink"/>
            <w:noProof/>
          </w:rPr>
          <w:t>7.1.3.5</w:t>
        </w:r>
        <w:r w:rsidR="003E4210">
          <w:rPr>
            <w:rFonts w:asciiTheme="minorHAnsi" w:eastAsiaTheme="minorEastAsia" w:hAnsiTheme="minorHAnsi" w:cstheme="minorBidi"/>
            <w:noProof/>
            <w:sz w:val="22"/>
            <w:szCs w:val="22"/>
            <w:lang w:bidi="ar-SA"/>
          </w:rPr>
          <w:tab/>
        </w:r>
        <w:r w:rsidR="003E4210" w:rsidRPr="005B500B">
          <w:rPr>
            <w:rStyle w:val="Hyperlink"/>
            <w:noProof/>
          </w:rPr>
          <w:t>QoS Control field</w:t>
        </w:r>
        <w:r w:rsidR="003E4210">
          <w:rPr>
            <w:noProof/>
            <w:webHidden/>
          </w:rPr>
          <w:tab/>
        </w:r>
        <w:r>
          <w:rPr>
            <w:noProof/>
            <w:webHidden/>
          </w:rPr>
          <w:fldChar w:fldCharType="begin"/>
        </w:r>
        <w:r w:rsidR="003E4210">
          <w:rPr>
            <w:noProof/>
            <w:webHidden/>
          </w:rPr>
          <w:instrText xml:space="preserve"> PAGEREF _Toc259716863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64" w:history="1">
        <w:r w:rsidR="003E4210" w:rsidRPr="005B500B">
          <w:rPr>
            <w:rStyle w:val="Hyperlink"/>
            <w:noProof/>
          </w:rPr>
          <w:t>7.1.3.5.1</w:t>
        </w:r>
        <w:r w:rsidR="003E4210">
          <w:rPr>
            <w:rFonts w:asciiTheme="minorHAnsi" w:eastAsiaTheme="minorEastAsia" w:hAnsiTheme="minorHAnsi" w:cstheme="minorBidi"/>
            <w:noProof/>
            <w:sz w:val="22"/>
            <w:szCs w:val="22"/>
            <w:lang w:bidi="ar-SA"/>
          </w:rPr>
          <w:tab/>
        </w:r>
        <w:r w:rsidR="003E4210" w:rsidRPr="005B500B">
          <w:rPr>
            <w:rStyle w:val="Hyperlink"/>
            <w:noProof/>
          </w:rPr>
          <w:t>TID subfield</w:t>
        </w:r>
        <w:r w:rsidR="003E4210">
          <w:rPr>
            <w:noProof/>
            <w:webHidden/>
          </w:rPr>
          <w:tab/>
        </w:r>
        <w:r>
          <w:rPr>
            <w:noProof/>
            <w:webHidden/>
          </w:rPr>
          <w:fldChar w:fldCharType="begin"/>
        </w:r>
        <w:r w:rsidR="003E4210">
          <w:rPr>
            <w:noProof/>
            <w:webHidden/>
          </w:rPr>
          <w:instrText xml:space="preserve"> PAGEREF _Toc259716864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65" w:history="1">
        <w:r w:rsidR="003E4210" w:rsidRPr="005B500B">
          <w:rPr>
            <w:rStyle w:val="Hyperlink"/>
            <w:noProof/>
          </w:rPr>
          <w:t>7.1.3.5.2</w:t>
        </w:r>
        <w:r w:rsidR="003E4210">
          <w:rPr>
            <w:rFonts w:asciiTheme="minorHAnsi" w:eastAsiaTheme="minorEastAsia" w:hAnsiTheme="minorHAnsi" w:cstheme="minorBidi"/>
            <w:noProof/>
            <w:sz w:val="22"/>
            <w:szCs w:val="22"/>
            <w:lang w:bidi="ar-SA"/>
          </w:rPr>
          <w:tab/>
        </w:r>
        <w:r w:rsidR="003E4210" w:rsidRPr="005B500B">
          <w:rPr>
            <w:rStyle w:val="Hyperlink"/>
            <w:noProof/>
          </w:rPr>
          <w:t>EOSP subfield</w:t>
        </w:r>
        <w:r w:rsidR="003E4210">
          <w:rPr>
            <w:noProof/>
            <w:webHidden/>
          </w:rPr>
          <w:tab/>
        </w:r>
        <w:r>
          <w:rPr>
            <w:noProof/>
            <w:webHidden/>
          </w:rPr>
          <w:fldChar w:fldCharType="begin"/>
        </w:r>
        <w:r w:rsidR="003E4210">
          <w:rPr>
            <w:noProof/>
            <w:webHidden/>
          </w:rPr>
          <w:instrText xml:space="preserve"> PAGEREF _Toc259716865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6866" w:history="1">
        <w:r w:rsidR="003E4210" w:rsidRPr="005B500B">
          <w:rPr>
            <w:rStyle w:val="Hyperlink"/>
            <w:noProof/>
          </w:rPr>
          <w:t>7.1.3.5.8 A-MSDU Present subfield</w:t>
        </w:r>
        <w:r w:rsidR="003E4210">
          <w:rPr>
            <w:noProof/>
            <w:webHidden/>
          </w:rPr>
          <w:tab/>
        </w:r>
        <w:r>
          <w:rPr>
            <w:noProof/>
            <w:webHidden/>
          </w:rPr>
          <w:fldChar w:fldCharType="begin"/>
        </w:r>
        <w:r w:rsidR="003E4210">
          <w:rPr>
            <w:noProof/>
            <w:webHidden/>
          </w:rPr>
          <w:instrText xml:space="preserve"> PAGEREF _Toc259716866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6867" w:history="1">
        <w:r w:rsidR="003E4210" w:rsidRPr="005B500B">
          <w:rPr>
            <w:rStyle w:val="Hyperlink"/>
            <w:noProof/>
          </w:rPr>
          <w:t>7.2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Format of individual frame types</w:t>
        </w:r>
        <w:r w:rsidR="003E4210">
          <w:rPr>
            <w:noProof/>
            <w:webHidden/>
          </w:rPr>
          <w:tab/>
        </w:r>
        <w:r>
          <w:rPr>
            <w:noProof/>
            <w:webHidden/>
          </w:rPr>
          <w:fldChar w:fldCharType="begin"/>
        </w:r>
        <w:r w:rsidR="003E4210">
          <w:rPr>
            <w:noProof/>
            <w:webHidden/>
          </w:rPr>
          <w:instrText xml:space="preserve"> PAGEREF _Toc259716867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68" w:history="1">
        <w:r w:rsidR="003E4210" w:rsidRPr="005B500B">
          <w:rPr>
            <w:rStyle w:val="Hyperlink"/>
            <w:noProof/>
          </w:rPr>
          <w:t>7.2.1 Control frames</w:t>
        </w:r>
        <w:r w:rsidR="003E4210">
          <w:rPr>
            <w:noProof/>
            <w:webHidden/>
          </w:rPr>
          <w:tab/>
        </w:r>
        <w:r>
          <w:rPr>
            <w:noProof/>
            <w:webHidden/>
          </w:rPr>
          <w:fldChar w:fldCharType="begin"/>
        </w:r>
        <w:r w:rsidR="003E4210">
          <w:rPr>
            <w:noProof/>
            <w:webHidden/>
          </w:rPr>
          <w:instrText xml:space="preserve"> PAGEREF _Toc259716868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869" w:history="1">
        <w:r w:rsidR="003E4210" w:rsidRPr="005B500B">
          <w:rPr>
            <w:rStyle w:val="Hyperlink"/>
            <w:noProof/>
          </w:rPr>
          <w:t>7.2.1.1 RTS frame format</w:t>
        </w:r>
        <w:r w:rsidR="003E4210">
          <w:rPr>
            <w:noProof/>
            <w:webHidden/>
          </w:rPr>
          <w:tab/>
        </w:r>
        <w:r>
          <w:rPr>
            <w:noProof/>
            <w:webHidden/>
          </w:rPr>
          <w:fldChar w:fldCharType="begin"/>
        </w:r>
        <w:r w:rsidR="003E4210">
          <w:rPr>
            <w:noProof/>
            <w:webHidden/>
          </w:rPr>
          <w:instrText xml:space="preserve"> PAGEREF _Toc259716869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870" w:history="1">
        <w:r w:rsidR="003E4210" w:rsidRPr="005B500B">
          <w:rPr>
            <w:rStyle w:val="Hyperlink"/>
            <w:noProof/>
          </w:rPr>
          <w:t>7.2.1.2 CTS frame format</w:t>
        </w:r>
        <w:r w:rsidR="003E4210">
          <w:rPr>
            <w:noProof/>
            <w:webHidden/>
          </w:rPr>
          <w:tab/>
        </w:r>
        <w:r>
          <w:rPr>
            <w:noProof/>
            <w:webHidden/>
          </w:rPr>
          <w:fldChar w:fldCharType="begin"/>
        </w:r>
        <w:r w:rsidR="003E4210">
          <w:rPr>
            <w:noProof/>
            <w:webHidden/>
          </w:rPr>
          <w:instrText xml:space="preserve"> PAGEREF _Toc259716870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1" w:history="1">
        <w:r w:rsidR="003E4210" w:rsidRPr="005B500B">
          <w:rPr>
            <w:rStyle w:val="Hyperlink"/>
            <w:noProof/>
          </w:rPr>
          <w:t>7.2.1.4</w:t>
        </w:r>
        <w:r w:rsidR="003E4210">
          <w:rPr>
            <w:rFonts w:asciiTheme="minorHAnsi" w:eastAsiaTheme="minorEastAsia" w:hAnsiTheme="minorHAnsi" w:cstheme="minorBidi"/>
            <w:noProof/>
            <w:sz w:val="22"/>
            <w:szCs w:val="22"/>
            <w:lang w:bidi="ar-SA"/>
          </w:rPr>
          <w:tab/>
        </w:r>
        <w:r w:rsidR="003E4210" w:rsidRPr="005B500B">
          <w:rPr>
            <w:rStyle w:val="Hyperlink"/>
            <w:noProof/>
          </w:rPr>
          <w:t>PS-Poll frame format</w:t>
        </w:r>
        <w:r w:rsidR="003E4210">
          <w:rPr>
            <w:noProof/>
            <w:webHidden/>
          </w:rPr>
          <w:tab/>
        </w:r>
        <w:r>
          <w:rPr>
            <w:noProof/>
            <w:webHidden/>
          </w:rPr>
          <w:fldChar w:fldCharType="begin"/>
        </w:r>
        <w:r w:rsidR="003E4210">
          <w:rPr>
            <w:noProof/>
            <w:webHidden/>
          </w:rPr>
          <w:instrText xml:space="preserve"> PAGEREF _Toc259716871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2" w:history="1">
        <w:r w:rsidR="003E4210" w:rsidRPr="005B500B">
          <w:rPr>
            <w:rStyle w:val="Hyperlink"/>
            <w:noProof/>
          </w:rPr>
          <w:t>7.2.1.5</w:t>
        </w:r>
        <w:r w:rsidR="003E4210">
          <w:rPr>
            <w:rFonts w:asciiTheme="minorHAnsi" w:eastAsiaTheme="minorEastAsia" w:hAnsiTheme="minorHAnsi" w:cstheme="minorBidi"/>
            <w:noProof/>
            <w:sz w:val="22"/>
            <w:szCs w:val="22"/>
            <w:lang w:bidi="ar-SA"/>
          </w:rPr>
          <w:tab/>
        </w:r>
        <w:r w:rsidR="003E4210" w:rsidRPr="005B500B">
          <w:rPr>
            <w:rStyle w:val="Hyperlink"/>
            <w:noProof/>
          </w:rPr>
          <w:t>CF-End frame format</w:t>
        </w:r>
        <w:r w:rsidR="003E4210">
          <w:rPr>
            <w:noProof/>
            <w:webHidden/>
          </w:rPr>
          <w:tab/>
        </w:r>
        <w:r>
          <w:rPr>
            <w:noProof/>
            <w:webHidden/>
          </w:rPr>
          <w:fldChar w:fldCharType="begin"/>
        </w:r>
        <w:r w:rsidR="003E4210">
          <w:rPr>
            <w:noProof/>
            <w:webHidden/>
          </w:rPr>
          <w:instrText xml:space="preserve"> PAGEREF _Toc259716872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3" w:history="1">
        <w:r w:rsidR="003E4210" w:rsidRPr="005B500B">
          <w:rPr>
            <w:rStyle w:val="Hyperlink"/>
            <w:noProof/>
          </w:rPr>
          <w:t>7.2.1.6</w:t>
        </w:r>
        <w:r w:rsidR="003E4210">
          <w:rPr>
            <w:rFonts w:asciiTheme="minorHAnsi" w:eastAsiaTheme="minorEastAsia" w:hAnsiTheme="minorHAnsi" w:cstheme="minorBidi"/>
            <w:noProof/>
            <w:sz w:val="22"/>
            <w:szCs w:val="22"/>
            <w:lang w:bidi="ar-SA"/>
          </w:rPr>
          <w:tab/>
        </w:r>
        <w:r w:rsidR="003E4210" w:rsidRPr="005B500B">
          <w:rPr>
            <w:rStyle w:val="Hyperlink"/>
            <w:noProof/>
          </w:rPr>
          <w:t>CF-End+CF-Ack frame format</w:t>
        </w:r>
        <w:r w:rsidR="003E4210">
          <w:rPr>
            <w:noProof/>
            <w:webHidden/>
          </w:rPr>
          <w:tab/>
        </w:r>
        <w:r>
          <w:rPr>
            <w:noProof/>
            <w:webHidden/>
          </w:rPr>
          <w:fldChar w:fldCharType="begin"/>
        </w:r>
        <w:r w:rsidR="003E4210">
          <w:rPr>
            <w:noProof/>
            <w:webHidden/>
          </w:rPr>
          <w:instrText xml:space="preserve"> PAGEREF _Toc259716873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4" w:history="1">
        <w:r w:rsidR="003E4210" w:rsidRPr="005B500B">
          <w:rPr>
            <w:rStyle w:val="Hyperlink"/>
            <w:noProof/>
          </w:rPr>
          <w:t>7.2.1.7</w:t>
        </w:r>
        <w:r w:rsidR="003E4210">
          <w:rPr>
            <w:rFonts w:asciiTheme="minorHAnsi" w:eastAsiaTheme="minorEastAsia" w:hAnsiTheme="minorHAnsi" w:cstheme="minorBidi"/>
            <w:noProof/>
            <w:sz w:val="22"/>
            <w:szCs w:val="22"/>
            <w:lang w:bidi="ar-SA"/>
          </w:rPr>
          <w:tab/>
        </w:r>
        <w:r w:rsidR="003E4210" w:rsidRPr="005B500B">
          <w:rPr>
            <w:rStyle w:val="Hyperlink"/>
            <w:noProof/>
          </w:rPr>
          <w:t>Block Ack Request (BlockAckReq) frame format</w:t>
        </w:r>
        <w:r w:rsidR="003E4210">
          <w:rPr>
            <w:noProof/>
            <w:webHidden/>
          </w:rPr>
          <w:tab/>
        </w:r>
        <w:r>
          <w:rPr>
            <w:noProof/>
            <w:webHidden/>
          </w:rPr>
          <w:fldChar w:fldCharType="begin"/>
        </w:r>
        <w:r w:rsidR="003E4210">
          <w:rPr>
            <w:noProof/>
            <w:webHidden/>
          </w:rPr>
          <w:instrText xml:space="preserve"> PAGEREF _Toc259716874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5" w:history="1">
        <w:r w:rsidR="003E4210" w:rsidRPr="005B500B">
          <w:rPr>
            <w:rStyle w:val="Hyperlink"/>
            <w:noProof/>
          </w:rPr>
          <w:t>7.2.1.8</w:t>
        </w:r>
        <w:r w:rsidR="003E4210">
          <w:rPr>
            <w:rFonts w:asciiTheme="minorHAnsi" w:eastAsiaTheme="minorEastAsia" w:hAnsiTheme="minorHAnsi" w:cstheme="minorBidi"/>
            <w:noProof/>
            <w:sz w:val="22"/>
            <w:szCs w:val="22"/>
            <w:lang w:bidi="ar-SA"/>
          </w:rPr>
          <w:tab/>
        </w:r>
        <w:r w:rsidR="003E4210" w:rsidRPr="005B500B">
          <w:rPr>
            <w:rStyle w:val="Hyperlink"/>
            <w:noProof/>
          </w:rPr>
          <w:t>Block Ack (BlockAck) frame format</w:t>
        </w:r>
        <w:r w:rsidR="003E4210">
          <w:rPr>
            <w:noProof/>
            <w:webHidden/>
          </w:rPr>
          <w:tab/>
        </w:r>
        <w:r>
          <w:rPr>
            <w:noProof/>
            <w:webHidden/>
          </w:rPr>
          <w:fldChar w:fldCharType="begin"/>
        </w:r>
        <w:r w:rsidR="003E4210">
          <w:rPr>
            <w:noProof/>
            <w:webHidden/>
          </w:rPr>
          <w:instrText xml:space="preserve"> PAGEREF _Toc259716875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76" w:history="1">
        <w:r w:rsidR="003E4210" w:rsidRPr="005B500B">
          <w:rPr>
            <w:rStyle w:val="Hyperlink"/>
            <w:noProof/>
          </w:rPr>
          <w:t>7.2.1.8.1</w:t>
        </w:r>
        <w:r w:rsidR="003E4210">
          <w:rPr>
            <w:rFonts w:asciiTheme="minorHAnsi" w:eastAsiaTheme="minorEastAsia" w:hAnsiTheme="minorHAnsi" w:cstheme="minorBidi"/>
            <w:noProof/>
            <w:sz w:val="22"/>
            <w:szCs w:val="22"/>
            <w:lang w:bidi="ar-SA"/>
          </w:rPr>
          <w:tab/>
        </w:r>
        <w:r w:rsidR="003E4210" w:rsidRPr="005B500B">
          <w:rPr>
            <w:rStyle w:val="Hyperlink"/>
            <w:noProof/>
          </w:rPr>
          <w:t>Overview</w:t>
        </w:r>
        <w:r w:rsidR="003E4210">
          <w:rPr>
            <w:noProof/>
            <w:webHidden/>
          </w:rPr>
          <w:tab/>
        </w:r>
        <w:r>
          <w:rPr>
            <w:noProof/>
            <w:webHidden/>
          </w:rPr>
          <w:fldChar w:fldCharType="begin"/>
        </w:r>
        <w:r w:rsidR="003E4210">
          <w:rPr>
            <w:noProof/>
            <w:webHidden/>
          </w:rPr>
          <w:instrText xml:space="preserve"> PAGEREF _Toc259716876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77" w:history="1">
        <w:r w:rsidR="003E4210" w:rsidRPr="005B500B">
          <w:rPr>
            <w:rStyle w:val="Hyperlink"/>
            <w:noProof/>
          </w:rPr>
          <w:t>7.2.1.8.5</w:t>
        </w:r>
        <w:r w:rsidR="003E4210">
          <w:rPr>
            <w:rFonts w:asciiTheme="minorHAnsi" w:eastAsiaTheme="minorEastAsia" w:hAnsiTheme="minorHAnsi" w:cstheme="minorBidi"/>
            <w:noProof/>
            <w:sz w:val="22"/>
            <w:szCs w:val="22"/>
            <w:lang w:bidi="ar-SA"/>
          </w:rPr>
          <w:tab/>
        </w:r>
        <w:r w:rsidR="003E4210" w:rsidRPr="005B500B">
          <w:rPr>
            <w:rStyle w:val="Hyperlink"/>
            <w:noProof/>
          </w:rPr>
          <w:t>Extended Compressed BlockAck variant</w:t>
        </w:r>
        <w:r w:rsidR="003E4210">
          <w:rPr>
            <w:noProof/>
            <w:webHidden/>
          </w:rPr>
          <w:tab/>
        </w:r>
        <w:r>
          <w:rPr>
            <w:noProof/>
            <w:webHidden/>
          </w:rPr>
          <w:fldChar w:fldCharType="begin"/>
        </w:r>
        <w:r w:rsidR="003E4210">
          <w:rPr>
            <w:noProof/>
            <w:webHidden/>
          </w:rPr>
          <w:instrText xml:space="preserve"> PAGEREF _Toc259716877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8" w:history="1">
        <w:r w:rsidR="003E4210" w:rsidRPr="005B500B">
          <w:rPr>
            <w:rStyle w:val="Hyperlink"/>
            <w:noProof/>
          </w:rPr>
          <w:t>7.2.1.9</w:t>
        </w:r>
        <w:r w:rsidR="003E4210">
          <w:rPr>
            <w:rFonts w:asciiTheme="minorHAnsi" w:eastAsiaTheme="minorEastAsia" w:hAnsiTheme="minorHAnsi" w:cstheme="minorBidi"/>
            <w:noProof/>
            <w:sz w:val="22"/>
            <w:szCs w:val="22"/>
            <w:lang w:bidi="ar-SA"/>
          </w:rPr>
          <w:tab/>
        </w:r>
        <w:r w:rsidR="003E4210" w:rsidRPr="005B500B">
          <w:rPr>
            <w:rStyle w:val="Hyperlink"/>
            <w:noProof/>
          </w:rPr>
          <w:t>Control Wrapper frame</w:t>
        </w:r>
        <w:r w:rsidR="003E4210">
          <w:rPr>
            <w:noProof/>
            <w:webHidden/>
          </w:rPr>
          <w:tab/>
        </w:r>
        <w:r>
          <w:rPr>
            <w:noProof/>
            <w:webHidden/>
          </w:rPr>
          <w:fldChar w:fldCharType="begin"/>
        </w:r>
        <w:r w:rsidR="003E4210">
          <w:rPr>
            <w:noProof/>
            <w:webHidden/>
          </w:rPr>
          <w:instrText xml:space="preserve"> PAGEREF _Toc259716878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79" w:history="1">
        <w:r w:rsidR="003E4210" w:rsidRPr="005B500B">
          <w:rPr>
            <w:rStyle w:val="Hyperlink"/>
            <w:noProof/>
          </w:rPr>
          <w:t>7.2.1.10</w:t>
        </w:r>
        <w:r w:rsidR="003E4210">
          <w:rPr>
            <w:rFonts w:asciiTheme="minorHAnsi" w:eastAsiaTheme="minorEastAsia" w:hAnsiTheme="minorHAnsi" w:cstheme="minorBidi"/>
            <w:noProof/>
            <w:sz w:val="22"/>
            <w:szCs w:val="22"/>
            <w:lang w:bidi="ar-SA"/>
          </w:rPr>
          <w:tab/>
        </w:r>
        <w:r w:rsidR="003E4210" w:rsidRPr="005B500B">
          <w:rPr>
            <w:rStyle w:val="Hyperlink"/>
            <w:noProof/>
          </w:rPr>
          <w:t>Poll</w:t>
        </w:r>
        <w:r w:rsidR="003E4210">
          <w:rPr>
            <w:noProof/>
            <w:webHidden/>
          </w:rPr>
          <w:tab/>
        </w:r>
        <w:r>
          <w:rPr>
            <w:noProof/>
            <w:webHidden/>
          </w:rPr>
          <w:fldChar w:fldCharType="begin"/>
        </w:r>
        <w:r w:rsidR="003E4210">
          <w:rPr>
            <w:noProof/>
            <w:webHidden/>
          </w:rPr>
          <w:instrText xml:space="preserve"> PAGEREF _Toc259716879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0" w:history="1">
        <w:r w:rsidR="003E4210" w:rsidRPr="005B500B">
          <w:rPr>
            <w:rStyle w:val="Hyperlink"/>
            <w:noProof/>
          </w:rPr>
          <w:t>7.2.1.11</w:t>
        </w:r>
        <w:r w:rsidR="003E4210">
          <w:rPr>
            <w:rFonts w:asciiTheme="minorHAnsi" w:eastAsiaTheme="minorEastAsia" w:hAnsiTheme="minorHAnsi" w:cstheme="minorBidi"/>
            <w:noProof/>
            <w:sz w:val="22"/>
            <w:szCs w:val="22"/>
            <w:lang w:bidi="ar-SA"/>
          </w:rPr>
          <w:tab/>
        </w:r>
        <w:r w:rsidR="003E4210" w:rsidRPr="005B500B">
          <w:rPr>
            <w:rStyle w:val="Hyperlink"/>
            <w:noProof/>
          </w:rPr>
          <w:t>Service period request (SPR)</w:t>
        </w:r>
        <w:r w:rsidR="003E4210">
          <w:rPr>
            <w:noProof/>
            <w:webHidden/>
          </w:rPr>
          <w:tab/>
        </w:r>
        <w:r>
          <w:rPr>
            <w:noProof/>
            <w:webHidden/>
          </w:rPr>
          <w:fldChar w:fldCharType="begin"/>
        </w:r>
        <w:r w:rsidR="003E4210">
          <w:rPr>
            <w:noProof/>
            <w:webHidden/>
          </w:rPr>
          <w:instrText xml:space="preserve"> PAGEREF _Toc259716880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1" w:history="1">
        <w:r w:rsidR="003E4210" w:rsidRPr="005B500B">
          <w:rPr>
            <w:rStyle w:val="Hyperlink"/>
            <w:noProof/>
          </w:rPr>
          <w:t>7.2.1.12</w:t>
        </w:r>
        <w:r w:rsidR="003E4210">
          <w:rPr>
            <w:rFonts w:asciiTheme="minorHAnsi" w:eastAsiaTheme="minorEastAsia" w:hAnsiTheme="minorHAnsi" w:cstheme="minorBidi"/>
            <w:noProof/>
            <w:sz w:val="22"/>
            <w:szCs w:val="22"/>
            <w:lang w:bidi="ar-SA"/>
          </w:rPr>
          <w:tab/>
        </w:r>
        <w:r w:rsidR="003E4210" w:rsidRPr="005B500B">
          <w:rPr>
            <w:rStyle w:val="Hyperlink"/>
            <w:noProof/>
          </w:rPr>
          <w:t>Grant</w:t>
        </w:r>
        <w:r w:rsidR="003E4210">
          <w:rPr>
            <w:noProof/>
            <w:webHidden/>
          </w:rPr>
          <w:tab/>
        </w:r>
        <w:r>
          <w:rPr>
            <w:noProof/>
            <w:webHidden/>
          </w:rPr>
          <w:fldChar w:fldCharType="begin"/>
        </w:r>
        <w:r w:rsidR="003E4210">
          <w:rPr>
            <w:noProof/>
            <w:webHidden/>
          </w:rPr>
          <w:instrText xml:space="preserve"> PAGEREF _Toc259716881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2" w:history="1">
        <w:r w:rsidR="003E4210" w:rsidRPr="005B500B">
          <w:rPr>
            <w:rStyle w:val="Hyperlink"/>
            <w:noProof/>
          </w:rPr>
          <w:t>7.2.1.13</w:t>
        </w:r>
        <w:r w:rsidR="003E4210">
          <w:rPr>
            <w:rFonts w:asciiTheme="minorHAnsi" w:eastAsiaTheme="minorEastAsia" w:hAnsiTheme="minorHAnsi" w:cstheme="minorBidi"/>
            <w:noProof/>
            <w:sz w:val="22"/>
            <w:szCs w:val="22"/>
            <w:lang w:bidi="ar-SA"/>
          </w:rPr>
          <w:tab/>
        </w:r>
        <w:r w:rsidR="003E4210" w:rsidRPr="005B500B">
          <w:rPr>
            <w:rStyle w:val="Hyperlink"/>
            <w:noProof/>
          </w:rPr>
          <w:t>mmWaveCTS</w:t>
        </w:r>
        <w:r w:rsidR="003E4210">
          <w:rPr>
            <w:noProof/>
            <w:webHidden/>
          </w:rPr>
          <w:tab/>
        </w:r>
        <w:r>
          <w:rPr>
            <w:noProof/>
            <w:webHidden/>
          </w:rPr>
          <w:fldChar w:fldCharType="begin"/>
        </w:r>
        <w:r w:rsidR="003E4210">
          <w:rPr>
            <w:noProof/>
            <w:webHidden/>
          </w:rPr>
          <w:instrText xml:space="preserve"> PAGEREF _Toc259716882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3" w:history="1">
        <w:r w:rsidR="003E4210" w:rsidRPr="005B500B">
          <w:rPr>
            <w:rStyle w:val="Hyperlink"/>
            <w:noProof/>
          </w:rPr>
          <w:t>7.2.1.14</w:t>
        </w:r>
        <w:r w:rsidR="003E4210">
          <w:rPr>
            <w:rFonts w:asciiTheme="minorHAnsi" w:eastAsiaTheme="minorEastAsia" w:hAnsiTheme="minorHAnsi" w:cstheme="minorBidi"/>
            <w:noProof/>
            <w:sz w:val="22"/>
            <w:szCs w:val="22"/>
            <w:lang w:bidi="ar-SA"/>
          </w:rPr>
          <w:tab/>
        </w:r>
        <w:r w:rsidR="003E4210" w:rsidRPr="005B500B">
          <w:rPr>
            <w:rStyle w:val="Hyperlink"/>
            <w:noProof/>
          </w:rPr>
          <w:t>mmWaveDTS</w:t>
        </w:r>
        <w:r w:rsidR="003E4210">
          <w:rPr>
            <w:noProof/>
            <w:webHidden/>
          </w:rPr>
          <w:tab/>
        </w:r>
        <w:r>
          <w:rPr>
            <w:noProof/>
            <w:webHidden/>
          </w:rPr>
          <w:fldChar w:fldCharType="begin"/>
        </w:r>
        <w:r w:rsidR="003E4210">
          <w:rPr>
            <w:noProof/>
            <w:webHidden/>
          </w:rPr>
          <w:instrText xml:space="preserve"> PAGEREF _Toc259716883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4" w:history="1">
        <w:r w:rsidR="003E4210" w:rsidRPr="005B500B">
          <w:rPr>
            <w:rStyle w:val="Hyperlink"/>
            <w:noProof/>
          </w:rPr>
          <w:t>7.2.1.15</w:t>
        </w:r>
        <w:r w:rsidR="003E4210">
          <w:rPr>
            <w:rFonts w:asciiTheme="minorHAnsi" w:eastAsiaTheme="minorEastAsia" w:hAnsiTheme="minorHAnsi" w:cstheme="minorBidi"/>
            <w:noProof/>
            <w:sz w:val="22"/>
            <w:szCs w:val="22"/>
            <w:lang w:bidi="ar-SA"/>
          </w:rPr>
          <w:tab/>
        </w:r>
        <w:r w:rsidR="003E4210" w:rsidRPr="005B500B">
          <w:rPr>
            <w:rStyle w:val="Hyperlink"/>
            <w:noProof/>
          </w:rPr>
          <w:t>mmWaveCF-End</w:t>
        </w:r>
        <w:r w:rsidR="003E4210">
          <w:rPr>
            <w:noProof/>
            <w:webHidden/>
          </w:rPr>
          <w:tab/>
        </w:r>
        <w:r>
          <w:rPr>
            <w:noProof/>
            <w:webHidden/>
          </w:rPr>
          <w:fldChar w:fldCharType="begin"/>
        </w:r>
        <w:r w:rsidR="003E4210">
          <w:rPr>
            <w:noProof/>
            <w:webHidden/>
          </w:rPr>
          <w:instrText xml:space="preserve"> PAGEREF _Toc259716884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5" w:history="1">
        <w:r w:rsidR="003E4210" w:rsidRPr="005B500B">
          <w:rPr>
            <w:rStyle w:val="Hyperlink"/>
            <w:noProof/>
          </w:rPr>
          <w:t>7.2.1.16</w:t>
        </w:r>
        <w:r w:rsidR="003E4210">
          <w:rPr>
            <w:rFonts w:asciiTheme="minorHAnsi" w:eastAsiaTheme="minorEastAsia" w:hAnsiTheme="minorHAnsi" w:cstheme="minorBidi"/>
            <w:noProof/>
            <w:sz w:val="22"/>
            <w:szCs w:val="22"/>
            <w:lang w:bidi="ar-SA"/>
          </w:rPr>
          <w:tab/>
        </w:r>
        <w:r w:rsidR="003E4210" w:rsidRPr="005B500B">
          <w:rPr>
            <w:rStyle w:val="Hyperlink"/>
            <w:noProof/>
          </w:rPr>
          <w:t>Sector sweep (SS)</w:t>
        </w:r>
        <w:r w:rsidR="003E4210">
          <w:rPr>
            <w:noProof/>
            <w:webHidden/>
          </w:rPr>
          <w:tab/>
        </w:r>
        <w:r>
          <w:rPr>
            <w:noProof/>
            <w:webHidden/>
          </w:rPr>
          <w:fldChar w:fldCharType="begin"/>
        </w:r>
        <w:r w:rsidR="003E4210">
          <w:rPr>
            <w:noProof/>
            <w:webHidden/>
          </w:rPr>
          <w:instrText xml:space="preserve"> PAGEREF _Toc259716885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6" w:history="1">
        <w:r w:rsidR="003E4210" w:rsidRPr="005B500B">
          <w:rPr>
            <w:rStyle w:val="Hyperlink"/>
            <w:noProof/>
          </w:rPr>
          <w:t>7.2.1.17</w:t>
        </w:r>
        <w:r w:rsidR="003E4210">
          <w:rPr>
            <w:rFonts w:asciiTheme="minorHAnsi" w:eastAsiaTheme="minorEastAsia" w:hAnsiTheme="minorHAnsi" w:cstheme="minorBidi"/>
            <w:noProof/>
            <w:sz w:val="22"/>
            <w:szCs w:val="22"/>
            <w:lang w:bidi="ar-SA"/>
          </w:rPr>
          <w:tab/>
        </w:r>
        <w:r w:rsidR="003E4210" w:rsidRPr="005B500B">
          <w:rPr>
            <w:rStyle w:val="Hyperlink"/>
            <w:noProof/>
          </w:rPr>
          <w:t>Sector sweep feedback (SS-Feedback)</w:t>
        </w:r>
        <w:r w:rsidR="003E4210">
          <w:rPr>
            <w:noProof/>
            <w:webHidden/>
          </w:rPr>
          <w:tab/>
        </w:r>
        <w:r>
          <w:rPr>
            <w:noProof/>
            <w:webHidden/>
          </w:rPr>
          <w:fldChar w:fldCharType="begin"/>
        </w:r>
        <w:r w:rsidR="003E4210">
          <w:rPr>
            <w:noProof/>
            <w:webHidden/>
          </w:rPr>
          <w:instrText xml:space="preserve"> PAGEREF _Toc259716886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7" w:history="1">
        <w:r w:rsidR="003E4210" w:rsidRPr="005B500B">
          <w:rPr>
            <w:rStyle w:val="Hyperlink"/>
            <w:noProof/>
          </w:rPr>
          <w:t>7.2.1.18</w:t>
        </w:r>
        <w:r w:rsidR="003E4210">
          <w:rPr>
            <w:rFonts w:asciiTheme="minorHAnsi" w:eastAsiaTheme="minorEastAsia" w:hAnsiTheme="minorHAnsi" w:cstheme="minorBidi"/>
            <w:noProof/>
            <w:sz w:val="22"/>
            <w:szCs w:val="22"/>
            <w:lang w:bidi="ar-SA"/>
          </w:rPr>
          <w:tab/>
        </w:r>
        <w:r w:rsidR="003E4210" w:rsidRPr="005B500B">
          <w:rPr>
            <w:rStyle w:val="Hyperlink"/>
            <w:noProof/>
          </w:rPr>
          <w:t>Sector sweep ACK (SS-ACK)</w:t>
        </w:r>
        <w:r w:rsidR="003E4210">
          <w:rPr>
            <w:noProof/>
            <w:webHidden/>
          </w:rPr>
          <w:tab/>
        </w:r>
        <w:r>
          <w:rPr>
            <w:noProof/>
            <w:webHidden/>
          </w:rPr>
          <w:fldChar w:fldCharType="begin"/>
        </w:r>
        <w:r w:rsidR="003E4210">
          <w:rPr>
            <w:noProof/>
            <w:webHidden/>
          </w:rPr>
          <w:instrText xml:space="preserve"> PAGEREF _Toc259716887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6888" w:history="1">
        <w:r w:rsidR="003E4210" w:rsidRPr="005B500B">
          <w:rPr>
            <w:rStyle w:val="Hyperlink"/>
            <w:noProof/>
          </w:rPr>
          <w:t>7.2.2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Data frames</w:t>
        </w:r>
        <w:r w:rsidR="003E4210">
          <w:rPr>
            <w:noProof/>
            <w:webHidden/>
          </w:rPr>
          <w:tab/>
        </w:r>
        <w:r>
          <w:rPr>
            <w:noProof/>
            <w:webHidden/>
          </w:rPr>
          <w:fldChar w:fldCharType="begin"/>
        </w:r>
        <w:r w:rsidR="003E4210">
          <w:rPr>
            <w:noProof/>
            <w:webHidden/>
          </w:rPr>
          <w:instrText xml:space="preserve"> PAGEREF _Toc259716888 \h </w:instrText>
        </w:r>
        <w:r>
          <w:rPr>
            <w:noProof/>
            <w:webHidden/>
          </w:rPr>
        </w:r>
        <w:r>
          <w:rPr>
            <w:noProof/>
            <w:webHidden/>
          </w:rPr>
          <w:fldChar w:fldCharType="separate"/>
        </w:r>
        <w:r w:rsidR="003E4210">
          <w:rPr>
            <w:noProof/>
            <w:webHidden/>
          </w:rPr>
          <w:t>37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889" w:history="1">
        <w:r w:rsidR="003E4210" w:rsidRPr="005B500B">
          <w:rPr>
            <w:rStyle w:val="Hyperlink"/>
            <w:noProof/>
          </w:rPr>
          <w:t>7.2.2.1 Data frame format</w:t>
        </w:r>
        <w:r w:rsidR="003E4210">
          <w:rPr>
            <w:noProof/>
            <w:webHidden/>
          </w:rPr>
          <w:tab/>
        </w:r>
        <w:r>
          <w:rPr>
            <w:noProof/>
            <w:webHidden/>
          </w:rPr>
          <w:fldChar w:fldCharType="begin"/>
        </w:r>
        <w:r w:rsidR="003E4210">
          <w:rPr>
            <w:noProof/>
            <w:webHidden/>
          </w:rPr>
          <w:instrText xml:space="preserve"> PAGEREF _Toc259716889 \h </w:instrText>
        </w:r>
        <w:r>
          <w:rPr>
            <w:noProof/>
            <w:webHidden/>
          </w:rPr>
        </w:r>
        <w:r>
          <w:rPr>
            <w:noProof/>
            <w:webHidden/>
          </w:rPr>
          <w:fldChar w:fldCharType="separate"/>
        </w:r>
        <w:r w:rsidR="003E4210">
          <w:rPr>
            <w:noProof/>
            <w:webHidden/>
          </w:rPr>
          <w:t>37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890" w:history="1">
        <w:r w:rsidR="003E4210" w:rsidRPr="005B500B">
          <w:rPr>
            <w:rStyle w:val="Hyperlink"/>
            <w:noProof/>
          </w:rPr>
          <w:t>7.2.2.2 Aggregate MSDU format (A-MSDU)</w:t>
        </w:r>
        <w:r w:rsidR="003E4210">
          <w:rPr>
            <w:noProof/>
            <w:webHidden/>
          </w:rPr>
          <w:tab/>
        </w:r>
        <w:r>
          <w:rPr>
            <w:noProof/>
            <w:webHidden/>
          </w:rPr>
          <w:fldChar w:fldCharType="begin"/>
        </w:r>
        <w:r w:rsidR="003E4210">
          <w:rPr>
            <w:noProof/>
            <w:webHidden/>
          </w:rPr>
          <w:instrText xml:space="preserve"> PAGEREF _Toc259716890 \h </w:instrText>
        </w:r>
        <w:r>
          <w:rPr>
            <w:noProof/>
            <w:webHidden/>
          </w:rPr>
        </w:r>
        <w:r>
          <w:rPr>
            <w:noProof/>
            <w:webHidden/>
          </w:rPr>
          <w:fldChar w:fldCharType="separate"/>
        </w:r>
        <w:r w:rsidR="003E4210">
          <w:rPr>
            <w:noProof/>
            <w:webHidden/>
          </w:rPr>
          <w:t>37</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91" w:history="1">
        <w:r w:rsidR="003E4210" w:rsidRPr="005B500B">
          <w:rPr>
            <w:rStyle w:val="Hyperlink"/>
            <w:noProof/>
          </w:rPr>
          <w:t>7.2.2.2.1</w:t>
        </w:r>
        <w:r w:rsidR="003E4210">
          <w:rPr>
            <w:rFonts w:asciiTheme="minorHAnsi" w:eastAsiaTheme="minorEastAsia" w:hAnsiTheme="minorHAnsi" w:cstheme="minorBidi"/>
            <w:noProof/>
            <w:sz w:val="22"/>
            <w:szCs w:val="22"/>
            <w:lang w:bidi="ar-SA"/>
          </w:rPr>
          <w:tab/>
        </w:r>
        <w:r w:rsidR="003E4210" w:rsidRPr="005B500B">
          <w:rPr>
            <w:rStyle w:val="Hyperlink"/>
            <w:noProof/>
          </w:rPr>
          <w:t>Short A-MSDU subframe format</w:t>
        </w:r>
        <w:r w:rsidR="003E4210">
          <w:rPr>
            <w:noProof/>
            <w:webHidden/>
          </w:rPr>
          <w:tab/>
        </w:r>
        <w:r>
          <w:rPr>
            <w:noProof/>
            <w:webHidden/>
          </w:rPr>
          <w:fldChar w:fldCharType="begin"/>
        </w:r>
        <w:r w:rsidR="003E4210">
          <w:rPr>
            <w:noProof/>
            <w:webHidden/>
          </w:rPr>
          <w:instrText xml:space="preserve"> PAGEREF _Toc259716891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6892" w:history="1">
        <w:r w:rsidR="003E4210" w:rsidRPr="005B500B">
          <w:rPr>
            <w:rStyle w:val="Hyperlink"/>
            <w:noProof/>
          </w:rPr>
          <w:t>7.2.3</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Management frames</w:t>
        </w:r>
        <w:r w:rsidR="003E4210">
          <w:rPr>
            <w:noProof/>
            <w:webHidden/>
          </w:rPr>
          <w:tab/>
        </w:r>
        <w:r>
          <w:rPr>
            <w:noProof/>
            <w:webHidden/>
          </w:rPr>
          <w:fldChar w:fldCharType="begin"/>
        </w:r>
        <w:r w:rsidR="003E4210">
          <w:rPr>
            <w:noProof/>
            <w:webHidden/>
          </w:rPr>
          <w:instrText xml:space="preserve"> PAGEREF _Toc259716892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3" w:history="1">
        <w:r w:rsidR="003E4210" w:rsidRPr="005B500B">
          <w:rPr>
            <w:rStyle w:val="Hyperlink"/>
            <w:noProof/>
          </w:rPr>
          <w:t>7.2.3.1</w:t>
        </w:r>
        <w:r w:rsidR="003E4210">
          <w:rPr>
            <w:rFonts w:asciiTheme="minorHAnsi" w:eastAsiaTheme="minorEastAsia" w:hAnsiTheme="minorHAnsi" w:cstheme="minorBidi"/>
            <w:noProof/>
            <w:sz w:val="22"/>
            <w:szCs w:val="22"/>
            <w:lang w:bidi="ar-SA"/>
          </w:rPr>
          <w:tab/>
        </w:r>
        <w:r w:rsidR="003E4210" w:rsidRPr="005B500B">
          <w:rPr>
            <w:rStyle w:val="Hyperlink"/>
            <w:noProof/>
          </w:rPr>
          <w:t>Beacon frame format</w:t>
        </w:r>
        <w:r w:rsidR="003E4210">
          <w:rPr>
            <w:noProof/>
            <w:webHidden/>
          </w:rPr>
          <w:tab/>
        </w:r>
        <w:r>
          <w:rPr>
            <w:noProof/>
            <w:webHidden/>
          </w:rPr>
          <w:fldChar w:fldCharType="begin"/>
        </w:r>
        <w:r w:rsidR="003E4210">
          <w:rPr>
            <w:noProof/>
            <w:webHidden/>
          </w:rPr>
          <w:instrText xml:space="preserve"> PAGEREF _Toc259716893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894" w:history="1">
        <w:r w:rsidR="003E4210" w:rsidRPr="005B500B">
          <w:rPr>
            <w:rStyle w:val="Hyperlink"/>
            <w:noProof/>
          </w:rPr>
          <w:t>7.2.3.4 Association Request frame format</w:t>
        </w:r>
        <w:r w:rsidR="003E4210">
          <w:rPr>
            <w:noProof/>
            <w:webHidden/>
          </w:rPr>
          <w:tab/>
        </w:r>
        <w:r>
          <w:rPr>
            <w:noProof/>
            <w:webHidden/>
          </w:rPr>
          <w:fldChar w:fldCharType="begin"/>
        </w:r>
        <w:r w:rsidR="003E4210">
          <w:rPr>
            <w:noProof/>
            <w:webHidden/>
          </w:rPr>
          <w:instrText xml:space="preserve"> PAGEREF _Toc259716894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5" w:history="1">
        <w:r w:rsidR="003E4210" w:rsidRPr="005B500B">
          <w:rPr>
            <w:rStyle w:val="Hyperlink"/>
            <w:noProof/>
          </w:rPr>
          <w:t>7.2.3.5</w:t>
        </w:r>
        <w:r w:rsidR="003E4210">
          <w:rPr>
            <w:rFonts w:asciiTheme="minorHAnsi" w:eastAsiaTheme="minorEastAsia" w:hAnsiTheme="minorHAnsi" w:cstheme="minorBidi"/>
            <w:noProof/>
            <w:sz w:val="22"/>
            <w:szCs w:val="22"/>
            <w:lang w:bidi="ar-SA"/>
          </w:rPr>
          <w:tab/>
        </w:r>
        <w:r w:rsidR="003E4210" w:rsidRPr="005B500B">
          <w:rPr>
            <w:rStyle w:val="Hyperlink"/>
            <w:noProof/>
          </w:rPr>
          <w:t>Association Response frame format</w:t>
        </w:r>
        <w:r w:rsidR="003E4210">
          <w:rPr>
            <w:noProof/>
            <w:webHidden/>
          </w:rPr>
          <w:tab/>
        </w:r>
        <w:r>
          <w:rPr>
            <w:noProof/>
            <w:webHidden/>
          </w:rPr>
          <w:fldChar w:fldCharType="begin"/>
        </w:r>
        <w:r w:rsidR="003E4210">
          <w:rPr>
            <w:noProof/>
            <w:webHidden/>
          </w:rPr>
          <w:instrText xml:space="preserve"> PAGEREF _Toc259716895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6" w:history="1">
        <w:r w:rsidR="003E4210" w:rsidRPr="005B500B">
          <w:rPr>
            <w:rStyle w:val="Hyperlink"/>
            <w:noProof/>
          </w:rPr>
          <w:t>7.2.3.6</w:t>
        </w:r>
        <w:r w:rsidR="003E4210">
          <w:rPr>
            <w:rFonts w:asciiTheme="minorHAnsi" w:eastAsiaTheme="minorEastAsia" w:hAnsiTheme="minorHAnsi" w:cstheme="minorBidi"/>
            <w:noProof/>
            <w:sz w:val="22"/>
            <w:szCs w:val="22"/>
            <w:lang w:bidi="ar-SA"/>
          </w:rPr>
          <w:tab/>
        </w:r>
        <w:r w:rsidR="003E4210" w:rsidRPr="005B500B">
          <w:rPr>
            <w:rStyle w:val="Hyperlink"/>
            <w:noProof/>
          </w:rPr>
          <w:t>Reassociation Request frame format</w:t>
        </w:r>
        <w:r w:rsidR="003E4210">
          <w:rPr>
            <w:noProof/>
            <w:webHidden/>
          </w:rPr>
          <w:tab/>
        </w:r>
        <w:r>
          <w:rPr>
            <w:noProof/>
            <w:webHidden/>
          </w:rPr>
          <w:fldChar w:fldCharType="begin"/>
        </w:r>
        <w:r w:rsidR="003E4210">
          <w:rPr>
            <w:noProof/>
            <w:webHidden/>
          </w:rPr>
          <w:instrText xml:space="preserve"> PAGEREF _Toc259716896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7" w:history="1">
        <w:r w:rsidR="003E4210" w:rsidRPr="005B500B">
          <w:rPr>
            <w:rStyle w:val="Hyperlink"/>
            <w:noProof/>
          </w:rPr>
          <w:t>7.2.3.7</w:t>
        </w:r>
        <w:r w:rsidR="003E4210">
          <w:rPr>
            <w:rFonts w:asciiTheme="minorHAnsi" w:eastAsiaTheme="minorEastAsia" w:hAnsiTheme="minorHAnsi" w:cstheme="minorBidi"/>
            <w:noProof/>
            <w:sz w:val="22"/>
            <w:szCs w:val="22"/>
            <w:lang w:bidi="ar-SA"/>
          </w:rPr>
          <w:tab/>
        </w:r>
        <w:r w:rsidR="003E4210" w:rsidRPr="005B500B">
          <w:rPr>
            <w:rStyle w:val="Hyperlink"/>
            <w:noProof/>
          </w:rPr>
          <w:t>Reassociation Response frame format</w:t>
        </w:r>
        <w:r w:rsidR="003E4210">
          <w:rPr>
            <w:noProof/>
            <w:webHidden/>
          </w:rPr>
          <w:tab/>
        </w:r>
        <w:r>
          <w:rPr>
            <w:noProof/>
            <w:webHidden/>
          </w:rPr>
          <w:fldChar w:fldCharType="begin"/>
        </w:r>
        <w:r w:rsidR="003E4210">
          <w:rPr>
            <w:noProof/>
            <w:webHidden/>
          </w:rPr>
          <w:instrText xml:space="preserve"> PAGEREF _Toc259716897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8" w:history="1">
        <w:r w:rsidR="003E4210" w:rsidRPr="005B500B">
          <w:rPr>
            <w:rStyle w:val="Hyperlink"/>
            <w:noProof/>
          </w:rPr>
          <w:t>7.2.3.8</w:t>
        </w:r>
        <w:r w:rsidR="003E4210">
          <w:rPr>
            <w:rFonts w:asciiTheme="minorHAnsi" w:eastAsiaTheme="minorEastAsia" w:hAnsiTheme="minorHAnsi" w:cstheme="minorBidi"/>
            <w:noProof/>
            <w:sz w:val="22"/>
            <w:szCs w:val="22"/>
            <w:lang w:bidi="ar-SA"/>
          </w:rPr>
          <w:tab/>
        </w:r>
        <w:r w:rsidR="003E4210" w:rsidRPr="005B500B">
          <w:rPr>
            <w:rStyle w:val="Hyperlink"/>
            <w:noProof/>
          </w:rPr>
          <w:t>Probe Request frame format</w:t>
        </w:r>
        <w:r w:rsidR="003E4210">
          <w:rPr>
            <w:noProof/>
            <w:webHidden/>
          </w:rPr>
          <w:tab/>
        </w:r>
        <w:r>
          <w:rPr>
            <w:noProof/>
            <w:webHidden/>
          </w:rPr>
          <w:fldChar w:fldCharType="begin"/>
        </w:r>
        <w:r w:rsidR="003E4210">
          <w:rPr>
            <w:noProof/>
            <w:webHidden/>
          </w:rPr>
          <w:instrText xml:space="preserve"> PAGEREF _Toc259716898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9" w:history="1">
        <w:r w:rsidR="003E4210" w:rsidRPr="005B500B">
          <w:rPr>
            <w:rStyle w:val="Hyperlink"/>
            <w:noProof/>
          </w:rPr>
          <w:t>7.2.3.9</w:t>
        </w:r>
        <w:r w:rsidR="003E4210">
          <w:rPr>
            <w:rFonts w:asciiTheme="minorHAnsi" w:eastAsiaTheme="minorEastAsia" w:hAnsiTheme="minorHAnsi" w:cstheme="minorBidi"/>
            <w:noProof/>
            <w:sz w:val="22"/>
            <w:szCs w:val="22"/>
            <w:lang w:bidi="ar-SA"/>
          </w:rPr>
          <w:tab/>
        </w:r>
        <w:r w:rsidR="003E4210" w:rsidRPr="005B500B">
          <w:rPr>
            <w:rStyle w:val="Hyperlink"/>
            <w:noProof/>
          </w:rPr>
          <w:t>Probe Response frame format</w:t>
        </w:r>
        <w:r w:rsidR="003E4210">
          <w:rPr>
            <w:noProof/>
            <w:webHidden/>
          </w:rPr>
          <w:tab/>
        </w:r>
        <w:r>
          <w:rPr>
            <w:noProof/>
            <w:webHidden/>
          </w:rPr>
          <w:fldChar w:fldCharType="begin"/>
        </w:r>
        <w:r w:rsidR="003E4210">
          <w:rPr>
            <w:noProof/>
            <w:webHidden/>
          </w:rPr>
          <w:instrText xml:space="preserve"> PAGEREF _Toc259716899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00" w:history="1">
        <w:r w:rsidR="003E4210" w:rsidRPr="005B500B">
          <w:rPr>
            <w:rStyle w:val="Hyperlink"/>
            <w:noProof/>
          </w:rPr>
          <w:t>7.2.4 Extension frames</w:t>
        </w:r>
        <w:r w:rsidR="003E4210">
          <w:rPr>
            <w:noProof/>
            <w:webHidden/>
          </w:rPr>
          <w:tab/>
        </w:r>
        <w:r>
          <w:rPr>
            <w:noProof/>
            <w:webHidden/>
          </w:rPr>
          <w:fldChar w:fldCharType="begin"/>
        </w:r>
        <w:r w:rsidR="003E4210">
          <w:rPr>
            <w:noProof/>
            <w:webHidden/>
          </w:rPr>
          <w:instrText xml:space="preserve"> PAGEREF _Toc259716900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01" w:history="1">
        <w:r w:rsidR="003E4210" w:rsidRPr="005B500B">
          <w:rPr>
            <w:rStyle w:val="Hyperlink"/>
            <w:noProof/>
          </w:rPr>
          <w:t>7.2.4.1 mmWave Beacon</w:t>
        </w:r>
        <w:r w:rsidR="003E4210">
          <w:rPr>
            <w:noProof/>
            <w:webHidden/>
          </w:rPr>
          <w:tab/>
        </w:r>
        <w:r>
          <w:rPr>
            <w:noProof/>
            <w:webHidden/>
          </w:rPr>
          <w:fldChar w:fldCharType="begin"/>
        </w:r>
        <w:r w:rsidR="003E4210">
          <w:rPr>
            <w:noProof/>
            <w:webHidden/>
          </w:rPr>
          <w:instrText xml:space="preserve"> PAGEREF _Toc259716901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6902" w:history="1">
        <w:r w:rsidR="003E4210" w:rsidRPr="005B500B">
          <w:rPr>
            <w:rStyle w:val="Hyperlink"/>
            <w:noProof/>
          </w:rPr>
          <w:t>7.3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Management and extension frames body components</w:t>
        </w:r>
        <w:r w:rsidR="003E4210">
          <w:rPr>
            <w:noProof/>
            <w:webHidden/>
          </w:rPr>
          <w:tab/>
        </w:r>
        <w:r>
          <w:rPr>
            <w:noProof/>
            <w:webHidden/>
          </w:rPr>
          <w:fldChar w:fldCharType="begin"/>
        </w:r>
        <w:r w:rsidR="003E4210">
          <w:rPr>
            <w:noProof/>
            <w:webHidden/>
          </w:rPr>
          <w:instrText xml:space="preserve"> PAGEREF _Toc259716902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03" w:history="1">
        <w:r w:rsidR="003E4210" w:rsidRPr="005B500B">
          <w:rPr>
            <w:rStyle w:val="Hyperlink"/>
            <w:noProof/>
          </w:rPr>
          <w:t>7.3.1 Fields that are not information elements</w:t>
        </w:r>
        <w:r w:rsidR="003E4210">
          <w:rPr>
            <w:noProof/>
            <w:webHidden/>
          </w:rPr>
          <w:tab/>
        </w:r>
        <w:r>
          <w:rPr>
            <w:noProof/>
            <w:webHidden/>
          </w:rPr>
          <w:fldChar w:fldCharType="begin"/>
        </w:r>
        <w:r w:rsidR="003E4210">
          <w:rPr>
            <w:noProof/>
            <w:webHidden/>
          </w:rPr>
          <w:instrText xml:space="preserve"> PAGEREF _Toc259716903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04" w:history="1">
        <w:r w:rsidR="003E4210" w:rsidRPr="005B500B">
          <w:rPr>
            <w:rStyle w:val="Hyperlink"/>
            <w:noProof/>
          </w:rPr>
          <w:t>7.3.1.8</w:t>
        </w:r>
        <w:r w:rsidR="003E4210">
          <w:rPr>
            <w:rFonts w:asciiTheme="minorHAnsi" w:eastAsiaTheme="minorEastAsia" w:hAnsiTheme="minorHAnsi" w:cstheme="minorBidi"/>
            <w:noProof/>
            <w:sz w:val="22"/>
            <w:szCs w:val="22"/>
            <w:lang w:bidi="ar-SA"/>
          </w:rPr>
          <w:tab/>
        </w:r>
        <w:r w:rsidR="003E4210" w:rsidRPr="005B500B">
          <w:rPr>
            <w:rStyle w:val="Hyperlink"/>
            <w:noProof/>
          </w:rPr>
          <w:t>AID field</w:t>
        </w:r>
        <w:r w:rsidR="003E4210">
          <w:rPr>
            <w:noProof/>
            <w:webHidden/>
          </w:rPr>
          <w:tab/>
        </w:r>
        <w:r>
          <w:rPr>
            <w:noProof/>
            <w:webHidden/>
          </w:rPr>
          <w:fldChar w:fldCharType="begin"/>
        </w:r>
        <w:r w:rsidR="003E4210">
          <w:rPr>
            <w:noProof/>
            <w:webHidden/>
          </w:rPr>
          <w:instrText xml:space="preserve"> PAGEREF _Toc259716904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05" w:history="1">
        <w:r w:rsidR="003E4210" w:rsidRPr="005B500B">
          <w:rPr>
            <w:rStyle w:val="Hyperlink"/>
            <w:noProof/>
          </w:rPr>
          <w:t>7.3.1.9</w:t>
        </w:r>
        <w:r w:rsidR="003E4210">
          <w:rPr>
            <w:rFonts w:asciiTheme="minorHAnsi" w:eastAsiaTheme="minorEastAsia" w:hAnsiTheme="minorHAnsi" w:cstheme="minorBidi"/>
            <w:noProof/>
            <w:sz w:val="22"/>
            <w:szCs w:val="22"/>
            <w:lang w:bidi="ar-SA"/>
          </w:rPr>
          <w:tab/>
        </w:r>
        <w:r w:rsidR="003E4210" w:rsidRPr="005B500B">
          <w:rPr>
            <w:rStyle w:val="Hyperlink"/>
            <w:noProof/>
          </w:rPr>
          <w:t>Status Code field</w:t>
        </w:r>
        <w:r w:rsidR="003E4210">
          <w:rPr>
            <w:noProof/>
            <w:webHidden/>
          </w:rPr>
          <w:tab/>
        </w:r>
        <w:r>
          <w:rPr>
            <w:noProof/>
            <w:webHidden/>
          </w:rPr>
          <w:fldChar w:fldCharType="begin"/>
        </w:r>
        <w:r w:rsidR="003E4210">
          <w:rPr>
            <w:noProof/>
            <w:webHidden/>
          </w:rPr>
          <w:instrText xml:space="preserve"> PAGEREF _Toc259716905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06" w:history="1">
        <w:r w:rsidR="003E4210" w:rsidRPr="005B500B">
          <w:rPr>
            <w:rStyle w:val="Hyperlink"/>
            <w:noProof/>
          </w:rPr>
          <w:t>7.3.1.11</w:t>
        </w:r>
        <w:r w:rsidR="003E4210">
          <w:rPr>
            <w:rFonts w:asciiTheme="minorHAnsi" w:eastAsiaTheme="minorEastAsia" w:hAnsiTheme="minorHAnsi" w:cstheme="minorBidi"/>
            <w:noProof/>
            <w:sz w:val="22"/>
            <w:szCs w:val="22"/>
            <w:lang w:bidi="ar-SA"/>
          </w:rPr>
          <w:tab/>
        </w:r>
        <w:r w:rsidR="003E4210" w:rsidRPr="005B500B">
          <w:rPr>
            <w:rStyle w:val="Hyperlink"/>
            <w:noProof/>
          </w:rPr>
          <w:t>Action field</w:t>
        </w:r>
        <w:r w:rsidR="003E4210">
          <w:rPr>
            <w:noProof/>
            <w:webHidden/>
          </w:rPr>
          <w:tab/>
        </w:r>
        <w:r>
          <w:rPr>
            <w:noProof/>
            <w:webHidden/>
          </w:rPr>
          <w:fldChar w:fldCharType="begin"/>
        </w:r>
        <w:r w:rsidR="003E4210">
          <w:rPr>
            <w:noProof/>
            <w:webHidden/>
          </w:rPr>
          <w:instrText xml:space="preserve"> PAGEREF _Toc259716906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07" w:history="1">
        <w:r w:rsidR="003E4210" w:rsidRPr="005B500B">
          <w:rPr>
            <w:rStyle w:val="Hyperlink"/>
            <w:noProof/>
          </w:rPr>
          <w:t>7.3.1.51 Relay capable STA info field</w:t>
        </w:r>
        <w:r w:rsidR="003E4210">
          <w:rPr>
            <w:noProof/>
            <w:webHidden/>
          </w:rPr>
          <w:tab/>
        </w:r>
        <w:r>
          <w:rPr>
            <w:noProof/>
            <w:webHidden/>
          </w:rPr>
          <w:fldChar w:fldCharType="begin"/>
        </w:r>
        <w:r w:rsidR="003E4210">
          <w:rPr>
            <w:noProof/>
            <w:webHidden/>
          </w:rPr>
          <w:instrText xml:space="preserve"> PAGEREF _Toc259716907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6908" w:history="1">
        <w:r w:rsidR="003E4210" w:rsidRPr="005B500B">
          <w:rPr>
            <w:rStyle w:val="Hyperlink"/>
            <w:noProof/>
          </w:rPr>
          <w:t>7.3.2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Information elements</w:t>
        </w:r>
        <w:r w:rsidR="003E4210">
          <w:rPr>
            <w:noProof/>
            <w:webHidden/>
          </w:rPr>
          <w:tab/>
        </w:r>
        <w:r>
          <w:rPr>
            <w:noProof/>
            <w:webHidden/>
          </w:rPr>
          <w:fldChar w:fldCharType="begin"/>
        </w:r>
        <w:r w:rsidR="003E4210">
          <w:rPr>
            <w:noProof/>
            <w:webHidden/>
          </w:rPr>
          <w:instrText xml:space="preserve"> PAGEREF _Toc259716908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09" w:history="1">
        <w:r w:rsidR="003E4210" w:rsidRPr="005B500B">
          <w:rPr>
            <w:rStyle w:val="Hyperlink"/>
            <w:noProof/>
          </w:rPr>
          <w:t>7.3.2.20</w:t>
        </w:r>
        <w:r w:rsidR="003E4210">
          <w:rPr>
            <w:rFonts w:asciiTheme="minorHAnsi" w:eastAsiaTheme="minorEastAsia" w:hAnsiTheme="minorHAnsi" w:cstheme="minorBidi"/>
            <w:noProof/>
            <w:sz w:val="22"/>
            <w:szCs w:val="22"/>
            <w:lang w:bidi="ar-SA"/>
          </w:rPr>
          <w:tab/>
        </w:r>
        <w:r w:rsidR="003E4210" w:rsidRPr="005B500B">
          <w:rPr>
            <w:rStyle w:val="Hyperlink"/>
            <w:noProof/>
          </w:rPr>
          <w:t>Channel Switch Announcement element</w:t>
        </w:r>
        <w:r w:rsidR="003E4210">
          <w:rPr>
            <w:noProof/>
            <w:webHidden/>
          </w:rPr>
          <w:tab/>
        </w:r>
        <w:r>
          <w:rPr>
            <w:noProof/>
            <w:webHidden/>
          </w:rPr>
          <w:fldChar w:fldCharType="begin"/>
        </w:r>
        <w:r w:rsidR="003E4210">
          <w:rPr>
            <w:noProof/>
            <w:webHidden/>
          </w:rPr>
          <w:instrText xml:space="preserve"> PAGEREF _Toc259716909 \h </w:instrText>
        </w:r>
        <w:r>
          <w:rPr>
            <w:noProof/>
            <w:webHidden/>
          </w:rPr>
        </w:r>
        <w:r>
          <w:rPr>
            <w:noProof/>
            <w:webHidden/>
          </w:rPr>
          <w:fldChar w:fldCharType="separate"/>
        </w:r>
        <w:r w:rsidR="003E4210">
          <w:rPr>
            <w:noProof/>
            <w:webHidden/>
          </w:rPr>
          <w:t>45</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10" w:history="1">
        <w:r w:rsidR="003E4210" w:rsidRPr="005B500B">
          <w:rPr>
            <w:rStyle w:val="Hyperlink"/>
            <w:noProof/>
          </w:rPr>
          <w:t>7.3.2.21</w:t>
        </w:r>
        <w:r w:rsidR="003E4210">
          <w:rPr>
            <w:rFonts w:asciiTheme="minorHAnsi" w:eastAsiaTheme="minorEastAsia" w:hAnsiTheme="minorHAnsi" w:cstheme="minorBidi"/>
            <w:noProof/>
            <w:sz w:val="22"/>
            <w:szCs w:val="22"/>
            <w:lang w:bidi="ar-SA"/>
          </w:rPr>
          <w:tab/>
        </w:r>
        <w:r w:rsidR="003E4210" w:rsidRPr="005B500B">
          <w:rPr>
            <w:rStyle w:val="Hyperlink"/>
            <w:noProof/>
          </w:rPr>
          <w:t>Measurement Request element</w:t>
        </w:r>
        <w:r w:rsidR="003E4210">
          <w:rPr>
            <w:noProof/>
            <w:webHidden/>
          </w:rPr>
          <w:tab/>
        </w:r>
        <w:r>
          <w:rPr>
            <w:noProof/>
            <w:webHidden/>
          </w:rPr>
          <w:fldChar w:fldCharType="begin"/>
        </w:r>
        <w:r w:rsidR="003E4210">
          <w:rPr>
            <w:noProof/>
            <w:webHidden/>
          </w:rPr>
          <w:instrText xml:space="preserve"> PAGEREF _Toc259716910 \h </w:instrText>
        </w:r>
        <w:r>
          <w:rPr>
            <w:noProof/>
            <w:webHidden/>
          </w:rPr>
        </w:r>
        <w:r>
          <w:rPr>
            <w:noProof/>
            <w:webHidden/>
          </w:rPr>
          <w:fldChar w:fldCharType="separate"/>
        </w:r>
        <w:r w:rsidR="003E4210">
          <w:rPr>
            <w:noProof/>
            <w:webHidden/>
          </w:rPr>
          <w:t>45</w:t>
        </w:r>
        <w:r>
          <w:rPr>
            <w:noProof/>
            <w:webHidden/>
          </w:rPr>
          <w:fldChar w:fldCharType="end"/>
        </w:r>
      </w:hyperlink>
    </w:p>
    <w:p w:rsidR="003E4210" w:rsidRDefault="00BD151C">
      <w:pPr>
        <w:pStyle w:val="TOC5"/>
        <w:tabs>
          <w:tab w:val="left" w:pos="1990"/>
          <w:tab w:val="right" w:leader="dot" w:pos="9890"/>
        </w:tabs>
        <w:rPr>
          <w:rFonts w:asciiTheme="minorHAnsi" w:eastAsiaTheme="minorEastAsia" w:hAnsiTheme="minorHAnsi" w:cstheme="minorBidi"/>
          <w:noProof/>
          <w:sz w:val="22"/>
          <w:szCs w:val="22"/>
          <w:lang w:bidi="ar-SA"/>
        </w:rPr>
      </w:pPr>
      <w:hyperlink w:anchor="_Toc259716911" w:history="1">
        <w:r w:rsidR="003E4210" w:rsidRPr="005B500B">
          <w:rPr>
            <w:rStyle w:val="Hyperlink"/>
            <w:noProof/>
          </w:rPr>
          <w:t>7.3.2.21.12</w:t>
        </w:r>
        <w:r w:rsidR="003E4210">
          <w:rPr>
            <w:rFonts w:asciiTheme="minorHAnsi" w:eastAsiaTheme="minorEastAsia" w:hAnsiTheme="minorHAnsi" w:cstheme="minorBidi"/>
            <w:noProof/>
            <w:sz w:val="22"/>
            <w:szCs w:val="22"/>
            <w:lang w:bidi="ar-SA"/>
          </w:rPr>
          <w:tab/>
        </w:r>
        <w:r w:rsidR="003E4210" w:rsidRPr="005B500B">
          <w:rPr>
            <w:rStyle w:val="Hyperlink"/>
            <w:noProof/>
          </w:rPr>
          <w:t>Directional Channel Quality request</w:t>
        </w:r>
        <w:r w:rsidR="003E4210">
          <w:rPr>
            <w:noProof/>
            <w:webHidden/>
          </w:rPr>
          <w:tab/>
        </w:r>
        <w:r>
          <w:rPr>
            <w:noProof/>
            <w:webHidden/>
          </w:rPr>
          <w:fldChar w:fldCharType="begin"/>
        </w:r>
        <w:r w:rsidR="003E4210">
          <w:rPr>
            <w:noProof/>
            <w:webHidden/>
          </w:rPr>
          <w:instrText xml:space="preserve"> PAGEREF _Toc259716911 \h </w:instrText>
        </w:r>
        <w:r>
          <w:rPr>
            <w:noProof/>
            <w:webHidden/>
          </w:rPr>
        </w:r>
        <w:r>
          <w:rPr>
            <w:noProof/>
            <w:webHidden/>
          </w:rPr>
          <w:fldChar w:fldCharType="separate"/>
        </w:r>
        <w:r w:rsidR="003E4210">
          <w:rPr>
            <w:noProof/>
            <w:webHidden/>
          </w:rPr>
          <w:t>46</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6912" w:history="1">
        <w:r w:rsidR="003E4210" w:rsidRPr="005B500B">
          <w:rPr>
            <w:rStyle w:val="Hyperlink"/>
            <w:noProof/>
          </w:rPr>
          <w:t>7.3.2.21.13 Directional Measurement request</w:t>
        </w:r>
        <w:r w:rsidR="003E4210">
          <w:rPr>
            <w:noProof/>
            <w:webHidden/>
          </w:rPr>
          <w:tab/>
        </w:r>
        <w:r>
          <w:rPr>
            <w:noProof/>
            <w:webHidden/>
          </w:rPr>
          <w:fldChar w:fldCharType="begin"/>
        </w:r>
        <w:r w:rsidR="003E4210">
          <w:rPr>
            <w:noProof/>
            <w:webHidden/>
          </w:rPr>
          <w:instrText xml:space="preserve"> PAGEREF _Toc259716912 \h </w:instrText>
        </w:r>
        <w:r>
          <w:rPr>
            <w:noProof/>
            <w:webHidden/>
          </w:rPr>
        </w:r>
        <w:r>
          <w:rPr>
            <w:noProof/>
            <w:webHidden/>
          </w:rPr>
          <w:fldChar w:fldCharType="separate"/>
        </w:r>
        <w:r w:rsidR="003E4210">
          <w:rPr>
            <w:noProof/>
            <w:webHidden/>
          </w:rPr>
          <w:t>48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6913" w:history="1">
        <w:r w:rsidR="003E4210" w:rsidRPr="005B500B">
          <w:rPr>
            <w:rStyle w:val="Hyperlink"/>
            <w:noProof/>
          </w:rPr>
          <w:t>7.3.2.21.14 Directional Statistics request</w:t>
        </w:r>
        <w:r w:rsidR="003E4210">
          <w:rPr>
            <w:noProof/>
            <w:webHidden/>
          </w:rPr>
          <w:tab/>
        </w:r>
        <w:r>
          <w:rPr>
            <w:noProof/>
            <w:webHidden/>
          </w:rPr>
          <w:fldChar w:fldCharType="begin"/>
        </w:r>
        <w:r w:rsidR="003E4210">
          <w:rPr>
            <w:noProof/>
            <w:webHidden/>
          </w:rPr>
          <w:instrText xml:space="preserve"> PAGEREF _Toc259716913 \h </w:instrText>
        </w:r>
        <w:r>
          <w:rPr>
            <w:noProof/>
            <w:webHidden/>
          </w:rPr>
        </w:r>
        <w:r>
          <w:rPr>
            <w:noProof/>
            <w:webHidden/>
          </w:rPr>
          <w:fldChar w:fldCharType="separate"/>
        </w:r>
        <w:r w:rsidR="003E4210">
          <w:rPr>
            <w:noProof/>
            <w:webHidden/>
          </w:rPr>
          <w:t>48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14" w:history="1">
        <w:r w:rsidR="003E4210" w:rsidRPr="005B500B">
          <w:rPr>
            <w:rStyle w:val="Hyperlink"/>
            <w:noProof/>
          </w:rPr>
          <w:t>7.3.2.22 Measurement Report element</w:t>
        </w:r>
        <w:r w:rsidR="003E4210">
          <w:rPr>
            <w:noProof/>
            <w:webHidden/>
          </w:rPr>
          <w:tab/>
        </w:r>
        <w:r>
          <w:rPr>
            <w:noProof/>
            <w:webHidden/>
          </w:rPr>
          <w:fldChar w:fldCharType="begin"/>
        </w:r>
        <w:r w:rsidR="003E4210">
          <w:rPr>
            <w:noProof/>
            <w:webHidden/>
          </w:rPr>
          <w:instrText xml:space="preserve"> PAGEREF _Toc259716914 \h </w:instrText>
        </w:r>
        <w:r>
          <w:rPr>
            <w:noProof/>
            <w:webHidden/>
          </w:rPr>
        </w:r>
        <w:r>
          <w:rPr>
            <w:noProof/>
            <w:webHidden/>
          </w:rPr>
          <w:fldChar w:fldCharType="separate"/>
        </w:r>
        <w:r w:rsidR="003E4210">
          <w:rPr>
            <w:noProof/>
            <w:webHidden/>
          </w:rPr>
          <w:t>49</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6915" w:history="1">
        <w:r w:rsidR="003E4210" w:rsidRPr="005B500B">
          <w:rPr>
            <w:rStyle w:val="Hyperlink"/>
            <w:noProof/>
          </w:rPr>
          <w:t>7.3.2.22.11 Directional Channel Quality report</w:t>
        </w:r>
        <w:r w:rsidR="003E4210">
          <w:rPr>
            <w:noProof/>
            <w:webHidden/>
          </w:rPr>
          <w:tab/>
        </w:r>
        <w:r>
          <w:rPr>
            <w:noProof/>
            <w:webHidden/>
          </w:rPr>
          <w:fldChar w:fldCharType="begin"/>
        </w:r>
        <w:r w:rsidR="003E4210">
          <w:rPr>
            <w:noProof/>
            <w:webHidden/>
          </w:rPr>
          <w:instrText xml:space="preserve"> PAGEREF _Toc259716915 \h </w:instrText>
        </w:r>
        <w:r>
          <w:rPr>
            <w:noProof/>
            <w:webHidden/>
          </w:rPr>
        </w:r>
        <w:r>
          <w:rPr>
            <w:noProof/>
            <w:webHidden/>
          </w:rPr>
          <w:fldChar w:fldCharType="separate"/>
        </w:r>
        <w:r w:rsidR="003E4210">
          <w:rPr>
            <w:noProof/>
            <w:webHidden/>
          </w:rPr>
          <w:t>50</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6916" w:history="1">
        <w:r w:rsidR="003E4210" w:rsidRPr="005B500B">
          <w:rPr>
            <w:rStyle w:val="Hyperlink"/>
            <w:noProof/>
          </w:rPr>
          <w:t>7.3.2.22.12 Directional Measurement report</w:t>
        </w:r>
        <w:r w:rsidR="003E4210">
          <w:rPr>
            <w:noProof/>
            <w:webHidden/>
          </w:rPr>
          <w:tab/>
        </w:r>
        <w:r>
          <w:rPr>
            <w:noProof/>
            <w:webHidden/>
          </w:rPr>
          <w:fldChar w:fldCharType="begin"/>
        </w:r>
        <w:r w:rsidR="003E4210">
          <w:rPr>
            <w:noProof/>
            <w:webHidden/>
          </w:rPr>
          <w:instrText xml:space="preserve"> PAGEREF _Toc259716916 \h </w:instrText>
        </w:r>
        <w:r>
          <w:rPr>
            <w:noProof/>
            <w:webHidden/>
          </w:rPr>
        </w:r>
        <w:r>
          <w:rPr>
            <w:noProof/>
            <w:webHidden/>
          </w:rPr>
          <w:fldChar w:fldCharType="separate"/>
        </w:r>
        <w:r w:rsidR="003E4210">
          <w:rPr>
            <w:noProof/>
            <w:webHidden/>
          </w:rPr>
          <w:t>51</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6917" w:history="1">
        <w:r w:rsidR="003E4210" w:rsidRPr="005B500B">
          <w:rPr>
            <w:rStyle w:val="Hyperlink"/>
            <w:noProof/>
          </w:rPr>
          <w:t>7.3.2.22.13 Directional Statistics report</w:t>
        </w:r>
        <w:r w:rsidR="003E4210">
          <w:rPr>
            <w:noProof/>
            <w:webHidden/>
          </w:rPr>
          <w:tab/>
        </w:r>
        <w:r>
          <w:rPr>
            <w:noProof/>
            <w:webHidden/>
          </w:rPr>
          <w:fldChar w:fldCharType="begin"/>
        </w:r>
        <w:r w:rsidR="003E4210">
          <w:rPr>
            <w:noProof/>
            <w:webHidden/>
          </w:rPr>
          <w:instrText xml:space="preserve"> PAGEREF _Toc259716917 \h </w:instrText>
        </w:r>
        <w:r>
          <w:rPr>
            <w:noProof/>
            <w:webHidden/>
          </w:rPr>
        </w:r>
        <w:r>
          <w:rPr>
            <w:noProof/>
            <w:webHidden/>
          </w:rPr>
          <w:fldChar w:fldCharType="separate"/>
        </w:r>
        <w:r w:rsidR="003E4210">
          <w:rPr>
            <w:noProof/>
            <w:webHidden/>
          </w:rPr>
          <w:t>52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18" w:history="1">
        <w:r w:rsidR="003E4210" w:rsidRPr="005B500B">
          <w:rPr>
            <w:rStyle w:val="Hyperlink"/>
            <w:noProof/>
          </w:rPr>
          <w:t>7.3.2.25 RSN information element</w:t>
        </w:r>
        <w:r w:rsidR="003E4210">
          <w:rPr>
            <w:noProof/>
            <w:webHidden/>
          </w:rPr>
          <w:tab/>
        </w:r>
        <w:r>
          <w:rPr>
            <w:noProof/>
            <w:webHidden/>
          </w:rPr>
          <w:fldChar w:fldCharType="begin"/>
        </w:r>
        <w:r w:rsidR="003E4210">
          <w:rPr>
            <w:noProof/>
            <w:webHidden/>
          </w:rPr>
          <w:instrText xml:space="preserve"> PAGEREF _Toc259716918 \h </w:instrText>
        </w:r>
        <w:r>
          <w:rPr>
            <w:noProof/>
            <w:webHidden/>
          </w:rPr>
        </w:r>
        <w:r>
          <w:rPr>
            <w:noProof/>
            <w:webHidden/>
          </w:rPr>
          <w:fldChar w:fldCharType="separate"/>
        </w:r>
        <w:r w:rsidR="003E4210">
          <w:rPr>
            <w:noProof/>
            <w:webHidden/>
          </w:rPr>
          <w:t>53</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19" w:history="1">
        <w:r w:rsidR="003E4210" w:rsidRPr="005B500B">
          <w:rPr>
            <w:rStyle w:val="Hyperlink"/>
            <w:noProof/>
          </w:rPr>
          <w:t>7.3.2.25.1</w:t>
        </w:r>
        <w:r w:rsidR="003E4210">
          <w:rPr>
            <w:rFonts w:asciiTheme="minorHAnsi" w:eastAsiaTheme="minorEastAsia" w:hAnsiTheme="minorHAnsi" w:cstheme="minorBidi"/>
            <w:noProof/>
            <w:sz w:val="22"/>
            <w:szCs w:val="22"/>
            <w:lang w:bidi="ar-SA"/>
          </w:rPr>
          <w:tab/>
        </w:r>
        <w:r w:rsidR="003E4210" w:rsidRPr="005B500B">
          <w:rPr>
            <w:rStyle w:val="Hyperlink"/>
            <w:noProof/>
          </w:rPr>
          <w:t>Cipher suites</w:t>
        </w:r>
        <w:r w:rsidR="003E4210">
          <w:rPr>
            <w:noProof/>
            <w:webHidden/>
          </w:rPr>
          <w:tab/>
        </w:r>
        <w:r>
          <w:rPr>
            <w:noProof/>
            <w:webHidden/>
          </w:rPr>
          <w:fldChar w:fldCharType="begin"/>
        </w:r>
        <w:r w:rsidR="003E4210">
          <w:rPr>
            <w:noProof/>
            <w:webHidden/>
          </w:rPr>
          <w:instrText xml:space="preserve"> PAGEREF _Toc259716919 \h </w:instrText>
        </w:r>
        <w:r>
          <w:rPr>
            <w:noProof/>
            <w:webHidden/>
          </w:rPr>
        </w:r>
        <w:r>
          <w:rPr>
            <w:noProof/>
            <w:webHidden/>
          </w:rPr>
          <w:fldChar w:fldCharType="separate"/>
        </w:r>
        <w:r w:rsidR="003E4210">
          <w:rPr>
            <w:noProof/>
            <w:webHidden/>
          </w:rPr>
          <w:t>53</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20" w:history="1">
        <w:r w:rsidR="003E4210" w:rsidRPr="005B500B">
          <w:rPr>
            <w:rStyle w:val="Hyperlink"/>
            <w:noProof/>
          </w:rPr>
          <w:t>7.3.2.25.3</w:t>
        </w:r>
        <w:r w:rsidR="003E4210">
          <w:rPr>
            <w:rFonts w:asciiTheme="minorHAnsi" w:eastAsiaTheme="minorEastAsia" w:hAnsiTheme="minorHAnsi" w:cstheme="minorBidi"/>
            <w:noProof/>
            <w:sz w:val="22"/>
            <w:szCs w:val="22"/>
            <w:lang w:bidi="ar-SA"/>
          </w:rPr>
          <w:tab/>
        </w:r>
        <w:r w:rsidR="003E4210" w:rsidRPr="005B500B">
          <w:rPr>
            <w:rStyle w:val="Hyperlink"/>
            <w:noProof/>
          </w:rPr>
          <w:t>RSNA capabilities</w:t>
        </w:r>
        <w:r w:rsidR="003E4210">
          <w:rPr>
            <w:noProof/>
            <w:webHidden/>
          </w:rPr>
          <w:tab/>
        </w:r>
        <w:r>
          <w:rPr>
            <w:noProof/>
            <w:webHidden/>
          </w:rPr>
          <w:fldChar w:fldCharType="begin"/>
        </w:r>
        <w:r w:rsidR="003E4210">
          <w:rPr>
            <w:noProof/>
            <w:webHidden/>
          </w:rPr>
          <w:instrText xml:space="preserve"> PAGEREF _Toc259716920 \h </w:instrText>
        </w:r>
        <w:r>
          <w:rPr>
            <w:noProof/>
            <w:webHidden/>
          </w:rPr>
        </w:r>
        <w:r>
          <w:rPr>
            <w:noProof/>
            <w:webHidden/>
          </w:rPr>
          <w:fldChar w:fldCharType="separate"/>
        </w:r>
        <w:r w:rsidR="003E4210">
          <w:rPr>
            <w:noProof/>
            <w:webHidden/>
          </w:rPr>
          <w:t>54</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1" w:history="1">
        <w:r w:rsidR="003E4210" w:rsidRPr="005B500B">
          <w:rPr>
            <w:rStyle w:val="Hyperlink"/>
            <w:noProof/>
          </w:rPr>
          <w:t>7.3.2.30</w:t>
        </w:r>
        <w:r w:rsidR="003E4210">
          <w:rPr>
            <w:rFonts w:asciiTheme="minorHAnsi" w:eastAsiaTheme="minorEastAsia" w:hAnsiTheme="minorHAnsi" w:cstheme="minorBidi"/>
            <w:noProof/>
            <w:sz w:val="22"/>
            <w:szCs w:val="22"/>
            <w:lang w:bidi="ar-SA"/>
          </w:rPr>
          <w:tab/>
        </w:r>
        <w:r w:rsidR="003E4210" w:rsidRPr="005B500B">
          <w:rPr>
            <w:rStyle w:val="Hyperlink"/>
            <w:noProof/>
          </w:rPr>
          <w:t>TSPEC element</w:t>
        </w:r>
        <w:r w:rsidR="003E4210">
          <w:rPr>
            <w:noProof/>
            <w:webHidden/>
          </w:rPr>
          <w:tab/>
        </w:r>
        <w:r>
          <w:rPr>
            <w:noProof/>
            <w:webHidden/>
          </w:rPr>
          <w:fldChar w:fldCharType="begin"/>
        </w:r>
        <w:r w:rsidR="003E4210">
          <w:rPr>
            <w:noProof/>
            <w:webHidden/>
          </w:rPr>
          <w:instrText xml:space="preserve"> PAGEREF _Toc259716921 \h </w:instrText>
        </w:r>
        <w:r>
          <w:rPr>
            <w:noProof/>
            <w:webHidden/>
          </w:rPr>
        </w:r>
        <w:r>
          <w:rPr>
            <w:noProof/>
            <w:webHidden/>
          </w:rPr>
          <w:fldChar w:fldCharType="separate"/>
        </w:r>
        <w:r w:rsidR="003E4210">
          <w:rPr>
            <w:noProof/>
            <w:webHidden/>
          </w:rPr>
          <w:t>54</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2" w:history="1">
        <w:r w:rsidR="003E4210" w:rsidRPr="005B500B">
          <w:rPr>
            <w:rStyle w:val="Hyperlink"/>
            <w:noProof/>
          </w:rPr>
          <w:t>7.3.2.31</w:t>
        </w:r>
        <w:r w:rsidR="003E4210">
          <w:rPr>
            <w:rFonts w:asciiTheme="minorHAnsi" w:eastAsiaTheme="minorEastAsia" w:hAnsiTheme="minorHAnsi" w:cstheme="minorBidi"/>
            <w:noProof/>
            <w:sz w:val="22"/>
            <w:szCs w:val="22"/>
            <w:lang w:bidi="ar-SA"/>
          </w:rPr>
          <w:tab/>
        </w:r>
        <w:r w:rsidR="003E4210" w:rsidRPr="005B500B">
          <w:rPr>
            <w:rStyle w:val="Hyperlink"/>
            <w:noProof/>
          </w:rPr>
          <w:t>TCLAS element</w:t>
        </w:r>
        <w:r w:rsidR="003E4210">
          <w:rPr>
            <w:noProof/>
            <w:webHidden/>
          </w:rPr>
          <w:tab/>
        </w:r>
        <w:r>
          <w:rPr>
            <w:noProof/>
            <w:webHidden/>
          </w:rPr>
          <w:fldChar w:fldCharType="begin"/>
        </w:r>
        <w:r w:rsidR="003E4210">
          <w:rPr>
            <w:noProof/>
            <w:webHidden/>
          </w:rPr>
          <w:instrText xml:space="preserve"> PAGEREF _Toc259716922 \h </w:instrText>
        </w:r>
        <w:r>
          <w:rPr>
            <w:noProof/>
            <w:webHidden/>
          </w:rPr>
        </w:r>
        <w:r>
          <w:rPr>
            <w:noProof/>
            <w:webHidden/>
          </w:rPr>
          <w:fldChar w:fldCharType="separate"/>
        </w:r>
        <w:r w:rsidR="003E4210">
          <w:rPr>
            <w:noProof/>
            <w:webHidden/>
          </w:rPr>
          <w:t>56</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3" w:history="1">
        <w:r w:rsidR="003E4210" w:rsidRPr="005B500B">
          <w:rPr>
            <w:rStyle w:val="Hyperlink"/>
            <w:noProof/>
          </w:rPr>
          <w:t>7.3.2.46</w:t>
        </w:r>
        <w:r w:rsidR="003E4210">
          <w:rPr>
            <w:rFonts w:asciiTheme="minorHAnsi" w:eastAsiaTheme="minorEastAsia" w:hAnsiTheme="minorHAnsi" w:cstheme="minorBidi"/>
            <w:noProof/>
            <w:sz w:val="22"/>
            <w:szCs w:val="22"/>
            <w:lang w:bidi="ar-SA"/>
          </w:rPr>
          <w:tab/>
        </w:r>
        <w:r w:rsidR="003E4210" w:rsidRPr="005B500B">
          <w:rPr>
            <w:rStyle w:val="Hyperlink"/>
            <w:noProof/>
          </w:rPr>
          <w:t>Multiple BSSID element</w:t>
        </w:r>
        <w:r w:rsidR="003E4210">
          <w:rPr>
            <w:noProof/>
            <w:webHidden/>
          </w:rPr>
          <w:tab/>
        </w:r>
        <w:r>
          <w:rPr>
            <w:noProof/>
            <w:webHidden/>
          </w:rPr>
          <w:fldChar w:fldCharType="begin"/>
        </w:r>
        <w:r w:rsidR="003E4210">
          <w:rPr>
            <w:noProof/>
            <w:webHidden/>
          </w:rPr>
          <w:instrText xml:space="preserve"> PAGEREF _Toc259716923 \h </w:instrText>
        </w:r>
        <w:r>
          <w:rPr>
            <w:noProof/>
            <w:webHidden/>
          </w:rPr>
        </w:r>
        <w:r>
          <w:rPr>
            <w:noProof/>
            <w:webHidden/>
          </w:rPr>
          <w:fldChar w:fldCharType="separate"/>
        </w:r>
        <w:r w:rsidR="003E4210">
          <w:rPr>
            <w:noProof/>
            <w:webHidden/>
          </w:rPr>
          <w:t>56</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4" w:history="1">
        <w:r w:rsidR="003E4210" w:rsidRPr="005B500B">
          <w:rPr>
            <w:rStyle w:val="Hyperlink"/>
            <w:noProof/>
          </w:rPr>
          <w:t>7.3.2.71</w:t>
        </w:r>
        <w:r w:rsidR="003E4210">
          <w:rPr>
            <w:rFonts w:asciiTheme="minorHAnsi" w:eastAsiaTheme="minorEastAsia" w:hAnsiTheme="minorHAnsi" w:cstheme="minorBidi"/>
            <w:noProof/>
            <w:sz w:val="22"/>
            <w:szCs w:val="22"/>
            <w:lang w:bidi="ar-SA"/>
          </w:rPr>
          <w:tab/>
        </w:r>
        <w:r w:rsidR="003E4210" w:rsidRPr="005B500B">
          <w:rPr>
            <w:rStyle w:val="Hyperlink"/>
            <w:noProof/>
          </w:rPr>
          <w:t>Non-transmitted BSSID Capability element</w:t>
        </w:r>
        <w:r w:rsidR="003E4210">
          <w:rPr>
            <w:noProof/>
            <w:webHidden/>
          </w:rPr>
          <w:tab/>
        </w:r>
        <w:r>
          <w:rPr>
            <w:noProof/>
            <w:webHidden/>
          </w:rPr>
          <w:fldChar w:fldCharType="begin"/>
        </w:r>
        <w:r w:rsidR="003E4210">
          <w:rPr>
            <w:noProof/>
            <w:webHidden/>
          </w:rPr>
          <w:instrText xml:space="preserve"> PAGEREF _Toc259716924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5" w:history="1">
        <w:r w:rsidR="003E4210" w:rsidRPr="005B500B">
          <w:rPr>
            <w:rStyle w:val="Hyperlink"/>
            <w:noProof/>
          </w:rPr>
          <w:t>7.3.2.90</w:t>
        </w:r>
        <w:r w:rsidR="003E4210">
          <w:rPr>
            <w:rFonts w:asciiTheme="minorHAnsi" w:eastAsiaTheme="minorEastAsia" w:hAnsiTheme="minorHAnsi" w:cstheme="minorBidi"/>
            <w:noProof/>
            <w:sz w:val="22"/>
            <w:szCs w:val="22"/>
            <w:lang w:bidi="ar-SA"/>
          </w:rPr>
          <w:tab/>
        </w:r>
        <w:r w:rsidR="003E4210" w:rsidRPr="005B500B">
          <w:rPr>
            <w:rStyle w:val="Hyperlink"/>
            <w:noProof/>
          </w:rPr>
          <w:t>mmWave BSS Parameter Change element</w:t>
        </w:r>
        <w:r w:rsidR="003E4210">
          <w:rPr>
            <w:noProof/>
            <w:webHidden/>
          </w:rPr>
          <w:tab/>
        </w:r>
        <w:r>
          <w:rPr>
            <w:noProof/>
            <w:webHidden/>
          </w:rPr>
          <w:fldChar w:fldCharType="begin"/>
        </w:r>
        <w:r w:rsidR="003E4210">
          <w:rPr>
            <w:noProof/>
            <w:webHidden/>
          </w:rPr>
          <w:instrText xml:space="preserve"> PAGEREF _Toc259716925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6" w:history="1">
        <w:r w:rsidR="003E4210" w:rsidRPr="005B500B">
          <w:rPr>
            <w:rStyle w:val="Hyperlink"/>
            <w:noProof/>
          </w:rPr>
          <w:t>7.3.2.91</w:t>
        </w:r>
        <w:r w:rsidR="003E4210">
          <w:rPr>
            <w:rFonts w:asciiTheme="minorHAnsi" w:eastAsiaTheme="minorEastAsia" w:hAnsiTheme="minorHAnsi" w:cstheme="minorBidi"/>
            <w:noProof/>
            <w:sz w:val="22"/>
            <w:szCs w:val="22"/>
            <w:lang w:bidi="ar-SA"/>
          </w:rPr>
          <w:tab/>
        </w:r>
        <w:r w:rsidR="003E4210" w:rsidRPr="005B500B">
          <w:rPr>
            <w:rStyle w:val="Hyperlink"/>
            <w:noProof/>
          </w:rPr>
          <w:t>mmWave Capabilities element</w:t>
        </w:r>
        <w:r w:rsidR="003E4210">
          <w:rPr>
            <w:noProof/>
            <w:webHidden/>
          </w:rPr>
          <w:tab/>
        </w:r>
        <w:r>
          <w:rPr>
            <w:noProof/>
            <w:webHidden/>
          </w:rPr>
          <w:fldChar w:fldCharType="begin"/>
        </w:r>
        <w:r w:rsidR="003E4210">
          <w:rPr>
            <w:noProof/>
            <w:webHidden/>
          </w:rPr>
          <w:instrText xml:space="preserve"> PAGEREF _Toc259716926 \h </w:instrText>
        </w:r>
        <w:r>
          <w:rPr>
            <w:noProof/>
            <w:webHidden/>
          </w:rPr>
        </w:r>
        <w:r>
          <w:rPr>
            <w:noProof/>
            <w:webHidden/>
          </w:rPr>
          <w:fldChar w:fldCharType="separate"/>
        </w:r>
        <w:r w:rsidR="003E4210">
          <w:rPr>
            <w:noProof/>
            <w:webHidden/>
          </w:rPr>
          <w:t>58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6927" w:history="1">
        <w:r w:rsidR="003E4210" w:rsidRPr="005B500B">
          <w:rPr>
            <w:rStyle w:val="Hyperlink"/>
            <w:noProof/>
          </w:rPr>
          <w:t>7.3.2.91.1 mmWave STA Capability Information field</w:t>
        </w:r>
        <w:r w:rsidR="003E4210">
          <w:rPr>
            <w:noProof/>
            <w:webHidden/>
          </w:rPr>
          <w:tab/>
        </w:r>
        <w:r>
          <w:rPr>
            <w:noProof/>
            <w:webHidden/>
          </w:rPr>
          <w:fldChar w:fldCharType="begin"/>
        </w:r>
        <w:r w:rsidR="003E4210">
          <w:rPr>
            <w:noProof/>
            <w:webHidden/>
          </w:rPr>
          <w:instrText xml:space="preserve"> PAGEREF _Toc259716927 \h </w:instrText>
        </w:r>
        <w:r>
          <w:rPr>
            <w:noProof/>
            <w:webHidden/>
          </w:rPr>
        </w:r>
        <w:r>
          <w:rPr>
            <w:noProof/>
            <w:webHidden/>
          </w:rPr>
          <w:fldChar w:fldCharType="separate"/>
        </w:r>
        <w:r w:rsidR="003E4210">
          <w:rPr>
            <w:noProof/>
            <w:webHidden/>
          </w:rPr>
          <w:t>58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6928" w:history="1">
        <w:r w:rsidR="003E4210" w:rsidRPr="005B500B">
          <w:rPr>
            <w:rStyle w:val="Hyperlink"/>
            <w:noProof/>
          </w:rPr>
          <w:t>7.3.2.91.2 mmWave PCP/AP Capability Information field</w:t>
        </w:r>
        <w:r w:rsidR="003E4210">
          <w:rPr>
            <w:noProof/>
            <w:webHidden/>
          </w:rPr>
          <w:tab/>
        </w:r>
        <w:r>
          <w:rPr>
            <w:noProof/>
            <w:webHidden/>
          </w:rPr>
          <w:fldChar w:fldCharType="begin"/>
        </w:r>
        <w:r w:rsidR="003E4210">
          <w:rPr>
            <w:noProof/>
            <w:webHidden/>
          </w:rPr>
          <w:instrText xml:space="preserve"> PAGEREF _Toc259716928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9" w:history="1">
        <w:r w:rsidR="003E4210" w:rsidRPr="005B500B">
          <w:rPr>
            <w:rStyle w:val="Hyperlink"/>
            <w:noProof/>
          </w:rPr>
          <w:t>7.3.2.92</w:t>
        </w:r>
        <w:r w:rsidR="003E4210">
          <w:rPr>
            <w:rFonts w:asciiTheme="minorHAnsi" w:eastAsiaTheme="minorEastAsia" w:hAnsiTheme="minorHAnsi" w:cstheme="minorBidi"/>
            <w:noProof/>
            <w:sz w:val="22"/>
            <w:szCs w:val="22"/>
            <w:lang w:bidi="ar-SA"/>
          </w:rPr>
          <w:tab/>
        </w:r>
        <w:r w:rsidR="003E4210" w:rsidRPr="005B500B">
          <w:rPr>
            <w:rStyle w:val="Hyperlink"/>
            <w:noProof/>
          </w:rPr>
          <w:t>mmWave Operation element</w:t>
        </w:r>
        <w:r w:rsidR="003E4210">
          <w:rPr>
            <w:noProof/>
            <w:webHidden/>
          </w:rPr>
          <w:tab/>
        </w:r>
        <w:r>
          <w:rPr>
            <w:noProof/>
            <w:webHidden/>
          </w:rPr>
          <w:fldChar w:fldCharType="begin"/>
        </w:r>
        <w:r w:rsidR="003E4210">
          <w:rPr>
            <w:noProof/>
            <w:webHidden/>
          </w:rPr>
          <w:instrText xml:space="preserve"> PAGEREF _Toc259716929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0" w:history="1">
        <w:r w:rsidR="003E4210" w:rsidRPr="005B500B">
          <w:rPr>
            <w:rStyle w:val="Hyperlink"/>
            <w:noProof/>
          </w:rPr>
          <w:t>7.3.2.93</w:t>
        </w:r>
        <w:r w:rsidR="003E4210">
          <w:rPr>
            <w:rFonts w:asciiTheme="minorHAnsi" w:eastAsiaTheme="minorEastAsia" w:hAnsiTheme="minorHAnsi" w:cstheme="minorBidi"/>
            <w:noProof/>
            <w:sz w:val="22"/>
            <w:szCs w:val="22"/>
            <w:lang w:bidi="ar-SA"/>
          </w:rPr>
          <w:tab/>
        </w:r>
        <w:r w:rsidR="003E4210" w:rsidRPr="005B500B">
          <w:rPr>
            <w:rStyle w:val="Hyperlink"/>
            <w:noProof/>
          </w:rPr>
          <w:t>mmWave Beam refinement element</w:t>
        </w:r>
        <w:r w:rsidR="003E4210">
          <w:rPr>
            <w:noProof/>
            <w:webHidden/>
          </w:rPr>
          <w:tab/>
        </w:r>
        <w:r>
          <w:rPr>
            <w:noProof/>
            <w:webHidden/>
          </w:rPr>
          <w:fldChar w:fldCharType="begin"/>
        </w:r>
        <w:r w:rsidR="003E4210">
          <w:rPr>
            <w:noProof/>
            <w:webHidden/>
          </w:rPr>
          <w:instrText xml:space="preserve"> PAGEREF _Toc259716930 \h </w:instrText>
        </w:r>
        <w:r>
          <w:rPr>
            <w:noProof/>
            <w:webHidden/>
          </w:rPr>
        </w:r>
        <w:r>
          <w:rPr>
            <w:noProof/>
            <w:webHidden/>
          </w:rPr>
          <w:fldChar w:fldCharType="separate"/>
        </w:r>
        <w:r w:rsidR="003E4210">
          <w:rPr>
            <w:noProof/>
            <w:webHidden/>
          </w:rPr>
          <w:t>63</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1" w:history="1">
        <w:r w:rsidR="003E4210" w:rsidRPr="005B500B">
          <w:rPr>
            <w:rStyle w:val="Hyperlink"/>
            <w:noProof/>
          </w:rPr>
          <w:t>7.3.2.94</w:t>
        </w:r>
        <w:r w:rsidR="003E4210">
          <w:rPr>
            <w:rFonts w:asciiTheme="minorHAnsi" w:eastAsiaTheme="minorEastAsia" w:hAnsiTheme="minorHAnsi" w:cstheme="minorBidi"/>
            <w:noProof/>
            <w:sz w:val="22"/>
            <w:szCs w:val="22"/>
            <w:lang w:bidi="ar-SA"/>
          </w:rPr>
          <w:tab/>
        </w:r>
        <w:r w:rsidR="003E4210" w:rsidRPr="005B500B">
          <w:rPr>
            <w:rStyle w:val="Hyperlink"/>
            <w:noProof/>
          </w:rPr>
          <w:t>Wakeup Schedule element</w:t>
        </w:r>
        <w:r w:rsidR="003E4210">
          <w:rPr>
            <w:noProof/>
            <w:webHidden/>
          </w:rPr>
          <w:tab/>
        </w:r>
        <w:r>
          <w:rPr>
            <w:noProof/>
            <w:webHidden/>
          </w:rPr>
          <w:fldChar w:fldCharType="begin"/>
        </w:r>
        <w:r w:rsidR="003E4210">
          <w:rPr>
            <w:noProof/>
            <w:webHidden/>
          </w:rPr>
          <w:instrText xml:space="preserve"> PAGEREF _Toc259716931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2" w:history="1">
        <w:r w:rsidR="003E4210" w:rsidRPr="005B500B">
          <w:rPr>
            <w:rStyle w:val="Hyperlink"/>
            <w:noProof/>
          </w:rPr>
          <w:t>7.3.2.95</w:t>
        </w:r>
        <w:r w:rsidR="003E4210">
          <w:rPr>
            <w:rFonts w:asciiTheme="minorHAnsi" w:eastAsiaTheme="minorEastAsia" w:hAnsiTheme="minorHAnsi" w:cstheme="minorBidi"/>
            <w:noProof/>
            <w:sz w:val="22"/>
            <w:szCs w:val="22"/>
            <w:lang w:bidi="ar-SA"/>
          </w:rPr>
          <w:tab/>
        </w:r>
        <w:r w:rsidR="003E4210" w:rsidRPr="005B500B">
          <w:rPr>
            <w:rStyle w:val="Hyperlink"/>
            <w:noProof/>
          </w:rPr>
          <w:t>Extended Schedule element</w:t>
        </w:r>
        <w:r w:rsidR="003E4210">
          <w:rPr>
            <w:noProof/>
            <w:webHidden/>
          </w:rPr>
          <w:tab/>
        </w:r>
        <w:r>
          <w:rPr>
            <w:noProof/>
            <w:webHidden/>
          </w:rPr>
          <w:fldChar w:fldCharType="begin"/>
        </w:r>
        <w:r w:rsidR="003E4210">
          <w:rPr>
            <w:noProof/>
            <w:webHidden/>
          </w:rPr>
          <w:instrText xml:space="preserve"> PAGEREF _Toc259716932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3" w:history="1">
        <w:r w:rsidR="003E4210" w:rsidRPr="005B500B">
          <w:rPr>
            <w:rStyle w:val="Hyperlink"/>
            <w:noProof/>
          </w:rPr>
          <w:t>7.3.2.96</w:t>
        </w:r>
        <w:r w:rsidR="003E4210">
          <w:rPr>
            <w:rFonts w:asciiTheme="minorHAnsi" w:eastAsiaTheme="minorEastAsia" w:hAnsiTheme="minorHAnsi" w:cstheme="minorBidi"/>
            <w:noProof/>
            <w:sz w:val="22"/>
            <w:szCs w:val="22"/>
            <w:lang w:bidi="ar-SA"/>
          </w:rPr>
          <w:tab/>
        </w:r>
        <w:r w:rsidR="003E4210" w:rsidRPr="005B500B">
          <w:rPr>
            <w:rStyle w:val="Hyperlink"/>
            <w:noProof/>
          </w:rPr>
          <w:t>STA Availability element</w:t>
        </w:r>
        <w:r w:rsidR="003E4210">
          <w:rPr>
            <w:noProof/>
            <w:webHidden/>
          </w:rPr>
          <w:tab/>
        </w:r>
        <w:r>
          <w:rPr>
            <w:noProof/>
            <w:webHidden/>
          </w:rPr>
          <w:fldChar w:fldCharType="begin"/>
        </w:r>
        <w:r w:rsidR="003E4210">
          <w:rPr>
            <w:noProof/>
            <w:webHidden/>
          </w:rPr>
          <w:instrText xml:space="preserve"> PAGEREF _Toc259716933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4" w:history="1">
        <w:r w:rsidR="003E4210" w:rsidRPr="005B500B">
          <w:rPr>
            <w:rStyle w:val="Hyperlink"/>
            <w:noProof/>
          </w:rPr>
          <w:t>7.3.2.97</w:t>
        </w:r>
        <w:r w:rsidR="003E4210">
          <w:rPr>
            <w:rFonts w:asciiTheme="minorHAnsi" w:eastAsiaTheme="minorEastAsia" w:hAnsiTheme="minorHAnsi" w:cstheme="minorBidi"/>
            <w:noProof/>
            <w:sz w:val="22"/>
            <w:szCs w:val="22"/>
            <w:lang w:bidi="ar-SA"/>
          </w:rPr>
          <w:tab/>
        </w:r>
        <w:r w:rsidR="003E4210" w:rsidRPr="005B500B">
          <w:rPr>
            <w:rStyle w:val="Hyperlink"/>
            <w:noProof/>
          </w:rPr>
          <w:t>Extended mmWave TSPEC element</w:t>
        </w:r>
        <w:r w:rsidR="003E4210">
          <w:rPr>
            <w:noProof/>
            <w:webHidden/>
          </w:rPr>
          <w:tab/>
        </w:r>
        <w:r>
          <w:rPr>
            <w:noProof/>
            <w:webHidden/>
          </w:rPr>
          <w:fldChar w:fldCharType="begin"/>
        </w:r>
        <w:r w:rsidR="003E4210">
          <w:rPr>
            <w:noProof/>
            <w:webHidden/>
          </w:rPr>
          <w:instrText xml:space="preserve"> PAGEREF _Toc259716934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5" w:history="1">
        <w:r w:rsidR="003E4210" w:rsidRPr="005B500B">
          <w:rPr>
            <w:rStyle w:val="Hyperlink"/>
            <w:noProof/>
          </w:rPr>
          <w:t>7.3.2.98</w:t>
        </w:r>
        <w:r w:rsidR="003E4210">
          <w:rPr>
            <w:rFonts w:asciiTheme="minorHAnsi" w:eastAsiaTheme="minorEastAsia" w:hAnsiTheme="minorHAnsi" w:cstheme="minorBidi"/>
            <w:noProof/>
            <w:sz w:val="22"/>
            <w:szCs w:val="22"/>
            <w:lang w:bidi="ar-SA"/>
          </w:rPr>
          <w:tab/>
        </w:r>
        <w:r w:rsidR="003E4210" w:rsidRPr="005B500B">
          <w:rPr>
            <w:rStyle w:val="Hyperlink"/>
            <w:noProof/>
          </w:rPr>
          <w:t>Next mmWave AT element</w:t>
        </w:r>
        <w:r w:rsidR="003E4210">
          <w:rPr>
            <w:noProof/>
            <w:webHidden/>
          </w:rPr>
          <w:tab/>
        </w:r>
        <w:r>
          <w:rPr>
            <w:noProof/>
            <w:webHidden/>
          </w:rPr>
          <w:fldChar w:fldCharType="begin"/>
        </w:r>
        <w:r w:rsidR="003E4210">
          <w:rPr>
            <w:noProof/>
            <w:webHidden/>
          </w:rPr>
          <w:instrText xml:space="preserve"> PAGEREF _Toc259716935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6" w:history="1">
        <w:r w:rsidR="003E4210" w:rsidRPr="005B500B">
          <w:rPr>
            <w:rStyle w:val="Hyperlink"/>
            <w:noProof/>
          </w:rPr>
          <w:t>7.3.2.99</w:t>
        </w:r>
        <w:r w:rsidR="003E4210">
          <w:rPr>
            <w:rFonts w:asciiTheme="minorHAnsi" w:eastAsiaTheme="minorEastAsia" w:hAnsiTheme="minorHAnsi" w:cstheme="minorBidi"/>
            <w:noProof/>
            <w:sz w:val="22"/>
            <w:szCs w:val="22"/>
            <w:lang w:bidi="ar-SA"/>
          </w:rPr>
          <w:tab/>
        </w:r>
        <w:r w:rsidR="003E4210" w:rsidRPr="005B500B">
          <w:rPr>
            <w:rStyle w:val="Hyperlink"/>
            <w:noProof/>
          </w:rPr>
          <w:t>Channel measurement feedback element</w:t>
        </w:r>
        <w:r w:rsidR="003E4210">
          <w:rPr>
            <w:noProof/>
            <w:webHidden/>
          </w:rPr>
          <w:tab/>
        </w:r>
        <w:r>
          <w:rPr>
            <w:noProof/>
            <w:webHidden/>
          </w:rPr>
          <w:fldChar w:fldCharType="begin"/>
        </w:r>
        <w:r w:rsidR="003E4210">
          <w:rPr>
            <w:noProof/>
            <w:webHidden/>
          </w:rPr>
          <w:instrText xml:space="preserve"> PAGEREF _Toc259716936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7" w:history="1">
        <w:r w:rsidR="003E4210" w:rsidRPr="005B500B">
          <w:rPr>
            <w:rStyle w:val="Hyperlink"/>
            <w:noProof/>
          </w:rPr>
          <w:t>7.3.2.100</w:t>
        </w:r>
        <w:r w:rsidR="003E4210">
          <w:rPr>
            <w:rFonts w:asciiTheme="minorHAnsi" w:eastAsiaTheme="minorEastAsia" w:hAnsiTheme="minorHAnsi" w:cstheme="minorBidi"/>
            <w:noProof/>
            <w:sz w:val="22"/>
            <w:szCs w:val="22"/>
            <w:lang w:bidi="ar-SA"/>
          </w:rPr>
          <w:tab/>
        </w:r>
        <w:r w:rsidR="003E4210" w:rsidRPr="005B500B">
          <w:rPr>
            <w:rStyle w:val="Hyperlink"/>
            <w:noProof/>
          </w:rPr>
          <w:t>Awake Window element</w:t>
        </w:r>
        <w:r w:rsidR="003E4210">
          <w:rPr>
            <w:noProof/>
            <w:webHidden/>
          </w:rPr>
          <w:tab/>
        </w:r>
        <w:r>
          <w:rPr>
            <w:noProof/>
            <w:webHidden/>
          </w:rPr>
          <w:fldChar w:fldCharType="begin"/>
        </w:r>
        <w:r w:rsidR="003E4210">
          <w:rPr>
            <w:noProof/>
            <w:webHidden/>
          </w:rPr>
          <w:instrText xml:space="preserve"> PAGEREF _Toc259716937 \h </w:instrText>
        </w:r>
        <w:r>
          <w:rPr>
            <w:noProof/>
            <w:webHidden/>
          </w:rPr>
        </w:r>
        <w:r>
          <w:rPr>
            <w:noProof/>
            <w:webHidden/>
          </w:rPr>
          <w:fldChar w:fldCharType="separate"/>
        </w:r>
        <w:r w:rsidR="003E4210">
          <w:rPr>
            <w:noProof/>
            <w:webHidden/>
          </w:rPr>
          <w:t>72</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8" w:history="1">
        <w:r w:rsidR="003E4210" w:rsidRPr="005B500B">
          <w:rPr>
            <w:rStyle w:val="Hyperlink"/>
            <w:noProof/>
          </w:rPr>
          <w:t>7.3.2.101</w:t>
        </w:r>
        <w:r w:rsidR="003E4210">
          <w:rPr>
            <w:rFonts w:asciiTheme="minorHAnsi" w:eastAsiaTheme="minorEastAsia" w:hAnsiTheme="minorHAnsi" w:cstheme="minorBidi"/>
            <w:noProof/>
            <w:sz w:val="22"/>
            <w:szCs w:val="22"/>
            <w:lang w:bidi="ar-SA"/>
          </w:rPr>
          <w:tab/>
        </w:r>
        <w:r w:rsidR="003E4210" w:rsidRPr="005B500B">
          <w:rPr>
            <w:rStyle w:val="Hyperlink"/>
            <w:noProof/>
          </w:rPr>
          <w:t>Multi-band element</w:t>
        </w:r>
        <w:r w:rsidR="003E4210">
          <w:rPr>
            <w:noProof/>
            <w:webHidden/>
          </w:rPr>
          <w:tab/>
        </w:r>
        <w:r>
          <w:rPr>
            <w:noProof/>
            <w:webHidden/>
          </w:rPr>
          <w:fldChar w:fldCharType="begin"/>
        </w:r>
        <w:r w:rsidR="003E4210">
          <w:rPr>
            <w:noProof/>
            <w:webHidden/>
          </w:rPr>
          <w:instrText xml:space="preserve"> PAGEREF _Toc259716938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9" w:history="1">
        <w:r w:rsidR="003E4210" w:rsidRPr="005B500B">
          <w:rPr>
            <w:rStyle w:val="Hyperlink"/>
            <w:noProof/>
          </w:rPr>
          <w:t>7.3.2.102</w:t>
        </w:r>
        <w:r w:rsidR="003E4210">
          <w:rPr>
            <w:rFonts w:asciiTheme="minorHAnsi" w:eastAsiaTheme="minorEastAsia" w:hAnsiTheme="minorHAnsi" w:cstheme="minorBidi"/>
            <w:noProof/>
            <w:sz w:val="22"/>
            <w:szCs w:val="22"/>
            <w:lang w:bidi="ar-SA"/>
          </w:rPr>
          <w:tab/>
        </w:r>
        <w:r w:rsidR="003E4210" w:rsidRPr="005B500B">
          <w:rPr>
            <w:rStyle w:val="Hyperlink"/>
            <w:noProof/>
          </w:rPr>
          <w:t>ADDBA extension element</w:t>
        </w:r>
        <w:r w:rsidR="003E4210">
          <w:rPr>
            <w:noProof/>
            <w:webHidden/>
          </w:rPr>
          <w:tab/>
        </w:r>
        <w:r>
          <w:rPr>
            <w:noProof/>
            <w:webHidden/>
          </w:rPr>
          <w:fldChar w:fldCharType="begin"/>
        </w:r>
        <w:r w:rsidR="003E4210">
          <w:rPr>
            <w:noProof/>
            <w:webHidden/>
          </w:rPr>
          <w:instrText xml:space="preserve"> PAGEREF _Toc259716939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0" w:history="1">
        <w:r w:rsidR="003E4210" w:rsidRPr="005B500B">
          <w:rPr>
            <w:rStyle w:val="Hyperlink"/>
            <w:noProof/>
          </w:rPr>
          <w:t>7.3.2.103</w:t>
        </w:r>
        <w:r w:rsidR="003E4210">
          <w:rPr>
            <w:rFonts w:asciiTheme="minorHAnsi" w:eastAsiaTheme="minorEastAsia" w:hAnsiTheme="minorHAnsi" w:cstheme="minorBidi"/>
            <w:noProof/>
            <w:sz w:val="22"/>
            <w:szCs w:val="22"/>
            <w:lang w:bidi="ar-SA"/>
          </w:rPr>
          <w:tab/>
        </w:r>
        <w:r w:rsidR="003E4210" w:rsidRPr="005B500B">
          <w:rPr>
            <w:rStyle w:val="Hyperlink"/>
            <w:noProof/>
          </w:rPr>
          <w:t>Next PCP List element</w:t>
        </w:r>
        <w:r w:rsidR="003E4210">
          <w:rPr>
            <w:noProof/>
            <w:webHidden/>
          </w:rPr>
          <w:tab/>
        </w:r>
        <w:r>
          <w:rPr>
            <w:noProof/>
            <w:webHidden/>
          </w:rPr>
          <w:fldChar w:fldCharType="begin"/>
        </w:r>
        <w:r w:rsidR="003E4210">
          <w:rPr>
            <w:noProof/>
            <w:webHidden/>
          </w:rPr>
          <w:instrText xml:space="preserve"> PAGEREF _Toc259716940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1" w:history="1">
        <w:r w:rsidR="003E4210" w:rsidRPr="005B500B">
          <w:rPr>
            <w:rStyle w:val="Hyperlink"/>
            <w:noProof/>
          </w:rPr>
          <w:t>7.3.2.104</w:t>
        </w:r>
        <w:r w:rsidR="003E4210">
          <w:rPr>
            <w:rFonts w:asciiTheme="minorHAnsi" w:eastAsiaTheme="minorEastAsia" w:hAnsiTheme="minorHAnsi" w:cstheme="minorBidi"/>
            <w:noProof/>
            <w:sz w:val="22"/>
            <w:szCs w:val="22"/>
            <w:lang w:bidi="ar-SA"/>
          </w:rPr>
          <w:tab/>
        </w:r>
        <w:r w:rsidR="003E4210" w:rsidRPr="005B500B">
          <w:rPr>
            <w:rStyle w:val="Hyperlink"/>
            <w:noProof/>
          </w:rPr>
          <w:t>PCP Handover element</w:t>
        </w:r>
        <w:r w:rsidR="003E4210">
          <w:rPr>
            <w:noProof/>
            <w:webHidden/>
          </w:rPr>
          <w:tab/>
        </w:r>
        <w:r>
          <w:rPr>
            <w:noProof/>
            <w:webHidden/>
          </w:rPr>
          <w:fldChar w:fldCharType="begin"/>
        </w:r>
        <w:r w:rsidR="003E4210">
          <w:rPr>
            <w:noProof/>
            <w:webHidden/>
          </w:rPr>
          <w:instrText xml:space="preserve"> PAGEREF _Toc259716941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2" w:history="1">
        <w:r w:rsidR="003E4210" w:rsidRPr="005B500B">
          <w:rPr>
            <w:rStyle w:val="Hyperlink"/>
            <w:noProof/>
          </w:rPr>
          <w:t>7.3.2.105</w:t>
        </w:r>
        <w:r w:rsidR="003E4210">
          <w:rPr>
            <w:rFonts w:asciiTheme="minorHAnsi" w:eastAsiaTheme="minorEastAsia" w:hAnsiTheme="minorHAnsi" w:cstheme="minorBidi"/>
            <w:noProof/>
            <w:sz w:val="22"/>
            <w:szCs w:val="22"/>
            <w:lang w:bidi="ar-SA"/>
          </w:rPr>
          <w:tab/>
        </w:r>
        <w:r w:rsidR="003E4210" w:rsidRPr="005B500B">
          <w:rPr>
            <w:rStyle w:val="Hyperlink"/>
            <w:noProof/>
          </w:rPr>
          <w:t>Link Margin element</w:t>
        </w:r>
        <w:r w:rsidR="003E4210">
          <w:rPr>
            <w:noProof/>
            <w:webHidden/>
          </w:rPr>
          <w:tab/>
        </w:r>
        <w:r>
          <w:rPr>
            <w:noProof/>
            <w:webHidden/>
          </w:rPr>
          <w:fldChar w:fldCharType="begin"/>
        </w:r>
        <w:r w:rsidR="003E4210">
          <w:rPr>
            <w:noProof/>
            <w:webHidden/>
          </w:rPr>
          <w:instrText xml:space="preserve"> PAGEREF _Toc259716942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BD151C">
      <w:pPr>
        <w:pStyle w:val="TOC5"/>
        <w:tabs>
          <w:tab w:val="left" w:pos="1990"/>
          <w:tab w:val="right" w:leader="dot" w:pos="9890"/>
        </w:tabs>
        <w:rPr>
          <w:rFonts w:asciiTheme="minorHAnsi" w:eastAsiaTheme="minorEastAsia" w:hAnsiTheme="minorHAnsi" w:cstheme="minorBidi"/>
          <w:noProof/>
          <w:sz w:val="22"/>
          <w:szCs w:val="22"/>
          <w:lang w:bidi="ar-SA"/>
        </w:rPr>
      </w:pPr>
      <w:hyperlink w:anchor="_Toc259716943" w:history="1">
        <w:r w:rsidR="003E4210" w:rsidRPr="005B500B">
          <w:rPr>
            <w:rStyle w:val="Hyperlink"/>
            <w:noProof/>
          </w:rPr>
          <w:t>7.3.2.105.1</w:t>
        </w:r>
        <w:r w:rsidR="003E4210">
          <w:rPr>
            <w:rFonts w:asciiTheme="minorHAnsi" w:eastAsiaTheme="minorEastAsia" w:hAnsiTheme="minorHAnsi" w:cstheme="minorBidi"/>
            <w:noProof/>
            <w:sz w:val="22"/>
            <w:szCs w:val="22"/>
            <w:lang w:bidi="ar-SA"/>
          </w:rPr>
          <w:tab/>
        </w:r>
        <w:r w:rsidR="003E4210" w:rsidRPr="005B500B">
          <w:rPr>
            <w:rStyle w:val="Hyperlink"/>
            <w:noProof/>
          </w:rPr>
          <w:t>Action field</w:t>
        </w:r>
        <w:r w:rsidR="003E4210">
          <w:rPr>
            <w:noProof/>
            <w:webHidden/>
          </w:rPr>
          <w:tab/>
        </w:r>
        <w:r>
          <w:rPr>
            <w:noProof/>
            <w:webHidden/>
          </w:rPr>
          <w:fldChar w:fldCharType="begin"/>
        </w:r>
        <w:r w:rsidR="003E4210">
          <w:rPr>
            <w:noProof/>
            <w:webHidden/>
          </w:rPr>
          <w:instrText xml:space="preserve"> PAGEREF _Toc259716943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4" w:history="1">
        <w:r w:rsidR="003E4210" w:rsidRPr="005B500B">
          <w:rPr>
            <w:rStyle w:val="Hyperlink"/>
            <w:noProof/>
          </w:rPr>
          <w:t>7.3.2.106</w:t>
        </w:r>
        <w:r w:rsidR="003E4210">
          <w:rPr>
            <w:rFonts w:asciiTheme="minorHAnsi" w:eastAsiaTheme="minorEastAsia" w:hAnsiTheme="minorHAnsi" w:cstheme="minorBidi"/>
            <w:noProof/>
            <w:sz w:val="22"/>
            <w:szCs w:val="22"/>
            <w:lang w:bidi="ar-SA"/>
          </w:rPr>
          <w:tab/>
        </w:r>
        <w:r w:rsidR="003E4210" w:rsidRPr="005B500B">
          <w:rPr>
            <w:rStyle w:val="Hyperlink"/>
            <w:noProof/>
          </w:rPr>
          <w:t>Switching Stream element</w:t>
        </w:r>
        <w:r w:rsidR="003E4210">
          <w:rPr>
            <w:noProof/>
            <w:webHidden/>
          </w:rPr>
          <w:tab/>
        </w:r>
        <w:r>
          <w:rPr>
            <w:noProof/>
            <w:webHidden/>
          </w:rPr>
          <w:fldChar w:fldCharType="begin"/>
        </w:r>
        <w:r w:rsidR="003E4210">
          <w:rPr>
            <w:noProof/>
            <w:webHidden/>
          </w:rPr>
          <w:instrText xml:space="preserve"> PAGEREF _Toc259716944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5" w:history="1">
        <w:r w:rsidR="003E4210" w:rsidRPr="005B500B">
          <w:rPr>
            <w:rStyle w:val="Hyperlink"/>
            <w:noProof/>
          </w:rPr>
          <w:t>7.3.2.107</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Session Transition element</w:t>
        </w:r>
        <w:r w:rsidR="003E4210">
          <w:rPr>
            <w:noProof/>
            <w:webHidden/>
          </w:rPr>
          <w:tab/>
        </w:r>
        <w:r>
          <w:rPr>
            <w:noProof/>
            <w:webHidden/>
          </w:rPr>
          <w:fldChar w:fldCharType="begin"/>
        </w:r>
        <w:r w:rsidR="003E4210">
          <w:rPr>
            <w:noProof/>
            <w:webHidden/>
          </w:rPr>
          <w:instrText xml:space="preserve"> PAGEREF _Toc259716945 \h </w:instrText>
        </w:r>
        <w:r>
          <w:rPr>
            <w:noProof/>
            <w:webHidden/>
          </w:rPr>
        </w:r>
        <w:r>
          <w:rPr>
            <w:noProof/>
            <w:webHidden/>
          </w:rPr>
          <w:fldChar w:fldCharType="separate"/>
        </w:r>
        <w:r w:rsidR="003E4210">
          <w:rPr>
            <w:noProof/>
            <w:webHidden/>
          </w:rPr>
          <w:t>78</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6" w:history="1">
        <w:r w:rsidR="003E4210" w:rsidRPr="005B500B">
          <w:rPr>
            <w:rStyle w:val="Hyperlink"/>
            <w:noProof/>
          </w:rPr>
          <w:t>7.3.2.108</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Dynamic Tone Pairing (DTP) Report element</w:t>
        </w:r>
        <w:r w:rsidR="003E4210">
          <w:rPr>
            <w:noProof/>
            <w:webHidden/>
          </w:rPr>
          <w:tab/>
        </w:r>
        <w:r>
          <w:rPr>
            <w:noProof/>
            <w:webHidden/>
          </w:rPr>
          <w:fldChar w:fldCharType="begin"/>
        </w:r>
        <w:r w:rsidR="003E4210">
          <w:rPr>
            <w:noProof/>
            <w:webHidden/>
          </w:rPr>
          <w:instrText xml:space="preserve"> PAGEREF _Toc259716946 \h </w:instrText>
        </w:r>
        <w:r>
          <w:rPr>
            <w:noProof/>
            <w:webHidden/>
          </w:rPr>
        </w:r>
        <w:r>
          <w:rPr>
            <w:noProof/>
            <w:webHidden/>
          </w:rPr>
          <w:fldChar w:fldCharType="separate"/>
        </w:r>
        <w:r w:rsidR="003E4210">
          <w:rPr>
            <w:noProof/>
            <w:webHidden/>
          </w:rPr>
          <w:t>79</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7" w:history="1">
        <w:r w:rsidR="003E4210" w:rsidRPr="005B500B">
          <w:rPr>
            <w:rStyle w:val="Hyperlink"/>
            <w:noProof/>
          </w:rPr>
          <w:t>7.3.2.109</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Cluster Report element</w:t>
        </w:r>
        <w:r w:rsidR="003E4210">
          <w:rPr>
            <w:noProof/>
            <w:webHidden/>
          </w:rPr>
          <w:tab/>
        </w:r>
        <w:r>
          <w:rPr>
            <w:noProof/>
            <w:webHidden/>
          </w:rPr>
          <w:fldChar w:fldCharType="begin"/>
        </w:r>
        <w:r w:rsidR="003E4210">
          <w:rPr>
            <w:noProof/>
            <w:webHidden/>
          </w:rPr>
          <w:instrText xml:space="preserve"> PAGEREF _Toc259716947 \h </w:instrText>
        </w:r>
        <w:r>
          <w:rPr>
            <w:noProof/>
            <w:webHidden/>
          </w:rPr>
        </w:r>
        <w:r>
          <w:rPr>
            <w:noProof/>
            <w:webHidden/>
          </w:rPr>
          <w:fldChar w:fldCharType="separate"/>
        </w:r>
        <w:r w:rsidR="003E4210">
          <w:rPr>
            <w:noProof/>
            <w:webHidden/>
          </w:rPr>
          <w:t>80</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8" w:history="1">
        <w:r w:rsidR="003E4210" w:rsidRPr="005B500B">
          <w:rPr>
            <w:rStyle w:val="Hyperlink"/>
            <w:noProof/>
          </w:rPr>
          <w:t>7.3.2.110</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Relay Capabilities element</w:t>
        </w:r>
        <w:r w:rsidR="003E4210">
          <w:rPr>
            <w:noProof/>
            <w:webHidden/>
          </w:rPr>
          <w:tab/>
        </w:r>
        <w:r>
          <w:rPr>
            <w:noProof/>
            <w:webHidden/>
          </w:rPr>
          <w:fldChar w:fldCharType="begin"/>
        </w:r>
        <w:r w:rsidR="003E4210">
          <w:rPr>
            <w:noProof/>
            <w:webHidden/>
          </w:rPr>
          <w:instrText xml:space="preserve"> PAGEREF _Toc259716948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9" w:history="1">
        <w:r w:rsidR="003E4210" w:rsidRPr="005B500B">
          <w:rPr>
            <w:rStyle w:val="Hyperlink"/>
            <w:noProof/>
          </w:rPr>
          <w:t>7.3.2.111</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Relay transfer parameter set element</w:t>
        </w:r>
        <w:r w:rsidR="003E4210">
          <w:rPr>
            <w:noProof/>
            <w:webHidden/>
          </w:rPr>
          <w:tab/>
        </w:r>
        <w:r>
          <w:rPr>
            <w:noProof/>
            <w:webHidden/>
          </w:rPr>
          <w:fldChar w:fldCharType="begin"/>
        </w:r>
        <w:r w:rsidR="003E4210">
          <w:rPr>
            <w:noProof/>
            <w:webHidden/>
          </w:rPr>
          <w:instrText xml:space="preserve"> PAGEREF _Toc259716949 \h </w:instrText>
        </w:r>
        <w:r>
          <w:rPr>
            <w:noProof/>
            <w:webHidden/>
          </w:rPr>
        </w:r>
        <w:r>
          <w:rPr>
            <w:noProof/>
            <w:webHidden/>
          </w:rPr>
          <w:fldChar w:fldCharType="separate"/>
        </w:r>
        <w:r w:rsidR="003E4210">
          <w:rPr>
            <w:noProof/>
            <w:webHidden/>
          </w:rPr>
          <w:t>82</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6950" w:history="1">
        <w:r w:rsidR="003E4210" w:rsidRPr="005B500B">
          <w:rPr>
            <w:rStyle w:val="Hyperlink"/>
            <w:noProof/>
          </w:rPr>
          <w:t>7.3a Fields that are used in Management and Extension frame bodies and Control frames</w:t>
        </w:r>
        <w:r w:rsidR="003E4210">
          <w:rPr>
            <w:noProof/>
            <w:webHidden/>
          </w:rPr>
          <w:tab/>
        </w:r>
        <w:r>
          <w:rPr>
            <w:noProof/>
            <w:webHidden/>
          </w:rPr>
          <w:fldChar w:fldCharType="begin"/>
        </w:r>
        <w:r w:rsidR="003E4210">
          <w:rPr>
            <w:noProof/>
            <w:webHidden/>
          </w:rPr>
          <w:instrText xml:space="preserve"> PAGEREF _Toc259716950 \h </w:instrText>
        </w:r>
        <w:r>
          <w:rPr>
            <w:noProof/>
            <w:webHidden/>
          </w:rPr>
        </w:r>
        <w:r>
          <w:rPr>
            <w:noProof/>
            <w:webHidden/>
          </w:rPr>
          <w:fldChar w:fldCharType="separate"/>
        </w:r>
        <w:r w:rsidR="003E4210">
          <w:rPr>
            <w:noProof/>
            <w:webHidden/>
          </w:rPr>
          <w:t>83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1" w:history="1">
        <w:r w:rsidR="003E4210" w:rsidRPr="005B500B">
          <w:rPr>
            <w:rStyle w:val="Hyperlink"/>
            <w:noProof/>
          </w:rPr>
          <w:t>7.3a.1 Sector Sweep field</w:t>
        </w:r>
        <w:r w:rsidR="003E4210">
          <w:rPr>
            <w:noProof/>
            <w:webHidden/>
          </w:rPr>
          <w:tab/>
        </w:r>
        <w:r>
          <w:rPr>
            <w:noProof/>
            <w:webHidden/>
          </w:rPr>
          <w:fldChar w:fldCharType="begin"/>
        </w:r>
        <w:r w:rsidR="003E4210">
          <w:rPr>
            <w:noProof/>
            <w:webHidden/>
          </w:rPr>
          <w:instrText xml:space="preserve"> PAGEREF _Toc259716951 \h </w:instrText>
        </w:r>
        <w:r>
          <w:rPr>
            <w:noProof/>
            <w:webHidden/>
          </w:rPr>
        </w:r>
        <w:r>
          <w:rPr>
            <w:noProof/>
            <w:webHidden/>
          </w:rPr>
          <w:fldChar w:fldCharType="separate"/>
        </w:r>
        <w:r w:rsidR="003E4210">
          <w:rPr>
            <w:noProof/>
            <w:webHidden/>
          </w:rPr>
          <w:t>83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2" w:history="1">
        <w:r w:rsidR="003E4210" w:rsidRPr="005B500B">
          <w:rPr>
            <w:rStyle w:val="Hyperlink"/>
            <w:noProof/>
          </w:rPr>
          <w:t>7.3a.2 SP Info field</w:t>
        </w:r>
        <w:r w:rsidR="003E4210">
          <w:rPr>
            <w:noProof/>
            <w:webHidden/>
          </w:rPr>
          <w:tab/>
        </w:r>
        <w:r>
          <w:rPr>
            <w:noProof/>
            <w:webHidden/>
          </w:rPr>
          <w:fldChar w:fldCharType="begin"/>
        </w:r>
        <w:r w:rsidR="003E4210">
          <w:rPr>
            <w:noProof/>
            <w:webHidden/>
          </w:rPr>
          <w:instrText xml:space="preserve"> PAGEREF _Toc259716952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3" w:history="1">
        <w:r w:rsidR="003E4210" w:rsidRPr="005B500B">
          <w:rPr>
            <w:rStyle w:val="Hyperlink"/>
            <w:noProof/>
          </w:rPr>
          <w:t>7.3a.3 Sector Sweep Feedback field</w:t>
        </w:r>
        <w:r w:rsidR="003E4210">
          <w:rPr>
            <w:noProof/>
            <w:webHidden/>
          </w:rPr>
          <w:tab/>
        </w:r>
        <w:r>
          <w:rPr>
            <w:noProof/>
            <w:webHidden/>
          </w:rPr>
          <w:fldChar w:fldCharType="begin"/>
        </w:r>
        <w:r w:rsidR="003E4210">
          <w:rPr>
            <w:noProof/>
            <w:webHidden/>
          </w:rPr>
          <w:instrText xml:space="preserve"> PAGEREF _Toc259716953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4" w:history="1">
        <w:r w:rsidR="003E4210" w:rsidRPr="005B500B">
          <w:rPr>
            <w:rStyle w:val="Hyperlink"/>
            <w:noProof/>
          </w:rPr>
          <w:t>7.3a.4 BRP Request field</w:t>
        </w:r>
        <w:r w:rsidR="003E4210">
          <w:rPr>
            <w:noProof/>
            <w:webHidden/>
          </w:rPr>
          <w:tab/>
        </w:r>
        <w:r>
          <w:rPr>
            <w:noProof/>
            <w:webHidden/>
          </w:rPr>
          <w:fldChar w:fldCharType="begin"/>
        </w:r>
        <w:r w:rsidR="003E4210">
          <w:rPr>
            <w:noProof/>
            <w:webHidden/>
          </w:rPr>
          <w:instrText xml:space="preserve"> PAGEREF _Toc259716954 \h </w:instrText>
        </w:r>
        <w:r>
          <w:rPr>
            <w:noProof/>
            <w:webHidden/>
          </w:rPr>
        </w:r>
        <w:r>
          <w:rPr>
            <w:noProof/>
            <w:webHidden/>
          </w:rPr>
          <w:fldChar w:fldCharType="separate"/>
        </w:r>
        <w:r w:rsidR="003E4210">
          <w:rPr>
            <w:noProof/>
            <w:webHidden/>
          </w:rPr>
          <w:t>85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5" w:history="1">
        <w:r w:rsidR="003E4210" w:rsidRPr="005B500B">
          <w:rPr>
            <w:rStyle w:val="Hyperlink"/>
            <w:noProof/>
          </w:rPr>
          <w:t>7.3a.5 Beamforming Control field</w:t>
        </w:r>
        <w:r w:rsidR="003E4210">
          <w:rPr>
            <w:noProof/>
            <w:webHidden/>
          </w:rPr>
          <w:tab/>
        </w:r>
        <w:r>
          <w:rPr>
            <w:noProof/>
            <w:webHidden/>
          </w:rPr>
          <w:fldChar w:fldCharType="begin"/>
        </w:r>
        <w:r w:rsidR="003E4210">
          <w:rPr>
            <w:noProof/>
            <w:webHidden/>
          </w:rPr>
          <w:instrText xml:space="preserve"> PAGEREF _Toc259716955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6956" w:history="1">
        <w:r w:rsidR="003E4210" w:rsidRPr="005B500B">
          <w:rPr>
            <w:rStyle w:val="Hyperlink"/>
            <w:noProof/>
          </w:rPr>
          <w:t>7.4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Action frame format details</w:t>
        </w:r>
        <w:r w:rsidR="003E4210">
          <w:rPr>
            <w:noProof/>
            <w:webHidden/>
          </w:rPr>
          <w:tab/>
        </w:r>
        <w:r>
          <w:rPr>
            <w:noProof/>
            <w:webHidden/>
          </w:rPr>
          <w:fldChar w:fldCharType="begin"/>
        </w:r>
        <w:r w:rsidR="003E4210">
          <w:rPr>
            <w:noProof/>
            <w:webHidden/>
          </w:rPr>
          <w:instrText xml:space="preserve"> PAGEREF _Toc259716956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7" w:history="1">
        <w:r w:rsidR="003E4210" w:rsidRPr="005B500B">
          <w:rPr>
            <w:rStyle w:val="Hyperlink"/>
            <w:noProof/>
          </w:rPr>
          <w:t>7.4.2 QoS Action frame details</w:t>
        </w:r>
        <w:r w:rsidR="003E4210">
          <w:rPr>
            <w:noProof/>
            <w:webHidden/>
          </w:rPr>
          <w:tab/>
        </w:r>
        <w:r>
          <w:rPr>
            <w:noProof/>
            <w:webHidden/>
          </w:rPr>
          <w:fldChar w:fldCharType="begin"/>
        </w:r>
        <w:r w:rsidR="003E4210">
          <w:rPr>
            <w:noProof/>
            <w:webHidden/>
          </w:rPr>
          <w:instrText xml:space="preserve"> PAGEREF _Toc259716957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58" w:history="1">
        <w:r w:rsidR="003E4210" w:rsidRPr="005B500B">
          <w:rPr>
            <w:rStyle w:val="Hyperlink"/>
            <w:noProof/>
          </w:rPr>
          <w:t>7.4.2.1</w:t>
        </w:r>
        <w:r w:rsidR="003E4210">
          <w:rPr>
            <w:rFonts w:asciiTheme="minorHAnsi" w:eastAsiaTheme="minorEastAsia" w:hAnsiTheme="minorHAnsi" w:cstheme="minorBidi"/>
            <w:noProof/>
            <w:sz w:val="22"/>
            <w:szCs w:val="22"/>
            <w:lang w:bidi="ar-SA"/>
          </w:rPr>
          <w:tab/>
        </w:r>
        <w:r w:rsidR="003E4210" w:rsidRPr="005B500B">
          <w:rPr>
            <w:rStyle w:val="Hyperlink"/>
            <w:bCs/>
            <w:noProof/>
          </w:rPr>
          <w:t>Basic and Extended mmWave ADDTS Request frame formats</w:t>
        </w:r>
        <w:r w:rsidR="003E4210">
          <w:rPr>
            <w:noProof/>
            <w:webHidden/>
          </w:rPr>
          <w:tab/>
        </w:r>
        <w:r>
          <w:rPr>
            <w:noProof/>
            <w:webHidden/>
          </w:rPr>
          <w:fldChar w:fldCharType="begin"/>
        </w:r>
        <w:r w:rsidR="003E4210">
          <w:rPr>
            <w:noProof/>
            <w:webHidden/>
          </w:rPr>
          <w:instrText xml:space="preserve"> PAGEREF _Toc259716958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59" w:history="1">
        <w:r w:rsidR="003E4210" w:rsidRPr="005B500B">
          <w:rPr>
            <w:rStyle w:val="Hyperlink"/>
            <w:noProof/>
            <w:lang w:eastAsia="ko-KR"/>
          </w:rPr>
          <w:t>7.4.2.1.1</w:t>
        </w:r>
        <w:r w:rsidR="003E4210">
          <w:rPr>
            <w:rFonts w:asciiTheme="minorHAnsi" w:eastAsiaTheme="minorEastAsia" w:hAnsiTheme="minorHAnsi" w:cstheme="minorBidi"/>
            <w:noProof/>
            <w:sz w:val="22"/>
            <w:szCs w:val="22"/>
            <w:lang w:bidi="ar-SA"/>
          </w:rPr>
          <w:tab/>
        </w:r>
        <w:r w:rsidR="003E4210" w:rsidRPr="005B500B">
          <w:rPr>
            <w:rStyle w:val="Hyperlink"/>
            <w:noProof/>
          </w:rPr>
          <w:t>Basic ADDTS Request frame variant</w:t>
        </w:r>
        <w:r w:rsidR="003E4210">
          <w:rPr>
            <w:noProof/>
            <w:webHidden/>
          </w:rPr>
          <w:tab/>
        </w:r>
        <w:r>
          <w:rPr>
            <w:noProof/>
            <w:webHidden/>
          </w:rPr>
          <w:fldChar w:fldCharType="begin"/>
        </w:r>
        <w:r w:rsidR="003E4210">
          <w:rPr>
            <w:noProof/>
            <w:webHidden/>
          </w:rPr>
          <w:instrText xml:space="preserve"> PAGEREF _Toc259716959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60" w:history="1">
        <w:r w:rsidR="003E4210" w:rsidRPr="005B500B">
          <w:rPr>
            <w:rStyle w:val="Hyperlink"/>
            <w:noProof/>
            <w:lang w:eastAsia="ko-KR"/>
          </w:rPr>
          <w:t>7.4.2.1.2</w:t>
        </w:r>
        <w:r w:rsidR="003E4210">
          <w:rPr>
            <w:rFonts w:asciiTheme="minorHAnsi" w:eastAsiaTheme="minorEastAsia" w:hAnsiTheme="minorHAnsi" w:cstheme="minorBidi"/>
            <w:noProof/>
            <w:sz w:val="22"/>
            <w:szCs w:val="22"/>
            <w:lang w:bidi="ar-SA"/>
          </w:rPr>
          <w:tab/>
        </w:r>
        <w:r w:rsidR="003E4210" w:rsidRPr="005B500B">
          <w:rPr>
            <w:rStyle w:val="Hyperlink"/>
            <w:noProof/>
          </w:rPr>
          <w:t>Extended mmWave ADDTS Request frame variant</w:t>
        </w:r>
        <w:r w:rsidR="003E4210">
          <w:rPr>
            <w:noProof/>
            <w:webHidden/>
          </w:rPr>
          <w:tab/>
        </w:r>
        <w:r>
          <w:rPr>
            <w:noProof/>
            <w:webHidden/>
          </w:rPr>
          <w:fldChar w:fldCharType="begin"/>
        </w:r>
        <w:r w:rsidR="003E4210">
          <w:rPr>
            <w:noProof/>
            <w:webHidden/>
          </w:rPr>
          <w:instrText xml:space="preserve"> PAGEREF _Toc259716960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1" w:history="1">
        <w:r w:rsidR="003E4210" w:rsidRPr="005B500B">
          <w:rPr>
            <w:rStyle w:val="Hyperlink"/>
            <w:bCs/>
            <w:noProof/>
          </w:rPr>
          <w:t>7.4.2.2</w:t>
        </w:r>
        <w:r w:rsidR="003E4210">
          <w:rPr>
            <w:rFonts w:asciiTheme="minorHAnsi" w:eastAsiaTheme="minorEastAsia" w:hAnsiTheme="minorHAnsi" w:cstheme="minorBidi"/>
            <w:noProof/>
            <w:sz w:val="22"/>
            <w:szCs w:val="22"/>
            <w:lang w:bidi="ar-SA"/>
          </w:rPr>
          <w:tab/>
        </w:r>
        <w:r w:rsidR="003E4210" w:rsidRPr="005B500B">
          <w:rPr>
            <w:rStyle w:val="Hyperlink"/>
            <w:noProof/>
          </w:rPr>
          <w:t xml:space="preserve">Basic </w:t>
        </w:r>
        <w:r w:rsidR="003E4210" w:rsidRPr="005B500B">
          <w:rPr>
            <w:rStyle w:val="Hyperlink"/>
            <w:bCs/>
            <w:noProof/>
          </w:rPr>
          <w:t>and Extended mmWave ADDTS Response frame formats</w:t>
        </w:r>
        <w:r w:rsidR="003E4210">
          <w:rPr>
            <w:noProof/>
            <w:webHidden/>
          </w:rPr>
          <w:tab/>
        </w:r>
        <w:r>
          <w:rPr>
            <w:noProof/>
            <w:webHidden/>
          </w:rPr>
          <w:fldChar w:fldCharType="begin"/>
        </w:r>
        <w:r w:rsidR="003E4210">
          <w:rPr>
            <w:noProof/>
            <w:webHidden/>
          </w:rPr>
          <w:instrText xml:space="preserve"> PAGEREF _Toc259716961 \h </w:instrText>
        </w:r>
        <w:r>
          <w:rPr>
            <w:noProof/>
            <w:webHidden/>
          </w:rPr>
        </w:r>
        <w:r>
          <w:rPr>
            <w:noProof/>
            <w:webHidden/>
          </w:rPr>
          <w:fldChar w:fldCharType="separate"/>
        </w:r>
        <w:r w:rsidR="003E4210">
          <w:rPr>
            <w:noProof/>
            <w:webHidden/>
          </w:rPr>
          <w:t>88</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62" w:history="1">
        <w:r w:rsidR="003E4210" w:rsidRPr="005B500B">
          <w:rPr>
            <w:rStyle w:val="Hyperlink"/>
            <w:noProof/>
            <w:lang w:eastAsia="ko-KR"/>
          </w:rPr>
          <w:t>7.4.2.2.1</w:t>
        </w:r>
        <w:r w:rsidR="003E4210">
          <w:rPr>
            <w:rFonts w:asciiTheme="minorHAnsi" w:eastAsiaTheme="minorEastAsia" w:hAnsiTheme="minorHAnsi" w:cstheme="minorBidi"/>
            <w:noProof/>
            <w:sz w:val="22"/>
            <w:szCs w:val="22"/>
            <w:lang w:bidi="ar-SA"/>
          </w:rPr>
          <w:tab/>
        </w:r>
        <w:r w:rsidR="003E4210" w:rsidRPr="005B500B">
          <w:rPr>
            <w:rStyle w:val="Hyperlink"/>
            <w:noProof/>
          </w:rPr>
          <w:t>Basic ADDTS Response frame variant</w:t>
        </w:r>
        <w:r w:rsidR="003E4210">
          <w:rPr>
            <w:noProof/>
            <w:webHidden/>
          </w:rPr>
          <w:tab/>
        </w:r>
        <w:r>
          <w:rPr>
            <w:noProof/>
            <w:webHidden/>
          </w:rPr>
          <w:fldChar w:fldCharType="begin"/>
        </w:r>
        <w:r w:rsidR="003E4210">
          <w:rPr>
            <w:noProof/>
            <w:webHidden/>
          </w:rPr>
          <w:instrText xml:space="preserve"> PAGEREF _Toc259716962 \h </w:instrText>
        </w:r>
        <w:r>
          <w:rPr>
            <w:noProof/>
            <w:webHidden/>
          </w:rPr>
        </w:r>
        <w:r>
          <w:rPr>
            <w:noProof/>
            <w:webHidden/>
          </w:rPr>
          <w:fldChar w:fldCharType="separate"/>
        </w:r>
        <w:r w:rsidR="003E4210">
          <w:rPr>
            <w:noProof/>
            <w:webHidden/>
          </w:rPr>
          <w:t>88</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63" w:history="1">
        <w:r w:rsidR="003E4210" w:rsidRPr="005B500B">
          <w:rPr>
            <w:rStyle w:val="Hyperlink"/>
            <w:noProof/>
            <w:lang w:eastAsia="ko-KR"/>
          </w:rPr>
          <w:t>7.4.2.2.2</w:t>
        </w:r>
        <w:r w:rsidR="003E4210">
          <w:rPr>
            <w:rFonts w:asciiTheme="minorHAnsi" w:eastAsiaTheme="minorEastAsia" w:hAnsiTheme="minorHAnsi" w:cstheme="minorBidi"/>
            <w:noProof/>
            <w:sz w:val="22"/>
            <w:szCs w:val="22"/>
            <w:lang w:bidi="ar-SA"/>
          </w:rPr>
          <w:tab/>
        </w:r>
        <w:r w:rsidR="003E4210" w:rsidRPr="005B500B">
          <w:rPr>
            <w:rStyle w:val="Hyperlink"/>
            <w:noProof/>
          </w:rPr>
          <w:t>Extended mmWave ADDTS Response frame variant</w:t>
        </w:r>
        <w:r w:rsidR="003E4210">
          <w:rPr>
            <w:noProof/>
            <w:webHidden/>
          </w:rPr>
          <w:tab/>
        </w:r>
        <w:r>
          <w:rPr>
            <w:noProof/>
            <w:webHidden/>
          </w:rPr>
          <w:fldChar w:fldCharType="begin"/>
        </w:r>
        <w:r w:rsidR="003E4210">
          <w:rPr>
            <w:noProof/>
            <w:webHidden/>
          </w:rPr>
          <w:instrText xml:space="preserve"> PAGEREF _Toc259716963 \h </w:instrText>
        </w:r>
        <w:r>
          <w:rPr>
            <w:noProof/>
            <w:webHidden/>
          </w:rPr>
        </w:r>
        <w:r>
          <w:rPr>
            <w:noProof/>
            <w:webHidden/>
          </w:rPr>
          <w:fldChar w:fldCharType="separate"/>
        </w:r>
        <w:r w:rsidR="003E4210">
          <w:rPr>
            <w:noProof/>
            <w:webHidden/>
          </w:rPr>
          <w:t>88</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4" w:history="1">
        <w:r w:rsidR="003E4210" w:rsidRPr="005B500B">
          <w:rPr>
            <w:rStyle w:val="Hyperlink"/>
            <w:noProof/>
          </w:rPr>
          <w:t>7.4.2.3</w:t>
        </w:r>
        <w:r w:rsidR="003E4210">
          <w:rPr>
            <w:rFonts w:asciiTheme="minorHAnsi" w:eastAsiaTheme="minorEastAsia" w:hAnsiTheme="minorHAnsi" w:cstheme="minorBidi"/>
            <w:noProof/>
            <w:sz w:val="22"/>
            <w:szCs w:val="22"/>
            <w:lang w:bidi="ar-SA"/>
          </w:rPr>
          <w:tab/>
        </w:r>
        <w:r w:rsidR="003E4210" w:rsidRPr="005B500B">
          <w:rPr>
            <w:rStyle w:val="Hyperlink"/>
            <w:noProof/>
          </w:rPr>
          <w:t>DELTS frame format</w:t>
        </w:r>
        <w:r w:rsidR="003E4210">
          <w:rPr>
            <w:noProof/>
            <w:webHidden/>
          </w:rPr>
          <w:tab/>
        </w:r>
        <w:r>
          <w:rPr>
            <w:noProof/>
            <w:webHidden/>
          </w:rPr>
          <w:fldChar w:fldCharType="begin"/>
        </w:r>
        <w:r w:rsidR="003E4210">
          <w:rPr>
            <w:noProof/>
            <w:webHidden/>
          </w:rPr>
          <w:instrText xml:space="preserve"> PAGEREF _Toc259716964 \h </w:instrText>
        </w:r>
        <w:r>
          <w:rPr>
            <w:noProof/>
            <w:webHidden/>
          </w:rPr>
        </w:r>
        <w:r>
          <w:rPr>
            <w:noProof/>
            <w:webHidden/>
          </w:rPr>
          <w:fldChar w:fldCharType="separate"/>
        </w:r>
        <w:r w:rsidR="003E4210">
          <w:rPr>
            <w:noProof/>
            <w:webHidden/>
          </w:rPr>
          <w:t>89</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65" w:history="1">
        <w:r w:rsidR="003E4210" w:rsidRPr="005B500B">
          <w:rPr>
            <w:rStyle w:val="Hyperlink"/>
            <w:noProof/>
          </w:rPr>
          <w:t>7.4.4 Block Ack Action frame details</w:t>
        </w:r>
        <w:r w:rsidR="003E4210">
          <w:rPr>
            <w:noProof/>
            <w:webHidden/>
          </w:rPr>
          <w:tab/>
        </w:r>
        <w:r>
          <w:rPr>
            <w:noProof/>
            <w:webHidden/>
          </w:rPr>
          <w:fldChar w:fldCharType="begin"/>
        </w:r>
        <w:r w:rsidR="003E4210">
          <w:rPr>
            <w:noProof/>
            <w:webHidden/>
          </w:rPr>
          <w:instrText xml:space="preserve"> PAGEREF _Toc259716965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6" w:history="1">
        <w:r w:rsidR="003E4210" w:rsidRPr="005B500B">
          <w:rPr>
            <w:rStyle w:val="Hyperlink"/>
            <w:noProof/>
          </w:rPr>
          <w:t>7.4.4.1</w:t>
        </w:r>
        <w:r w:rsidR="003E4210">
          <w:rPr>
            <w:rFonts w:asciiTheme="minorHAnsi" w:eastAsiaTheme="minorEastAsia" w:hAnsiTheme="minorHAnsi" w:cstheme="minorBidi"/>
            <w:noProof/>
            <w:sz w:val="22"/>
            <w:szCs w:val="22"/>
            <w:lang w:bidi="ar-SA"/>
          </w:rPr>
          <w:tab/>
        </w:r>
        <w:r w:rsidR="003E4210" w:rsidRPr="005B500B">
          <w:rPr>
            <w:rStyle w:val="Hyperlink"/>
            <w:noProof/>
          </w:rPr>
          <w:t>ADDBA Request frame format</w:t>
        </w:r>
        <w:r w:rsidR="003E4210">
          <w:rPr>
            <w:noProof/>
            <w:webHidden/>
          </w:rPr>
          <w:tab/>
        </w:r>
        <w:r>
          <w:rPr>
            <w:noProof/>
            <w:webHidden/>
          </w:rPr>
          <w:fldChar w:fldCharType="begin"/>
        </w:r>
        <w:r w:rsidR="003E4210">
          <w:rPr>
            <w:noProof/>
            <w:webHidden/>
          </w:rPr>
          <w:instrText xml:space="preserve"> PAGEREF _Toc259716966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7" w:history="1">
        <w:r w:rsidR="003E4210" w:rsidRPr="005B500B">
          <w:rPr>
            <w:rStyle w:val="Hyperlink"/>
            <w:noProof/>
          </w:rPr>
          <w:t>7.4.4.2</w:t>
        </w:r>
        <w:r w:rsidR="003E4210">
          <w:rPr>
            <w:rFonts w:asciiTheme="minorHAnsi" w:eastAsiaTheme="minorEastAsia" w:hAnsiTheme="minorHAnsi" w:cstheme="minorBidi"/>
            <w:noProof/>
            <w:sz w:val="22"/>
            <w:szCs w:val="22"/>
            <w:lang w:bidi="ar-SA"/>
          </w:rPr>
          <w:tab/>
        </w:r>
        <w:r w:rsidR="003E4210" w:rsidRPr="005B500B">
          <w:rPr>
            <w:rStyle w:val="Hyperlink"/>
            <w:noProof/>
          </w:rPr>
          <w:t>ADDBA Response frame format</w:t>
        </w:r>
        <w:r w:rsidR="003E4210">
          <w:rPr>
            <w:noProof/>
            <w:webHidden/>
          </w:rPr>
          <w:tab/>
        </w:r>
        <w:r>
          <w:rPr>
            <w:noProof/>
            <w:webHidden/>
          </w:rPr>
          <w:fldChar w:fldCharType="begin"/>
        </w:r>
        <w:r w:rsidR="003E4210">
          <w:rPr>
            <w:noProof/>
            <w:webHidden/>
          </w:rPr>
          <w:instrText xml:space="preserve"> PAGEREF _Toc259716967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8" w:history="1">
        <w:r w:rsidR="003E4210" w:rsidRPr="005B500B">
          <w:rPr>
            <w:rStyle w:val="Hyperlink"/>
            <w:noProof/>
          </w:rPr>
          <w:t>7.4.4.3</w:t>
        </w:r>
        <w:r w:rsidR="003E4210">
          <w:rPr>
            <w:rFonts w:asciiTheme="minorHAnsi" w:eastAsiaTheme="minorEastAsia" w:hAnsiTheme="minorHAnsi" w:cstheme="minorBidi"/>
            <w:noProof/>
            <w:sz w:val="22"/>
            <w:szCs w:val="22"/>
            <w:lang w:bidi="ar-SA"/>
          </w:rPr>
          <w:tab/>
        </w:r>
        <w:r w:rsidR="003E4210" w:rsidRPr="005B500B">
          <w:rPr>
            <w:rStyle w:val="Hyperlink"/>
            <w:noProof/>
          </w:rPr>
          <w:t>DELBA frame format</w:t>
        </w:r>
        <w:r w:rsidR="003E4210">
          <w:rPr>
            <w:noProof/>
            <w:webHidden/>
          </w:rPr>
          <w:tab/>
        </w:r>
        <w:r>
          <w:rPr>
            <w:noProof/>
            <w:webHidden/>
          </w:rPr>
          <w:fldChar w:fldCharType="begin"/>
        </w:r>
        <w:r w:rsidR="003E4210">
          <w:rPr>
            <w:noProof/>
            <w:webHidden/>
          </w:rPr>
          <w:instrText xml:space="preserve"> PAGEREF _Toc259716968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69" w:history="1">
        <w:r w:rsidR="003E4210" w:rsidRPr="005B500B">
          <w:rPr>
            <w:rStyle w:val="Hyperlink"/>
            <w:noProof/>
          </w:rPr>
          <w:t>7.4.13 mmWave Action frame details</w:t>
        </w:r>
        <w:r w:rsidR="003E4210">
          <w:rPr>
            <w:noProof/>
            <w:webHidden/>
          </w:rPr>
          <w:tab/>
        </w:r>
        <w:r>
          <w:rPr>
            <w:noProof/>
            <w:webHidden/>
          </w:rPr>
          <w:fldChar w:fldCharType="begin"/>
        </w:r>
        <w:r w:rsidR="003E4210">
          <w:rPr>
            <w:noProof/>
            <w:webHidden/>
          </w:rPr>
          <w:instrText xml:space="preserve"> PAGEREF _Toc259716969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0" w:history="1">
        <w:r w:rsidR="003E4210" w:rsidRPr="005B500B">
          <w:rPr>
            <w:rStyle w:val="Hyperlink"/>
            <w:noProof/>
          </w:rPr>
          <w:t>7.4.13.1 mmWave Action field</w:t>
        </w:r>
        <w:r w:rsidR="003E4210">
          <w:rPr>
            <w:noProof/>
            <w:webHidden/>
          </w:rPr>
          <w:tab/>
        </w:r>
        <w:r>
          <w:rPr>
            <w:noProof/>
            <w:webHidden/>
          </w:rPr>
          <w:fldChar w:fldCharType="begin"/>
        </w:r>
        <w:r w:rsidR="003E4210">
          <w:rPr>
            <w:noProof/>
            <w:webHidden/>
          </w:rPr>
          <w:instrText xml:space="preserve"> PAGEREF _Toc259716970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1" w:history="1">
        <w:r w:rsidR="003E4210" w:rsidRPr="005B500B">
          <w:rPr>
            <w:rStyle w:val="Hyperlink"/>
            <w:noProof/>
          </w:rPr>
          <w:t>7.4.13.2 Announce</w:t>
        </w:r>
        <w:r w:rsidR="003E4210">
          <w:rPr>
            <w:noProof/>
            <w:webHidden/>
          </w:rPr>
          <w:tab/>
        </w:r>
        <w:r>
          <w:rPr>
            <w:noProof/>
            <w:webHidden/>
          </w:rPr>
          <w:fldChar w:fldCharType="begin"/>
        </w:r>
        <w:r w:rsidR="003E4210">
          <w:rPr>
            <w:noProof/>
            <w:webHidden/>
          </w:rPr>
          <w:instrText xml:space="preserve"> PAGEREF _Toc259716971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2" w:history="1">
        <w:r w:rsidR="003E4210" w:rsidRPr="005B500B">
          <w:rPr>
            <w:rStyle w:val="Hyperlink"/>
            <w:noProof/>
          </w:rPr>
          <w:t>7.4.13.3 Power Save Configuration Request</w:t>
        </w:r>
        <w:r w:rsidR="003E4210">
          <w:rPr>
            <w:noProof/>
            <w:webHidden/>
          </w:rPr>
          <w:tab/>
        </w:r>
        <w:r>
          <w:rPr>
            <w:noProof/>
            <w:webHidden/>
          </w:rPr>
          <w:fldChar w:fldCharType="begin"/>
        </w:r>
        <w:r w:rsidR="003E4210">
          <w:rPr>
            <w:noProof/>
            <w:webHidden/>
          </w:rPr>
          <w:instrText xml:space="preserve"> PAGEREF _Toc259716972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3" w:history="1">
        <w:r w:rsidR="003E4210" w:rsidRPr="005B500B">
          <w:rPr>
            <w:rStyle w:val="Hyperlink"/>
            <w:noProof/>
          </w:rPr>
          <w:t>7.4.13.4 Power Save Configuration Response</w:t>
        </w:r>
        <w:r w:rsidR="003E4210">
          <w:rPr>
            <w:noProof/>
            <w:webHidden/>
          </w:rPr>
          <w:tab/>
        </w:r>
        <w:r>
          <w:rPr>
            <w:noProof/>
            <w:webHidden/>
          </w:rPr>
          <w:fldChar w:fldCharType="begin"/>
        </w:r>
        <w:r w:rsidR="003E4210">
          <w:rPr>
            <w:noProof/>
            <w:webHidden/>
          </w:rPr>
          <w:instrText xml:space="preserve"> PAGEREF _Toc259716973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4" w:history="1">
        <w:r w:rsidR="003E4210" w:rsidRPr="005B500B">
          <w:rPr>
            <w:rStyle w:val="Hyperlink"/>
            <w:noProof/>
          </w:rPr>
          <w:t>7.4.13.5 Information Request</w:t>
        </w:r>
        <w:r w:rsidR="003E4210">
          <w:rPr>
            <w:noProof/>
            <w:webHidden/>
          </w:rPr>
          <w:tab/>
        </w:r>
        <w:r>
          <w:rPr>
            <w:noProof/>
            <w:webHidden/>
          </w:rPr>
          <w:fldChar w:fldCharType="begin"/>
        </w:r>
        <w:r w:rsidR="003E4210">
          <w:rPr>
            <w:noProof/>
            <w:webHidden/>
          </w:rPr>
          <w:instrText xml:space="preserve"> PAGEREF _Toc259716974 \h </w:instrText>
        </w:r>
        <w:r>
          <w:rPr>
            <w:noProof/>
            <w:webHidden/>
          </w:rPr>
        </w:r>
        <w:r>
          <w:rPr>
            <w:noProof/>
            <w:webHidden/>
          </w:rPr>
          <w:fldChar w:fldCharType="separate"/>
        </w:r>
        <w:r w:rsidR="003E4210">
          <w:rPr>
            <w:noProof/>
            <w:webHidden/>
          </w:rPr>
          <w:t>93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5" w:history="1">
        <w:r w:rsidR="003E4210" w:rsidRPr="005B500B">
          <w:rPr>
            <w:rStyle w:val="Hyperlink"/>
            <w:noProof/>
          </w:rPr>
          <w:t>7.4.13.6 Information Response</w:t>
        </w:r>
        <w:r w:rsidR="003E4210">
          <w:rPr>
            <w:noProof/>
            <w:webHidden/>
          </w:rPr>
          <w:tab/>
        </w:r>
        <w:r>
          <w:rPr>
            <w:noProof/>
            <w:webHidden/>
          </w:rPr>
          <w:fldChar w:fldCharType="begin"/>
        </w:r>
        <w:r w:rsidR="003E4210">
          <w:rPr>
            <w:noProof/>
            <w:webHidden/>
          </w:rPr>
          <w:instrText xml:space="preserve"> PAGEREF _Toc259716975 \h </w:instrText>
        </w:r>
        <w:r>
          <w:rPr>
            <w:noProof/>
            <w:webHidden/>
          </w:rPr>
        </w:r>
        <w:r>
          <w:rPr>
            <w:noProof/>
            <w:webHidden/>
          </w:rPr>
          <w:fldChar w:fldCharType="separate"/>
        </w:r>
        <w:r w:rsidR="003E4210">
          <w:rPr>
            <w:noProof/>
            <w:webHidden/>
          </w:rPr>
          <w:t>94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6" w:history="1">
        <w:r w:rsidR="003E4210" w:rsidRPr="005B500B">
          <w:rPr>
            <w:rStyle w:val="Hyperlink"/>
            <w:noProof/>
          </w:rPr>
          <w:t>7.4.13.7 Beam Refinement (BRP)</w:t>
        </w:r>
        <w:r w:rsidR="003E4210">
          <w:rPr>
            <w:noProof/>
            <w:webHidden/>
          </w:rPr>
          <w:tab/>
        </w:r>
        <w:r>
          <w:rPr>
            <w:noProof/>
            <w:webHidden/>
          </w:rPr>
          <w:fldChar w:fldCharType="begin"/>
        </w:r>
        <w:r w:rsidR="003E4210">
          <w:rPr>
            <w:noProof/>
            <w:webHidden/>
          </w:rPr>
          <w:instrText xml:space="preserve"> PAGEREF _Toc259716976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7" w:history="1">
        <w:r w:rsidR="003E4210" w:rsidRPr="005B500B">
          <w:rPr>
            <w:rStyle w:val="Hyperlink"/>
            <w:noProof/>
          </w:rPr>
          <w:t>7.4.13.8 Handover Request</w:t>
        </w:r>
        <w:r w:rsidR="003E4210">
          <w:rPr>
            <w:noProof/>
            <w:webHidden/>
          </w:rPr>
          <w:tab/>
        </w:r>
        <w:r>
          <w:rPr>
            <w:noProof/>
            <w:webHidden/>
          </w:rPr>
          <w:fldChar w:fldCharType="begin"/>
        </w:r>
        <w:r w:rsidR="003E4210">
          <w:rPr>
            <w:noProof/>
            <w:webHidden/>
          </w:rPr>
          <w:instrText xml:space="preserve"> PAGEREF _Toc259716977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8" w:history="1">
        <w:r w:rsidR="003E4210" w:rsidRPr="005B500B">
          <w:rPr>
            <w:rStyle w:val="Hyperlink"/>
            <w:noProof/>
          </w:rPr>
          <w:t>7.4.13.9 Handover Response</w:t>
        </w:r>
        <w:r w:rsidR="003E4210">
          <w:rPr>
            <w:noProof/>
            <w:webHidden/>
          </w:rPr>
          <w:tab/>
        </w:r>
        <w:r>
          <w:rPr>
            <w:noProof/>
            <w:webHidden/>
          </w:rPr>
          <w:fldChar w:fldCharType="begin"/>
        </w:r>
        <w:r w:rsidR="003E4210">
          <w:rPr>
            <w:noProof/>
            <w:webHidden/>
          </w:rPr>
          <w:instrText xml:space="preserve"> PAGEREF _Toc259716978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79" w:history="1">
        <w:r w:rsidR="003E4210" w:rsidRPr="005B500B">
          <w:rPr>
            <w:rStyle w:val="Hyperlink"/>
            <w:noProof/>
          </w:rPr>
          <w:t>7.4.13.10 Link Margin Request</w:t>
        </w:r>
        <w:r w:rsidR="003E4210">
          <w:rPr>
            <w:noProof/>
            <w:webHidden/>
          </w:rPr>
          <w:tab/>
        </w:r>
        <w:r>
          <w:rPr>
            <w:noProof/>
            <w:webHidden/>
          </w:rPr>
          <w:fldChar w:fldCharType="begin"/>
        </w:r>
        <w:r w:rsidR="003E4210">
          <w:rPr>
            <w:noProof/>
            <w:webHidden/>
          </w:rPr>
          <w:instrText xml:space="preserve"> PAGEREF _Toc259716979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0" w:history="1">
        <w:r w:rsidR="003E4210" w:rsidRPr="005B500B">
          <w:rPr>
            <w:rStyle w:val="Hyperlink"/>
            <w:noProof/>
          </w:rPr>
          <w:t>7.4.13.11 Link Margin Response</w:t>
        </w:r>
        <w:r w:rsidR="003E4210">
          <w:rPr>
            <w:noProof/>
            <w:webHidden/>
          </w:rPr>
          <w:tab/>
        </w:r>
        <w:r>
          <w:rPr>
            <w:noProof/>
            <w:webHidden/>
          </w:rPr>
          <w:fldChar w:fldCharType="begin"/>
        </w:r>
        <w:r w:rsidR="003E4210">
          <w:rPr>
            <w:noProof/>
            <w:webHidden/>
          </w:rPr>
          <w:instrText xml:space="preserve"> PAGEREF _Toc259716980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1" w:history="1">
        <w:r w:rsidR="003E4210" w:rsidRPr="005B500B">
          <w:rPr>
            <w:rStyle w:val="Hyperlink"/>
            <w:noProof/>
          </w:rPr>
          <w:t>7.4.13.12 DTP Request</w:t>
        </w:r>
        <w:r w:rsidR="003E4210">
          <w:rPr>
            <w:noProof/>
            <w:webHidden/>
          </w:rPr>
          <w:tab/>
        </w:r>
        <w:r>
          <w:rPr>
            <w:noProof/>
            <w:webHidden/>
          </w:rPr>
          <w:fldChar w:fldCharType="begin"/>
        </w:r>
        <w:r w:rsidR="003E4210">
          <w:rPr>
            <w:noProof/>
            <w:webHidden/>
          </w:rPr>
          <w:instrText xml:space="preserve"> PAGEREF _Toc259716981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2" w:history="1">
        <w:r w:rsidR="003E4210" w:rsidRPr="005B500B">
          <w:rPr>
            <w:rStyle w:val="Hyperlink"/>
            <w:noProof/>
          </w:rPr>
          <w:t>7.4.13.13 DTP Report</w:t>
        </w:r>
        <w:r w:rsidR="003E4210">
          <w:rPr>
            <w:noProof/>
            <w:webHidden/>
          </w:rPr>
          <w:tab/>
        </w:r>
        <w:r>
          <w:rPr>
            <w:noProof/>
            <w:webHidden/>
          </w:rPr>
          <w:fldChar w:fldCharType="begin"/>
        </w:r>
        <w:r w:rsidR="003E4210">
          <w:rPr>
            <w:noProof/>
            <w:webHidden/>
          </w:rPr>
          <w:instrText xml:space="preserve"> PAGEREF _Toc259716982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3" w:history="1">
        <w:r w:rsidR="003E4210" w:rsidRPr="005B500B">
          <w:rPr>
            <w:rStyle w:val="Hyperlink"/>
            <w:noProof/>
          </w:rPr>
          <w:t>7.4.13.14 Relay search request</w:t>
        </w:r>
        <w:r w:rsidR="003E4210">
          <w:rPr>
            <w:noProof/>
            <w:webHidden/>
          </w:rPr>
          <w:tab/>
        </w:r>
        <w:r>
          <w:rPr>
            <w:noProof/>
            <w:webHidden/>
          </w:rPr>
          <w:fldChar w:fldCharType="begin"/>
        </w:r>
        <w:r w:rsidR="003E4210">
          <w:rPr>
            <w:noProof/>
            <w:webHidden/>
          </w:rPr>
          <w:instrText xml:space="preserve"> PAGEREF _Toc259716983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4" w:history="1">
        <w:r w:rsidR="003E4210" w:rsidRPr="005B500B">
          <w:rPr>
            <w:rStyle w:val="Hyperlink"/>
            <w:noProof/>
          </w:rPr>
          <w:t>7.4.13.15 Relay search response</w:t>
        </w:r>
        <w:r w:rsidR="003E4210">
          <w:rPr>
            <w:noProof/>
            <w:webHidden/>
          </w:rPr>
          <w:tab/>
        </w:r>
        <w:r>
          <w:rPr>
            <w:noProof/>
            <w:webHidden/>
          </w:rPr>
          <w:fldChar w:fldCharType="begin"/>
        </w:r>
        <w:r w:rsidR="003E4210">
          <w:rPr>
            <w:noProof/>
            <w:webHidden/>
          </w:rPr>
          <w:instrText xml:space="preserve"> PAGEREF _Toc259716984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5" w:history="1">
        <w:r w:rsidR="003E4210" w:rsidRPr="005B500B">
          <w:rPr>
            <w:rStyle w:val="Hyperlink"/>
            <w:noProof/>
          </w:rPr>
          <w:t>7.4.13.16 Multi-relays channel measurement request</w:t>
        </w:r>
        <w:r w:rsidR="003E4210">
          <w:rPr>
            <w:noProof/>
            <w:webHidden/>
          </w:rPr>
          <w:tab/>
        </w:r>
        <w:r>
          <w:rPr>
            <w:noProof/>
            <w:webHidden/>
          </w:rPr>
          <w:fldChar w:fldCharType="begin"/>
        </w:r>
        <w:r w:rsidR="003E4210">
          <w:rPr>
            <w:noProof/>
            <w:webHidden/>
          </w:rPr>
          <w:instrText xml:space="preserve"> PAGEREF _Toc259716985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6" w:history="1">
        <w:r w:rsidR="003E4210" w:rsidRPr="005B500B">
          <w:rPr>
            <w:rStyle w:val="Hyperlink"/>
            <w:noProof/>
          </w:rPr>
          <w:t>7.4.13.17 Multi-relays channel measurement report</w:t>
        </w:r>
        <w:r w:rsidR="003E4210">
          <w:rPr>
            <w:noProof/>
            <w:webHidden/>
          </w:rPr>
          <w:tab/>
        </w:r>
        <w:r>
          <w:rPr>
            <w:noProof/>
            <w:webHidden/>
          </w:rPr>
          <w:fldChar w:fldCharType="begin"/>
        </w:r>
        <w:r w:rsidR="003E4210">
          <w:rPr>
            <w:noProof/>
            <w:webHidden/>
          </w:rPr>
          <w:instrText xml:space="preserve"> PAGEREF _Toc259716986 \h </w:instrText>
        </w:r>
        <w:r>
          <w:rPr>
            <w:noProof/>
            <w:webHidden/>
          </w:rPr>
        </w:r>
        <w:r>
          <w:rPr>
            <w:noProof/>
            <w:webHidden/>
          </w:rPr>
          <w:fldChar w:fldCharType="separate"/>
        </w:r>
        <w:r w:rsidR="003E4210">
          <w:rPr>
            <w:noProof/>
            <w:webHidden/>
          </w:rPr>
          <w:t>100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7" w:history="1">
        <w:r w:rsidR="003E4210" w:rsidRPr="005B500B">
          <w:rPr>
            <w:rStyle w:val="Hyperlink"/>
            <w:noProof/>
          </w:rPr>
          <w:t>7.4.13.18 RLS request</w:t>
        </w:r>
        <w:r w:rsidR="003E4210">
          <w:rPr>
            <w:noProof/>
            <w:webHidden/>
          </w:rPr>
          <w:tab/>
        </w:r>
        <w:r>
          <w:rPr>
            <w:noProof/>
            <w:webHidden/>
          </w:rPr>
          <w:fldChar w:fldCharType="begin"/>
        </w:r>
        <w:r w:rsidR="003E4210">
          <w:rPr>
            <w:noProof/>
            <w:webHidden/>
          </w:rPr>
          <w:instrText xml:space="preserve"> PAGEREF _Toc259716987 \h </w:instrText>
        </w:r>
        <w:r>
          <w:rPr>
            <w:noProof/>
            <w:webHidden/>
          </w:rPr>
        </w:r>
        <w:r>
          <w:rPr>
            <w:noProof/>
            <w:webHidden/>
          </w:rPr>
          <w:fldChar w:fldCharType="separate"/>
        </w:r>
        <w:r w:rsidR="003E4210">
          <w:rPr>
            <w:noProof/>
            <w:webHidden/>
          </w:rPr>
          <w:t>101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8" w:history="1">
        <w:r w:rsidR="003E4210" w:rsidRPr="005B500B">
          <w:rPr>
            <w:rStyle w:val="Hyperlink"/>
            <w:noProof/>
          </w:rPr>
          <w:t>7.4.13.19 RLS response</w:t>
        </w:r>
        <w:r w:rsidR="003E4210">
          <w:rPr>
            <w:noProof/>
            <w:webHidden/>
          </w:rPr>
          <w:tab/>
        </w:r>
        <w:r>
          <w:rPr>
            <w:noProof/>
            <w:webHidden/>
          </w:rPr>
          <w:fldChar w:fldCharType="begin"/>
        </w:r>
        <w:r w:rsidR="003E4210">
          <w:rPr>
            <w:noProof/>
            <w:webHidden/>
          </w:rPr>
          <w:instrText xml:space="preserve"> PAGEREF _Toc259716988 \h </w:instrText>
        </w:r>
        <w:r>
          <w:rPr>
            <w:noProof/>
            <w:webHidden/>
          </w:rPr>
        </w:r>
        <w:r>
          <w:rPr>
            <w:noProof/>
            <w:webHidden/>
          </w:rPr>
          <w:fldChar w:fldCharType="separate"/>
        </w:r>
        <w:r w:rsidR="003E4210">
          <w:rPr>
            <w:noProof/>
            <w:webHidden/>
          </w:rPr>
          <w:t>102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89" w:history="1">
        <w:r w:rsidR="003E4210" w:rsidRPr="005B500B">
          <w:rPr>
            <w:rStyle w:val="Hyperlink"/>
            <w:noProof/>
          </w:rPr>
          <w:t>7.4.13.20 RLS announcement</w:t>
        </w:r>
        <w:r w:rsidR="003E4210">
          <w:rPr>
            <w:noProof/>
            <w:webHidden/>
          </w:rPr>
          <w:tab/>
        </w:r>
        <w:r>
          <w:rPr>
            <w:noProof/>
            <w:webHidden/>
          </w:rPr>
          <w:fldChar w:fldCharType="begin"/>
        </w:r>
        <w:r w:rsidR="003E4210">
          <w:rPr>
            <w:noProof/>
            <w:webHidden/>
          </w:rPr>
          <w:instrText xml:space="preserve"> PAGEREF _Toc259716989 \h </w:instrText>
        </w:r>
        <w:r>
          <w:rPr>
            <w:noProof/>
            <w:webHidden/>
          </w:rPr>
        </w:r>
        <w:r>
          <w:rPr>
            <w:noProof/>
            <w:webHidden/>
          </w:rPr>
          <w:fldChar w:fldCharType="separate"/>
        </w:r>
        <w:r w:rsidR="003E4210">
          <w:rPr>
            <w:noProof/>
            <w:webHidden/>
          </w:rPr>
          <w:t>102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90" w:history="1">
        <w:r w:rsidR="003E4210" w:rsidRPr="005B500B">
          <w:rPr>
            <w:rStyle w:val="Hyperlink"/>
            <w:noProof/>
          </w:rPr>
          <w:t>7.4.13.21 RLS teardown</w:t>
        </w:r>
        <w:r w:rsidR="003E4210">
          <w:rPr>
            <w:noProof/>
            <w:webHidden/>
          </w:rPr>
          <w:tab/>
        </w:r>
        <w:r>
          <w:rPr>
            <w:noProof/>
            <w:webHidden/>
          </w:rPr>
          <w:fldChar w:fldCharType="begin"/>
        </w:r>
        <w:r w:rsidR="003E4210">
          <w:rPr>
            <w:noProof/>
            <w:webHidden/>
          </w:rPr>
          <w:instrText xml:space="preserve"> PAGEREF _Toc259716990 \h </w:instrText>
        </w:r>
        <w:r>
          <w:rPr>
            <w:noProof/>
            <w:webHidden/>
          </w:rPr>
        </w:r>
        <w:r>
          <w:rPr>
            <w:noProof/>
            <w:webHidden/>
          </w:rPr>
          <w:fldChar w:fldCharType="separate"/>
        </w:r>
        <w:r w:rsidR="003E4210">
          <w:rPr>
            <w:noProof/>
            <w:webHidden/>
          </w:rPr>
          <w:t>103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91" w:history="1">
        <w:r w:rsidR="003E4210" w:rsidRPr="005B500B">
          <w:rPr>
            <w:rStyle w:val="Hyperlink"/>
            <w:noProof/>
          </w:rPr>
          <w:t>7.4.13.22 Relay ACK request</w:t>
        </w:r>
        <w:r w:rsidR="003E4210">
          <w:rPr>
            <w:noProof/>
            <w:webHidden/>
          </w:rPr>
          <w:tab/>
        </w:r>
        <w:r>
          <w:rPr>
            <w:noProof/>
            <w:webHidden/>
          </w:rPr>
          <w:fldChar w:fldCharType="begin"/>
        </w:r>
        <w:r w:rsidR="003E4210">
          <w:rPr>
            <w:noProof/>
            <w:webHidden/>
          </w:rPr>
          <w:instrText xml:space="preserve"> PAGEREF _Toc259716991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92" w:history="1">
        <w:r w:rsidR="003E4210" w:rsidRPr="005B500B">
          <w:rPr>
            <w:rStyle w:val="Hyperlink"/>
            <w:noProof/>
          </w:rPr>
          <w:t>7.4.13.23 Relay ACK response</w:t>
        </w:r>
        <w:r w:rsidR="003E4210">
          <w:rPr>
            <w:noProof/>
            <w:webHidden/>
          </w:rPr>
          <w:tab/>
        </w:r>
        <w:r>
          <w:rPr>
            <w:noProof/>
            <w:webHidden/>
          </w:rPr>
          <w:fldChar w:fldCharType="begin"/>
        </w:r>
        <w:r w:rsidR="003E4210">
          <w:rPr>
            <w:noProof/>
            <w:webHidden/>
          </w:rPr>
          <w:instrText xml:space="preserve"> PAGEREF _Toc259716992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93" w:history="1">
        <w:r w:rsidR="003E4210" w:rsidRPr="005B500B">
          <w:rPr>
            <w:rStyle w:val="Hyperlink"/>
            <w:noProof/>
          </w:rPr>
          <w:t>7.4.13.24 TPA request</w:t>
        </w:r>
        <w:r w:rsidR="003E4210">
          <w:rPr>
            <w:noProof/>
            <w:webHidden/>
          </w:rPr>
          <w:tab/>
        </w:r>
        <w:r>
          <w:rPr>
            <w:noProof/>
            <w:webHidden/>
          </w:rPr>
          <w:fldChar w:fldCharType="begin"/>
        </w:r>
        <w:r w:rsidR="003E4210">
          <w:rPr>
            <w:noProof/>
            <w:webHidden/>
          </w:rPr>
          <w:instrText xml:space="preserve"> PAGEREF _Toc259716993 \h </w:instrText>
        </w:r>
        <w:r>
          <w:rPr>
            <w:noProof/>
            <w:webHidden/>
          </w:rPr>
        </w:r>
        <w:r>
          <w:rPr>
            <w:noProof/>
            <w:webHidden/>
          </w:rPr>
          <w:fldChar w:fldCharType="separate"/>
        </w:r>
        <w:r w:rsidR="003E4210">
          <w:rPr>
            <w:noProof/>
            <w:webHidden/>
          </w:rPr>
          <w:t>105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94" w:history="1">
        <w:r w:rsidR="003E4210" w:rsidRPr="005B500B">
          <w:rPr>
            <w:rStyle w:val="Hyperlink"/>
            <w:noProof/>
          </w:rPr>
          <w:t>7.4.13.25 TPA response</w:t>
        </w:r>
        <w:r w:rsidR="003E4210">
          <w:rPr>
            <w:noProof/>
            <w:webHidden/>
          </w:rPr>
          <w:tab/>
        </w:r>
        <w:r>
          <w:rPr>
            <w:noProof/>
            <w:webHidden/>
          </w:rPr>
          <w:fldChar w:fldCharType="begin"/>
        </w:r>
        <w:r w:rsidR="003E4210">
          <w:rPr>
            <w:noProof/>
            <w:webHidden/>
          </w:rPr>
          <w:instrText xml:space="preserve"> PAGEREF _Toc259716994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95" w:history="1">
        <w:r w:rsidR="003E4210" w:rsidRPr="005B500B">
          <w:rPr>
            <w:rStyle w:val="Hyperlink"/>
            <w:noProof/>
          </w:rPr>
          <w:t>7.4.13.26 TPA report</w:t>
        </w:r>
        <w:r w:rsidR="003E4210">
          <w:rPr>
            <w:noProof/>
            <w:webHidden/>
          </w:rPr>
          <w:tab/>
        </w:r>
        <w:r>
          <w:rPr>
            <w:noProof/>
            <w:webHidden/>
          </w:rPr>
          <w:fldChar w:fldCharType="begin"/>
        </w:r>
        <w:r w:rsidR="003E4210">
          <w:rPr>
            <w:noProof/>
            <w:webHidden/>
          </w:rPr>
          <w:instrText xml:space="preserve"> PAGEREF _Toc259716995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96" w:history="1">
        <w:r w:rsidR="003E4210" w:rsidRPr="005B500B">
          <w:rPr>
            <w:rStyle w:val="Hyperlink"/>
            <w:noProof/>
          </w:rPr>
          <w:t>7.4.13.27 ROC request</w:t>
        </w:r>
        <w:r w:rsidR="003E4210">
          <w:rPr>
            <w:noProof/>
            <w:webHidden/>
          </w:rPr>
          <w:tab/>
        </w:r>
        <w:r>
          <w:rPr>
            <w:noProof/>
            <w:webHidden/>
          </w:rPr>
          <w:fldChar w:fldCharType="begin"/>
        </w:r>
        <w:r w:rsidR="003E4210">
          <w:rPr>
            <w:noProof/>
            <w:webHidden/>
          </w:rPr>
          <w:instrText xml:space="preserve"> PAGEREF _Toc259716996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97" w:history="1">
        <w:r w:rsidR="003E4210" w:rsidRPr="005B500B">
          <w:rPr>
            <w:rStyle w:val="Hyperlink"/>
            <w:noProof/>
          </w:rPr>
          <w:t>7.4.13.28 ROC response</w:t>
        </w:r>
        <w:r w:rsidR="003E4210">
          <w:rPr>
            <w:noProof/>
            <w:webHidden/>
          </w:rPr>
          <w:tab/>
        </w:r>
        <w:r>
          <w:rPr>
            <w:noProof/>
            <w:webHidden/>
          </w:rPr>
          <w:fldChar w:fldCharType="begin"/>
        </w:r>
        <w:r w:rsidR="003E4210">
          <w:rPr>
            <w:noProof/>
            <w:webHidden/>
          </w:rPr>
          <w:instrText xml:space="preserve"> PAGEREF _Toc259716997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98" w:history="1">
        <w:r w:rsidR="003E4210" w:rsidRPr="005B500B">
          <w:rPr>
            <w:rStyle w:val="Hyperlink"/>
            <w:noProof/>
          </w:rPr>
          <w:t>7.4.14 FST Action frame details</w:t>
        </w:r>
        <w:r w:rsidR="003E4210">
          <w:rPr>
            <w:noProof/>
            <w:webHidden/>
          </w:rPr>
          <w:tab/>
        </w:r>
        <w:r>
          <w:rPr>
            <w:noProof/>
            <w:webHidden/>
          </w:rPr>
          <w:fldChar w:fldCharType="begin"/>
        </w:r>
        <w:r w:rsidR="003E4210">
          <w:rPr>
            <w:noProof/>
            <w:webHidden/>
          </w:rPr>
          <w:instrText xml:space="preserve"> PAGEREF _Toc259716998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6999" w:history="1">
        <w:r w:rsidR="003E4210" w:rsidRPr="005B500B">
          <w:rPr>
            <w:rStyle w:val="Hyperlink"/>
            <w:noProof/>
          </w:rPr>
          <w:t>7.4.14.1 FST Action field</w:t>
        </w:r>
        <w:r w:rsidR="003E4210">
          <w:rPr>
            <w:noProof/>
            <w:webHidden/>
          </w:rPr>
          <w:tab/>
        </w:r>
        <w:r>
          <w:rPr>
            <w:noProof/>
            <w:webHidden/>
          </w:rPr>
          <w:fldChar w:fldCharType="begin"/>
        </w:r>
        <w:r w:rsidR="003E4210">
          <w:rPr>
            <w:noProof/>
            <w:webHidden/>
          </w:rPr>
          <w:instrText xml:space="preserve"> PAGEREF _Toc259716999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00" w:history="1">
        <w:r w:rsidR="003E4210" w:rsidRPr="005B500B">
          <w:rPr>
            <w:rStyle w:val="Hyperlink"/>
            <w:noProof/>
          </w:rPr>
          <w:t>7.4.14.2 FST Setup Request</w:t>
        </w:r>
        <w:r w:rsidR="003E4210">
          <w:rPr>
            <w:noProof/>
            <w:webHidden/>
          </w:rPr>
          <w:tab/>
        </w:r>
        <w:r>
          <w:rPr>
            <w:noProof/>
            <w:webHidden/>
          </w:rPr>
          <w:fldChar w:fldCharType="begin"/>
        </w:r>
        <w:r w:rsidR="003E4210">
          <w:rPr>
            <w:noProof/>
            <w:webHidden/>
          </w:rPr>
          <w:instrText xml:space="preserve"> PAGEREF _Toc259717000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01" w:history="1">
        <w:r w:rsidR="003E4210" w:rsidRPr="005B500B">
          <w:rPr>
            <w:rStyle w:val="Hyperlink"/>
            <w:noProof/>
          </w:rPr>
          <w:t>7.4.14.3 FST Setup Response</w:t>
        </w:r>
        <w:r w:rsidR="003E4210">
          <w:rPr>
            <w:noProof/>
            <w:webHidden/>
          </w:rPr>
          <w:tab/>
        </w:r>
        <w:r>
          <w:rPr>
            <w:noProof/>
            <w:webHidden/>
          </w:rPr>
          <w:fldChar w:fldCharType="begin"/>
        </w:r>
        <w:r w:rsidR="003E4210">
          <w:rPr>
            <w:noProof/>
            <w:webHidden/>
          </w:rPr>
          <w:instrText xml:space="preserve"> PAGEREF _Toc259717001 \h </w:instrText>
        </w:r>
        <w:r>
          <w:rPr>
            <w:noProof/>
            <w:webHidden/>
          </w:rPr>
        </w:r>
        <w:r>
          <w:rPr>
            <w:noProof/>
            <w:webHidden/>
          </w:rPr>
          <w:fldChar w:fldCharType="separate"/>
        </w:r>
        <w:r w:rsidR="003E4210">
          <w:rPr>
            <w:noProof/>
            <w:webHidden/>
          </w:rPr>
          <w:t>109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02" w:history="1">
        <w:r w:rsidR="003E4210" w:rsidRPr="005B500B">
          <w:rPr>
            <w:rStyle w:val="Hyperlink"/>
            <w:noProof/>
          </w:rPr>
          <w:t>7.4.14.4 FST Tear down</w:t>
        </w:r>
        <w:r w:rsidR="003E4210">
          <w:rPr>
            <w:noProof/>
            <w:webHidden/>
          </w:rPr>
          <w:tab/>
        </w:r>
        <w:r>
          <w:rPr>
            <w:noProof/>
            <w:webHidden/>
          </w:rPr>
          <w:fldChar w:fldCharType="begin"/>
        </w:r>
        <w:r w:rsidR="003E4210">
          <w:rPr>
            <w:noProof/>
            <w:webHidden/>
          </w:rPr>
          <w:instrText xml:space="preserve"> PAGEREF _Toc259717002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03" w:history="1">
        <w:r w:rsidR="003E4210" w:rsidRPr="005B500B">
          <w:rPr>
            <w:rStyle w:val="Hyperlink"/>
            <w:noProof/>
          </w:rPr>
          <w:t>7.4.14.5 FST Ack Request</w:t>
        </w:r>
        <w:r w:rsidR="003E4210">
          <w:rPr>
            <w:noProof/>
            <w:webHidden/>
          </w:rPr>
          <w:tab/>
        </w:r>
        <w:r>
          <w:rPr>
            <w:noProof/>
            <w:webHidden/>
          </w:rPr>
          <w:fldChar w:fldCharType="begin"/>
        </w:r>
        <w:r w:rsidR="003E4210">
          <w:rPr>
            <w:noProof/>
            <w:webHidden/>
          </w:rPr>
          <w:instrText xml:space="preserve"> PAGEREF _Toc259717003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04" w:history="1">
        <w:r w:rsidR="003E4210" w:rsidRPr="005B500B">
          <w:rPr>
            <w:rStyle w:val="Hyperlink"/>
            <w:noProof/>
          </w:rPr>
          <w:t>7.4.14.6 FST Ack Response</w:t>
        </w:r>
        <w:r w:rsidR="003E4210">
          <w:rPr>
            <w:noProof/>
            <w:webHidden/>
          </w:rPr>
          <w:tab/>
        </w:r>
        <w:r>
          <w:rPr>
            <w:noProof/>
            <w:webHidden/>
          </w:rPr>
          <w:fldChar w:fldCharType="begin"/>
        </w:r>
        <w:r w:rsidR="003E4210">
          <w:rPr>
            <w:noProof/>
            <w:webHidden/>
          </w:rPr>
          <w:instrText xml:space="preserve"> PAGEREF _Toc259717004 \h </w:instrText>
        </w:r>
        <w:r>
          <w:rPr>
            <w:noProof/>
            <w:webHidden/>
          </w:rPr>
        </w:r>
        <w:r>
          <w:rPr>
            <w:noProof/>
            <w:webHidden/>
          </w:rPr>
          <w:fldChar w:fldCharType="separate"/>
        </w:r>
        <w:r w:rsidR="003E4210">
          <w:rPr>
            <w:noProof/>
            <w:webHidden/>
          </w:rPr>
          <w:t>111</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005" w:history="1">
        <w:r w:rsidR="003E4210" w:rsidRPr="005B500B">
          <w:rPr>
            <w:rStyle w:val="Hyperlink"/>
            <w:noProof/>
            <w:lang w:val="pt-BR"/>
          </w:rPr>
          <w:t>7.</w:t>
        </w:r>
        <w:r w:rsidR="003E4210" w:rsidRPr="005B500B">
          <w:rPr>
            <w:rStyle w:val="Hyperlink"/>
            <w:noProof/>
          </w:rPr>
          <w:t>4a</w:t>
        </w:r>
        <w:r w:rsidR="003E4210" w:rsidRPr="005B500B">
          <w:rPr>
            <w:rStyle w:val="Hyperlink"/>
            <w:noProof/>
            <w:lang w:val="pt-BR"/>
          </w:rPr>
          <w:t xml:space="preserve"> Aggregate MPDU (A-MPDU)</w:t>
        </w:r>
        <w:r w:rsidR="003E4210">
          <w:rPr>
            <w:noProof/>
            <w:webHidden/>
          </w:rPr>
          <w:tab/>
        </w:r>
        <w:r>
          <w:rPr>
            <w:noProof/>
            <w:webHidden/>
          </w:rPr>
          <w:fldChar w:fldCharType="begin"/>
        </w:r>
        <w:r w:rsidR="003E4210">
          <w:rPr>
            <w:noProof/>
            <w:webHidden/>
          </w:rPr>
          <w:instrText xml:space="preserve"> PAGEREF _Toc259717005 \h </w:instrText>
        </w:r>
        <w:r>
          <w:rPr>
            <w:noProof/>
            <w:webHidden/>
          </w:rPr>
        </w:r>
        <w:r>
          <w:rPr>
            <w:noProof/>
            <w:webHidden/>
          </w:rPr>
          <w:fldChar w:fldCharType="separate"/>
        </w:r>
        <w:r w:rsidR="003E4210">
          <w:rPr>
            <w:noProof/>
            <w:webHidden/>
          </w:rPr>
          <w:t>111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06" w:history="1">
        <w:r w:rsidR="003E4210" w:rsidRPr="005B500B">
          <w:rPr>
            <w:rStyle w:val="Hyperlink"/>
            <w:noProof/>
            <w:lang w:val="pt-BR"/>
          </w:rPr>
          <w:t>7.4a.1a mmWave A-MPDU format</w:t>
        </w:r>
        <w:r w:rsidR="003E4210">
          <w:rPr>
            <w:noProof/>
            <w:webHidden/>
          </w:rPr>
          <w:tab/>
        </w:r>
        <w:r>
          <w:rPr>
            <w:noProof/>
            <w:webHidden/>
          </w:rPr>
          <w:fldChar w:fldCharType="begin"/>
        </w:r>
        <w:r w:rsidR="003E4210">
          <w:rPr>
            <w:noProof/>
            <w:webHidden/>
          </w:rPr>
          <w:instrText xml:space="preserve"> PAGEREF _Toc259717006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07" w:history="1">
        <w:r w:rsidR="003E4210" w:rsidRPr="005B500B">
          <w:rPr>
            <w:rStyle w:val="Hyperlink"/>
            <w:noProof/>
          </w:rPr>
          <w:t>7.4a.3 A-MPDU contents</w:t>
        </w:r>
        <w:r w:rsidR="003E4210">
          <w:rPr>
            <w:noProof/>
            <w:webHidden/>
          </w:rPr>
          <w:tab/>
        </w:r>
        <w:r>
          <w:rPr>
            <w:noProof/>
            <w:webHidden/>
          </w:rPr>
          <w:fldChar w:fldCharType="begin"/>
        </w:r>
        <w:r w:rsidR="003E4210">
          <w:rPr>
            <w:noProof/>
            <w:webHidden/>
          </w:rPr>
          <w:instrText xml:space="preserve"> PAGEREF _Toc259717007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BD151C">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008" w:history="1">
        <w:r w:rsidR="003E4210" w:rsidRPr="005B500B">
          <w:rPr>
            <w:rStyle w:val="Hyperlink"/>
            <w:noProof/>
          </w:rPr>
          <w:t>8</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Security</w:t>
        </w:r>
        <w:r w:rsidR="003E4210">
          <w:rPr>
            <w:noProof/>
            <w:webHidden/>
          </w:rPr>
          <w:tab/>
        </w:r>
        <w:r>
          <w:rPr>
            <w:noProof/>
            <w:webHidden/>
          </w:rPr>
          <w:fldChar w:fldCharType="begin"/>
        </w:r>
        <w:r w:rsidR="003E4210">
          <w:rPr>
            <w:noProof/>
            <w:webHidden/>
          </w:rPr>
          <w:instrText xml:space="preserve"> PAGEREF _Toc259717008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009" w:history="1">
        <w:r w:rsidR="003E4210" w:rsidRPr="005B500B">
          <w:rPr>
            <w:rStyle w:val="Hyperlink"/>
            <w:noProof/>
          </w:rPr>
          <w:t>8.1 Framework</w:t>
        </w:r>
        <w:r w:rsidR="003E4210">
          <w:rPr>
            <w:noProof/>
            <w:webHidden/>
          </w:rPr>
          <w:tab/>
        </w:r>
        <w:r>
          <w:rPr>
            <w:noProof/>
            <w:webHidden/>
          </w:rPr>
          <w:fldChar w:fldCharType="begin"/>
        </w:r>
        <w:r w:rsidR="003E4210">
          <w:rPr>
            <w:noProof/>
            <w:webHidden/>
          </w:rPr>
          <w:instrText xml:space="preserve"> PAGEREF _Toc259717009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0" w:history="1">
        <w:r w:rsidR="003E4210" w:rsidRPr="005B500B">
          <w:rPr>
            <w:rStyle w:val="Hyperlink"/>
            <w:noProof/>
          </w:rPr>
          <w:t>8.1.1 Security methods</w:t>
        </w:r>
        <w:r w:rsidR="003E4210">
          <w:rPr>
            <w:noProof/>
            <w:webHidden/>
          </w:rPr>
          <w:tab/>
        </w:r>
        <w:r>
          <w:rPr>
            <w:noProof/>
            <w:webHidden/>
          </w:rPr>
          <w:fldChar w:fldCharType="begin"/>
        </w:r>
        <w:r w:rsidR="003E4210">
          <w:rPr>
            <w:noProof/>
            <w:webHidden/>
          </w:rPr>
          <w:instrText xml:space="preserve"> PAGEREF _Toc259717010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1" w:history="1">
        <w:r w:rsidR="003E4210" w:rsidRPr="005B500B">
          <w:rPr>
            <w:rStyle w:val="Hyperlink"/>
            <w:noProof/>
          </w:rPr>
          <w:t>8.1.2 RSNA equipment and RSNA capabilities</w:t>
        </w:r>
        <w:r w:rsidR="003E4210">
          <w:rPr>
            <w:noProof/>
            <w:webHidden/>
          </w:rPr>
          <w:tab/>
        </w:r>
        <w:r>
          <w:rPr>
            <w:noProof/>
            <w:webHidden/>
          </w:rPr>
          <w:fldChar w:fldCharType="begin"/>
        </w:r>
        <w:r w:rsidR="003E4210">
          <w:rPr>
            <w:noProof/>
            <w:webHidden/>
          </w:rPr>
          <w:instrText xml:space="preserve"> PAGEREF _Toc259717011 \h </w:instrText>
        </w:r>
        <w:r>
          <w:rPr>
            <w:noProof/>
            <w:webHidden/>
          </w:rPr>
        </w:r>
        <w:r>
          <w:rPr>
            <w:noProof/>
            <w:webHidden/>
          </w:rPr>
          <w:fldChar w:fldCharType="separate"/>
        </w:r>
        <w:r w:rsidR="003E4210">
          <w:rPr>
            <w:noProof/>
            <w:webHidden/>
          </w:rPr>
          <w:t>113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2" w:history="1">
        <w:r w:rsidR="003E4210" w:rsidRPr="005B500B">
          <w:rPr>
            <w:rStyle w:val="Hyperlink"/>
            <w:noProof/>
          </w:rPr>
          <w:t>8.1.3 RSNA establishment</w:t>
        </w:r>
        <w:r w:rsidR="003E4210">
          <w:rPr>
            <w:noProof/>
            <w:webHidden/>
          </w:rPr>
          <w:tab/>
        </w:r>
        <w:r>
          <w:rPr>
            <w:noProof/>
            <w:webHidden/>
          </w:rPr>
          <w:fldChar w:fldCharType="begin"/>
        </w:r>
        <w:r w:rsidR="003E4210">
          <w:rPr>
            <w:noProof/>
            <w:webHidden/>
          </w:rPr>
          <w:instrText xml:space="preserve"> PAGEREF _Toc259717012 \h </w:instrText>
        </w:r>
        <w:r>
          <w:rPr>
            <w:noProof/>
            <w:webHidden/>
          </w:rPr>
        </w:r>
        <w:r>
          <w:rPr>
            <w:noProof/>
            <w:webHidden/>
          </w:rPr>
          <w:fldChar w:fldCharType="separate"/>
        </w:r>
        <w:r w:rsidR="003E4210">
          <w:rPr>
            <w:noProof/>
            <w:webHidden/>
          </w:rPr>
          <w:t>113</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13" w:history="1">
        <w:r w:rsidR="003E4210" w:rsidRPr="005B500B">
          <w:rPr>
            <w:rStyle w:val="Hyperlink"/>
            <w:noProof/>
          </w:rPr>
          <w:t>8.3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RSNA data confidentiality and integrity protocols</w:t>
        </w:r>
        <w:r w:rsidR="003E4210">
          <w:rPr>
            <w:noProof/>
            <w:webHidden/>
          </w:rPr>
          <w:tab/>
        </w:r>
        <w:r>
          <w:rPr>
            <w:noProof/>
            <w:webHidden/>
          </w:rPr>
          <w:fldChar w:fldCharType="begin"/>
        </w:r>
        <w:r w:rsidR="003E4210">
          <w:rPr>
            <w:noProof/>
            <w:webHidden/>
          </w:rPr>
          <w:instrText xml:space="preserve"> PAGEREF _Toc259717013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4" w:history="1">
        <w:r w:rsidR="003E4210" w:rsidRPr="005B500B">
          <w:rPr>
            <w:rStyle w:val="Hyperlink"/>
            <w:rFonts w:eastAsia="SimSun"/>
            <w:noProof/>
          </w:rPr>
          <w:t>8.3.1 Overview</w:t>
        </w:r>
        <w:r w:rsidR="003E4210">
          <w:rPr>
            <w:noProof/>
            <w:webHidden/>
          </w:rPr>
          <w:tab/>
        </w:r>
        <w:r>
          <w:rPr>
            <w:noProof/>
            <w:webHidden/>
          </w:rPr>
          <w:fldChar w:fldCharType="begin"/>
        </w:r>
        <w:r w:rsidR="003E4210">
          <w:rPr>
            <w:noProof/>
            <w:webHidden/>
          </w:rPr>
          <w:instrText xml:space="preserve"> PAGEREF _Toc259717014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5" w:history="1">
        <w:r w:rsidR="003E4210" w:rsidRPr="005B500B">
          <w:rPr>
            <w:rStyle w:val="Hyperlink"/>
            <w:rFonts w:eastAsia="SimSun"/>
            <w:noProof/>
          </w:rPr>
          <w:t>8.3.5 GCM with GMAC Protocol (GCMP)</w:t>
        </w:r>
        <w:r w:rsidR="003E4210">
          <w:rPr>
            <w:noProof/>
            <w:webHidden/>
          </w:rPr>
          <w:tab/>
        </w:r>
        <w:r>
          <w:rPr>
            <w:noProof/>
            <w:webHidden/>
          </w:rPr>
          <w:fldChar w:fldCharType="begin"/>
        </w:r>
        <w:r w:rsidR="003E4210">
          <w:rPr>
            <w:noProof/>
            <w:webHidden/>
          </w:rPr>
          <w:instrText xml:space="preserve"> PAGEREF _Toc259717015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16" w:history="1">
        <w:r w:rsidR="003E4210" w:rsidRPr="005B500B">
          <w:rPr>
            <w:rStyle w:val="Hyperlink"/>
            <w:noProof/>
          </w:rPr>
          <w:t>8.3.5.1</w:t>
        </w:r>
        <w:r w:rsidR="003E4210">
          <w:rPr>
            <w:rFonts w:asciiTheme="minorHAnsi" w:eastAsiaTheme="minorEastAsia" w:hAnsiTheme="minorHAnsi" w:cstheme="minorBidi"/>
            <w:noProof/>
            <w:sz w:val="22"/>
            <w:szCs w:val="22"/>
            <w:lang w:bidi="ar-SA"/>
          </w:rPr>
          <w:tab/>
        </w:r>
        <w:r w:rsidR="003E4210" w:rsidRPr="005B500B">
          <w:rPr>
            <w:rStyle w:val="Hyperlink"/>
            <w:noProof/>
          </w:rPr>
          <w:t>GCMP overview</w:t>
        </w:r>
        <w:r w:rsidR="003E4210">
          <w:rPr>
            <w:noProof/>
            <w:webHidden/>
          </w:rPr>
          <w:tab/>
        </w:r>
        <w:r>
          <w:rPr>
            <w:noProof/>
            <w:webHidden/>
          </w:rPr>
          <w:fldChar w:fldCharType="begin"/>
        </w:r>
        <w:r w:rsidR="003E4210">
          <w:rPr>
            <w:noProof/>
            <w:webHidden/>
          </w:rPr>
          <w:instrText xml:space="preserve"> PAGEREF _Toc259717016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17" w:history="1">
        <w:r w:rsidR="003E4210" w:rsidRPr="005B500B">
          <w:rPr>
            <w:rStyle w:val="Hyperlink"/>
            <w:noProof/>
          </w:rPr>
          <w:t>8.3.5.2</w:t>
        </w:r>
        <w:r w:rsidR="003E4210">
          <w:rPr>
            <w:rFonts w:asciiTheme="minorHAnsi" w:eastAsiaTheme="minorEastAsia" w:hAnsiTheme="minorHAnsi" w:cstheme="minorBidi"/>
            <w:noProof/>
            <w:sz w:val="22"/>
            <w:szCs w:val="22"/>
            <w:lang w:bidi="ar-SA"/>
          </w:rPr>
          <w:tab/>
        </w:r>
        <w:r w:rsidR="003E4210" w:rsidRPr="005B500B">
          <w:rPr>
            <w:rStyle w:val="Hyperlink"/>
            <w:noProof/>
          </w:rPr>
          <w:t>GCMP MPDU format</w:t>
        </w:r>
        <w:r w:rsidR="003E4210">
          <w:rPr>
            <w:noProof/>
            <w:webHidden/>
          </w:rPr>
          <w:tab/>
        </w:r>
        <w:r>
          <w:rPr>
            <w:noProof/>
            <w:webHidden/>
          </w:rPr>
          <w:fldChar w:fldCharType="begin"/>
        </w:r>
        <w:r w:rsidR="003E4210">
          <w:rPr>
            <w:noProof/>
            <w:webHidden/>
          </w:rPr>
          <w:instrText xml:space="preserve"> PAGEREF _Toc259717017 \h </w:instrText>
        </w:r>
        <w:r>
          <w:rPr>
            <w:noProof/>
            <w:webHidden/>
          </w:rPr>
        </w:r>
        <w:r>
          <w:rPr>
            <w:noProof/>
            <w:webHidden/>
          </w:rPr>
          <w:fldChar w:fldCharType="separate"/>
        </w:r>
        <w:r w:rsidR="003E4210">
          <w:rPr>
            <w:noProof/>
            <w:webHidden/>
          </w:rPr>
          <w:t>116</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18" w:history="1">
        <w:r w:rsidR="003E4210" w:rsidRPr="005B500B">
          <w:rPr>
            <w:rStyle w:val="Hyperlink"/>
            <w:noProof/>
          </w:rPr>
          <w:t>8.3.5.3</w:t>
        </w:r>
        <w:r w:rsidR="003E4210">
          <w:rPr>
            <w:rFonts w:asciiTheme="minorHAnsi" w:eastAsiaTheme="minorEastAsia" w:hAnsiTheme="minorHAnsi" w:cstheme="minorBidi"/>
            <w:noProof/>
            <w:sz w:val="22"/>
            <w:szCs w:val="22"/>
            <w:lang w:bidi="ar-SA"/>
          </w:rPr>
          <w:tab/>
        </w:r>
        <w:r w:rsidR="003E4210" w:rsidRPr="005B500B">
          <w:rPr>
            <w:rStyle w:val="Hyperlink"/>
            <w:noProof/>
          </w:rPr>
          <w:t>GCMP cryptographic encapsulation</w:t>
        </w:r>
        <w:r w:rsidR="003E4210">
          <w:rPr>
            <w:noProof/>
            <w:webHidden/>
          </w:rPr>
          <w:tab/>
        </w:r>
        <w:r>
          <w:rPr>
            <w:noProof/>
            <w:webHidden/>
          </w:rPr>
          <w:fldChar w:fldCharType="begin"/>
        </w:r>
        <w:r w:rsidR="003E4210">
          <w:rPr>
            <w:noProof/>
            <w:webHidden/>
          </w:rPr>
          <w:instrText xml:space="preserve"> PAGEREF _Toc259717018 \h </w:instrText>
        </w:r>
        <w:r>
          <w:rPr>
            <w:noProof/>
            <w:webHidden/>
          </w:rPr>
        </w:r>
        <w:r>
          <w:rPr>
            <w:noProof/>
            <w:webHidden/>
          </w:rPr>
          <w:fldChar w:fldCharType="separate"/>
        </w:r>
        <w:r w:rsidR="003E4210">
          <w:rPr>
            <w:noProof/>
            <w:webHidden/>
          </w:rPr>
          <w:t>116</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19" w:history="1">
        <w:r w:rsidR="003E4210" w:rsidRPr="005B500B">
          <w:rPr>
            <w:rStyle w:val="Hyperlink"/>
            <w:noProof/>
          </w:rPr>
          <w:t>8.3.5.3.1</w:t>
        </w:r>
        <w:r w:rsidR="003E4210">
          <w:rPr>
            <w:rFonts w:asciiTheme="minorHAnsi" w:eastAsiaTheme="minorEastAsia" w:hAnsiTheme="minorHAnsi" w:cstheme="minorBidi"/>
            <w:noProof/>
            <w:sz w:val="22"/>
            <w:szCs w:val="22"/>
            <w:lang w:bidi="ar-SA"/>
          </w:rPr>
          <w:tab/>
        </w:r>
        <w:r w:rsidR="003E4210" w:rsidRPr="005B500B">
          <w:rPr>
            <w:rStyle w:val="Hyperlink"/>
            <w:noProof/>
          </w:rPr>
          <w:t>PN processing</w:t>
        </w:r>
        <w:r w:rsidR="003E4210">
          <w:rPr>
            <w:noProof/>
            <w:webHidden/>
          </w:rPr>
          <w:tab/>
        </w:r>
        <w:r>
          <w:rPr>
            <w:noProof/>
            <w:webHidden/>
          </w:rPr>
          <w:fldChar w:fldCharType="begin"/>
        </w:r>
        <w:r w:rsidR="003E4210">
          <w:rPr>
            <w:noProof/>
            <w:webHidden/>
          </w:rPr>
          <w:instrText xml:space="preserve"> PAGEREF _Toc259717019 \h </w:instrText>
        </w:r>
        <w:r>
          <w:rPr>
            <w:noProof/>
            <w:webHidden/>
          </w:rPr>
        </w:r>
        <w:r>
          <w:rPr>
            <w:noProof/>
            <w:webHidden/>
          </w:rPr>
          <w:fldChar w:fldCharType="separate"/>
        </w:r>
        <w:r w:rsidR="003E4210">
          <w:rPr>
            <w:noProof/>
            <w:webHidden/>
          </w:rPr>
          <w:t>117</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0" w:history="1">
        <w:r w:rsidR="003E4210" w:rsidRPr="005B500B">
          <w:rPr>
            <w:rStyle w:val="Hyperlink"/>
            <w:noProof/>
          </w:rPr>
          <w:t>8.3.5.3.2</w:t>
        </w:r>
        <w:r w:rsidR="003E4210">
          <w:rPr>
            <w:rFonts w:asciiTheme="minorHAnsi" w:eastAsiaTheme="minorEastAsia" w:hAnsiTheme="minorHAnsi" w:cstheme="minorBidi"/>
            <w:noProof/>
            <w:sz w:val="22"/>
            <w:szCs w:val="22"/>
            <w:lang w:bidi="ar-SA"/>
          </w:rPr>
          <w:tab/>
        </w:r>
        <w:r w:rsidR="003E4210" w:rsidRPr="005B500B">
          <w:rPr>
            <w:rStyle w:val="Hyperlink"/>
            <w:noProof/>
          </w:rPr>
          <w:t>Construct AAD</w:t>
        </w:r>
        <w:r w:rsidR="003E4210">
          <w:rPr>
            <w:noProof/>
            <w:webHidden/>
          </w:rPr>
          <w:tab/>
        </w:r>
        <w:r>
          <w:rPr>
            <w:noProof/>
            <w:webHidden/>
          </w:rPr>
          <w:fldChar w:fldCharType="begin"/>
        </w:r>
        <w:r w:rsidR="003E4210">
          <w:rPr>
            <w:noProof/>
            <w:webHidden/>
          </w:rPr>
          <w:instrText xml:space="preserve"> PAGEREF _Toc259717020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1" w:history="1">
        <w:r w:rsidR="003E4210" w:rsidRPr="005B500B">
          <w:rPr>
            <w:rStyle w:val="Hyperlink"/>
            <w:noProof/>
          </w:rPr>
          <w:t>8.3.5.3.3</w:t>
        </w:r>
        <w:r w:rsidR="003E4210">
          <w:rPr>
            <w:rFonts w:asciiTheme="minorHAnsi" w:eastAsiaTheme="minorEastAsia" w:hAnsiTheme="minorHAnsi" w:cstheme="minorBidi"/>
            <w:noProof/>
            <w:sz w:val="22"/>
            <w:szCs w:val="22"/>
            <w:lang w:bidi="ar-SA"/>
          </w:rPr>
          <w:tab/>
        </w:r>
        <w:r w:rsidR="003E4210" w:rsidRPr="005B500B">
          <w:rPr>
            <w:rStyle w:val="Hyperlink"/>
            <w:noProof/>
          </w:rPr>
          <w:t>Construct GCM nonce</w:t>
        </w:r>
        <w:r w:rsidR="003E4210">
          <w:rPr>
            <w:noProof/>
            <w:webHidden/>
          </w:rPr>
          <w:tab/>
        </w:r>
        <w:r>
          <w:rPr>
            <w:noProof/>
            <w:webHidden/>
          </w:rPr>
          <w:fldChar w:fldCharType="begin"/>
        </w:r>
        <w:r w:rsidR="003E4210">
          <w:rPr>
            <w:noProof/>
            <w:webHidden/>
          </w:rPr>
          <w:instrText xml:space="preserve"> PAGEREF _Toc259717021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2" w:history="1">
        <w:r w:rsidR="003E4210" w:rsidRPr="005B500B">
          <w:rPr>
            <w:rStyle w:val="Hyperlink"/>
            <w:noProof/>
          </w:rPr>
          <w:t>8.3.5.3.4</w:t>
        </w:r>
        <w:r w:rsidR="003E4210">
          <w:rPr>
            <w:rFonts w:asciiTheme="minorHAnsi" w:eastAsiaTheme="minorEastAsia" w:hAnsiTheme="minorHAnsi" w:cstheme="minorBidi"/>
            <w:noProof/>
            <w:sz w:val="22"/>
            <w:szCs w:val="22"/>
            <w:lang w:bidi="ar-SA"/>
          </w:rPr>
          <w:tab/>
        </w:r>
        <w:r w:rsidR="003E4210" w:rsidRPr="005B500B">
          <w:rPr>
            <w:rStyle w:val="Hyperlink"/>
            <w:noProof/>
          </w:rPr>
          <w:t>Construct GCMP header</w:t>
        </w:r>
        <w:r w:rsidR="003E4210">
          <w:rPr>
            <w:noProof/>
            <w:webHidden/>
          </w:rPr>
          <w:tab/>
        </w:r>
        <w:r>
          <w:rPr>
            <w:noProof/>
            <w:webHidden/>
          </w:rPr>
          <w:fldChar w:fldCharType="begin"/>
        </w:r>
        <w:r w:rsidR="003E4210">
          <w:rPr>
            <w:noProof/>
            <w:webHidden/>
          </w:rPr>
          <w:instrText xml:space="preserve"> PAGEREF _Toc259717022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3" w:history="1">
        <w:r w:rsidR="003E4210" w:rsidRPr="005B500B">
          <w:rPr>
            <w:rStyle w:val="Hyperlink"/>
            <w:noProof/>
          </w:rPr>
          <w:t>8.3.5.3.5</w:t>
        </w:r>
        <w:r w:rsidR="003E4210">
          <w:rPr>
            <w:rFonts w:asciiTheme="minorHAnsi" w:eastAsiaTheme="minorEastAsia" w:hAnsiTheme="minorHAnsi" w:cstheme="minorBidi"/>
            <w:noProof/>
            <w:sz w:val="22"/>
            <w:szCs w:val="22"/>
            <w:lang w:bidi="ar-SA"/>
          </w:rPr>
          <w:tab/>
        </w:r>
        <w:r w:rsidR="003E4210" w:rsidRPr="005B500B">
          <w:rPr>
            <w:rStyle w:val="Hyperlink"/>
            <w:noProof/>
          </w:rPr>
          <w:t>GCM originator processing</w:t>
        </w:r>
        <w:r w:rsidR="003E4210">
          <w:rPr>
            <w:noProof/>
            <w:webHidden/>
          </w:rPr>
          <w:tab/>
        </w:r>
        <w:r>
          <w:rPr>
            <w:noProof/>
            <w:webHidden/>
          </w:rPr>
          <w:fldChar w:fldCharType="begin"/>
        </w:r>
        <w:r w:rsidR="003E4210">
          <w:rPr>
            <w:noProof/>
            <w:webHidden/>
          </w:rPr>
          <w:instrText xml:space="preserve"> PAGEREF _Toc259717023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24" w:history="1">
        <w:r w:rsidR="003E4210" w:rsidRPr="005B500B">
          <w:rPr>
            <w:rStyle w:val="Hyperlink"/>
            <w:noProof/>
          </w:rPr>
          <w:t>8.3.5.4</w:t>
        </w:r>
        <w:r w:rsidR="003E4210">
          <w:rPr>
            <w:rFonts w:asciiTheme="minorHAnsi" w:eastAsiaTheme="minorEastAsia" w:hAnsiTheme="minorHAnsi" w:cstheme="minorBidi"/>
            <w:noProof/>
            <w:sz w:val="22"/>
            <w:szCs w:val="22"/>
            <w:lang w:bidi="ar-SA"/>
          </w:rPr>
          <w:tab/>
        </w:r>
        <w:r w:rsidR="003E4210" w:rsidRPr="005B500B">
          <w:rPr>
            <w:rStyle w:val="Hyperlink"/>
            <w:noProof/>
          </w:rPr>
          <w:t>GCMP decapsulation</w:t>
        </w:r>
        <w:r w:rsidR="003E4210">
          <w:rPr>
            <w:noProof/>
            <w:webHidden/>
          </w:rPr>
          <w:tab/>
        </w:r>
        <w:r>
          <w:rPr>
            <w:noProof/>
            <w:webHidden/>
          </w:rPr>
          <w:fldChar w:fldCharType="begin"/>
        </w:r>
        <w:r w:rsidR="003E4210">
          <w:rPr>
            <w:noProof/>
            <w:webHidden/>
          </w:rPr>
          <w:instrText xml:space="preserve"> PAGEREF _Toc259717024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5" w:history="1">
        <w:r w:rsidR="003E4210" w:rsidRPr="005B500B">
          <w:rPr>
            <w:rStyle w:val="Hyperlink"/>
            <w:noProof/>
          </w:rPr>
          <w:t>8.3.5.4.1</w:t>
        </w:r>
        <w:r w:rsidR="003E4210">
          <w:rPr>
            <w:rFonts w:asciiTheme="minorHAnsi" w:eastAsiaTheme="minorEastAsia" w:hAnsiTheme="minorHAnsi" w:cstheme="minorBidi"/>
            <w:noProof/>
            <w:sz w:val="22"/>
            <w:szCs w:val="22"/>
            <w:lang w:bidi="ar-SA"/>
          </w:rPr>
          <w:tab/>
        </w:r>
        <w:r w:rsidR="003E4210" w:rsidRPr="005B500B">
          <w:rPr>
            <w:rStyle w:val="Hyperlink"/>
            <w:noProof/>
          </w:rPr>
          <w:t>GCM recipient processing</w:t>
        </w:r>
        <w:r w:rsidR="003E4210">
          <w:rPr>
            <w:noProof/>
            <w:webHidden/>
          </w:rPr>
          <w:tab/>
        </w:r>
        <w:r>
          <w:rPr>
            <w:noProof/>
            <w:webHidden/>
          </w:rPr>
          <w:fldChar w:fldCharType="begin"/>
        </w:r>
        <w:r w:rsidR="003E4210">
          <w:rPr>
            <w:noProof/>
            <w:webHidden/>
          </w:rPr>
          <w:instrText xml:space="preserve"> PAGEREF _Toc259717025 \h </w:instrText>
        </w:r>
        <w:r>
          <w:rPr>
            <w:noProof/>
            <w:webHidden/>
          </w:rPr>
        </w:r>
        <w:r>
          <w:rPr>
            <w:noProof/>
            <w:webHidden/>
          </w:rPr>
          <w:fldChar w:fldCharType="separate"/>
        </w:r>
        <w:r w:rsidR="003E4210">
          <w:rPr>
            <w:noProof/>
            <w:webHidden/>
          </w:rPr>
          <w:t>119</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6" w:history="1">
        <w:r w:rsidR="003E4210" w:rsidRPr="005B500B">
          <w:rPr>
            <w:rStyle w:val="Hyperlink"/>
            <w:noProof/>
          </w:rPr>
          <w:t>8.3.5.4.2</w:t>
        </w:r>
        <w:r w:rsidR="003E4210">
          <w:rPr>
            <w:rFonts w:asciiTheme="minorHAnsi" w:eastAsiaTheme="minorEastAsia" w:hAnsiTheme="minorHAnsi" w:cstheme="minorBidi"/>
            <w:noProof/>
            <w:sz w:val="22"/>
            <w:szCs w:val="22"/>
            <w:lang w:bidi="ar-SA"/>
          </w:rPr>
          <w:tab/>
        </w:r>
        <w:r w:rsidR="003E4210" w:rsidRPr="005B500B">
          <w:rPr>
            <w:rStyle w:val="Hyperlink"/>
            <w:noProof/>
          </w:rPr>
          <w:t>Decrypted GCMP MPDU</w:t>
        </w:r>
        <w:r w:rsidR="003E4210">
          <w:rPr>
            <w:noProof/>
            <w:webHidden/>
          </w:rPr>
          <w:tab/>
        </w:r>
        <w:r>
          <w:rPr>
            <w:noProof/>
            <w:webHidden/>
          </w:rPr>
          <w:fldChar w:fldCharType="begin"/>
        </w:r>
        <w:r w:rsidR="003E4210">
          <w:rPr>
            <w:noProof/>
            <w:webHidden/>
          </w:rPr>
          <w:instrText xml:space="preserve"> PAGEREF _Toc259717026 \h </w:instrText>
        </w:r>
        <w:r>
          <w:rPr>
            <w:noProof/>
            <w:webHidden/>
          </w:rPr>
        </w:r>
        <w:r>
          <w:rPr>
            <w:noProof/>
            <w:webHidden/>
          </w:rPr>
          <w:fldChar w:fldCharType="separate"/>
        </w:r>
        <w:r w:rsidR="003E4210">
          <w:rPr>
            <w:noProof/>
            <w:webHidden/>
          </w:rPr>
          <w:t>120</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7" w:history="1">
        <w:r w:rsidR="003E4210" w:rsidRPr="005B500B">
          <w:rPr>
            <w:rStyle w:val="Hyperlink"/>
            <w:noProof/>
          </w:rPr>
          <w:t>8.3.5.4.3</w:t>
        </w:r>
        <w:r w:rsidR="003E4210">
          <w:rPr>
            <w:rFonts w:asciiTheme="minorHAnsi" w:eastAsiaTheme="minorEastAsia" w:hAnsiTheme="minorHAnsi" w:cstheme="minorBidi"/>
            <w:noProof/>
            <w:sz w:val="22"/>
            <w:szCs w:val="22"/>
            <w:lang w:bidi="ar-SA"/>
          </w:rPr>
          <w:tab/>
        </w:r>
        <w:r w:rsidR="003E4210" w:rsidRPr="005B500B">
          <w:rPr>
            <w:rStyle w:val="Hyperlink"/>
            <w:noProof/>
          </w:rPr>
          <w:t>PN and replay detection</w:t>
        </w:r>
        <w:r w:rsidR="003E4210">
          <w:rPr>
            <w:noProof/>
            <w:webHidden/>
          </w:rPr>
          <w:tab/>
        </w:r>
        <w:r>
          <w:rPr>
            <w:noProof/>
            <w:webHidden/>
          </w:rPr>
          <w:fldChar w:fldCharType="begin"/>
        </w:r>
        <w:r w:rsidR="003E4210">
          <w:rPr>
            <w:noProof/>
            <w:webHidden/>
          </w:rPr>
          <w:instrText xml:space="preserve"> PAGEREF _Toc259717027 \h </w:instrText>
        </w:r>
        <w:r>
          <w:rPr>
            <w:noProof/>
            <w:webHidden/>
          </w:rPr>
        </w:r>
        <w:r>
          <w:rPr>
            <w:noProof/>
            <w:webHidden/>
          </w:rPr>
          <w:fldChar w:fldCharType="separate"/>
        </w:r>
        <w:r w:rsidR="003E4210">
          <w:rPr>
            <w:noProof/>
            <w:webHidden/>
          </w:rPr>
          <w:t>120</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28" w:history="1">
        <w:r w:rsidR="003E4210" w:rsidRPr="005B500B">
          <w:rPr>
            <w:rStyle w:val="Hyperlink"/>
            <w:rFonts w:eastAsia="Arial Unicode MS"/>
            <w:noProof/>
          </w:rPr>
          <w:t>8.4</w:t>
        </w:r>
        <w:r w:rsidR="003E4210">
          <w:rPr>
            <w:rFonts w:asciiTheme="minorHAnsi" w:eastAsiaTheme="minorEastAsia" w:hAnsiTheme="minorHAnsi" w:cstheme="minorBidi"/>
            <w:smallCaps w:val="0"/>
            <w:noProof/>
            <w:sz w:val="22"/>
            <w:szCs w:val="22"/>
            <w:lang w:bidi="ar-SA"/>
          </w:rPr>
          <w:tab/>
        </w:r>
        <w:r w:rsidR="003E4210" w:rsidRPr="005B500B">
          <w:rPr>
            <w:rStyle w:val="Hyperlink"/>
            <w:rFonts w:eastAsia="Arial Unicode MS"/>
            <w:noProof/>
          </w:rPr>
          <w:t>RSNA security association management</w:t>
        </w:r>
        <w:r w:rsidR="003E4210">
          <w:rPr>
            <w:noProof/>
            <w:webHidden/>
          </w:rPr>
          <w:tab/>
        </w:r>
        <w:r>
          <w:rPr>
            <w:noProof/>
            <w:webHidden/>
          </w:rPr>
          <w:fldChar w:fldCharType="begin"/>
        </w:r>
        <w:r w:rsidR="003E4210">
          <w:rPr>
            <w:noProof/>
            <w:webHidden/>
          </w:rPr>
          <w:instrText xml:space="preserve"> PAGEREF _Toc259717028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29" w:history="1">
        <w:r w:rsidR="003E4210" w:rsidRPr="005B500B">
          <w:rPr>
            <w:rStyle w:val="Hyperlink"/>
            <w:rFonts w:eastAsia="Arial Unicode MS"/>
            <w:noProof/>
          </w:rPr>
          <w:t>8.4.1</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Security associations</w:t>
        </w:r>
        <w:r w:rsidR="003E4210">
          <w:rPr>
            <w:noProof/>
            <w:webHidden/>
          </w:rPr>
          <w:tab/>
        </w:r>
        <w:r>
          <w:rPr>
            <w:noProof/>
            <w:webHidden/>
          </w:rPr>
          <w:fldChar w:fldCharType="begin"/>
        </w:r>
        <w:r w:rsidR="003E4210">
          <w:rPr>
            <w:noProof/>
            <w:webHidden/>
          </w:rPr>
          <w:instrText xml:space="preserve"> PAGEREF _Toc259717029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30" w:history="1">
        <w:r w:rsidR="003E4210" w:rsidRPr="005B500B">
          <w:rPr>
            <w:rStyle w:val="Hyperlink"/>
            <w:noProof/>
          </w:rPr>
          <w:t>8.4.1.1</w:t>
        </w:r>
        <w:r w:rsidR="003E4210">
          <w:rPr>
            <w:rFonts w:asciiTheme="minorHAnsi" w:eastAsiaTheme="minorEastAsia" w:hAnsiTheme="minorHAnsi" w:cstheme="minorBidi"/>
            <w:noProof/>
            <w:sz w:val="22"/>
            <w:szCs w:val="22"/>
            <w:lang w:bidi="ar-SA"/>
          </w:rPr>
          <w:tab/>
        </w:r>
        <w:r w:rsidR="003E4210" w:rsidRPr="005B500B">
          <w:rPr>
            <w:rStyle w:val="Hyperlink"/>
            <w:noProof/>
          </w:rPr>
          <w:t>Security association definitions</w:t>
        </w:r>
        <w:r w:rsidR="003E4210">
          <w:rPr>
            <w:noProof/>
            <w:webHidden/>
          </w:rPr>
          <w:tab/>
        </w:r>
        <w:r>
          <w:rPr>
            <w:noProof/>
            <w:webHidden/>
          </w:rPr>
          <w:fldChar w:fldCharType="begin"/>
        </w:r>
        <w:r w:rsidR="003E4210">
          <w:rPr>
            <w:noProof/>
            <w:webHidden/>
          </w:rPr>
          <w:instrText xml:space="preserve"> PAGEREF _Toc259717030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31" w:history="1">
        <w:r w:rsidR="003E4210" w:rsidRPr="005B500B">
          <w:rPr>
            <w:rStyle w:val="Hyperlink"/>
            <w:noProof/>
          </w:rPr>
          <w:t>8.4.1.1.2</w:t>
        </w:r>
        <w:r w:rsidR="003E4210">
          <w:rPr>
            <w:rFonts w:asciiTheme="minorHAnsi" w:eastAsiaTheme="minorEastAsia" w:hAnsiTheme="minorHAnsi" w:cstheme="minorBidi"/>
            <w:noProof/>
            <w:sz w:val="22"/>
            <w:szCs w:val="22"/>
            <w:lang w:bidi="ar-SA"/>
          </w:rPr>
          <w:tab/>
        </w:r>
        <w:r w:rsidR="003E4210" w:rsidRPr="005B500B">
          <w:rPr>
            <w:rStyle w:val="Hyperlink"/>
            <w:noProof/>
          </w:rPr>
          <w:t>PTKSA</w:t>
        </w:r>
        <w:r w:rsidR="003E4210">
          <w:rPr>
            <w:noProof/>
            <w:webHidden/>
          </w:rPr>
          <w:tab/>
        </w:r>
        <w:r>
          <w:rPr>
            <w:noProof/>
            <w:webHidden/>
          </w:rPr>
          <w:fldChar w:fldCharType="begin"/>
        </w:r>
        <w:r w:rsidR="003E4210">
          <w:rPr>
            <w:noProof/>
            <w:webHidden/>
          </w:rPr>
          <w:instrText xml:space="preserve"> PAGEREF _Toc259717031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32" w:history="1">
        <w:r w:rsidR="003E4210" w:rsidRPr="005B500B">
          <w:rPr>
            <w:rStyle w:val="Hyperlink"/>
            <w:noProof/>
          </w:rPr>
          <w:t>8.4.1.1.3</w:t>
        </w:r>
        <w:r w:rsidR="003E4210">
          <w:rPr>
            <w:rFonts w:asciiTheme="minorHAnsi" w:eastAsiaTheme="minorEastAsia" w:hAnsiTheme="minorHAnsi" w:cstheme="minorBidi"/>
            <w:noProof/>
            <w:sz w:val="22"/>
            <w:szCs w:val="22"/>
            <w:lang w:bidi="ar-SA"/>
          </w:rPr>
          <w:tab/>
        </w:r>
        <w:r w:rsidR="003E4210" w:rsidRPr="005B500B">
          <w:rPr>
            <w:rStyle w:val="Hyperlink"/>
            <w:noProof/>
          </w:rPr>
          <w:t>GTKSA</w:t>
        </w:r>
        <w:r w:rsidR="003E4210">
          <w:rPr>
            <w:noProof/>
            <w:webHidden/>
          </w:rPr>
          <w:tab/>
        </w:r>
        <w:r>
          <w:rPr>
            <w:noProof/>
            <w:webHidden/>
          </w:rPr>
          <w:fldChar w:fldCharType="begin"/>
        </w:r>
        <w:r w:rsidR="003E4210">
          <w:rPr>
            <w:noProof/>
            <w:webHidden/>
          </w:rPr>
          <w:instrText xml:space="preserve"> PAGEREF _Toc259717032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33" w:history="1">
        <w:r w:rsidR="003E4210" w:rsidRPr="005B500B">
          <w:rPr>
            <w:rStyle w:val="Hyperlink"/>
            <w:noProof/>
          </w:rPr>
          <w:t>8.4.1.1.5</w:t>
        </w:r>
        <w:r w:rsidR="003E4210">
          <w:rPr>
            <w:rFonts w:asciiTheme="minorHAnsi" w:eastAsiaTheme="minorEastAsia" w:hAnsiTheme="minorHAnsi" w:cstheme="minorBidi"/>
            <w:noProof/>
            <w:sz w:val="22"/>
            <w:szCs w:val="22"/>
            <w:lang w:bidi="ar-SA"/>
          </w:rPr>
          <w:tab/>
        </w:r>
        <w:r w:rsidR="003E4210" w:rsidRPr="005B500B">
          <w:rPr>
            <w:rStyle w:val="Hyperlink"/>
            <w:noProof/>
          </w:rPr>
          <w:t>STKSA</w:t>
        </w:r>
        <w:r w:rsidR="003E4210">
          <w:rPr>
            <w:noProof/>
            <w:webHidden/>
          </w:rPr>
          <w:tab/>
        </w:r>
        <w:r>
          <w:rPr>
            <w:noProof/>
            <w:webHidden/>
          </w:rPr>
          <w:fldChar w:fldCharType="begin"/>
        </w:r>
        <w:r w:rsidR="003E4210">
          <w:rPr>
            <w:noProof/>
            <w:webHidden/>
          </w:rPr>
          <w:instrText xml:space="preserve"> PAGEREF _Toc259717033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34" w:history="1">
        <w:r w:rsidR="003E4210" w:rsidRPr="005B500B">
          <w:rPr>
            <w:rStyle w:val="Hyperlink"/>
            <w:noProof/>
          </w:rPr>
          <w:t>8.4.1.2</w:t>
        </w:r>
        <w:r w:rsidR="003E4210">
          <w:rPr>
            <w:rFonts w:asciiTheme="minorHAnsi" w:eastAsiaTheme="minorEastAsia" w:hAnsiTheme="minorHAnsi" w:cstheme="minorBidi"/>
            <w:noProof/>
            <w:sz w:val="22"/>
            <w:szCs w:val="22"/>
            <w:lang w:bidi="ar-SA"/>
          </w:rPr>
          <w:tab/>
        </w:r>
        <w:r w:rsidR="003E4210" w:rsidRPr="005B500B">
          <w:rPr>
            <w:rStyle w:val="Hyperlink"/>
            <w:noProof/>
          </w:rPr>
          <w:t>Security association life cycle</w:t>
        </w:r>
        <w:r w:rsidR="003E4210">
          <w:rPr>
            <w:noProof/>
            <w:webHidden/>
          </w:rPr>
          <w:tab/>
        </w:r>
        <w:r>
          <w:rPr>
            <w:noProof/>
            <w:webHidden/>
          </w:rPr>
          <w:fldChar w:fldCharType="begin"/>
        </w:r>
        <w:r w:rsidR="003E4210">
          <w:rPr>
            <w:noProof/>
            <w:webHidden/>
          </w:rPr>
          <w:instrText xml:space="preserve"> PAGEREF _Toc259717034 \h </w:instrText>
        </w:r>
        <w:r>
          <w:rPr>
            <w:noProof/>
            <w:webHidden/>
          </w:rPr>
        </w:r>
        <w:r>
          <w:rPr>
            <w:noProof/>
            <w:webHidden/>
          </w:rPr>
          <w:fldChar w:fldCharType="separate"/>
        </w:r>
        <w:r w:rsidR="003E4210">
          <w:rPr>
            <w:noProof/>
            <w:webHidden/>
          </w:rPr>
          <w:t>122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035" w:history="1">
        <w:r w:rsidR="003E4210" w:rsidRPr="005B500B">
          <w:rPr>
            <w:rStyle w:val="Hyperlink"/>
            <w:noProof/>
          </w:rPr>
          <w:t>8.4.1.2.0a General</w:t>
        </w:r>
        <w:r w:rsidR="003E4210">
          <w:rPr>
            <w:noProof/>
            <w:webHidden/>
          </w:rPr>
          <w:tab/>
        </w:r>
        <w:r>
          <w:rPr>
            <w:noProof/>
            <w:webHidden/>
          </w:rPr>
          <w:fldChar w:fldCharType="begin"/>
        </w:r>
        <w:r w:rsidR="003E4210">
          <w:rPr>
            <w:noProof/>
            <w:webHidden/>
          </w:rPr>
          <w:instrText xml:space="preserve"> PAGEREF _Toc259717035 \h </w:instrText>
        </w:r>
        <w:r>
          <w:rPr>
            <w:noProof/>
            <w:webHidden/>
          </w:rPr>
        </w:r>
        <w:r>
          <w:rPr>
            <w:noProof/>
            <w:webHidden/>
          </w:rPr>
          <w:fldChar w:fldCharType="separate"/>
        </w:r>
        <w:r w:rsidR="003E4210">
          <w:rPr>
            <w:noProof/>
            <w:webHidden/>
          </w:rPr>
          <w:t>122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036" w:history="1">
        <w:r w:rsidR="003E4210" w:rsidRPr="005B500B">
          <w:rPr>
            <w:rStyle w:val="Hyperlink"/>
            <w:noProof/>
          </w:rPr>
          <w:t>8.4.1.2.1 Security association in an ESS/PBSS</w:t>
        </w:r>
        <w:r w:rsidR="003E4210">
          <w:rPr>
            <w:noProof/>
            <w:webHidden/>
          </w:rPr>
          <w:tab/>
        </w:r>
        <w:r>
          <w:rPr>
            <w:noProof/>
            <w:webHidden/>
          </w:rPr>
          <w:fldChar w:fldCharType="begin"/>
        </w:r>
        <w:r w:rsidR="003E4210">
          <w:rPr>
            <w:noProof/>
            <w:webHidden/>
          </w:rPr>
          <w:instrText xml:space="preserve"> PAGEREF _Toc259717036 \h </w:instrText>
        </w:r>
        <w:r>
          <w:rPr>
            <w:noProof/>
            <w:webHidden/>
          </w:rPr>
        </w:r>
        <w:r>
          <w:rPr>
            <w:noProof/>
            <w:webHidden/>
          </w:rPr>
          <w:fldChar w:fldCharType="separate"/>
        </w:r>
        <w:r w:rsidR="003E4210">
          <w:rPr>
            <w:noProof/>
            <w:webHidden/>
          </w:rPr>
          <w:t>122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037" w:history="1">
        <w:r w:rsidR="003E4210" w:rsidRPr="005B500B">
          <w:rPr>
            <w:rStyle w:val="Hyperlink"/>
            <w:noProof/>
          </w:rPr>
          <w:t>8.4.1.2.2 Security association in an IBSS/PBSS</w:t>
        </w:r>
        <w:r w:rsidR="003E4210">
          <w:rPr>
            <w:noProof/>
            <w:webHidden/>
          </w:rPr>
          <w:tab/>
        </w:r>
        <w:r>
          <w:rPr>
            <w:noProof/>
            <w:webHidden/>
          </w:rPr>
          <w:fldChar w:fldCharType="begin"/>
        </w:r>
        <w:r w:rsidR="003E4210">
          <w:rPr>
            <w:noProof/>
            <w:webHidden/>
          </w:rPr>
          <w:instrText xml:space="preserve"> PAGEREF _Toc259717037 \h </w:instrText>
        </w:r>
        <w:r>
          <w:rPr>
            <w:noProof/>
            <w:webHidden/>
          </w:rPr>
        </w:r>
        <w:r>
          <w:rPr>
            <w:noProof/>
            <w:webHidden/>
          </w:rPr>
          <w:fldChar w:fldCharType="separate"/>
        </w:r>
        <w:r w:rsidR="003E4210">
          <w:rPr>
            <w:noProof/>
            <w:webHidden/>
          </w:rPr>
          <w:t>123</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38" w:history="1">
        <w:r w:rsidR="003E4210" w:rsidRPr="005B500B">
          <w:rPr>
            <w:rStyle w:val="Hyperlink"/>
            <w:rFonts w:eastAsia="Arial Unicode MS"/>
            <w:noProof/>
          </w:rPr>
          <w:t>8.4.2</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selection</w:t>
        </w:r>
        <w:r w:rsidR="003E4210">
          <w:rPr>
            <w:noProof/>
            <w:webHidden/>
          </w:rPr>
          <w:tab/>
        </w:r>
        <w:r>
          <w:rPr>
            <w:noProof/>
            <w:webHidden/>
          </w:rPr>
          <w:fldChar w:fldCharType="begin"/>
        </w:r>
        <w:r w:rsidR="003E4210">
          <w:rPr>
            <w:noProof/>
            <w:webHidden/>
          </w:rPr>
          <w:instrText xml:space="preserve"> PAGEREF _Toc259717038 \h </w:instrText>
        </w:r>
        <w:r>
          <w:rPr>
            <w:noProof/>
            <w:webHidden/>
          </w:rPr>
        </w:r>
        <w:r>
          <w:rPr>
            <w:noProof/>
            <w:webHidden/>
          </w:rPr>
          <w:fldChar w:fldCharType="separate"/>
        </w:r>
        <w:r w:rsidR="003E4210">
          <w:rPr>
            <w:noProof/>
            <w:webHidden/>
          </w:rPr>
          <w:t>123</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39" w:history="1">
        <w:r w:rsidR="003E4210" w:rsidRPr="005B500B">
          <w:rPr>
            <w:rStyle w:val="Hyperlink"/>
            <w:rFonts w:eastAsia="Arial Unicode MS"/>
            <w:noProof/>
          </w:rPr>
          <w:t>8.4.3</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policy selection in an ESS/PBSS</w:t>
        </w:r>
        <w:r w:rsidR="003E4210">
          <w:rPr>
            <w:noProof/>
            <w:webHidden/>
          </w:rPr>
          <w:tab/>
        </w:r>
        <w:r>
          <w:rPr>
            <w:noProof/>
            <w:webHidden/>
          </w:rPr>
          <w:fldChar w:fldCharType="begin"/>
        </w:r>
        <w:r w:rsidR="003E4210">
          <w:rPr>
            <w:noProof/>
            <w:webHidden/>
          </w:rPr>
          <w:instrText xml:space="preserve"> PAGEREF _Toc259717039 \h </w:instrText>
        </w:r>
        <w:r>
          <w:rPr>
            <w:noProof/>
            <w:webHidden/>
          </w:rPr>
        </w:r>
        <w:r>
          <w:rPr>
            <w:noProof/>
            <w:webHidden/>
          </w:rPr>
          <w:fldChar w:fldCharType="separate"/>
        </w:r>
        <w:r w:rsidR="003E4210">
          <w:rPr>
            <w:noProof/>
            <w:webHidden/>
          </w:rPr>
          <w:t>124</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0" w:history="1">
        <w:r w:rsidR="003E4210" w:rsidRPr="005B500B">
          <w:rPr>
            <w:rStyle w:val="Hyperlink"/>
            <w:rFonts w:eastAsia="Arial Unicode MS"/>
            <w:noProof/>
          </w:rPr>
          <w:t>8.4.4</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policy selection in an IBSS/PBSS</w:t>
        </w:r>
        <w:r w:rsidR="003E4210">
          <w:rPr>
            <w:noProof/>
            <w:webHidden/>
          </w:rPr>
          <w:tab/>
        </w:r>
        <w:r>
          <w:rPr>
            <w:noProof/>
            <w:webHidden/>
          </w:rPr>
          <w:fldChar w:fldCharType="begin"/>
        </w:r>
        <w:r w:rsidR="003E4210">
          <w:rPr>
            <w:noProof/>
            <w:webHidden/>
          </w:rPr>
          <w:instrText xml:space="preserve"> PAGEREF _Toc259717040 \h </w:instrText>
        </w:r>
        <w:r>
          <w:rPr>
            <w:noProof/>
            <w:webHidden/>
          </w:rPr>
        </w:r>
        <w:r>
          <w:rPr>
            <w:noProof/>
            <w:webHidden/>
          </w:rPr>
          <w:fldChar w:fldCharType="separate"/>
        </w:r>
        <w:r w:rsidR="003E4210">
          <w:rPr>
            <w:noProof/>
            <w:webHidden/>
          </w:rPr>
          <w:t>125</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1" w:history="1">
        <w:r w:rsidR="003E4210" w:rsidRPr="005B500B">
          <w:rPr>
            <w:rStyle w:val="Hyperlink"/>
            <w:rFonts w:eastAsia="Arial Unicode MS"/>
            <w:noProof/>
          </w:rPr>
          <w:t>8.4.5</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management of the IEEE 802.1X Controlled Port</w:t>
        </w:r>
        <w:r w:rsidR="003E4210">
          <w:rPr>
            <w:noProof/>
            <w:webHidden/>
          </w:rPr>
          <w:tab/>
        </w:r>
        <w:r>
          <w:rPr>
            <w:noProof/>
            <w:webHidden/>
          </w:rPr>
          <w:fldChar w:fldCharType="begin"/>
        </w:r>
        <w:r w:rsidR="003E4210">
          <w:rPr>
            <w:noProof/>
            <w:webHidden/>
          </w:rPr>
          <w:instrText xml:space="preserve"> PAGEREF _Toc259717041 \h </w:instrText>
        </w:r>
        <w:r>
          <w:rPr>
            <w:noProof/>
            <w:webHidden/>
          </w:rPr>
        </w:r>
        <w:r>
          <w:rPr>
            <w:noProof/>
            <w:webHidden/>
          </w:rPr>
          <w:fldChar w:fldCharType="separate"/>
        </w:r>
        <w:r w:rsidR="003E4210">
          <w:rPr>
            <w:noProof/>
            <w:webHidden/>
          </w:rPr>
          <w:t>126</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2" w:history="1">
        <w:r w:rsidR="003E4210" w:rsidRPr="005B500B">
          <w:rPr>
            <w:rStyle w:val="Hyperlink"/>
            <w:rFonts w:eastAsia="Arial Unicode MS"/>
            <w:noProof/>
          </w:rPr>
          <w:t>8.4.6</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authentication in an ESS/PBSS</w:t>
        </w:r>
        <w:r w:rsidR="003E4210">
          <w:rPr>
            <w:noProof/>
            <w:webHidden/>
          </w:rPr>
          <w:tab/>
        </w:r>
        <w:r>
          <w:rPr>
            <w:noProof/>
            <w:webHidden/>
          </w:rPr>
          <w:fldChar w:fldCharType="begin"/>
        </w:r>
        <w:r w:rsidR="003E4210">
          <w:rPr>
            <w:noProof/>
            <w:webHidden/>
          </w:rPr>
          <w:instrText xml:space="preserve"> PAGEREF _Toc259717042 \h </w:instrText>
        </w:r>
        <w:r>
          <w:rPr>
            <w:noProof/>
            <w:webHidden/>
          </w:rPr>
        </w:r>
        <w:r>
          <w:rPr>
            <w:noProof/>
            <w:webHidden/>
          </w:rPr>
          <w:fldChar w:fldCharType="separate"/>
        </w:r>
        <w:r w:rsidR="003E4210">
          <w:rPr>
            <w:noProof/>
            <w:webHidden/>
          </w:rPr>
          <w:t>126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43" w:history="1">
        <w:r w:rsidR="003E4210" w:rsidRPr="005B500B">
          <w:rPr>
            <w:rStyle w:val="Hyperlink"/>
            <w:noProof/>
          </w:rPr>
          <w:t>8.4.6.0a General</w:t>
        </w:r>
        <w:r w:rsidR="003E4210">
          <w:rPr>
            <w:noProof/>
            <w:webHidden/>
          </w:rPr>
          <w:tab/>
        </w:r>
        <w:r>
          <w:rPr>
            <w:noProof/>
            <w:webHidden/>
          </w:rPr>
          <w:fldChar w:fldCharType="begin"/>
        </w:r>
        <w:r w:rsidR="003E4210">
          <w:rPr>
            <w:noProof/>
            <w:webHidden/>
          </w:rPr>
          <w:instrText xml:space="preserve"> PAGEREF _Toc259717043 \h </w:instrText>
        </w:r>
        <w:r>
          <w:rPr>
            <w:noProof/>
            <w:webHidden/>
          </w:rPr>
        </w:r>
        <w:r>
          <w:rPr>
            <w:noProof/>
            <w:webHidden/>
          </w:rPr>
          <w:fldChar w:fldCharType="separate"/>
        </w:r>
        <w:r w:rsidR="003E4210">
          <w:rPr>
            <w:noProof/>
            <w:webHidden/>
          </w:rPr>
          <w:t>126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44" w:history="1">
        <w:r w:rsidR="003E4210" w:rsidRPr="005B500B">
          <w:rPr>
            <w:rStyle w:val="Hyperlink"/>
            <w:noProof/>
          </w:rPr>
          <w:t>8.4.6.2 Cached PMKSAs and RSNA key management</w:t>
        </w:r>
        <w:r w:rsidR="003E4210">
          <w:rPr>
            <w:noProof/>
            <w:webHidden/>
          </w:rPr>
          <w:tab/>
        </w:r>
        <w:r>
          <w:rPr>
            <w:noProof/>
            <w:webHidden/>
          </w:rPr>
          <w:fldChar w:fldCharType="begin"/>
        </w:r>
        <w:r w:rsidR="003E4210">
          <w:rPr>
            <w:noProof/>
            <w:webHidden/>
          </w:rPr>
          <w:instrText xml:space="preserve"> PAGEREF _Toc259717044 \h </w:instrText>
        </w:r>
        <w:r>
          <w:rPr>
            <w:noProof/>
            <w:webHidden/>
          </w:rPr>
        </w:r>
        <w:r>
          <w:rPr>
            <w:noProof/>
            <w:webHidden/>
          </w:rPr>
          <w:fldChar w:fldCharType="separate"/>
        </w:r>
        <w:r w:rsidR="003E4210">
          <w:rPr>
            <w:noProof/>
            <w:webHidden/>
          </w:rPr>
          <w:t>127</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5" w:history="1">
        <w:r w:rsidR="003E4210" w:rsidRPr="005B500B">
          <w:rPr>
            <w:rStyle w:val="Hyperlink"/>
            <w:rFonts w:eastAsia="Arial Unicode MS"/>
            <w:noProof/>
          </w:rPr>
          <w:t>8.4.7</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authentication in an IBSS/PBSS</w:t>
        </w:r>
        <w:r w:rsidR="003E4210">
          <w:rPr>
            <w:noProof/>
            <w:webHidden/>
          </w:rPr>
          <w:tab/>
        </w:r>
        <w:r>
          <w:rPr>
            <w:noProof/>
            <w:webHidden/>
          </w:rPr>
          <w:fldChar w:fldCharType="begin"/>
        </w:r>
        <w:r w:rsidR="003E4210">
          <w:rPr>
            <w:noProof/>
            <w:webHidden/>
          </w:rPr>
          <w:instrText xml:space="preserve"> PAGEREF _Toc259717045 \h </w:instrText>
        </w:r>
        <w:r>
          <w:rPr>
            <w:noProof/>
            <w:webHidden/>
          </w:rPr>
        </w:r>
        <w:r>
          <w:rPr>
            <w:noProof/>
            <w:webHidden/>
          </w:rPr>
          <w:fldChar w:fldCharType="separate"/>
        </w:r>
        <w:r w:rsidR="003E4210">
          <w:rPr>
            <w:noProof/>
            <w:webHidden/>
          </w:rPr>
          <w:t>127</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6" w:history="1">
        <w:r w:rsidR="003E4210" w:rsidRPr="005B500B">
          <w:rPr>
            <w:rStyle w:val="Hyperlink"/>
            <w:rFonts w:eastAsia="Arial Unicode MS"/>
            <w:noProof/>
          </w:rPr>
          <w:t>8.4.8</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key management in an ESS/PBSS</w:t>
        </w:r>
        <w:r w:rsidR="003E4210">
          <w:rPr>
            <w:noProof/>
            <w:webHidden/>
          </w:rPr>
          <w:tab/>
        </w:r>
        <w:r>
          <w:rPr>
            <w:noProof/>
            <w:webHidden/>
          </w:rPr>
          <w:fldChar w:fldCharType="begin"/>
        </w:r>
        <w:r w:rsidR="003E4210">
          <w:rPr>
            <w:noProof/>
            <w:webHidden/>
          </w:rPr>
          <w:instrText xml:space="preserve"> PAGEREF _Toc259717046 \h </w:instrText>
        </w:r>
        <w:r>
          <w:rPr>
            <w:noProof/>
            <w:webHidden/>
          </w:rPr>
        </w:r>
        <w:r>
          <w:rPr>
            <w:noProof/>
            <w:webHidden/>
          </w:rPr>
          <w:fldChar w:fldCharType="separate"/>
        </w:r>
        <w:r w:rsidR="003E4210">
          <w:rPr>
            <w:noProof/>
            <w:webHidden/>
          </w:rPr>
          <w:t>129</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7" w:history="1">
        <w:r w:rsidR="003E4210" w:rsidRPr="005B500B">
          <w:rPr>
            <w:rStyle w:val="Hyperlink"/>
            <w:rFonts w:eastAsia="Arial Unicode MS"/>
            <w:noProof/>
          </w:rPr>
          <w:t>8.4.9</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key management in an IBSS/PBSS</w:t>
        </w:r>
        <w:r w:rsidR="003E4210">
          <w:rPr>
            <w:noProof/>
            <w:webHidden/>
          </w:rPr>
          <w:tab/>
        </w:r>
        <w:r>
          <w:rPr>
            <w:noProof/>
            <w:webHidden/>
          </w:rPr>
          <w:fldChar w:fldCharType="begin"/>
        </w:r>
        <w:r w:rsidR="003E4210">
          <w:rPr>
            <w:noProof/>
            <w:webHidden/>
          </w:rPr>
          <w:instrText xml:space="preserve"> PAGEREF _Toc259717047 \h </w:instrText>
        </w:r>
        <w:r>
          <w:rPr>
            <w:noProof/>
            <w:webHidden/>
          </w:rPr>
        </w:r>
        <w:r>
          <w:rPr>
            <w:noProof/>
            <w:webHidden/>
          </w:rPr>
          <w:fldChar w:fldCharType="separate"/>
        </w:r>
        <w:r w:rsidR="003E4210">
          <w:rPr>
            <w:noProof/>
            <w:webHidden/>
          </w:rPr>
          <w:t>129</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048" w:history="1">
        <w:r w:rsidR="003E4210" w:rsidRPr="005B500B">
          <w:rPr>
            <w:rStyle w:val="Hyperlink"/>
            <w:rFonts w:eastAsia="SimSun"/>
            <w:noProof/>
          </w:rPr>
          <w:t>8.4.10</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SimSun"/>
            <w:noProof/>
          </w:rPr>
          <w:t>RSNA security association termination</w:t>
        </w:r>
        <w:r w:rsidR="003E4210">
          <w:rPr>
            <w:noProof/>
            <w:webHidden/>
          </w:rPr>
          <w:tab/>
        </w:r>
        <w:r>
          <w:rPr>
            <w:noProof/>
            <w:webHidden/>
          </w:rPr>
          <w:fldChar w:fldCharType="begin"/>
        </w:r>
        <w:r w:rsidR="003E4210">
          <w:rPr>
            <w:noProof/>
            <w:webHidden/>
          </w:rPr>
          <w:instrText xml:space="preserve"> PAGEREF _Toc259717048 \h </w:instrText>
        </w:r>
        <w:r>
          <w:rPr>
            <w:noProof/>
            <w:webHidden/>
          </w:rPr>
        </w:r>
        <w:r>
          <w:rPr>
            <w:noProof/>
            <w:webHidden/>
          </w:rPr>
          <w:fldChar w:fldCharType="separate"/>
        </w:r>
        <w:r w:rsidR="003E4210">
          <w:rPr>
            <w:noProof/>
            <w:webHidden/>
          </w:rPr>
          <w:t>130</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049" w:history="1">
        <w:r w:rsidR="003E4210" w:rsidRPr="005B500B">
          <w:rPr>
            <w:rStyle w:val="Hyperlink"/>
            <w:rFonts w:eastAsia="SimSun"/>
            <w:noProof/>
          </w:rPr>
          <w:t>8.4.11</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SimSun"/>
            <w:noProof/>
          </w:rPr>
          <w:t>RSNA rekeying</w:t>
        </w:r>
        <w:r w:rsidR="003E4210">
          <w:rPr>
            <w:noProof/>
            <w:webHidden/>
          </w:rPr>
          <w:tab/>
        </w:r>
        <w:r>
          <w:rPr>
            <w:noProof/>
            <w:webHidden/>
          </w:rPr>
          <w:fldChar w:fldCharType="begin"/>
        </w:r>
        <w:r w:rsidR="003E4210">
          <w:rPr>
            <w:noProof/>
            <w:webHidden/>
          </w:rPr>
          <w:instrText xml:space="preserve"> PAGEREF _Toc259717049 \h </w:instrText>
        </w:r>
        <w:r>
          <w:rPr>
            <w:noProof/>
            <w:webHidden/>
          </w:rPr>
        </w:r>
        <w:r>
          <w:rPr>
            <w:noProof/>
            <w:webHidden/>
          </w:rPr>
          <w:fldChar w:fldCharType="separate"/>
        </w:r>
        <w:r w:rsidR="003E4210">
          <w:rPr>
            <w:noProof/>
            <w:webHidden/>
          </w:rPr>
          <w:t>131</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050" w:history="1">
        <w:r w:rsidR="003E4210" w:rsidRPr="005B500B">
          <w:rPr>
            <w:rStyle w:val="Hyperlink"/>
            <w:rFonts w:eastAsia="Arial Unicode MS"/>
            <w:noProof/>
          </w:rPr>
          <w:t>8.4.12</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SimSun"/>
            <w:noProof/>
          </w:rPr>
          <w:t>Multi-band RSNA</w:t>
        </w:r>
        <w:r w:rsidR="003E4210">
          <w:rPr>
            <w:noProof/>
            <w:webHidden/>
          </w:rPr>
          <w:tab/>
        </w:r>
        <w:r>
          <w:rPr>
            <w:noProof/>
            <w:webHidden/>
          </w:rPr>
          <w:fldChar w:fldCharType="begin"/>
        </w:r>
        <w:r w:rsidR="003E4210">
          <w:rPr>
            <w:noProof/>
            <w:webHidden/>
          </w:rPr>
          <w:instrText xml:space="preserve"> PAGEREF _Toc259717050 \h </w:instrText>
        </w:r>
        <w:r>
          <w:rPr>
            <w:noProof/>
            <w:webHidden/>
          </w:rPr>
        </w:r>
        <w:r>
          <w:rPr>
            <w:noProof/>
            <w:webHidden/>
          </w:rPr>
          <w:fldChar w:fldCharType="separate"/>
        </w:r>
        <w:r w:rsidR="003E4210">
          <w:rPr>
            <w:noProof/>
            <w:webHidden/>
          </w:rPr>
          <w:t>131</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051" w:history="1">
        <w:r w:rsidR="003E4210" w:rsidRPr="005B500B">
          <w:rPr>
            <w:rStyle w:val="Hyperlink"/>
            <w:noProof/>
          </w:rPr>
          <w:t>8.4.12.1</w:t>
        </w:r>
        <w:r w:rsidR="003E4210">
          <w:rPr>
            <w:rFonts w:asciiTheme="minorHAnsi" w:eastAsiaTheme="minorEastAsia" w:hAnsiTheme="minorHAnsi" w:cstheme="minorBidi"/>
            <w:noProof/>
            <w:sz w:val="22"/>
            <w:szCs w:val="22"/>
            <w:lang w:bidi="ar-SA"/>
          </w:rPr>
          <w:tab/>
        </w:r>
        <w:r w:rsidR="003E4210" w:rsidRPr="005B500B">
          <w:rPr>
            <w:rStyle w:val="Hyperlink"/>
            <w:noProof/>
          </w:rPr>
          <w:t>Non-transparent multi-band RSNA</w:t>
        </w:r>
        <w:r w:rsidR="003E4210">
          <w:rPr>
            <w:noProof/>
            <w:webHidden/>
          </w:rPr>
          <w:tab/>
        </w:r>
        <w:r>
          <w:rPr>
            <w:noProof/>
            <w:webHidden/>
          </w:rPr>
          <w:fldChar w:fldCharType="begin"/>
        </w:r>
        <w:r w:rsidR="003E4210">
          <w:rPr>
            <w:noProof/>
            <w:webHidden/>
          </w:rPr>
          <w:instrText xml:space="preserve"> PAGEREF _Toc259717051 \h </w:instrText>
        </w:r>
        <w:r>
          <w:rPr>
            <w:noProof/>
            <w:webHidden/>
          </w:rPr>
        </w:r>
        <w:r>
          <w:rPr>
            <w:noProof/>
            <w:webHidden/>
          </w:rPr>
          <w:fldChar w:fldCharType="separate"/>
        </w:r>
        <w:r w:rsidR="003E4210">
          <w:rPr>
            <w:noProof/>
            <w:webHidden/>
          </w:rPr>
          <w:t>132</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052" w:history="1">
        <w:r w:rsidR="003E4210" w:rsidRPr="005B500B">
          <w:rPr>
            <w:rStyle w:val="Hyperlink"/>
            <w:noProof/>
          </w:rPr>
          <w:t>8.4.12.2</w:t>
        </w:r>
        <w:r w:rsidR="003E4210">
          <w:rPr>
            <w:rFonts w:asciiTheme="minorHAnsi" w:eastAsiaTheme="minorEastAsia" w:hAnsiTheme="minorHAnsi" w:cstheme="minorBidi"/>
            <w:noProof/>
            <w:sz w:val="22"/>
            <w:szCs w:val="22"/>
            <w:lang w:bidi="ar-SA"/>
          </w:rPr>
          <w:tab/>
        </w:r>
        <w:r w:rsidR="003E4210" w:rsidRPr="005B500B">
          <w:rPr>
            <w:rStyle w:val="Hyperlink"/>
            <w:noProof/>
          </w:rPr>
          <w:t>Transparent multi-band RSNA</w:t>
        </w:r>
        <w:r w:rsidR="003E4210">
          <w:rPr>
            <w:noProof/>
            <w:webHidden/>
          </w:rPr>
          <w:tab/>
        </w:r>
        <w:r>
          <w:rPr>
            <w:noProof/>
            <w:webHidden/>
          </w:rPr>
          <w:fldChar w:fldCharType="begin"/>
        </w:r>
        <w:r w:rsidR="003E4210">
          <w:rPr>
            <w:noProof/>
            <w:webHidden/>
          </w:rPr>
          <w:instrText xml:space="preserve"> PAGEREF _Toc259717052 \h </w:instrText>
        </w:r>
        <w:r>
          <w:rPr>
            <w:noProof/>
            <w:webHidden/>
          </w:rPr>
        </w:r>
        <w:r>
          <w:rPr>
            <w:noProof/>
            <w:webHidden/>
          </w:rPr>
          <w:fldChar w:fldCharType="separate"/>
        </w:r>
        <w:r w:rsidR="003E4210">
          <w:rPr>
            <w:noProof/>
            <w:webHidden/>
          </w:rPr>
          <w:t>133</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53" w:history="1">
        <w:r w:rsidR="003E4210" w:rsidRPr="005B500B">
          <w:rPr>
            <w:rStyle w:val="Hyperlink"/>
            <w:noProof/>
          </w:rPr>
          <w:t>8.5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Keys and key distribution</w:t>
        </w:r>
        <w:r w:rsidR="003E4210">
          <w:rPr>
            <w:noProof/>
            <w:webHidden/>
          </w:rPr>
          <w:tab/>
        </w:r>
        <w:r>
          <w:rPr>
            <w:noProof/>
            <w:webHidden/>
          </w:rPr>
          <w:fldChar w:fldCharType="begin"/>
        </w:r>
        <w:r w:rsidR="003E4210">
          <w:rPr>
            <w:noProof/>
            <w:webHidden/>
          </w:rPr>
          <w:instrText xml:space="preserve"> PAGEREF _Toc259717053 \h </w:instrText>
        </w:r>
        <w:r>
          <w:rPr>
            <w:noProof/>
            <w:webHidden/>
          </w:rPr>
        </w:r>
        <w:r>
          <w:rPr>
            <w:noProof/>
            <w:webHidden/>
          </w:rPr>
          <w:fldChar w:fldCharType="separate"/>
        </w:r>
        <w:r w:rsidR="003E4210">
          <w:rPr>
            <w:noProof/>
            <w:webHidden/>
          </w:rPr>
          <w:t>133</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54" w:history="1">
        <w:r w:rsidR="003E4210" w:rsidRPr="005B500B">
          <w:rPr>
            <w:rStyle w:val="Hyperlink"/>
            <w:noProof/>
          </w:rPr>
          <w:t>8.5.2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EAPOL-Key frames</w:t>
        </w:r>
        <w:r w:rsidR="003E4210">
          <w:rPr>
            <w:noProof/>
            <w:webHidden/>
          </w:rPr>
          <w:tab/>
        </w:r>
        <w:r>
          <w:rPr>
            <w:noProof/>
            <w:webHidden/>
          </w:rPr>
          <w:fldChar w:fldCharType="begin"/>
        </w:r>
        <w:r w:rsidR="003E4210">
          <w:rPr>
            <w:noProof/>
            <w:webHidden/>
          </w:rPr>
          <w:instrText xml:space="preserve"> PAGEREF _Toc259717054 \h </w:instrText>
        </w:r>
        <w:r>
          <w:rPr>
            <w:noProof/>
            <w:webHidden/>
          </w:rPr>
        </w:r>
        <w:r>
          <w:rPr>
            <w:noProof/>
            <w:webHidden/>
          </w:rPr>
          <w:fldChar w:fldCharType="separate"/>
        </w:r>
        <w:r w:rsidR="003E4210">
          <w:rPr>
            <w:noProof/>
            <w:webHidden/>
          </w:rPr>
          <w:t>133</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55" w:history="1">
        <w:r w:rsidR="003E4210" w:rsidRPr="005B500B">
          <w:rPr>
            <w:rStyle w:val="Hyperlink"/>
            <w:noProof/>
          </w:rPr>
          <w:t>8.5.3</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4-Way Handshake</w:t>
        </w:r>
        <w:r w:rsidR="003E4210">
          <w:rPr>
            <w:noProof/>
            <w:webHidden/>
          </w:rPr>
          <w:tab/>
        </w:r>
        <w:r>
          <w:rPr>
            <w:noProof/>
            <w:webHidden/>
          </w:rPr>
          <w:fldChar w:fldCharType="begin"/>
        </w:r>
        <w:r w:rsidR="003E4210">
          <w:rPr>
            <w:noProof/>
            <w:webHidden/>
          </w:rPr>
          <w:instrText xml:space="preserve"> PAGEREF _Toc259717055 \h </w:instrText>
        </w:r>
        <w:r>
          <w:rPr>
            <w:noProof/>
            <w:webHidden/>
          </w:rPr>
        </w:r>
        <w:r>
          <w:rPr>
            <w:noProof/>
            <w:webHidden/>
          </w:rPr>
          <w:fldChar w:fldCharType="separate"/>
        </w:r>
        <w:r w:rsidR="003E4210">
          <w:rPr>
            <w:noProof/>
            <w:webHidden/>
          </w:rPr>
          <w:t>134</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56" w:history="1">
        <w:r w:rsidR="003E4210" w:rsidRPr="005B500B">
          <w:rPr>
            <w:rStyle w:val="Hyperlink"/>
            <w:noProof/>
          </w:rPr>
          <w:t>8.5.3.2</w:t>
        </w:r>
        <w:r w:rsidR="003E4210">
          <w:rPr>
            <w:rFonts w:asciiTheme="minorHAnsi" w:eastAsiaTheme="minorEastAsia" w:hAnsiTheme="minorHAnsi" w:cstheme="minorBidi"/>
            <w:noProof/>
            <w:sz w:val="22"/>
            <w:szCs w:val="22"/>
            <w:lang w:bidi="ar-SA"/>
          </w:rPr>
          <w:tab/>
        </w:r>
        <w:r w:rsidR="003E4210" w:rsidRPr="005B500B">
          <w:rPr>
            <w:rStyle w:val="Hyperlink"/>
            <w:noProof/>
          </w:rPr>
          <w:t>4-Way Handshake Message 2</w:t>
        </w:r>
        <w:r w:rsidR="003E4210">
          <w:rPr>
            <w:noProof/>
            <w:webHidden/>
          </w:rPr>
          <w:tab/>
        </w:r>
        <w:r>
          <w:rPr>
            <w:noProof/>
            <w:webHidden/>
          </w:rPr>
          <w:fldChar w:fldCharType="begin"/>
        </w:r>
        <w:r w:rsidR="003E4210">
          <w:rPr>
            <w:noProof/>
            <w:webHidden/>
          </w:rPr>
          <w:instrText xml:space="preserve"> PAGEREF _Toc259717056 \h </w:instrText>
        </w:r>
        <w:r>
          <w:rPr>
            <w:noProof/>
            <w:webHidden/>
          </w:rPr>
        </w:r>
        <w:r>
          <w:rPr>
            <w:noProof/>
            <w:webHidden/>
          </w:rPr>
          <w:fldChar w:fldCharType="separate"/>
        </w:r>
        <w:r w:rsidR="003E4210">
          <w:rPr>
            <w:noProof/>
            <w:webHidden/>
          </w:rPr>
          <w:t>134</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57" w:history="1">
        <w:r w:rsidR="003E4210" w:rsidRPr="005B500B">
          <w:rPr>
            <w:rStyle w:val="Hyperlink"/>
            <w:noProof/>
          </w:rPr>
          <w:t>8.5.3.3</w:t>
        </w:r>
        <w:r w:rsidR="003E4210">
          <w:rPr>
            <w:rFonts w:asciiTheme="minorHAnsi" w:eastAsiaTheme="minorEastAsia" w:hAnsiTheme="minorHAnsi" w:cstheme="minorBidi"/>
            <w:noProof/>
            <w:sz w:val="22"/>
            <w:szCs w:val="22"/>
            <w:lang w:bidi="ar-SA"/>
          </w:rPr>
          <w:tab/>
        </w:r>
        <w:r w:rsidR="003E4210" w:rsidRPr="005B500B">
          <w:rPr>
            <w:rStyle w:val="Hyperlink"/>
            <w:noProof/>
          </w:rPr>
          <w:t>4-Way Handshake Message 3</w:t>
        </w:r>
        <w:r w:rsidR="003E4210">
          <w:rPr>
            <w:noProof/>
            <w:webHidden/>
          </w:rPr>
          <w:tab/>
        </w:r>
        <w:r>
          <w:rPr>
            <w:noProof/>
            <w:webHidden/>
          </w:rPr>
          <w:fldChar w:fldCharType="begin"/>
        </w:r>
        <w:r w:rsidR="003E4210">
          <w:rPr>
            <w:noProof/>
            <w:webHidden/>
          </w:rPr>
          <w:instrText xml:space="preserve"> PAGEREF _Toc259717057 \h </w:instrText>
        </w:r>
        <w:r>
          <w:rPr>
            <w:noProof/>
            <w:webHidden/>
          </w:rPr>
        </w:r>
        <w:r>
          <w:rPr>
            <w:noProof/>
            <w:webHidden/>
          </w:rPr>
          <w:fldChar w:fldCharType="separate"/>
        </w:r>
        <w:r w:rsidR="003E4210">
          <w:rPr>
            <w:noProof/>
            <w:webHidden/>
          </w:rPr>
          <w:t>134</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58" w:history="1">
        <w:r w:rsidR="003E4210" w:rsidRPr="005B500B">
          <w:rPr>
            <w:rStyle w:val="Hyperlink"/>
            <w:noProof/>
          </w:rPr>
          <w:t>8.5.3.4</w:t>
        </w:r>
        <w:r w:rsidR="003E4210">
          <w:rPr>
            <w:rFonts w:asciiTheme="minorHAnsi" w:eastAsiaTheme="minorEastAsia" w:hAnsiTheme="minorHAnsi" w:cstheme="minorBidi"/>
            <w:noProof/>
            <w:sz w:val="22"/>
            <w:szCs w:val="22"/>
            <w:lang w:bidi="ar-SA"/>
          </w:rPr>
          <w:tab/>
        </w:r>
        <w:r w:rsidR="003E4210" w:rsidRPr="005B500B">
          <w:rPr>
            <w:rStyle w:val="Hyperlink"/>
            <w:noProof/>
          </w:rPr>
          <w:t>4-Way Handshake Message 4</w:t>
        </w:r>
        <w:r w:rsidR="003E4210">
          <w:rPr>
            <w:noProof/>
            <w:webHidden/>
          </w:rPr>
          <w:tab/>
        </w:r>
        <w:r>
          <w:rPr>
            <w:noProof/>
            <w:webHidden/>
          </w:rPr>
          <w:fldChar w:fldCharType="begin"/>
        </w:r>
        <w:r w:rsidR="003E4210">
          <w:rPr>
            <w:noProof/>
            <w:webHidden/>
          </w:rPr>
          <w:instrText xml:space="preserve"> PAGEREF _Toc259717058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059" w:history="1">
        <w:r w:rsidR="003E4210" w:rsidRPr="005B500B">
          <w:rPr>
            <w:rStyle w:val="Hyperlink"/>
            <w:rFonts w:eastAsia="MS Mincho"/>
            <w:noProof/>
          </w:rPr>
          <w:t>8.7 Per-frame pseudo code</w:t>
        </w:r>
        <w:r w:rsidR="003E4210">
          <w:rPr>
            <w:noProof/>
            <w:webHidden/>
          </w:rPr>
          <w:tab/>
        </w:r>
        <w:r>
          <w:rPr>
            <w:noProof/>
            <w:webHidden/>
          </w:rPr>
          <w:fldChar w:fldCharType="begin"/>
        </w:r>
        <w:r w:rsidR="003E4210">
          <w:rPr>
            <w:noProof/>
            <w:webHidden/>
          </w:rPr>
          <w:instrText xml:space="preserve"> PAGEREF _Toc259717059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BD151C">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60" w:history="1">
        <w:r w:rsidR="003E4210" w:rsidRPr="005B500B">
          <w:rPr>
            <w:rStyle w:val="Hyperlink"/>
            <w:noProof/>
          </w:rPr>
          <w:t>8.7.2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RSNA frame pseudo-code</w:t>
        </w:r>
        <w:r w:rsidR="003E4210">
          <w:rPr>
            <w:noProof/>
            <w:webHidden/>
          </w:rPr>
          <w:tab/>
        </w:r>
        <w:r>
          <w:rPr>
            <w:noProof/>
            <w:webHidden/>
          </w:rPr>
          <w:fldChar w:fldCharType="begin"/>
        </w:r>
        <w:r w:rsidR="003E4210">
          <w:rPr>
            <w:noProof/>
            <w:webHidden/>
          </w:rPr>
          <w:instrText xml:space="preserve"> PAGEREF _Toc259717060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BD151C">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61" w:history="1">
        <w:r w:rsidR="003E4210" w:rsidRPr="005B500B">
          <w:rPr>
            <w:rStyle w:val="Hyperlink"/>
            <w:noProof/>
          </w:rPr>
          <w:t>8.7.2.3</w:t>
        </w:r>
        <w:r w:rsidR="003E4210">
          <w:rPr>
            <w:rFonts w:asciiTheme="minorHAnsi" w:eastAsiaTheme="minorEastAsia" w:hAnsiTheme="minorHAnsi" w:cstheme="minorBidi"/>
            <w:noProof/>
            <w:sz w:val="22"/>
            <w:szCs w:val="22"/>
            <w:lang w:bidi="ar-SA"/>
          </w:rPr>
          <w:tab/>
        </w:r>
        <w:r w:rsidR="003E4210" w:rsidRPr="005B500B">
          <w:rPr>
            <w:rStyle w:val="Hyperlink"/>
            <w:noProof/>
          </w:rPr>
          <w:t>Per-MPDU Rx pseudo-code</w:t>
        </w:r>
        <w:r w:rsidR="003E4210">
          <w:rPr>
            <w:noProof/>
            <w:webHidden/>
          </w:rPr>
          <w:tab/>
        </w:r>
        <w:r>
          <w:rPr>
            <w:noProof/>
            <w:webHidden/>
          </w:rPr>
          <w:fldChar w:fldCharType="begin"/>
        </w:r>
        <w:r w:rsidR="003E4210">
          <w:rPr>
            <w:noProof/>
            <w:webHidden/>
          </w:rPr>
          <w:instrText xml:space="preserve"> PAGEREF _Toc259717061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BD151C">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062" w:history="1">
        <w:r w:rsidR="003E4210" w:rsidRPr="005B500B">
          <w:rPr>
            <w:rStyle w:val="Hyperlink"/>
            <w:noProof/>
          </w:rPr>
          <w:t>9</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MAC sublayer functional description</w:t>
        </w:r>
        <w:r w:rsidR="003E4210">
          <w:rPr>
            <w:noProof/>
            <w:webHidden/>
          </w:rPr>
          <w:tab/>
        </w:r>
        <w:r>
          <w:rPr>
            <w:noProof/>
            <w:webHidden/>
          </w:rPr>
          <w:fldChar w:fldCharType="begin"/>
        </w:r>
        <w:r w:rsidR="003E4210">
          <w:rPr>
            <w:noProof/>
            <w:webHidden/>
          </w:rPr>
          <w:instrText xml:space="preserve"> PAGEREF _Toc259717062 \h </w:instrText>
        </w:r>
        <w:r>
          <w:rPr>
            <w:noProof/>
            <w:webHidden/>
          </w:rPr>
        </w:r>
        <w:r>
          <w:rPr>
            <w:noProof/>
            <w:webHidden/>
          </w:rPr>
          <w:fldChar w:fldCharType="separate"/>
        </w:r>
        <w:r w:rsidR="003E4210">
          <w:rPr>
            <w:noProof/>
            <w:webHidden/>
          </w:rPr>
          <w:t>137</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63" w:history="1">
        <w:r w:rsidR="003E4210" w:rsidRPr="005B500B">
          <w:rPr>
            <w:rStyle w:val="Hyperlink"/>
            <w:noProof/>
          </w:rPr>
          <w:t>9.1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MAC Architecture</w:t>
        </w:r>
        <w:r w:rsidR="003E4210">
          <w:rPr>
            <w:noProof/>
            <w:webHidden/>
          </w:rPr>
          <w:tab/>
        </w:r>
        <w:r>
          <w:rPr>
            <w:noProof/>
            <w:webHidden/>
          </w:rPr>
          <w:fldChar w:fldCharType="begin"/>
        </w:r>
        <w:r w:rsidR="003E4210">
          <w:rPr>
            <w:noProof/>
            <w:webHidden/>
          </w:rPr>
          <w:instrText xml:space="preserve"> PAGEREF _Toc259717063 \h </w:instrText>
        </w:r>
        <w:r>
          <w:rPr>
            <w:noProof/>
            <w:webHidden/>
          </w:rPr>
        </w:r>
        <w:r>
          <w:rPr>
            <w:noProof/>
            <w:webHidden/>
          </w:rPr>
          <w:fldChar w:fldCharType="separate"/>
        </w:r>
        <w:r w:rsidR="003E4210">
          <w:rPr>
            <w:noProof/>
            <w:webHidden/>
          </w:rPr>
          <w:t>137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64" w:history="1">
        <w:r w:rsidR="003E4210" w:rsidRPr="005B500B">
          <w:rPr>
            <w:rStyle w:val="Hyperlink"/>
            <w:noProof/>
          </w:rPr>
          <w:t>9.1.3 Hybrid coordination function (HCF)</w:t>
        </w:r>
        <w:r w:rsidR="003E4210">
          <w:rPr>
            <w:noProof/>
            <w:webHidden/>
          </w:rPr>
          <w:tab/>
        </w:r>
        <w:r>
          <w:rPr>
            <w:noProof/>
            <w:webHidden/>
          </w:rPr>
          <w:fldChar w:fldCharType="begin"/>
        </w:r>
        <w:r w:rsidR="003E4210">
          <w:rPr>
            <w:noProof/>
            <w:webHidden/>
          </w:rPr>
          <w:instrText xml:space="preserve"> PAGEREF _Toc259717064 \h </w:instrText>
        </w:r>
        <w:r>
          <w:rPr>
            <w:noProof/>
            <w:webHidden/>
          </w:rPr>
        </w:r>
        <w:r>
          <w:rPr>
            <w:noProof/>
            <w:webHidden/>
          </w:rPr>
          <w:fldChar w:fldCharType="separate"/>
        </w:r>
        <w:r w:rsidR="003E4210">
          <w:rPr>
            <w:noProof/>
            <w:webHidden/>
          </w:rPr>
          <w:t>137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65" w:history="1">
        <w:r w:rsidR="003E4210" w:rsidRPr="005B500B">
          <w:rPr>
            <w:rStyle w:val="Hyperlink"/>
            <w:noProof/>
          </w:rPr>
          <w:t>9.1.3.1 HCF contention-based channel access (EDCA)</w:t>
        </w:r>
        <w:r w:rsidR="003E4210">
          <w:rPr>
            <w:noProof/>
            <w:webHidden/>
          </w:rPr>
          <w:tab/>
        </w:r>
        <w:r>
          <w:rPr>
            <w:noProof/>
            <w:webHidden/>
          </w:rPr>
          <w:fldChar w:fldCharType="begin"/>
        </w:r>
        <w:r w:rsidR="003E4210">
          <w:rPr>
            <w:noProof/>
            <w:webHidden/>
          </w:rPr>
          <w:instrText xml:space="preserve"> PAGEREF _Toc259717065 \h </w:instrText>
        </w:r>
        <w:r>
          <w:rPr>
            <w:noProof/>
            <w:webHidden/>
          </w:rPr>
        </w:r>
        <w:r>
          <w:rPr>
            <w:noProof/>
            <w:webHidden/>
          </w:rPr>
          <w:fldChar w:fldCharType="separate"/>
        </w:r>
        <w:r w:rsidR="003E4210">
          <w:rPr>
            <w:noProof/>
            <w:webHidden/>
          </w:rPr>
          <w:t>138</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66" w:history="1">
        <w:r w:rsidR="003E4210" w:rsidRPr="005B500B">
          <w:rPr>
            <w:rStyle w:val="Hyperlink"/>
            <w:noProof/>
          </w:rPr>
          <w:t>9.1.5 Fragmentation/defragmentation overview</w:t>
        </w:r>
        <w:r w:rsidR="003E4210">
          <w:rPr>
            <w:noProof/>
            <w:webHidden/>
          </w:rPr>
          <w:tab/>
        </w:r>
        <w:r>
          <w:rPr>
            <w:noProof/>
            <w:webHidden/>
          </w:rPr>
          <w:fldChar w:fldCharType="begin"/>
        </w:r>
        <w:r w:rsidR="003E4210">
          <w:rPr>
            <w:noProof/>
            <w:webHidden/>
          </w:rPr>
          <w:instrText xml:space="preserve"> PAGEREF _Toc259717066 \h </w:instrText>
        </w:r>
        <w:r>
          <w:rPr>
            <w:noProof/>
            <w:webHidden/>
          </w:rPr>
        </w:r>
        <w:r>
          <w:rPr>
            <w:noProof/>
            <w:webHidden/>
          </w:rPr>
          <w:fldChar w:fldCharType="separate"/>
        </w:r>
        <w:r w:rsidR="003E4210">
          <w:rPr>
            <w:noProof/>
            <w:webHidden/>
          </w:rPr>
          <w:t>138</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67" w:history="1">
        <w:r w:rsidR="003E4210" w:rsidRPr="005B500B">
          <w:rPr>
            <w:rStyle w:val="Hyperlink"/>
            <w:noProof/>
          </w:rPr>
          <w:t>9.2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DCF</w:t>
        </w:r>
        <w:r w:rsidR="003E4210">
          <w:rPr>
            <w:noProof/>
            <w:webHidden/>
          </w:rPr>
          <w:tab/>
        </w:r>
        <w:r>
          <w:rPr>
            <w:noProof/>
            <w:webHidden/>
          </w:rPr>
          <w:fldChar w:fldCharType="begin"/>
        </w:r>
        <w:r w:rsidR="003E4210">
          <w:rPr>
            <w:noProof/>
            <w:webHidden/>
          </w:rPr>
          <w:instrText xml:space="preserve"> PAGEREF _Toc259717067 \h </w:instrText>
        </w:r>
        <w:r>
          <w:rPr>
            <w:noProof/>
            <w:webHidden/>
          </w:rPr>
        </w:r>
        <w:r>
          <w:rPr>
            <w:noProof/>
            <w:webHidden/>
          </w:rPr>
          <w:fldChar w:fldCharType="separate"/>
        </w:r>
        <w:r w:rsidR="003E4210">
          <w:rPr>
            <w:noProof/>
            <w:webHidden/>
          </w:rPr>
          <w:t>138</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68" w:history="1">
        <w:r w:rsidR="003E4210" w:rsidRPr="005B500B">
          <w:rPr>
            <w:rStyle w:val="Hyperlink"/>
            <w:noProof/>
          </w:rPr>
          <w:t>9.2.3 IFS</w:t>
        </w:r>
        <w:r w:rsidR="003E4210">
          <w:rPr>
            <w:noProof/>
            <w:webHidden/>
          </w:rPr>
          <w:tab/>
        </w:r>
        <w:r>
          <w:rPr>
            <w:noProof/>
            <w:webHidden/>
          </w:rPr>
          <w:fldChar w:fldCharType="begin"/>
        </w:r>
        <w:r w:rsidR="003E4210">
          <w:rPr>
            <w:noProof/>
            <w:webHidden/>
          </w:rPr>
          <w:instrText xml:space="preserve"> PAGEREF _Toc259717068 \h </w:instrText>
        </w:r>
        <w:r>
          <w:rPr>
            <w:noProof/>
            <w:webHidden/>
          </w:rPr>
        </w:r>
        <w:r>
          <w:rPr>
            <w:noProof/>
            <w:webHidden/>
          </w:rPr>
          <w:fldChar w:fldCharType="separate"/>
        </w:r>
        <w:r w:rsidR="003E4210">
          <w:rPr>
            <w:noProof/>
            <w:webHidden/>
          </w:rPr>
          <w:t>139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69" w:history="1">
        <w:r w:rsidR="003E4210" w:rsidRPr="005B500B">
          <w:rPr>
            <w:rStyle w:val="Hyperlink"/>
            <w:noProof/>
          </w:rPr>
          <w:t>9.2.3.0b RIFS</w:t>
        </w:r>
        <w:r w:rsidR="003E4210">
          <w:rPr>
            <w:noProof/>
            <w:webHidden/>
          </w:rPr>
          <w:tab/>
        </w:r>
        <w:r>
          <w:rPr>
            <w:noProof/>
            <w:webHidden/>
          </w:rPr>
          <w:fldChar w:fldCharType="begin"/>
        </w:r>
        <w:r w:rsidR="003E4210">
          <w:rPr>
            <w:noProof/>
            <w:webHidden/>
          </w:rPr>
          <w:instrText xml:space="preserve"> PAGEREF _Toc259717069 \h </w:instrText>
        </w:r>
        <w:r>
          <w:rPr>
            <w:noProof/>
            <w:webHidden/>
          </w:rPr>
        </w:r>
        <w:r>
          <w:rPr>
            <w:noProof/>
            <w:webHidden/>
          </w:rPr>
          <w:fldChar w:fldCharType="separate"/>
        </w:r>
        <w:r w:rsidR="003E4210">
          <w:rPr>
            <w:noProof/>
            <w:webHidden/>
          </w:rPr>
          <w:t>139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70" w:history="1">
        <w:r w:rsidR="003E4210" w:rsidRPr="005B500B">
          <w:rPr>
            <w:rStyle w:val="Hyperlink"/>
            <w:noProof/>
          </w:rPr>
          <w:t>9.2.3.1 SIFS</w:t>
        </w:r>
        <w:r w:rsidR="003E4210">
          <w:rPr>
            <w:noProof/>
            <w:webHidden/>
          </w:rPr>
          <w:tab/>
        </w:r>
        <w:r>
          <w:rPr>
            <w:noProof/>
            <w:webHidden/>
          </w:rPr>
          <w:fldChar w:fldCharType="begin"/>
        </w:r>
        <w:r w:rsidR="003E4210">
          <w:rPr>
            <w:noProof/>
            <w:webHidden/>
          </w:rPr>
          <w:instrText xml:space="preserve"> PAGEREF _Toc259717070 \h </w:instrText>
        </w:r>
        <w:r>
          <w:rPr>
            <w:noProof/>
            <w:webHidden/>
          </w:rPr>
        </w:r>
        <w:r>
          <w:rPr>
            <w:noProof/>
            <w:webHidden/>
          </w:rPr>
          <w:fldChar w:fldCharType="separate"/>
        </w:r>
        <w:r w:rsidR="003E4210">
          <w:rPr>
            <w:noProof/>
            <w:webHidden/>
          </w:rPr>
          <w:t>140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71" w:history="1">
        <w:r w:rsidR="003E4210" w:rsidRPr="005B500B">
          <w:rPr>
            <w:rStyle w:val="Hyperlink"/>
            <w:noProof/>
          </w:rPr>
          <w:t>9.2.3.4 AIFS</w:t>
        </w:r>
        <w:r w:rsidR="003E4210">
          <w:rPr>
            <w:noProof/>
            <w:webHidden/>
          </w:rPr>
          <w:tab/>
        </w:r>
        <w:r>
          <w:rPr>
            <w:noProof/>
            <w:webHidden/>
          </w:rPr>
          <w:fldChar w:fldCharType="begin"/>
        </w:r>
        <w:r w:rsidR="003E4210">
          <w:rPr>
            <w:noProof/>
            <w:webHidden/>
          </w:rPr>
          <w:instrText xml:space="preserve"> PAGEREF _Toc259717071 \h </w:instrText>
        </w:r>
        <w:r>
          <w:rPr>
            <w:noProof/>
            <w:webHidden/>
          </w:rPr>
        </w:r>
        <w:r>
          <w:rPr>
            <w:noProof/>
            <w:webHidden/>
          </w:rPr>
          <w:fldChar w:fldCharType="separate"/>
        </w:r>
        <w:r w:rsidR="003E4210">
          <w:rPr>
            <w:noProof/>
            <w:webHidden/>
          </w:rPr>
          <w:t>140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72" w:history="1">
        <w:r w:rsidR="003E4210" w:rsidRPr="005B500B">
          <w:rPr>
            <w:rStyle w:val="Hyperlink"/>
            <w:noProof/>
          </w:rPr>
          <w:t>9.2.3.6 SBIFS</w:t>
        </w:r>
        <w:r w:rsidR="003E4210">
          <w:rPr>
            <w:noProof/>
            <w:webHidden/>
          </w:rPr>
          <w:tab/>
        </w:r>
        <w:r>
          <w:rPr>
            <w:noProof/>
            <w:webHidden/>
          </w:rPr>
          <w:fldChar w:fldCharType="begin"/>
        </w:r>
        <w:r w:rsidR="003E4210">
          <w:rPr>
            <w:noProof/>
            <w:webHidden/>
          </w:rPr>
          <w:instrText xml:space="preserve"> PAGEREF _Toc259717072 \h </w:instrText>
        </w:r>
        <w:r>
          <w:rPr>
            <w:noProof/>
            <w:webHidden/>
          </w:rPr>
        </w:r>
        <w:r>
          <w:rPr>
            <w:noProof/>
            <w:webHidden/>
          </w:rPr>
          <w:fldChar w:fldCharType="separate"/>
        </w:r>
        <w:r w:rsidR="003E4210">
          <w:rPr>
            <w:noProof/>
            <w:webHidden/>
          </w:rPr>
          <w:t>140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73" w:history="1">
        <w:r w:rsidR="003E4210" w:rsidRPr="005B500B">
          <w:rPr>
            <w:rStyle w:val="Hyperlink"/>
            <w:noProof/>
          </w:rPr>
          <w:t>9.2.3.7 BRPIFS</w:t>
        </w:r>
        <w:r w:rsidR="003E4210">
          <w:rPr>
            <w:noProof/>
            <w:webHidden/>
          </w:rPr>
          <w:tab/>
        </w:r>
        <w:r>
          <w:rPr>
            <w:noProof/>
            <w:webHidden/>
          </w:rPr>
          <w:fldChar w:fldCharType="begin"/>
        </w:r>
        <w:r w:rsidR="003E4210">
          <w:rPr>
            <w:noProof/>
            <w:webHidden/>
          </w:rPr>
          <w:instrText xml:space="preserve"> PAGEREF _Toc259717073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74" w:history="1">
        <w:r w:rsidR="003E4210" w:rsidRPr="005B500B">
          <w:rPr>
            <w:rStyle w:val="Hyperlink"/>
            <w:noProof/>
          </w:rPr>
          <w:t>9.2.4 Random backoff time</w:t>
        </w:r>
        <w:r w:rsidR="003E4210">
          <w:rPr>
            <w:noProof/>
            <w:webHidden/>
          </w:rPr>
          <w:tab/>
        </w:r>
        <w:r>
          <w:rPr>
            <w:noProof/>
            <w:webHidden/>
          </w:rPr>
          <w:fldChar w:fldCharType="begin"/>
        </w:r>
        <w:r w:rsidR="003E4210">
          <w:rPr>
            <w:noProof/>
            <w:webHidden/>
          </w:rPr>
          <w:instrText xml:space="preserve"> PAGEREF _Toc259717074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75" w:history="1">
        <w:r w:rsidR="003E4210" w:rsidRPr="005B500B">
          <w:rPr>
            <w:rStyle w:val="Hyperlink"/>
            <w:noProof/>
          </w:rPr>
          <w:t>9.2.5 DCF access procedure</w:t>
        </w:r>
        <w:r w:rsidR="003E4210">
          <w:rPr>
            <w:noProof/>
            <w:webHidden/>
          </w:rPr>
          <w:tab/>
        </w:r>
        <w:r>
          <w:rPr>
            <w:noProof/>
            <w:webHidden/>
          </w:rPr>
          <w:fldChar w:fldCharType="begin"/>
        </w:r>
        <w:r w:rsidR="003E4210">
          <w:rPr>
            <w:noProof/>
            <w:webHidden/>
          </w:rPr>
          <w:instrText xml:space="preserve"> PAGEREF _Toc259717075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76" w:history="1">
        <w:r w:rsidR="003E4210" w:rsidRPr="005B500B">
          <w:rPr>
            <w:rStyle w:val="Hyperlink"/>
            <w:noProof/>
          </w:rPr>
          <w:t>9.2.5.1 Basic access</w:t>
        </w:r>
        <w:r w:rsidR="003E4210">
          <w:rPr>
            <w:noProof/>
            <w:webHidden/>
          </w:rPr>
          <w:tab/>
        </w:r>
        <w:r>
          <w:rPr>
            <w:noProof/>
            <w:webHidden/>
          </w:rPr>
          <w:fldChar w:fldCharType="begin"/>
        </w:r>
        <w:r w:rsidR="003E4210">
          <w:rPr>
            <w:noProof/>
            <w:webHidden/>
          </w:rPr>
          <w:instrText xml:space="preserve"> PAGEREF _Toc259717076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77" w:history="1">
        <w:r w:rsidR="003E4210" w:rsidRPr="005B500B">
          <w:rPr>
            <w:rStyle w:val="Hyperlink"/>
            <w:noProof/>
          </w:rPr>
          <w:t>9.2.5.2 Backoff procedure for DCF</w:t>
        </w:r>
        <w:r w:rsidR="003E4210">
          <w:rPr>
            <w:noProof/>
            <w:webHidden/>
          </w:rPr>
          <w:tab/>
        </w:r>
        <w:r>
          <w:rPr>
            <w:noProof/>
            <w:webHidden/>
          </w:rPr>
          <w:fldChar w:fldCharType="begin"/>
        </w:r>
        <w:r w:rsidR="003E4210">
          <w:rPr>
            <w:noProof/>
            <w:webHidden/>
          </w:rPr>
          <w:instrText xml:space="preserve"> PAGEREF _Toc259717077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78" w:history="1">
        <w:r w:rsidR="003E4210" w:rsidRPr="005B500B">
          <w:rPr>
            <w:rStyle w:val="Hyperlink"/>
            <w:noProof/>
          </w:rPr>
          <w:t>9.2.5.3 Recovery procedures and retransmit limits</w:t>
        </w:r>
        <w:r w:rsidR="003E4210">
          <w:rPr>
            <w:noProof/>
            <w:webHidden/>
          </w:rPr>
          <w:tab/>
        </w:r>
        <w:r>
          <w:rPr>
            <w:noProof/>
            <w:webHidden/>
          </w:rPr>
          <w:fldChar w:fldCharType="begin"/>
        </w:r>
        <w:r w:rsidR="003E4210">
          <w:rPr>
            <w:noProof/>
            <w:webHidden/>
          </w:rPr>
          <w:instrText xml:space="preserve"> PAGEREF _Toc259717078 \h </w:instrText>
        </w:r>
        <w:r>
          <w:rPr>
            <w:noProof/>
            <w:webHidden/>
          </w:rPr>
        </w:r>
        <w:r>
          <w:rPr>
            <w:noProof/>
            <w:webHidden/>
          </w:rPr>
          <w:fldChar w:fldCharType="separate"/>
        </w:r>
        <w:r w:rsidR="003E4210">
          <w:rPr>
            <w:noProof/>
            <w:webHidden/>
          </w:rPr>
          <w:t>143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79" w:history="1">
        <w:r w:rsidR="003E4210" w:rsidRPr="005B500B">
          <w:rPr>
            <w:rStyle w:val="Hyperlink"/>
            <w:noProof/>
          </w:rPr>
          <w:t>9.2.5.4 Setting and resetting the NAV</w:t>
        </w:r>
        <w:r w:rsidR="003E4210">
          <w:rPr>
            <w:noProof/>
            <w:webHidden/>
          </w:rPr>
          <w:tab/>
        </w:r>
        <w:r>
          <w:rPr>
            <w:noProof/>
            <w:webHidden/>
          </w:rPr>
          <w:fldChar w:fldCharType="begin"/>
        </w:r>
        <w:r w:rsidR="003E4210">
          <w:rPr>
            <w:noProof/>
            <w:webHidden/>
          </w:rPr>
          <w:instrText xml:space="preserve"> PAGEREF _Toc259717079 \h </w:instrText>
        </w:r>
        <w:r>
          <w:rPr>
            <w:noProof/>
            <w:webHidden/>
          </w:rPr>
        </w:r>
        <w:r>
          <w:rPr>
            <w:noProof/>
            <w:webHidden/>
          </w:rPr>
          <w:fldChar w:fldCharType="separate"/>
        </w:r>
        <w:r w:rsidR="003E4210">
          <w:rPr>
            <w:noProof/>
            <w:webHidden/>
          </w:rPr>
          <w:t>143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080" w:history="1">
        <w:r w:rsidR="003E4210" w:rsidRPr="005B500B">
          <w:rPr>
            <w:rStyle w:val="Hyperlink"/>
            <w:noProof/>
          </w:rPr>
          <w:t>9.2.5.7 CTS procedure</w:t>
        </w:r>
        <w:r w:rsidR="003E4210">
          <w:rPr>
            <w:noProof/>
            <w:webHidden/>
          </w:rPr>
          <w:tab/>
        </w:r>
        <w:r>
          <w:rPr>
            <w:noProof/>
            <w:webHidden/>
          </w:rPr>
          <w:fldChar w:fldCharType="begin"/>
        </w:r>
        <w:r w:rsidR="003E4210">
          <w:rPr>
            <w:noProof/>
            <w:webHidden/>
          </w:rPr>
          <w:instrText xml:space="preserve"> PAGEREF _Toc259717080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1" w:history="1">
        <w:r w:rsidR="003E4210" w:rsidRPr="005B500B">
          <w:rPr>
            <w:rStyle w:val="Hyperlink"/>
            <w:noProof/>
          </w:rPr>
          <w:t>9.2.7 Broadcast and multicast MPDU transfer procedure</w:t>
        </w:r>
        <w:r w:rsidR="003E4210">
          <w:rPr>
            <w:noProof/>
            <w:webHidden/>
          </w:rPr>
          <w:tab/>
        </w:r>
        <w:r>
          <w:rPr>
            <w:noProof/>
            <w:webHidden/>
          </w:rPr>
          <w:fldChar w:fldCharType="begin"/>
        </w:r>
        <w:r w:rsidR="003E4210">
          <w:rPr>
            <w:noProof/>
            <w:webHidden/>
          </w:rPr>
          <w:instrText xml:space="preserve"> PAGEREF _Toc259717081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2" w:history="1">
        <w:r w:rsidR="003E4210" w:rsidRPr="005B500B">
          <w:rPr>
            <w:rStyle w:val="Hyperlink"/>
            <w:noProof/>
          </w:rPr>
          <w:t>9.2.11 NAV distribution</w:t>
        </w:r>
        <w:r w:rsidR="003E4210">
          <w:rPr>
            <w:noProof/>
            <w:webHidden/>
          </w:rPr>
          <w:tab/>
        </w:r>
        <w:r>
          <w:rPr>
            <w:noProof/>
            <w:webHidden/>
          </w:rPr>
          <w:fldChar w:fldCharType="begin"/>
        </w:r>
        <w:r w:rsidR="003E4210">
          <w:rPr>
            <w:noProof/>
            <w:webHidden/>
          </w:rPr>
          <w:instrText xml:space="preserve"> PAGEREF _Toc259717082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83" w:history="1">
        <w:r w:rsidR="003E4210" w:rsidRPr="005B500B">
          <w:rPr>
            <w:rStyle w:val="Hyperlink"/>
            <w:noProof/>
          </w:rPr>
          <w:t>9.4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Fragmentation</w:t>
        </w:r>
        <w:r w:rsidR="003E4210">
          <w:rPr>
            <w:noProof/>
            <w:webHidden/>
          </w:rPr>
          <w:tab/>
        </w:r>
        <w:r>
          <w:rPr>
            <w:noProof/>
            <w:webHidden/>
          </w:rPr>
          <w:fldChar w:fldCharType="begin"/>
        </w:r>
        <w:r w:rsidR="003E4210">
          <w:rPr>
            <w:noProof/>
            <w:webHidden/>
          </w:rPr>
          <w:instrText xml:space="preserve"> PAGEREF _Toc259717083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BD151C">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84" w:history="1">
        <w:r w:rsidR="003E4210" w:rsidRPr="005B500B">
          <w:rPr>
            <w:rStyle w:val="Hyperlink"/>
            <w:noProof/>
          </w:rPr>
          <w:t>9.6</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Multirate support</w:t>
        </w:r>
        <w:r w:rsidR="003E4210">
          <w:rPr>
            <w:noProof/>
            <w:webHidden/>
          </w:rPr>
          <w:tab/>
        </w:r>
        <w:r>
          <w:rPr>
            <w:noProof/>
            <w:webHidden/>
          </w:rPr>
          <w:fldChar w:fldCharType="begin"/>
        </w:r>
        <w:r w:rsidR="003E4210">
          <w:rPr>
            <w:noProof/>
            <w:webHidden/>
          </w:rPr>
          <w:instrText xml:space="preserve"> PAGEREF _Toc259717084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5" w:history="1">
        <w:r w:rsidR="003E4210" w:rsidRPr="005B500B">
          <w:rPr>
            <w:rStyle w:val="Hyperlink"/>
            <w:noProof/>
          </w:rPr>
          <w:t>9.6.0a Overview</w:t>
        </w:r>
        <w:r w:rsidR="003E4210">
          <w:rPr>
            <w:noProof/>
            <w:webHidden/>
          </w:rPr>
          <w:tab/>
        </w:r>
        <w:r>
          <w:rPr>
            <w:noProof/>
            <w:webHidden/>
          </w:rPr>
          <w:fldChar w:fldCharType="begin"/>
        </w:r>
        <w:r w:rsidR="003E4210">
          <w:rPr>
            <w:noProof/>
            <w:webHidden/>
          </w:rPr>
          <w:instrText xml:space="preserve"> PAGEREF _Toc259717085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6" w:history="1">
        <w:r w:rsidR="003E4210" w:rsidRPr="005B500B">
          <w:rPr>
            <w:rStyle w:val="Hyperlink"/>
            <w:noProof/>
          </w:rPr>
          <w:t>9.6.0f Usage of mmWave Control modulation class</w:t>
        </w:r>
        <w:r w:rsidR="003E4210">
          <w:rPr>
            <w:noProof/>
            <w:webHidden/>
          </w:rPr>
          <w:tab/>
        </w:r>
        <w:r>
          <w:rPr>
            <w:noProof/>
            <w:webHidden/>
          </w:rPr>
          <w:fldChar w:fldCharType="begin"/>
        </w:r>
        <w:r w:rsidR="003E4210">
          <w:rPr>
            <w:noProof/>
            <w:webHidden/>
          </w:rPr>
          <w:instrText xml:space="preserve"> PAGEREF _Toc259717086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7" w:history="1">
        <w:r w:rsidR="003E4210" w:rsidRPr="005B500B">
          <w:rPr>
            <w:rStyle w:val="Hyperlink"/>
            <w:noProof/>
          </w:rPr>
          <w:t>9.6.0g Rate selection rules for control frames transmitted by mSTAs</w:t>
        </w:r>
        <w:r w:rsidR="003E4210">
          <w:rPr>
            <w:noProof/>
            <w:webHidden/>
          </w:rPr>
          <w:tab/>
        </w:r>
        <w:r>
          <w:rPr>
            <w:noProof/>
            <w:webHidden/>
          </w:rPr>
          <w:fldChar w:fldCharType="begin"/>
        </w:r>
        <w:r w:rsidR="003E4210">
          <w:rPr>
            <w:noProof/>
            <w:webHidden/>
          </w:rPr>
          <w:instrText xml:space="preserve"> PAGEREF _Toc259717087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8" w:history="1">
        <w:r w:rsidR="003E4210" w:rsidRPr="005B500B">
          <w:rPr>
            <w:rStyle w:val="Hyperlink"/>
            <w:noProof/>
          </w:rPr>
          <w:t>9.6.0h Rate selection for group addressed data and management frames transmitted by mSTAs</w:t>
        </w:r>
        <w:r w:rsidR="003E4210">
          <w:rPr>
            <w:noProof/>
            <w:webHidden/>
          </w:rPr>
          <w:tab/>
        </w:r>
        <w:r>
          <w:rPr>
            <w:noProof/>
            <w:webHidden/>
          </w:rPr>
          <w:fldChar w:fldCharType="begin"/>
        </w:r>
        <w:r w:rsidR="003E4210">
          <w:rPr>
            <w:noProof/>
            <w:webHidden/>
          </w:rPr>
          <w:instrText xml:space="preserve"> PAGEREF _Toc259717088 \h </w:instrText>
        </w:r>
        <w:r>
          <w:rPr>
            <w:noProof/>
            <w:webHidden/>
          </w:rPr>
        </w:r>
        <w:r>
          <w:rPr>
            <w:noProof/>
            <w:webHidden/>
          </w:rPr>
          <w:fldChar w:fldCharType="separate"/>
        </w:r>
        <w:r w:rsidR="003E4210">
          <w:rPr>
            <w:noProof/>
            <w:webHidden/>
          </w:rPr>
          <w:t>146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9" w:history="1">
        <w:r w:rsidR="003E4210" w:rsidRPr="005B500B">
          <w:rPr>
            <w:rStyle w:val="Hyperlink"/>
            <w:noProof/>
          </w:rPr>
          <w:t>9.6.0i Rate selection for unicast data and management frames transmitted by mSTAs</w:t>
        </w:r>
        <w:r w:rsidR="003E4210">
          <w:rPr>
            <w:noProof/>
            <w:webHidden/>
          </w:rPr>
          <w:tab/>
        </w:r>
        <w:r>
          <w:rPr>
            <w:noProof/>
            <w:webHidden/>
          </w:rPr>
          <w:fldChar w:fldCharType="begin"/>
        </w:r>
        <w:r w:rsidR="003E4210">
          <w:rPr>
            <w:noProof/>
            <w:webHidden/>
          </w:rPr>
          <w:instrText xml:space="preserve"> PAGEREF _Toc259717089 \h </w:instrText>
        </w:r>
        <w:r>
          <w:rPr>
            <w:noProof/>
            <w:webHidden/>
          </w:rPr>
        </w:r>
        <w:r>
          <w:rPr>
            <w:noProof/>
            <w:webHidden/>
          </w:rPr>
          <w:fldChar w:fldCharType="separate"/>
        </w:r>
        <w:r w:rsidR="003E4210">
          <w:rPr>
            <w:noProof/>
            <w:webHidden/>
          </w:rPr>
          <w:t>146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0" w:history="1">
        <w:r w:rsidR="003E4210" w:rsidRPr="005B500B">
          <w:rPr>
            <w:rStyle w:val="Hyperlink"/>
            <w:noProof/>
          </w:rPr>
          <w:t>9.6.0j Rate selection for BRP packets</w:t>
        </w:r>
        <w:r w:rsidR="003E4210">
          <w:rPr>
            <w:noProof/>
            <w:webHidden/>
          </w:rPr>
          <w:tab/>
        </w:r>
        <w:r>
          <w:rPr>
            <w:noProof/>
            <w:webHidden/>
          </w:rPr>
          <w:fldChar w:fldCharType="begin"/>
        </w:r>
        <w:r w:rsidR="003E4210">
          <w:rPr>
            <w:noProof/>
            <w:webHidden/>
          </w:rPr>
          <w:instrText xml:space="preserve"> PAGEREF _Toc259717090 \h </w:instrText>
        </w:r>
        <w:r>
          <w:rPr>
            <w:noProof/>
            <w:webHidden/>
          </w:rPr>
        </w:r>
        <w:r>
          <w:rPr>
            <w:noProof/>
            <w:webHidden/>
          </w:rPr>
          <w:fldChar w:fldCharType="separate"/>
        </w:r>
        <w:r w:rsidR="003E4210">
          <w:rPr>
            <w:noProof/>
            <w:webHidden/>
          </w:rPr>
          <w:t>147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1" w:history="1">
        <w:r w:rsidR="003E4210" w:rsidRPr="005B500B">
          <w:rPr>
            <w:rStyle w:val="Hyperlink"/>
            <w:noProof/>
          </w:rPr>
          <w:t>9.6.1 Modulation classes</w:t>
        </w:r>
        <w:r w:rsidR="003E4210">
          <w:rPr>
            <w:noProof/>
            <w:webHidden/>
          </w:rPr>
          <w:tab/>
        </w:r>
        <w:r>
          <w:rPr>
            <w:noProof/>
            <w:webHidden/>
          </w:rPr>
          <w:fldChar w:fldCharType="begin"/>
        </w:r>
        <w:r w:rsidR="003E4210">
          <w:rPr>
            <w:noProof/>
            <w:webHidden/>
          </w:rPr>
          <w:instrText xml:space="preserve"> PAGEREF _Toc259717091 \h </w:instrText>
        </w:r>
        <w:r>
          <w:rPr>
            <w:noProof/>
            <w:webHidden/>
          </w:rPr>
        </w:r>
        <w:r>
          <w:rPr>
            <w:noProof/>
            <w:webHidden/>
          </w:rPr>
          <w:fldChar w:fldCharType="separate"/>
        </w:r>
        <w:r w:rsidR="003E4210">
          <w:rPr>
            <w:noProof/>
            <w:webHidden/>
          </w:rPr>
          <w:t>147</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092" w:history="1">
        <w:r w:rsidR="003E4210" w:rsidRPr="005B500B">
          <w:rPr>
            <w:rStyle w:val="Hyperlink"/>
            <w:noProof/>
          </w:rPr>
          <w:t>9.7c A-MSDU operation</w:t>
        </w:r>
        <w:r w:rsidR="003E4210">
          <w:rPr>
            <w:noProof/>
            <w:webHidden/>
          </w:rPr>
          <w:tab/>
        </w:r>
        <w:r>
          <w:rPr>
            <w:noProof/>
            <w:webHidden/>
          </w:rPr>
          <w:fldChar w:fldCharType="begin"/>
        </w:r>
        <w:r w:rsidR="003E4210">
          <w:rPr>
            <w:noProof/>
            <w:webHidden/>
          </w:rPr>
          <w:instrText xml:space="preserve"> PAGEREF _Toc259717092 \h </w:instrText>
        </w:r>
        <w:r>
          <w:rPr>
            <w:noProof/>
            <w:webHidden/>
          </w:rPr>
        </w:r>
        <w:r>
          <w:rPr>
            <w:noProof/>
            <w:webHidden/>
          </w:rPr>
          <w:fldChar w:fldCharType="separate"/>
        </w:r>
        <w:r w:rsidR="003E4210">
          <w:rPr>
            <w:noProof/>
            <w:webHidden/>
          </w:rPr>
          <w:t>147</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093" w:history="1">
        <w:r w:rsidR="003E4210" w:rsidRPr="005B500B">
          <w:rPr>
            <w:rStyle w:val="Hyperlink"/>
            <w:noProof/>
          </w:rPr>
          <w:t>9.7d A-MPDU operation</w:t>
        </w:r>
        <w:r w:rsidR="003E4210">
          <w:rPr>
            <w:noProof/>
            <w:webHidden/>
          </w:rPr>
          <w:tab/>
        </w:r>
        <w:r>
          <w:rPr>
            <w:noProof/>
            <w:webHidden/>
          </w:rPr>
          <w:fldChar w:fldCharType="begin"/>
        </w:r>
        <w:r w:rsidR="003E4210">
          <w:rPr>
            <w:noProof/>
            <w:webHidden/>
          </w:rPr>
          <w:instrText xml:space="preserve"> PAGEREF _Toc259717093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4" w:history="1">
        <w:r w:rsidR="003E4210" w:rsidRPr="005B500B">
          <w:rPr>
            <w:rStyle w:val="Hyperlink"/>
            <w:noProof/>
          </w:rPr>
          <w:t>9.7d.1 A-MPDU contents</w:t>
        </w:r>
        <w:r w:rsidR="003E4210">
          <w:rPr>
            <w:noProof/>
            <w:webHidden/>
          </w:rPr>
          <w:tab/>
        </w:r>
        <w:r>
          <w:rPr>
            <w:noProof/>
            <w:webHidden/>
          </w:rPr>
          <w:fldChar w:fldCharType="begin"/>
        </w:r>
        <w:r w:rsidR="003E4210">
          <w:rPr>
            <w:noProof/>
            <w:webHidden/>
          </w:rPr>
          <w:instrText xml:space="preserve"> PAGEREF _Toc259717094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5" w:history="1">
        <w:r w:rsidR="003E4210" w:rsidRPr="005B500B">
          <w:rPr>
            <w:rStyle w:val="Hyperlink"/>
            <w:noProof/>
          </w:rPr>
          <w:t>9.7d.2 A-MPDU length limit rules</w:t>
        </w:r>
        <w:r w:rsidR="003E4210">
          <w:rPr>
            <w:noProof/>
            <w:webHidden/>
          </w:rPr>
          <w:tab/>
        </w:r>
        <w:r>
          <w:rPr>
            <w:noProof/>
            <w:webHidden/>
          </w:rPr>
          <w:fldChar w:fldCharType="begin"/>
        </w:r>
        <w:r w:rsidR="003E4210">
          <w:rPr>
            <w:noProof/>
            <w:webHidden/>
          </w:rPr>
          <w:instrText xml:space="preserve"> PAGEREF _Toc259717095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6" w:history="1">
        <w:r w:rsidR="003E4210" w:rsidRPr="005B500B">
          <w:rPr>
            <w:rStyle w:val="Hyperlink"/>
            <w:noProof/>
          </w:rPr>
          <w:t>9.7d.3 Minimum MPDU Start Spacing</w:t>
        </w:r>
        <w:r w:rsidR="003E4210">
          <w:rPr>
            <w:noProof/>
            <w:webHidden/>
          </w:rPr>
          <w:tab/>
        </w:r>
        <w:r>
          <w:rPr>
            <w:noProof/>
            <w:webHidden/>
          </w:rPr>
          <w:fldChar w:fldCharType="begin"/>
        </w:r>
        <w:r w:rsidR="003E4210">
          <w:rPr>
            <w:noProof/>
            <w:webHidden/>
          </w:rPr>
          <w:instrText xml:space="preserve"> PAGEREF _Toc259717096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7" w:history="1">
        <w:r w:rsidR="003E4210" w:rsidRPr="005B500B">
          <w:rPr>
            <w:rStyle w:val="Hyperlink"/>
            <w:noProof/>
          </w:rPr>
          <w:t>9.7d.4 A-MPDU aggregation of group addressed data frames</w:t>
        </w:r>
        <w:r w:rsidR="003E4210">
          <w:rPr>
            <w:noProof/>
            <w:webHidden/>
          </w:rPr>
          <w:tab/>
        </w:r>
        <w:r>
          <w:rPr>
            <w:noProof/>
            <w:webHidden/>
          </w:rPr>
          <w:fldChar w:fldCharType="begin"/>
        </w:r>
        <w:r w:rsidR="003E4210">
          <w:rPr>
            <w:noProof/>
            <w:webHidden/>
          </w:rPr>
          <w:instrText xml:space="preserve"> PAGEREF _Toc259717097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098" w:history="1">
        <w:r w:rsidR="003E4210" w:rsidRPr="005B500B">
          <w:rPr>
            <w:rStyle w:val="Hyperlink"/>
            <w:noProof/>
          </w:rPr>
          <w:t>9.7e PPDU duration constraint</w:t>
        </w:r>
        <w:r w:rsidR="003E4210">
          <w:rPr>
            <w:noProof/>
            <w:webHidden/>
          </w:rPr>
          <w:tab/>
        </w:r>
        <w:r>
          <w:rPr>
            <w:noProof/>
            <w:webHidden/>
          </w:rPr>
          <w:fldChar w:fldCharType="begin"/>
        </w:r>
        <w:r w:rsidR="003E4210">
          <w:rPr>
            <w:noProof/>
            <w:webHidden/>
          </w:rPr>
          <w:instrText xml:space="preserve"> PAGEREF _Toc259717098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099" w:history="1">
        <w:r w:rsidR="003E4210" w:rsidRPr="005B500B">
          <w:rPr>
            <w:rStyle w:val="Hyperlink"/>
            <w:noProof/>
          </w:rPr>
          <w:t>9.8 Operation across regulatory domains</w:t>
        </w:r>
        <w:r w:rsidR="003E4210">
          <w:rPr>
            <w:noProof/>
            <w:webHidden/>
          </w:rPr>
          <w:tab/>
        </w:r>
        <w:r>
          <w:rPr>
            <w:noProof/>
            <w:webHidden/>
          </w:rPr>
          <w:fldChar w:fldCharType="begin"/>
        </w:r>
        <w:r w:rsidR="003E4210">
          <w:rPr>
            <w:noProof/>
            <w:webHidden/>
          </w:rPr>
          <w:instrText xml:space="preserve"> PAGEREF _Toc259717099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100" w:history="1">
        <w:r w:rsidR="003E4210" w:rsidRPr="005B500B">
          <w:rPr>
            <w:rStyle w:val="Hyperlink"/>
            <w:noProof/>
          </w:rPr>
          <w:t>9.9 HCF</w:t>
        </w:r>
        <w:r w:rsidR="003E4210">
          <w:rPr>
            <w:noProof/>
            <w:webHidden/>
          </w:rPr>
          <w:tab/>
        </w:r>
        <w:r>
          <w:rPr>
            <w:noProof/>
            <w:webHidden/>
          </w:rPr>
          <w:fldChar w:fldCharType="begin"/>
        </w:r>
        <w:r w:rsidR="003E4210">
          <w:rPr>
            <w:noProof/>
            <w:webHidden/>
          </w:rPr>
          <w:instrText xml:space="preserve"> PAGEREF _Toc259717100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01" w:history="1">
        <w:r w:rsidR="003E4210" w:rsidRPr="005B500B">
          <w:rPr>
            <w:rStyle w:val="Hyperlink"/>
            <w:noProof/>
          </w:rPr>
          <w:t>9.9.1 HCF contention-based channel access (EDCA)</w:t>
        </w:r>
        <w:r w:rsidR="003E4210">
          <w:rPr>
            <w:noProof/>
            <w:webHidden/>
          </w:rPr>
          <w:tab/>
        </w:r>
        <w:r>
          <w:rPr>
            <w:noProof/>
            <w:webHidden/>
          </w:rPr>
          <w:fldChar w:fldCharType="begin"/>
        </w:r>
        <w:r w:rsidR="003E4210">
          <w:rPr>
            <w:noProof/>
            <w:webHidden/>
          </w:rPr>
          <w:instrText xml:space="preserve"> PAGEREF _Toc259717101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02" w:history="1">
        <w:r w:rsidR="003E4210" w:rsidRPr="005B500B">
          <w:rPr>
            <w:rStyle w:val="Hyperlink"/>
            <w:noProof/>
          </w:rPr>
          <w:t>9.9.1.1 Reference implementation</w:t>
        </w:r>
        <w:r w:rsidR="003E4210">
          <w:rPr>
            <w:noProof/>
            <w:webHidden/>
          </w:rPr>
          <w:tab/>
        </w:r>
        <w:r>
          <w:rPr>
            <w:noProof/>
            <w:webHidden/>
          </w:rPr>
          <w:fldChar w:fldCharType="begin"/>
        </w:r>
        <w:r w:rsidR="003E4210">
          <w:rPr>
            <w:noProof/>
            <w:webHidden/>
          </w:rPr>
          <w:instrText xml:space="preserve"> PAGEREF _Toc259717102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03" w:history="1">
        <w:r w:rsidR="003E4210" w:rsidRPr="005B500B">
          <w:rPr>
            <w:rStyle w:val="Hyperlink"/>
            <w:noProof/>
          </w:rPr>
          <w:t>9.9.1.5 EDCA backoff procedure</w:t>
        </w:r>
        <w:r w:rsidR="003E4210">
          <w:rPr>
            <w:noProof/>
            <w:webHidden/>
          </w:rPr>
          <w:tab/>
        </w:r>
        <w:r>
          <w:rPr>
            <w:noProof/>
            <w:webHidden/>
          </w:rPr>
          <w:fldChar w:fldCharType="begin"/>
        </w:r>
        <w:r w:rsidR="003E4210">
          <w:rPr>
            <w:noProof/>
            <w:webHidden/>
          </w:rPr>
          <w:instrText xml:space="preserve"> PAGEREF _Toc259717103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04" w:history="1">
        <w:r w:rsidR="003E4210" w:rsidRPr="005B500B">
          <w:rPr>
            <w:rStyle w:val="Hyperlink"/>
            <w:noProof/>
          </w:rPr>
          <w:t>9.9.1.7 Truncation of TxOP</w:t>
        </w:r>
        <w:r w:rsidR="003E4210">
          <w:rPr>
            <w:noProof/>
            <w:webHidden/>
          </w:rPr>
          <w:tab/>
        </w:r>
        <w:r>
          <w:rPr>
            <w:noProof/>
            <w:webHidden/>
          </w:rPr>
          <w:fldChar w:fldCharType="begin"/>
        </w:r>
        <w:r w:rsidR="003E4210">
          <w:rPr>
            <w:noProof/>
            <w:webHidden/>
          </w:rPr>
          <w:instrText xml:space="preserve"> PAGEREF _Toc259717104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105" w:history="1">
        <w:r w:rsidR="003E4210" w:rsidRPr="005B500B">
          <w:rPr>
            <w:rStyle w:val="Hyperlink"/>
            <w:noProof/>
          </w:rPr>
          <w:t>9.10 Block Acknoledgement (Block Ack)</w:t>
        </w:r>
        <w:r w:rsidR="003E4210">
          <w:rPr>
            <w:noProof/>
            <w:webHidden/>
          </w:rPr>
          <w:tab/>
        </w:r>
        <w:r>
          <w:rPr>
            <w:noProof/>
            <w:webHidden/>
          </w:rPr>
          <w:fldChar w:fldCharType="begin"/>
        </w:r>
        <w:r w:rsidR="003E4210">
          <w:rPr>
            <w:noProof/>
            <w:webHidden/>
          </w:rPr>
          <w:instrText xml:space="preserve"> PAGEREF _Toc259717105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06" w:history="1">
        <w:r w:rsidR="003E4210" w:rsidRPr="005B500B">
          <w:rPr>
            <w:rStyle w:val="Hyperlink"/>
            <w:noProof/>
          </w:rPr>
          <w:t>9.10.1 Introduction</w:t>
        </w:r>
        <w:r w:rsidR="003E4210">
          <w:rPr>
            <w:noProof/>
            <w:webHidden/>
          </w:rPr>
          <w:tab/>
        </w:r>
        <w:r>
          <w:rPr>
            <w:noProof/>
            <w:webHidden/>
          </w:rPr>
          <w:fldChar w:fldCharType="begin"/>
        </w:r>
        <w:r w:rsidR="003E4210">
          <w:rPr>
            <w:noProof/>
            <w:webHidden/>
          </w:rPr>
          <w:instrText xml:space="preserve"> PAGEREF _Toc259717106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07" w:history="1">
        <w:r w:rsidR="003E4210" w:rsidRPr="005B500B">
          <w:rPr>
            <w:rStyle w:val="Hyperlink"/>
            <w:noProof/>
          </w:rPr>
          <w:t>9.10.7 HT-immediate Block Ack extensions</w:t>
        </w:r>
        <w:r w:rsidR="003E4210">
          <w:rPr>
            <w:noProof/>
            <w:webHidden/>
          </w:rPr>
          <w:tab/>
        </w:r>
        <w:r>
          <w:rPr>
            <w:noProof/>
            <w:webHidden/>
          </w:rPr>
          <w:fldChar w:fldCharType="begin"/>
        </w:r>
        <w:r w:rsidR="003E4210">
          <w:rPr>
            <w:noProof/>
            <w:webHidden/>
          </w:rPr>
          <w:instrText xml:space="preserve"> PAGEREF _Toc259717107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08" w:history="1">
        <w:r w:rsidR="003E4210" w:rsidRPr="005B500B">
          <w:rPr>
            <w:rStyle w:val="Hyperlink"/>
            <w:noProof/>
          </w:rPr>
          <w:t>9.10.7.2 HT-immediate Block Ack architecture</w:t>
        </w:r>
        <w:r w:rsidR="003E4210">
          <w:rPr>
            <w:noProof/>
            <w:webHidden/>
          </w:rPr>
          <w:tab/>
        </w:r>
        <w:r>
          <w:rPr>
            <w:noProof/>
            <w:webHidden/>
          </w:rPr>
          <w:fldChar w:fldCharType="begin"/>
        </w:r>
        <w:r w:rsidR="003E4210">
          <w:rPr>
            <w:noProof/>
            <w:webHidden/>
          </w:rPr>
          <w:instrText xml:space="preserve"> PAGEREF _Toc259717108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09" w:history="1">
        <w:r w:rsidR="003E4210" w:rsidRPr="005B500B">
          <w:rPr>
            <w:rStyle w:val="Hyperlink"/>
            <w:noProof/>
          </w:rPr>
          <w:t>9.10.7.2.1 Data and acknowledgement transfer</w:t>
        </w:r>
        <w:r w:rsidR="003E4210">
          <w:rPr>
            <w:noProof/>
            <w:webHidden/>
          </w:rPr>
          <w:tab/>
        </w:r>
        <w:r>
          <w:rPr>
            <w:noProof/>
            <w:webHidden/>
          </w:rPr>
          <w:fldChar w:fldCharType="begin"/>
        </w:r>
        <w:r w:rsidR="003E4210">
          <w:rPr>
            <w:noProof/>
            <w:webHidden/>
          </w:rPr>
          <w:instrText xml:space="preserve"> PAGEREF _Toc259717109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10" w:history="1">
        <w:r w:rsidR="003E4210" w:rsidRPr="005B500B">
          <w:rPr>
            <w:rStyle w:val="Hyperlink"/>
            <w:noProof/>
          </w:rPr>
          <w:t>9.15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Reverse Direction (RD) protocol</w:t>
        </w:r>
        <w:r w:rsidR="003E4210">
          <w:rPr>
            <w:noProof/>
            <w:webHidden/>
          </w:rPr>
          <w:tab/>
        </w:r>
        <w:r>
          <w:rPr>
            <w:noProof/>
            <w:webHidden/>
          </w:rPr>
          <w:fldChar w:fldCharType="begin"/>
        </w:r>
        <w:r w:rsidR="003E4210">
          <w:rPr>
            <w:noProof/>
            <w:webHidden/>
          </w:rPr>
          <w:instrText xml:space="preserve"> PAGEREF _Toc259717110 \h </w:instrText>
        </w:r>
        <w:r>
          <w:rPr>
            <w:noProof/>
            <w:webHidden/>
          </w:rPr>
        </w:r>
        <w:r>
          <w:rPr>
            <w:noProof/>
            <w:webHidden/>
          </w:rPr>
          <w:fldChar w:fldCharType="separate"/>
        </w:r>
        <w:r w:rsidR="003E4210">
          <w:rPr>
            <w:noProof/>
            <w:webHidden/>
          </w:rPr>
          <w:t>151</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11" w:history="1">
        <w:r w:rsidR="003E4210" w:rsidRPr="005B500B">
          <w:rPr>
            <w:rStyle w:val="Hyperlink"/>
            <w:noProof/>
          </w:rPr>
          <w:t>9.23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Channel access</w:t>
        </w:r>
        <w:r w:rsidR="003E4210">
          <w:rPr>
            <w:noProof/>
            <w:webHidden/>
          </w:rPr>
          <w:tab/>
        </w:r>
        <w:r>
          <w:rPr>
            <w:noProof/>
            <w:webHidden/>
          </w:rPr>
          <w:fldChar w:fldCharType="begin"/>
        </w:r>
        <w:r w:rsidR="003E4210">
          <w:rPr>
            <w:noProof/>
            <w:webHidden/>
          </w:rPr>
          <w:instrText xml:space="preserve"> PAGEREF _Toc259717111 \h </w:instrText>
        </w:r>
        <w:r>
          <w:rPr>
            <w:noProof/>
            <w:webHidden/>
          </w:rPr>
        </w:r>
        <w:r>
          <w:rPr>
            <w:noProof/>
            <w:webHidden/>
          </w:rPr>
          <w:fldChar w:fldCharType="separate"/>
        </w:r>
        <w:r w:rsidR="003E4210">
          <w:rPr>
            <w:noProof/>
            <w:webHidden/>
          </w:rPr>
          <w:t>151</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2" w:history="1">
        <w:r w:rsidR="003E4210" w:rsidRPr="005B500B">
          <w:rPr>
            <w:rStyle w:val="Hyperlink"/>
            <w:noProof/>
          </w:rPr>
          <w:t>9.23.1</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Beacon interval (BI) structure</w:t>
        </w:r>
        <w:r w:rsidR="003E4210">
          <w:rPr>
            <w:noProof/>
            <w:webHidden/>
          </w:rPr>
          <w:tab/>
        </w:r>
        <w:r>
          <w:rPr>
            <w:noProof/>
            <w:webHidden/>
          </w:rPr>
          <w:fldChar w:fldCharType="begin"/>
        </w:r>
        <w:r w:rsidR="003E4210">
          <w:rPr>
            <w:noProof/>
            <w:webHidden/>
          </w:rPr>
          <w:instrText xml:space="preserve"> PAGEREF _Toc259717112 \h </w:instrText>
        </w:r>
        <w:r>
          <w:rPr>
            <w:noProof/>
            <w:webHidden/>
          </w:rPr>
        </w:r>
        <w:r>
          <w:rPr>
            <w:noProof/>
            <w:webHidden/>
          </w:rPr>
          <w:fldChar w:fldCharType="separate"/>
        </w:r>
        <w:r w:rsidR="003E4210">
          <w:rPr>
            <w:noProof/>
            <w:webHidden/>
          </w:rPr>
          <w:t>151</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3" w:history="1">
        <w:r w:rsidR="003E4210" w:rsidRPr="005B500B">
          <w:rPr>
            <w:rStyle w:val="Hyperlink"/>
            <w:noProof/>
          </w:rPr>
          <w:t>9.23.2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Interframe space (IFS)</w:t>
        </w:r>
        <w:r w:rsidR="003E4210">
          <w:rPr>
            <w:noProof/>
            <w:webHidden/>
          </w:rPr>
          <w:tab/>
        </w:r>
        <w:r>
          <w:rPr>
            <w:noProof/>
            <w:webHidden/>
          </w:rPr>
          <w:fldChar w:fldCharType="begin"/>
        </w:r>
        <w:r w:rsidR="003E4210">
          <w:rPr>
            <w:noProof/>
            <w:webHidden/>
          </w:rPr>
          <w:instrText xml:space="preserve"> PAGEREF _Toc259717113 \h </w:instrText>
        </w:r>
        <w:r>
          <w:rPr>
            <w:noProof/>
            <w:webHidden/>
          </w:rPr>
        </w:r>
        <w:r>
          <w:rPr>
            <w:noProof/>
            <w:webHidden/>
          </w:rPr>
          <w:fldChar w:fldCharType="separate"/>
        </w:r>
        <w:r w:rsidR="003E4210">
          <w:rPr>
            <w:noProof/>
            <w:webHidden/>
          </w:rPr>
          <w:t>152</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4" w:history="1">
        <w:r w:rsidR="003E4210" w:rsidRPr="005B500B">
          <w:rPr>
            <w:rStyle w:val="Hyperlink"/>
            <w:noProof/>
          </w:rPr>
          <w:t>9.23.3</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AT transmission rules</w:t>
        </w:r>
        <w:r w:rsidR="003E4210">
          <w:rPr>
            <w:noProof/>
            <w:webHidden/>
          </w:rPr>
          <w:tab/>
        </w:r>
        <w:r>
          <w:rPr>
            <w:noProof/>
            <w:webHidden/>
          </w:rPr>
          <w:fldChar w:fldCharType="begin"/>
        </w:r>
        <w:r w:rsidR="003E4210">
          <w:rPr>
            <w:noProof/>
            <w:webHidden/>
          </w:rPr>
          <w:instrText xml:space="preserve"> PAGEREF _Toc259717114 \h </w:instrText>
        </w:r>
        <w:r>
          <w:rPr>
            <w:noProof/>
            <w:webHidden/>
          </w:rPr>
        </w:r>
        <w:r>
          <w:rPr>
            <w:noProof/>
            <w:webHidden/>
          </w:rPr>
          <w:fldChar w:fldCharType="separate"/>
        </w:r>
        <w:r w:rsidR="003E4210">
          <w:rPr>
            <w:noProof/>
            <w:webHidden/>
          </w:rPr>
          <w:t>152</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5" w:history="1">
        <w:r w:rsidR="003E4210" w:rsidRPr="005B500B">
          <w:rPr>
            <w:rStyle w:val="Hyperlink"/>
            <w:noProof/>
          </w:rPr>
          <w:t>9.23.4</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DTT transmission rules</w:t>
        </w:r>
        <w:r w:rsidR="003E4210">
          <w:rPr>
            <w:noProof/>
            <w:webHidden/>
          </w:rPr>
          <w:tab/>
        </w:r>
        <w:r>
          <w:rPr>
            <w:noProof/>
            <w:webHidden/>
          </w:rPr>
          <w:fldChar w:fldCharType="begin"/>
        </w:r>
        <w:r w:rsidR="003E4210">
          <w:rPr>
            <w:noProof/>
            <w:webHidden/>
          </w:rPr>
          <w:instrText xml:space="preserve"> PAGEREF _Toc259717115 \h </w:instrText>
        </w:r>
        <w:r>
          <w:rPr>
            <w:noProof/>
            <w:webHidden/>
          </w:rPr>
        </w:r>
        <w:r>
          <w:rPr>
            <w:noProof/>
            <w:webHidden/>
          </w:rPr>
          <w:fldChar w:fldCharType="separate"/>
        </w:r>
        <w:r w:rsidR="003E4210">
          <w:rPr>
            <w:noProof/>
            <w:webHidden/>
          </w:rPr>
          <w:t>154</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6" w:history="1">
        <w:r w:rsidR="003E4210" w:rsidRPr="005B500B">
          <w:rPr>
            <w:rStyle w:val="Hyperlink"/>
            <w:noProof/>
          </w:rPr>
          <w:t>9.23.5</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Contention-based period (CBP) transmission rules</w:t>
        </w:r>
        <w:r w:rsidR="003E4210">
          <w:rPr>
            <w:noProof/>
            <w:webHidden/>
          </w:rPr>
          <w:tab/>
        </w:r>
        <w:r>
          <w:rPr>
            <w:noProof/>
            <w:webHidden/>
          </w:rPr>
          <w:fldChar w:fldCharType="begin"/>
        </w:r>
        <w:r w:rsidR="003E4210">
          <w:rPr>
            <w:noProof/>
            <w:webHidden/>
          </w:rPr>
          <w:instrText xml:space="preserve"> PAGEREF _Toc259717116 \h </w:instrText>
        </w:r>
        <w:r>
          <w:rPr>
            <w:noProof/>
            <w:webHidden/>
          </w:rPr>
        </w:r>
        <w:r>
          <w:rPr>
            <w:noProof/>
            <w:webHidden/>
          </w:rPr>
          <w:fldChar w:fldCharType="separate"/>
        </w:r>
        <w:r w:rsidR="003E4210">
          <w:rPr>
            <w:noProof/>
            <w:webHidden/>
          </w:rPr>
          <w:t>154</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7" w:history="1">
        <w:r w:rsidR="003E4210" w:rsidRPr="005B500B">
          <w:rPr>
            <w:rStyle w:val="Hyperlink"/>
            <w:noProof/>
          </w:rPr>
          <w:t>9.23.6</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Time division based channel access in DTT</w:t>
        </w:r>
        <w:r w:rsidR="003E4210">
          <w:rPr>
            <w:noProof/>
            <w:webHidden/>
          </w:rPr>
          <w:tab/>
        </w:r>
        <w:r>
          <w:rPr>
            <w:noProof/>
            <w:webHidden/>
          </w:rPr>
          <w:fldChar w:fldCharType="begin"/>
        </w:r>
        <w:r w:rsidR="003E4210">
          <w:rPr>
            <w:noProof/>
            <w:webHidden/>
          </w:rPr>
          <w:instrText xml:space="preserve"> PAGEREF _Toc259717117 \h </w:instrText>
        </w:r>
        <w:r>
          <w:rPr>
            <w:noProof/>
            <w:webHidden/>
          </w:rPr>
        </w:r>
        <w:r>
          <w:rPr>
            <w:noProof/>
            <w:webHidden/>
          </w:rPr>
          <w:fldChar w:fldCharType="separate"/>
        </w:r>
        <w:r w:rsidR="003E4210">
          <w:rPr>
            <w:noProof/>
            <w:webHidden/>
          </w:rPr>
          <w:t>154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18" w:history="1">
        <w:r w:rsidR="003E4210" w:rsidRPr="005B500B">
          <w:rPr>
            <w:rStyle w:val="Hyperlink"/>
            <w:noProof/>
          </w:rPr>
          <w:t>9.23.6.1 Service period (SP) allocation</w:t>
        </w:r>
        <w:r w:rsidR="003E4210">
          <w:rPr>
            <w:noProof/>
            <w:webHidden/>
          </w:rPr>
          <w:tab/>
        </w:r>
        <w:r>
          <w:rPr>
            <w:noProof/>
            <w:webHidden/>
          </w:rPr>
          <w:fldChar w:fldCharType="begin"/>
        </w:r>
        <w:r w:rsidR="003E4210">
          <w:rPr>
            <w:noProof/>
            <w:webHidden/>
          </w:rPr>
          <w:instrText xml:space="preserve"> PAGEREF _Toc259717118 \h </w:instrText>
        </w:r>
        <w:r>
          <w:rPr>
            <w:noProof/>
            <w:webHidden/>
          </w:rPr>
        </w:r>
        <w:r>
          <w:rPr>
            <w:noProof/>
            <w:webHidden/>
          </w:rPr>
          <w:fldChar w:fldCharType="separate"/>
        </w:r>
        <w:r w:rsidR="003E4210">
          <w:rPr>
            <w:noProof/>
            <w:webHidden/>
          </w:rPr>
          <w:t>155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19" w:history="1">
        <w:r w:rsidR="003E4210" w:rsidRPr="005B500B">
          <w:rPr>
            <w:rStyle w:val="Hyperlink"/>
            <w:noProof/>
          </w:rPr>
          <w:t>9.23.6.2 Contention-based period (CBP) allocation</w:t>
        </w:r>
        <w:r w:rsidR="003E4210">
          <w:rPr>
            <w:noProof/>
            <w:webHidden/>
          </w:rPr>
          <w:tab/>
        </w:r>
        <w:r>
          <w:rPr>
            <w:noProof/>
            <w:webHidden/>
          </w:rPr>
          <w:fldChar w:fldCharType="begin"/>
        </w:r>
        <w:r w:rsidR="003E4210">
          <w:rPr>
            <w:noProof/>
            <w:webHidden/>
          </w:rPr>
          <w:instrText xml:space="preserve"> PAGEREF _Toc259717119 \h </w:instrText>
        </w:r>
        <w:r>
          <w:rPr>
            <w:noProof/>
            <w:webHidden/>
          </w:rPr>
        </w:r>
        <w:r>
          <w:rPr>
            <w:noProof/>
            <w:webHidden/>
          </w:rPr>
          <w:fldChar w:fldCharType="separate"/>
        </w:r>
        <w:r w:rsidR="003E4210">
          <w:rPr>
            <w:noProof/>
            <w:webHidden/>
          </w:rPr>
          <w:t>156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20" w:history="1">
        <w:r w:rsidR="003E4210" w:rsidRPr="005B500B">
          <w:rPr>
            <w:rStyle w:val="Hyperlink"/>
            <w:noProof/>
          </w:rPr>
          <w:t>9.23.6.3 Pseudo-static allocations</w:t>
        </w:r>
        <w:r w:rsidR="003E4210">
          <w:rPr>
            <w:noProof/>
            <w:webHidden/>
          </w:rPr>
          <w:tab/>
        </w:r>
        <w:r>
          <w:rPr>
            <w:noProof/>
            <w:webHidden/>
          </w:rPr>
          <w:fldChar w:fldCharType="begin"/>
        </w:r>
        <w:r w:rsidR="003E4210">
          <w:rPr>
            <w:noProof/>
            <w:webHidden/>
          </w:rPr>
          <w:instrText xml:space="preserve"> PAGEREF _Toc259717120 \h </w:instrText>
        </w:r>
        <w:r>
          <w:rPr>
            <w:noProof/>
            <w:webHidden/>
          </w:rPr>
        </w:r>
        <w:r>
          <w:rPr>
            <w:noProof/>
            <w:webHidden/>
          </w:rPr>
          <w:fldChar w:fldCharType="separate"/>
        </w:r>
        <w:r w:rsidR="003E4210">
          <w:rPr>
            <w:noProof/>
            <w:webHidden/>
          </w:rPr>
          <w:t>157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21" w:history="1">
        <w:r w:rsidR="003E4210" w:rsidRPr="005B500B">
          <w:rPr>
            <w:rStyle w:val="Hyperlink"/>
            <w:noProof/>
          </w:rPr>
          <w:t>9.23.6.4 Guard time</w:t>
        </w:r>
        <w:r w:rsidR="003E4210">
          <w:rPr>
            <w:noProof/>
            <w:webHidden/>
          </w:rPr>
          <w:tab/>
        </w:r>
        <w:r>
          <w:rPr>
            <w:noProof/>
            <w:webHidden/>
          </w:rPr>
          <w:fldChar w:fldCharType="begin"/>
        </w:r>
        <w:r w:rsidR="003E4210">
          <w:rPr>
            <w:noProof/>
            <w:webHidden/>
          </w:rPr>
          <w:instrText xml:space="preserve"> PAGEREF _Toc259717121 \h </w:instrText>
        </w:r>
        <w:r>
          <w:rPr>
            <w:noProof/>
            <w:webHidden/>
          </w:rPr>
        </w:r>
        <w:r>
          <w:rPr>
            <w:noProof/>
            <w:webHidden/>
          </w:rPr>
          <w:fldChar w:fldCharType="separate"/>
        </w:r>
        <w:r w:rsidR="003E4210">
          <w:rPr>
            <w:noProof/>
            <w:webHidden/>
          </w:rPr>
          <w:t>157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22" w:history="1">
        <w:r w:rsidR="003E4210" w:rsidRPr="005B500B">
          <w:rPr>
            <w:rStyle w:val="Hyperlink"/>
            <w:noProof/>
          </w:rPr>
          <w:t>9.23.6.5 mmWave Protected Period</w:t>
        </w:r>
        <w:r w:rsidR="003E4210">
          <w:rPr>
            <w:noProof/>
            <w:webHidden/>
          </w:rPr>
          <w:tab/>
        </w:r>
        <w:r>
          <w:rPr>
            <w:noProof/>
            <w:webHidden/>
          </w:rPr>
          <w:fldChar w:fldCharType="begin"/>
        </w:r>
        <w:r w:rsidR="003E4210">
          <w:rPr>
            <w:noProof/>
            <w:webHidden/>
          </w:rPr>
          <w:instrText xml:space="preserve"> PAGEREF _Toc259717122 \h </w:instrText>
        </w:r>
        <w:r>
          <w:rPr>
            <w:noProof/>
            <w:webHidden/>
          </w:rPr>
        </w:r>
        <w:r>
          <w:rPr>
            <w:noProof/>
            <w:webHidden/>
          </w:rPr>
          <w:fldChar w:fldCharType="separate"/>
        </w:r>
        <w:r w:rsidR="003E4210">
          <w:rPr>
            <w:noProof/>
            <w:webHidden/>
          </w:rPr>
          <w:t>158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23" w:history="1">
        <w:r w:rsidR="003E4210" w:rsidRPr="005B500B">
          <w:rPr>
            <w:rStyle w:val="Hyperlink"/>
            <w:noProof/>
          </w:rPr>
          <w:t>9.23.6.5.1 mmWave Protected Period establishment and maintenance</w:t>
        </w:r>
        <w:r w:rsidR="003E4210">
          <w:rPr>
            <w:noProof/>
            <w:webHidden/>
          </w:rPr>
          <w:tab/>
        </w:r>
        <w:r>
          <w:rPr>
            <w:noProof/>
            <w:webHidden/>
          </w:rPr>
          <w:fldChar w:fldCharType="begin"/>
        </w:r>
        <w:r w:rsidR="003E4210">
          <w:rPr>
            <w:noProof/>
            <w:webHidden/>
          </w:rPr>
          <w:instrText xml:space="preserve"> PAGEREF _Toc259717123 \h </w:instrText>
        </w:r>
        <w:r>
          <w:rPr>
            <w:noProof/>
            <w:webHidden/>
          </w:rPr>
        </w:r>
        <w:r>
          <w:rPr>
            <w:noProof/>
            <w:webHidden/>
          </w:rPr>
          <w:fldChar w:fldCharType="separate"/>
        </w:r>
        <w:r w:rsidR="003E4210">
          <w:rPr>
            <w:noProof/>
            <w:webHidden/>
          </w:rPr>
          <w:t>159</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24" w:history="1">
        <w:r w:rsidR="003E4210" w:rsidRPr="005B500B">
          <w:rPr>
            <w:rStyle w:val="Hyperlink"/>
            <w:noProof/>
          </w:rPr>
          <w:t>9.23.6.5.2 NAV Update in mmWave Protected Period</w:t>
        </w:r>
        <w:r w:rsidR="003E4210">
          <w:rPr>
            <w:noProof/>
            <w:webHidden/>
          </w:rPr>
          <w:tab/>
        </w:r>
        <w:r>
          <w:rPr>
            <w:noProof/>
            <w:webHidden/>
          </w:rPr>
          <w:fldChar w:fldCharType="begin"/>
        </w:r>
        <w:r w:rsidR="003E4210">
          <w:rPr>
            <w:noProof/>
            <w:webHidden/>
          </w:rPr>
          <w:instrText xml:space="preserve"> PAGEREF _Toc259717124 \h </w:instrText>
        </w:r>
        <w:r>
          <w:rPr>
            <w:noProof/>
            <w:webHidden/>
          </w:rPr>
        </w:r>
        <w:r>
          <w:rPr>
            <w:noProof/>
            <w:webHidden/>
          </w:rPr>
          <w:fldChar w:fldCharType="separate"/>
        </w:r>
        <w:r w:rsidR="003E4210">
          <w:rPr>
            <w:noProof/>
            <w:webHidden/>
          </w:rPr>
          <w:t>160</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25" w:history="1">
        <w:r w:rsidR="003E4210" w:rsidRPr="005B500B">
          <w:rPr>
            <w:rStyle w:val="Hyperlink"/>
            <w:noProof/>
          </w:rPr>
          <w:t>9.23.6.5.3 Interference report</w:t>
        </w:r>
        <w:r w:rsidR="003E4210">
          <w:rPr>
            <w:noProof/>
            <w:webHidden/>
          </w:rPr>
          <w:tab/>
        </w:r>
        <w:r>
          <w:rPr>
            <w:noProof/>
            <w:webHidden/>
          </w:rPr>
          <w:fldChar w:fldCharType="begin"/>
        </w:r>
        <w:r w:rsidR="003E4210">
          <w:rPr>
            <w:noProof/>
            <w:webHidden/>
          </w:rPr>
          <w:instrText xml:space="preserve"> PAGEREF _Toc259717125 \h </w:instrText>
        </w:r>
        <w:r>
          <w:rPr>
            <w:noProof/>
            <w:webHidden/>
          </w:rPr>
        </w:r>
        <w:r>
          <w:rPr>
            <w:noProof/>
            <w:webHidden/>
          </w:rPr>
          <w:fldChar w:fldCharType="separate"/>
        </w:r>
        <w:r w:rsidR="003E4210">
          <w:rPr>
            <w:noProof/>
            <w:webHidden/>
          </w:rPr>
          <w:t>160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26" w:history="1">
        <w:r w:rsidR="003E4210" w:rsidRPr="005B500B">
          <w:rPr>
            <w:rStyle w:val="Hyperlink"/>
            <w:noProof/>
          </w:rPr>
          <w:t>9.23.6.6 Service period recovery</w:t>
        </w:r>
        <w:r w:rsidR="003E4210">
          <w:rPr>
            <w:noProof/>
            <w:webHidden/>
          </w:rPr>
          <w:tab/>
        </w:r>
        <w:r>
          <w:rPr>
            <w:noProof/>
            <w:webHidden/>
          </w:rPr>
          <w:fldChar w:fldCharType="begin"/>
        </w:r>
        <w:r w:rsidR="003E4210">
          <w:rPr>
            <w:noProof/>
            <w:webHidden/>
          </w:rPr>
          <w:instrText xml:space="preserve"> PAGEREF _Toc259717126 \h </w:instrText>
        </w:r>
        <w:r>
          <w:rPr>
            <w:noProof/>
            <w:webHidden/>
          </w:rPr>
        </w:r>
        <w:r>
          <w:rPr>
            <w:noProof/>
            <w:webHidden/>
          </w:rPr>
          <w:fldChar w:fldCharType="separate"/>
        </w:r>
        <w:r w:rsidR="003E4210">
          <w:rPr>
            <w:noProof/>
            <w:webHidden/>
          </w:rPr>
          <w:t>161</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27" w:history="1">
        <w:r w:rsidR="003E4210" w:rsidRPr="005B500B">
          <w:rPr>
            <w:rStyle w:val="Hyperlink"/>
            <w:noProof/>
          </w:rPr>
          <w:t>9.23.7</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Dynamic allocation of service period</w:t>
        </w:r>
        <w:r w:rsidR="003E4210">
          <w:rPr>
            <w:noProof/>
            <w:webHidden/>
          </w:rPr>
          <w:tab/>
        </w:r>
        <w:r>
          <w:rPr>
            <w:noProof/>
            <w:webHidden/>
          </w:rPr>
          <w:fldChar w:fldCharType="begin"/>
        </w:r>
        <w:r w:rsidR="003E4210">
          <w:rPr>
            <w:noProof/>
            <w:webHidden/>
          </w:rPr>
          <w:instrText xml:space="preserve"> PAGEREF _Toc259717127 \h </w:instrText>
        </w:r>
        <w:r>
          <w:rPr>
            <w:noProof/>
            <w:webHidden/>
          </w:rPr>
        </w:r>
        <w:r>
          <w:rPr>
            <w:noProof/>
            <w:webHidden/>
          </w:rPr>
          <w:fldChar w:fldCharType="separate"/>
        </w:r>
        <w:r w:rsidR="003E4210">
          <w:rPr>
            <w:noProof/>
            <w:webHidden/>
          </w:rPr>
          <w:t>162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28" w:history="1">
        <w:r w:rsidR="003E4210" w:rsidRPr="005B500B">
          <w:rPr>
            <w:rStyle w:val="Hyperlink"/>
            <w:noProof/>
          </w:rPr>
          <w:t>9.23.7.1 Polling period (PP)</w:t>
        </w:r>
        <w:r w:rsidR="003E4210">
          <w:rPr>
            <w:noProof/>
            <w:webHidden/>
          </w:rPr>
          <w:tab/>
        </w:r>
        <w:r>
          <w:rPr>
            <w:noProof/>
            <w:webHidden/>
          </w:rPr>
          <w:fldChar w:fldCharType="begin"/>
        </w:r>
        <w:r w:rsidR="003E4210">
          <w:rPr>
            <w:noProof/>
            <w:webHidden/>
          </w:rPr>
          <w:instrText xml:space="preserve"> PAGEREF _Toc259717128 \h </w:instrText>
        </w:r>
        <w:r>
          <w:rPr>
            <w:noProof/>
            <w:webHidden/>
          </w:rPr>
        </w:r>
        <w:r>
          <w:rPr>
            <w:noProof/>
            <w:webHidden/>
          </w:rPr>
          <w:fldChar w:fldCharType="separate"/>
        </w:r>
        <w:r w:rsidR="003E4210">
          <w:rPr>
            <w:noProof/>
            <w:webHidden/>
          </w:rPr>
          <w:t>163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29" w:history="1">
        <w:r w:rsidR="003E4210" w:rsidRPr="005B500B">
          <w:rPr>
            <w:rStyle w:val="Hyperlink"/>
            <w:noProof/>
          </w:rPr>
          <w:t>9.23.7.2 Grant period (GP)</w:t>
        </w:r>
        <w:r w:rsidR="003E4210">
          <w:rPr>
            <w:noProof/>
            <w:webHidden/>
          </w:rPr>
          <w:tab/>
        </w:r>
        <w:r>
          <w:rPr>
            <w:noProof/>
            <w:webHidden/>
          </w:rPr>
          <w:fldChar w:fldCharType="begin"/>
        </w:r>
        <w:r w:rsidR="003E4210">
          <w:rPr>
            <w:noProof/>
            <w:webHidden/>
          </w:rPr>
          <w:instrText xml:space="preserve"> PAGEREF _Toc259717129 \h </w:instrText>
        </w:r>
        <w:r>
          <w:rPr>
            <w:noProof/>
            <w:webHidden/>
          </w:rPr>
        </w:r>
        <w:r>
          <w:rPr>
            <w:noProof/>
            <w:webHidden/>
          </w:rPr>
          <w:fldChar w:fldCharType="separate"/>
        </w:r>
        <w:r w:rsidR="003E4210">
          <w:rPr>
            <w:noProof/>
            <w:webHidden/>
          </w:rPr>
          <w:t>164</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30" w:history="1">
        <w:r w:rsidR="003E4210" w:rsidRPr="005B500B">
          <w:rPr>
            <w:rStyle w:val="Hyperlink"/>
            <w:noProof/>
          </w:rPr>
          <w:t>9.23.8</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Dynamic truncation of service period</w:t>
        </w:r>
        <w:r w:rsidR="003E4210">
          <w:rPr>
            <w:noProof/>
            <w:webHidden/>
          </w:rPr>
          <w:tab/>
        </w:r>
        <w:r>
          <w:rPr>
            <w:noProof/>
            <w:webHidden/>
          </w:rPr>
          <w:fldChar w:fldCharType="begin"/>
        </w:r>
        <w:r w:rsidR="003E4210">
          <w:rPr>
            <w:noProof/>
            <w:webHidden/>
          </w:rPr>
          <w:instrText xml:space="preserve"> PAGEREF _Toc259717130 \h </w:instrText>
        </w:r>
        <w:r>
          <w:rPr>
            <w:noProof/>
            <w:webHidden/>
          </w:rPr>
        </w:r>
        <w:r>
          <w:rPr>
            <w:noProof/>
            <w:webHidden/>
          </w:rPr>
          <w:fldChar w:fldCharType="separate"/>
        </w:r>
        <w:r w:rsidR="003E4210">
          <w:rPr>
            <w:noProof/>
            <w:webHidden/>
          </w:rPr>
          <w:t>165</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31" w:history="1">
        <w:r w:rsidR="003E4210" w:rsidRPr="005B500B">
          <w:rPr>
            <w:rStyle w:val="Hyperlink"/>
            <w:noProof/>
          </w:rPr>
          <w:t>9.23.9</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Dynamic extension of service period</w:t>
        </w:r>
        <w:r w:rsidR="003E4210">
          <w:rPr>
            <w:noProof/>
            <w:webHidden/>
          </w:rPr>
          <w:tab/>
        </w:r>
        <w:r>
          <w:rPr>
            <w:noProof/>
            <w:webHidden/>
          </w:rPr>
          <w:fldChar w:fldCharType="begin"/>
        </w:r>
        <w:r w:rsidR="003E4210">
          <w:rPr>
            <w:noProof/>
            <w:webHidden/>
          </w:rPr>
          <w:instrText xml:space="preserve"> PAGEREF _Toc259717131 \h </w:instrText>
        </w:r>
        <w:r>
          <w:rPr>
            <w:noProof/>
            <w:webHidden/>
          </w:rPr>
        </w:r>
        <w:r>
          <w:rPr>
            <w:noProof/>
            <w:webHidden/>
          </w:rPr>
          <w:fldChar w:fldCharType="separate"/>
        </w:r>
        <w:r w:rsidR="003E4210">
          <w:rPr>
            <w:noProof/>
            <w:webHidden/>
          </w:rPr>
          <w:t>166</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32" w:history="1">
        <w:r w:rsidR="003E4210" w:rsidRPr="005B500B">
          <w:rPr>
            <w:rStyle w:val="Hyperlink"/>
            <w:noProof/>
          </w:rPr>
          <w:t>9.23.10</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NAV update</w:t>
        </w:r>
        <w:r w:rsidR="003E4210">
          <w:rPr>
            <w:noProof/>
            <w:webHidden/>
          </w:rPr>
          <w:tab/>
        </w:r>
        <w:r>
          <w:rPr>
            <w:noProof/>
            <w:webHidden/>
          </w:rPr>
          <w:fldChar w:fldCharType="begin"/>
        </w:r>
        <w:r w:rsidR="003E4210">
          <w:rPr>
            <w:noProof/>
            <w:webHidden/>
          </w:rPr>
          <w:instrText xml:space="preserve"> PAGEREF _Toc259717132 \h </w:instrText>
        </w:r>
        <w:r>
          <w:rPr>
            <w:noProof/>
            <w:webHidden/>
          </w:rPr>
        </w:r>
        <w:r>
          <w:rPr>
            <w:noProof/>
            <w:webHidden/>
          </w:rPr>
          <w:fldChar w:fldCharType="separate"/>
        </w:r>
        <w:r w:rsidR="003E4210">
          <w:rPr>
            <w:noProof/>
            <w:webHidden/>
          </w:rPr>
          <w:t>167</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33" w:history="1">
        <w:r w:rsidR="003E4210" w:rsidRPr="005B500B">
          <w:rPr>
            <w:rStyle w:val="Hyperlink"/>
            <w:noProof/>
          </w:rPr>
          <w:t>9.24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PCP/AP Clustering</w:t>
        </w:r>
        <w:r w:rsidR="003E4210">
          <w:rPr>
            <w:noProof/>
            <w:webHidden/>
          </w:rPr>
          <w:tab/>
        </w:r>
        <w:r>
          <w:rPr>
            <w:noProof/>
            <w:webHidden/>
          </w:rPr>
          <w:fldChar w:fldCharType="begin"/>
        </w:r>
        <w:r w:rsidR="003E4210">
          <w:rPr>
            <w:noProof/>
            <w:webHidden/>
          </w:rPr>
          <w:instrText xml:space="preserve"> PAGEREF _Toc259717133 \h </w:instrText>
        </w:r>
        <w:r>
          <w:rPr>
            <w:noProof/>
            <w:webHidden/>
          </w:rPr>
        </w:r>
        <w:r>
          <w:rPr>
            <w:noProof/>
            <w:webHidden/>
          </w:rPr>
          <w:fldChar w:fldCharType="separate"/>
        </w:r>
        <w:r w:rsidR="003E4210">
          <w:rPr>
            <w:noProof/>
            <w:webHidden/>
          </w:rPr>
          <w:t>169</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4" w:history="1">
        <w:r w:rsidR="003E4210" w:rsidRPr="005B500B">
          <w:rPr>
            <w:rStyle w:val="Hyperlink"/>
            <w:noProof/>
          </w:rPr>
          <w:t>9.24.1 Cluster formation</w:t>
        </w:r>
        <w:r w:rsidR="003E4210">
          <w:rPr>
            <w:noProof/>
            <w:webHidden/>
          </w:rPr>
          <w:tab/>
        </w:r>
        <w:r>
          <w:rPr>
            <w:noProof/>
            <w:webHidden/>
          </w:rPr>
          <w:fldChar w:fldCharType="begin"/>
        </w:r>
        <w:r w:rsidR="003E4210">
          <w:rPr>
            <w:noProof/>
            <w:webHidden/>
          </w:rPr>
          <w:instrText xml:space="preserve"> PAGEREF _Toc259717134 \h </w:instrText>
        </w:r>
        <w:r>
          <w:rPr>
            <w:noProof/>
            <w:webHidden/>
          </w:rPr>
        </w:r>
        <w:r>
          <w:rPr>
            <w:noProof/>
            <w:webHidden/>
          </w:rPr>
          <w:fldChar w:fldCharType="separate"/>
        </w:r>
        <w:r w:rsidR="003E4210">
          <w:rPr>
            <w:noProof/>
            <w:webHidden/>
          </w:rPr>
          <w:t>170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5" w:history="1">
        <w:r w:rsidR="003E4210" w:rsidRPr="005B500B">
          <w:rPr>
            <w:rStyle w:val="Hyperlink"/>
            <w:noProof/>
          </w:rPr>
          <w:t>9.24.2 Cluster maintenance</w:t>
        </w:r>
        <w:r w:rsidR="003E4210">
          <w:rPr>
            <w:noProof/>
            <w:webHidden/>
          </w:rPr>
          <w:tab/>
        </w:r>
        <w:r>
          <w:rPr>
            <w:noProof/>
            <w:webHidden/>
          </w:rPr>
          <w:fldChar w:fldCharType="begin"/>
        </w:r>
        <w:r w:rsidR="003E4210">
          <w:rPr>
            <w:noProof/>
            <w:webHidden/>
          </w:rPr>
          <w:instrText xml:space="preserve"> PAGEREF _Toc259717135 \h </w:instrText>
        </w:r>
        <w:r>
          <w:rPr>
            <w:noProof/>
            <w:webHidden/>
          </w:rPr>
        </w:r>
        <w:r>
          <w:rPr>
            <w:noProof/>
            <w:webHidden/>
          </w:rPr>
          <w:fldChar w:fldCharType="separate"/>
        </w:r>
        <w:r w:rsidR="003E4210">
          <w:rPr>
            <w:noProof/>
            <w:webHidden/>
          </w:rPr>
          <w:t>171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6" w:history="1">
        <w:r w:rsidR="003E4210" w:rsidRPr="005B500B">
          <w:rPr>
            <w:rStyle w:val="Hyperlink"/>
            <w:noProof/>
          </w:rPr>
          <w:t>9.24.3 Cluster report and re-scheduling</w:t>
        </w:r>
        <w:r w:rsidR="003E4210">
          <w:rPr>
            <w:noProof/>
            <w:webHidden/>
          </w:rPr>
          <w:tab/>
        </w:r>
        <w:r>
          <w:rPr>
            <w:noProof/>
            <w:webHidden/>
          </w:rPr>
          <w:fldChar w:fldCharType="begin"/>
        </w:r>
        <w:r w:rsidR="003E4210">
          <w:rPr>
            <w:noProof/>
            <w:webHidden/>
          </w:rPr>
          <w:instrText xml:space="preserve"> PAGEREF _Toc259717136 \h </w:instrText>
        </w:r>
        <w:r>
          <w:rPr>
            <w:noProof/>
            <w:webHidden/>
          </w:rPr>
        </w:r>
        <w:r>
          <w:rPr>
            <w:noProof/>
            <w:webHidden/>
          </w:rPr>
          <w:fldChar w:fldCharType="separate"/>
        </w:r>
        <w:r w:rsidR="003E4210">
          <w:rPr>
            <w:noProof/>
            <w:webHidden/>
          </w:rPr>
          <w:t>172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7" w:history="1">
        <w:r w:rsidR="003E4210" w:rsidRPr="005B500B">
          <w:rPr>
            <w:rStyle w:val="Hyperlink"/>
            <w:noProof/>
          </w:rPr>
          <w:t>9.24.4 Cluster request</w:t>
        </w:r>
        <w:r w:rsidR="003E4210">
          <w:rPr>
            <w:noProof/>
            <w:webHidden/>
          </w:rPr>
          <w:tab/>
        </w:r>
        <w:r>
          <w:rPr>
            <w:noProof/>
            <w:webHidden/>
          </w:rPr>
          <w:fldChar w:fldCharType="begin"/>
        </w:r>
        <w:r w:rsidR="003E4210">
          <w:rPr>
            <w:noProof/>
            <w:webHidden/>
          </w:rPr>
          <w:instrText xml:space="preserve"> PAGEREF _Toc259717137 \h </w:instrText>
        </w:r>
        <w:r>
          <w:rPr>
            <w:noProof/>
            <w:webHidden/>
          </w:rPr>
        </w:r>
        <w:r>
          <w:rPr>
            <w:noProof/>
            <w:webHidden/>
          </w:rPr>
          <w:fldChar w:fldCharType="separate"/>
        </w:r>
        <w:r w:rsidR="003E4210">
          <w:rPr>
            <w:noProof/>
            <w:webHidden/>
          </w:rPr>
          <w:t>173</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38" w:history="1">
        <w:r w:rsidR="003E4210" w:rsidRPr="005B500B">
          <w:rPr>
            <w:rStyle w:val="Hyperlink"/>
            <w:noProof/>
          </w:rPr>
          <w:t>9.25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Beamforming</w:t>
        </w:r>
        <w:r w:rsidR="003E4210">
          <w:rPr>
            <w:noProof/>
            <w:webHidden/>
          </w:rPr>
          <w:tab/>
        </w:r>
        <w:r>
          <w:rPr>
            <w:noProof/>
            <w:webHidden/>
          </w:rPr>
          <w:fldChar w:fldCharType="begin"/>
        </w:r>
        <w:r w:rsidR="003E4210">
          <w:rPr>
            <w:noProof/>
            <w:webHidden/>
          </w:rPr>
          <w:instrText xml:space="preserve"> PAGEREF _Toc259717138 \h </w:instrText>
        </w:r>
        <w:r>
          <w:rPr>
            <w:noProof/>
            <w:webHidden/>
          </w:rPr>
        </w:r>
        <w:r>
          <w:rPr>
            <w:noProof/>
            <w:webHidden/>
          </w:rPr>
          <w:fldChar w:fldCharType="separate"/>
        </w:r>
        <w:r w:rsidR="003E4210">
          <w:rPr>
            <w:noProof/>
            <w:webHidden/>
          </w:rPr>
          <w:t>174</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9" w:history="1">
        <w:r w:rsidR="003E4210" w:rsidRPr="005B500B">
          <w:rPr>
            <w:rStyle w:val="Hyperlink"/>
            <w:noProof/>
          </w:rPr>
          <w:t>9.25.1 Sector Level Sweep Phase</w:t>
        </w:r>
        <w:r w:rsidR="003E4210">
          <w:rPr>
            <w:noProof/>
            <w:webHidden/>
          </w:rPr>
          <w:tab/>
        </w:r>
        <w:r>
          <w:rPr>
            <w:noProof/>
            <w:webHidden/>
          </w:rPr>
          <w:fldChar w:fldCharType="begin"/>
        </w:r>
        <w:r w:rsidR="003E4210">
          <w:rPr>
            <w:noProof/>
            <w:webHidden/>
          </w:rPr>
          <w:instrText xml:space="preserve"> PAGEREF _Toc259717139 \h </w:instrText>
        </w:r>
        <w:r>
          <w:rPr>
            <w:noProof/>
            <w:webHidden/>
          </w:rPr>
        </w:r>
        <w:r>
          <w:rPr>
            <w:noProof/>
            <w:webHidden/>
          </w:rPr>
          <w:fldChar w:fldCharType="separate"/>
        </w:r>
        <w:r w:rsidR="003E4210">
          <w:rPr>
            <w:noProof/>
            <w:webHidden/>
          </w:rPr>
          <w:t>175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40" w:history="1">
        <w:r w:rsidR="003E4210" w:rsidRPr="005B500B">
          <w:rPr>
            <w:rStyle w:val="Hyperlink"/>
            <w:noProof/>
          </w:rPr>
          <w:t>9.25.1.1 Initiator Sector Sweep</w:t>
        </w:r>
        <w:r w:rsidR="003E4210">
          <w:rPr>
            <w:noProof/>
            <w:webHidden/>
          </w:rPr>
          <w:tab/>
        </w:r>
        <w:r>
          <w:rPr>
            <w:noProof/>
            <w:webHidden/>
          </w:rPr>
          <w:fldChar w:fldCharType="begin"/>
        </w:r>
        <w:r w:rsidR="003E4210">
          <w:rPr>
            <w:noProof/>
            <w:webHidden/>
          </w:rPr>
          <w:instrText xml:space="preserve"> PAGEREF _Toc259717140 \h </w:instrText>
        </w:r>
        <w:r>
          <w:rPr>
            <w:noProof/>
            <w:webHidden/>
          </w:rPr>
        </w:r>
        <w:r>
          <w:rPr>
            <w:noProof/>
            <w:webHidden/>
          </w:rPr>
          <w:fldChar w:fldCharType="separate"/>
        </w:r>
        <w:r w:rsidR="003E4210">
          <w:rPr>
            <w:noProof/>
            <w:webHidden/>
          </w:rPr>
          <w:t>177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41" w:history="1">
        <w:r w:rsidR="003E4210" w:rsidRPr="005B500B">
          <w:rPr>
            <w:rStyle w:val="Hyperlink"/>
            <w:noProof/>
          </w:rPr>
          <w:t>9.25.1.1.1 Initiator TXSS</w:t>
        </w:r>
        <w:r w:rsidR="003E4210">
          <w:rPr>
            <w:noProof/>
            <w:webHidden/>
          </w:rPr>
          <w:tab/>
        </w:r>
        <w:r>
          <w:rPr>
            <w:noProof/>
            <w:webHidden/>
          </w:rPr>
          <w:fldChar w:fldCharType="begin"/>
        </w:r>
        <w:r w:rsidR="003E4210">
          <w:rPr>
            <w:noProof/>
            <w:webHidden/>
          </w:rPr>
          <w:instrText xml:space="preserve"> PAGEREF _Toc259717141 \h </w:instrText>
        </w:r>
        <w:r>
          <w:rPr>
            <w:noProof/>
            <w:webHidden/>
          </w:rPr>
        </w:r>
        <w:r>
          <w:rPr>
            <w:noProof/>
            <w:webHidden/>
          </w:rPr>
          <w:fldChar w:fldCharType="separate"/>
        </w:r>
        <w:r w:rsidR="003E4210">
          <w:rPr>
            <w:noProof/>
            <w:webHidden/>
          </w:rPr>
          <w:t>178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42" w:history="1">
        <w:r w:rsidR="003E4210" w:rsidRPr="005B500B">
          <w:rPr>
            <w:rStyle w:val="Hyperlink"/>
            <w:noProof/>
          </w:rPr>
          <w:t>9.25.1.1.2 Initiator RXSS</w:t>
        </w:r>
        <w:r w:rsidR="003E4210">
          <w:rPr>
            <w:noProof/>
            <w:webHidden/>
          </w:rPr>
          <w:tab/>
        </w:r>
        <w:r>
          <w:rPr>
            <w:noProof/>
            <w:webHidden/>
          </w:rPr>
          <w:fldChar w:fldCharType="begin"/>
        </w:r>
        <w:r w:rsidR="003E4210">
          <w:rPr>
            <w:noProof/>
            <w:webHidden/>
          </w:rPr>
          <w:instrText xml:space="preserve"> PAGEREF _Toc259717142 \h </w:instrText>
        </w:r>
        <w:r>
          <w:rPr>
            <w:noProof/>
            <w:webHidden/>
          </w:rPr>
        </w:r>
        <w:r>
          <w:rPr>
            <w:noProof/>
            <w:webHidden/>
          </w:rPr>
          <w:fldChar w:fldCharType="separate"/>
        </w:r>
        <w:r w:rsidR="003E4210">
          <w:rPr>
            <w:noProof/>
            <w:webHidden/>
          </w:rPr>
          <w:t>179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43" w:history="1">
        <w:r w:rsidR="003E4210" w:rsidRPr="005B500B">
          <w:rPr>
            <w:rStyle w:val="Hyperlink"/>
            <w:noProof/>
          </w:rPr>
          <w:t>9.25.1.2 Responder Sector Sweep</w:t>
        </w:r>
        <w:r w:rsidR="003E4210">
          <w:rPr>
            <w:noProof/>
            <w:webHidden/>
          </w:rPr>
          <w:tab/>
        </w:r>
        <w:r>
          <w:rPr>
            <w:noProof/>
            <w:webHidden/>
          </w:rPr>
          <w:fldChar w:fldCharType="begin"/>
        </w:r>
        <w:r w:rsidR="003E4210">
          <w:rPr>
            <w:noProof/>
            <w:webHidden/>
          </w:rPr>
          <w:instrText xml:space="preserve"> PAGEREF _Toc259717143 \h </w:instrText>
        </w:r>
        <w:r>
          <w:rPr>
            <w:noProof/>
            <w:webHidden/>
          </w:rPr>
        </w:r>
        <w:r>
          <w:rPr>
            <w:noProof/>
            <w:webHidden/>
          </w:rPr>
          <w:fldChar w:fldCharType="separate"/>
        </w:r>
        <w:r w:rsidR="003E4210">
          <w:rPr>
            <w:noProof/>
            <w:webHidden/>
          </w:rPr>
          <w:t>179</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44" w:history="1">
        <w:r w:rsidR="003E4210" w:rsidRPr="005B500B">
          <w:rPr>
            <w:rStyle w:val="Hyperlink"/>
            <w:noProof/>
          </w:rPr>
          <w:t>9.25.1.2.1 Responder TXSS</w:t>
        </w:r>
        <w:r w:rsidR="003E4210">
          <w:rPr>
            <w:noProof/>
            <w:webHidden/>
          </w:rPr>
          <w:tab/>
        </w:r>
        <w:r>
          <w:rPr>
            <w:noProof/>
            <w:webHidden/>
          </w:rPr>
          <w:fldChar w:fldCharType="begin"/>
        </w:r>
        <w:r w:rsidR="003E4210">
          <w:rPr>
            <w:noProof/>
            <w:webHidden/>
          </w:rPr>
          <w:instrText xml:space="preserve"> PAGEREF _Toc259717144 \h </w:instrText>
        </w:r>
        <w:r>
          <w:rPr>
            <w:noProof/>
            <w:webHidden/>
          </w:rPr>
        </w:r>
        <w:r>
          <w:rPr>
            <w:noProof/>
            <w:webHidden/>
          </w:rPr>
          <w:fldChar w:fldCharType="separate"/>
        </w:r>
        <w:r w:rsidR="003E4210">
          <w:rPr>
            <w:noProof/>
            <w:webHidden/>
          </w:rPr>
          <w:t>180</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45" w:history="1">
        <w:r w:rsidR="003E4210" w:rsidRPr="005B500B">
          <w:rPr>
            <w:rStyle w:val="Hyperlink"/>
            <w:noProof/>
          </w:rPr>
          <w:t>9.25.1.2.2 Responder RXSS</w:t>
        </w:r>
        <w:r w:rsidR="003E4210">
          <w:rPr>
            <w:noProof/>
            <w:webHidden/>
          </w:rPr>
          <w:tab/>
        </w:r>
        <w:r>
          <w:rPr>
            <w:noProof/>
            <w:webHidden/>
          </w:rPr>
          <w:fldChar w:fldCharType="begin"/>
        </w:r>
        <w:r w:rsidR="003E4210">
          <w:rPr>
            <w:noProof/>
            <w:webHidden/>
          </w:rPr>
          <w:instrText xml:space="preserve"> PAGEREF _Toc259717145 \h </w:instrText>
        </w:r>
        <w:r>
          <w:rPr>
            <w:noProof/>
            <w:webHidden/>
          </w:rPr>
        </w:r>
        <w:r>
          <w:rPr>
            <w:noProof/>
            <w:webHidden/>
          </w:rPr>
          <w:fldChar w:fldCharType="separate"/>
        </w:r>
        <w:r w:rsidR="003E4210">
          <w:rPr>
            <w:noProof/>
            <w:webHidden/>
          </w:rPr>
          <w:t>181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46" w:history="1">
        <w:r w:rsidR="003E4210" w:rsidRPr="005B500B">
          <w:rPr>
            <w:rStyle w:val="Hyperlink"/>
            <w:noProof/>
          </w:rPr>
          <w:t>9.25.1.3 Sector Sweep Feedback</w:t>
        </w:r>
        <w:r w:rsidR="003E4210">
          <w:rPr>
            <w:noProof/>
            <w:webHidden/>
          </w:rPr>
          <w:tab/>
        </w:r>
        <w:r>
          <w:rPr>
            <w:noProof/>
            <w:webHidden/>
          </w:rPr>
          <w:fldChar w:fldCharType="begin"/>
        </w:r>
        <w:r w:rsidR="003E4210">
          <w:rPr>
            <w:noProof/>
            <w:webHidden/>
          </w:rPr>
          <w:instrText xml:space="preserve"> PAGEREF _Toc259717146 \h </w:instrText>
        </w:r>
        <w:r>
          <w:rPr>
            <w:noProof/>
            <w:webHidden/>
          </w:rPr>
        </w:r>
        <w:r>
          <w:rPr>
            <w:noProof/>
            <w:webHidden/>
          </w:rPr>
          <w:fldChar w:fldCharType="separate"/>
        </w:r>
        <w:r w:rsidR="003E4210">
          <w:rPr>
            <w:noProof/>
            <w:webHidden/>
          </w:rPr>
          <w:t>182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47" w:history="1">
        <w:r w:rsidR="003E4210" w:rsidRPr="005B500B">
          <w:rPr>
            <w:rStyle w:val="Hyperlink"/>
            <w:noProof/>
          </w:rPr>
          <w:t>9.25.1.4 Sector Sweep ACK</w:t>
        </w:r>
        <w:r w:rsidR="003E4210">
          <w:rPr>
            <w:noProof/>
            <w:webHidden/>
          </w:rPr>
          <w:tab/>
        </w:r>
        <w:r>
          <w:rPr>
            <w:noProof/>
            <w:webHidden/>
          </w:rPr>
          <w:fldChar w:fldCharType="begin"/>
        </w:r>
        <w:r w:rsidR="003E4210">
          <w:rPr>
            <w:noProof/>
            <w:webHidden/>
          </w:rPr>
          <w:instrText xml:space="preserve"> PAGEREF _Toc259717147 \h </w:instrText>
        </w:r>
        <w:r>
          <w:rPr>
            <w:noProof/>
            <w:webHidden/>
          </w:rPr>
        </w:r>
        <w:r>
          <w:rPr>
            <w:noProof/>
            <w:webHidden/>
          </w:rPr>
          <w:fldChar w:fldCharType="separate"/>
        </w:r>
        <w:r w:rsidR="003E4210">
          <w:rPr>
            <w:noProof/>
            <w:webHidden/>
          </w:rPr>
          <w:t>183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48" w:history="1">
        <w:r w:rsidR="003E4210" w:rsidRPr="005B500B">
          <w:rPr>
            <w:rStyle w:val="Hyperlink"/>
            <w:noProof/>
          </w:rPr>
          <w:t>9.25.2 Beam Refinement (BRP) Phase</w:t>
        </w:r>
        <w:r w:rsidR="003E4210">
          <w:rPr>
            <w:noProof/>
            <w:webHidden/>
          </w:rPr>
          <w:tab/>
        </w:r>
        <w:r>
          <w:rPr>
            <w:noProof/>
            <w:webHidden/>
          </w:rPr>
          <w:fldChar w:fldCharType="begin"/>
        </w:r>
        <w:r w:rsidR="003E4210">
          <w:rPr>
            <w:noProof/>
            <w:webHidden/>
          </w:rPr>
          <w:instrText xml:space="preserve"> PAGEREF _Toc259717148 \h </w:instrText>
        </w:r>
        <w:r>
          <w:rPr>
            <w:noProof/>
            <w:webHidden/>
          </w:rPr>
        </w:r>
        <w:r>
          <w:rPr>
            <w:noProof/>
            <w:webHidden/>
          </w:rPr>
          <w:fldChar w:fldCharType="separate"/>
        </w:r>
        <w:r w:rsidR="003E4210">
          <w:rPr>
            <w:noProof/>
            <w:webHidden/>
          </w:rPr>
          <w:t>183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49" w:history="1">
        <w:r w:rsidR="003E4210" w:rsidRPr="005B500B">
          <w:rPr>
            <w:rStyle w:val="Hyperlink"/>
            <w:noProof/>
          </w:rPr>
          <w:t>9.25.2.1 BRP setup sub-phase</w:t>
        </w:r>
        <w:r w:rsidR="003E4210">
          <w:rPr>
            <w:noProof/>
            <w:webHidden/>
          </w:rPr>
          <w:tab/>
        </w:r>
        <w:r>
          <w:rPr>
            <w:noProof/>
            <w:webHidden/>
          </w:rPr>
          <w:fldChar w:fldCharType="begin"/>
        </w:r>
        <w:r w:rsidR="003E4210">
          <w:rPr>
            <w:noProof/>
            <w:webHidden/>
          </w:rPr>
          <w:instrText xml:space="preserve"> PAGEREF _Toc259717149 \h </w:instrText>
        </w:r>
        <w:r>
          <w:rPr>
            <w:noProof/>
            <w:webHidden/>
          </w:rPr>
        </w:r>
        <w:r>
          <w:rPr>
            <w:noProof/>
            <w:webHidden/>
          </w:rPr>
          <w:fldChar w:fldCharType="separate"/>
        </w:r>
        <w:r w:rsidR="003E4210">
          <w:rPr>
            <w:noProof/>
            <w:webHidden/>
          </w:rPr>
          <w:t>185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50" w:history="1">
        <w:r w:rsidR="003E4210" w:rsidRPr="005B500B">
          <w:rPr>
            <w:rStyle w:val="Hyperlink"/>
            <w:noProof/>
          </w:rPr>
          <w:t>9.25.3 Beamforming in BT</w:t>
        </w:r>
        <w:r w:rsidR="003E4210">
          <w:rPr>
            <w:noProof/>
            <w:webHidden/>
          </w:rPr>
          <w:tab/>
        </w:r>
        <w:r>
          <w:rPr>
            <w:noProof/>
            <w:webHidden/>
          </w:rPr>
          <w:fldChar w:fldCharType="begin"/>
        </w:r>
        <w:r w:rsidR="003E4210">
          <w:rPr>
            <w:noProof/>
            <w:webHidden/>
          </w:rPr>
          <w:instrText xml:space="preserve"> PAGEREF _Toc259717150 \h </w:instrText>
        </w:r>
        <w:r>
          <w:rPr>
            <w:noProof/>
            <w:webHidden/>
          </w:rPr>
        </w:r>
        <w:r>
          <w:rPr>
            <w:noProof/>
            <w:webHidden/>
          </w:rPr>
          <w:fldChar w:fldCharType="separate"/>
        </w:r>
        <w:r w:rsidR="003E4210">
          <w:rPr>
            <w:noProof/>
            <w:webHidden/>
          </w:rPr>
          <w:t>187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51" w:history="1">
        <w:r w:rsidR="003E4210" w:rsidRPr="005B500B">
          <w:rPr>
            <w:rStyle w:val="Hyperlink"/>
            <w:noProof/>
          </w:rPr>
          <w:t>9.25.4 Beamforming in A-BFT</w:t>
        </w:r>
        <w:r w:rsidR="003E4210">
          <w:rPr>
            <w:noProof/>
            <w:webHidden/>
          </w:rPr>
          <w:tab/>
        </w:r>
        <w:r>
          <w:rPr>
            <w:noProof/>
            <w:webHidden/>
          </w:rPr>
          <w:fldChar w:fldCharType="begin"/>
        </w:r>
        <w:r w:rsidR="003E4210">
          <w:rPr>
            <w:noProof/>
            <w:webHidden/>
          </w:rPr>
          <w:instrText xml:space="preserve"> PAGEREF _Toc259717151 \h </w:instrText>
        </w:r>
        <w:r>
          <w:rPr>
            <w:noProof/>
            <w:webHidden/>
          </w:rPr>
        </w:r>
        <w:r>
          <w:rPr>
            <w:noProof/>
            <w:webHidden/>
          </w:rPr>
          <w:fldChar w:fldCharType="separate"/>
        </w:r>
        <w:r w:rsidR="003E4210">
          <w:rPr>
            <w:noProof/>
            <w:webHidden/>
          </w:rPr>
          <w:t>188</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2" w:history="1">
        <w:r w:rsidR="003E4210" w:rsidRPr="005B500B">
          <w:rPr>
            <w:rStyle w:val="Hyperlink"/>
            <w:noProof/>
          </w:rPr>
          <w:t>9.25.4.1</w:t>
        </w:r>
        <w:r w:rsidR="003E4210">
          <w:rPr>
            <w:rFonts w:asciiTheme="minorHAnsi" w:eastAsiaTheme="minorEastAsia" w:hAnsiTheme="minorHAnsi" w:cstheme="minorBidi"/>
            <w:noProof/>
            <w:sz w:val="22"/>
            <w:szCs w:val="22"/>
            <w:lang w:bidi="ar-SA"/>
          </w:rPr>
          <w:tab/>
        </w:r>
        <w:r w:rsidR="003E4210" w:rsidRPr="005B500B">
          <w:rPr>
            <w:rStyle w:val="Hyperlink"/>
            <w:noProof/>
          </w:rPr>
          <w:t>Allocation of A-BFT</w:t>
        </w:r>
        <w:r w:rsidR="003E4210">
          <w:rPr>
            <w:noProof/>
            <w:webHidden/>
          </w:rPr>
          <w:tab/>
        </w:r>
        <w:r>
          <w:rPr>
            <w:noProof/>
            <w:webHidden/>
          </w:rPr>
          <w:fldChar w:fldCharType="begin"/>
        </w:r>
        <w:r w:rsidR="003E4210">
          <w:rPr>
            <w:noProof/>
            <w:webHidden/>
          </w:rPr>
          <w:instrText xml:space="preserve"> PAGEREF _Toc259717152 \h </w:instrText>
        </w:r>
        <w:r>
          <w:rPr>
            <w:noProof/>
            <w:webHidden/>
          </w:rPr>
        </w:r>
        <w:r>
          <w:rPr>
            <w:noProof/>
            <w:webHidden/>
          </w:rPr>
          <w:fldChar w:fldCharType="separate"/>
        </w:r>
        <w:r w:rsidR="003E4210">
          <w:rPr>
            <w:noProof/>
            <w:webHidden/>
          </w:rPr>
          <w:t>188</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3" w:history="1">
        <w:r w:rsidR="003E4210" w:rsidRPr="005B500B">
          <w:rPr>
            <w:rStyle w:val="Hyperlink"/>
            <w:noProof/>
          </w:rPr>
          <w:t>9.25.4.2</w:t>
        </w:r>
        <w:r w:rsidR="003E4210">
          <w:rPr>
            <w:rFonts w:asciiTheme="minorHAnsi" w:eastAsiaTheme="minorEastAsia" w:hAnsiTheme="minorHAnsi" w:cstheme="minorBidi"/>
            <w:noProof/>
            <w:sz w:val="22"/>
            <w:szCs w:val="22"/>
            <w:lang w:bidi="ar-SA"/>
          </w:rPr>
          <w:tab/>
        </w:r>
        <w:r w:rsidR="003E4210" w:rsidRPr="005B500B">
          <w:rPr>
            <w:rStyle w:val="Hyperlink"/>
            <w:noProof/>
          </w:rPr>
          <w:t>Operation during the A-BFT</w:t>
        </w:r>
        <w:r w:rsidR="003E4210">
          <w:rPr>
            <w:noProof/>
            <w:webHidden/>
          </w:rPr>
          <w:tab/>
        </w:r>
        <w:r>
          <w:rPr>
            <w:noProof/>
            <w:webHidden/>
          </w:rPr>
          <w:fldChar w:fldCharType="begin"/>
        </w:r>
        <w:r w:rsidR="003E4210">
          <w:rPr>
            <w:noProof/>
            <w:webHidden/>
          </w:rPr>
          <w:instrText xml:space="preserve"> PAGEREF _Toc259717153 \h </w:instrText>
        </w:r>
        <w:r>
          <w:rPr>
            <w:noProof/>
            <w:webHidden/>
          </w:rPr>
        </w:r>
        <w:r>
          <w:rPr>
            <w:noProof/>
            <w:webHidden/>
          </w:rPr>
          <w:fldChar w:fldCharType="separate"/>
        </w:r>
        <w:r w:rsidR="003E4210">
          <w:rPr>
            <w:noProof/>
            <w:webHidden/>
          </w:rPr>
          <w:t>188</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4" w:history="1">
        <w:r w:rsidR="003E4210" w:rsidRPr="005B500B">
          <w:rPr>
            <w:rStyle w:val="Hyperlink"/>
            <w:noProof/>
          </w:rPr>
          <w:t>9.25.4.3</w:t>
        </w:r>
        <w:r w:rsidR="003E4210">
          <w:rPr>
            <w:rFonts w:asciiTheme="minorHAnsi" w:eastAsiaTheme="minorEastAsia" w:hAnsiTheme="minorHAnsi" w:cstheme="minorBidi"/>
            <w:noProof/>
            <w:sz w:val="22"/>
            <w:szCs w:val="22"/>
            <w:lang w:bidi="ar-SA"/>
          </w:rPr>
          <w:tab/>
        </w:r>
        <w:r w:rsidR="003E4210" w:rsidRPr="005B500B">
          <w:rPr>
            <w:rStyle w:val="Hyperlink"/>
            <w:noProof/>
          </w:rPr>
          <w:t>STA Beamforming after A-BFT</w:t>
        </w:r>
        <w:r w:rsidR="003E4210">
          <w:rPr>
            <w:noProof/>
            <w:webHidden/>
          </w:rPr>
          <w:tab/>
        </w:r>
        <w:r>
          <w:rPr>
            <w:noProof/>
            <w:webHidden/>
          </w:rPr>
          <w:fldChar w:fldCharType="begin"/>
        </w:r>
        <w:r w:rsidR="003E4210">
          <w:rPr>
            <w:noProof/>
            <w:webHidden/>
          </w:rPr>
          <w:instrText xml:space="preserve"> PAGEREF _Toc259717154 \h </w:instrText>
        </w:r>
        <w:r>
          <w:rPr>
            <w:noProof/>
            <w:webHidden/>
          </w:rPr>
        </w:r>
        <w:r>
          <w:rPr>
            <w:noProof/>
            <w:webHidden/>
          </w:rPr>
          <w:fldChar w:fldCharType="separate"/>
        </w:r>
        <w:r w:rsidR="003E4210">
          <w:rPr>
            <w:noProof/>
            <w:webHidden/>
          </w:rPr>
          <w:t>191</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5" w:history="1">
        <w:r w:rsidR="003E4210" w:rsidRPr="005B500B">
          <w:rPr>
            <w:rStyle w:val="Hyperlink"/>
            <w:noProof/>
          </w:rPr>
          <w:t>9.25.4.4</w:t>
        </w:r>
        <w:r w:rsidR="003E4210">
          <w:rPr>
            <w:rFonts w:asciiTheme="minorHAnsi" w:eastAsiaTheme="minorEastAsia" w:hAnsiTheme="minorHAnsi" w:cstheme="minorBidi"/>
            <w:noProof/>
            <w:sz w:val="22"/>
            <w:szCs w:val="22"/>
            <w:lang w:bidi="ar-SA"/>
          </w:rPr>
          <w:tab/>
        </w:r>
        <w:r w:rsidR="003E4210" w:rsidRPr="005B500B">
          <w:rPr>
            <w:rStyle w:val="Hyperlink"/>
            <w:noProof/>
          </w:rPr>
          <w:t>Beamforming in A-BFT with multiple antennas</w:t>
        </w:r>
        <w:r w:rsidR="003E4210">
          <w:rPr>
            <w:noProof/>
            <w:webHidden/>
          </w:rPr>
          <w:tab/>
        </w:r>
        <w:r>
          <w:rPr>
            <w:noProof/>
            <w:webHidden/>
          </w:rPr>
          <w:fldChar w:fldCharType="begin"/>
        </w:r>
        <w:r w:rsidR="003E4210">
          <w:rPr>
            <w:noProof/>
            <w:webHidden/>
          </w:rPr>
          <w:instrText xml:space="preserve"> PAGEREF _Toc259717155 \h </w:instrText>
        </w:r>
        <w:r>
          <w:rPr>
            <w:noProof/>
            <w:webHidden/>
          </w:rPr>
        </w:r>
        <w:r>
          <w:rPr>
            <w:noProof/>
            <w:webHidden/>
          </w:rPr>
          <w:fldChar w:fldCharType="separate"/>
        </w:r>
        <w:r w:rsidR="003E4210">
          <w:rPr>
            <w:noProof/>
            <w:webHidden/>
          </w:rPr>
          <w:t>192</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56" w:history="1">
        <w:r w:rsidR="003E4210" w:rsidRPr="005B500B">
          <w:rPr>
            <w:rStyle w:val="Hyperlink"/>
            <w:noProof/>
          </w:rPr>
          <w:t>9.25.5</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Beamforming in DTT</w:t>
        </w:r>
        <w:r w:rsidR="003E4210">
          <w:rPr>
            <w:noProof/>
            <w:webHidden/>
          </w:rPr>
          <w:tab/>
        </w:r>
        <w:r>
          <w:rPr>
            <w:noProof/>
            <w:webHidden/>
          </w:rPr>
          <w:fldChar w:fldCharType="begin"/>
        </w:r>
        <w:r w:rsidR="003E4210">
          <w:rPr>
            <w:noProof/>
            <w:webHidden/>
          </w:rPr>
          <w:instrText xml:space="preserve"> PAGEREF _Toc259717156 \h </w:instrText>
        </w:r>
        <w:r>
          <w:rPr>
            <w:noProof/>
            <w:webHidden/>
          </w:rPr>
        </w:r>
        <w:r>
          <w:rPr>
            <w:noProof/>
            <w:webHidden/>
          </w:rPr>
          <w:fldChar w:fldCharType="separate"/>
        </w:r>
        <w:r w:rsidR="003E4210">
          <w:rPr>
            <w:noProof/>
            <w:webHidden/>
          </w:rPr>
          <w:t>192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57" w:history="1">
        <w:r w:rsidR="003E4210" w:rsidRPr="005B500B">
          <w:rPr>
            <w:rStyle w:val="Hyperlink"/>
            <w:noProof/>
          </w:rPr>
          <w:t>9.25.5.1 SLS phase execution</w:t>
        </w:r>
        <w:r w:rsidR="003E4210">
          <w:rPr>
            <w:noProof/>
            <w:webHidden/>
          </w:rPr>
          <w:tab/>
        </w:r>
        <w:r>
          <w:rPr>
            <w:noProof/>
            <w:webHidden/>
          </w:rPr>
          <w:fldChar w:fldCharType="begin"/>
        </w:r>
        <w:r w:rsidR="003E4210">
          <w:rPr>
            <w:noProof/>
            <w:webHidden/>
          </w:rPr>
          <w:instrText xml:space="preserve"> PAGEREF _Toc259717157 \h </w:instrText>
        </w:r>
        <w:r>
          <w:rPr>
            <w:noProof/>
            <w:webHidden/>
          </w:rPr>
        </w:r>
        <w:r>
          <w:rPr>
            <w:noProof/>
            <w:webHidden/>
          </w:rPr>
          <w:fldChar w:fldCharType="separate"/>
        </w:r>
        <w:r w:rsidR="003E4210">
          <w:rPr>
            <w:noProof/>
            <w:webHidden/>
          </w:rPr>
          <w:t>193</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8" w:history="1">
        <w:r w:rsidR="003E4210" w:rsidRPr="005B500B">
          <w:rPr>
            <w:rStyle w:val="Hyperlink"/>
            <w:noProof/>
          </w:rPr>
          <w:t>9.25.5.2</w:t>
        </w:r>
        <w:r w:rsidR="003E4210">
          <w:rPr>
            <w:rFonts w:asciiTheme="minorHAnsi" w:eastAsiaTheme="minorEastAsia" w:hAnsiTheme="minorHAnsi" w:cstheme="minorBidi"/>
            <w:noProof/>
            <w:sz w:val="22"/>
            <w:szCs w:val="22"/>
            <w:lang w:bidi="ar-SA"/>
          </w:rPr>
          <w:tab/>
        </w:r>
        <w:r w:rsidR="003E4210" w:rsidRPr="005B500B">
          <w:rPr>
            <w:rStyle w:val="Hyperlink"/>
            <w:noProof/>
          </w:rPr>
          <w:t>MIDC (multiple sector ID capture) phase</w:t>
        </w:r>
        <w:r w:rsidR="003E4210">
          <w:rPr>
            <w:noProof/>
            <w:webHidden/>
          </w:rPr>
          <w:tab/>
        </w:r>
        <w:r>
          <w:rPr>
            <w:noProof/>
            <w:webHidden/>
          </w:rPr>
          <w:fldChar w:fldCharType="begin"/>
        </w:r>
        <w:r w:rsidR="003E4210">
          <w:rPr>
            <w:noProof/>
            <w:webHidden/>
          </w:rPr>
          <w:instrText xml:space="preserve"> PAGEREF _Toc259717158 \h </w:instrText>
        </w:r>
        <w:r>
          <w:rPr>
            <w:noProof/>
            <w:webHidden/>
          </w:rPr>
        </w:r>
        <w:r>
          <w:rPr>
            <w:noProof/>
            <w:webHidden/>
          </w:rPr>
          <w:fldChar w:fldCharType="separate"/>
        </w:r>
        <w:r w:rsidR="003E4210">
          <w:rPr>
            <w:noProof/>
            <w:webHidden/>
          </w:rPr>
          <w:t>194</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59" w:history="1">
        <w:r w:rsidR="003E4210" w:rsidRPr="005B500B">
          <w:rPr>
            <w:rStyle w:val="Hyperlink"/>
            <w:noProof/>
          </w:rPr>
          <w:t>9.25.5.2.1</w:t>
        </w:r>
        <w:r w:rsidR="003E4210">
          <w:rPr>
            <w:rFonts w:asciiTheme="minorHAnsi" w:eastAsiaTheme="minorEastAsia" w:hAnsiTheme="minorHAnsi" w:cstheme="minorBidi"/>
            <w:noProof/>
            <w:sz w:val="22"/>
            <w:szCs w:val="22"/>
            <w:lang w:bidi="ar-SA"/>
          </w:rPr>
          <w:tab/>
        </w:r>
        <w:r w:rsidR="003E4210" w:rsidRPr="005B500B">
          <w:rPr>
            <w:rStyle w:val="Hyperlink"/>
            <w:noProof/>
          </w:rPr>
          <w:t>MIDC phase with MID and BC sub-phases</w:t>
        </w:r>
        <w:r w:rsidR="003E4210">
          <w:rPr>
            <w:noProof/>
            <w:webHidden/>
          </w:rPr>
          <w:tab/>
        </w:r>
        <w:r>
          <w:rPr>
            <w:noProof/>
            <w:webHidden/>
          </w:rPr>
          <w:fldChar w:fldCharType="begin"/>
        </w:r>
        <w:r w:rsidR="003E4210">
          <w:rPr>
            <w:noProof/>
            <w:webHidden/>
          </w:rPr>
          <w:instrText xml:space="preserve"> PAGEREF _Toc259717159 \h </w:instrText>
        </w:r>
        <w:r>
          <w:rPr>
            <w:noProof/>
            <w:webHidden/>
          </w:rPr>
        </w:r>
        <w:r>
          <w:rPr>
            <w:noProof/>
            <w:webHidden/>
          </w:rPr>
          <w:fldChar w:fldCharType="separate"/>
        </w:r>
        <w:r w:rsidR="003E4210">
          <w:rPr>
            <w:noProof/>
            <w:webHidden/>
          </w:rPr>
          <w:t>196</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0" w:history="1">
        <w:r w:rsidR="003E4210" w:rsidRPr="005B500B">
          <w:rPr>
            <w:rStyle w:val="Hyperlink"/>
            <w:rFonts w:cs="Helvetica"/>
            <w:noProof/>
          </w:rPr>
          <w:t>9.25.5.2.2</w:t>
        </w:r>
        <w:r w:rsidR="003E4210">
          <w:rPr>
            <w:rFonts w:asciiTheme="minorHAnsi" w:eastAsiaTheme="minorEastAsia" w:hAnsiTheme="minorHAnsi" w:cstheme="minorBidi"/>
            <w:noProof/>
            <w:sz w:val="22"/>
            <w:szCs w:val="22"/>
            <w:lang w:bidi="ar-SA"/>
          </w:rPr>
          <w:tab/>
        </w:r>
        <w:r w:rsidR="003E4210" w:rsidRPr="005B500B">
          <w:rPr>
            <w:rStyle w:val="Hyperlink"/>
            <w:rFonts w:cs="Helvetica"/>
            <w:noProof/>
          </w:rPr>
          <w:t>MIDC phase with MID sub-phase only</w:t>
        </w:r>
        <w:r w:rsidR="003E4210">
          <w:rPr>
            <w:noProof/>
            <w:webHidden/>
          </w:rPr>
          <w:tab/>
        </w:r>
        <w:r>
          <w:rPr>
            <w:noProof/>
            <w:webHidden/>
          </w:rPr>
          <w:fldChar w:fldCharType="begin"/>
        </w:r>
        <w:r w:rsidR="003E4210">
          <w:rPr>
            <w:noProof/>
            <w:webHidden/>
          </w:rPr>
          <w:instrText xml:space="preserve"> PAGEREF _Toc259717160 \h </w:instrText>
        </w:r>
        <w:r>
          <w:rPr>
            <w:noProof/>
            <w:webHidden/>
          </w:rPr>
        </w:r>
        <w:r>
          <w:rPr>
            <w:noProof/>
            <w:webHidden/>
          </w:rPr>
          <w:fldChar w:fldCharType="separate"/>
        </w:r>
        <w:r w:rsidR="003E4210">
          <w:rPr>
            <w:noProof/>
            <w:webHidden/>
          </w:rPr>
          <w:t>200</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1" w:history="1">
        <w:r w:rsidR="003E4210" w:rsidRPr="005B500B">
          <w:rPr>
            <w:rStyle w:val="Hyperlink"/>
            <w:rFonts w:cs="Helvetica"/>
            <w:noProof/>
          </w:rPr>
          <w:t>9.25.5.2.3</w:t>
        </w:r>
        <w:r w:rsidR="003E4210">
          <w:rPr>
            <w:rFonts w:asciiTheme="minorHAnsi" w:eastAsiaTheme="minorEastAsia" w:hAnsiTheme="minorHAnsi" w:cstheme="minorBidi"/>
            <w:noProof/>
            <w:sz w:val="22"/>
            <w:szCs w:val="22"/>
            <w:lang w:bidi="ar-SA"/>
          </w:rPr>
          <w:tab/>
        </w:r>
        <w:r w:rsidR="003E4210" w:rsidRPr="005B500B">
          <w:rPr>
            <w:rStyle w:val="Hyperlink"/>
            <w:rFonts w:cs="Helvetica"/>
            <w:noProof/>
          </w:rPr>
          <w:t>MIDC phase with BC sub-phases only</w:t>
        </w:r>
        <w:r w:rsidR="003E4210">
          <w:rPr>
            <w:noProof/>
            <w:webHidden/>
          </w:rPr>
          <w:tab/>
        </w:r>
        <w:r>
          <w:rPr>
            <w:noProof/>
            <w:webHidden/>
          </w:rPr>
          <w:fldChar w:fldCharType="begin"/>
        </w:r>
        <w:r w:rsidR="003E4210">
          <w:rPr>
            <w:noProof/>
            <w:webHidden/>
          </w:rPr>
          <w:instrText xml:space="preserve"> PAGEREF _Toc259717161 \h </w:instrText>
        </w:r>
        <w:r>
          <w:rPr>
            <w:noProof/>
            <w:webHidden/>
          </w:rPr>
        </w:r>
        <w:r>
          <w:rPr>
            <w:noProof/>
            <w:webHidden/>
          </w:rPr>
          <w:fldChar w:fldCharType="separate"/>
        </w:r>
        <w:r w:rsidR="003E4210">
          <w:rPr>
            <w:noProof/>
            <w:webHidden/>
          </w:rPr>
          <w:t>202</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62" w:history="1">
        <w:r w:rsidR="003E4210" w:rsidRPr="005B500B">
          <w:rPr>
            <w:rStyle w:val="Hyperlink"/>
            <w:noProof/>
          </w:rPr>
          <w:t>9.25.5.3</w:t>
        </w:r>
        <w:r w:rsidR="003E4210">
          <w:rPr>
            <w:rFonts w:asciiTheme="minorHAnsi" w:eastAsiaTheme="minorEastAsia" w:hAnsiTheme="minorHAnsi" w:cstheme="minorBidi"/>
            <w:noProof/>
            <w:sz w:val="22"/>
            <w:szCs w:val="22"/>
            <w:lang w:bidi="ar-SA"/>
          </w:rPr>
          <w:tab/>
        </w:r>
        <w:r w:rsidR="003E4210" w:rsidRPr="005B500B">
          <w:rPr>
            <w:rStyle w:val="Hyperlink"/>
            <w:noProof/>
          </w:rPr>
          <w:t>BRP phase execution</w:t>
        </w:r>
        <w:r w:rsidR="003E4210">
          <w:rPr>
            <w:noProof/>
            <w:webHidden/>
          </w:rPr>
          <w:tab/>
        </w:r>
        <w:r>
          <w:rPr>
            <w:noProof/>
            <w:webHidden/>
          </w:rPr>
          <w:fldChar w:fldCharType="begin"/>
        </w:r>
        <w:r w:rsidR="003E4210">
          <w:rPr>
            <w:noProof/>
            <w:webHidden/>
          </w:rPr>
          <w:instrText xml:space="preserve"> PAGEREF _Toc259717162 \h </w:instrText>
        </w:r>
        <w:r>
          <w:rPr>
            <w:noProof/>
            <w:webHidden/>
          </w:rPr>
        </w:r>
        <w:r>
          <w:rPr>
            <w:noProof/>
            <w:webHidden/>
          </w:rPr>
          <w:fldChar w:fldCharType="separate"/>
        </w:r>
        <w:r w:rsidR="003E4210">
          <w:rPr>
            <w:noProof/>
            <w:webHidden/>
          </w:rPr>
          <w:t>203</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3" w:history="1">
        <w:r w:rsidR="003E4210" w:rsidRPr="005B500B">
          <w:rPr>
            <w:rStyle w:val="Hyperlink"/>
            <w:noProof/>
          </w:rPr>
          <w:t>9.25.5.3.1</w:t>
        </w:r>
        <w:r w:rsidR="003E4210">
          <w:rPr>
            <w:rFonts w:asciiTheme="minorHAnsi" w:eastAsiaTheme="minorEastAsia" w:hAnsiTheme="minorHAnsi" w:cstheme="minorBidi"/>
            <w:noProof/>
            <w:sz w:val="22"/>
            <w:szCs w:val="22"/>
            <w:lang w:bidi="ar-SA"/>
          </w:rPr>
          <w:tab/>
        </w:r>
        <w:r w:rsidR="003E4210" w:rsidRPr="005B500B">
          <w:rPr>
            <w:rStyle w:val="Hyperlink"/>
            <w:noProof/>
          </w:rPr>
          <w:t>Beam refinement transaction</w:t>
        </w:r>
        <w:r w:rsidR="003E4210">
          <w:rPr>
            <w:noProof/>
            <w:webHidden/>
          </w:rPr>
          <w:tab/>
        </w:r>
        <w:r>
          <w:rPr>
            <w:noProof/>
            <w:webHidden/>
          </w:rPr>
          <w:fldChar w:fldCharType="begin"/>
        </w:r>
        <w:r w:rsidR="003E4210">
          <w:rPr>
            <w:noProof/>
            <w:webHidden/>
          </w:rPr>
          <w:instrText xml:space="preserve"> PAGEREF _Toc259717163 \h </w:instrText>
        </w:r>
        <w:r>
          <w:rPr>
            <w:noProof/>
            <w:webHidden/>
          </w:rPr>
        </w:r>
        <w:r>
          <w:rPr>
            <w:noProof/>
            <w:webHidden/>
          </w:rPr>
          <w:fldChar w:fldCharType="separate"/>
        </w:r>
        <w:r w:rsidR="003E4210">
          <w:rPr>
            <w:noProof/>
            <w:webHidden/>
          </w:rPr>
          <w:t>204</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4" w:history="1">
        <w:r w:rsidR="003E4210" w:rsidRPr="005B500B">
          <w:rPr>
            <w:rStyle w:val="Hyperlink"/>
            <w:noProof/>
          </w:rPr>
          <w:t>9.25.5.3.2</w:t>
        </w:r>
        <w:r w:rsidR="003E4210">
          <w:rPr>
            <w:rFonts w:asciiTheme="minorHAnsi" w:eastAsiaTheme="minorEastAsia" w:hAnsiTheme="minorHAnsi" w:cstheme="minorBidi"/>
            <w:noProof/>
            <w:sz w:val="22"/>
            <w:szCs w:val="22"/>
            <w:lang w:bidi="ar-SA"/>
          </w:rPr>
          <w:tab/>
        </w:r>
        <w:r w:rsidR="003E4210" w:rsidRPr="005B500B">
          <w:rPr>
            <w:rStyle w:val="Hyperlink"/>
            <w:noProof/>
          </w:rPr>
          <w:t>Beam refinement transaction after SLS</w:t>
        </w:r>
        <w:r w:rsidR="003E4210">
          <w:rPr>
            <w:noProof/>
            <w:webHidden/>
          </w:rPr>
          <w:tab/>
        </w:r>
        <w:r>
          <w:rPr>
            <w:noProof/>
            <w:webHidden/>
          </w:rPr>
          <w:fldChar w:fldCharType="begin"/>
        </w:r>
        <w:r w:rsidR="003E4210">
          <w:rPr>
            <w:noProof/>
            <w:webHidden/>
          </w:rPr>
          <w:instrText xml:space="preserve"> PAGEREF _Toc259717164 \h </w:instrText>
        </w:r>
        <w:r>
          <w:rPr>
            <w:noProof/>
            <w:webHidden/>
          </w:rPr>
        </w:r>
        <w:r>
          <w:rPr>
            <w:noProof/>
            <w:webHidden/>
          </w:rPr>
          <w:fldChar w:fldCharType="separate"/>
        </w:r>
        <w:r w:rsidR="003E4210">
          <w:rPr>
            <w:noProof/>
            <w:webHidden/>
          </w:rPr>
          <w:t>204</w:t>
        </w:r>
        <w:r>
          <w:rPr>
            <w:noProof/>
            <w:webHidden/>
          </w:rPr>
          <w:fldChar w:fldCharType="end"/>
        </w:r>
      </w:hyperlink>
    </w:p>
    <w:p w:rsidR="003E4210" w:rsidRDefault="00BD151C">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5" w:history="1">
        <w:r w:rsidR="003E4210" w:rsidRPr="005B500B">
          <w:rPr>
            <w:rStyle w:val="Hyperlink"/>
            <w:noProof/>
          </w:rPr>
          <w:t>9.25.5.3.3</w:t>
        </w:r>
        <w:r w:rsidR="003E4210">
          <w:rPr>
            <w:rFonts w:asciiTheme="minorHAnsi" w:eastAsiaTheme="minorEastAsia" w:hAnsiTheme="minorHAnsi" w:cstheme="minorBidi"/>
            <w:noProof/>
            <w:sz w:val="22"/>
            <w:szCs w:val="22"/>
            <w:lang w:bidi="ar-SA"/>
          </w:rPr>
          <w:tab/>
        </w:r>
        <w:r w:rsidR="003E4210" w:rsidRPr="005B500B">
          <w:rPr>
            <w:rStyle w:val="Hyperlink"/>
            <w:noProof/>
          </w:rPr>
          <w:t>Antenna configuration setting during a beam refinement transaction</w:t>
        </w:r>
        <w:r w:rsidR="003E4210">
          <w:rPr>
            <w:noProof/>
            <w:webHidden/>
          </w:rPr>
          <w:tab/>
        </w:r>
        <w:r>
          <w:rPr>
            <w:noProof/>
            <w:webHidden/>
          </w:rPr>
          <w:fldChar w:fldCharType="begin"/>
        </w:r>
        <w:r w:rsidR="003E4210">
          <w:rPr>
            <w:noProof/>
            <w:webHidden/>
          </w:rPr>
          <w:instrText xml:space="preserve"> PAGEREF _Toc259717165 \h </w:instrText>
        </w:r>
        <w:r>
          <w:rPr>
            <w:noProof/>
            <w:webHidden/>
          </w:rPr>
        </w:r>
        <w:r>
          <w:rPr>
            <w:noProof/>
            <w:webHidden/>
          </w:rPr>
          <w:fldChar w:fldCharType="separate"/>
        </w:r>
        <w:r w:rsidR="003E4210">
          <w:rPr>
            <w:noProof/>
            <w:webHidden/>
          </w:rPr>
          <w:t>206</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66" w:history="1">
        <w:r w:rsidR="003E4210" w:rsidRPr="005B500B">
          <w:rPr>
            <w:rStyle w:val="Hyperlink"/>
            <w:noProof/>
          </w:rPr>
          <w:t>9.25.6</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Beam tracking</w:t>
        </w:r>
        <w:r w:rsidR="003E4210">
          <w:rPr>
            <w:noProof/>
            <w:webHidden/>
          </w:rPr>
          <w:tab/>
        </w:r>
        <w:r>
          <w:rPr>
            <w:noProof/>
            <w:webHidden/>
          </w:rPr>
          <w:fldChar w:fldCharType="begin"/>
        </w:r>
        <w:r w:rsidR="003E4210">
          <w:rPr>
            <w:noProof/>
            <w:webHidden/>
          </w:rPr>
          <w:instrText xml:space="preserve"> PAGEREF _Toc259717166 \h </w:instrText>
        </w:r>
        <w:r>
          <w:rPr>
            <w:noProof/>
            <w:webHidden/>
          </w:rPr>
        </w:r>
        <w:r>
          <w:rPr>
            <w:noProof/>
            <w:webHidden/>
          </w:rPr>
          <w:fldChar w:fldCharType="separate"/>
        </w:r>
        <w:r w:rsidR="003E4210">
          <w:rPr>
            <w:noProof/>
            <w:webHidden/>
          </w:rPr>
          <w:t>207</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67" w:history="1">
        <w:r w:rsidR="003E4210" w:rsidRPr="005B500B">
          <w:rPr>
            <w:rStyle w:val="Hyperlink"/>
            <w:noProof/>
          </w:rPr>
          <w:t>9.25.7</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State machines (informative)</w:t>
        </w:r>
        <w:r w:rsidR="003E4210">
          <w:rPr>
            <w:noProof/>
            <w:webHidden/>
          </w:rPr>
          <w:tab/>
        </w:r>
        <w:r>
          <w:rPr>
            <w:noProof/>
            <w:webHidden/>
          </w:rPr>
          <w:fldChar w:fldCharType="begin"/>
        </w:r>
        <w:r w:rsidR="003E4210">
          <w:rPr>
            <w:noProof/>
            <w:webHidden/>
          </w:rPr>
          <w:instrText xml:space="preserve"> PAGEREF _Toc259717167 \h </w:instrText>
        </w:r>
        <w:r>
          <w:rPr>
            <w:noProof/>
            <w:webHidden/>
          </w:rPr>
        </w:r>
        <w:r>
          <w:rPr>
            <w:noProof/>
            <w:webHidden/>
          </w:rPr>
          <w:fldChar w:fldCharType="separate"/>
        </w:r>
        <w:r w:rsidR="003E4210">
          <w:rPr>
            <w:noProof/>
            <w:webHidden/>
          </w:rPr>
          <w:t>208</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68" w:history="1">
        <w:r w:rsidR="003E4210" w:rsidRPr="005B500B">
          <w:rPr>
            <w:rStyle w:val="Hyperlink"/>
            <w:noProof/>
          </w:rPr>
          <w:t>9.26</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Block Ack with Flow Control</w:t>
        </w:r>
        <w:r w:rsidR="003E4210">
          <w:rPr>
            <w:noProof/>
            <w:webHidden/>
          </w:rPr>
          <w:tab/>
        </w:r>
        <w:r>
          <w:rPr>
            <w:noProof/>
            <w:webHidden/>
          </w:rPr>
          <w:fldChar w:fldCharType="begin"/>
        </w:r>
        <w:r w:rsidR="003E4210">
          <w:rPr>
            <w:noProof/>
            <w:webHidden/>
          </w:rPr>
          <w:instrText xml:space="preserve"> PAGEREF _Toc259717168 \h </w:instrText>
        </w:r>
        <w:r>
          <w:rPr>
            <w:noProof/>
            <w:webHidden/>
          </w:rPr>
        </w:r>
        <w:r>
          <w:rPr>
            <w:noProof/>
            <w:webHidden/>
          </w:rPr>
          <w:fldChar w:fldCharType="separate"/>
        </w:r>
        <w:r w:rsidR="003E4210">
          <w:rPr>
            <w:noProof/>
            <w:webHidden/>
          </w:rPr>
          <w:t>210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69" w:history="1">
        <w:r w:rsidR="003E4210" w:rsidRPr="005B500B">
          <w:rPr>
            <w:rStyle w:val="Hyperlink"/>
            <w:noProof/>
          </w:rPr>
          <w:t>9.26.1 mmWave Block Ack architecture with Flow Control</w:t>
        </w:r>
        <w:r w:rsidR="003E4210">
          <w:rPr>
            <w:noProof/>
            <w:webHidden/>
          </w:rPr>
          <w:tab/>
        </w:r>
        <w:r>
          <w:rPr>
            <w:noProof/>
            <w:webHidden/>
          </w:rPr>
          <w:fldChar w:fldCharType="begin"/>
        </w:r>
        <w:r w:rsidR="003E4210">
          <w:rPr>
            <w:noProof/>
            <w:webHidden/>
          </w:rPr>
          <w:instrText xml:space="preserve"> PAGEREF _Toc259717169 \h </w:instrText>
        </w:r>
        <w:r>
          <w:rPr>
            <w:noProof/>
            <w:webHidden/>
          </w:rPr>
        </w:r>
        <w:r>
          <w:rPr>
            <w:noProof/>
            <w:webHidden/>
          </w:rPr>
          <w:fldChar w:fldCharType="separate"/>
        </w:r>
        <w:r w:rsidR="003E4210">
          <w:rPr>
            <w:noProof/>
            <w:webHidden/>
          </w:rPr>
          <w:t>210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0" w:history="1">
        <w:r w:rsidR="003E4210" w:rsidRPr="005B500B">
          <w:rPr>
            <w:rStyle w:val="Hyperlink"/>
            <w:noProof/>
          </w:rPr>
          <w:t>9.26.2 Scoreboard context control with Flow Control</w:t>
        </w:r>
        <w:r w:rsidR="003E4210">
          <w:rPr>
            <w:noProof/>
            <w:webHidden/>
          </w:rPr>
          <w:tab/>
        </w:r>
        <w:r>
          <w:rPr>
            <w:noProof/>
            <w:webHidden/>
          </w:rPr>
          <w:fldChar w:fldCharType="begin"/>
        </w:r>
        <w:r w:rsidR="003E4210">
          <w:rPr>
            <w:noProof/>
            <w:webHidden/>
          </w:rPr>
          <w:instrText xml:space="preserve"> PAGEREF _Toc259717170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1" w:history="1">
        <w:r w:rsidR="003E4210" w:rsidRPr="005B500B">
          <w:rPr>
            <w:rStyle w:val="Hyperlink"/>
            <w:noProof/>
          </w:rPr>
          <w:t>9.26.3 Receive Reordering Buffer with Flow Control operation</w:t>
        </w:r>
        <w:r w:rsidR="003E4210">
          <w:rPr>
            <w:noProof/>
            <w:webHidden/>
          </w:rPr>
          <w:tab/>
        </w:r>
        <w:r>
          <w:rPr>
            <w:noProof/>
            <w:webHidden/>
          </w:rPr>
          <w:fldChar w:fldCharType="begin"/>
        </w:r>
        <w:r w:rsidR="003E4210">
          <w:rPr>
            <w:noProof/>
            <w:webHidden/>
          </w:rPr>
          <w:instrText xml:space="preserve"> PAGEREF _Toc259717171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72" w:history="1">
        <w:r w:rsidR="003E4210" w:rsidRPr="005B500B">
          <w:rPr>
            <w:rStyle w:val="Hyperlink"/>
            <w:noProof/>
          </w:rPr>
          <w:t>9.26.3.1 General</w:t>
        </w:r>
        <w:r w:rsidR="003E4210">
          <w:rPr>
            <w:noProof/>
            <w:webHidden/>
          </w:rPr>
          <w:tab/>
        </w:r>
        <w:r>
          <w:rPr>
            <w:noProof/>
            <w:webHidden/>
          </w:rPr>
          <w:fldChar w:fldCharType="begin"/>
        </w:r>
        <w:r w:rsidR="003E4210">
          <w:rPr>
            <w:noProof/>
            <w:webHidden/>
          </w:rPr>
          <w:instrText xml:space="preserve"> PAGEREF _Toc259717172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73" w:history="1">
        <w:r w:rsidR="003E4210" w:rsidRPr="005B500B">
          <w:rPr>
            <w:rStyle w:val="Hyperlink"/>
            <w:noProof/>
          </w:rPr>
          <w:t>9.26.3.2 Operation for mmWave Block Ack agreement initialization</w:t>
        </w:r>
        <w:r w:rsidR="003E4210">
          <w:rPr>
            <w:noProof/>
            <w:webHidden/>
          </w:rPr>
          <w:tab/>
        </w:r>
        <w:r>
          <w:rPr>
            <w:noProof/>
            <w:webHidden/>
          </w:rPr>
          <w:fldChar w:fldCharType="begin"/>
        </w:r>
        <w:r w:rsidR="003E4210">
          <w:rPr>
            <w:noProof/>
            <w:webHidden/>
          </w:rPr>
          <w:instrText xml:space="preserve"> PAGEREF _Toc259717173 \h </w:instrText>
        </w:r>
        <w:r>
          <w:rPr>
            <w:noProof/>
            <w:webHidden/>
          </w:rPr>
        </w:r>
        <w:r>
          <w:rPr>
            <w:noProof/>
            <w:webHidden/>
          </w:rPr>
          <w:fldChar w:fldCharType="separate"/>
        </w:r>
        <w:r w:rsidR="003E4210">
          <w:rPr>
            <w:noProof/>
            <w:webHidden/>
          </w:rPr>
          <w:t>212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74" w:history="1">
        <w:r w:rsidR="003E4210" w:rsidRPr="005B500B">
          <w:rPr>
            <w:rStyle w:val="Hyperlink"/>
            <w:noProof/>
          </w:rPr>
          <w:t>9.26.3.3 Operation for each received data MPDU</w:t>
        </w:r>
        <w:r w:rsidR="003E4210">
          <w:rPr>
            <w:noProof/>
            <w:webHidden/>
          </w:rPr>
          <w:tab/>
        </w:r>
        <w:r>
          <w:rPr>
            <w:noProof/>
            <w:webHidden/>
          </w:rPr>
          <w:fldChar w:fldCharType="begin"/>
        </w:r>
        <w:r w:rsidR="003E4210">
          <w:rPr>
            <w:noProof/>
            <w:webHidden/>
          </w:rPr>
          <w:instrText xml:space="preserve"> PAGEREF _Toc259717174 \h </w:instrText>
        </w:r>
        <w:r>
          <w:rPr>
            <w:noProof/>
            <w:webHidden/>
          </w:rPr>
        </w:r>
        <w:r>
          <w:rPr>
            <w:noProof/>
            <w:webHidden/>
          </w:rPr>
          <w:fldChar w:fldCharType="separate"/>
        </w:r>
        <w:r w:rsidR="003E4210">
          <w:rPr>
            <w:noProof/>
            <w:webHidden/>
          </w:rPr>
          <w:t>212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75" w:history="1">
        <w:r w:rsidR="003E4210" w:rsidRPr="005B500B">
          <w:rPr>
            <w:rStyle w:val="Hyperlink"/>
            <w:noProof/>
          </w:rPr>
          <w:t>9.26.3.4 Operation for ongoing release of received MPDUs</w:t>
        </w:r>
        <w:r w:rsidR="003E4210">
          <w:rPr>
            <w:noProof/>
            <w:webHidden/>
          </w:rPr>
          <w:tab/>
        </w:r>
        <w:r>
          <w:rPr>
            <w:noProof/>
            <w:webHidden/>
          </w:rPr>
          <w:fldChar w:fldCharType="begin"/>
        </w:r>
        <w:r w:rsidR="003E4210">
          <w:rPr>
            <w:noProof/>
            <w:webHidden/>
          </w:rPr>
          <w:instrText xml:space="preserve"> PAGEREF _Toc259717175 \h </w:instrText>
        </w:r>
        <w:r>
          <w:rPr>
            <w:noProof/>
            <w:webHidden/>
          </w:rPr>
        </w:r>
        <w:r>
          <w:rPr>
            <w:noProof/>
            <w:webHidden/>
          </w:rPr>
          <w:fldChar w:fldCharType="separate"/>
        </w:r>
        <w:r w:rsidR="003E4210">
          <w:rPr>
            <w:noProof/>
            <w:webHidden/>
          </w:rPr>
          <w:t>213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6" w:history="1">
        <w:r w:rsidR="003E4210" w:rsidRPr="005B500B">
          <w:rPr>
            <w:rStyle w:val="Hyperlink"/>
            <w:noProof/>
          </w:rPr>
          <w:t>9.26.4 Generation and transmission of BlockAck by a STA with Flow Control</w:t>
        </w:r>
        <w:r w:rsidR="003E4210">
          <w:rPr>
            <w:noProof/>
            <w:webHidden/>
          </w:rPr>
          <w:tab/>
        </w:r>
        <w:r>
          <w:rPr>
            <w:noProof/>
            <w:webHidden/>
          </w:rPr>
          <w:fldChar w:fldCharType="begin"/>
        </w:r>
        <w:r w:rsidR="003E4210">
          <w:rPr>
            <w:noProof/>
            <w:webHidden/>
          </w:rPr>
          <w:instrText xml:space="preserve"> PAGEREF _Toc259717176 \h </w:instrText>
        </w:r>
        <w:r>
          <w:rPr>
            <w:noProof/>
            <w:webHidden/>
          </w:rPr>
        </w:r>
        <w:r>
          <w:rPr>
            <w:noProof/>
            <w:webHidden/>
          </w:rPr>
          <w:fldChar w:fldCharType="separate"/>
        </w:r>
        <w:r w:rsidR="003E4210">
          <w:rPr>
            <w:noProof/>
            <w:webHidden/>
          </w:rPr>
          <w:t>213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7" w:history="1">
        <w:r w:rsidR="003E4210" w:rsidRPr="005B500B">
          <w:rPr>
            <w:rStyle w:val="Hyperlink"/>
            <w:rFonts w:eastAsia="MS Mincho"/>
            <w:noProof/>
          </w:rPr>
          <w:t>9.26.5 Originator’s behavior with flow control support</w:t>
        </w:r>
        <w:r w:rsidR="003E4210">
          <w:rPr>
            <w:noProof/>
            <w:webHidden/>
          </w:rPr>
          <w:tab/>
        </w:r>
        <w:r>
          <w:rPr>
            <w:noProof/>
            <w:webHidden/>
          </w:rPr>
          <w:fldChar w:fldCharType="begin"/>
        </w:r>
        <w:r w:rsidR="003E4210">
          <w:rPr>
            <w:noProof/>
            <w:webHidden/>
          </w:rPr>
          <w:instrText xml:space="preserve"> PAGEREF _Toc259717177 \h </w:instrText>
        </w:r>
        <w:r>
          <w:rPr>
            <w:noProof/>
            <w:webHidden/>
          </w:rPr>
        </w:r>
        <w:r>
          <w:rPr>
            <w:noProof/>
            <w:webHidden/>
          </w:rPr>
          <w:fldChar w:fldCharType="separate"/>
        </w:r>
        <w:r w:rsidR="003E4210">
          <w:rPr>
            <w:noProof/>
            <w:webHidden/>
          </w:rPr>
          <w:t>214</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78" w:history="1">
        <w:r w:rsidR="003E4210" w:rsidRPr="005B500B">
          <w:rPr>
            <w:rStyle w:val="Hyperlink"/>
            <w:noProof/>
          </w:rPr>
          <w:t>9.27</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Link adaptation</w:t>
        </w:r>
        <w:r w:rsidR="003E4210">
          <w:rPr>
            <w:noProof/>
            <w:webHidden/>
          </w:rPr>
          <w:tab/>
        </w:r>
        <w:r>
          <w:rPr>
            <w:noProof/>
            <w:webHidden/>
          </w:rPr>
          <w:fldChar w:fldCharType="begin"/>
        </w:r>
        <w:r w:rsidR="003E4210">
          <w:rPr>
            <w:noProof/>
            <w:webHidden/>
          </w:rPr>
          <w:instrText xml:space="preserve"> PAGEREF _Toc259717178 \h </w:instrText>
        </w:r>
        <w:r>
          <w:rPr>
            <w:noProof/>
            <w:webHidden/>
          </w:rPr>
        </w:r>
        <w:r>
          <w:rPr>
            <w:noProof/>
            <w:webHidden/>
          </w:rPr>
          <w:fldChar w:fldCharType="separate"/>
        </w:r>
        <w:r w:rsidR="003E4210">
          <w:rPr>
            <w:noProof/>
            <w:webHidden/>
          </w:rPr>
          <w:t>214</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79" w:history="1">
        <w:r w:rsidR="003E4210" w:rsidRPr="005B500B">
          <w:rPr>
            <w:rStyle w:val="Hyperlink"/>
            <w:noProof/>
          </w:rPr>
          <w:t>9.28</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Dynamic Tone Pairing (DTP)</w:t>
        </w:r>
        <w:r w:rsidR="003E4210">
          <w:rPr>
            <w:noProof/>
            <w:webHidden/>
          </w:rPr>
          <w:tab/>
        </w:r>
        <w:r>
          <w:rPr>
            <w:noProof/>
            <w:webHidden/>
          </w:rPr>
          <w:fldChar w:fldCharType="begin"/>
        </w:r>
        <w:r w:rsidR="003E4210">
          <w:rPr>
            <w:noProof/>
            <w:webHidden/>
          </w:rPr>
          <w:instrText xml:space="preserve"> PAGEREF _Toc259717179 \h </w:instrText>
        </w:r>
        <w:r>
          <w:rPr>
            <w:noProof/>
            <w:webHidden/>
          </w:rPr>
        </w:r>
        <w:r>
          <w:rPr>
            <w:noProof/>
            <w:webHidden/>
          </w:rPr>
          <w:fldChar w:fldCharType="separate"/>
        </w:r>
        <w:r w:rsidR="003E4210">
          <w:rPr>
            <w:noProof/>
            <w:webHidden/>
          </w:rPr>
          <w:t>215</w:t>
        </w:r>
        <w:r>
          <w:rPr>
            <w:noProof/>
            <w:webHidden/>
          </w:rPr>
          <w:fldChar w:fldCharType="end"/>
        </w:r>
      </w:hyperlink>
    </w:p>
    <w:p w:rsidR="003E4210" w:rsidRDefault="00BD151C">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180" w:history="1">
        <w:r w:rsidR="003E4210" w:rsidRPr="005B500B">
          <w:rPr>
            <w:rStyle w:val="Hyperlink"/>
            <w:noProof/>
          </w:rPr>
          <w:t>11</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MLME</w:t>
        </w:r>
        <w:r w:rsidR="003E4210">
          <w:rPr>
            <w:noProof/>
            <w:webHidden/>
          </w:rPr>
          <w:tab/>
        </w:r>
        <w:r>
          <w:rPr>
            <w:noProof/>
            <w:webHidden/>
          </w:rPr>
          <w:fldChar w:fldCharType="begin"/>
        </w:r>
        <w:r w:rsidR="003E4210">
          <w:rPr>
            <w:noProof/>
            <w:webHidden/>
          </w:rPr>
          <w:instrText xml:space="preserve"> PAGEREF _Toc259717180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81" w:history="1">
        <w:r w:rsidR="003E4210" w:rsidRPr="005B500B">
          <w:rPr>
            <w:rStyle w:val="Hyperlink"/>
            <w:noProof/>
          </w:rPr>
          <w:t>11.1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Synchronization</w:t>
        </w:r>
        <w:r w:rsidR="003E4210">
          <w:rPr>
            <w:noProof/>
            <w:webHidden/>
          </w:rPr>
          <w:tab/>
        </w:r>
        <w:r>
          <w:rPr>
            <w:noProof/>
            <w:webHidden/>
          </w:rPr>
          <w:fldChar w:fldCharType="begin"/>
        </w:r>
        <w:r w:rsidR="003E4210">
          <w:rPr>
            <w:noProof/>
            <w:webHidden/>
          </w:rPr>
          <w:instrText xml:space="preserve"> PAGEREF _Toc259717181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82" w:history="1">
        <w:r w:rsidR="003E4210" w:rsidRPr="005B500B">
          <w:rPr>
            <w:rStyle w:val="Hyperlink"/>
            <w:noProof/>
          </w:rPr>
          <w:t>11.1.1 Basic approach</w:t>
        </w:r>
        <w:r w:rsidR="003E4210">
          <w:rPr>
            <w:noProof/>
            <w:webHidden/>
          </w:rPr>
          <w:tab/>
        </w:r>
        <w:r>
          <w:rPr>
            <w:noProof/>
            <w:webHidden/>
          </w:rPr>
          <w:fldChar w:fldCharType="begin"/>
        </w:r>
        <w:r w:rsidR="003E4210">
          <w:rPr>
            <w:noProof/>
            <w:webHidden/>
          </w:rPr>
          <w:instrText xml:space="preserve"> PAGEREF _Toc259717182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83" w:history="1">
        <w:r w:rsidR="003E4210" w:rsidRPr="005B500B">
          <w:rPr>
            <w:rStyle w:val="Hyperlink"/>
            <w:noProof/>
          </w:rPr>
          <w:t xml:space="preserve">11.1.1.1 TSF for infrastructure networks </w:t>
        </w:r>
        <w:r w:rsidR="003E4210" w:rsidRPr="005B500B">
          <w:rPr>
            <w:rStyle w:val="Hyperlink"/>
            <w:noProof/>
            <w:lang w:eastAsia="ko-KR"/>
          </w:rPr>
          <w:t>and PBSS networks</w:t>
        </w:r>
        <w:r w:rsidR="003E4210">
          <w:rPr>
            <w:noProof/>
            <w:webHidden/>
          </w:rPr>
          <w:tab/>
        </w:r>
        <w:r>
          <w:rPr>
            <w:noProof/>
            <w:webHidden/>
          </w:rPr>
          <w:fldChar w:fldCharType="begin"/>
        </w:r>
        <w:r w:rsidR="003E4210">
          <w:rPr>
            <w:noProof/>
            <w:webHidden/>
          </w:rPr>
          <w:instrText xml:space="preserve"> PAGEREF _Toc259717183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84" w:history="1">
        <w:r w:rsidR="003E4210" w:rsidRPr="005B500B">
          <w:rPr>
            <w:rStyle w:val="Hyperlink"/>
            <w:noProof/>
          </w:rPr>
          <w:t>11.1.2 Maintaining synchronization</w:t>
        </w:r>
        <w:r w:rsidR="003E4210">
          <w:rPr>
            <w:noProof/>
            <w:webHidden/>
          </w:rPr>
          <w:tab/>
        </w:r>
        <w:r>
          <w:rPr>
            <w:noProof/>
            <w:webHidden/>
          </w:rPr>
          <w:fldChar w:fldCharType="begin"/>
        </w:r>
        <w:r w:rsidR="003E4210">
          <w:rPr>
            <w:noProof/>
            <w:webHidden/>
          </w:rPr>
          <w:instrText xml:space="preserve"> PAGEREF _Toc259717184 \h </w:instrText>
        </w:r>
        <w:r>
          <w:rPr>
            <w:noProof/>
            <w:webHidden/>
          </w:rPr>
        </w:r>
        <w:r>
          <w:rPr>
            <w:noProof/>
            <w:webHidden/>
          </w:rPr>
          <w:fldChar w:fldCharType="separate"/>
        </w:r>
        <w:r w:rsidR="003E4210">
          <w:rPr>
            <w:noProof/>
            <w:webHidden/>
          </w:rPr>
          <w:t>217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85" w:history="1">
        <w:r w:rsidR="003E4210" w:rsidRPr="005B500B">
          <w:rPr>
            <w:rStyle w:val="Hyperlink"/>
            <w:noProof/>
          </w:rPr>
          <w:t xml:space="preserve">11.1.2.1 Beacon generation in infrastructure networks </w:t>
        </w:r>
        <w:r w:rsidR="003E4210" w:rsidRPr="005B500B">
          <w:rPr>
            <w:rStyle w:val="Hyperlink"/>
            <w:noProof/>
            <w:lang w:eastAsia="ko-KR"/>
          </w:rPr>
          <w:t>in LB and HB</w:t>
        </w:r>
        <w:r w:rsidR="003E4210">
          <w:rPr>
            <w:noProof/>
            <w:webHidden/>
          </w:rPr>
          <w:tab/>
        </w:r>
        <w:r>
          <w:rPr>
            <w:noProof/>
            <w:webHidden/>
          </w:rPr>
          <w:fldChar w:fldCharType="begin"/>
        </w:r>
        <w:r w:rsidR="003E4210">
          <w:rPr>
            <w:noProof/>
            <w:webHidden/>
          </w:rPr>
          <w:instrText xml:space="preserve"> PAGEREF _Toc259717185 \h </w:instrText>
        </w:r>
        <w:r>
          <w:rPr>
            <w:noProof/>
            <w:webHidden/>
          </w:rPr>
        </w:r>
        <w:r>
          <w:rPr>
            <w:noProof/>
            <w:webHidden/>
          </w:rPr>
          <w:fldChar w:fldCharType="separate"/>
        </w:r>
        <w:r w:rsidR="003E4210">
          <w:rPr>
            <w:noProof/>
            <w:webHidden/>
          </w:rPr>
          <w:t>217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86" w:history="1">
        <w:r w:rsidR="003E4210" w:rsidRPr="005B500B">
          <w:rPr>
            <w:rStyle w:val="Hyperlink"/>
            <w:noProof/>
          </w:rPr>
          <w:t>11.1.2.1a Beacon generation in infrastructure BSS and in PBSS in UB</w:t>
        </w:r>
        <w:r w:rsidR="003E4210">
          <w:rPr>
            <w:noProof/>
            <w:webHidden/>
          </w:rPr>
          <w:tab/>
        </w:r>
        <w:r>
          <w:rPr>
            <w:noProof/>
            <w:webHidden/>
          </w:rPr>
          <w:fldChar w:fldCharType="begin"/>
        </w:r>
        <w:r w:rsidR="003E4210">
          <w:rPr>
            <w:noProof/>
            <w:webHidden/>
          </w:rPr>
          <w:instrText xml:space="preserve"> PAGEREF _Toc259717186 \h </w:instrText>
        </w:r>
        <w:r>
          <w:rPr>
            <w:noProof/>
            <w:webHidden/>
          </w:rPr>
        </w:r>
        <w:r>
          <w:rPr>
            <w:noProof/>
            <w:webHidden/>
          </w:rPr>
          <w:fldChar w:fldCharType="separate"/>
        </w:r>
        <w:r w:rsidR="003E4210">
          <w:rPr>
            <w:noProof/>
            <w:webHidden/>
          </w:rPr>
          <w:t>217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87" w:history="1">
        <w:r w:rsidR="003E4210" w:rsidRPr="005B500B">
          <w:rPr>
            <w:rStyle w:val="Hyperlink"/>
            <w:noProof/>
          </w:rPr>
          <w:t>11.1.2.1a.1 Beacon generation in a PBSS</w:t>
        </w:r>
        <w:r w:rsidR="003E4210">
          <w:rPr>
            <w:noProof/>
            <w:webHidden/>
          </w:rPr>
          <w:tab/>
        </w:r>
        <w:r>
          <w:rPr>
            <w:noProof/>
            <w:webHidden/>
          </w:rPr>
          <w:fldChar w:fldCharType="begin"/>
        </w:r>
        <w:r w:rsidR="003E4210">
          <w:rPr>
            <w:noProof/>
            <w:webHidden/>
          </w:rPr>
          <w:instrText xml:space="preserve"> PAGEREF _Toc259717187 \h </w:instrText>
        </w:r>
        <w:r>
          <w:rPr>
            <w:noProof/>
            <w:webHidden/>
          </w:rPr>
        </w:r>
        <w:r>
          <w:rPr>
            <w:noProof/>
            <w:webHidden/>
          </w:rPr>
          <w:fldChar w:fldCharType="separate"/>
        </w:r>
        <w:r w:rsidR="003E4210">
          <w:rPr>
            <w:noProof/>
            <w:webHidden/>
          </w:rPr>
          <w:t>219</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88" w:history="1">
        <w:r w:rsidR="003E4210" w:rsidRPr="005B500B">
          <w:rPr>
            <w:rStyle w:val="Hyperlink"/>
            <w:noProof/>
          </w:rPr>
          <w:t>11.1.2.1a.2 Beacon generation in infrastructure BSS in UB</w:t>
        </w:r>
        <w:r w:rsidR="003E4210">
          <w:rPr>
            <w:noProof/>
            <w:webHidden/>
          </w:rPr>
          <w:tab/>
        </w:r>
        <w:r>
          <w:rPr>
            <w:noProof/>
            <w:webHidden/>
          </w:rPr>
          <w:fldChar w:fldCharType="begin"/>
        </w:r>
        <w:r w:rsidR="003E4210">
          <w:rPr>
            <w:noProof/>
            <w:webHidden/>
          </w:rPr>
          <w:instrText xml:space="preserve"> PAGEREF _Toc259717188 \h </w:instrText>
        </w:r>
        <w:r>
          <w:rPr>
            <w:noProof/>
            <w:webHidden/>
          </w:rPr>
        </w:r>
        <w:r>
          <w:rPr>
            <w:noProof/>
            <w:webHidden/>
          </w:rPr>
          <w:fldChar w:fldCharType="separate"/>
        </w:r>
        <w:r w:rsidR="003E4210">
          <w:rPr>
            <w:noProof/>
            <w:webHidden/>
          </w:rPr>
          <w:t>219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89" w:history="1">
        <w:r w:rsidR="003E4210" w:rsidRPr="005B500B">
          <w:rPr>
            <w:rStyle w:val="Hyperlink"/>
            <w:noProof/>
          </w:rPr>
          <w:t>11.1.2.1b Beacon generation before network initialization</w:t>
        </w:r>
        <w:r w:rsidR="003E4210">
          <w:rPr>
            <w:noProof/>
            <w:webHidden/>
          </w:rPr>
          <w:tab/>
        </w:r>
        <w:r>
          <w:rPr>
            <w:noProof/>
            <w:webHidden/>
          </w:rPr>
          <w:fldChar w:fldCharType="begin"/>
        </w:r>
        <w:r w:rsidR="003E4210">
          <w:rPr>
            <w:noProof/>
            <w:webHidden/>
          </w:rPr>
          <w:instrText xml:space="preserve"> PAGEREF _Toc259717189 \h </w:instrText>
        </w:r>
        <w:r>
          <w:rPr>
            <w:noProof/>
            <w:webHidden/>
          </w:rPr>
        </w:r>
        <w:r>
          <w:rPr>
            <w:noProof/>
            <w:webHidden/>
          </w:rPr>
          <w:fldChar w:fldCharType="separate"/>
        </w:r>
        <w:r w:rsidR="003E4210">
          <w:rPr>
            <w:noProof/>
            <w:webHidden/>
          </w:rPr>
          <w:t>219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90" w:history="1">
        <w:r w:rsidR="003E4210" w:rsidRPr="005B500B">
          <w:rPr>
            <w:rStyle w:val="Hyperlink"/>
            <w:noProof/>
          </w:rPr>
          <w:t>11.1.2.2 Beacon generation in an IBSS</w:t>
        </w:r>
        <w:r w:rsidR="003E4210">
          <w:rPr>
            <w:noProof/>
            <w:webHidden/>
          </w:rPr>
          <w:tab/>
        </w:r>
        <w:r>
          <w:rPr>
            <w:noProof/>
            <w:webHidden/>
          </w:rPr>
          <w:fldChar w:fldCharType="begin"/>
        </w:r>
        <w:r w:rsidR="003E4210">
          <w:rPr>
            <w:noProof/>
            <w:webHidden/>
          </w:rPr>
          <w:instrText xml:space="preserve"> PAGEREF _Toc259717190 \h </w:instrText>
        </w:r>
        <w:r>
          <w:rPr>
            <w:noProof/>
            <w:webHidden/>
          </w:rPr>
        </w:r>
        <w:r>
          <w:rPr>
            <w:noProof/>
            <w:webHidden/>
          </w:rPr>
          <w:fldChar w:fldCharType="separate"/>
        </w:r>
        <w:r w:rsidR="003E4210">
          <w:rPr>
            <w:noProof/>
            <w:webHidden/>
          </w:rPr>
          <w:t>220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91" w:history="1">
        <w:r w:rsidR="003E4210" w:rsidRPr="005B500B">
          <w:rPr>
            <w:rStyle w:val="Hyperlink"/>
            <w:noProof/>
          </w:rPr>
          <w:t>11.1.2.3 Beacon reception</w:t>
        </w:r>
        <w:r w:rsidR="003E4210">
          <w:rPr>
            <w:noProof/>
            <w:webHidden/>
          </w:rPr>
          <w:tab/>
        </w:r>
        <w:r>
          <w:rPr>
            <w:noProof/>
            <w:webHidden/>
          </w:rPr>
          <w:fldChar w:fldCharType="begin"/>
        </w:r>
        <w:r w:rsidR="003E4210">
          <w:rPr>
            <w:noProof/>
            <w:webHidden/>
          </w:rPr>
          <w:instrText xml:space="preserve"> PAGEREF _Toc259717191 \h </w:instrText>
        </w:r>
        <w:r>
          <w:rPr>
            <w:noProof/>
            <w:webHidden/>
          </w:rPr>
        </w:r>
        <w:r>
          <w:rPr>
            <w:noProof/>
            <w:webHidden/>
          </w:rPr>
          <w:fldChar w:fldCharType="separate"/>
        </w:r>
        <w:r w:rsidR="003E4210">
          <w:rPr>
            <w:noProof/>
            <w:webHidden/>
          </w:rPr>
          <w:t>220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92" w:history="1">
        <w:r w:rsidR="003E4210" w:rsidRPr="005B500B">
          <w:rPr>
            <w:rStyle w:val="Hyperlink"/>
            <w:noProof/>
          </w:rPr>
          <w:t>11.1.2.3a Multiple BSSID procedures</w:t>
        </w:r>
        <w:r w:rsidR="003E4210">
          <w:rPr>
            <w:noProof/>
            <w:webHidden/>
          </w:rPr>
          <w:tab/>
        </w:r>
        <w:r>
          <w:rPr>
            <w:noProof/>
            <w:webHidden/>
          </w:rPr>
          <w:fldChar w:fldCharType="begin"/>
        </w:r>
        <w:r w:rsidR="003E4210">
          <w:rPr>
            <w:noProof/>
            <w:webHidden/>
          </w:rPr>
          <w:instrText xml:space="preserve"> PAGEREF _Toc259717192 \h </w:instrText>
        </w:r>
        <w:r>
          <w:rPr>
            <w:noProof/>
            <w:webHidden/>
          </w:rPr>
        </w:r>
        <w:r>
          <w:rPr>
            <w:noProof/>
            <w:webHidden/>
          </w:rPr>
          <w:fldChar w:fldCharType="separate"/>
        </w:r>
        <w:r w:rsidR="003E4210">
          <w:rPr>
            <w:noProof/>
            <w:webHidden/>
          </w:rPr>
          <w:t>221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93" w:history="1">
        <w:r w:rsidR="003E4210" w:rsidRPr="005B500B">
          <w:rPr>
            <w:rStyle w:val="Hyperlink"/>
            <w:noProof/>
          </w:rPr>
          <w:t>11.1.2.4 TSF timer accuracy</w:t>
        </w:r>
        <w:r w:rsidR="003E4210">
          <w:rPr>
            <w:noProof/>
            <w:webHidden/>
          </w:rPr>
          <w:tab/>
        </w:r>
        <w:r>
          <w:rPr>
            <w:noProof/>
            <w:webHidden/>
          </w:rPr>
          <w:fldChar w:fldCharType="begin"/>
        </w:r>
        <w:r w:rsidR="003E4210">
          <w:rPr>
            <w:noProof/>
            <w:webHidden/>
          </w:rPr>
          <w:instrText xml:space="preserve"> PAGEREF _Toc259717193 \h </w:instrText>
        </w:r>
        <w:r>
          <w:rPr>
            <w:noProof/>
            <w:webHidden/>
          </w:rPr>
        </w:r>
        <w:r>
          <w:rPr>
            <w:noProof/>
            <w:webHidden/>
          </w:rPr>
          <w:fldChar w:fldCharType="separate"/>
        </w:r>
        <w:r w:rsidR="003E4210">
          <w:rPr>
            <w:noProof/>
            <w:webHidden/>
          </w:rPr>
          <w:t>221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94" w:history="1">
        <w:r w:rsidR="003E4210" w:rsidRPr="005B500B">
          <w:rPr>
            <w:rStyle w:val="Hyperlink"/>
            <w:noProof/>
          </w:rPr>
          <w:t>11.1.3 Acquiring synchronization, scanning</w:t>
        </w:r>
        <w:r w:rsidR="003E4210">
          <w:rPr>
            <w:noProof/>
            <w:webHidden/>
          </w:rPr>
          <w:tab/>
        </w:r>
        <w:r>
          <w:rPr>
            <w:noProof/>
            <w:webHidden/>
          </w:rPr>
          <w:fldChar w:fldCharType="begin"/>
        </w:r>
        <w:r w:rsidR="003E4210">
          <w:rPr>
            <w:noProof/>
            <w:webHidden/>
          </w:rPr>
          <w:instrText xml:space="preserve"> PAGEREF _Toc259717194 \h </w:instrText>
        </w:r>
        <w:r>
          <w:rPr>
            <w:noProof/>
            <w:webHidden/>
          </w:rPr>
        </w:r>
        <w:r>
          <w:rPr>
            <w:noProof/>
            <w:webHidden/>
          </w:rPr>
          <w:fldChar w:fldCharType="separate"/>
        </w:r>
        <w:r w:rsidR="003E4210">
          <w:rPr>
            <w:noProof/>
            <w:webHidden/>
          </w:rPr>
          <w:t>222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95" w:history="1">
        <w:r w:rsidR="003E4210" w:rsidRPr="005B500B">
          <w:rPr>
            <w:rStyle w:val="Hyperlink"/>
            <w:noProof/>
          </w:rPr>
          <w:t>11.1.3.1 Passive scanning</w:t>
        </w:r>
        <w:r w:rsidR="003E4210">
          <w:rPr>
            <w:noProof/>
            <w:webHidden/>
          </w:rPr>
          <w:tab/>
        </w:r>
        <w:r>
          <w:rPr>
            <w:noProof/>
            <w:webHidden/>
          </w:rPr>
          <w:fldChar w:fldCharType="begin"/>
        </w:r>
        <w:r w:rsidR="003E4210">
          <w:rPr>
            <w:noProof/>
            <w:webHidden/>
          </w:rPr>
          <w:instrText xml:space="preserve"> PAGEREF _Toc259717195 \h </w:instrText>
        </w:r>
        <w:r>
          <w:rPr>
            <w:noProof/>
            <w:webHidden/>
          </w:rPr>
        </w:r>
        <w:r>
          <w:rPr>
            <w:noProof/>
            <w:webHidden/>
          </w:rPr>
          <w:fldChar w:fldCharType="separate"/>
        </w:r>
        <w:r w:rsidR="003E4210">
          <w:rPr>
            <w:noProof/>
            <w:webHidden/>
          </w:rPr>
          <w:t>222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96" w:history="1">
        <w:r w:rsidR="003E4210" w:rsidRPr="005B500B">
          <w:rPr>
            <w:rStyle w:val="Hyperlink"/>
            <w:noProof/>
          </w:rPr>
          <w:t>11.1.3.1.1 Passive scanning for mSTAs</w:t>
        </w:r>
        <w:r w:rsidR="003E4210">
          <w:rPr>
            <w:noProof/>
            <w:webHidden/>
          </w:rPr>
          <w:tab/>
        </w:r>
        <w:r>
          <w:rPr>
            <w:noProof/>
            <w:webHidden/>
          </w:rPr>
          <w:fldChar w:fldCharType="begin"/>
        </w:r>
        <w:r w:rsidR="003E4210">
          <w:rPr>
            <w:noProof/>
            <w:webHidden/>
          </w:rPr>
          <w:instrText xml:space="preserve"> PAGEREF _Toc259717196 \h </w:instrText>
        </w:r>
        <w:r>
          <w:rPr>
            <w:noProof/>
            <w:webHidden/>
          </w:rPr>
        </w:r>
        <w:r>
          <w:rPr>
            <w:noProof/>
            <w:webHidden/>
          </w:rPr>
          <w:fldChar w:fldCharType="separate"/>
        </w:r>
        <w:r w:rsidR="003E4210">
          <w:rPr>
            <w:noProof/>
            <w:webHidden/>
          </w:rPr>
          <w:t>222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197" w:history="1">
        <w:r w:rsidR="003E4210" w:rsidRPr="005B500B">
          <w:rPr>
            <w:rStyle w:val="Hyperlink"/>
            <w:noProof/>
          </w:rPr>
          <w:t>11.1.3.2 Active scanning</w:t>
        </w:r>
        <w:r w:rsidR="003E4210">
          <w:rPr>
            <w:noProof/>
            <w:webHidden/>
          </w:rPr>
          <w:tab/>
        </w:r>
        <w:r>
          <w:rPr>
            <w:noProof/>
            <w:webHidden/>
          </w:rPr>
          <w:fldChar w:fldCharType="begin"/>
        </w:r>
        <w:r w:rsidR="003E4210">
          <w:rPr>
            <w:noProof/>
            <w:webHidden/>
          </w:rPr>
          <w:instrText xml:space="preserve"> PAGEREF _Toc259717197 \h </w:instrText>
        </w:r>
        <w:r>
          <w:rPr>
            <w:noProof/>
            <w:webHidden/>
          </w:rPr>
        </w:r>
        <w:r>
          <w:rPr>
            <w:noProof/>
            <w:webHidden/>
          </w:rPr>
          <w:fldChar w:fldCharType="separate"/>
        </w:r>
        <w:r w:rsidR="003E4210">
          <w:rPr>
            <w:noProof/>
            <w:webHidden/>
          </w:rPr>
          <w:t>223</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98" w:history="1">
        <w:r w:rsidR="003E4210" w:rsidRPr="005B500B">
          <w:rPr>
            <w:rStyle w:val="Hyperlink"/>
            <w:noProof/>
          </w:rPr>
          <w:t>11.1.3.2.1 Sending a probe response</w:t>
        </w:r>
        <w:r w:rsidR="003E4210">
          <w:rPr>
            <w:noProof/>
            <w:webHidden/>
          </w:rPr>
          <w:tab/>
        </w:r>
        <w:r>
          <w:rPr>
            <w:noProof/>
            <w:webHidden/>
          </w:rPr>
          <w:fldChar w:fldCharType="begin"/>
        </w:r>
        <w:r w:rsidR="003E4210">
          <w:rPr>
            <w:noProof/>
            <w:webHidden/>
          </w:rPr>
          <w:instrText xml:space="preserve"> PAGEREF _Toc259717198 \h </w:instrText>
        </w:r>
        <w:r>
          <w:rPr>
            <w:noProof/>
            <w:webHidden/>
          </w:rPr>
        </w:r>
        <w:r>
          <w:rPr>
            <w:noProof/>
            <w:webHidden/>
          </w:rPr>
          <w:fldChar w:fldCharType="separate"/>
        </w:r>
        <w:r w:rsidR="003E4210">
          <w:rPr>
            <w:noProof/>
            <w:webHidden/>
          </w:rPr>
          <w:t>223</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199" w:history="1">
        <w:r w:rsidR="003E4210" w:rsidRPr="005B500B">
          <w:rPr>
            <w:rStyle w:val="Hyperlink"/>
            <w:noProof/>
          </w:rPr>
          <w:t>11.1.3.2.2 Active scanning procedure</w:t>
        </w:r>
        <w:r w:rsidR="003E4210">
          <w:rPr>
            <w:noProof/>
            <w:webHidden/>
          </w:rPr>
          <w:tab/>
        </w:r>
        <w:r>
          <w:rPr>
            <w:noProof/>
            <w:webHidden/>
          </w:rPr>
          <w:fldChar w:fldCharType="begin"/>
        </w:r>
        <w:r w:rsidR="003E4210">
          <w:rPr>
            <w:noProof/>
            <w:webHidden/>
          </w:rPr>
          <w:instrText xml:space="preserve"> PAGEREF _Toc259717199 \h </w:instrText>
        </w:r>
        <w:r>
          <w:rPr>
            <w:noProof/>
            <w:webHidden/>
          </w:rPr>
        </w:r>
        <w:r>
          <w:rPr>
            <w:noProof/>
            <w:webHidden/>
          </w:rPr>
          <w:fldChar w:fldCharType="separate"/>
        </w:r>
        <w:r w:rsidR="003E4210">
          <w:rPr>
            <w:noProof/>
            <w:webHidden/>
          </w:rPr>
          <w:t>224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00" w:history="1">
        <w:r w:rsidR="003E4210" w:rsidRPr="005B500B">
          <w:rPr>
            <w:rStyle w:val="Hyperlink"/>
            <w:noProof/>
          </w:rPr>
          <w:t>11.1.3.3 Initializing a BSS</w:t>
        </w:r>
        <w:r w:rsidR="003E4210">
          <w:rPr>
            <w:noProof/>
            <w:webHidden/>
          </w:rPr>
          <w:tab/>
        </w:r>
        <w:r>
          <w:rPr>
            <w:noProof/>
            <w:webHidden/>
          </w:rPr>
          <w:fldChar w:fldCharType="begin"/>
        </w:r>
        <w:r w:rsidR="003E4210">
          <w:rPr>
            <w:noProof/>
            <w:webHidden/>
          </w:rPr>
          <w:instrText xml:space="preserve"> PAGEREF _Toc259717200 \h </w:instrText>
        </w:r>
        <w:r>
          <w:rPr>
            <w:noProof/>
            <w:webHidden/>
          </w:rPr>
        </w:r>
        <w:r>
          <w:rPr>
            <w:noProof/>
            <w:webHidden/>
          </w:rPr>
          <w:fldChar w:fldCharType="separate"/>
        </w:r>
        <w:r w:rsidR="003E4210">
          <w:rPr>
            <w:noProof/>
            <w:webHidden/>
          </w:rPr>
          <w:t>225</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01" w:history="1">
        <w:r w:rsidR="003E4210" w:rsidRPr="005B500B">
          <w:rPr>
            <w:rStyle w:val="Hyperlink"/>
            <w:noProof/>
          </w:rPr>
          <w:t>11.1.3.3.1 Initializing a mmWave BSS</w:t>
        </w:r>
        <w:r w:rsidR="003E4210">
          <w:rPr>
            <w:noProof/>
            <w:webHidden/>
          </w:rPr>
          <w:tab/>
        </w:r>
        <w:r>
          <w:rPr>
            <w:noProof/>
            <w:webHidden/>
          </w:rPr>
          <w:fldChar w:fldCharType="begin"/>
        </w:r>
        <w:r w:rsidR="003E4210">
          <w:rPr>
            <w:noProof/>
            <w:webHidden/>
          </w:rPr>
          <w:instrText xml:space="preserve"> PAGEREF _Toc259717201 \h </w:instrText>
        </w:r>
        <w:r>
          <w:rPr>
            <w:noProof/>
            <w:webHidden/>
          </w:rPr>
        </w:r>
        <w:r>
          <w:rPr>
            <w:noProof/>
            <w:webHidden/>
          </w:rPr>
          <w:fldChar w:fldCharType="separate"/>
        </w:r>
        <w:r w:rsidR="003E4210">
          <w:rPr>
            <w:noProof/>
            <w:webHidden/>
          </w:rPr>
          <w:t>225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02" w:history="1">
        <w:r w:rsidR="003E4210" w:rsidRPr="005B500B">
          <w:rPr>
            <w:rStyle w:val="Hyperlink"/>
            <w:noProof/>
          </w:rPr>
          <w:t>11.1.3.4 Synchronizing with a BSS</w:t>
        </w:r>
        <w:r w:rsidR="003E4210">
          <w:rPr>
            <w:noProof/>
            <w:webHidden/>
          </w:rPr>
          <w:tab/>
        </w:r>
        <w:r>
          <w:rPr>
            <w:noProof/>
            <w:webHidden/>
          </w:rPr>
          <w:fldChar w:fldCharType="begin"/>
        </w:r>
        <w:r w:rsidR="003E4210">
          <w:rPr>
            <w:noProof/>
            <w:webHidden/>
          </w:rPr>
          <w:instrText xml:space="preserve"> PAGEREF _Toc259717202 \h </w:instrText>
        </w:r>
        <w:r>
          <w:rPr>
            <w:noProof/>
            <w:webHidden/>
          </w:rPr>
        </w:r>
        <w:r>
          <w:rPr>
            <w:noProof/>
            <w:webHidden/>
          </w:rPr>
          <w:fldChar w:fldCharType="separate"/>
        </w:r>
        <w:r w:rsidR="003E4210">
          <w:rPr>
            <w:noProof/>
            <w:webHidden/>
          </w:rPr>
          <w:t>226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3" w:history="1">
        <w:r w:rsidR="003E4210" w:rsidRPr="005B500B">
          <w:rPr>
            <w:rStyle w:val="Hyperlink"/>
            <w:noProof/>
          </w:rPr>
          <w:t>11.1.4 Adjusting STA timers</w:t>
        </w:r>
        <w:r w:rsidR="003E4210">
          <w:rPr>
            <w:noProof/>
            <w:webHidden/>
          </w:rPr>
          <w:tab/>
        </w:r>
        <w:r>
          <w:rPr>
            <w:noProof/>
            <w:webHidden/>
          </w:rPr>
          <w:fldChar w:fldCharType="begin"/>
        </w:r>
        <w:r w:rsidR="003E4210">
          <w:rPr>
            <w:noProof/>
            <w:webHidden/>
          </w:rPr>
          <w:instrText xml:space="preserve"> PAGEREF _Toc259717203 \h </w:instrText>
        </w:r>
        <w:r>
          <w:rPr>
            <w:noProof/>
            <w:webHidden/>
          </w:rPr>
        </w:r>
        <w:r>
          <w:rPr>
            <w:noProof/>
            <w:webHidden/>
          </w:rPr>
          <w:fldChar w:fldCharType="separate"/>
        </w:r>
        <w:r w:rsidR="003E4210">
          <w:rPr>
            <w:noProof/>
            <w:webHidden/>
          </w:rPr>
          <w:t>226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4" w:history="1">
        <w:r w:rsidR="003E4210" w:rsidRPr="005B500B">
          <w:rPr>
            <w:rStyle w:val="Hyperlink"/>
            <w:noProof/>
          </w:rPr>
          <w:t>11.1.6 Terminating a network</w:t>
        </w:r>
        <w:r w:rsidR="003E4210">
          <w:rPr>
            <w:noProof/>
            <w:webHidden/>
          </w:rPr>
          <w:tab/>
        </w:r>
        <w:r>
          <w:rPr>
            <w:noProof/>
            <w:webHidden/>
          </w:rPr>
          <w:fldChar w:fldCharType="begin"/>
        </w:r>
        <w:r w:rsidR="003E4210">
          <w:rPr>
            <w:noProof/>
            <w:webHidden/>
          </w:rPr>
          <w:instrText xml:space="preserve"> PAGEREF _Toc259717204 \h </w:instrText>
        </w:r>
        <w:r>
          <w:rPr>
            <w:noProof/>
            <w:webHidden/>
          </w:rPr>
        </w:r>
        <w:r>
          <w:rPr>
            <w:noProof/>
            <w:webHidden/>
          </w:rPr>
          <w:fldChar w:fldCharType="separate"/>
        </w:r>
        <w:r w:rsidR="003E4210">
          <w:rPr>
            <w:noProof/>
            <w:webHidden/>
          </w:rPr>
          <w:t>226</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05" w:history="1">
        <w:r w:rsidR="003E4210" w:rsidRPr="005B500B">
          <w:rPr>
            <w:rStyle w:val="Hyperlink"/>
            <w:noProof/>
          </w:rPr>
          <w:t>11.2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Power management</w:t>
        </w:r>
        <w:r w:rsidR="003E4210">
          <w:rPr>
            <w:noProof/>
            <w:webHidden/>
          </w:rPr>
          <w:tab/>
        </w:r>
        <w:r>
          <w:rPr>
            <w:noProof/>
            <w:webHidden/>
          </w:rPr>
          <w:fldChar w:fldCharType="begin"/>
        </w:r>
        <w:r w:rsidR="003E4210">
          <w:rPr>
            <w:noProof/>
            <w:webHidden/>
          </w:rPr>
          <w:instrText xml:space="preserve"> PAGEREF _Toc259717205 \h </w:instrText>
        </w:r>
        <w:r>
          <w:rPr>
            <w:noProof/>
            <w:webHidden/>
          </w:rPr>
        </w:r>
        <w:r>
          <w:rPr>
            <w:noProof/>
            <w:webHidden/>
          </w:rPr>
          <w:fldChar w:fldCharType="separate"/>
        </w:r>
        <w:r w:rsidR="003E4210">
          <w:rPr>
            <w:noProof/>
            <w:webHidden/>
          </w:rPr>
          <w:t>227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6" w:history="1">
        <w:r w:rsidR="003E4210" w:rsidRPr="005B500B">
          <w:rPr>
            <w:rStyle w:val="Hyperlink"/>
            <w:noProof/>
          </w:rPr>
          <w:t>11.2.1 Power management in an infrastructure network in the LB and HB</w:t>
        </w:r>
        <w:r w:rsidR="003E4210">
          <w:rPr>
            <w:noProof/>
            <w:webHidden/>
          </w:rPr>
          <w:tab/>
        </w:r>
        <w:r>
          <w:rPr>
            <w:noProof/>
            <w:webHidden/>
          </w:rPr>
          <w:fldChar w:fldCharType="begin"/>
        </w:r>
        <w:r w:rsidR="003E4210">
          <w:rPr>
            <w:noProof/>
            <w:webHidden/>
          </w:rPr>
          <w:instrText xml:space="preserve"> PAGEREF _Toc259717206 \h </w:instrText>
        </w:r>
        <w:r>
          <w:rPr>
            <w:noProof/>
            <w:webHidden/>
          </w:rPr>
        </w:r>
        <w:r>
          <w:rPr>
            <w:noProof/>
            <w:webHidden/>
          </w:rPr>
          <w:fldChar w:fldCharType="separate"/>
        </w:r>
        <w:r w:rsidR="003E4210">
          <w:rPr>
            <w:noProof/>
            <w:webHidden/>
          </w:rPr>
          <w:t>227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7" w:history="1">
        <w:r w:rsidR="003E4210" w:rsidRPr="005B500B">
          <w:rPr>
            <w:rStyle w:val="Hyperlink"/>
            <w:noProof/>
          </w:rPr>
          <w:t>11.2.3 Power management in a PBSS and infrastructure BSS in the UB</w:t>
        </w:r>
        <w:r w:rsidR="003E4210">
          <w:rPr>
            <w:noProof/>
            <w:webHidden/>
          </w:rPr>
          <w:tab/>
        </w:r>
        <w:r>
          <w:rPr>
            <w:noProof/>
            <w:webHidden/>
          </w:rPr>
          <w:fldChar w:fldCharType="begin"/>
        </w:r>
        <w:r w:rsidR="003E4210">
          <w:rPr>
            <w:noProof/>
            <w:webHidden/>
          </w:rPr>
          <w:instrText xml:space="preserve"> PAGEREF _Toc259717207 \h </w:instrText>
        </w:r>
        <w:r>
          <w:rPr>
            <w:noProof/>
            <w:webHidden/>
          </w:rPr>
        </w:r>
        <w:r>
          <w:rPr>
            <w:noProof/>
            <w:webHidden/>
          </w:rPr>
          <w:fldChar w:fldCharType="separate"/>
        </w:r>
        <w:r w:rsidR="003E4210">
          <w:rPr>
            <w:noProof/>
            <w:webHidden/>
          </w:rPr>
          <w:t>227</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08" w:history="1">
        <w:r w:rsidR="003E4210" w:rsidRPr="005B500B">
          <w:rPr>
            <w:rStyle w:val="Hyperlink"/>
            <w:noProof/>
            <w:lang w:val="fr-FR"/>
          </w:rPr>
          <w:t>11.2.3.1 Non-PCP/non-AP STA power management mode</w:t>
        </w:r>
        <w:r w:rsidR="003E4210">
          <w:rPr>
            <w:noProof/>
            <w:webHidden/>
          </w:rPr>
          <w:tab/>
        </w:r>
        <w:r>
          <w:rPr>
            <w:noProof/>
            <w:webHidden/>
          </w:rPr>
          <w:fldChar w:fldCharType="begin"/>
        </w:r>
        <w:r w:rsidR="003E4210">
          <w:rPr>
            <w:noProof/>
            <w:webHidden/>
          </w:rPr>
          <w:instrText xml:space="preserve"> PAGEREF _Toc259717208 \h </w:instrText>
        </w:r>
        <w:r>
          <w:rPr>
            <w:noProof/>
            <w:webHidden/>
          </w:rPr>
        </w:r>
        <w:r>
          <w:rPr>
            <w:noProof/>
            <w:webHidden/>
          </w:rPr>
          <w:fldChar w:fldCharType="separate"/>
        </w:r>
        <w:r w:rsidR="003E4210">
          <w:rPr>
            <w:noProof/>
            <w:webHidden/>
          </w:rPr>
          <w:t>228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09" w:history="1">
        <w:r w:rsidR="003E4210" w:rsidRPr="005B500B">
          <w:rPr>
            <w:rStyle w:val="Hyperlink"/>
            <w:noProof/>
          </w:rPr>
          <w:t xml:space="preserve">11.2.3.1.1 </w:t>
        </w:r>
        <w:r w:rsidR="003E4210" w:rsidRPr="005B500B">
          <w:rPr>
            <w:rStyle w:val="Hyperlink"/>
            <w:noProof/>
            <w:lang w:val="fr-FR"/>
          </w:rPr>
          <w:t>Power management mode operation of a non-PCP/non-AP STA with no wakeup schedule</w:t>
        </w:r>
        <w:r w:rsidR="003E4210">
          <w:rPr>
            <w:noProof/>
            <w:webHidden/>
          </w:rPr>
          <w:tab/>
        </w:r>
        <w:r>
          <w:rPr>
            <w:noProof/>
            <w:webHidden/>
          </w:rPr>
          <w:fldChar w:fldCharType="begin"/>
        </w:r>
        <w:r w:rsidR="003E4210">
          <w:rPr>
            <w:noProof/>
            <w:webHidden/>
          </w:rPr>
          <w:instrText xml:space="preserve"> PAGEREF _Toc259717209 \h </w:instrText>
        </w:r>
        <w:r>
          <w:rPr>
            <w:noProof/>
            <w:webHidden/>
          </w:rPr>
        </w:r>
        <w:r>
          <w:rPr>
            <w:noProof/>
            <w:webHidden/>
          </w:rPr>
          <w:fldChar w:fldCharType="separate"/>
        </w:r>
        <w:r w:rsidR="003E4210">
          <w:rPr>
            <w:noProof/>
            <w:webHidden/>
          </w:rPr>
          <w:t>229</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10" w:history="1">
        <w:r w:rsidR="003E4210" w:rsidRPr="005B500B">
          <w:rPr>
            <w:rStyle w:val="Hyperlink"/>
            <w:noProof/>
            <w:lang w:val="fr-FR"/>
          </w:rPr>
          <w:t>11.2.3.1.2 Power management mode operation of a non-PCP/non-AP STA with a wakeup schedule</w:t>
        </w:r>
        <w:r w:rsidR="003E4210">
          <w:rPr>
            <w:noProof/>
            <w:webHidden/>
          </w:rPr>
          <w:tab/>
        </w:r>
        <w:r>
          <w:rPr>
            <w:noProof/>
            <w:webHidden/>
          </w:rPr>
          <w:fldChar w:fldCharType="begin"/>
        </w:r>
        <w:r w:rsidR="003E4210">
          <w:rPr>
            <w:noProof/>
            <w:webHidden/>
          </w:rPr>
          <w:instrText xml:space="preserve"> PAGEREF _Toc259717210 \h </w:instrText>
        </w:r>
        <w:r>
          <w:rPr>
            <w:noProof/>
            <w:webHidden/>
          </w:rPr>
        </w:r>
        <w:r>
          <w:rPr>
            <w:noProof/>
            <w:webHidden/>
          </w:rPr>
          <w:fldChar w:fldCharType="separate"/>
        </w:r>
        <w:r w:rsidR="003E4210">
          <w:rPr>
            <w:noProof/>
            <w:webHidden/>
          </w:rPr>
          <w:t>229</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11" w:history="1">
        <w:r w:rsidR="003E4210" w:rsidRPr="005B500B">
          <w:rPr>
            <w:rStyle w:val="Hyperlink"/>
            <w:noProof/>
          </w:rPr>
          <w:t xml:space="preserve">11.2.3.1.3 </w:t>
        </w:r>
        <w:r w:rsidR="003E4210" w:rsidRPr="005B500B">
          <w:rPr>
            <w:rStyle w:val="Hyperlink"/>
            <w:noProof/>
            <w:lang w:val="fr-FR"/>
          </w:rPr>
          <w:t>Power management mode operation of a non-PCP/non-AP STA with or without a wakeup schedule</w:t>
        </w:r>
        <w:r w:rsidR="003E4210">
          <w:rPr>
            <w:noProof/>
            <w:webHidden/>
          </w:rPr>
          <w:tab/>
        </w:r>
        <w:r>
          <w:rPr>
            <w:noProof/>
            <w:webHidden/>
          </w:rPr>
          <w:fldChar w:fldCharType="begin"/>
        </w:r>
        <w:r w:rsidR="003E4210">
          <w:rPr>
            <w:noProof/>
            <w:webHidden/>
          </w:rPr>
          <w:instrText xml:space="preserve"> PAGEREF _Toc259717211 \h </w:instrText>
        </w:r>
        <w:r>
          <w:rPr>
            <w:noProof/>
            <w:webHidden/>
          </w:rPr>
        </w:r>
        <w:r>
          <w:rPr>
            <w:noProof/>
            <w:webHidden/>
          </w:rPr>
          <w:fldChar w:fldCharType="separate"/>
        </w:r>
        <w:r w:rsidR="003E4210">
          <w:rPr>
            <w:noProof/>
            <w:webHidden/>
          </w:rPr>
          <w:t>231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12" w:history="1">
        <w:r w:rsidR="003E4210" w:rsidRPr="005B500B">
          <w:rPr>
            <w:rStyle w:val="Hyperlink"/>
            <w:noProof/>
          </w:rPr>
          <w:t>11.2.3.2 PCP Power management mode</w:t>
        </w:r>
        <w:r w:rsidR="003E4210">
          <w:rPr>
            <w:noProof/>
            <w:webHidden/>
          </w:rPr>
          <w:tab/>
        </w:r>
        <w:r>
          <w:rPr>
            <w:noProof/>
            <w:webHidden/>
          </w:rPr>
          <w:fldChar w:fldCharType="begin"/>
        </w:r>
        <w:r w:rsidR="003E4210">
          <w:rPr>
            <w:noProof/>
            <w:webHidden/>
          </w:rPr>
          <w:instrText xml:space="preserve"> PAGEREF _Toc259717212 \h </w:instrText>
        </w:r>
        <w:r>
          <w:rPr>
            <w:noProof/>
            <w:webHidden/>
          </w:rPr>
        </w:r>
        <w:r>
          <w:rPr>
            <w:noProof/>
            <w:webHidden/>
          </w:rPr>
          <w:fldChar w:fldCharType="separate"/>
        </w:r>
        <w:r w:rsidR="003E4210">
          <w:rPr>
            <w:noProof/>
            <w:webHidden/>
          </w:rPr>
          <w:t>232</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13" w:history="1">
        <w:r w:rsidR="003E4210" w:rsidRPr="005B500B">
          <w:rPr>
            <w:rStyle w:val="Hyperlink"/>
            <w:noProof/>
          </w:rPr>
          <w:t>11.3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STA Authentication and Association</w:t>
        </w:r>
        <w:r w:rsidR="003E4210">
          <w:rPr>
            <w:noProof/>
            <w:webHidden/>
          </w:rPr>
          <w:tab/>
        </w:r>
        <w:r>
          <w:rPr>
            <w:noProof/>
            <w:webHidden/>
          </w:rPr>
          <w:fldChar w:fldCharType="begin"/>
        </w:r>
        <w:r w:rsidR="003E4210">
          <w:rPr>
            <w:noProof/>
            <w:webHidden/>
          </w:rPr>
          <w:instrText xml:space="preserve"> PAGEREF _Toc259717213 \h </w:instrText>
        </w:r>
        <w:r>
          <w:rPr>
            <w:noProof/>
            <w:webHidden/>
          </w:rPr>
        </w:r>
        <w:r>
          <w:rPr>
            <w:noProof/>
            <w:webHidden/>
          </w:rPr>
          <w:fldChar w:fldCharType="separate"/>
        </w:r>
        <w:r w:rsidR="003E4210">
          <w:rPr>
            <w:noProof/>
            <w:webHidden/>
          </w:rPr>
          <w:t>234</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14" w:history="1">
        <w:r w:rsidR="003E4210" w:rsidRPr="005B500B">
          <w:rPr>
            <w:rStyle w:val="Hyperlink"/>
            <w:noProof/>
          </w:rPr>
          <w:t>11.3.3 mmWave BSS Association, reassociation, and disassociation</w:t>
        </w:r>
        <w:r w:rsidR="003E4210">
          <w:rPr>
            <w:noProof/>
            <w:webHidden/>
          </w:rPr>
          <w:tab/>
        </w:r>
        <w:r>
          <w:rPr>
            <w:noProof/>
            <w:webHidden/>
          </w:rPr>
          <w:fldChar w:fldCharType="begin"/>
        </w:r>
        <w:r w:rsidR="003E4210">
          <w:rPr>
            <w:noProof/>
            <w:webHidden/>
          </w:rPr>
          <w:instrText xml:space="preserve"> PAGEREF _Toc259717214 \h </w:instrText>
        </w:r>
        <w:r>
          <w:rPr>
            <w:noProof/>
            <w:webHidden/>
          </w:rPr>
        </w:r>
        <w:r>
          <w:rPr>
            <w:noProof/>
            <w:webHidden/>
          </w:rPr>
          <w:fldChar w:fldCharType="separate"/>
        </w:r>
        <w:r w:rsidR="003E4210">
          <w:rPr>
            <w:noProof/>
            <w:webHidden/>
          </w:rPr>
          <w:t>234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15" w:history="1">
        <w:r w:rsidR="003E4210" w:rsidRPr="005B500B">
          <w:rPr>
            <w:rStyle w:val="Hyperlink"/>
            <w:rFonts w:ascii="Arial" w:hAnsi="Arial"/>
            <w:noProof/>
            <w:lang w:val="fr-FR"/>
          </w:rPr>
          <w:t>11.3.3.1</w:t>
        </w:r>
        <w:r w:rsidR="003E4210" w:rsidRPr="005B500B">
          <w:rPr>
            <w:rStyle w:val="Hyperlink"/>
            <w:noProof/>
          </w:rPr>
          <w:t xml:space="preserve"> Non-PCP/non-AP STA Association and RSNA procedures</w:t>
        </w:r>
        <w:r w:rsidR="003E4210">
          <w:rPr>
            <w:noProof/>
            <w:webHidden/>
          </w:rPr>
          <w:tab/>
        </w:r>
        <w:r>
          <w:rPr>
            <w:noProof/>
            <w:webHidden/>
          </w:rPr>
          <w:fldChar w:fldCharType="begin"/>
        </w:r>
        <w:r w:rsidR="003E4210">
          <w:rPr>
            <w:noProof/>
            <w:webHidden/>
          </w:rPr>
          <w:instrText xml:space="preserve"> PAGEREF _Toc259717215 \h </w:instrText>
        </w:r>
        <w:r>
          <w:rPr>
            <w:noProof/>
            <w:webHidden/>
          </w:rPr>
        </w:r>
        <w:r>
          <w:rPr>
            <w:noProof/>
            <w:webHidden/>
          </w:rPr>
          <w:fldChar w:fldCharType="separate"/>
        </w:r>
        <w:r w:rsidR="003E4210">
          <w:rPr>
            <w:noProof/>
            <w:webHidden/>
          </w:rPr>
          <w:t>238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16" w:history="1">
        <w:r w:rsidR="003E4210" w:rsidRPr="005B500B">
          <w:rPr>
            <w:rStyle w:val="Hyperlink"/>
            <w:noProof/>
          </w:rPr>
          <w:t>11.3.3.2 PCP/AP Association and RSNA procedures</w:t>
        </w:r>
        <w:r w:rsidR="003E4210">
          <w:rPr>
            <w:noProof/>
            <w:webHidden/>
          </w:rPr>
          <w:tab/>
        </w:r>
        <w:r>
          <w:rPr>
            <w:noProof/>
            <w:webHidden/>
          </w:rPr>
          <w:fldChar w:fldCharType="begin"/>
        </w:r>
        <w:r w:rsidR="003E4210">
          <w:rPr>
            <w:noProof/>
            <w:webHidden/>
          </w:rPr>
          <w:instrText xml:space="preserve"> PAGEREF _Toc259717216 \h </w:instrText>
        </w:r>
        <w:r>
          <w:rPr>
            <w:noProof/>
            <w:webHidden/>
          </w:rPr>
        </w:r>
        <w:r>
          <w:rPr>
            <w:noProof/>
            <w:webHidden/>
          </w:rPr>
          <w:fldChar w:fldCharType="separate"/>
        </w:r>
        <w:r w:rsidR="003E4210">
          <w:rPr>
            <w:noProof/>
            <w:webHidden/>
          </w:rPr>
          <w:t>238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17" w:history="1">
        <w:r w:rsidR="003E4210" w:rsidRPr="005B500B">
          <w:rPr>
            <w:rStyle w:val="Hyperlink"/>
            <w:noProof/>
            <w:lang w:val="fr-FR"/>
          </w:rPr>
          <w:t>11.3.3.3 Non-PCP/non-AP STA Disassociation procedures</w:t>
        </w:r>
        <w:r w:rsidR="003E4210">
          <w:rPr>
            <w:noProof/>
            <w:webHidden/>
          </w:rPr>
          <w:tab/>
        </w:r>
        <w:r>
          <w:rPr>
            <w:noProof/>
            <w:webHidden/>
          </w:rPr>
          <w:fldChar w:fldCharType="begin"/>
        </w:r>
        <w:r w:rsidR="003E4210">
          <w:rPr>
            <w:noProof/>
            <w:webHidden/>
          </w:rPr>
          <w:instrText xml:space="preserve"> PAGEREF _Toc259717217 \h </w:instrText>
        </w:r>
        <w:r>
          <w:rPr>
            <w:noProof/>
            <w:webHidden/>
          </w:rPr>
        </w:r>
        <w:r>
          <w:rPr>
            <w:noProof/>
            <w:webHidden/>
          </w:rPr>
          <w:fldChar w:fldCharType="separate"/>
        </w:r>
        <w:r w:rsidR="003E4210">
          <w:rPr>
            <w:noProof/>
            <w:webHidden/>
          </w:rPr>
          <w:t>239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18" w:history="1">
        <w:r w:rsidR="003E4210" w:rsidRPr="005B500B">
          <w:rPr>
            <w:rStyle w:val="Hyperlink"/>
            <w:noProof/>
            <w:lang w:val="fr-FR"/>
          </w:rPr>
          <w:t>11.3.3.4 Non-PCP/non-AP STA disassociation receipt procedure</w:t>
        </w:r>
        <w:r w:rsidR="003E4210">
          <w:rPr>
            <w:noProof/>
            <w:webHidden/>
          </w:rPr>
          <w:tab/>
        </w:r>
        <w:r>
          <w:rPr>
            <w:noProof/>
            <w:webHidden/>
          </w:rPr>
          <w:fldChar w:fldCharType="begin"/>
        </w:r>
        <w:r w:rsidR="003E4210">
          <w:rPr>
            <w:noProof/>
            <w:webHidden/>
          </w:rPr>
          <w:instrText xml:space="preserve"> PAGEREF _Toc259717218 \h </w:instrText>
        </w:r>
        <w:r>
          <w:rPr>
            <w:noProof/>
            <w:webHidden/>
          </w:rPr>
        </w:r>
        <w:r>
          <w:rPr>
            <w:noProof/>
            <w:webHidden/>
          </w:rPr>
          <w:fldChar w:fldCharType="separate"/>
        </w:r>
        <w:r w:rsidR="003E4210">
          <w:rPr>
            <w:noProof/>
            <w:webHidden/>
          </w:rPr>
          <w:t>239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19" w:history="1">
        <w:r w:rsidR="003E4210" w:rsidRPr="005B500B">
          <w:rPr>
            <w:rStyle w:val="Hyperlink"/>
            <w:noProof/>
          </w:rPr>
          <w:t>11.3.3.5 PCP/AP disassociation initiation procedure</w:t>
        </w:r>
        <w:r w:rsidR="003E4210">
          <w:rPr>
            <w:noProof/>
            <w:webHidden/>
          </w:rPr>
          <w:tab/>
        </w:r>
        <w:r>
          <w:rPr>
            <w:noProof/>
            <w:webHidden/>
          </w:rPr>
          <w:fldChar w:fldCharType="begin"/>
        </w:r>
        <w:r w:rsidR="003E4210">
          <w:rPr>
            <w:noProof/>
            <w:webHidden/>
          </w:rPr>
          <w:instrText xml:space="preserve"> PAGEREF _Toc259717219 \h </w:instrText>
        </w:r>
        <w:r>
          <w:rPr>
            <w:noProof/>
            <w:webHidden/>
          </w:rPr>
        </w:r>
        <w:r>
          <w:rPr>
            <w:noProof/>
            <w:webHidden/>
          </w:rPr>
          <w:fldChar w:fldCharType="separate"/>
        </w:r>
        <w:r w:rsidR="003E4210">
          <w:rPr>
            <w:noProof/>
            <w:webHidden/>
          </w:rPr>
          <w:t>240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20" w:history="1">
        <w:r w:rsidR="003E4210" w:rsidRPr="005B500B">
          <w:rPr>
            <w:rStyle w:val="Hyperlink"/>
            <w:noProof/>
          </w:rPr>
          <w:t>11.3.3.6 PCP/AP disassociation receipt procedure</w:t>
        </w:r>
        <w:r w:rsidR="003E4210">
          <w:rPr>
            <w:noProof/>
            <w:webHidden/>
          </w:rPr>
          <w:tab/>
        </w:r>
        <w:r>
          <w:rPr>
            <w:noProof/>
            <w:webHidden/>
          </w:rPr>
          <w:fldChar w:fldCharType="begin"/>
        </w:r>
        <w:r w:rsidR="003E4210">
          <w:rPr>
            <w:noProof/>
            <w:webHidden/>
          </w:rPr>
          <w:instrText xml:space="preserve"> PAGEREF _Toc259717220 \h </w:instrText>
        </w:r>
        <w:r>
          <w:rPr>
            <w:noProof/>
            <w:webHidden/>
          </w:rPr>
        </w:r>
        <w:r>
          <w:rPr>
            <w:noProof/>
            <w:webHidden/>
          </w:rPr>
          <w:fldChar w:fldCharType="separate"/>
        </w:r>
        <w:r w:rsidR="003E4210">
          <w:rPr>
            <w:noProof/>
            <w:webHidden/>
          </w:rPr>
          <w:t>240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1" w:history="1">
        <w:r w:rsidR="003E4210" w:rsidRPr="005B500B">
          <w:rPr>
            <w:rStyle w:val="Hyperlink"/>
            <w:noProof/>
          </w:rPr>
          <w:t>11.3.4 Communicating PBSS information</w:t>
        </w:r>
        <w:r w:rsidR="003E4210">
          <w:rPr>
            <w:noProof/>
            <w:webHidden/>
          </w:rPr>
          <w:tab/>
        </w:r>
        <w:r>
          <w:rPr>
            <w:noProof/>
            <w:webHidden/>
          </w:rPr>
          <w:fldChar w:fldCharType="begin"/>
        </w:r>
        <w:r w:rsidR="003E4210">
          <w:rPr>
            <w:noProof/>
            <w:webHidden/>
          </w:rPr>
          <w:instrText xml:space="preserve"> PAGEREF _Toc259717221 \h </w:instrText>
        </w:r>
        <w:r>
          <w:rPr>
            <w:noProof/>
            <w:webHidden/>
          </w:rPr>
        </w:r>
        <w:r>
          <w:rPr>
            <w:noProof/>
            <w:webHidden/>
          </w:rPr>
          <w:fldChar w:fldCharType="separate"/>
        </w:r>
        <w:r w:rsidR="003E4210">
          <w:rPr>
            <w:noProof/>
            <w:webHidden/>
          </w:rPr>
          <w:t>240</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22" w:history="1">
        <w:r w:rsidR="003E4210" w:rsidRPr="005B500B">
          <w:rPr>
            <w:rStyle w:val="Hyperlink"/>
            <w:noProof/>
          </w:rPr>
          <w:t>11.4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TS operation</w:t>
        </w:r>
        <w:r w:rsidR="003E4210">
          <w:rPr>
            <w:noProof/>
            <w:webHidden/>
          </w:rPr>
          <w:tab/>
        </w:r>
        <w:r>
          <w:rPr>
            <w:noProof/>
            <w:webHidden/>
          </w:rPr>
          <w:fldChar w:fldCharType="begin"/>
        </w:r>
        <w:r w:rsidR="003E4210">
          <w:rPr>
            <w:noProof/>
            <w:webHidden/>
          </w:rPr>
          <w:instrText xml:space="preserve"> PAGEREF _Toc259717222 \h </w:instrText>
        </w:r>
        <w:r>
          <w:rPr>
            <w:noProof/>
            <w:webHidden/>
          </w:rPr>
        </w:r>
        <w:r>
          <w:rPr>
            <w:noProof/>
            <w:webHidden/>
          </w:rPr>
          <w:fldChar w:fldCharType="separate"/>
        </w:r>
        <w:r w:rsidR="003E4210">
          <w:rPr>
            <w:noProof/>
            <w:webHidden/>
          </w:rPr>
          <w:t>241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3" w:history="1">
        <w:r w:rsidR="003E4210" w:rsidRPr="005B500B">
          <w:rPr>
            <w:rStyle w:val="Hyperlink"/>
            <w:noProof/>
          </w:rPr>
          <w:t>11.4.1 Introduction</w:t>
        </w:r>
        <w:r w:rsidR="003E4210">
          <w:rPr>
            <w:noProof/>
            <w:webHidden/>
          </w:rPr>
          <w:tab/>
        </w:r>
        <w:r>
          <w:rPr>
            <w:noProof/>
            <w:webHidden/>
          </w:rPr>
          <w:fldChar w:fldCharType="begin"/>
        </w:r>
        <w:r w:rsidR="003E4210">
          <w:rPr>
            <w:noProof/>
            <w:webHidden/>
          </w:rPr>
          <w:instrText xml:space="preserve"> PAGEREF _Toc259717223 \h </w:instrText>
        </w:r>
        <w:r>
          <w:rPr>
            <w:noProof/>
            <w:webHidden/>
          </w:rPr>
        </w:r>
        <w:r>
          <w:rPr>
            <w:noProof/>
            <w:webHidden/>
          </w:rPr>
          <w:fldChar w:fldCharType="separate"/>
        </w:r>
        <w:r w:rsidR="003E4210">
          <w:rPr>
            <w:noProof/>
            <w:webHidden/>
          </w:rPr>
          <w:t>241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4" w:history="1">
        <w:r w:rsidR="003E4210" w:rsidRPr="005B500B">
          <w:rPr>
            <w:rStyle w:val="Hyperlink"/>
            <w:noProof/>
          </w:rPr>
          <w:t>11.4.2 TSPEC Construction</w:t>
        </w:r>
        <w:r w:rsidR="003E4210">
          <w:rPr>
            <w:noProof/>
            <w:webHidden/>
          </w:rPr>
          <w:tab/>
        </w:r>
        <w:r>
          <w:rPr>
            <w:noProof/>
            <w:webHidden/>
          </w:rPr>
          <w:fldChar w:fldCharType="begin"/>
        </w:r>
        <w:r w:rsidR="003E4210">
          <w:rPr>
            <w:noProof/>
            <w:webHidden/>
          </w:rPr>
          <w:instrText xml:space="preserve"> PAGEREF _Toc259717224 \h </w:instrText>
        </w:r>
        <w:r>
          <w:rPr>
            <w:noProof/>
            <w:webHidden/>
          </w:rPr>
        </w:r>
        <w:r>
          <w:rPr>
            <w:noProof/>
            <w:webHidden/>
          </w:rPr>
          <w:fldChar w:fldCharType="separate"/>
        </w:r>
        <w:r w:rsidR="003E4210">
          <w:rPr>
            <w:noProof/>
            <w:webHidden/>
          </w:rPr>
          <w:t>243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5" w:history="1">
        <w:r w:rsidR="003E4210" w:rsidRPr="005B500B">
          <w:rPr>
            <w:rStyle w:val="Hyperlink"/>
            <w:noProof/>
          </w:rPr>
          <w:t>11.4.3 TS Lifecycle</w:t>
        </w:r>
        <w:r w:rsidR="003E4210">
          <w:rPr>
            <w:noProof/>
            <w:webHidden/>
          </w:rPr>
          <w:tab/>
        </w:r>
        <w:r>
          <w:rPr>
            <w:noProof/>
            <w:webHidden/>
          </w:rPr>
          <w:fldChar w:fldCharType="begin"/>
        </w:r>
        <w:r w:rsidR="003E4210">
          <w:rPr>
            <w:noProof/>
            <w:webHidden/>
          </w:rPr>
          <w:instrText xml:space="preserve"> PAGEREF _Toc259717225 \h </w:instrText>
        </w:r>
        <w:r>
          <w:rPr>
            <w:noProof/>
            <w:webHidden/>
          </w:rPr>
        </w:r>
        <w:r>
          <w:rPr>
            <w:noProof/>
            <w:webHidden/>
          </w:rPr>
          <w:fldChar w:fldCharType="separate"/>
        </w:r>
        <w:r w:rsidR="003E4210">
          <w:rPr>
            <w:noProof/>
            <w:webHidden/>
          </w:rPr>
          <w:t>243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6" w:history="1">
        <w:r w:rsidR="003E4210" w:rsidRPr="005B500B">
          <w:rPr>
            <w:rStyle w:val="Hyperlink"/>
            <w:noProof/>
          </w:rPr>
          <w:t>11.4.4 TS Setup</w:t>
        </w:r>
        <w:r w:rsidR="003E4210">
          <w:rPr>
            <w:noProof/>
            <w:webHidden/>
          </w:rPr>
          <w:tab/>
        </w:r>
        <w:r>
          <w:rPr>
            <w:noProof/>
            <w:webHidden/>
          </w:rPr>
          <w:fldChar w:fldCharType="begin"/>
        </w:r>
        <w:r w:rsidR="003E4210">
          <w:rPr>
            <w:noProof/>
            <w:webHidden/>
          </w:rPr>
          <w:instrText xml:space="preserve"> PAGEREF _Toc259717226 \h </w:instrText>
        </w:r>
        <w:r>
          <w:rPr>
            <w:noProof/>
            <w:webHidden/>
          </w:rPr>
        </w:r>
        <w:r>
          <w:rPr>
            <w:noProof/>
            <w:webHidden/>
          </w:rPr>
          <w:fldChar w:fldCharType="separate"/>
        </w:r>
        <w:r w:rsidR="003E4210">
          <w:rPr>
            <w:noProof/>
            <w:webHidden/>
          </w:rPr>
          <w:t>243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7" w:history="1">
        <w:r w:rsidR="003E4210" w:rsidRPr="005B500B">
          <w:rPr>
            <w:rStyle w:val="Hyperlink"/>
            <w:noProof/>
          </w:rPr>
          <w:t>11.4.5 Failed TS Setup</w:t>
        </w:r>
        <w:r w:rsidR="003E4210">
          <w:rPr>
            <w:noProof/>
            <w:webHidden/>
          </w:rPr>
          <w:tab/>
        </w:r>
        <w:r>
          <w:rPr>
            <w:noProof/>
            <w:webHidden/>
          </w:rPr>
          <w:fldChar w:fldCharType="begin"/>
        </w:r>
        <w:r w:rsidR="003E4210">
          <w:rPr>
            <w:noProof/>
            <w:webHidden/>
          </w:rPr>
          <w:instrText xml:space="preserve"> PAGEREF _Toc259717227 \h </w:instrText>
        </w:r>
        <w:r>
          <w:rPr>
            <w:noProof/>
            <w:webHidden/>
          </w:rPr>
        </w:r>
        <w:r>
          <w:rPr>
            <w:noProof/>
            <w:webHidden/>
          </w:rPr>
          <w:fldChar w:fldCharType="separate"/>
        </w:r>
        <w:r w:rsidR="003E4210">
          <w:rPr>
            <w:noProof/>
            <w:webHidden/>
          </w:rPr>
          <w:t>245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8" w:history="1">
        <w:r w:rsidR="003E4210" w:rsidRPr="005B500B">
          <w:rPr>
            <w:rStyle w:val="Hyperlink"/>
            <w:noProof/>
          </w:rPr>
          <w:t>11.4.6 Data Transfer</w:t>
        </w:r>
        <w:r w:rsidR="003E4210">
          <w:rPr>
            <w:noProof/>
            <w:webHidden/>
          </w:rPr>
          <w:tab/>
        </w:r>
        <w:r>
          <w:rPr>
            <w:noProof/>
            <w:webHidden/>
          </w:rPr>
          <w:fldChar w:fldCharType="begin"/>
        </w:r>
        <w:r w:rsidR="003E4210">
          <w:rPr>
            <w:noProof/>
            <w:webHidden/>
          </w:rPr>
          <w:instrText xml:space="preserve"> PAGEREF _Toc259717228 \h </w:instrText>
        </w:r>
        <w:r>
          <w:rPr>
            <w:noProof/>
            <w:webHidden/>
          </w:rPr>
        </w:r>
        <w:r>
          <w:rPr>
            <w:noProof/>
            <w:webHidden/>
          </w:rPr>
          <w:fldChar w:fldCharType="separate"/>
        </w:r>
        <w:r w:rsidR="003E4210">
          <w:rPr>
            <w:noProof/>
            <w:webHidden/>
          </w:rPr>
          <w:t>245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9" w:history="1">
        <w:r w:rsidR="003E4210" w:rsidRPr="005B500B">
          <w:rPr>
            <w:rStyle w:val="Hyperlink"/>
            <w:noProof/>
          </w:rPr>
          <w:t>11.4.7 TS Deletion</w:t>
        </w:r>
        <w:r w:rsidR="003E4210">
          <w:rPr>
            <w:noProof/>
            <w:webHidden/>
          </w:rPr>
          <w:tab/>
        </w:r>
        <w:r>
          <w:rPr>
            <w:noProof/>
            <w:webHidden/>
          </w:rPr>
          <w:fldChar w:fldCharType="begin"/>
        </w:r>
        <w:r w:rsidR="003E4210">
          <w:rPr>
            <w:noProof/>
            <w:webHidden/>
          </w:rPr>
          <w:instrText xml:space="preserve"> PAGEREF _Toc259717229 \h </w:instrText>
        </w:r>
        <w:r>
          <w:rPr>
            <w:noProof/>
            <w:webHidden/>
          </w:rPr>
        </w:r>
        <w:r>
          <w:rPr>
            <w:noProof/>
            <w:webHidden/>
          </w:rPr>
          <w:fldChar w:fldCharType="separate"/>
        </w:r>
        <w:r w:rsidR="003E4210">
          <w:rPr>
            <w:noProof/>
            <w:webHidden/>
          </w:rPr>
          <w:t>246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30" w:history="1">
        <w:r w:rsidR="003E4210" w:rsidRPr="005B500B">
          <w:rPr>
            <w:rStyle w:val="Hyperlink"/>
            <w:noProof/>
          </w:rPr>
          <w:t>11.4.8 TS Timeout</w:t>
        </w:r>
        <w:r w:rsidR="003E4210">
          <w:rPr>
            <w:noProof/>
            <w:webHidden/>
          </w:rPr>
          <w:tab/>
        </w:r>
        <w:r>
          <w:rPr>
            <w:noProof/>
            <w:webHidden/>
          </w:rPr>
          <w:fldChar w:fldCharType="begin"/>
        </w:r>
        <w:r w:rsidR="003E4210">
          <w:rPr>
            <w:noProof/>
            <w:webHidden/>
          </w:rPr>
          <w:instrText xml:space="preserve"> PAGEREF _Toc259717230 \h </w:instrText>
        </w:r>
        <w:r>
          <w:rPr>
            <w:noProof/>
            <w:webHidden/>
          </w:rPr>
        </w:r>
        <w:r>
          <w:rPr>
            <w:noProof/>
            <w:webHidden/>
          </w:rPr>
          <w:fldChar w:fldCharType="separate"/>
        </w:r>
        <w:r w:rsidR="003E4210">
          <w:rPr>
            <w:noProof/>
            <w:webHidden/>
          </w:rPr>
          <w:t>246</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31" w:history="1">
        <w:r w:rsidR="003E4210" w:rsidRPr="005B500B">
          <w:rPr>
            <w:rStyle w:val="Hyperlink"/>
            <w:rFonts w:cs="Arial"/>
            <w:noProof/>
          </w:rPr>
          <w:t>11.4.11</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cs="Arial"/>
            <w:noProof/>
          </w:rPr>
          <w:t>mmWave TS Traffic Types</w:t>
        </w:r>
        <w:r w:rsidR="003E4210">
          <w:rPr>
            <w:noProof/>
            <w:webHidden/>
          </w:rPr>
          <w:tab/>
        </w:r>
        <w:r>
          <w:rPr>
            <w:noProof/>
            <w:webHidden/>
          </w:rPr>
          <w:fldChar w:fldCharType="begin"/>
        </w:r>
        <w:r w:rsidR="003E4210">
          <w:rPr>
            <w:noProof/>
            <w:webHidden/>
          </w:rPr>
          <w:instrText xml:space="preserve"> PAGEREF _Toc259717231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32" w:history="1">
        <w:r w:rsidR="003E4210" w:rsidRPr="005B500B">
          <w:rPr>
            <w:rStyle w:val="Hyperlink"/>
            <w:noProof/>
          </w:rPr>
          <w:t>11.4.11.1</w:t>
        </w:r>
        <w:r w:rsidR="003E4210">
          <w:rPr>
            <w:rFonts w:asciiTheme="minorHAnsi" w:eastAsiaTheme="minorEastAsia" w:hAnsiTheme="minorHAnsi" w:cstheme="minorBidi"/>
            <w:noProof/>
            <w:sz w:val="22"/>
            <w:szCs w:val="22"/>
            <w:lang w:bidi="ar-SA"/>
          </w:rPr>
          <w:tab/>
        </w:r>
        <w:r w:rsidR="003E4210" w:rsidRPr="005B500B">
          <w:rPr>
            <w:rStyle w:val="Hyperlink"/>
            <w:noProof/>
          </w:rPr>
          <w:t>Isochronous TS support</w:t>
        </w:r>
        <w:r w:rsidR="003E4210">
          <w:rPr>
            <w:noProof/>
            <w:webHidden/>
          </w:rPr>
          <w:tab/>
        </w:r>
        <w:r>
          <w:rPr>
            <w:noProof/>
            <w:webHidden/>
          </w:rPr>
          <w:fldChar w:fldCharType="begin"/>
        </w:r>
        <w:r w:rsidR="003E4210">
          <w:rPr>
            <w:noProof/>
            <w:webHidden/>
          </w:rPr>
          <w:instrText xml:space="preserve"> PAGEREF _Toc259717232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33" w:history="1">
        <w:r w:rsidR="003E4210" w:rsidRPr="005B500B">
          <w:rPr>
            <w:rStyle w:val="Hyperlink"/>
            <w:noProof/>
          </w:rPr>
          <w:t>11.4.11.2</w:t>
        </w:r>
        <w:r w:rsidR="003E4210">
          <w:rPr>
            <w:rFonts w:asciiTheme="minorHAnsi" w:eastAsiaTheme="minorEastAsia" w:hAnsiTheme="minorHAnsi" w:cstheme="minorBidi"/>
            <w:noProof/>
            <w:sz w:val="22"/>
            <w:szCs w:val="22"/>
            <w:lang w:bidi="ar-SA"/>
          </w:rPr>
          <w:tab/>
        </w:r>
        <w:r w:rsidR="003E4210" w:rsidRPr="005B500B">
          <w:rPr>
            <w:rStyle w:val="Hyperlink"/>
            <w:noProof/>
          </w:rPr>
          <w:t>Asynchronous TS support</w:t>
        </w:r>
        <w:r w:rsidR="003E4210">
          <w:rPr>
            <w:noProof/>
            <w:webHidden/>
          </w:rPr>
          <w:tab/>
        </w:r>
        <w:r>
          <w:rPr>
            <w:noProof/>
            <w:webHidden/>
          </w:rPr>
          <w:fldChar w:fldCharType="begin"/>
        </w:r>
        <w:r w:rsidR="003E4210">
          <w:rPr>
            <w:noProof/>
            <w:webHidden/>
          </w:rPr>
          <w:instrText xml:space="preserve"> PAGEREF _Toc259717233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34" w:history="1">
        <w:r w:rsidR="003E4210" w:rsidRPr="005B500B">
          <w:rPr>
            <w:rStyle w:val="Hyperlink"/>
            <w:rFonts w:cs="Arial"/>
            <w:noProof/>
          </w:rPr>
          <w:t>11.4.12</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cs="Arial"/>
            <w:noProof/>
          </w:rPr>
          <w:t>PTP TS Operation</w:t>
        </w:r>
        <w:r w:rsidR="003E4210">
          <w:rPr>
            <w:noProof/>
            <w:webHidden/>
          </w:rPr>
          <w:tab/>
        </w:r>
        <w:r>
          <w:rPr>
            <w:noProof/>
            <w:webHidden/>
          </w:rPr>
          <w:fldChar w:fldCharType="begin"/>
        </w:r>
        <w:r w:rsidR="003E4210">
          <w:rPr>
            <w:noProof/>
            <w:webHidden/>
          </w:rPr>
          <w:instrText xml:space="preserve"> PAGEREF _Toc259717234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35" w:history="1">
        <w:r w:rsidR="003E4210" w:rsidRPr="005B500B">
          <w:rPr>
            <w:rStyle w:val="Hyperlink"/>
            <w:noProof/>
          </w:rPr>
          <w:t>11.5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Block Ack operation</w:t>
        </w:r>
        <w:r w:rsidR="003E4210">
          <w:rPr>
            <w:noProof/>
            <w:webHidden/>
          </w:rPr>
          <w:tab/>
        </w:r>
        <w:r>
          <w:rPr>
            <w:noProof/>
            <w:webHidden/>
          </w:rPr>
          <w:fldChar w:fldCharType="begin"/>
        </w:r>
        <w:r w:rsidR="003E4210">
          <w:rPr>
            <w:noProof/>
            <w:webHidden/>
          </w:rPr>
          <w:instrText xml:space="preserve"> PAGEREF _Toc259717235 \h </w:instrText>
        </w:r>
        <w:r>
          <w:rPr>
            <w:noProof/>
            <w:webHidden/>
          </w:rPr>
        </w:r>
        <w:r>
          <w:rPr>
            <w:noProof/>
            <w:webHidden/>
          </w:rPr>
          <w:fldChar w:fldCharType="separate"/>
        </w:r>
        <w:r w:rsidR="003E4210">
          <w:rPr>
            <w:noProof/>
            <w:webHidden/>
          </w:rPr>
          <w:t>249</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36" w:history="1">
        <w:r w:rsidR="003E4210" w:rsidRPr="005B500B">
          <w:rPr>
            <w:rStyle w:val="Hyperlink"/>
            <w:noProof/>
          </w:rPr>
          <w:t>11.8</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TPC procedures</w:t>
        </w:r>
        <w:r w:rsidR="003E4210">
          <w:rPr>
            <w:noProof/>
            <w:webHidden/>
          </w:rPr>
          <w:tab/>
        </w:r>
        <w:r>
          <w:rPr>
            <w:noProof/>
            <w:webHidden/>
          </w:rPr>
          <w:fldChar w:fldCharType="begin"/>
        </w:r>
        <w:r w:rsidR="003E4210">
          <w:rPr>
            <w:noProof/>
            <w:webHidden/>
          </w:rPr>
          <w:instrText xml:space="preserve"> PAGEREF _Toc259717236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37" w:history="1">
        <w:r w:rsidR="003E4210" w:rsidRPr="005B500B">
          <w:rPr>
            <w:rStyle w:val="Hyperlink"/>
            <w:noProof/>
          </w:rPr>
          <w:t>11.9</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DFS procedures</w:t>
        </w:r>
        <w:r w:rsidR="003E4210">
          <w:rPr>
            <w:noProof/>
            <w:webHidden/>
          </w:rPr>
          <w:tab/>
        </w:r>
        <w:r>
          <w:rPr>
            <w:noProof/>
            <w:webHidden/>
          </w:rPr>
          <w:fldChar w:fldCharType="begin"/>
        </w:r>
        <w:r w:rsidR="003E4210">
          <w:rPr>
            <w:noProof/>
            <w:webHidden/>
          </w:rPr>
          <w:instrText xml:space="preserve"> PAGEREF _Toc259717237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38" w:history="1">
        <w:r w:rsidR="003E4210" w:rsidRPr="005B500B">
          <w:rPr>
            <w:rStyle w:val="Hyperlink"/>
            <w:noProof/>
          </w:rPr>
          <w:t>11.9.1</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Association based on supported channels</w:t>
        </w:r>
        <w:r w:rsidR="003E4210">
          <w:rPr>
            <w:noProof/>
            <w:webHidden/>
          </w:rPr>
          <w:tab/>
        </w:r>
        <w:r>
          <w:rPr>
            <w:noProof/>
            <w:webHidden/>
          </w:rPr>
          <w:fldChar w:fldCharType="begin"/>
        </w:r>
        <w:r w:rsidR="003E4210">
          <w:rPr>
            <w:noProof/>
            <w:webHidden/>
          </w:rPr>
          <w:instrText xml:space="preserve"> PAGEREF _Toc259717238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39" w:history="1">
        <w:r w:rsidR="003E4210" w:rsidRPr="005B500B">
          <w:rPr>
            <w:rStyle w:val="Hyperlink"/>
            <w:noProof/>
          </w:rPr>
          <w:t>11.9.1.1 Providing supported channels upon association in a mmWave BSS</w:t>
        </w:r>
        <w:r w:rsidR="003E4210">
          <w:rPr>
            <w:noProof/>
            <w:webHidden/>
          </w:rPr>
          <w:tab/>
        </w:r>
        <w:r>
          <w:rPr>
            <w:noProof/>
            <w:webHidden/>
          </w:rPr>
          <w:fldChar w:fldCharType="begin"/>
        </w:r>
        <w:r w:rsidR="003E4210">
          <w:rPr>
            <w:noProof/>
            <w:webHidden/>
          </w:rPr>
          <w:instrText xml:space="preserve"> PAGEREF _Toc259717239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0" w:history="1">
        <w:r w:rsidR="003E4210" w:rsidRPr="005B500B">
          <w:rPr>
            <w:rStyle w:val="Hyperlink"/>
            <w:noProof/>
          </w:rPr>
          <w:t>11.9.2 Quieting channels for testing</w:t>
        </w:r>
        <w:r w:rsidR="003E4210">
          <w:rPr>
            <w:noProof/>
            <w:webHidden/>
          </w:rPr>
          <w:tab/>
        </w:r>
        <w:r>
          <w:rPr>
            <w:noProof/>
            <w:webHidden/>
          </w:rPr>
          <w:fldChar w:fldCharType="begin"/>
        </w:r>
        <w:r w:rsidR="003E4210">
          <w:rPr>
            <w:noProof/>
            <w:webHidden/>
          </w:rPr>
          <w:instrText xml:space="preserve"> PAGEREF _Toc259717240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1" w:history="1">
        <w:r w:rsidR="003E4210" w:rsidRPr="005B500B">
          <w:rPr>
            <w:rStyle w:val="Hyperlink"/>
            <w:noProof/>
          </w:rPr>
          <w:t>11.9.6 Requesting and reporting of measurements</w:t>
        </w:r>
        <w:r w:rsidR="003E4210">
          <w:rPr>
            <w:noProof/>
            <w:webHidden/>
          </w:rPr>
          <w:tab/>
        </w:r>
        <w:r>
          <w:rPr>
            <w:noProof/>
            <w:webHidden/>
          </w:rPr>
          <w:fldChar w:fldCharType="begin"/>
        </w:r>
        <w:r w:rsidR="003E4210">
          <w:rPr>
            <w:noProof/>
            <w:webHidden/>
          </w:rPr>
          <w:instrText xml:space="preserve"> PAGEREF _Toc259717241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2" w:history="1">
        <w:r w:rsidR="003E4210" w:rsidRPr="005B500B">
          <w:rPr>
            <w:rStyle w:val="Hyperlink"/>
            <w:noProof/>
          </w:rPr>
          <w:t>11.9.7 Selecting and advertising a new channel in an infrastructure BSS</w:t>
        </w:r>
        <w:r w:rsidR="003E4210">
          <w:rPr>
            <w:noProof/>
            <w:webHidden/>
          </w:rPr>
          <w:tab/>
        </w:r>
        <w:r>
          <w:rPr>
            <w:noProof/>
            <w:webHidden/>
          </w:rPr>
          <w:fldChar w:fldCharType="begin"/>
        </w:r>
        <w:r w:rsidR="003E4210">
          <w:rPr>
            <w:noProof/>
            <w:webHidden/>
          </w:rPr>
          <w:instrText xml:space="preserve"> PAGEREF _Toc259717242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43" w:history="1">
        <w:r w:rsidR="003E4210" w:rsidRPr="005B500B">
          <w:rPr>
            <w:rStyle w:val="Hyperlink"/>
            <w:noProof/>
          </w:rPr>
          <w:t>11.9.7.3 Selecting and advertising a new channel in a mmWave BSS</w:t>
        </w:r>
        <w:r w:rsidR="003E4210">
          <w:rPr>
            <w:noProof/>
            <w:webHidden/>
          </w:rPr>
          <w:tab/>
        </w:r>
        <w:r>
          <w:rPr>
            <w:noProof/>
            <w:webHidden/>
          </w:rPr>
          <w:fldChar w:fldCharType="begin"/>
        </w:r>
        <w:r w:rsidR="003E4210">
          <w:rPr>
            <w:noProof/>
            <w:webHidden/>
          </w:rPr>
          <w:instrText xml:space="preserve"> PAGEREF _Toc259717243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44" w:history="1">
        <w:r w:rsidR="003E4210" w:rsidRPr="005B500B">
          <w:rPr>
            <w:rStyle w:val="Hyperlink"/>
            <w:noProof/>
          </w:rPr>
          <w:t>11.10</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Radio measurement procedures</w:t>
        </w:r>
        <w:r w:rsidR="003E4210">
          <w:rPr>
            <w:noProof/>
            <w:webHidden/>
          </w:rPr>
          <w:tab/>
        </w:r>
        <w:r>
          <w:rPr>
            <w:noProof/>
            <w:webHidden/>
          </w:rPr>
          <w:fldChar w:fldCharType="begin"/>
        </w:r>
        <w:r w:rsidR="003E4210">
          <w:rPr>
            <w:noProof/>
            <w:webHidden/>
          </w:rPr>
          <w:instrText xml:space="preserve"> PAGEREF _Toc259717244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5" w:history="1">
        <w:r w:rsidR="003E4210" w:rsidRPr="005B500B">
          <w:rPr>
            <w:rStyle w:val="Hyperlink"/>
            <w:noProof/>
          </w:rPr>
          <w:t>11.10.1 Multiple BSSID set</w:t>
        </w:r>
        <w:r w:rsidR="003E4210">
          <w:rPr>
            <w:noProof/>
            <w:webHidden/>
          </w:rPr>
          <w:tab/>
        </w:r>
        <w:r>
          <w:rPr>
            <w:noProof/>
            <w:webHidden/>
          </w:rPr>
          <w:fldChar w:fldCharType="begin"/>
        </w:r>
        <w:r w:rsidR="003E4210">
          <w:rPr>
            <w:noProof/>
            <w:webHidden/>
          </w:rPr>
          <w:instrText xml:space="preserve"> PAGEREF _Toc259717245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46" w:history="1">
        <w:r w:rsidR="003E4210" w:rsidRPr="005B500B">
          <w:rPr>
            <w:rStyle w:val="Hyperlink"/>
            <w:noProof/>
          </w:rPr>
          <w:t>11.22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Wireless network management procedures</w:t>
        </w:r>
        <w:r w:rsidR="003E4210">
          <w:rPr>
            <w:noProof/>
            <w:webHidden/>
          </w:rPr>
          <w:tab/>
        </w:r>
        <w:r>
          <w:rPr>
            <w:noProof/>
            <w:webHidden/>
          </w:rPr>
          <w:fldChar w:fldCharType="begin"/>
        </w:r>
        <w:r w:rsidR="003E4210">
          <w:rPr>
            <w:noProof/>
            <w:webHidden/>
          </w:rPr>
          <w:instrText xml:space="preserve"> PAGEREF _Toc259717246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7" w:history="1">
        <w:r w:rsidR="003E4210" w:rsidRPr="005B500B">
          <w:rPr>
            <w:rStyle w:val="Hyperlink"/>
            <w:noProof/>
          </w:rPr>
          <w:t>11.22.15 DMS Procedures</w:t>
        </w:r>
        <w:r w:rsidR="003E4210">
          <w:rPr>
            <w:noProof/>
            <w:webHidden/>
          </w:rPr>
          <w:tab/>
        </w:r>
        <w:r>
          <w:rPr>
            <w:noProof/>
            <w:webHidden/>
          </w:rPr>
          <w:fldChar w:fldCharType="begin"/>
        </w:r>
        <w:r w:rsidR="003E4210">
          <w:rPr>
            <w:noProof/>
            <w:webHidden/>
          </w:rPr>
          <w:instrText xml:space="preserve"> PAGEREF _Toc259717247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48" w:history="1">
        <w:r w:rsidR="003E4210" w:rsidRPr="005B500B">
          <w:rPr>
            <w:rStyle w:val="Hyperlink"/>
            <w:noProof/>
          </w:rPr>
          <w:t>11.30</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Beamformed Link and BSS Maintenance</w:t>
        </w:r>
        <w:r w:rsidR="003E4210">
          <w:rPr>
            <w:noProof/>
            <w:webHidden/>
          </w:rPr>
          <w:tab/>
        </w:r>
        <w:r>
          <w:rPr>
            <w:noProof/>
            <w:webHidden/>
          </w:rPr>
          <w:fldChar w:fldCharType="begin"/>
        </w:r>
        <w:r w:rsidR="003E4210">
          <w:rPr>
            <w:noProof/>
            <w:webHidden/>
          </w:rPr>
          <w:instrText xml:space="preserve"> PAGEREF _Toc259717248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9" w:history="1">
        <w:r w:rsidR="003E4210" w:rsidRPr="005B500B">
          <w:rPr>
            <w:rStyle w:val="Hyperlink"/>
            <w:noProof/>
          </w:rPr>
          <w:t>11.30.1 Beamformed Link Maintenance</w:t>
        </w:r>
        <w:r w:rsidR="003E4210">
          <w:rPr>
            <w:noProof/>
            <w:webHidden/>
          </w:rPr>
          <w:tab/>
        </w:r>
        <w:r>
          <w:rPr>
            <w:noProof/>
            <w:webHidden/>
          </w:rPr>
          <w:fldChar w:fldCharType="begin"/>
        </w:r>
        <w:r w:rsidR="003E4210">
          <w:rPr>
            <w:noProof/>
            <w:webHidden/>
          </w:rPr>
          <w:instrText xml:space="preserve"> PAGEREF _Toc259717249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0" w:history="1">
        <w:r w:rsidR="003E4210" w:rsidRPr="005B500B">
          <w:rPr>
            <w:rStyle w:val="Hyperlink"/>
            <w:noProof/>
          </w:rPr>
          <w:t>11.30.2 PCP Handover</w:t>
        </w:r>
        <w:r w:rsidR="003E4210">
          <w:rPr>
            <w:noProof/>
            <w:webHidden/>
          </w:rPr>
          <w:tab/>
        </w:r>
        <w:r>
          <w:rPr>
            <w:noProof/>
            <w:webHidden/>
          </w:rPr>
          <w:fldChar w:fldCharType="begin"/>
        </w:r>
        <w:r w:rsidR="003E4210">
          <w:rPr>
            <w:noProof/>
            <w:webHidden/>
          </w:rPr>
          <w:instrText xml:space="preserve"> PAGEREF _Toc259717250 \h </w:instrText>
        </w:r>
        <w:r>
          <w:rPr>
            <w:noProof/>
            <w:webHidden/>
          </w:rPr>
        </w:r>
        <w:r>
          <w:rPr>
            <w:noProof/>
            <w:webHidden/>
          </w:rPr>
          <w:fldChar w:fldCharType="separate"/>
        </w:r>
        <w:r w:rsidR="003E4210">
          <w:rPr>
            <w:noProof/>
            <w:webHidden/>
          </w:rPr>
          <w:t>253</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51" w:history="1">
        <w:r w:rsidR="003E4210" w:rsidRPr="005B500B">
          <w:rPr>
            <w:rStyle w:val="Hyperlink"/>
            <w:noProof/>
          </w:rPr>
          <w:t>11.30.2.1</w:t>
        </w:r>
        <w:r w:rsidR="003E4210">
          <w:rPr>
            <w:rFonts w:asciiTheme="minorHAnsi" w:eastAsiaTheme="minorEastAsia" w:hAnsiTheme="minorHAnsi" w:cstheme="minorBidi"/>
            <w:noProof/>
            <w:sz w:val="22"/>
            <w:szCs w:val="22"/>
            <w:lang w:bidi="ar-SA"/>
          </w:rPr>
          <w:tab/>
        </w:r>
        <w:r w:rsidR="003E4210" w:rsidRPr="005B500B">
          <w:rPr>
            <w:rStyle w:val="Hyperlink"/>
            <w:noProof/>
          </w:rPr>
          <w:t>Explicit Handover procedure</w:t>
        </w:r>
        <w:r w:rsidR="003E4210">
          <w:rPr>
            <w:noProof/>
            <w:webHidden/>
          </w:rPr>
          <w:tab/>
        </w:r>
        <w:r>
          <w:rPr>
            <w:noProof/>
            <w:webHidden/>
          </w:rPr>
          <w:fldChar w:fldCharType="begin"/>
        </w:r>
        <w:r w:rsidR="003E4210">
          <w:rPr>
            <w:noProof/>
            <w:webHidden/>
          </w:rPr>
          <w:instrText xml:space="preserve"> PAGEREF _Toc259717251 \h </w:instrText>
        </w:r>
        <w:r>
          <w:rPr>
            <w:noProof/>
            <w:webHidden/>
          </w:rPr>
        </w:r>
        <w:r>
          <w:rPr>
            <w:noProof/>
            <w:webHidden/>
          </w:rPr>
          <w:fldChar w:fldCharType="separate"/>
        </w:r>
        <w:r w:rsidR="003E4210">
          <w:rPr>
            <w:noProof/>
            <w:webHidden/>
          </w:rPr>
          <w:t>254</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52" w:history="1">
        <w:r w:rsidR="003E4210" w:rsidRPr="005B500B">
          <w:rPr>
            <w:rStyle w:val="Hyperlink"/>
            <w:noProof/>
          </w:rPr>
          <w:t>11.30.2.2</w:t>
        </w:r>
        <w:r w:rsidR="003E4210">
          <w:rPr>
            <w:rFonts w:asciiTheme="minorHAnsi" w:eastAsiaTheme="minorEastAsia" w:hAnsiTheme="minorHAnsi" w:cstheme="minorBidi"/>
            <w:noProof/>
            <w:sz w:val="22"/>
            <w:szCs w:val="22"/>
            <w:lang w:bidi="ar-SA"/>
          </w:rPr>
          <w:tab/>
        </w:r>
        <w:r w:rsidR="003E4210" w:rsidRPr="005B500B">
          <w:rPr>
            <w:rStyle w:val="Hyperlink"/>
            <w:noProof/>
          </w:rPr>
          <w:t>Implicit Handover procedure</w:t>
        </w:r>
        <w:r w:rsidR="003E4210">
          <w:rPr>
            <w:noProof/>
            <w:webHidden/>
          </w:rPr>
          <w:tab/>
        </w:r>
        <w:r>
          <w:rPr>
            <w:noProof/>
            <w:webHidden/>
          </w:rPr>
          <w:fldChar w:fldCharType="begin"/>
        </w:r>
        <w:r w:rsidR="003E4210">
          <w:rPr>
            <w:noProof/>
            <w:webHidden/>
          </w:rPr>
          <w:instrText xml:space="preserve"> PAGEREF _Toc259717252 \h </w:instrText>
        </w:r>
        <w:r>
          <w:rPr>
            <w:noProof/>
            <w:webHidden/>
          </w:rPr>
        </w:r>
        <w:r>
          <w:rPr>
            <w:noProof/>
            <w:webHidden/>
          </w:rPr>
          <w:fldChar w:fldCharType="separate"/>
        </w:r>
        <w:r w:rsidR="003E4210">
          <w:rPr>
            <w:noProof/>
            <w:webHidden/>
          </w:rPr>
          <w:t>255</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53" w:history="1">
        <w:r w:rsidR="003E4210" w:rsidRPr="005B500B">
          <w:rPr>
            <w:rStyle w:val="Hyperlink"/>
            <w:noProof/>
          </w:rPr>
          <w:t>11.31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BSS Peer and Service Discovery</w:t>
        </w:r>
        <w:r w:rsidR="003E4210">
          <w:rPr>
            <w:noProof/>
            <w:webHidden/>
          </w:rPr>
          <w:tab/>
        </w:r>
        <w:r>
          <w:rPr>
            <w:noProof/>
            <w:webHidden/>
          </w:rPr>
          <w:fldChar w:fldCharType="begin"/>
        </w:r>
        <w:r w:rsidR="003E4210">
          <w:rPr>
            <w:noProof/>
            <w:webHidden/>
          </w:rPr>
          <w:instrText xml:space="preserve"> PAGEREF _Toc259717253 \h </w:instrText>
        </w:r>
        <w:r>
          <w:rPr>
            <w:noProof/>
            <w:webHidden/>
          </w:rPr>
        </w:r>
        <w:r>
          <w:rPr>
            <w:noProof/>
            <w:webHidden/>
          </w:rPr>
          <w:fldChar w:fldCharType="separate"/>
        </w:r>
        <w:r w:rsidR="003E4210">
          <w:rPr>
            <w:noProof/>
            <w:webHidden/>
          </w:rPr>
          <w:t>256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4" w:history="1">
        <w:r w:rsidR="003E4210" w:rsidRPr="005B500B">
          <w:rPr>
            <w:rStyle w:val="Hyperlink"/>
            <w:noProof/>
          </w:rPr>
          <w:t>11.31.1 Information Request and Response</w:t>
        </w:r>
        <w:r w:rsidR="003E4210">
          <w:rPr>
            <w:noProof/>
            <w:webHidden/>
          </w:rPr>
          <w:tab/>
        </w:r>
        <w:r>
          <w:rPr>
            <w:noProof/>
            <w:webHidden/>
          </w:rPr>
          <w:fldChar w:fldCharType="begin"/>
        </w:r>
        <w:r w:rsidR="003E4210">
          <w:rPr>
            <w:noProof/>
            <w:webHidden/>
          </w:rPr>
          <w:instrText xml:space="preserve"> PAGEREF _Toc259717254 \h </w:instrText>
        </w:r>
        <w:r>
          <w:rPr>
            <w:noProof/>
            <w:webHidden/>
          </w:rPr>
        </w:r>
        <w:r>
          <w:rPr>
            <w:noProof/>
            <w:webHidden/>
          </w:rPr>
          <w:fldChar w:fldCharType="separate"/>
        </w:r>
        <w:r w:rsidR="003E4210">
          <w:rPr>
            <w:noProof/>
            <w:webHidden/>
          </w:rPr>
          <w:t>256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5" w:history="1">
        <w:r w:rsidR="003E4210" w:rsidRPr="005B500B">
          <w:rPr>
            <w:rStyle w:val="Hyperlink"/>
            <w:noProof/>
          </w:rPr>
          <w:t>11.31.2 Peer Service Discovery</w:t>
        </w:r>
        <w:r w:rsidR="003E4210">
          <w:rPr>
            <w:noProof/>
            <w:webHidden/>
          </w:rPr>
          <w:tab/>
        </w:r>
        <w:r>
          <w:rPr>
            <w:noProof/>
            <w:webHidden/>
          </w:rPr>
          <w:fldChar w:fldCharType="begin"/>
        </w:r>
        <w:r w:rsidR="003E4210">
          <w:rPr>
            <w:noProof/>
            <w:webHidden/>
          </w:rPr>
          <w:instrText xml:space="preserve"> PAGEREF _Toc259717255 \h </w:instrText>
        </w:r>
        <w:r>
          <w:rPr>
            <w:noProof/>
            <w:webHidden/>
          </w:rPr>
        </w:r>
        <w:r>
          <w:rPr>
            <w:noProof/>
            <w:webHidden/>
          </w:rPr>
          <w:fldChar w:fldCharType="separate"/>
        </w:r>
        <w:r w:rsidR="003E4210">
          <w:rPr>
            <w:noProof/>
            <w:webHidden/>
          </w:rPr>
          <w:t>257</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56" w:history="1">
        <w:r w:rsidR="003E4210" w:rsidRPr="005B500B">
          <w:rPr>
            <w:rStyle w:val="Hyperlink"/>
            <w:noProof/>
          </w:rPr>
          <w:t>11.32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Changing mmWave BSS parameters</w:t>
        </w:r>
        <w:r w:rsidR="003E4210">
          <w:rPr>
            <w:noProof/>
            <w:webHidden/>
          </w:rPr>
          <w:tab/>
        </w:r>
        <w:r>
          <w:rPr>
            <w:noProof/>
            <w:webHidden/>
          </w:rPr>
          <w:fldChar w:fldCharType="begin"/>
        </w:r>
        <w:r w:rsidR="003E4210">
          <w:rPr>
            <w:noProof/>
            <w:webHidden/>
          </w:rPr>
          <w:instrText xml:space="preserve"> PAGEREF _Toc259717256 \h </w:instrText>
        </w:r>
        <w:r>
          <w:rPr>
            <w:noProof/>
            <w:webHidden/>
          </w:rPr>
        </w:r>
        <w:r>
          <w:rPr>
            <w:noProof/>
            <w:webHidden/>
          </w:rPr>
          <w:fldChar w:fldCharType="separate"/>
        </w:r>
        <w:r w:rsidR="003E4210">
          <w:rPr>
            <w:noProof/>
            <w:webHidden/>
          </w:rPr>
          <w:t>257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7" w:history="1">
        <w:r w:rsidR="003E4210" w:rsidRPr="005B500B">
          <w:rPr>
            <w:rStyle w:val="Hyperlink"/>
            <w:noProof/>
          </w:rPr>
          <w:t>11.32.1 Moving the BT</w:t>
        </w:r>
        <w:r w:rsidR="003E4210">
          <w:rPr>
            <w:noProof/>
            <w:webHidden/>
          </w:rPr>
          <w:tab/>
        </w:r>
        <w:r>
          <w:rPr>
            <w:noProof/>
            <w:webHidden/>
          </w:rPr>
          <w:fldChar w:fldCharType="begin"/>
        </w:r>
        <w:r w:rsidR="003E4210">
          <w:rPr>
            <w:noProof/>
            <w:webHidden/>
          </w:rPr>
          <w:instrText xml:space="preserve"> PAGEREF _Toc259717257 \h </w:instrText>
        </w:r>
        <w:r>
          <w:rPr>
            <w:noProof/>
            <w:webHidden/>
          </w:rPr>
        </w:r>
        <w:r>
          <w:rPr>
            <w:noProof/>
            <w:webHidden/>
          </w:rPr>
          <w:fldChar w:fldCharType="separate"/>
        </w:r>
        <w:r w:rsidR="003E4210">
          <w:rPr>
            <w:noProof/>
            <w:webHidden/>
          </w:rPr>
          <w:t>257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8" w:history="1">
        <w:r w:rsidR="003E4210" w:rsidRPr="005B500B">
          <w:rPr>
            <w:rStyle w:val="Hyperlink"/>
            <w:noProof/>
          </w:rPr>
          <w:t>11.32.2 Changing BI duration</w:t>
        </w:r>
        <w:r w:rsidR="003E4210">
          <w:rPr>
            <w:noProof/>
            <w:webHidden/>
          </w:rPr>
          <w:tab/>
        </w:r>
        <w:r>
          <w:rPr>
            <w:noProof/>
            <w:webHidden/>
          </w:rPr>
          <w:fldChar w:fldCharType="begin"/>
        </w:r>
        <w:r w:rsidR="003E4210">
          <w:rPr>
            <w:noProof/>
            <w:webHidden/>
          </w:rPr>
          <w:instrText xml:space="preserve"> PAGEREF _Toc259717258 \h </w:instrText>
        </w:r>
        <w:r>
          <w:rPr>
            <w:noProof/>
            <w:webHidden/>
          </w:rPr>
        </w:r>
        <w:r>
          <w:rPr>
            <w:noProof/>
            <w:webHidden/>
          </w:rPr>
          <w:fldChar w:fldCharType="separate"/>
        </w:r>
        <w:r w:rsidR="003E4210">
          <w:rPr>
            <w:noProof/>
            <w:webHidden/>
          </w:rPr>
          <w:t>258</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9" w:history="1">
        <w:r w:rsidR="003E4210" w:rsidRPr="005B500B">
          <w:rPr>
            <w:rStyle w:val="Hyperlink"/>
            <w:noProof/>
          </w:rPr>
          <w:t>11.32.3 Maintaining synchronization in a PCP/AP cluster</w:t>
        </w:r>
        <w:r w:rsidR="003E4210">
          <w:rPr>
            <w:noProof/>
            <w:webHidden/>
          </w:rPr>
          <w:tab/>
        </w:r>
        <w:r>
          <w:rPr>
            <w:noProof/>
            <w:webHidden/>
          </w:rPr>
          <w:fldChar w:fldCharType="begin"/>
        </w:r>
        <w:r w:rsidR="003E4210">
          <w:rPr>
            <w:noProof/>
            <w:webHidden/>
          </w:rPr>
          <w:instrText xml:space="preserve"> PAGEREF _Toc259717259 \h </w:instrText>
        </w:r>
        <w:r>
          <w:rPr>
            <w:noProof/>
            <w:webHidden/>
          </w:rPr>
        </w:r>
        <w:r>
          <w:rPr>
            <w:noProof/>
            <w:webHidden/>
          </w:rPr>
          <w:fldChar w:fldCharType="separate"/>
        </w:r>
        <w:r w:rsidR="003E4210">
          <w:rPr>
            <w:noProof/>
            <w:webHidden/>
          </w:rPr>
          <w:t>259</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0" w:history="1">
        <w:r w:rsidR="003E4210" w:rsidRPr="005B500B">
          <w:rPr>
            <w:rStyle w:val="Hyperlink"/>
            <w:noProof/>
          </w:rPr>
          <w:t>11.33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Spatial frequency sharing and Interference mitigation</w:t>
        </w:r>
        <w:r w:rsidR="003E4210">
          <w:rPr>
            <w:noProof/>
            <w:webHidden/>
          </w:rPr>
          <w:tab/>
        </w:r>
        <w:r>
          <w:rPr>
            <w:noProof/>
            <w:webHidden/>
          </w:rPr>
          <w:fldChar w:fldCharType="begin"/>
        </w:r>
        <w:r w:rsidR="003E4210">
          <w:rPr>
            <w:noProof/>
            <w:webHidden/>
          </w:rPr>
          <w:instrText xml:space="preserve"> PAGEREF _Toc259717260 \h </w:instrText>
        </w:r>
        <w:r>
          <w:rPr>
            <w:noProof/>
            <w:webHidden/>
          </w:rPr>
        </w:r>
        <w:r>
          <w:rPr>
            <w:noProof/>
            <w:webHidden/>
          </w:rPr>
          <w:fldChar w:fldCharType="separate"/>
        </w:r>
        <w:r w:rsidR="003E4210">
          <w:rPr>
            <w:noProof/>
            <w:webHidden/>
          </w:rPr>
          <w:t>259</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1" w:history="1">
        <w:r w:rsidR="003E4210" w:rsidRPr="005B500B">
          <w:rPr>
            <w:rStyle w:val="Hyperlink"/>
            <w:noProof/>
          </w:rPr>
          <w:t>11.33.1 Spatial sharing and Interference assessment</w:t>
        </w:r>
        <w:r w:rsidR="003E4210">
          <w:rPr>
            <w:noProof/>
            <w:webHidden/>
          </w:rPr>
          <w:tab/>
        </w:r>
        <w:r>
          <w:rPr>
            <w:noProof/>
            <w:webHidden/>
          </w:rPr>
          <w:fldChar w:fldCharType="begin"/>
        </w:r>
        <w:r w:rsidR="003E4210">
          <w:rPr>
            <w:noProof/>
            <w:webHidden/>
          </w:rPr>
          <w:instrText xml:space="preserve"> PAGEREF _Toc259717261 \h </w:instrText>
        </w:r>
        <w:r>
          <w:rPr>
            <w:noProof/>
            <w:webHidden/>
          </w:rPr>
        </w:r>
        <w:r>
          <w:rPr>
            <w:noProof/>
            <w:webHidden/>
          </w:rPr>
          <w:fldChar w:fldCharType="separate"/>
        </w:r>
        <w:r w:rsidR="003E4210">
          <w:rPr>
            <w:noProof/>
            <w:webHidden/>
          </w:rPr>
          <w:t>260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2" w:history="1">
        <w:r w:rsidR="003E4210" w:rsidRPr="005B500B">
          <w:rPr>
            <w:rStyle w:val="Hyperlink"/>
            <w:noProof/>
          </w:rPr>
          <w:t>11.33.2 Achieving spatial sharing and Interference mitigation</w:t>
        </w:r>
        <w:r w:rsidR="003E4210">
          <w:rPr>
            <w:noProof/>
            <w:webHidden/>
          </w:rPr>
          <w:tab/>
        </w:r>
        <w:r>
          <w:rPr>
            <w:noProof/>
            <w:webHidden/>
          </w:rPr>
          <w:fldChar w:fldCharType="begin"/>
        </w:r>
        <w:r w:rsidR="003E4210">
          <w:rPr>
            <w:noProof/>
            <w:webHidden/>
          </w:rPr>
          <w:instrText xml:space="preserve"> PAGEREF _Toc259717262 \h </w:instrText>
        </w:r>
        <w:r>
          <w:rPr>
            <w:noProof/>
            <w:webHidden/>
          </w:rPr>
        </w:r>
        <w:r>
          <w:rPr>
            <w:noProof/>
            <w:webHidden/>
          </w:rPr>
          <w:fldChar w:fldCharType="separate"/>
        </w:r>
        <w:r w:rsidR="003E4210">
          <w:rPr>
            <w:noProof/>
            <w:webHidden/>
          </w:rPr>
          <w:t>261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3" w:history="1">
        <w:r w:rsidR="003E4210" w:rsidRPr="005B500B">
          <w:rPr>
            <w:rStyle w:val="Hyperlink"/>
            <w:noProof/>
          </w:rPr>
          <w:t>11.33.3 PBSS and infrastructure BSS stability in OBSS scenarios</w:t>
        </w:r>
        <w:r w:rsidR="003E4210">
          <w:rPr>
            <w:noProof/>
            <w:webHidden/>
          </w:rPr>
          <w:tab/>
        </w:r>
        <w:r>
          <w:rPr>
            <w:noProof/>
            <w:webHidden/>
          </w:rPr>
          <w:fldChar w:fldCharType="begin"/>
        </w:r>
        <w:r w:rsidR="003E4210">
          <w:rPr>
            <w:noProof/>
            <w:webHidden/>
          </w:rPr>
          <w:instrText xml:space="preserve"> PAGEREF _Toc259717263 \h </w:instrText>
        </w:r>
        <w:r>
          <w:rPr>
            <w:noProof/>
            <w:webHidden/>
          </w:rPr>
        </w:r>
        <w:r>
          <w:rPr>
            <w:noProof/>
            <w:webHidden/>
          </w:rPr>
          <w:fldChar w:fldCharType="separate"/>
        </w:r>
        <w:r w:rsidR="003E4210">
          <w:rPr>
            <w:noProof/>
            <w:webHidden/>
          </w:rPr>
          <w:t>262</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4" w:history="1">
        <w:r w:rsidR="003E4210" w:rsidRPr="005B500B">
          <w:rPr>
            <w:rStyle w:val="Hyperlink"/>
            <w:noProof/>
          </w:rPr>
          <w:t>11.34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 xml:space="preserve">Multi-band </w:t>
        </w:r>
        <w:r w:rsidR="003E4210" w:rsidRPr="005B500B">
          <w:rPr>
            <w:rStyle w:val="Hyperlink"/>
            <w:rFonts w:cs="Arial"/>
            <w:noProof/>
          </w:rPr>
          <w:t>Operation</w:t>
        </w:r>
        <w:r w:rsidR="003E4210">
          <w:rPr>
            <w:noProof/>
            <w:webHidden/>
          </w:rPr>
          <w:tab/>
        </w:r>
        <w:r>
          <w:rPr>
            <w:noProof/>
            <w:webHidden/>
          </w:rPr>
          <w:fldChar w:fldCharType="begin"/>
        </w:r>
        <w:r w:rsidR="003E4210">
          <w:rPr>
            <w:noProof/>
            <w:webHidden/>
          </w:rPr>
          <w:instrText xml:space="preserve"> PAGEREF _Toc259717264 \h </w:instrText>
        </w:r>
        <w:r>
          <w:rPr>
            <w:noProof/>
            <w:webHidden/>
          </w:rPr>
        </w:r>
        <w:r>
          <w:rPr>
            <w:noProof/>
            <w:webHidden/>
          </w:rPr>
          <w:fldChar w:fldCharType="separate"/>
        </w:r>
        <w:r w:rsidR="003E4210">
          <w:rPr>
            <w:noProof/>
            <w:webHidden/>
          </w:rPr>
          <w:t>263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5" w:history="1">
        <w:r w:rsidR="003E4210" w:rsidRPr="005B500B">
          <w:rPr>
            <w:rStyle w:val="Hyperlink"/>
            <w:noProof/>
          </w:rPr>
          <w:t>11.34.1 FST Setup</w:t>
        </w:r>
        <w:r w:rsidR="003E4210">
          <w:rPr>
            <w:noProof/>
            <w:webHidden/>
          </w:rPr>
          <w:tab/>
        </w:r>
        <w:r>
          <w:rPr>
            <w:noProof/>
            <w:webHidden/>
          </w:rPr>
          <w:fldChar w:fldCharType="begin"/>
        </w:r>
        <w:r w:rsidR="003E4210">
          <w:rPr>
            <w:noProof/>
            <w:webHidden/>
          </w:rPr>
          <w:instrText xml:space="preserve"> PAGEREF _Toc259717265 \h </w:instrText>
        </w:r>
        <w:r>
          <w:rPr>
            <w:noProof/>
            <w:webHidden/>
          </w:rPr>
        </w:r>
        <w:r>
          <w:rPr>
            <w:noProof/>
            <w:webHidden/>
          </w:rPr>
          <w:fldChar w:fldCharType="separate"/>
        </w:r>
        <w:r w:rsidR="003E4210">
          <w:rPr>
            <w:noProof/>
            <w:webHidden/>
          </w:rPr>
          <w:t>264</w:t>
        </w:r>
        <w:r>
          <w:rPr>
            <w:noProof/>
            <w:webHidden/>
          </w:rPr>
          <w:fldChar w:fldCharType="end"/>
        </w:r>
      </w:hyperlink>
    </w:p>
    <w:p w:rsidR="003E4210" w:rsidRDefault="00BD151C">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66" w:history="1">
        <w:r w:rsidR="003E4210" w:rsidRPr="005B500B">
          <w:rPr>
            <w:rStyle w:val="Hyperlink"/>
            <w:noProof/>
          </w:rPr>
          <w:t>11.34.1.1</w:t>
        </w:r>
        <w:r w:rsidR="003E4210">
          <w:rPr>
            <w:rFonts w:asciiTheme="minorHAnsi" w:eastAsiaTheme="minorEastAsia" w:hAnsiTheme="minorHAnsi" w:cstheme="minorBidi"/>
            <w:noProof/>
            <w:sz w:val="22"/>
            <w:szCs w:val="22"/>
            <w:lang w:bidi="ar-SA"/>
          </w:rPr>
          <w:tab/>
        </w:r>
        <w:r w:rsidR="003E4210" w:rsidRPr="005B500B">
          <w:rPr>
            <w:rStyle w:val="Hyperlink"/>
            <w:noProof/>
          </w:rPr>
          <w:t>FST TS switching</w:t>
        </w:r>
        <w:r w:rsidR="003E4210">
          <w:rPr>
            <w:noProof/>
            <w:webHidden/>
          </w:rPr>
          <w:tab/>
        </w:r>
        <w:r>
          <w:rPr>
            <w:noProof/>
            <w:webHidden/>
          </w:rPr>
          <w:fldChar w:fldCharType="begin"/>
        </w:r>
        <w:r w:rsidR="003E4210">
          <w:rPr>
            <w:noProof/>
            <w:webHidden/>
          </w:rPr>
          <w:instrText xml:space="preserve"> PAGEREF _Toc259717266 \h </w:instrText>
        </w:r>
        <w:r>
          <w:rPr>
            <w:noProof/>
            <w:webHidden/>
          </w:rPr>
        </w:r>
        <w:r>
          <w:rPr>
            <w:noProof/>
            <w:webHidden/>
          </w:rPr>
          <w:fldChar w:fldCharType="separate"/>
        </w:r>
        <w:r w:rsidR="003E4210">
          <w:rPr>
            <w:noProof/>
            <w:webHidden/>
          </w:rPr>
          <w:t>269</w:t>
        </w:r>
        <w:r>
          <w:rPr>
            <w:noProof/>
            <w:webHidden/>
          </w:rPr>
          <w:fldChar w:fldCharType="end"/>
        </w:r>
      </w:hyperlink>
    </w:p>
    <w:p w:rsidR="003E4210" w:rsidRDefault="00BD151C">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67" w:history="1">
        <w:r w:rsidR="003E4210" w:rsidRPr="005B500B">
          <w:rPr>
            <w:rStyle w:val="Hyperlink"/>
            <w:noProof/>
          </w:rPr>
          <w:t>11.34.2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FST Teardown</w:t>
        </w:r>
        <w:r w:rsidR="003E4210">
          <w:rPr>
            <w:noProof/>
            <w:webHidden/>
          </w:rPr>
          <w:tab/>
        </w:r>
        <w:r>
          <w:rPr>
            <w:noProof/>
            <w:webHidden/>
          </w:rPr>
          <w:fldChar w:fldCharType="begin"/>
        </w:r>
        <w:r w:rsidR="003E4210">
          <w:rPr>
            <w:noProof/>
            <w:webHidden/>
          </w:rPr>
          <w:instrText xml:space="preserve"> PAGEREF _Toc259717267 \h </w:instrText>
        </w:r>
        <w:r>
          <w:rPr>
            <w:noProof/>
            <w:webHidden/>
          </w:rPr>
        </w:r>
        <w:r>
          <w:rPr>
            <w:noProof/>
            <w:webHidden/>
          </w:rPr>
          <w:fldChar w:fldCharType="separate"/>
        </w:r>
        <w:r w:rsidR="003E4210">
          <w:rPr>
            <w:noProof/>
            <w:webHidden/>
          </w:rPr>
          <w:t>271</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8" w:history="1">
        <w:r w:rsidR="003E4210" w:rsidRPr="005B500B">
          <w:rPr>
            <w:rStyle w:val="Hyperlink"/>
            <w:noProof/>
          </w:rPr>
          <w:t>11.35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coexistence with other mmWave technologies</w:t>
        </w:r>
        <w:r w:rsidR="003E4210">
          <w:rPr>
            <w:noProof/>
            <w:webHidden/>
          </w:rPr>
          <w:tab/>
        </w:r>
        <w:r>
          <w:rPr>
            <w:noProof/>
            <w:webHidden/>
          </w:rPr>
          <w:fldChar w:fldCharType="begin"/>
        </w:r>
        <w:r w:rsidR="003E4210">
          <w:rPr>
            <w:noProof/>
            <w:webHidden/>
          </w:rPr>
          <w:instrText xml:space="preserve"> PAGEREF _Toc259717268 \h </w:instrText>
        </w:r>
        <w:r>
          <w:rPr>
            <w:noProof/>
            <w:webHidden/>
          </w:rPr>
        </w:r>
        <w:r>
          <w:rPr>
            <w:noProof/>
            <w:webHidden/>
          </w:rPr>
          <w:fldChar w:fldCharType="separate"/>
        </w:r>
        <w:r w:rsidR="003E4210">
          <w:rPr>
            <w:noProof/>
            <w:webHidden/>
          </w:rPr>
          <w:t>271</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9" w:history="1">
        <w:r w:rsidR="003E4210" w:rsidRPr="005B500B">
          <w:rPr>
            <w:rStyle w:val="Hyperlink"/>
            <w:noProof/>
          </w:rPr>
          <w:t>11.36</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MAC sublayer parameters</w:t>
        </w:r>
        <w:r w:rsidR="003E4210">
          <w:rPr>
            <w:noProof/>
            <w:webHidden/>
          </w:rPr>
          <w:tab/>
        </w:r>
        <w:r>
          <w:rPr>
            <w:noProof/>
            <w:webHidden/>
          </w:rPr>
          <w:fldChar w:fldCharType="begin"/>
        </w:r>
        <w:r w:rsidR="003E4210">
          <w:rPr>
            <w:noProof/>
            <w:webHidden/>
          </w:rPr>
          <w:instrText xml:space="preserve"> PAGEREF _Toc259717269 \h </w:instrText>
        </w:r>
        <w:r>
          <w:rPr>
            <w:noProof/>
            <w:webHidden/>
          </w:rPr>
        </w:r>
        <w:r>
          <w:rPr>
            <w:noProof/>
            <w:webHidden/>
          </w:rPr>
          <w:fldChar w:fldCharType="separate"/>
        </w:r>
        <w:r w:rsidR="003E4210">
          <w:rPr>
            <w:noProof/>
            <w:webHidden/>
          </w:rPr>
          <w:t>272</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270" w:history="1">
        <w:r w:rsidR="003E4210" w:rsidRPr="005B500B">
          <w:rPr>
            <w:rStyle w:val="Hyperlink"/>
            <w:noProof/>
          </w:rPr>
          <w:t>11.37 mmWave Relay operation</w:t>
        </w:r>
        <w:r w:rsidR="003E4210">
          <w:rPr>
            <w:noProof/>
            <w:webHidden/>
          </w:rPr>
          <w:tab/>
        </w:r>
        <w:r>
          <w:rPr>
            <w:noProof/>
            <w:webHidden/>
          </w:rPr>
          <w:fldChar w:fldCharType="begin"/>
        </w:r>
        <w:r w:rsidR="003E4210">
          <w:rPr>
            <w:noProof/>
            <w:webHidden/>
          </w:rPr>
          <w:instrText xml:space="preserve"> PAGEREF _Toc259717270 \h </w:instrText>
        </w:r>
        <w:r>
          <w:rPr>
            <w:noProof/>
            <w:webHidden/>
          </w:rPr>
        </w:r>
        <w:r>
          <w:rPr>
            <w:noProof/>
            <w:webHidden/>
          </w:rPr>
          <w:fldChar w:fldCharType="separate"/>
        </w:r>
        <w:r w:rsidR="003E4210">
          <w:rPr>
            <w:noProof/>
            <w:webHidden/>
          </w:rPr>
          <w:t>273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71" w:history="1">
        <w:r w:rsidR="003E4210" w:rsidRPr="005B500B">
          <w:rPr>
            <w:rStyle w:val="Hyperlink"/>
            <w:noProof/>
          </w:rPr>
          <w:t>11.37.1 Common relay setup procedures</w:t>
        </w:r>
        <w:r w:rsidR="003E4210">
          <w:rPr>
            <w:noProof/>
            <w:webHidden/>
          </w:rPr>
          <w:tab/>
        </w:r>
        <w:r>
          <w:rPr>
            <w:noProof/>
            <w:webHidden/>
          </w:rPr>
          <w:fldChar w:fldCharType="begin"/>
        </w:r>
        <w:r w:rsidR="003E4210">
          <w:rPr>
            <w:noProof/>
            <w:webHidden/>
          </w:rPr>
          <w:instrText xml:space="preserve"> PAGEREF _Toc259717271 \h </w:instrText>
        </w:r>
        <w:r>
          <w:rPr>
            <w:noProof/>
            <w:webHidden/>
          </w:rPr>
        </w:r>
        <w:r>
          <w:rPr>
            <w:noProof/>
            <w:webHidden/>
          </w:rPr>
          <w:fldChar w:fldCharType="separate"/>
        </w:r>
        <w:r w:rsidR="003E4210">
          <w:rPr>
            <w:noProof/>
            <w:webHidden/>
          </w:rPr>
          <w:t>274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72" w:history="1">
        <w:r w:rsidR="003E4210" w:rsidRPr="005B500B">
          <w:rPr>
            <w:rStyle w:val="Hyperlink"/>
            <w:noProof/>
          </w:rPr>
          <w:t>11.37.1.1 Relay capabilities and RSUS discovery procedures</w:t>
        </w:r>
        <w:r w:rsidR="003E4210">
          <w:rPr>
            <w:noProof/>
            <w:webHidden/>
          </w:rPr>
          <w:tab/>
        </w:r>
        <w:r>
          <w:rPr>
            <w:noProof/>
            <w:webHidden/>
          </w:rPr>
          <w:fldChar w:fldCharType="begin"/>
        </w:r>
        <w:r w:rsidR="003E4210">
          <w:rPr>
            <w:noProof/>
            <w:webHidden/>
          </w:rPr>
          <w:instrText xml:space="preserve"> PAGEREF _Toc259717272 \h </w:instrText>
        </w:r>
        <w:r>
          <w:rPr>
            <w:noProof/>
            <w:webHidden/>
          </w:rPr>
        </w:r>
        <w:r>
          <w:rPr>
            <w:noProof/>
            <w:webHidden/>
          </w:rPr>
          <w:fldChar w:fldCharType="separate"/>
        </w:r>
        <w:r w:rsidR="003E4210">
          <w:rPr>
            <w:noProof/>
            <w:webHidden/>
          </w:rPr>
          <w:t>274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73" w:history="1">
        <w:r w:rsidR="003E4210" w:rsidRPr="005B500B">
          <w:rPr>
            <w:rStyle w:val="Hyperlink"/>
            <w:noProof/>
            <w:lang w:eastAsia="ko-KR"/>
          </w:rPr>
          <w:t>11.37.1.2 RSUS selection procedure</w:t>
        </w:r>
        <w:r w:rsidR="003E4210">
          <w:rPr>
            <w:noProof/>
            <w:webHidden/>
          </w:rPr>
          <w:tab/>
        </w:r>
        <w:r>
          <w:rPr>
            <w:noProof/>
            <w:webHidden/>
          </w:rPr>
          <w:fldChar w:fldCharType="begin"/>
        </w:r>
        <w:r w:rsidR="003E4210">
          <w:rPr>
            <w:noProof/>
            <w:webHidden/>
          </w:rPr>
          <w:instrText xml:space="preserve"> PAGEREF _Toc259717273 \h </w:instrText>
        </w:r>
        <w:r>
          <w:rPr>
            <w:noProof/>
            <w:webHidden/>
          </w:rPr>
        </w:r>
        <w:r>
          <w:rPr>
            <w:noProof/>
            <w:webHidden/>
          </w:rPr>
          <w:fldChar w:fldCharType="separate"/>
        </w:r>
        <w:r w:rsidR="003E4210">
          <w:rPr>
            <w:noProof/>
            <w:webHidden/>
          </w:rPr>
          <w:t>274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74" w:history="1">
        <w:r w:rsidR="003E4210" w:rsidRPr="005B500B">
          <w:rPr>
            <w:rStyle w:val="Hyperlink"/>
            <w:noProof/>
            <w:lang w:eastAsia="ko-KR"/>
          </w:rPr>
          <w:t>11.37.1.3 RLS procedure</w:t>
        </w:r>
        <w:r w:rsidR="003E4210">
          <w:rPr>
            <w:noProof/>
            <w:webHidden/>
          </w:rPr>
          <w:tab/>
        </w:r>
        <w:r>
          <w:rPr>
            <w:noProof/>
            <w:webHidden/>
          </w:rPr>
          <w:fldChar w:fldCharType="begin"/>
        </w:r>
        <w:r w:rsidR="003E4210">
          <w:rPr>
            <w:noProof/>
            <w:webHidden/>
          </w:rPr>
          <w:instrText xml:space="preserve"> PAGEREF _Toc259717274 \h </w:instrText>
        </w:r>
        <w:r>
          <w:rPr>
            <w:noProof/>
            <w:webHidden/>
          </w:rPr>
        </w:r>
        <w:r>
          <w:rPr>
            <w:noProof/>
            <w:webHidden/>
          </w:rPr>
          <w:fldChar w:fldCharType="separate"/>
        </w:r>
        <w:r w:rsidR="003E4210">
          <w:rPr>
            <w:noProof/>
            <w:webHidden/>
          </w:rPr>
          <w:t>275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75" w:history="1">
        <w:r w:rsidR="003E4210" w:rsidRPr="005B500B">
          <w:rPr>
            <w:rStyle w:val="Hyperlink"/>
            <w:noProof/>
          </w:rPr>
          <w:t>11.37.2 Link switching type</w:t>
        </w:r>
        <w:r w:rsidR="003E4210">
          <w:rPr>
            <w:noProof/>
            <w:webHidden/>
          </w:rPr>
          <w:tab/>
        </w:r>
        <w:r>
          <w:rPr>
            <w:noProof/>
            <w:webHidden/>
          </w:rPr>
          <w:fldChar w:fldCharType="begin"/>
        </w:r>
        <w:r w:rsidR="003E4210">
          <w:rPr>
            <w:noProof/>
            <w:webHidden/>
          </w:rPr>
          <w:instrText xml:space="preserve"> PAGEREF _Toc259717275 \h </w:instrText>
        </w:r>
        <w:r>
          <w:rPr>
            <w:noProof/>
            <w:webHidden/>
          </w:rPr>
        </w:r>
        <w:r>
          <w:rPr>
            <w:noProof/>
            <w:webHidden/>
          </w:rPr>
          <w:fldChar w:fldCharType="separate"/>
        </w:r>
        <w:r w:rsidR="003E4210">
          <w:rPr>
            <w:noProof/>
            <w:webHidden/>
          </w:rPr>
          <w:t>276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76" w:history="1">
        <w:r w:rsidR="003E4210" w:rsidRPr="005B500B">
          <w:rPr>
            <w:rStyle w:val="Hyperlink"/>
            <w:noProof/>
          </w:rPr>
          <w:t>11.37.2.1 SP request and allocation</w:t>
        </w:r>
        <w:r w:rsidR="003E4210">
          <w:rPr>
            <w:noProof/>
            <w:webHidden/>
          </w:rPr>
          <w:tab/>
        </w:r>
        <w:r>
          <w:rPr>
            <w:noProof/>
            <w:webHidden/>
          </w:rPr>
          <w:fldChar w:fldCharType="begin"/>
        </w:r>
        <w:r w:rsidR="003E4210">
          <w:rPr>
            <w:noProof/>
            <w:webHidden/>
          </w:rPr>
          <w:instrText xml:space="preserve"> PAGEREF _Toc259717276 \h </w:instrText>
        </w:r>
        <w:r>
          <w:rPr>
            <w:noProof/>
            <w:webHidden/>
          </w:rPr>
        </w:r>
        <w:r>
          <w:rPr>
            <w:noProof/>
            <w:webHidden/>
          </w:rPr>
          <w:fldChar w:fldCharType="separate"/>
        </w:r>
        <w:r w:rsidR="003E4210">
          <w:rPr>
            <w:noProof/>
            <w:webHidden/>
          </w:rPr>
          <w:t>276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77" w:history="1">
        <w:r w:rsidR="003E4210" w:rsidRPr="005B500B">
          <w:rPr>
            <w:rStyle w:val="Hyperlink"/>
            <w:noProof/>
          </w:rPr>
          <w:t>11.37.2.2 Usage of RSUS</w:t>
        </w:r>
        <w:r w:rsidR="003E4210">
          <w:rPr>
            <w:noProof/>
            <w:webHidden/>
          </w:rPr>
          <w:tab/>
        </w:r>
        <w:r>
          <w:rPr>
            <w:noProof/>
            <w:webHidden/>
          </w:rPr>
          <w:fldChar w:fldCharType="begin"/>
        </w:r>
        <w:r w:rsidR="003E4210">
          <w:rPr>
            <w:noProof/>
            <w:webHidden/>
          </w:rPr>
          <w:instrText xml:space="preserve"> PAGEREF _Toc259717277 \h </w:instrText>
        </w:r>
        <w:r>
          <w:rPr>
            <w:noProof/>
            <w:webHidden/>
          </w:rPr>
        </w:r>
        <w:r>
          <w:rPr>
            <w:noProof/>
            <w:webHidden/>
          </w:rPr>
          <w:fldChar w:fldCharType="separate"/>
        </w:r>
        <w:r w:rsidR="003E4210">
          <w:rPr>
            <w:noProof/>
            <w:webHidden/>
          </w:rPr>
          <w:t>276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78" w:history="1">
        <w:r w:rsidR="003E4210" w:rsidRPr="005B500B">
          <w:rPr>
            <w:rStyle w:val="Hyperlink"/>
            <w:noProof/>
          </w:rPr>
          <w:t>11.37.2.3 Relay frame exchange rules</w:t>
        </w:r>
        <w:r w:rsidR="003E4210">
          <w:rPr>
            <w:noProof/>
            <w:webHidden/>
          </w:rPr>
          <w:tab/>
        </w:r>
        <w:r>
          <w:rPr>
            <w:noProof/>
            <w:webHidden/>
          </w:rPr>
          <w:fldChar w:fldCharType="begin"/>
        </w:r>
        <w:r w:rsidR="003E4210">
          <w:rPr>
            <w:noProof/>
            <w:webHidden/>
          </w:rPr>
          <w:instrText xml:space="preserve"> PAGEREF _Toc259717278 \h </w:instrText>
        </w:r>
        <w:r>
          <w:rPr>
            <w:noProof/>
            <w:webHidden/>
          </w:rPr>
        </w:r>
        <w:r>
          <w:rPr>
            <w:noProof/>
            <w:webHidden/>
          </w:rPr>
          <w:fldChar w:fldCharType="separate"/>
        </w:r>
        <w:r w:rsidR="003E4210">
          <w:rPr>
            <w:noProof/>
            <w:webHidden/>
          </w:rPr>
          <w:t>277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79" w:history="1">
        <w:r w:rsidR="003E4210" w:rsidRPr="005B500B">
          <w:rPr>
            <w:rStyle w:val="Hyperlink"/>
            <w:noProof/>
          </w:rPr>
          <w:t>11.37.2.3.1 Additional frame exchange rules for FD/AF RSUS</w:t>
        </w:r>
        <w:r w:rsidR="003E4210">
          <w:rPr>
            <w:noProof/>
            <w:webHidden/>
          </w:rPr>
          <w:tab/>
        </w:r>
        <w:r>
          <w:rPr>
            <w:noProof/>
            <w:webHidden/>
          </w:rPr>
          <w:fldChar w:fldCharType="begin"/>
        </w:r>
        <w:r w:rsidR="003E4210">
          <w:rPr>
            <w:noProof/>
            <w:webHidden/>
          </w:rPr>
          <w:instrText xml:space="preserve"> PAGEREF _Toc259717279 \h </w:instrText>
        </w:r>
        <w:r>
          <w:rPr>
            <w:noProof/>
            <w:webHidden/>
          </w:rPr>
        </w:r>
        <w:r>
          <w:rPr>
            <w:noProof/>
            <w:webHidden/>
          </w:rPr>
          <w:fldChar w:fldCharType="separate"/>
        </w:r>
        <w:r w:rsidR="003E4210">
          <w:rPr>
            <w:noProof/>
            <w:webHidden/>
          </w:rPr>
          <w:t>277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80" w:history="1">
        <w:r w:rsidR="003E4210" w:rsidRPr="005B500B">
          <w:rPr>
            <w:rStyle w:val="Hyperlink"/>
            <w:noProof/>
          </w:rPr>
          <w:t>11.37.2.3.2 Additional frame exchange rules for HD/DF RSUS</w:t>
        </w:r>
        <w:r w:rsidR="003E4210">
          <w:rPr>
            <w:noProof/>
            <w:webHidden/>
          </w:rPr>
          <w:tab/>
        </w:r>
        <w:r>
          <w:rPr>
            <w:noProof/>
            <w:webHidden/>
          </w:rPr>
          <w:fldChar w:fldCharType="begin"/>
        </w:r>
        <w:r w:rsidR="003E4210">
          <w:rPr>
            <w:noProof/>
            <w:webHidden/>
          </w:rPr>
          <w:instrText xml:space="preserve"> PAGEREF _Toc259717280 \h </w:instrText>
        </w:r>
        <w:r>
          <w:rPr>
            <w:noProof/>
            <w:webHidden/>
          </w:rPr>
        </w:r>
        <w:r>
          <w:rPr>
            <w:noProof/>
            <w:webHidden/>
          </w:rPr>
          <w:fldChar w:fldCharType="separate"/>
        </w:r>
        <w:r w:rsidR="003E4210">
          <w:rPr>
            <w:noProof/>
            <w:webHidden/>
          </w:rPr>
          <w:t>278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81" w:history="1">
        <w:r w:rsidR="003E4210" w:rsidRPr="005B500B">
          <w:rPr>
            <w:rStyle w:val="Hyperlink"/>
            <w:noProof/>
          </w:rPr>
          <w:t>11.37.2.3.3 Operation of FD/AF RSUS</w:t>
        </w:r>
        <w:r w:rsidR="003E4210">
          <w:rPr>
            <w:noProof/>
            <w:webHidden/>
          </w:rPr>
          <w:tab/>
        </w:r>
        <w:r>
          <w:rPr>
            <w:noProof/>
            <w:webHidden/>
          </w:rPr>
          <w:fldChar w:fldCharType="begin"/>
        </w:r>
        <w:r w:rsidR="003E4210">
          <w:rPr>
            <w:noProof/>
            <w:webHidden/>
          </w:rPr>
          <w:instrText xml:space="preserve"> PAGEREF _Toc259717281 \h </w:instrText>
        </w:r>
        <w:r>
          <w:rPr>
            <w:noProof/>
            <w:webHidden/>
          </w:rPr>
        </w:r>
        <w:r>
          <w:rPr>
            <w:noProof/>
            <w:webHidden/>
          </w:rPr>
          <w:fldChar w:fldCharType="separate"/>
        </w:r>
        <w:r w:rsidR="003E4210">
          <w:rPr>
            <w:noProof/>
            <w:webHidden/>
          </w:rPr>
          <w:t>279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82" w:history="1">
        <w:r w:rsidR="003E4210" w:rsidRPr="005B500B">
          <w:rPr>
            <w:rStyle w:val="Hyperlink"/>
            <w:noProof/>
          </w:rPr>
          <w:t>11.37.2.4 Link monitoring</w:t>
        </w:r>
        <w:r w:rsidR="003E4210">
          <w:rPr>
            <w:noProof/>
            <w:webHidden/>
          </w:rPr>
          <w:tab/>
        </w:r>
        <w:r>
          <w:rPr>
            <w:noProof/>
            <w:webHidden/>
          </w:rPr>
          <w:fldChar w:fldCharType="begin"/>
        </w:r>
        <w:r w:rsidR="003E4210">
          <w:rPr>
            <w:noProof/>
            <w:webHidden/>
          </w:rPr>
          <w:instrText xml:space="preserve"> PAGEREF _Toc259717282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83" w:history="1">
        <w:r w:rsidR="003E4210" w:rsidRPr="005B500B">
          <w:rPr>
            <w:rStyle w:val="Hyperlink"/>
            <w:noProof/>
          </w:rPr>
          <w:t>11.37.3 Link cooperating type</w:t>
        </w:r>
        <w:r w:rsidR="003E4210">
          <w:rPr>
            <w:noProof/>
            <w:webHidden/>
          </w:rPr>
          <w:tab/>
        </w:r>
        <w:r>
          <w:rPr>
            <w:noProof/>
            <w:webHidden/>
          </w:rPr>
          <w:fldChar w:fldCharType="begin"/>
        </w:r>
        <w:r w:rsidR="003E4210">
          <w:rPr>
            <w:noProof/>
            <w:webHidden/>
          </w:rPr>
          <w:instrText xml:space="preserve"> PAGEREF _Toc259717283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84" w:history="1">
        <w:r w:rsidR="003E4210" w:rsidRPr="005B500B">
          <w:rPr>
            <w:rStyle w:val="Hyperlink"/>
            <w:noProof/>
          </w:rPr>
          <w:t>11.37.3.1 TPA procedure</w:t>
        </w:r>
        <w:r w:rsidR="003E4210">
          <w:rPr>
            <w:noProof/>
            <w:webHidden/>
          </w:rPr>
          <w:tab/>
        </w:r>
        <w:r>
          <w:rPr>
            <w:noProof/>
            <w:webHidden/>
          </w:rPr>
          <w:fldChar w:fldCharType="begin"/>
        </w:r>
        <w:r w:rsidR="003E4210">
          <w:rPr>
            <w:noProof/>
            <w:webHidden/>
          </w:rPr>
          <w:instrText xml:space="preserve"> PAGEREF _Toc259717284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85" w:history="1">
        <w:r w:rsidR="003E4210" w:rsidRPr="005B500B">
          <w:rPr>
            <w:rStyle w:val="Hyperlink"/>
            <w:noProof/>
          </w:rPr>
          <w:t>11.37.3.2 Frame exchange operation</w:t>
        </w:r>
        <w:r w:rsidR="003E4210">
          <w:rPr>
            <w:noProof/>
            <w:webHidden/>
          </w:rPr>
          <w:tab/>
        </w:r>
        <w:r>
          <w:rPr>
            <w:noProof/>
            <w:webHidden/>
          </w:rPr>
          <w:fldChar w:fldCharType="begin"/>
        </w:r>
        <w:r w:rsidR="003E4210">
          <w:rPr>
            <w:noProof/>
            <w:webHidden/>
          </w:rPr>
          <w:instrText xml:space="preserve"> PAGEREF _Toc259717285 \h </w:instrText>
        </w:r>
        <w:r>
          <w:rPr>
            <w:noProof/>
            <w:webHidden/>
          </w:rPr>
        </w:r>
        <w:r>
          <w:rPr>
            <w:noProof/>
            <w:webHidden/>
          </w:rPr>
          <w:fldChar w:fldCharType="separate"/>
        </w:r>
        <w:r w:rsidR="003E4210">
          <w:rPr>
            <w:noProof/>
            <w:webHidden/>
          </w:rPr>
          <w:t>281</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86" w:history="1">
        <w:r w:rsidR="003E4210" w:rsidRPr="005B500B">
          <w:rPr>
            <w:rStyle w:val="Hyperlink"/>
            <w:noProof/>
          </w:rPr>
          <w:t>11.37.3.2.1 Cooperated transmission SP request and allocation</w:t>
        </w:r>
        <w:r w:rsidR="003E4210">
          <w:rPr>
            <w:noProof/>
            <w:webHidden/>
          </w:rPr>
          <w:tab/>
        </w:r>
        <w:r>
          <w:rPr>
            <w:noProof/>
            <w:webHidden/>
          </w:rPr>
          <w:fldChar w:fldCharType="begin"/>
        </w:r>
        <w:r w:rsidR="003E4210">
          <w:rPr>
            <w:noProof/>
            <w:webHidden/>
          </w:rPr>
          <w:instrText xml:space="preserve"> PAGEREF _Toc259717286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87" w:history="1">
        <w:r w:rsidR="003E4210" w:rsidRPr="005B500B">
          <w:rPr>
            <w:rStyle w:val="Hyperlink"/>
            <w:noProof/>
          </w:rPr>
          <w:t>11.37.3.2.2 Data transmission rules</w:t>
        </w:r>
        <w:r w:rsidR="003E4210">
          <w:rPr>
            <w:noProof/>
            <w:webHidden/>
          </w:rPr>
          <w:tab/>
        </w:r>
        <w:r>
          <w:rPr>
            <w:noProof/>
            <w:webHidden/>
          </w:rPr>
          <w:fldChar w:fldCharType="begin"/>
        </w:r>
        <w:r w:rsidR="003E4210">
          <w:rPr>
            <w:noProof/>
            <w:webHidden/>
          </w:rPr>
          <w:instrText xml:space="preserve"> PAGEREF _Toc259717287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88" w:history="1">
        <w:r w:rsidR="003E4210" w:rsidRPr="005B500B">
          <w:rPr>
            <w:rStyle w:val="Hyperlink"/>
            <w:noProof/>
          </w:rPr>
          <w:t>11.37.4 Relay operation-type change procedure</w:t>
        </w:r>
        <w:r w:rsidR="003E4210">
          <w:rPr>
            <w:noProof/>
            <w:webHidden/>
          </w:rPr>
          <w:tab/>
        </w:r>
        <w:r>
          <w:rPr>
            <w:noProof/>
            <w:webHidden/>
          </w:rPr>
          <w:fldChar w:fldCharType="begin"/>
        </w:r>
        <w:r w:rsidR="003E4210">
          <w:rPr>
            <w:noProof/>
            <w:webHidden/>
          </w:rPr>
          <w:instrText xml:space="preserve"> PAGEREF _Toc259717288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89" w:history="1">
        <w:r w:rsidR="003E4210" w:rsidRPr="005B500B">
          <w:rPr>
            <w:rStyle w:val="Hyperlink"/>
            <w:noProof/>
          </w:rPr>
          <w:t>11.37.5 Relay link adaptation</w:t>
        </w:r>
        <w:r w:rsidR="003E4210">
          <w:rPr>
            <w:noProof/>
            <w:webHidden/>
          </w:rPr>
          <w:tab/>
        </w:r>
        <w:r>
          <w:rPr>
            <w:noProof/>
            <w:webHidden/>
          </w:rPr>
          <w:fldChar w:fldCharType="begin"/>
        </w:r>
        <w:r w:rsidR="003E4210">
          <w:rPr>
            <w:noProof/>
            <w:webHidden/>
          </w:rPr>
          <w:instrText xml:space="preserve"> PAGEREF _Toc259717289 \h </w:instrText>
        </w:r>
        <w:r>
          <w:rPr>
            <w:noProof/>
            <w:webHidden/>
          </w:rPr>
        </w:r>
        <w:r>
          <w:rPr>
            <w:noProof/>
            <w:webHidden/>
          </w:rPr>
          <w:fldChar w:fldCharType="separate"/>
        </w:r>
        <w:r w:rsidR="003E4210">
          <w:rPr>
            <w:noProof/>
            <w:webHidden/>
          </w:rPr>
          <w:t>283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90" w:history="1">
        <w:r w:rsidR="003E4210" w:rsidRPr="005B500B">
          <w:rPr>
            <w:rStyle w:val="Hyperlink"/>
            <w:noProof/>
          </w:rPr>
          <w:t>11.37.6 Relay teardown</w:t>
        </w:r>
        <w:r w:rsidR="003E4210">
          <w:rPr>
            <w:noProof/>
            <w:webHidden/>
          </w:rPr>
          <w:tab/>
        </w:r>
        <w:r>
          <w:rPr>
            <w:noProof/>
            <w:webHidden/>
          </w:rPr>
          <w:fldChar w:fldCharType="begin"/>
        </w:r>
        <w:r w:rsidR="003E4210">
          <w:rPr>
            <w:noProof/>
            <w:webHidden/>
          </w:rPr>
          <w:instrText xml:space="preserve"> PAGEREF _Toc259717290 \h </w:instrText>
        </w:r>
        <w:r>
          <w:rPr>
            <w:noProof/>
            <w:webHidden/>
          </w:rPr>
        </w:r>
        <w:r>
          <w:rPr>
            <w:noProof/>
            <w:webHidden/>
          </w:rPr>
          <w:fldChar w:fldCharType="separate"/>
        </w:r>
        <w:r w:rsidR="003E4210">
          <w:rPr>
            <w:noProof/>
            <w:webHidden/>
          </w:rPr>
          <w:t>284</w:t>
        </w:r>
        <w:r>
          <w:rPr>
            <w:noProof/>
            <w:webHidden/>
          </w:rPr>
          <w:fldChar w:fldCharType="end"/>
        </w:r>
      </w:hyperlink>
    </w:p>
    <w:p w:rsidR="003E4210" w:rsidRDefault="00BD151C">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291" w:history="1">
        <w:r w:rsidR="003E4210" w:rsidRPr="005B500B">
          <w:rPr>
            <w:rStyle w:val="Hyperlink"/>
            <w:noProof/>
          </w:rPr>
          <w:t>12 PHY service specification</w:t>
        </w:r>
        <w:r w:rsidR="003E4210">
          <w:rPr>
            <w:noProof/>
            <w:webHidden/>
          </w:rPr>
          <w:tab/>
        </w:r>
        <w:r>
          <w:rPr>
            <w:noProof/>
            <w:webHidden/>
          </w:rPr>
          <w:fldChar w:fldCharType="begin"/>
        </w:r>
        <w:r w:rsidR="003E4210">
          <w:rPr>
            <w:noProof/>
            <w:webHidden/>
          </w:rPr>
          <w:instrText xml:space="preserve"> PAGEREF _Toc259717291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292" w:history="1">
        <w:r w:rsidR="003E4210" w:rsidRPr="005B500B">
          <w:rPr>
            <w:rStyle w:val="Hyperlink"/>
            <w:noProof/>
          </w:rPr>
          <w:t>12.3 Detailed PHY service specifications</w:t>
        </w:r>
        <w:r w:rsidR="003E4210">
          <w:rPr>
            <w:noProof/>
            <w:webHidden/>
          </w:rPr>
          <w:tab/>
        </w:r>
        <w:r>
          <w:rPr>
            <w:noProof/>
            <w:webHidden/>
          </w:rPr>
          <w:fldChar w:fldCharType="begin"/>
        </w:r>
        <w:r w:rsidR="003E4210">
          <w:rPr>
            <w:noProof/>
            <w:webHidden/>
          </w:rPr>
          <w:instrText xml:space="preserve"> PAGEREF _Toc259717292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93" w:history="1">
        <w:r w:rsidR="003E4210" w:rsidRPr="005B500B">
          <w:rPr>
            <w:rStyle w:val="Hyperlink"/>
            <w:noProof/>
          </w:rPr>
          <w:t>12.3.5 PHY-SAP detailed service specification</w:t>
        </w:r>
        <w:r w:rsidR="003E4210">
          <w:rPr>
            <w:noProof/>
            <w:webHidden/>
          </w:rPr>
          <w:tab/>
        </w:r>
        <w:r>
          <w:rPr>
            <w:noProof/>
            <w:webHidden/>
          </w:rPr>
          <w:fldChar w:fldCharType="begin"/>
        </w:r>
        <w:r w:rsidR="003E4210">
          <w:rPr>
            <w:noProof/>
            <w:webHidden/>
          </w:rPr>
          <w:instrText xml:space="preserve"> PAGEREF _Toc259717293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294" w:history="1">
        <w:r w:rsidR="003E4210" w:rsidRPr="005B500B">
          <w:rPr>
            <w:rStyle w:val="Hyperlink"/>
            <w:noProof/>
          </w:rPr>
          <w:t>12.3.5.7a PHY-TXPLCPEND.indication</w:t>
        </w:r>
        <w:r w:rsidR="003E4210">
          <w:rPr>
            <w:noProof/>
            <w:webHidden/>
          </w:rPr>
          <w:tab/>
        </w:r>
        <w:r>
          <w:rPr>
            <w:noProof/>
            <w:webHidden/>
          </w:rPr>
          <w:fldChar w:fldCharType="begin"/>
        </w:r>
        <w:r w:rsidR="003E4210">
          <w:rPr>
            <w:noProof/>
            <w:webHidden/>
          </w:rPr>
          <w:instrText xml:space="preserve"> PAGEREF _Toc259717294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95" w:history="1">
        <w:r w:rsidR="003E4210" w:rsidRPr="005B500B">
          <w:rPr>
            <w:rStyle w:val="Hyperlink"/>
            <w:noProof/>
          </w:rPr>
          <w:t>12.3.5.7a.1 Function</w:t>
        </w:r>
        <w:r w:rsidR="003E4210">
          <w:rPr>
            <w:noProof/>
            <w:webHidden/>
          </w:rPr>
          <w:tab/>
        </w:r>
        <w:r>
          <w:rPr>
            <w:noProof/>
            <w:webHidden/>
          </w:rPr>
          <w:fldChar w:fldCharType="begin"/>
        </w:r>
        <w:r w:rsidR="003E4210">
          <w:rPr>
            <w:noProof/>
            <w:webHidden/>
          </w:rPr>
          <w:instrText xml:space="preserve"> PAGEREF _Toc259717295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96" w:history="1">
        <w:r w:rsidR="003E4210" w:rsidRPr="005B500B">
          <w:rPr>
            <w:rStyle w:val="Hyperlink"/>
            <w:noProof/>
          </w:rPr>
          <w:t>12.3.5.7a.2 Semantics of the service primitive</w:t>
        </w:r>
        <w:r w:rsidR="003E4210">
          <w:rPr>
            <w:noProof/>
            <w:webHidden/>
          </w:rPr>
          <w:tab/>
        </w:r>
        <w:r>
          <w:rPr>
            <w:noProof/>
            <w:webHidden/>
          </w:rPr>
          <w:fldChar w:fldCharType="begin"/>
        </w:r>
        <w:r w:rsidR="003E4210">
          <w:rPr>
            <w:noProof/>
            <w:webHidden/>
          </w:rPr>
          <w:instrText xml:space="preserve"> PAGEREF _Toc259717296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97" w:history="1">
        <w:r w:rsidR="003E4210" w:rsidRPr="005B500B">
          <w:rPr>
            <w:rStyle w:val="Hyperlink"/>
            <w:noProof/>
          </w:rPr>
          <w:t>12.3.5.7a.3 When generated</w:t>
        </w:r>
        <w:r w:rsidR="003E4210">
          <w:rPr>
            <w:noProof/>
            <w:webHidden/>
          </w:rPr>
          <w:tab/>
        </w:r>
        <w:r>
          <w:rPr>
            <w:noProof/>
            <w:webHidden/>
          </w:rPr>
          <w:fldChar w:fldCharType="begin"/>
        </w:r>
        <w:r w:rsidR="003E4210">
          <w:rPr>
            <w:noProof/>
            <w:webHidden/>
          </w:rPr>
          <w:instrText xml:space="preserve"> PAGEREF _Toc259717297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298" w:history="1">
        <w:r w:rsidR="003E4210" w:rsidRPr="005B500B">
          <w:rPr>
            <w:rStyle w:val="Hyperlink"/>
            <w:noProof/>
          </w:rPr>
          <w:t>12.3.5.7a.4 Effect of receipt</w:t>
        </w:r>
        <w:r w:rsidR="003E4210">
          <w:rPr>
            <w:noProof/>
            <w:webHidden/>
          </w:rPr>
          <w:tab/>
        </w:r>
        <w:r>
          <w:rPr>
            <w:noProof/>
            <w:webHidden/>
          </w:rPr>
          <w:fldChar w:fldCharType="begin"/>
        </w:r>
        <w:r w:rsidR="003E4210">
          <w:rPr>
            <w:noProof/>
            <w:webHidden/>
          </w:rPr>
          <w:instrText xml:space="preserve"> PAGEREF _Toc259717298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BD151C">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299" w:history="1">
        <w:r w:rsidR="003E4210" w:rsidRPr="005B500B">
          <w:rPr>
            <w:rStyle w:val="Hyperlink"/>
            <w:noProof/>
          </w:rPr>
          <w:t>21</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mmWave PHY specification</w:t>
        </w:r>
        <w:r w:rsidR="003E4210">
          <w:rPr>
            <w:noProof/>
            <w:webHidden/>
          </w:rPr>
          <w:tab/>
        </w:r>
        <w:r>
          <w:rPr>
            <w:noProof/>
            <w:webHidden/>
          </w:rPr>
          <w:fldChar w:fldCharType="begin"/>
        </w:r>
        <w:r w:rsidR="003E4210">
          <w:rPr>
            <w:noProof/>
            <w:webHidden/>
          </w:rPr>
          <w:instrText xml:space="preserve"> PAGEREF _Toc259717299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00" w:history="1">
        <w:r w:rsidR="003E4210" w:rsidRPr="005B500B">
          <w:rPr>
            <w:rStyle w:val="Hyperlink"/>
            <w:noProof/>
          </w:rPr>
          <w:t>21.1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PHY Introduction</w:t>
        </w:r>
        <w:r w:rsidR="003E4210">
          <w:rPr>
            <w:noProof/>
            <w:webHidden/>
          </w:rPr>
          <w:tab/>
        </w:r>
        <w:r>
          <w:rPr>
            <w:noProof/>
            <w:webHidden/>
          </w:rPr>
          <w:fldChar w:fldCharType="begin"/>
        </w:r>
        <w:r w:rsidR="003E4210">
          <w:rPr>
            <w:noProof/>
            <w:webHidden/>
          </w:rPr>
          <w:instrText xml:space="preserve"> PAGEREF _Toc259717300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1" w:history="1">
        <w:r w:rsidR="003E4210" w:rsidRPr="005B500B">
          <w:rPr>
            <w:rStyle w:val="Hyperlink"/>
            <w:noProof/>
          </w:rPr>
          <w:t>21.1.1 Scope</w:t>
        </w:r>
        <w:r w:rsidR="003E4210">
          <w:rPr>
            <w:noProof/>
            <w:webHidden/>
          </w:rPr>
          <w:tab/>
        </w:r>
        <w:r>
          <w:rPr>
            <w:noProof/>
            <w:webHidden/>
          </w:rPr>
          <w:fldChar w:fldCharType="begin"/>
        </w:r>
        <w:r w:rsidR="003E4210">
          <w:rPr>
            <w:noProof/>
            <w:webHidden/>
          </w:rPr>
          <w:instrText xml:space="preserve"> PAGEREF _Toc259717301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2" w:history="1">
        <w:r w:rsidR="003E4210" w:rsidRPr="005B500B">
          <w:rPr>
            <w:rStyle w:val="Hyperlink"/>
            <w:noProof/>
          </w:rPr>
          <w:t>21.1.2 mmWave PHY functions</w:t>
        </w:r>
        <w:r w:rsidR="003E4210">
          <w:rPr>
            <w:noProof/>
            <w:webHidden/>
          </w:rPr>
          <w:tab/>
        </w:r>
        <w:r>
          <w:rPr>
            <w:noProof/>
            <w:webHidden/>
          </w:rPr>
          <w:fldChar w:fldCharType="begin"/>
        </w:r>
        <w:r w:rsidR="003E4210">
          <w:rPr>
            <w:noProof/>
            <w:webHidden/>
          </w:rPr>
          <w:instrText xml:space="preserve"> PAGEREF _Toc259717302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03" w:history="1">
        <w:r w:rsidR="003E4210" w:rsidRPr="005B500B">
          <w:rPr>
            <w:rStyle w:val="Hyperlink"/>
            <w:noProof/>
          </w:rPr>
          <w:t>21.1.2.1 mmWave PLCP sublayer</w:t>
        </w:r>
        <w:r w:rsidR="003E4210">
          <w:rPr>
            <w:noProof/>
            <w:webHidden/>
          </w:rPr>
          <w:tab/>
        </w:r>
        <w:r>
          <w:rPr>
            <w:noProof/>
            <w:webHidden/>
          </w:rPr>
          <w:fldChar w:fldCharType="begin"/>
        </w:r>
        <w:r w:rsidR="003E4210">
          <w:rPr>
            <w:noProof/>
            <w:webHidden/>
          </w:rPr>
          <w:instrText xml:space="preserve"> PAGEREF _Toc259717303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04" w:history="1">
        <w:r w:rsidR="003E4210" w:rsidRPr="005B500B">
          <w:rPr>
            <w:rStyle w:val="Hyperlink"/>
            <w:rFonts w:cs="Helvetica"/>
            <w:noProof/>
          </w:rPr>
          <w:t>21.1.2.2 mmWave PMD sublayer</w:t>
        </w:r>
        <w:r w:rsidR="003E4210">
          <w:rPr>
            <w:noProof/>
            <w:webHidden/>
          </w:rPr>
          <w:tab/>
        </w:r>
        <w:r>
          <w:rPr>
            <w:noProof/>
            <w:webHidden/>
          </w:rPr>
          <w:fldChar w:fldCharType="begin"/>
        </w:r>
        <w:r w:rsidR="003E4210">
          <w:rPr>
            <w:noProof/>
            <w:webHidden/>
          </w:rPr>
          <w:instrText xml:space="preserve"> PAGEREF _Toc259717304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05" w:history="1">
        <w:r w:rsidR="003E4210" w:rsidRPr="005B500B">
          <w:rPr>
            <w:rStyle w:val="Hyperlink"/>
            <w:noProof/>
          </w:rPr>
          <w:t>21.1.2.3 PHY management entity (PLME)</w:t>
        </w:r>
        <w:r w:rsidR="003E4210">
          <w:rPr>
            <w:noProof/>
            <w:webHidden/>
          </w:rPr>
          <w:tab/>
        </w:r>
        <w:r>
          <w:rPr>
            <w:noProof/>
            <w:webHidden/>
          </w:rPr>
          <w:fldChar w:fldCharType="begin"/>
        </w:r>
        <w:r w:rsidR="003E4210">
          <w:rPr>
            <w:noProof/>
            <w:webHidden/>
          </w:rPr>
          <w:instrText xml:space="preserve"> PAGEREF _Toc259717305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06" w:history="1">
        <w:r w:rsidR="003E4210" w:rsidRPr="005B500B">
          <w:rPr>
            <w:rStyle w:val="Hyperlink"/>
            <w:noProof/>
          </w:rPr>
          <w:t>21.1.2.4 Service specification method</w:t>
        </w:r>
        <w:r w:rsidR="003E4210">
          <w:rPr>
            <w:noProof/>
            <w:webHidden/>
          </w:rPr>
          <w:tab/>
        </w:r>
        <w:r>
          <w:rPr>
            <w:noProof/>
            <w:webHidden/>
          </w:rPr>
          <w:fldChar w:fldCharType="begin"/>
        </w:r>
        <w:r w:rsidR="003E4210">
          <w:rPr>
            <w:noProof/>
            <w:webHidden/>
          </w:rPr>
          <w:instrText xml:space="preserve"> PAGEREF _Toc259717306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07" w:history="1">
        <w:r w:rsidR="003E4210" w:rsidRPr="005B500B">
          <w:rPr>
            <w:rStyle w:val="Hyperlink"/>
            <w:noProof/>
          </w:rPr>
          <w:t>21.2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PHY service interface</w:t>
        </w:r>
        <w:r w:rsidR="003E4210">
          <w:rPr>
            <w:noProof/>
            <w:webHidden/>
          </w:rPr>
          <w:tab/>
        </w:r>
        <w:r>
          <w:rPr>
            <w:noProof/>
            <w:webHidden/>
          </w:rPr>
          <w:fldChar w:fldCharType="begin"/>
        </w:r>
        <w:r w:rsidR="003E4210">
          <w:rPr>
            <w:noProof/>
            <w:webHidden/>
          </w:rPr>
          <w:instrText xml:space="preserve"> PAGEREF _Toc259717307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8" w:history="1">
        <w:r w:rsidR="003E4210" w:rsidRPr="005B500B">
          <w:rPr>
            <w:rStyle w:val="Hyperlink"/>
            <w:rFonts w:eastAsia="MS Mincho"/>
            <w:noProof/>
          </w:rPr>
          <w:t>21.2.1 Introduction</w:t>
        </w:r>
        <w:r w:rsidR="003E4210">
          <w:rPr>
            <w:noProof/>
            <w:webHidden/>
          </w:rPr>
          <w:tab/>
        </w:r>
        <w:r>
          <w:rPr>
            <w:noProof/>
            <w:webHidden/>
          </w:rPr>
          <w:fldChar w:fldCharType="begin"/>
        </w:r>
        <w:r w:rsidR="003E4210">
          <w:rPr>
            <w:noProof/>
            <w:webHidden/>
          </w:rPr>
          <w:instrText xml:space="preserve"> PAGEREF _Toc259717308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9" w:history="1">
        <w:r w:rsidR="003E4210" w:rsidRPr="005B500B">
          <w:rPr>
            <w:rStyle w:val="Hyperlink"/>
            <w:rFonts w:eastAsia="MS Mincho"/>
            <w:noProof/>
          </w:rPr>
          <w:t>21.2.2 TXVECTOR and RXVECTOR parameters</w:t>
        </w:r>
        <w:r w:rsidR="003E4210">
          <w:rPr>
            <w:noProof/>
            <w:webHidden/>
          </w:rPr>
          <w:tab/>
        </w:r>
        <w:r>
          <w:rPr>
            <w:noProof/>
            <w:webHidden/>
          </w:rPr>
          <w:fldChar w:fldCharType="begin"/>
        </w:r>
        <w:r w:rsidR="003E4210">
          <w:rPr>
            <w:noProof/>
            <w:webHidden/>
          </w:rPr>
          <w:instrText xml:space="preserve"> PAGEREF _Toc259717309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0" w:history="1">
        <w:r w:rsidR="003E4210" w:rsidRPr="005B500B">
          <w:rPr>
            <w:rStyle w:val="Hyperlink"/>
            <w:rFonts w:eastAsia="MS Mincho"/>
            <w:noProof/>
          </w:rPr>
          <w:t>21.2.3 TXSTATUS Parameters</w:t>
        </w:r>
        <w:r w:rsidR="003E4210">
          <w:rPr>
            <w:noProof/>
            <w:webHidden/>
          </w:rPr>
          <w:tab/>
        </w:r>
        <w:r>
          <w:rPr>
            <w:noProof/>
            <w:webHidden/>
          </w:rPr>
          <w:fldChar w:fldCharType="begin"/>
        </w:r>
        <w:r w:rsidR="003E4210">
          <w:rPr>
            <w:noProof/>
            <w:webHidden/>
          </w:rPr>
          <w:instrText xml:space="preserve"> PAGEREF _Toc259717310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11" w:history="1">
        <w:r w:rsidR="003E4210" w:rsidRPr="005B500B">
          <w:rPr>
            <w:rStyle w:val="Hyperlink"/>
            <w:noProof/>
          </w:rPr>
          <w:t>21.3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Common parameters</w:t>
        </w:r>
        <w:r w:rsidR="003E4210">
          <w:rPr>
            <w:noProof/>
            <w:webHidden/>
          </w:rPr>
          <w:tab/>
        </w:r>
        <w:r>
          <w:rPr>
            <w:noProof/>
            <w:webHidden/>
          </w:rPr>
          <w:fldChar w:fldCharType="begin"/>
        </w:r>
        <w:r w:rsidR="003E4210">
          <w:rPr>
            <w:noProof/>
            <w:webHidden/>
          </w:rPr>
          <w:instrText xml:space="preserve"> PAGEREF _Toc259717311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2" w:history="1">
        <w:r w:rsidR="003E4210" w:rsidRPr="005B500B">
          <w:rPr>
            <w:rStyle w:val="Hyperlink"/>
            <w:noProof/>
          </w:rPr>
          <w:t>21.3.1 Channelization</w:t>
        </w:r>
        <w:r w:rsidR="003E4210">
          <w:rPr>
            <w:noProof/>
            <w:webHidden/>
          </w:rPr>
          <w:tab/>
        </w:r>
        <w:r>
          <w:rPr>
            <w:noProof/>
            <w:webHidden/>
          </w:rPr>
          <w:fldChar w:fldCharType="begin"/>
        </w:r>
        <w:r w:rsidR="003E4210">
          <w:rPr>
            <w:noProof/>
            <w:webHidden/>
          </w:rPr>
          <w:instrText xml:space="preserve"> PAGEREF _Toc259717312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3" w:history="1">
        <w:r w:rsidR="003E4210" w:rsidRPr="005B500B">
          <w:rPr>
            <w:rStyle w:val="Hyperlink"/>
            <w:noProof/>
          </w:rPr>
          <w:t>21.3.2 Transmit Mask</w:t>
        </w:r>
        <w:r w:rsidR="003E4210">
          <w:rPr>
            <w:noProof/>
            <w:webHidden/>
          </w:rPr>
          <w:tab/>
        </w:r>
        <w:r>
          <w:rPr>
            <w:noProof/>
            <w:webHidden/>
          </w:rPr>
          <w:fldChar w:fldCharType="begin"/>
        </w:r>
        <w:r w:rsidR="003E4210">
          <w:rPr>
            <w:noProof/>
            <w:webHidden/>
          </w:rPr>
          <w:instrText xml:space="preserve"> PAGEREF _Toc259717313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4" w:history="1">
        <w:r w:rsidR="003E4210" w:rsidRPr="005B500B">
          <w:rPr>
            <w:rStyle w:val="Hyperlink"/>
            <w:noProof/>
          </w:rPr>
          <w:t>21.3.3 Common requirements</w:t>
        </w:r>
        <w:r w:rsidR="003E4210">
          <w:rPr>
            <w:noProof/>
            <w:webHidden/>
          </w:rPr>
          <w:tab/>
        </w:r>
        <w:r>
          <w:rPr>
            <w:noProof/>
            <w:webHidden/>
          </w:rPr>
          <w:fldChar w:fldCharType="begin"/>
        </w:r>
        <w:r w:rsidR="003E4210">
          <w:rPr>
            <w:noProof/>
            <w:webHidden/>
          </w:rPr>
          <w:instrText xml:space="preserve"> PAGEREF _Toc259717314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15" w:history="1">
        <w:r w:rsidR="003E4210" w:rsidRPr="005B500B">
          <w:rPr>
            <w:rStyle w:val="Hyperlink"/>
            <w:noProof/>
          </w:rPr>
          <w:t>21.3.3.1 Tx RF Delay</w:t>
        </w:r>
        <w:r w:rsidR="003E4210">
          <w:rPr>
            <w:noProof/>
            <w:webHidden/>
          </w:rPr>
          <w:tab/>
        </w:r>
        <w:r>
          <w:rPr>
            <w:noProof/>
            <w:webHidden/>
          </w:rPr>
          <w:fldChar w:fldCharType="begin"/>
        </w:r>
        <w:r w:rsidR="003E4210">
          <w:rPr>
            <w:noProof/>
            <w:webHidden/>
          </w:rPr>
          <w:instrText xml:space="preserve"> PAGEREF _Toc259717315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16" w:history="1">
        <w:r w:rsidR="003E4210" w:rsidRPr="005B500B">
          <w:rPr>
            <w:rStyle w:val="Hyperlink"/>
            <w:noProof/>
          </w:rPr>
          <w:t>21.3.3.2 Transmit and Receive Operating Temperature Range</w:t>
        </w:r>
        <w:r w:rsidR="003E4210">
          <w:rPr>
            <w:noProof/>
            <w:webHidden/>
          </w:rPr>
          <w:tab/>
        </w:r>
        <w:r>
          <w:rPr>
            <w:noProof/>
            <w:webHidden/>
          </w:rPr>
          <w:fldChar w:fldCharType="begin"/>
        </w:r>
        <w:r w:rsidR="003E4210">
          <w:rPr>
            <w:noProof/>
            <w:webHidden/>
          </w:rPr>
          <w:instrText xml:space="preserve"> PAGEREF _Toc259717316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17" w:history="1">
        <w:r w:rsidR="003E4210" w:rsidRPr="005B500B">
          <w:rPr>
            <w:rStyle w:val="Hyperlink"/>
            <w:noProof/>
          </w:rPr>
          <w:t>21.3.3.3 Center Frequency Tolerance</w:t>
        </w:r>
        <w:r w:rsidR="003E4210">
          <w:rPr>
            <w:noProof/>
            <w:webHidden/>
          </w:rPr>
          <w:tab/>
        </w:r>
        <w:r>
          <w:rPr>
            <w:noProof/>
            <w:webHidden/>
          </w:rPr>
          <w:fldChar w:fldCharType="begin"/>
        </w:r>
        <w:r w:rsidR="003E4210">
          <w:rPr>
            <w:noProof/>
            <w:webHidden/>
          </w:rPr>
          <w:instrText xml:space="preserve"> PAGEREF _Toc259717317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18" w:history="1">
        <w:r w:rsidR="003E4210" w:rsidRPr="005B500B">
          <w:rPr>
            <w:rStyle w:val="Hyperlink"/>
            <w:noProof/>
          </w:rPr>
          <w:t>21.3.3.4 Symbol Clock Tolerance</w:t>
        </w:r>
        <w:r w:rsidR="003E4210">
          <w:rPr>
            <w:noProof/>
            <w:webHidden/>
          </w:rPr>
          <w:tab/>
        </w:r>
        <w:r>
          <w:rPr>
            <w:noProof/>
            <w:webHidden/>
          </w:rPr>
          <w:fldChar w:fldCharType="begin"/>
        </w:r>
        <w:r w:rsidR="003E4210">
          <w:rPr>
            <w:noProof/>
            <w:webHidden/>
          </w:rPr>
          <w:instrText xml:space="preserve"> PAGEREF _Toc259717318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19" w:history="1">
        <w:r w:rsidR="003E4210" w:rsidRPr="005B500B">
          <w:rPr>
            <w:rStyle w:val="Hyperlink"/>
            <w:noProof/>
          </w:rPr>
          <w:t>21.3.3.5 Tx Center Frequency Leakage</w:t>
        </w:r>
        <w:r w:rsidR="003E4210">
          <w:rPr>
            <w:noProof/>
            <w:webHidden/>
          </w:rPr>
          <w:tab/>
        </w:r>
        <w:r>
          <w:rPr>
            <w:noProof/>
            <w:webHidden/>
          </w:rPr>
          <w:fldChar w:fldCharType="begin"/>
        </w:r>
        <w:r w:rsidR="003E4210">
          <w:rPr>
            <w:noProof/>
            <w:webHidden/>
          </w:rPr>
          <w:instrText xml:space="preserve"> PAGEREF _Toc259717319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20" w:history="1">
        <w:r w:rsidR="003E4210" w:rsidRPr="005B500B">
          <w:rPr>
            <w:rStyle w:val="Hyperlink"/>
            <w:noProof/>
          </w:rPr>
          <w:t>21.3.3.6 Transmit Ramp up and Ramp Down</w:t>
        </w:r>
        <w:r w:rsidR="003E4210">
          <w:rPr>
            <w:noProof/>
            <w:webHidden/>
          </w:rPr>
          <w:tab/>
        </w:r>
        <w:r>
          <w:rPr>
            <w:noProof/>
            <w:webHidden/>
          </w:rPr>
          <w:fldChar w:fldCharType="begin"/>
        </w:r>
        <w:r w:rsidR="003E4210">
          <w:rPr>
            <w:noProof/>
            <w:webHidden/>
          </w:rPr>
          <w:instrText xml:space="preserve"> PAGEREF _Toc259717320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21" w:history="1">
        <w:r w:rsidR="003E4210" w:rsidRPr="005B500B">
          <w:rPr>
            <w:rStyle w:val="Hyperlink"/>
            <w:noProof/>
          </w:rPr>
          <w:t>21.3.3.7 Maximum Input Requirement</w:t>
        </w:r>
        <w:r w:rsidR="003E4210">
          <w:rPr>
            <w:noProof/>
            <w:webHidden/>
          </w:rPr>
          <w:tab/>
        </w:r>
        <w:r>
          <w:rPr>
            <w:noProof/>
            <w:webHidden/>
          </w:rPr>
          <w:fldChar w:fldCharType="begin"/>
        </w:r>
        <w:r w:rsidR="003E4210">
          <w:rPr>
            <w:noProof/>
            <w:webHidden/>
          </w:rPr>
          <w:instrText xml:space="preserve"> PAGEREF _Toc259717321 \h </w:instrText>
        </w:r>
        <w:r>
          <w:rPr>
            <w:noProof/>
            <w:webHidden/>
          </w:rPr>
        </w:r>
        <w:r>
          <w:rPr>
            <w:noProof/>
            <w:webHidden/>
          </w:rPr>
          <w:fldChar w:fldCharType="separate"/>
        </w:r>
        <w:r w:rsidR="003E4210">
          <w:rPr>
            <w:noProof/>
            <w:webHidden/>
          </w:rPr>
          <w:t>291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22" w:history="1">
        <w:r w:rsidR="003E4210" w:rsidRPr="005B500B">
          <w:rPr>
            <w:rStyle w:val="Hyperlink"/>
            <w:noProof/>
          </w:rPr>
          <w:t>21.3.3.8 Receive Sensitivity</w:t>
        </w:r>
        <w:r w:rsidR="003E4210">
          <w:rPr>
            <w:noProof/>
            <w:webHidden/>
          </w:rPr>
          <w:tab/>
        </w:r>
        <w:r>
          <w:rPr>
            <w:noProof/>
            <w:webHidden/>
          </w:rPr>
          <w:fldChar w:fldCharType="begin"/>
        </w:r>
        <w:r w:rsidR="003E4210">
          <w:rPr>
            <w:noProof/>
            <w:webHidden/>
          </w:rPr>
          <w:instrText xml:space="preserve"> PAGEREF _Toc259717322 \h </w:instrText>
        </w:r>
        <w:r>
          <w:rPr>
            <w:noProof/>
            <w:webHidden/>
          </w:rPr>
        </w:r>
        <w:r>
          <w:rPr>
            <w:noProof/>
            <w:webHidden/>
          </w:rPr>
          <w:fldChar w:fldCharType="separate"/>
        </w:r>
        <w:r w:rsidR="003E4210">
          <w:rPr>
            <w:noProof/>
            <w:webHidden/>
          </w:rPr>
          <w:t>291</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23" w:history="1">
        <w:r w:rsidR="003E4210" w:rsidRPr="005B500B">
          <w:rPr>
            <w:rStyle w:val="Hyperlink"/>
            <w:noProof/>
          </w:rPr>
          <w:t>21.3.4 Timing Related Parameters</w:t>
        </w:r>
        <w:r w:rsidR="003E4210">
          <w:rPr>
            <w:noProof/>
            <w:webHidden/>
          </w:rPr>
          <w:tab/>
        </w:r>
        <w:r>
          <w:rPr>
            <w:noProof/>
            <w:webHidden/>
          </w:rPr>
          <w:fldChar w:fldCharType="begin"/>
        </w:r>
        <w:r w:rsidR="003E4210">
          <w:rPr>
            <w:noProof/>
            <w:webHidden/>
          </w:rPr>
          <w:instrText xml:space="preserve"> PAGEREF _Toc259717323 \h </w:instrText>
        </w:r>
        <w:r>
          <w:rPr>
            <w:noProof/>
            <w:webHidden/>
          </w:rPr>
        </w:r>
        <w:r>
          <w:rPr>
            <w:noProof/>
            <w:webHidden/>
          </w:rPr>
          <w:fldChar w:fldCharType="separate"/>
        </w:r>
        <w:r w:rsidR="003E4210">
          <w:rPr>
            <w:noProof/>
            <w:webHidden/>
          </w:rPr>
          <w:t>292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24" w:history="1">
        <w:r w:rsidR="003E4210" w:rsidRPr="005B500B">
          <w:rPr>
            <w:rStyle w:val="Hyperlink"/>
            <w:noProof/>
          </w:rPr>
          <w:t>21.3.5 Mathematical conventions in the signal description</w:t>
        </w:r>
        <w:r w:rsidR="003E4210">
          <w:rPr>
            <w:noProof/>
            <w:webHidden/>
          </w:rPr>
          <w:tab/>
        </w:r>
        <w:r>
          <w:rPr>
            <w:noProof/>
            <w:webHidden/>
          </w:rPr>
          <w:fldChar w:fldCharType="begin"/>
        </w:r>
        <w:r w:rsidR="003E4210">
          <w:rPr>
            <w:noProof/>
            <w:webHidden/>
          </w:rPr>
          <w:instrText xml:space="preserve"> PAGEREF _Toc259717324 \h </w:instrText>
        </w:r>
        <w:r>
          <w:rPr>
            <w:noProof/>
            <w:webHidden/>
          </w:rPr>
        </w:r>
        <w:r>
          <w:rPr>
            <w:noProof/>
            <w:webHidden/>
          </w:rPr>
          <w:fldChar w:fldCharType="separate"/>
        </w:r>
        <w:r w:rsidR="003E4210">
          <w:rPr>
            <w:noProof/>
            <w:webHidden/>
          </w:rPr>
          <w:t>293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25" w:history="1">
        <w:r w:rsidR="003E4210" w:rsidRPr="005B500B">
          <w:rPr>
            <w:rStyle w:val="Hyperlink"/>
            <w:noProof/>
          </w:rPr>
          <w:t>21.3.5.1 The windowing function</w:t>
        </w:r>
        <w:r w:rsidR="003E4210">
          <w:rPr>
            <w:noProof/>
            <w:webHidden/>
          </w:rPr>
          <w:tab/>
        </w:r>
        <w:r>
          <w:rPr>
            <w:noProof/>
            <w:webHidden/>
          </w:rPr>
          <w:fldChar w:fldCharType="begin"/>
        </w:r>
        <w:r w:rsidR="003E4210">
          <w:rPr>
            <w:noProof/>
            <w:webHidden/>
          </w:rPr>
          <w:instrText xml:space="preserve"> PAGEREF _Toc259717325 \h </w:instrText>
        </w:r>
        <w:r>
          <w:rPr>
            <w:noProof/>
            <w:webHidden/>
          </w:rPr>
        </w:r>
        <w:r>
          <w:rPr>
            <w:noProof/>
            <w:webHidden/>
          </w:rPr>
          <w:fldChar w:fldCharType="separate"/>
        </w:r>
        <w:r w:rsidR="003E4210">
          <w:rPr>
            <w:noProof/>
            <w:webHidden/>
          </w:rPr>
          <w:t>294</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26" w:history="1">
        <w:r w:rsidR="003E4210" w:rsidRPr="005B500B">
          <w:rPr>
            <w:rStyle w:val="Hyperlink"/>
            <w:noProof/>
          </w:rPr>
          <w:t>21.3.6 A Common Preamble</w:t>
        </w:r>
        <w:r w:rsidR="003E4210">
          <w:rPr>
            <w:noProof/>
            <w:webHidden/>
          </w:rPr>
          <w:tab/>
        </w:r>
        <w:r>
          <w:rPr>
            <w:noProof/>
            <w:webHidden/>
          </w:rPr>
          <w:fldChar w:fldCharType="begin"/>
        </w:r>
        <w:r w:rsidR="003E4210">
          <w:rPr>
            <w:noProof/>
            <w:webHidden/>
          </w:rPr>
          <w:instrText xml:space="preserve"> PAGEREF _Toc259717326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27" w:history="1">
        <w:r w:rsidR="003E4210" w:rsidRPr="005B500B">
          <w:rPr>
            <w:rStyle w:val="Hyperlink"/>
            <w:noProof/>
          </w:rPr>
          <w:t>21.3.6.1 The Short Training field</w:t>
        </w:r>
        <w:r w:rsidR="003E4210">
          <w:rPr>
            <w:noProof/>
            <w:webHidden/>
          </w:rPr>
          <w:tab/>
        </w:r>
        <w:r>
          <w:rPr>
            <w:noProof/>
            <w:webHidden/>
          </w:rPr>
          <w:fldChar w:fldCharType="begin"/>
        </w:r>
        <w:r w:rsidR="003E4210">
          <w:rPr>
            <w:noProof/>
            <w:webHidden/>
          </w:rPr>
          <w:instrText xml:space="preserve"> PAGEREF _Toc259717327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28" w:history="1">
        <w:r w:rsidR="003E4210" w:rsidRPr="005B500B">
          <w:rPr>
            <w:rStyle w:val="Hyperlink"/>
            <w:noProof/>
          </w:rPr>
          <w:t>21.3.6.2 The Channel Estimation field</w:t>
        </w:r>
        <w:r w:rsidR="003E4210">
          <w:rPr>
            <w:noProof/>
            <w:webHidden/>
          </w:rPr>
          <w:tab/>
        </w:r>
        <w:r>
          <w:rPr>
            <w:noProof/>
            <w:webHidden/>
          </w:rPr>
          <w:fldChar w:fldCharType="begin"/>
        </w:r>
        <w:r w:rsidR="003E4210">
          <w:rPr>
            <w:noProof/>
            <w:webHidden/>
          </w:rPr>
          <w:instrText xml:space="preserve"> PAGEREF _Toc259717328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29" w:history="1">
        <w:r w:rsidR="003E4210" w:rsidRPr="005B500B">
          <w:rPr>
            <w:rStyle w:val="Hyperlink"/>
            <w:noProof/>
          </w:rPr>
          <w:t>21.3.6.3 Transmission of the Preamble in an OFDM packet</w:t>
        </w:r>
        <w:r w:rsidR="003E4210">
          <w:rPr>
            <w:noProof/>
            <w:webHidden/>
          </w:rPr>
          <w:tab/>
        </w:r>
        <w:r>
          <w:rPr>
            <w:noProof/>
            <w:webHidden/>
          </w:rPr>
          <w:fldChar w:fldCharType="begin"/>
        </w:r>
        <w:r w:rsidR="003E4210">
          <w:rPr>
            <w:noProof/>
            <w:webHidden/>
          </w:rPr>
          <w:instrText xml:space="preserve"> PAGEREF _Toc259717329 \h </w:instrText>
        </w:r>
        <w:r>
          <w:rPr>
            <w:noProof/>
            <w:webHidden/>
          </w:rPr>
        </w:r>
        <w:r>
          <w:rPr>
            <w:noProof/>
            <w:webHidden/>
          </w:rPr>
          <w:fldChar w:fldCharType="separate"/>
        </w:r>
        <w:r w:rsidR="003E4210">
          <w:rPr>
            <w:noProof/>
            <w:webHidden/>
          </w:rPr>
          <w:t>296</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30" w:history="1">
        <w:r w:rsidR="003E4210" w:rsidRPr="005B500B">
          <w:rPr>
            <w:rStyle w:val="Hyperlink"/>
            <w:noProof/>
          </w:rPr>
          <w:t>21.3.6.3.1 hfilt definition</w:t>
        </w:r>
        <w:r w:rsidR="003E4210">
          <w:rPr>
            <w:noProof/>
            <w:webHidden/>
          </w:rPr>
          <w:tab/>
        </w:r>
        <w:r>
          <w:rPr>
            <w:noProof/>
            <w:webHidden/>
          </w:rPr>
          <w:fldChar w:fldCharType="begin"/>
        </w:r>
        <w:r w:rsidR="003E4210">
          <w:rPr>
            <w:noProof/>
            <w:webHidden/>
          </w:rPr>
          <w:instrText xml:space="preserve"> PAGEREF _Toc259717330 \h </w:instrText>
        </w:r>
        <w:r>
          <w:rPr>
            <w:noProof/>
            <w:webHidden/>
          </w:rPr>
        </w:r>
        <w:r>
          <w:rPr>
            <w:noProof/>
            <w:webHidden/>
          </w:rPr>
          <w:fldChar w:fldCharType="separate"/>
        </w:r>
        <w:r w:rsidR="003E4210">
          <w:rPr>
            <w:noProof/>
            <w:webHidden/>
          </w:rPr>
          <w:t>297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1" w:history="1">
        <w:r w:rsidR="003E4210" w:rsidRPr="005B500B">
          <w:rPr>
            <w:rStyle w:val="Hyperlink"/>
            <w:noProof/>
          </w:rPr>
          <w:t>21.3.7 HCS calculation for headers of OFDM PHY and SC PHY</w:t>
        </w:r>
        <w:r w:rsidR="003E4210">
          <w:rPr>
            <w:noProof/>
            <w:webHidden/>
          </w:rPr>
          <w:tab/>
        </w:r>
        <w:r>
          <w:rPr>
            <w:noProof/>
            <w:webHidden/>
          </w:rPr>
          <w:fldChar w:fldCharType="begin"/>
        </w:r>
        <w:r w:rsidR="003E4210">
          <w:rPr>
            <w:noProof/>
            <w:webHidden/>
          </w:rPr>
          <w:instrText xml:space="preserve"> PAGEREF _Toc259717331 \h </w:instrText>
        </w:r>
        <w:r>
          <w:rPr>
            <w:noProof/>
            <w:webHidden/>
          </w:rPr>
        </w:r>
        <w:r>
          <w:rPr>
            <w:noProof/>
            <w:webHidden/>
          </w:rPr>
          <w:fldChar w:fldCharType="separate"/>
        </w:r>
        <w:r w:rsidR="003E4210">
          <w:rPr>
            <w:noProof/>
            <w:webHidden/>
          </w:rPr>
          <w:t>297</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2" w:history="1">
        <w:r w:rsidR="003E4210" w:rsidRPr="005B500B">
          <w:rPr>
            <w:rStyle w:val="Hyperlink"/>
            <w:noProof/>
          </w:rPr>
          <w:t>21.3.8 Common LDPC parity matrices</w:t>
        </w:r>
        <w:r w:rsidR="003E4210">
          <w:rPr>
            <w:noProof/>
            <w:webHidden/>
          </w:rPr>
          <w:tab/>
        </w:r>
        <w:r>
          <w:rPr>
            <w:noProof/>
            <w:webHidden/>
          </w:rPr>
          <w:fldChar w:fldCharType="begin"/>
        </w:r>
        <w:r w:rsidR="003E4210">
          <w:rPr>
            <w:noProof/>
            <w:webHidden/>
          </w:rPr>
          <w:instrText xml:space="preserve"> PAGEREF _Toc259717332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33" w:history="1">
        <w:r w:rsidR="003E4210" w:rsidRPr="005B500B">
          <w:rPr>
            <w:rStyle w:val="Hyperlink"/>
            <w:noProof/>
          </w:rPr>
          <w:t>21.3.8.1 Rate-1/2 LDPC code matrix H = 336 rows x 672 columns, Z = 42</w:t>
        </w:r>
        <w:r w:rsidR="003E4210">
          <w:rPr>
            <w:noProof/>
            <w:webHidden/>
          </w:rPr>
          <w:tab/>
        </w:r>
        <w:r>
          <w:rPr>
            <w:noProof/>
            <w:webHidden/>
          </w:rPr>
          <w:fldChar w:fldCharType="begin"/>
        </w:r>
        <w:r w:rsidR="003E4210">
          <w:rPr>
            <w:noProof/>
            <w:webHidden/>
          </w:rPr>
          <w:instrText xml:space="preserve"> PAGEREF _Toc259717333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34" w:history="1">
        <w:r w:rsidR="003E4210" w:rsidRPr="005B500B">
          <w:rPr>
            <w:rStyle w:val="Hyperlink"/>
            <w:noProof/>
          </w:rPr>
          <w:t>21.3.8.2 Rate-5/8 LDPC code matrix H = 252 rows x 672 columns, Z = 42</w:t>
        </w:r>
        <w:r w:rsidR="003E4210">
          <w:rPr>
            <w:noProof/>
            <w:webHidden/>
          </w:rPr>
          <w:tab/>
        </w:r>
        <w:r>
          <w:rPr>
            <w:noProof/>
            <w:webHidden/>
          </w:rPr>
          <w:fldChar w:fldCharType="begin"/>
        </w:r>
        <w:r w:rsidR="003E4210">
          <w:rPr>
            <w:noProof/>
            <w:webHidden/>
          </w:rPr>
          <w:instrText xml:space="preserve"> PAGEREF _Toc259717334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35" w:history="1">
        <w:r w:rsidR="003E4210" w:rsidRPr="005B500B">
          <w:rPr>
            <w:rStyle w:val="Hyperlink"/>
            <w:noProof/>
          </w:rPr>
          <w:t>21.3.8.3 Rate-3/4 LDPC code matrix H = 168 rows x 672 columns, Z = 42</w:t>
        </w:r>
        <w:r w:rsidR="003E4210">
          <w:rPr>
            <w:noProof/>
            <w:webHidden/>
          </w:rPr>
          <w:tab/>
        </w:r>
        <w:r>
          <w:rPr>
            <w:noProof/>
            <w:webHidden/>
          </w:rPr>
          <w:fldChar w:fldCharType="begin"/>
        </w:r>
        <w:r w:rsidR="003E4210">
          <w:rPr>
            <w:noProof/>
            <w:webHidden/>
          </w:rPr>
          <w:instrText xml:space="preserve"> PAGEREF _Toc259717335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36" w:history="1">
        <w:r w:rsidR="003E4210" w:rsidRPr="005B500B">
          <w:rPr>
            <w:rStyle w:val="Hyperlink"/>
            <w:noProof/>
          </w:rPr>
          <w:t>21.3.8.4 Rate-13/16 LDPC code matrix H = 126 rows x 672 columns, Z = 42</w:t>
        </w:r>
        <w:r w:rsidR="003E4210">
          <w:rPr>
            <w:noProof/>
            <w:webHidden/>
          </w:rPr>
          <w:tab/>
        </w:r>
        <w:r>
          <w:rPr>
            <w:noProof/>
            <w:webHidden/>
          </w:rPr>
          <w:fldChar w:fldCharType="begin"/>
        </w:r>
        <w:r w:rsidR="003E4210">
          <w:rPr>
            <w:noProof/>
            <w:webHidden/>
          </w:rPr>
          <w:instrText xml:space="preserve"> PAGEREF _Toc259717336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7" w:history="1">
        <w:r w:rsidR="003E4210" w:rsidRPr="005B500B">
          <w:rPr>
            <w:rStyle w:val="Hyperlink"/>
            <w:noProof/>
          </w:rPr>
          <w:t>21.3.9 Scrambler</w:t>
        </w:r>
        <w:r w:rsidR="003E4210">
          <w:rPr>
            <w:noProof/>
            <w:webHidden/>
          </w:rPr>
          <w:tab/>
        </w:r>
        <w:r>
          <w:rPr>
            <w:noProof/>
            <w:webHidden/>
          </w:rPr>
          <w:fldChar w:fldCharType="begin"/>
        </w:r>
        <w:r w:rsidR="003E4210">
          <w:rPr>
            <w:noProof/>
            <w:webHidden/>
          </w:rPr>
          <w:instrText xml:space="preserve"> PAGEREF _Toc259717337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38" w:history="1">
        <w:r w:rsidR="003E4210" w:rsidRPr="005B500B">
          <w:rPr>
            <w:rStyle w:val="Hyperlink"/>
            <w:rFonts w:eastAsia="MS Mincho"/>
            <w:noProof/>
          </w:rPr>
          <w:t>21.4</w:t>
        </w:r>
        <w:r w:rsidR="003E4210">
          <w:rPr>
            <w:rFonts w:asciiTheme="minorHAnsi" w:eastAsiaTheme="minorEastAsia" w:hAnsiTheme="minorHAnsi" w:cstheme="minorBidi"/>
            <w:smallCaps w:val="0"/>
            <w:noProof/>
            <w:sz w:val="22"/>
            <w:szCs w:val="22"/>
            <w:lang w:bidi="ar-SA"/>
          </w:rPr>
          <w:tab/>
        </w:r>
        <w:r w:rsidR="003E4210" w:rsidRPr="005B500B">
          <w:rPr>
            <w:rStyle w:val="Hyperlink"/>
            <w:rFonts w:eastAsia="MS Mincho"/>
            <w:noProof/>
          </w:rPr>
          <w:t>mmWave Control PHY</w:t>
        </w:r>
        <w:r w:rsidR="003E4210">
          <w:rPr>
            <w:noProof/>
            <w:webHidden/>
          </w:rPr>
          <w:tab/>
        </w:r>
        <w:r>
          <w:rPr>
            <w:noProof/>
            <w:webHidden/>
          </w:rPr>
          <w:fldChar w:fldCharType="begin"/>
        </w:r>
        <w:r w:rsidR="003E4210">
          <w:rPr>
            <w:noProof/>
            <w:webHidden/>
          </w:rPr>
          <w:instrText xml:space="preserve"> PAGEREF _Toc259717338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9" w:history="1">
        <w:r w:rsidR="003E4210" w:rsidRPr="005B500B">
          <w:rPr>
            <w:rStyle w:val="Hyperlink"/>
            <w:rFonts w:eastAsia="MS Mincho"/>
            <w:noProof/>
          </w:rPr>
          <w:t>21.4.1 Introduction</w:t>
        </w:r>
        <w:r w:rsidR="003E4210">
          <w:rPr>
            <w:noProof/>
            <w:webHidden/>
          </w:rPr>
          <w:tab/>
        </w:r>
        <w:r>
          <w:rPr>
            <w:noProof/>
            <w:webHidden/>
          </w:rPr>
          <w:fldChar w:fldCharType="begin"/>
        </w:r>
        <w:r w:rsidR="003E4210">
          <w:rPr>
            <w:noProof/>
            <w:webHidden/>
          </w:rPr>
          <w:instrText xml:space="preserve"> PAGEREF _Toc259717339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40" w:history="1">
        <w:r w:rsidR="003E4210" w:rsidRPr="005B500B">
          <w:rPr>
            <w:rStyle w:val="Hyperlink"/>
            <w:rFonts w:eastAsia="MS Mincho"/>
            <w:noProof/>
          </w:rPr>
          <w:t>21.4.2 Frame Format</w:t>
        </w:r>
        <w:r w:rsidR="003E4210">
          <w:rPr>
            <w:noProof/>
            <w:webHidden/>
          </w:rPr>
          <w:tab/>
        </w:r>
        <w:r>
          <w:rPr>
            <w:noProof/>
            <w:webHidden/>
          </w:rPr>
          <w:fldChar w:fldCharType="begin"/>
        </w:r>
        <w:r w:rsidR="003E4210">
          <w:rPr>
            <w:noProof/>
            <w:webHidden/>
          </w:rPr>
          <w:instrText xml:space="preserve"> PAGEREF _Toc259717340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41" w:history="1">
        <w:r w:rsidR="003E4210" w:rsidRPr="005B500B">
          <w:rPr>
            <w:rStyle w:val="Hyperlink"/>
            <w:rFonts w:eastAsia="MS Mincho"/>
            <w:noProof/>
          </w:rPr>
          <w:t>21.4.3 Transmission</w:t>
        </w:r>
        <w:r w:rsidR="003E4210">
          <w:rPr>
            <w:noProof/>
            <w:webHidden/>
          </w:rPr>
          <w:tab/>
        </w:r>
        <w:r>
          <w:rPr>
            <w:noProof/>
            <w:webHidden/>
          </w:rPr>
          <w:fldChar w:fldCharType="begin"/>
        </w:r>
        <w:r w:rsidR="003E4210">
          <w:rPr>
            <w:noProof/>
            <w:webHidden/>
          </w:rPr>
          <w:instrText xml:space="preserve"> PAGEREF _Toc259717341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42" w:history="1">
        <w:r w:rsidR="003E4210" w:rsidRPr="005B500B">
          <w:rPr>
            <w:rStyle w:val="Hyperlink"/>
            <w:noProof/>
          </w:rPr>
          <w:t>21.4.3.1 Preamble</w:t>
        </w:r>
        <w:r w:rsidR="003E4210">
          <w:rPr>
            <w:noProof/>
            <w:webHidden/>
          </w:rPr>
          <w:tab/>
        </w:r>
        <w:r>
          <w:rPr>
            <w:noProof/>
            <w:webHidden/>
          </w:rPr>
          <w:fldChar w:fldCharType="begin"/>
        </w:r>
        <w:r w:rsidR="003E4210">
          <w:rPr>
            <w:noProof/>
            <w:webHidden/>
          </w:rPr>
          <w:instrText xml:space="preserve"> PAGEREF _Toc259717342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43" w:history="1">
        <w:r w:rsidR="003E4210" w:rsidRPr="005B500B">
          <w:rPr>
            <w:rStyle w:val="Hyperlink"/>
            <w:noProof/>
          </w:rPr>
          <w:t>21.4.3.1.1 Short Training field</w:t>
        </w:r>
        <w:r w:rsidR="003E4210">
          <w:rPr>
            <w:noProof/>
            <w:webHidden/>
          </w:rPr>
          <w:tab/>
        </w:r>
        <w:r>
          <w:rPr>
            <w:noProof/>
            <w:webHidden/>
          </w:rPr>
          <w:fldChar w:fldCharType="begin"/>
        </w:r>
        <w:r w:rsidR="003E4210">
          <w:rPr>
            <w:noProof/>
            <w:webHidden/>
          </w:rPr>
          <w:instrText xml:space="preserve"> PAGEREF _Toc259717343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44" w:history="1">
        <w:r w:rsidR="003E4210" w:rsidRPr="005B500B">
          <w:rPr>
            <w:rStyle w:val="Hyperlink"/>
            <w:noProof/>
          </w:rPr>
          <w:t>21.4.3.1.2 Channel Estimation field</w:t>
        </w:r>
        <w:r w:rsidR="003E4210">
          <w:rPr>
            <w:noProof/>
            <w:webHidden/>
          </w:rPr>
          <w:tab/>
        </w:r>
        <w:r>
          <w:rPr>
            <w:noProof/>
            <w:webHidden/>
          </w:rPr>
          <w:fldChar w:fldCharType="begin"/>
        </w:r>
        <w:r w:rsidR="003E4210">
          <w:rPr>
            <w:noProof/>
            <w:webHidden/>
          </w:rPr>
          <w:instrText xml:space="preserve"> PAGEREF _Toc259717344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45" w:history="1">
        <w:r w:rsidR="003E4210" w:rsidRPr="005B500B">
          <w:rPr>
            <w:rStyle w:val="Hyperlink"/>
            <w:noProof/>
          </w:rPr>
          <w:t>21.4.3.2 Header</w:t>
        </w:r>
        <w:r w:rsidR="003E4210">
          <w:rPr>
            <w:noProof/>
            <w:webHidden/>
          </w:rPr>
          <w:tab/>
        </w:r>
        <w:r>
          <w:rPr>
            <w:noProof/>
            <w:webHidden/>
          </w:rPr>
          <w:fldChar w:fldCharType="begin"/>
        </w:r>
        <w:r w:rsidR="003E4210">
          <w:rPr>
            <w:noProof/>
            <w:webHidden/>
          </w:rPr>
          <w:instrText xml:space="preserve"> PAGEREF _Toc259717345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46" w:history="1">
        <w:r w:rsidR="003E4210" w:rsidRPr="005B500B">
          <w:rPr>
            <w:rStyle w:val="Hyperlink"/>
            <w:noProof/>
          </w:rPr>
          <w:t>21.4.3.2.1 Generation of HCS bits</w:t>
        </w:r>
        <w:r w:rsidR="003E4210">
          <w:rPr>
            <w:noProof/>
            <w:webHidden/>
          </w:rPr>
          <w:tab/>
        </w:r>
        <w:r>
          <w:rPr>
            <w:noProof/>
            <w:webHidden/>
          </w:rPr>
          <w:fldChar w:fldCharType="begin"/>
        </w:r>
        <w:r w:rsidR="003E4210">
          <w:rPr>
            <w:noProof/>
            <w:webHidden/>
          </w:rPr>
          <w:instrText xml:space="preserve"> PAGEREF _Toc259717346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47" w:history="1">
        <w:r w:rsidR="003E4210" w:rsidRPr="005B500B">
          <w:rPr>
            <w:rStyle w:val="Hyperlink"/>
            <w:noProof/>
          </w:rPr>
          <w:t>21.4.3.2.2 Header Encoding and Modulation</w:t>
        </w:r>
        <w:r w:rsidR="003E4210">
          <w:rPr>
            <w:noProof/>
            <w:webHidden/>
          </w:rPr>
          <w:tab/>
        </w:r>
        <w:r>
          <w:rPr>
            <w:noProof/>
            <w:webHidden/>
          </w:rPr>
          <w:fldChar w:fldCharType="begin"/>
        </w:r>
        <w:r w:rsidR="003E4210">
          <w:rPr>
            <w:noProof/>
            <w:webHidden/>
          </w:rPr>
          <w:instrText xml:space="preserve"> PAGEREF _Toc259717347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48" w:history="1">
        <w:r w:rsidR="003E4210" w:rsidRPr="005B500B">
          <w:rPr>
            <w:rStyle w:val="Hyperlink"/>
            <w:noProof/>
          </w:rPr>
          <w:t>21.4.3.3 Data field</w:t>
        </w:r>
        <w:r w:rsidR="003E4210">
          <w:rPr>
            <w:noProof/>
            <w:webHidden/>
          </w:rPr>
          <w:tab/>
        </w:r>
        <w:r>
          <w:rPr>
            <w:noProof/>
            <w:webHidden/>
          </w:rPr>
          <w:fldChar w:fldCharType="begin"/>
        </w:r>
        <w:r w:rsidR="003E4210">
          <w:rPr>
            <w:noProof/>
            <w:webHidden/>
          </w:rPr>
          <w:instrText xml:space="preserve"> PAGEREF _Toc259717348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49" w:history="1">
        <w:r w:rsidR="003E4210" w:rsidRPr="005B500B">
          <w:rPr>
            <w:rStyle w:val="Hyperlink"/>
            <w:noProof/>
          </w:rPr>
          <w:t>21.4.3.3.1 Scrambler</w:t>
        </w:r>
        <w:r w:rsidR="003E4210">
          <w:rPr>
            <w:noProof/>
            <w:webHidden/>
          </w:rPr>
          <w:tab/>
        </w:r>
        <w:r>
          <w:rPr>
            <w:noProof/>
            <w:webHidden/>
          </w:rPr>
          <w:fldChar w:fldCharType="begin"/>
        </w:r>
        <w:r w:rsidR="003E4210">
          <w:rPr>
            <w:noProof/>
            <w:webHidden/>
          </w:rPr>
          <w:instrText xml:space="preserve"> PAGEREF _Toc259717349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50" w:history="1">
        <w:r w:rsidR="003E4210" w:rsidRPr="005B500B">
          <w:rPr>
            <w:rStyle w:val="Hyperlink"/>
            <w:noProof/>
          </w:rPr>
          <w:t>21.4.3.3.2 Encoder</w:t>
        </w:r>
        <w:r w:rsidR="003E4210">
          <w:rPr>
            <w:noProof/>
            <w:webHidden/>
          </w:rPr>
          <w:tab/>
        </w:r>
        <w:r>
          <w:rPr>
            <w:noProof/>
            <w:webHidden/>
          </w:rPr>
          <w:fldChar w:fldCharType="begin"/>
        </w:r>
        <w:r w:rsidR="003E4210">
          <w:rPr>
            <w:noProof/>
            <w:webHidden/>
          </w:rPr>
          <w:instrText xml:space="preserve"> PAGEREF _Toc259717350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51" w:history="1">
        <w:r w:rsidR="003E4210" w:rsidRPr="005B500B">
          <w:rPr>
            <w:rStyle w:val="Hyperlink"/>
            <w:noProof/>
          </w:rPr>
          <w:t>21.4.3.3.3 Modulation</w:t>
        </w:r>
        <w:r w:rsidR="003E4210">
          <w:rPr>
            <w:noProof/>
            <w:webHidden/>
          </w:rPr>
          <w:tab/>
        </w:r>
        <w:r>
          <w:rPr>
            <w:noProof/>
            <w:webHidden/>
          </w:rPr>
          <w:fldChar w:fldCharType="begin"/>
        </w:r>
        <w:r w:rsidR="003E4210">
          <w:rPr>
            <w:noProof/>
            <w:webHidden/>
          </w:rPr>
          <w:instrText xml:space="preserve"> PAGEREF _Toc259717351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52" w:history="1">
        <w:r w:rsidR="003E4210" w:rsidRPr="005B500B">
          <w:rPr>
            <w:rStyle w:val="Hyperlink"/>
            <w:noProof/>
          </w:rPr>
          <w:t>21.4.3.3.4 Spreading</w:t>
        </w:r>
        <w:r w:rsidR="003E4210">
          <w:rPr>
            <w:noProof/>
            <w:webHidden/>
          </w:rPr>
          <w:tab/>
        </w:r>
        <w:r>
          <w:rPr>
            <w:noProof/>
            <w:webHidden/>
          </w:rPr>
          <w:fldChar w:fldCharType="begin"/>
        </w:r>
        <w:r w:rsidR="003E4210">
          <w:rPr>
            <w:noProof/>
            <w:webHidden/>
          </w:rPr>
          <w:instrText xml:space="preserve"> PAGEREF _Toc259717352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53" w:history="1">
        <w:r w:rsidR="003E4210" w:rsidRPr="005B500B">
          <w:rPr>
            <w:rStyle w:val="Hyperlink"/>
            <w:rFonts w:eastAsia="MS Mincho"/>
            <w:noProof/>
          </w:rPr>
          <w:t>21.4.4 Performance requirements</w:t>
        </w:r>
        <w:r w:rsidR="003E4210">
          <w:rPr>
            <w:noProof/>
            <w:webHidden/>
          </w:rPr>
          <w:tab/>
        </w:r>
        <w:r>
          <w:rPr>
            <w:noProof/>
            <w:webHidden/>
          </w:rPr>
          <w:fldChar w:fldCharType="begin"/>
        </w:r>
        <w:r w:rsidR="003E4210">
          <w:rPr>
            <w:noProof/>
            <w:webHidden/>
          </w:rPr>
          <w:instrText xml:space="preserve"> PAGEREF _Toc259717353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54" w:history="1">
        <w:r w:rsidR="003E4210" w:rsidRPr="005B500B">
          <w:rPr>
            <w:rStyle w:val="Hyperlink"/>
            <w:noProof/>
          </w:rPr>
          <w:t>21.4.4.1 Transmit Requirements</w:t>
        </w:r>
        <w:r w:rsidR="003E4210">
          <w:rPr>
            <w:noProof/>
            <w:webHidden/>
          </w:rPr>
          <w:tab/>
        </w:r>
        <w:r>
          <w:rPr>
            <w:noProof/>
            <w:webHidden/>
          </w:rPr>
          <w:fldChar w:fldCharType="begin"/>
        </w:r>
        <w:r w:rsidR="003E4210">
          <w:rPr>
            <w:noProof/>
            <w:webHidden/>
          </w:rPr>
          <w:instrText xml:space="preserve"> PAGEREF _Toc259717354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55" w:history="1">
        <w:r w:rsidR="003E4210" w:rsidRPr="005B500B">
          <w:rPr>
            <w:rStyle w:val="Hyperlink"/>
            <w:noProof/>
          </w:rPr>
          <w:t>21.4.4.1.1 Transmit EVM</w:t>
        </w:r>
        <w:r w:rsidR="003E4210">
          <w:rPr>
            <w:noProof/>
            <w:webHidden/>
          </w:rPr>
          <w:tab/>
        </w:r>
        <w:r>
          <w:rPr>
            <w:noProof/>
            <w:webHidden/>
          </w:rPr>
          <w:fldChar w:fldCharType="begin"/>
        </w:r>
        <w:r w:rsidR="003E4210">
          <w:rPr>
            <w:noProof/>
            <w:webHidden/>
          </w:rPr>
          <w:instrText xml:space="preserve"> PAGEREF _Toc259717355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56" w:history="1">
        <w:r w:rsidR="003E4210" w:rsidRPr="005B500B">
          <w:rPr>
            <w:rStyle w:val="Hyperlink"/>
            <w:noProof/>
          </w:rPr>
          <w:t>21.4.4.2 Rx Requirements</w:t>
        </w:r>
        <w:r w:rsidR="003E4210">
          <w:rPr>
            <w:noProof/>
            <w:webHidden/>
          </w:rPr>
          <w:tab/>
        </w:r>
        <w:r>
          <w:rPr>
            <w:noProof/>
            <w:webHidden/>
          </w:rPr>
          <w:fldChar w:fldCharType="begin"/>
        </w:r>
        <w:r w:rsidR="003E4210">
          <w:rPr>
            <w:noProof/>
            <w:webHidden/>
          </w:rPr>
          <w:instrText xml:space="preserve"> PAGEREF _Toc259717356 \h </w:instrText>
        </w:r>
        <w:r>
          <w:rPr>
            <w:noProof/>
            <w:webHidden/>
          </w:rPr>
        </w:r>
        <w:r>
          <w:rPr>
            <w:noProof/>
            <w:webHidden/>
          </w:rPr>
          <w:fldChar w:fldCharType="separate"/>
        </w:r>
        <w:r w:rsidR="003E4210">
          <w:rPr>
            <w:noProof/>
            <w:webHidden/>
          </w:rPr>
          <w:t>304</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57" w:history="1">
        <w:r w:rsidR="003E4210" w:rsidRPr="005B500B">
          <w:rPr>
            <w:rStyle w:val="Hyperlink"/>
            <w:noProof/>
          </w:rPr>
          <w:t>21.4.4.2.1 CCA</w:t>
        </w:r>
        <w:r w:rsidR="003E4210">
          <w:rPr>
            <w:noProof/>
            <w:webHidden/>
          </w:rPr>
          <w:tab/>
        </w:r>
        <w:r>
          <w:rPr>
            <w:noProof/>
            <w:webHidden/>
          </w:rPr>
          <w:fldChar w:fldCharType="begin"/>
        </w:r>
        <w:r w:rsidR="003E4210">
          <w:rPr>
            <w:noProof/>
            <w:webHidden/>
          </w:rPr>
          <w:instrText xml:space="preserve"> PAGEREF _Toc259717357 \h </w:instrText>
        </w:r>
        <w:r>
          <w:rPr>
            <w:noProof/>
            <w:webHidden/>
          </w:rPr>
        </w:r>
        <w:r>
          <w:rPr>
            <w:noProof/>
            <w:webHidden/>
          </w:rPr>
          <w:fldChar w:fldCharType="separate"/>
        </w:r>
        <w:r w:rsidR="003E4210">
          <w:rPr>
            <w:noProof/>
            <w:webHidden/>
          </w:rPr>
          <w:t>304</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58" w:history="1">
        <w:r w:rsidR="003E4210" w:rsidRPr="005B500B">
          <w:rPr>
            <w:rStyle w:val="Hyperlink"/>
            <w:noProof/>
            <w:lang w:eastAsia="ja-JP"/>
          </w:rPr>
          <w:t>21.5</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OFDM PHY</w:t>
        </w:r>
        <w:r w:rsidR="003E4210">
          <w:rPr>
            <w:noProof/>
            <w:webHidden/>
          </w:rPr>
          <w:tab/>
        </w:r>
        <w:r>
          <w:rPr>
            <w:noProof/>
            <w:webHidden/>
          </w:rPr>
          <w:fldChar w:fldCharType="begin"/>
        </w:r>
        <w:r w:rsidR="003E4210">
          <w:rPr>
            <w:noProof/>
            <w:webHidden/>
          </w:rPr>
          <w:instrText xml:space="preserve"> PAGEREF _Toc259717358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59" w:history="1">
        <w:r w:rsidR="003E4210" w:rsidRPr="005B500B">
          <w:rPr>
            <w:rStyle w:val="Hyperlink"/>
            <w:noProof/>
          </w:rPr>
          <w:t>21.5.1 Introduction</w:t>
        </w:r>
        <w:r w:rsidR="003E4210">
          <w:rPr>
            <w:noProof/>
            <w:webHidden/>
          </w:rPr>
          <w:tab/>
        </w:r>
        <w:r>
          <w:rPr>
            <w:noProof/>
            <w:webHidden/>
          </w:rPr>
          <w:fldChar w:fldCharType="begin"/>
        </w:r>
        <w:r w:rsidR="003E4210">
          <w:rPr>
            <w:noProof/>
            <w:webHidden/>
          </w:rPr>
          <w:instrText xml:space="preserve"> PAGEREF _Toc259717359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60" w:history="1">
        <w:r w:rsidR="003E4210" w:rsidRPr="005B500B">
          <w:rPr>
            <w:rStyle w:val="Hyperlink"/>
            <w:noProof/>
          </w:rPr>
          <w:t>21.5.2 Frame Format</w:t>
        </w:r>
        <w:r w:rsidR="003E4210">
          <w:rPr>
            <w:noProof/>
            <w:webHidden/>
          </w:rPr>
          <w:tab/>
        </w:r>
        <w:r>
          <w:rPr>
            <w:noProof/>
            <w:webHidden/>
          </w:rPr>
          <w:fldChar w:fldCharType="begin"/>
        </w:r>
        <w:r w:rsidR="003E4210">
          <w:rPr>
            <w:noProof/>
            <w:webHidden/>
          </w:rPr>
          <w:instrText xml:space="preserve"> PAGEREF _Toc259717360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61" w:history="1">
        <w:r w:rsidR="003E4210" w:rsidRPr="005B500B">
          <w:rPr>
            <w:rStyle w:val="Hyperlink"/>
            <w:noProof/>
          </w:rPr>
          <w:t>21.5.3 Transmission</w:t>
        </w:r>
        <w:r w:rsidR="003E4210">
          <w:rPr>
            <w:noProof/>
            <w:webHidden/>
          </w:rPr>
          <w:tab/>
        </w:r>
        <w:r>
          <w:rPr>
            <w:noProof/>
            <w:webHidden/>
          </w:rPr>
          <w:fldChar w:fldCharType="begin"/>
        </w:r>
        <w:r w:rsidR="003E4210">
          <w:rPr>
            <w:noProof/>
            <w:webHidden/>
          </w:rPr>
          <w:instrText xml:space="preserve"> PAGEREF _Toc259717361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62" w:history="1">
        <w:r w:rsidR="003E4210" w:rsidRPr="005B500B">
          <w:rPr>
            <w:rStyle w:val="Hyperlink"/>
            <w:noProof/>
          </w:rPr>
          <w:t>21.5.3.1 PLCP Header</w:t>
        </w:r>
        <w:r w:rsidR="003E4210">
          <w:rPr>
            <w:noProof/>
            <w:webHidden/>
          </w:rPr>
          <w:tab/>
        </w:r>
        <w:r>
          <w:rPr>
            <w:noProof/>
            <w:webHidden/>
          </w:rPr>
          <w:fldChar w:fldCharType="begin"/>
        </w:r>
        <w:r w:rsidR="003E4210">
          <w:rPr>
            <w:noProof/>
            <w:webHidden/>
          </w:rPr>
          <w:instrText xml:space="preserve"> PAGEREF _Toc259717362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63" w:history="1">
        <w:r w:rsidR="003E4210" w:rsidRPr="005B500B">
          <w:rPr>
            <w:rStyle w:val="Hyperlink"/>
            <w:noProof/>
          </w:rPr>
          <w:t>21.5.3.1.1 Modulation and Coding Scheme</w:t>
        </w:r>
        <w:r w:rsidR="003E4210">
          <w:rPr>
            <w:noProof/>
            <w:webHidden/>
          </w:rPr>
          <w:tab/>
        </w:r>
        <w:r>
          <w:rPr>
            <w:noProof/>
            <w:webHidden/>
          </w:rPr>
          <w:fldChar w:fldCharType="begin"/>
        </w:r>
        <w:r w:rsidR="003E4210">
          <w:rPr>
            <w:noProof/>
            <w:webHidden/>
          </w:rPr>
          <w:instrText xml:space="preserve"> PAGEREF _Toc259717363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64" w:history="1">
        <w:r w:rsidR="003E4210" w:rsidRPr="005B500B">
          <w:rPr>
            <w:rStyle w:val="Hyperlink"/>
            <w:noProof/>
          </w:rPr>
          <w:t>21.5.3.1.2 Generation of the HCS bits</w:t>
        </w:r>
        <w:r w:rsidR="003E4210">
          <w:rPr>
            <w:noProof/>
            <w:webHidden/>
          </w:rPr>
          <w:tab/>
        </w:r>
        <w:r>
          <w:rPr>
            <w:noProof/>
            <w:webHidden/>
          </w:rPr>
          <w:fldChar w:fldCharType="begin"/>
        </w:r>
        <w:r w:rsidR="003E4210">
          <w:rPr>
            <w:noProof/>
            <w:webHidden/>
          </w:rPr>
          <w:instrText xml:space="preserve"> PAGEREF _Toc259717364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65" w:history="1">
        <w:r w:rsidR="003E4210" w:rsidRPr="005B500B">
          <w:rPr>
            <w:rStyle w:val="Hyperlink"/>
            <w:noProof/>
          </w:rPr>
          <w:t>21.5.3.1.3 Header encoding and modulation</w:t>
        </w:r>
        <w:r w:rsidR="003E4210">
          <w:rPr>
            <w:noProof/>
            <w:webHidden/>
          </w:rPr>
          <w:tab/>
        </w:r>
        <w:r>
          <w:rPr>
            <w:noProof/>
            <w:webHidden/>
          </w:rPr>
          <w:fldChar w:fldCharType="begin"/>
        </w:r>
        <w:r w:rsidR="003E4210">
          <w:rPr>
            <w:noProof/>
            <w:webHidden/>
          </w:rPr>
          <w:instrText xml:space="preserve"> PAGEREF _Toc259717365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66" w:history="1">
        <w:r w:rsidR="003E4210" w:rsidRPr="005B500B">
          <w:rPr>
            <w:rStyle w:val="Hyperlink"/>
            <w:noProof/>
          </w:rPr>
          <w:t>21.5.3.2 The Data field</w:t>
        </w:r>
        <w:r w:rsidR="003E4210">
          <w:rPr>
            <w:noProof/>
            <w:webHidden/>
          </w:rPr>
          <w:tab/>
        </w:r>
        <w:r>
          <w:rPr>
            <w:noProof/>
            <w:webHidden/>
          </w:rPr>
          <w:fldChar w:fldCharType="begin"/>
        </w:r>
        <w:r w:rsidR="003E4210">
          <w:rPr>
            <w:noProof/>
            <w:webHidden/>
          </w:rPr>
          <w:instrText xml:space="preserve"> PAGEREF _Toc259717366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67" w:history="1">
        <w:r w:rsidR="003E4210" w:rsidRPr="005B500B">
          <w:rPr>
            <w:rStyle w:val="Hyperlink"/>
            <w:noProof/>
          </w:rPr>
          <w:t>21.5.3.2.1 Scrambler</w:t>
        </w:r>
        <w:r w:rsidR="003E4210">
          <w:rPr>
            <w:noProof/>
            <w:webHidden/>
          </w:rPr>
          <w:tab/>
        </w:r>
        <w:r>
          <w:rPr>
            <w:noProof/>
            <w:webHidden/>
          </w:rPr>
          <w:fldChar w:fldCharType="begin"/>
        </w:r>
        <w:r w:rsidR="003E4210">
          <w:rPr>
            <w:noProof/>
            <w:webHidden/>
          </w:rPr>
          <w:instrText xml:space="preserve"> PAGEREF _Toc259717367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68" w:history="1">
        <w:r w:rsidR="003E4210" w:rsidRPr="005B500B">
          <w:rPr>
            <w:rStyle w:val="Hyperlink"/>
            <w:noProof/>
          </w:rPr>
          <w:t>21.5.3.2.2 Encoding</w:t>
        </w:r>
        <w:r w:rsidR="003E4210">
          <w:rPr>
            <w:noProof/>
            <w:webHidden/>
          </w:rPr>
          <w:tab/>
        </w:r>
        <w:r>
          <w:rPr>
            <w:noProof/>
            <w:webHidden/>
          </w:rPr>
          <w:fldChar w:fldCharType="begin"/>
        </w:r>
        <w:r w:rsidR="003E4210">
          <w:rPr>
            <w:noProof/>
            <w:webHidden/>
          </w:rPr>
          <w:instrText xml:space="preserve"> PAGEREF _Toc259717368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69" w:history="1">
        <w:r w:rsidR="003E4210" w:rsidRPr="005B500B">
          <w:rPr>
            <w:rStyle w:val="Hyperlink"/>
            <w:noProof/>
          </w:rPr>
          <w:t>21.5.3.2.3 Modulation Mapping</w:t>
        </w:r>
        <w:r w:rsidR="003E4210">
          <w:rPr>
            <w:noProof/>
            <w:webHidden/>
          </w:rPr>
          <w:tab/>
        </w:r>
        <w:r>
          <w:rPr>
            <w:noProof/>
            <w:webHidden/>
          </w:rPr>
          <w:fldChar w:fldCharType="begin"/>
        </w:r>
        <w:r w:rsidR="003E4210">
          <w:rPr>
            <w:noProof/>
            <w:webHidden/>
          </w:rPr>
          <w:instrText xml:space="preserve"> PAGEREF _Toc259717369 \h </w:instrText>
        </w:r>
        <w:r>
          <w:rPr>
            <w:noProof/>
            <w:webHidden/>
          </w:rPr>
        </w:r>
        <w:r>
          <w:rPr>
            <w:noProof/>
            <w:webHidden/>
          </w:rPr>
          <w:fldChar w:fldCharType="separate"/>
        </w:r>
        <w:r w:rsidR="003E4210">
          <w:rPr>
            <w:noProof/>
            <w:webHidden/>
          </w:rPr>
          <w:t>308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70" w:history="1">
        <w:r w:rsidR="003E4210" w:rsidRPr="005B500B">
          <w:rPr>
            <w:rStyle w:val="Hyperlink"/>
            <w:noProof/>
          </w:rPr>
          <w:t>21.5.3.2.4 Pilot Sequence</w:t>
        </w:r>
        <w:r w:rsidR="003E4210">
          <w:rPr>
            <w:noProof/>
            <w:webHidden/>
          </w:rPr>
          <w:tab/>
        </w:r>
        <w:r>
          <w:rPr>
            <w:noProof/>
            <w:webHidden/>
          </w:rPr>
          <w:fldChar w:fldCharType="begin"/>
        </w:r>
        <w:r w:rsidR="003E4210">
          <w:rPr>
            <w:noProof/>
            <w:webHidden/>
          </w:rPr>
          <w:instrText xml:space="preserve"> PAGEREF _Toc259717370 \h </w:instrText>
        </w:r>
        <w:r>
          <w:rPr>
            <w:noProof/>
            <w:webHidden/>
          </w:rPr>
        </w:r>
        <w:r>
          <w:rPr>
            <w:noProof/>
            <w:webHidden/>
          </w:rPr>
          <w:fldChar w:fldCharType="separate"/>
        </w:r>
        <w:r w:rsidR="003E4210">
          <w:rPr>
            <w:noProof/>
            <w:webHidden/>
          </w:rPr>
          <w:t>311</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71" w:history="1">
        <w:r w:rsidR="003E4210" w:rsidRPr="005B500B">
          <w:rPr>
            <w:rStyle w:val="Hyperlink"/>
            <w:noProof/>
          </w:rPr>
          <w:t>21.5.3.2.5 OFDM modulation</w:t>
        </w:r>
        <w:r w:rsidR="003E4210">
          <w:rPr>
            <w:noProof/>
            <w:webHidden/>
          </w:rPr>
          <w:tab/>
        </w:r>
        <w:r>
          <w:rPr>
            <w:noProof/>
            <w:webHidden/>
          </w:rPr>
          <w:fldChar w:fldCharType="begin"/>
        </w:r>
        <w:r w:rsidR="003E4210">
          <w:rPr>
            <w:noProof/>
            <w:webHidden/>
          </w:rPr>
          <w:instrText xml:space="preserve"> PAGEREF _Toc259717371 \h </w:instrText>
        </w:r>
        <w:r>
          <w:rPr>
            <w:noProof/>
            <w:webHidden/>
          </w:rPr>
        </w:r>
        <w:r>
          <w:rPr>
            <w:noProof/>
            <w:webHidden/>
          </w:rPr>
          <w:fldChar w:fldCharType="separate"/>
        </w:r>
        <w:r w:rsidR="003E4210">
          <w:rPr>
            <w:noProof/>
            <w:webHidden/>
          </w:rPr>
          <w:t>312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72" w:history="1">
        <w:r w:rsidR="003E4210" w:rsidRPr="005B500B">
          <w:rPr>
            <w:rStyle w:val="Hyperlink"/>
            <w:noProof/>
          </w:rPr>
          <w:t>21.5.4 Performance requirements</w:t>
        </w:r>
        <w:r w:rsidR="003E4210">
          <w:rPr>
            <w:noProof/>
            <w:webHidden/>
          </w:rPr>
          <w:tab/>
        </w:r>
        <w:r>
          <w:rPr>
            <w:noProof/>
            <w:webHidden/>
          </w:rPr>
          <w:fldChar w:fldCharType="begin"/>
        </w:r>
        <w:r w:rsidR="003E4210">
          <w:rPr>
            <w:noProof/>
            <w:webHidden/>
          </w:rPr>
          <w:instrText xml:space="preserve"> PAGEREF _Toc259717372 \h </w:instrText>
        </w:r>
        <w:r>
          <w:rPr>
            <w:noProof/>
            <w:webHidden/>
          </w:rPr>
        </w:r>
        <w:r>
          <w:rPr>
            <w:noProof/>
            <w:webHidden/>
          </w:rPr>
          <w:fldChar w:fldCharType="separate"/>
        </w:r>
        <w:r w:rsidR="003E4210">
          <w:rPr>
            <w:noProof/>
            <w:webHidden/>
          </w:rPr>
          <w:t>312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73" w:history="1">
        <w:r w:rsidR="003E4210" w:rsidRPr="005B500B">
          <w:rPr>
            <w:rStyle w:val="Hyperlink"/>
            <w:noProof/>
          </w:rPr>
          <w:t>21.5.4.1 Transmit Requirements</w:t>
        </w:r>
        <w:r w:rsidR="003E4210">
          <w:rPr>
            <w:noProof/>
            <w:webHidden/>
          </w:rPr>
          <w:tab/>
        </w:r>
        <w:r>
          <w:rPr>
            <w:noProof/>
            <w:webHidden/>
          </w:rPr>
          <w:fldChar w:fldCharType="begin"/>
        </w:r>
        <w:r w:rsidR="003E4210">
          <w:rPr>
            <w:noProof/>
            <w:webHidden/>
          </w:rPr>
          <w:instrText xml:space="preserve"> PAGEREF _Toc259717373 \h </w:instrText>
        </w:r>
        <w:r>
          <w:rPr>
            <w:noProof/>
            <w:webHidden/>
          </w:rPr>
        </w:r>
        <w:r>
          <w:rPr>
            <w:noProof/>
            <w:webHidden/>
          </w:rPr>
          <w:fldChar w:fldCharType="separate"/>
        </w:r>
        <w:r w:rsidR="003E4210">
          <w:rPr>
            <w:noProof/>
            <w:webHidden/>
          </w:rPr>
          <w:t>312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74" w:history="1">
        <w:r w:rsidR="003E4210" w:rsidRPr="005B500B">
          <w:rPr>
            <w:rStyle w:val="Hyperlink"/>
            <w:noProof/>
          </w:rPr>
          <w:t>21.5.4.1.1 Transmit EVM</w:t>
        </w:r>
        <w:r w:rsidR="003E4210">
          <w:rPr>
            <w:noProof/>
            <w:webHidden/>
          </w:rPr>
          <w:tab/>
        </w:r>
        <w:r>
          <w:rPr>
            <w:noProof/>
            <w:webHidden/>
          </w:rPr>
          <w:fldChar w:fldCharType="begin"/>
        </w:r>
        <w:r w:rsidR="003E4210">
          <w:rPr>
            <w:noProof/>
            <w:webHidden/>
          </w:rPr>
          <w:instrText xml:space="preserve"> PAGEREF _Toc259717374 \h </w:instrText>
        </w:r>
        <w:r>
          <w:rPr>
            <w:noProof/>
            <w:webHidden/>
          </w:rPr>
        </w:r>
        <w:r>
          <w:rPr>
            <w:noProof/>
            <w:webHidden/>
          </w:rPr>
          <w:fldChar w:fldCharType="separate"/>
        </w:r>
        <w:r w:rsidR="003E4210">
          <w:rPr>
            <w:noProof/>
            <w:webHidden/>
          </w:rPr>
          <w:t>313</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75" w:history="1">
        <w:r w:rsidR="003E4210" w:rsidRPr="005B500B">
          <w:rPr>
            <w:rStyle w:val="Hyperlink"/>
            <w:noProof/>
          </w:rPr>
          <w:t>21.5.4.1.2 Tx Flatness</w:t>
        </w:r>
        <w:r w:rsidR="003E4210">
          <w:rPr>
            <w:noProof/>
            <w:webHidden/>
          </w:rPr>
          <w:tab/>
        </w:r>
        <w:r>
          <w:rPr>
            <w:noProof/>
            <w:webHidden/>
          </w:rPr>
          <w:fldChar w:fldCharType="begin"/>
        </w:r>
        <w:r w:rsidR="003E4210">
          <w:rPr>
            <w:noProof/>
            <w:webHidden/>
          </w:rPr>
          <w:instrText xml:space="preserve"> PAGEREF _Toc259717375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76" w:history="1">
        <w:r w:rsidR="003E4210" w:rsidRPr="005B500B">
          <w:rPr>
            <w:rStyle w:val="Hyperlink"/>
            <w:noProof/>
          </w:rPr>
          <w:t>21.5.4.1.3 Time of Departure accuracy</w:t>
        </w:r>
        <w:r w:rsidR="003E4210">
          <w:rPr>
            <w:noProof/>
            <w:webHidden/>
          </w:rPr>
          <w:tab/>
        </w:r>
        <w:r>
          <w:rPr>
            <w:noProof/>
            <w:webHidden/>
          </w:rPr>
          <w:fldChar w:fldCharType="begin"/>
        </w:r>
        <w:r w:rsidR="003E4210">
          <w:rPr>
            <w:noProof/>
            <w:webHidden/>
          </w:rPr>
          <w:instrText xml:space="preserve"> PAGEREF _Toc259717376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77" w:history="1">
        <w:r w:rsidR="003E4210" w:rsidRPr="005B500B">
          <w:rPr>
            <w:rStyle w:val="Hyperlink"/>
            <w:noProof/>
          </w:rPr>
          <w:t>21.5.4.2 Rx Requirements</w:t>
        </w:r>
        <w:r w:rsidR="003E4210">
          <w:rPr>
            <w:noProof/>
            <w:webHidden/>
          </w:rPr>
          <w:tab/>
        </w:r>
        <w:r>
          <w:rPr>
            <w:noProof/>
            <w:webHidden/>
          </w:rPr>
          <w:fldChar w:fldCharType="begin"/>
        </w:r>
        <w:r w:rsidR="003E4210">
          <w:rPr>
            <w:noProof/>
            <w:webHidden/>
          </w:rPr>
          <w:instrText xml:space="preserve"> PAGEREF _Toc259717377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78" w:history="1">
        <w:r w:rsidR="003E4210" w:rsidRPr="005B500B">
          <w:rPr>
            <w:rStyle w:val="Hyperlink"/>
            <w:noProof/>
          </w:rPr>
          <w:t>21.5.4.2.1 CCA</w:t>
        </w:r>
        <w:r w:rsidR="003E4210">
          <w:rPr>
            <w:noProof/>
            <w:webHidden/>
          </w:rPr>
          <w:tab/>
        </w:r>
        <w:r>
          <w:rPr>
            <w:noProof/>
            <w:webHidden/>
          </w:rPr>
          <w:fldChar w:fldCharType="begin"/>
        </w:r>
        <w:r w:rsidR="003E4210">
          <w:rPr>
            <w:noProof/>
            <w:webHidden/>
          </w:rPr>
          <w:instrText xml:space="preserve"> PAGEREF _Toc259717378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79" w:history="1">
        <w:r w:rsidR="003E4210" w:rsidRPr="005B500B">
          <w:rPr>
            <w:rStyle w:val="Hyperlink"/>
            <w:noProof/>
            <w:lang w:eastAsia="ja-JP"/>
          </w:rPr>
          <w:t>21.6</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SC PHY</w:t>
        </w:r>
        <w:r w:rsidR="003E4210">
          <w:rPr>
            <w:noProof/>
            <w:webHidden/>
          </w:rPr>
          <w:tab/>
        </w:r>
        <w:r>
          <w:rPr>
            <w:noProof/>
            <w:webHidden/>
          </w:rPr>
          <w:fldChar w:fldCharType="begin"/>
        </w:r>
        <w:r w:rsidR="003E4210">
          <w:rPr>
            <w:noProof/>
            <w:webHidden/>
          </w:rPr>
          <w:instrText xml:space="preserve"> PAGEREF _Toc259717379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80" w:history="1">
        <w:r w:rsidR="003E4210" w:rsidRPr="005B500B">
          <w:rPr>
            <w:rStyle w:val="Hyperlink"/>
            <w:noProof/>
          </w:rPr>
          <w:t>21.6.1 Introduction</w:t>
        </w:r>
        <w:r w:rsidR="003E4210">
          <w:rPr>
            <w:noProof/>
            <w:webHidden/>
          </w:rPr>
          <w:tab/>
        </w:r>
        <w:r>
          <w:rPr>
            <w:noProof/>
            <w:webHidden/>
          </w:rPr>
          <w:fldChar w:fldCharType="begin"/>
        </w:r>
        <w:r w:rsidR="003E4210">
          <w:rPr>
            <w:noProof/>
            <w:webHidden/>
          </w:rPr>
          <w:instrText xml:space="preserve"> PAGEREF _Toc259717380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81" w:history="1">
        <w:r w:rsidR="003E4210" w:rsidRPr="005B500B">
          <w:rPr>
            <w:rStyle w:val="Hyperlink"/>
            <w:noProof/>
          </w:rPr>
          <w:t>21.6.2 Frame format</w:t>
        </w:r>
        <w:r w:rsidR="003E4210">
          <w:rPr>
            <w:noProof/>
            <w:webHidden/>
          </w:rPr>
          <w:tab/>
        </w:r>
        <w:r>
          <w:rPr>
            <w:noProof/>
            <w:webHidden/>
          </w:rPr>
          <w:fldChar w:fldCharType="begin"/>
        </w:r>
        <w:r w:rsidR="003E4210">
          <w:rPr>
            <w:noProof/>
            <w:webHidden/>
          </w:rPr>
          <w:instrText xml:space="preserve"> PAGEREF _Toc259717381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82" w:history="1">
        <w:r w:rsidR="003E4210" w:rsidRPr="005B500B">
          <w:rPr>
            <w:rStyle w:val="Hyperlink"/>
            <w:noProof/>
          </w:rPr>
          <w:t>21.6.3 Transmission</w:t>
        </w:r>
        <w:r w:rsidR="003E4210">
          <w:rPr>
            <w:noProof/>
            <w:webHidden/>
          </w:rPr>
          <w:tab/>
        </w:r>
        <w:r>
          <w:rPr>
            <w:noProof/>
            <w:webHidden/>
          </w:rPr>
          <w:fldChar w:fldCharType="begin"/>
        </w:r>
        <w:r w:rsidR="003E4210">
          <w:rPr>
            <w:noProof/>
            <w:webHidden/>
          </w:rPr>
          <w:instrText xml:space="preserve"> PAGEREF _Toc259717382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83" w:history="1">
        <w:r w:rsidR="003E4210" w:rsidRPr="005B500B">
          <w:rPr>
            <w:rStyle w:val="Hyperlink"/>
            <w:noProof/>
          </w:rPr>
          <w:t>21.6.3.1 Header</w:t>
        </w:r>
        <w:r w:rsidR="003E4210">
          <w:rPr>
            <w:noProof/>
            <w:webHidden/>
          </w:rPr>
          <w:tab/>
        </w:r>
        <w:r>
          <w:rPr>
            <w:noProof/>
            <w:webHidden/>
          </w:rPr>
          <w:fldChar w:fldCharType="begin"/>
        </w:r>
        <w:r w:rsidR="003E4210">
          <w:rPr>
            <w:noProof/>
            <w:webHidden/>
          </w:rPr>
          <w:instrText xml:space="preserve"> PAGEREF _Toc259717383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84" w:history="1">
        <w:r w:rsidR="003E4210" w:rsidRPr="005B500B">
          <w:rPr>
            <w:rStyle w:val="Hyperlink"/>
            <w:noProof/>
          </w:rPr>
          <w:t>21.6.3.1.1 Modulation and Coding Scheme</w:t>
        </w:r>
        <w:r w:rsidR="003E4210">
          <w:rPr>
            <w:noProof/>
            <w:webHidden/>
          </w:rPr>
          <w:tab/>
        </w:r>
        <w:r>
          <w:rPr>
            <w:noProof/>
            <w:webHidden/>
          </w:rPr>
          <w:fldChar w:fldCharType="begin"/>
        </w:r>
        <w:r w:rsidR="003E4210">
          <w:rPr>
            <w:noProof/>
            <w:webHidden/>
          </w:rPr>
          <w:instrText xml:space="preserve"> PAGEREF _Toc259717384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85" w:history="1">
        <w:r w:rsidR="003E4210" w:rsidRPr="005B500B">
          <w:rPr>
            <w:rStyle w:val="Hyperlink"/>
            <w:noProof/>
          </w:rPr>
          <w:t>21.6.3.1.2 Generation of the HCS bits</w:t>
        </w:r>
        <w:r w:rsidR="003E4210">
          <w:rPr>
            <w:noProof/>
            <w:webHidden/>
          </w:rPr>
          <w:tab/>
        </w:r>
        <w:r>
          <w:rPr>
            <w:noProof/>
            <w:webHidden/>
          </w:rPr>
          <w:fldChar w:fldCharType="begin"/>
        </w:r>
        <w:r w:rsidR="003E4210">
          <w:rPr>
            <w:noProof/>
            <w:webHidden/>
          </w:rPr>
          <w:instrText xml:space="preserve"> PAGEREF _Toc259717385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86" w:history="1">
        <w:r w:rsidR="003E4210" w:rsidRPr="005B500B">
          <w:rPr>
            <w:rStyle w:val="Hyperlink"/>
            <w:noProof/>
          </w:rPr>
          <w:t>21.6.3.1.3 Header encoding and modulation</w:t>
        </w:r>
        <w:r w:rsidR="003E4210">
          <w:rPr>
            <w:noProof/>
            <w:webHidden/>
          </w:rPr>
          <w:tab/>
        </w:r>
        <w:r>
          <w:rPr>
            <w:noProof/>
            <w:webHidden/>
          </w:rPr>
          <w:fldChar w:fldCharType="begin"/>
        </w:r>
        <w:r w:rsidR="003E4210">
          <w:rPr>
            <w:noProof/>
            <w:webHidden/>
          </w:rPr>
          <w:instrText xml:space="preserve"> PAGEREF _Toc259717386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87" w:history="1">
        <w:r w:rsidR="003E4210" w:rsidRPr="005B500B">
          <w:rPr>
            <w:rStyle w:val="Hyperlink"/>
            <w:noProof/>
          </w:rPr>
          <w:t>21.6.3.2 The Data field</w:t>
        </w:r>
        <w:r w:rsidR="003E4210">
          <w:rPr>
            <w:noProof/>
            <w:webHidden/>
          </w:rPr>
          <w:tab/>
        </w:r>
        <w:r>
          <w:rPr>
            <w:noProof/>
            <w:webHidden/>
          </w:rPr>
          <w:fldChar w:fldCharType="begin"/>
        </w:r>
        <w:r w:rsidR="003E4210">
          <w:rPr>
            <w:noProof/>
            <w:webHidden/>
          </w:rPr>
          <w:instrText xml:space="preserve"> PAGEREF _Toc259717387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88" w:history="1">
        <w:r w:rsidR="003E4210" w:rsidRPr="005B500B">
          <w:rPr>
            <w:rStyle w:val="Hyperlink"/>
            <w:noProof/>
          </w:rPr>
          <w:t>21.6.3.2.1 Scrambler</w:t>
        </w:r>
        <w:r w:rsidR="003E4210">
          <w:rPr>
            <w:noProof/>
            <w:webHidden/>
          </w:rPr>
          <w:tab/>
        </w:r>
        <w:r>
          <w:rPr>
            <w:noProof/>
            <w:webHidden/>
          </w:rPr>
          <w:fldChar w:fldCharType="begin"/>
        </w:r>
        <w:r w:rsidR="003E4210">
          <w:rPr>
            <w:noProof/>
            <w:webHidden/>
          </w:rPr>
          <w:instrText xml:space="preserve"> PAGEREF _Toc259717388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89" w:history="1">
        <w:r w:rsidR="003E4210" w:rsidRPr="005B500B">
          <w:rPr>
            <w:rStyle w:val="Hyperlink"/>
            <w:noProof/>
          </w:rPr>
          <w:t>21.6.3.2.2 Encoding</w:t>
        </w:r>
        <w:r w:rsidR="003E4210">
          <w:rPr>
            <w:noProof/>
            <w:webHidden/>
          </w:rPr>
          <w:tab/>
        </w:r>
        <w:r>
          <w:rPr>
            <w:noProof/>
            <w:webHidden/>
          </w:rPr>
          <w:fldChar w:fldCharType="begin"/>
        </w:r>
        <w:r w:rsidR="003E4210">
          <w:rPr>
            <w:noProof/>
            <w:webHidden/>
          </w:rPr>
          <w:instrText xml:space="preserve"> PAGEREF _Toc259717389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90" w:history="1">
        <w:r w:rsidR="003E4210" w:rsidRPr="005B500B">
          <w:rPr>
            <w:rStyle w:val="Hyperlink"/>
            <w:noProof/>
          </w:rPr>
          <w:t>21.6.3.2.3 Modulation Mapping</w:t>
        </w:r>
        <w:r w:rsidR="003E4210">
          <w:rPr>
            <w:noProof/>
            <w:webHidden/>
          </w:rPr>
          <w:tab/>
        </w:r>
        <w:r>
          <w:rPr>
            <w:noProof/>
            <w:webHidden/>
          </w:rPr>
          <w:fldChar w:fldCharType="begin"/>
        </w:r>
        <w:r w:rsidR="003E4210">
          <w:rPr>
            <w:noProof/>
            <w:webHidden/>
          </w:rPr>
          <w:instrText xml:space="preserve"> PAGEREF _Toc259717390 \h </w:instrText>
        </w:r>
        <w:r>
          <w:rPr>
            <w:noProof/>
            <w:webHidden/>
          </w:rPr>
        </w:r>
        <w:r>
          <w:rPr>
            <w:noProof/>
            <w:webHidden/>
          </w:rPr>
          <w:fldChar w:fldCharType="separate"/>
        </w:r>
        <w:r w:rsidR="003E4210">
          <w:rPr>
            <w:noProof/>
            <w:webHidden/>
          </w:rPr>
          <w:t>319</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91" w:history="1">
        <w:r w:rsidR="003E4210" w:rsidRPr="005B500B">
          <w:rPr>
            <w:rStyle w:val="Hyperlink"/>
            <w:noProof/>
          </w:rPr>
          <w:t>21.6.3.2.4 Symbol Blocking and Guard Insertion</w:t>
        </w:r>
        <w:r w:rsidR="003E4210">
          <w:rPr>
            <w:noProof/>
            <w:webHidden/>
          </w:rPr>
          <w:tab/>
        </w:r>
        <w:r>
          <w:rPr>
            <w:noProof/>
            <w:webHidden/>
          </w:rPr>
          <w:fldChar w:fldCharType="begin"/>
        </w:r>
        <w:r w:rsidR="003E4210">
          <w:rPr>
            <w:noProof/>
            <w:webHidden/>
          </w:rPr>
          <w:instrText xml:space="preserve"> PAGEREF _Toc259717391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92" w:history="1">
        <w:r w:rsidR="003E4210" w:rsidRPr="005B500B">
          <w:rPr>
            <w:rStyle w:val="Hyperlink"/>
            <w:noProof/>
          </w:rPr>
          <w:t>21.6.4 Performance requirements</w:t>
        </w:r>
        <w:r w:rsidR="003E4210">
          <w:rPr>
            <w:noProof/>
            <w:webHidden/>
          </w:rPr>
          <w:tab/>
        </w:r>
        <w:r>
          <w:rPr>
            <w:noProof/>
            <w:webHidden/>
          </w:rPr>
          <w:fldChar w:fldCharType="begin"/>
        </w:r>
        <w:r w:rsidR="003E4210">
          <w:rPr>
            <w:noProof/>
            <w:webHidden/>
          </w:rPr>
          <w:instrText xml:space="preserve"> PAGEREF _Toc259717392 \h </w:instrText>
        </w:r>
        <w:r>
          <w:rPr>
            <w:noProof/>
            <w:webHidden/>
          </w:rPr>
        </w:r>
        <w:r>
          <w:rPr>
            <w:noProof/>
            <w:webHidden/>
          </w:rPr>
          <w:fldChar w:fldCharType="separate"/>
        </w:r>
        <w:r w:rsidR="003E4210">
          <w:rPr>
            <w:noProof/>
            <w:webHidden/>
          </w:rPr>
          <w:t>321</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93" w:history="1">
        <w:r w:rsidR="003E4210" w:rsidRPr="005B500B">
          <w:rPr>
            <w:rStyle w:val="Hyperlink"/>
            <w:noProof/>
          </w:rPr>
          <w:t>21.6.4.1 Transmit Requirements</w:t>
        </w:r>
        <w:r w:rsidR="003E4210">
          <w:rPr>
            <w:noProof/>
            <w:webHidden/>
          </w:rPr>
          <w:tab/>
        </w:r>
        <w:r>
          <w:rPr>
            <w:noProof/>
            <w:webHidden/>
          </w:rPr>
          <w:fldChar w:fldCharType="begin"/>
        </w:r>
        <w:r w:rsidR="003E4210">
          <w:rPr>
            <w:noProof/>
            <w:webHidden/>
          </w:rPr>
          <w:instrText xml:space="preserve"> PAGEREF _Toc259717393 \h </w:instrText>
        </w:r>
        <w:r>
          <w:rPr>
            <w:noProof/>
            <w:webHidden/>
          </w:rPr>
        </w:r>
        <w:r>
          <w:rPr>
            <w:noProof/>
            <w:webHidden/>
          </w:rPr>
          <w:fldChar w:fldCharType="separate"/>
        </w:r>
        <w:r w:rsidR="003E4210">
          <w:rPr>
            <w:noProof/>
            <w:webHidden/>
          </w:rPr>
          <w:t>321</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94" w:history="1">
        <w:r w:rsidR="003E4210" w:rsidRPr="005B500B">
          <w:rPr>
            <w:rStyle w:val="Hyperlink"/>
            <w:noProof/>
          </w:rPr>
          <w:t>21.6.4.1.1 Transmit EVM</w:t>
        </w:r>
        <w:r w:rsidR="003E4210">
          <w:rPr>
            <w:noProof/>
            <w:webHidden/>
          </w:rPr>
          <w:tab/>
        </w:r>
        <w:r>
          <w:rPr>
            <w:noProof/>
            <w:webHidden/>
          </w:rPr>
          <w:fldChar w:fldCharType="begin"/>
        </w:r>
        <w:r w:rsidR="003E4210">
          <w:rPr>
            <w:noProof/>
            <w:webHidden/>
          </w:rPr>
          <w:instrText xml:space="preserve"> PAGEREF _Toc259717394 \h </w:instrText>
        </w:r>
        <w:r>
          <w:rPr>
            <w:noProof/>
            <w:webHidden/>
          </w:rPr>
        </w:r>
        <w:r>
          <w:rPr>
            <w:noProof/>
            <w:webHidden/>
          </w:rPr>
          <w:fldChar w:fldCharType="separate"/>
        </w:r>
        <w:r w:rsidR="003E4210">
          <w:rPr>
            <w:noProof/>
            <w:webHidden/>
          </w:rPr>
          <w:t>321</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95" w:history="1">
        <w:r w:rsidR="003E4210" w:rsidRPr="005B500B">
          <w:rPr>
            <w:rStyle w:val="Hyperlink"/>
            <w:noProof/>
          </w:rPr>
          <w:t>21.6.4.1.2 Time of Departure accuracy</w:t>
        </w:r>
        <w:r w:rsidR="003E4210">
          <w:rPr>
            <w:noProof/>
            <w:webHidden/>
          </w:rPr>
          <w:tab/>
        </w:r>
        <w:r>
          <w:rPr>
            <w:noProof/>
            <w:webHidden/>
          </w:rPr>
          <w:fldChar w:fldCharType="begin"/>
        </w:r>
        <w:r w:rsidR="003E4210">
          <w:rPr>
            <w:noProof/>
            <w:webHidden/>
          </w:rPr>
          <w:instrText xml:space="preserve"> PAGEREF _Toc259717395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396" w:history="1">
        <w:r w:rsidR="003E4210" w:rsidRPr="005B500B">
          <w:rPr>
            <w:rStyle w:val="Hyperlink"/>
            <w:noProof/>
          </w:rPr>
          <w:t>21.6.4.2 Rx Requirements</w:t>
        </w:r>
        <w:r w:rsidR="003E4210">
          <w:rPr>
            <w:noProof/>
            <w:webHidden/>
          </w:rPr>
          <w:tab/>
        </w:r>
        <w:r>
          <w:rPr>
            <w:noProof/>
            <w:webHidden/>
          </w:rPr>
          <w:fldChar w:fldCharType="begin"/>
        </w:r>
        <w:r w:rsidR="003E4210">
          <w:rPr>
            <w:noProof/>
            <w:webHidden/>
          </w:rPr>
          <w:instrText xml:space="preserve"> PAGEREF _Toc259717396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397" w:history="1">
        <w:r w:rsidR="003E4210" w:rsidRPr="005B500B">
          <w:rPr>
            <w:rStyle w:val="Hyperlink"/>
            <w:noProof/>
          </w:rPr>
          <w:t>21.6.4.2.1 CCA</w:t>
        </w:r>
        <w:r w:rsidR="003E4210">
          <w:rPr>
            <w:noProof/>
            <w:webHidden/>
          </w:rPr>
          <w:tab/>
        </w:r>
        <w:r>
          <w:rPr>
            <w:noProof/>
            <w:webHidden/>
          </w:rPr>
          <w:fldChar w:fldCharType="begin"/>
        </w:r>
        <w:r w:rsidR="003E4210">
          <w:rPr>
            <w:noProof/>
            <w:webHidden/>
          </w:rPr>
          <w:instrText xml:space="preserve"> PAGEREF _Toc259717397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98" w:history="1">
        <w:r w:rsidR="003E4210" w:rsidRPr="005B500B">
          <w:rPr>
            <w:rStyle w:val="Hyperlink"/>
            <w:noProof/>
            <w:lang w:eastAsia="ja-JP"/>
          </w:rPr>
          <w:t>21.7</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low power SC PHY</w:t>
        </w:r>
        <w:r w:rsidR="003E4210">
          <w:rPr>
            <w:noProof/>
            <w:webHidden/>
          </w:rPr>
          <w:tab/>
        </w:r>
        <w:r>
          <w:rPr>
            <w:noProof/>
            <w:webHidden/>
          </w:rPr>
          <w:fldChar w:fldCharType="begin"/>
        </w:r>
        <w:r w:rsidR="003E4210">
          <w:rPr>
            <w:noProof/>
            <w:webHidden/>
          </w:rPr>
          <w:instrText xml:space="preserve"> PAGEREF _Toc259717398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99" w:history="1">
        <w:r w:rsidR="003E4210" w:rsidRPr="005B500B">
          <w:rPr>
            <w:rStyle w:val="Hyperlink"/>
            <w:noProof/>
            <w:lang w:eastAsia="ja-JP"/>
          </w:rPr>
          <w:t>21.7.1 Transmission</w:t>
        </w:r>
        <w:r w:rsidR="003E4210">
          <w:rPr>
            <w:noProof/>
            <w:webHidden/>
          </w:rPr>
          <w:tab/>
        </w:r>
        <w:r>
          <w:rPr>
            <w:noProof/>
            <w:webHidden/>
          </w:rPr>
          <w:fldChar w:fldCharType="begin"/>
        </w:r>
        <w:r w:rsidR="003E4210">
          <w:rPr>
            <w:noProof/>
            <w:webHidden/>
          </w:rPr>
          <w:instrText xml:space="preserve"> PAGEREF _Toc259717399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400" w:history="1">
        <w:r w:rsidR="003E4210" w:rsidRPr="005B500B">
          <w:rPr>
            <w:rStyle w:val="Hyperlink"/>
            <w:noProof/>
          </w:rPr>
          <w:t>21.7.1.1 Preamble</w:t>
        </w:r>
        <w:r w:rsidR="003E4210">
          <w:rPr>
            <w:noProof/>
            <w:webHidden/>
          </w:rPr>
          <w:tab/>
        </w:r>
        <w:r>
          <w:rPr>
            <w:noProof/>
            <w:webHidden/>
          </w:rPr>
          <w:fldChar w:fldCharType="begin"/>
        </w:r>
        <w:r w:rsidR="003E4210">
          <w:rPr>
            <w:noProof/>
            <w:webHidden/>
          </w:rPr>
          <w:instrText xml:space="preserve"> PAGEREF _Toc259717400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401" w:history="1">
        <w:r w:rsidR="003E4210" w:rsidRPr="005B500B">
          <w:rPr>
            <w:rStyle w:val="Hyperlink"/>
            <w:noProof/>
          </w:rPr>
          <w:t>21.7.1.2 Header</w:t>
        </w:r>
        <w:r w:rsidR="003E4210">
          <w:rPr>
            <w:noProof/>
            <w:webHidden/>
          </w:rPr>
          <w:tab/>
        </w:r>
        <w:r>
          <w:rPr>
            <w:noProof/>
            <w:webHidden/>
          </w:rPr>
          <w:fldChar w:fldCharType="begin"/>
        </w:r>
        <w:r w:rsidR="003E4210">
          <w:rPr>
            <w:noProof/>
            <w:webHidden/>
          </w:rPr>
          <w:instrText xml:space="preserve"> PAGEREF _Toc259717401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02" w:history="1">
        <w:r w:rsidR="003E4210" w:rsidRPr="005B500B">
          <w:rPr>
            <w:rStyle w:val="Hyperlink"/>
            <w:noProof/>
          </w:rPr>
          <w:t>21.7.1.2.1 Header encoding and modulation</w:t>
        </w:r>
        <w:r w:rsidR="003E4210">
          <w:rPr>
            <w:noProof/>
            <w:webHidden/>
          </w:rPr>
          <w:tab/>
        </w:r>
        <w:r>
          <w:rPr>
            <w:noProof/>
            <w:webHidden/>
          </w:rPr>
          <w:fldChar w:fldCharType="begin"/>
        </w:r>
        <w:r w:rsidR="003E4210">
          <w:rPr>
            <w:noProof/>
            <w:webHidden/>
          </w:rPr>
          <w:instrText xml:space="preserve"> PAGEREF _Toc259717402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403" w:history="1">
        <w:r w:rsidR="003E4210" w:rsidRPr="005B500B">
          <w:rPr>
            <w:rStyle w:val="Hyperlink"/>
            <w:noProof/>
          </w:rPr>
          <w:t>21.7.1.3 Data field</w:t>
        </w:r>
        <w:r w:rsidR="003E4210">
          <w:rPr>
            <w:noProof/>
            <w:webHidden/>
          </w:rPr>
          <w:tab/>
        </w:r>
        <w:r>
          <w:rPr>
            <w:noProof/>
            <w:webHidden/>
          </w:rPr>
          <w:fldChar w:fldCharType="begin"/>
        </w:r>
        <w:r w:rsidR="003E4210">
          <w:rPr>
            <w:noProof/>
            <w:webHidden/>
          </w:rPr>
          <w:instrText xml:space="preserve"> PAGEREF _Toc259717403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04" w:history="1">
        <w:r w:rsidR="003E4210" w:rsidRPr="005B500B">
          <w:rPr>
            <w:rStyle w:val="Hyperlink"/>
            <w:noProof/>
          </w:rPr>
          <w:t>21.7.1.3.1 Scrambler</w:t>
        </w:r>
        <w:r w:rsidR="003E4210">
          <w:rPr>
            <w:noProof/>
            <w:webHidden/>
          </w:rPr>
          <w:tab/>
        </w:r>
        <w:r>
          <w:rPr>
            <w:noProof/>
            <w:webHidden/>
          </w:rPr>
          <w:fldChar w:fldCharType="begin"/>
        </w:r>
        <w:r w:rsidR="003E4210">
          <w:rPr>
            <w:noProof/>
            <w:webHidden/>
          </w:rPr>
          <w:instrText xml:space="preserve"> PAGEREF _Toc259717404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05" w:history="1">
        <w:r w:rsidR="003E4210" w:rsidRPr="005B500B">
          <w:rPr>
            <w:rStyle w:val="Hyperlink"/>
            <w:noProof/>
          </w:rPr>
          <w:t>21.7.1.3.2 Encoding</w:t>
        </w:r>
        <w:r w:rsidR="003E4210">
          <w:rPr>
            <w:noProof/>
            <w:webHidden/>
          </w:rPr>
          <w:tab/>
        </w:r>
        <w:r>
          <w:rPr>
            <w:noProof/>
            <w:webHidden/>
          </w:rPr>
          <w:fldChar w:fldCharType="begin"/>
        </w:r>
        <w:r w:rsidR="003E4210">
          <w:rPr>
            <w:noProof/>
            <w:webHidden/>
          </w:rPr>
          <w:instrText xml:space="preserve"> PAGEREF _Toc259717405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06" w:history="1">
        <w:r w:rsidR="003E4210" w:rsidRPr="005B500B">
          <w:rPr>
            <w:rStyle w:val="Hyperlink"/>
            <w:noProof/>
          </w:rPr>
          <w:t>21.7.1.3.3 Modulation</w:t>
        </w:r>
        <w:r w:rsidR="003E4210">
          <w:rPr>
            <w:noProof/>
            <w:webHidden/>
          </w:rPr>
          <w:tab/>
        </w:r>
        <w:r>
          <w:rPr>
            <w:noProof/>
            <w:webHidden/>
          </w:rPr>
          <w:fldChar w:fldCharType="begin"/>
        </w:r>
        <w:r w:rsidR="003E4210">
          <w:rPr>
            <w:noProof/>
            <w:webHidden/>
          </w:rPr>
          <w:instrText xml:space="preserve"> PAGEREF _Toc259717406 \h </w:instrText>
        </w:r>
        <w:r>
          <w:rPr>
            <w:noProof/>
            <w:webHidden/>
          </w:rPr>
        </w:r>
        <w:r>
          <w:rPr>
            <w:noProof/>
            <w:webHidden/>
          </w:rPr>
          <w:fldChar w:fldCharType="separate"/>
        </w:r>
        <w:r w:rsidR="003E4210">
          <w:rPr>
            <w:noProof/>
            <w:webHidden/>
          </w:rPr>
          <w:t>325</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07" w:history="1">
        <w:r w:rsidR="003E4210" w:rsidRPr="005B500B">
          <w:rPr>
            <w:rStyle w:val="Hyperlink"/>
            <w:noProof/>
          </w:rPr>
          <w:t>21.7.1.3.4 Blocking</w:t>
        </w:r>
        <w:r w:rsidR="003E4210">
          <w:rPr>
            <w:noProof/>
            <w:webHidden/>
          </w:rPr>
          <w:tab/>
        </w:r>
        <w:r>
          <w:rPr>
            <w:noProof/>
            <w:webHidden/>
          </w:rPr>
          <w:fldChar w:fldCharType="begin"/>
        </w:r>
        <w:r w:rsidR="003E4210">
          <w:rPr>
            <w:noProof/>
            <w:webHidden/>
          </w:rPr>
          <w:instrText xml:space="preserve"> PAGEREF _Toc259717407 \h </w:instrText>
        </w:r>
        <w:r>
          <w:rPr>
            <w:noProof/>
            <w:webHidden/>
          </w:rPr>
        </w:r>
        <w:r>
          <w:rPr>
            <w:noProof/>
            <w:webHidden/>
          </w:rPr>
          <w:fldChar w:fldCharType="separate"/>
        </w:r>
        <w:r w:rsidR="003E4210">
          <w:rPr>
            <w:noProof/>
            <w:webHidden/>
          </w:rPr>
          <w:t>325</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408" w:history="1">
        <w:r w:rsidR="003E4210" w:rsidRPr="005B500B">
          <w:rPr>
            <w:rStyle w:val="Hyperlink"/>
            <w:noProof/>
            <w:lang w:eastAsia="ja-JP"/>
          </w:rPr>
          <w:t>21.8</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Beamforming</w:t>
        </w:r>
        <w:r w:rsidR="003E4210">
          <w:rPr>
            <w:noProof/>
            <w:webHidden/>
          </w:rPr>
          <w:tab/>
        </w:r>
        <w:r>
          <w:rPr>
            <w:noProof/>
            <w:webHidden/>
          </w:rPr>
          <w:fldChar w:fldCharType="begin"/>
        </w:r>
        <w:r w:rsidR="003E4210">
          <w:rPr>
            <w:noProof/>
            <w:webHidden/>
          </w:rPr>
          <w:instrText xml:space="preserve"> PAGEREF _Toc259717408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09" w:history="1">
        <w:r w:rsidR="003E4210" w:rsidRPr="005B500B">
          <w:rPr>
            <w:rStyle w:val="Hyperlink"/>
            <w:noProof/>
          </w:rPr>
          <w:t>21.8.1 Beamforming concept</w:t>
        </w:r>
        <w:r w:rsidR="003E4210">
          <w:rPr>
            <w:noProof/>
            <w:webHidden/>
          </w:rPr>
          <w:tab/>
        </w:r>
        <w:r>
          <w:rPr>
            <w:noProof/>
            <w:webHidden/>
          </w:rPr>
          <w:fldChar w:fldCharType="begin"/>
        </w:r>
        <w:r w:rsidR="003E4210">
          <w:rPr>
            <w:noProof/>
            <w:webHidden/>
          </w:rPr>
          <w:instrText xml:space="preserve"> PAGEREF _Toc259717409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10" w:history="1">
        <w:r w:rsidR="003E4210" w:rsidRPr="005B500B">
          <w:rPr>
            <w:rStyle w:val="Hyperlink"/>
            <w:noProof/>
          </w:rPr>
          <w:t>21.8.2 Beamforming PHY frame format</w:t>
        </w:r>
        <w:r w:rsidR="003E4210">
          <w:rPr>
            <w:noProof/>
            <w:webHidden/>
          </w:rPr>
          <w:tab/>
        </w:r>
        <w:r>
          <w:rPr>
            <w:noProof/>
            <w:webHidden/>
          </w:rPr>
          <w:fldChar w:fldCharType="begin"/>
        </w:r>
        <w:r w:rsidR="003E4210">
          <w:rPr>
            <w:noProof/>
            <w:webHidden/>
          </w:rPr>
          <w:instrText xml:space="preserve"> PAGEREF _Toc259717410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411" w:history="1">
        <w:r w:rsidR="003E4210" w:rsidRPr="005B500B">
          <w:rPr>
            <w:rStyle w:val="Hyperlink"/>
            <w:noProof/>
          </w:rPr>
          <w:t>21.8.2.1 TX sector sweep</w:t>
        </w:r>
        <w:r w:rsidR="003E4210">
          <w:rPr>
            <w:noProof/>
            <w:webHidden/>
          </w:rPr>
          <w:tab/>
        </w:r>
        <w:r>
          <w:rPr>
            <w:noProof/>
            <w:webHidden/>
          </w:rPr>
          <w:fldChar w:fldCharType="begin"/>
        </w:r>
        <w:r w:rsidR="003E4210">
          <w:rPr>
            <w:noProof/>
            <w:webHidden/>
          </w:rPr>
          <w:instrText xml:space="preserve"> PAGEREF _Toc259717411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412" w:history="1">
        <w:r w:rsidR="003E4210" w:rsidRPr="005B500B">
          <w:rPr>
            <w:rStyle w:val="Hyperlink"/>
            <w:noProof/>
          </w:rPr>
          <w:t>21.8.2.2 Beam refinement</w:t>
        </w:r>
        <w:r w:rsidR="003E4210">
          <w:rPr>
            <w:noProof/>
            <w:webHidden/>
          </w:rPr>
          <w:tab/>
        </w:r>
        <w:r>
          <w:rPr>
            <w:noProof/>
            <w:webHidden/>
          </w:rPr>
          <w:fldChar w:fldCharType="begin"/>
        </w:r>
        <w:r w:rsidR="003E4210">
          <w:rPr>
            <w:noProof/>
            <w:webHidden/>
          </w:rPr>
          <w:instrText xml:space="preserve"> PAGEREF _Toc259717412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13" w:history="1">
        <w:r w:rsidR="003E4210" w:rsidRPr="005B500B">
          <w:rPr>
            <w:rStyle w:val="Hyperlink"/>
            <w:noProof/>
          </w:rPr>
          <w:t>21.8.2.2.1 Beam refinement packet structure</w:t>
        </w:r>
        <w:r w:rsidR="003E4210">
          <w:rPr>
            <w:noProof/>
            <w:webHidden/>
          </w:rPr>
          <w:tab/>
        </w:r>
        <w:r>
          <w:rPr>
            <w:noProof/>
            <w:webHidden/>
          </w:rPr>
          <w:fldChar w:fldCharType="begin"/>
        </w:r>
        <w:r w:rsidR="003E4210">
          <w:rPr>
            <w:noProof/>
            <w:webHidden/>
          </w:rPr>
          <w:instrText xml:space="preserve"> PAGEREF _Toc259717413 \h </w:instrText>
        </w:r>
        <w:r>
          <w:rPr>
            <w:noProof/>
            <w:webHidden/>
          </w:rPr>
        </w:r>
        <w:r>
          <w:rPr>
            <w:noProof/>
            <w:webHidden/>
          </w:rPr>
          <w:fldChar w:fldCharType="separate"/>
        </w:r>
        <w:r w:rsidR="003E4210">
          <w:rPr>
            <w:noProof/>
            <w:webHidden/>
          </w:rPr>
          <w:t>327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14" w:history="1">
        <w:r w:rsidR="003E4210" w:rsidRPr="005B500B">
          <w:rPr>
            <w:rStyle w:val="Hyperlink"/>
            <w:noProof/>
          </w:rPr>
          <w:t>21.8.2.2.2 Beam Refinement packet header fields</w:t>
        </w:r>
        <w:r w:rsidR="003E4210">
          <w:rPr>
            <w:noProof/>
            <w:webHidden/>
          </w:rPr>
          <w:tab/>
        </w:r>
        <w:r>
          <w:rPr>
            <w:noProof/>
            <w:webHidden/>
          </w:rPr>
          <w:fldChar w:fldCharType="begin"/>
        </w:r>
        <w:r w:rsidR="003E4210">
          <w:rPr>
            <w:noProof/>
            <w:webHidden/>
          </w:rPr>
          <w:instrText xml:space="preserve"> PAGEREF _Toc259717414 \h </w:instrText>
        </w:r>
        <w:r>
          <w:rPr>
            <w:noProof/>
            <w:webHidden/>
          </w:rPr>
        </w:r>
        <w:r>
          <w:rPr>
            <w:noProof/>
            <w:webHidden/>
          </w:rPr>
          <w:fldChar w:fldCharType="separate"/>
        </w:r>
        <w:r w:rsidR="003E4210">
          <w:rPr>
            <w:noProof/>
            <w:webHidden/>
          </w:rPr>
          <w:t>327</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15" w:history="1">
        <w:r w:rsidR="003E4210" w:rsidRPr="005B500B">
          <w:rPr>
            <w:rStyle w:val="Hyperlink"/>
            <w:noProof/>
          </w:rPr>
          <w:t>21.8.2.2.3 Beam Refinement AGC field</w:t>
        </w:r>
        <w:r w:rsidR="003E4210">
          <w:rPr>
            <w:noProof/>
            <w:webHidden/>
          </w:rPr>
          <w:tab/>
        </w:r>
        <w:r>
          <w:rPr>
            <w:noProof/>
            <w:webHidden/>
          </w:rPr>
          <w:fldChar w:fldCharType="begin"/>
        </w:r>
        <w:r w:rsidR="003E4210">
          <w:rPr>
            <w:noProof/>
            <w:webHidden/>
          </w:rPr>
          <w:instrText xml:space="preserve"> PAGEREF _Toc259717415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16" w:history="1">
        <w:r w:rsidR="003E4210" w:rsidRPr="005B500B">
          <w:rPr>
            <w:rStyle w:val="Hyperlink"/>
            <w:noProof/>
          </w:rPr>
          <w:t>21.8.2.2.4 Beam Refinement TRN-R field</w:t>
        </w:r>
        <w:r w:rsidR="003E4210">
          <w:rPr>
            <w:noProof/>
            <w:webHidden/>
          </w:rPr>
          <w:tab/>
        </w:r>
        <w:r>
          <w:rPr>
            <w:noProof/>
            <w:webHidden/>
          </w:rPr>
          <w:fldChar w:fldCharType="begin"/>
        </w:r>
        <w:r w:rsidR="003E4210">
          <w:rPr>
            <w:noProof/>
            <w:webHidden/>
          </w:rPr>
          <w:instrText xml:space="preserve"> PAGEREF _Toc259717416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17" w:history="1">
        <w:r w:rsidR="003E4210" w:rsidRPr="005B500B">
          <w:rPr>
            <w:rStyle w:val="Hyperlink"/>
            <w:noProof/>
          </w:rPr>
          <w:t>21.8.2.2.5 Beam Refinement TRN-T field</w:t>
        </w:r>
        <w:r w:rsidR="003E4210">
          <w:rPr>
            <w:noProof/>
            <w:webHidden/>
          </w:rPr>
          <w:tab/>
        </w:r>
        <w:r>
          <w:rPr>
            <w:noProof/>
            <w:webHidden/>
          </w:rPr>
          <w:fldChar w:fldCharType="begin"/>
        </w:r>
        <w:r w:rsidR="003E4210">
          <w:rPr>
            <w:noProof/>
            <w:webHidden/>
          </w:rPr>
          <w:instrText xml:space="preserve"> PAGEREF _Toc259717417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BD151C">
      <w:pPr>
        <w:pStyle w:val="TOC5"/>
        <w:tabs>
          <w:tab w:val="right" w:leader="dot" w:pos="9890"/>
        </w:tabs>
        <w:rPr>
          <w:rFonts w:asciiTheme="minorHAnsi" w:eastAsiaTheme="minorEastAsia" w:hAnsiTheme="minorHAnsi" w:cstheme="minorBidi"/>
          <w:noProof/>
          <w:sz w:val="22"/>
          <w:szCs w:val="22"/>
          <w:lang w:bidi="ar-SA"/>
        </w:rPr>
      </w:pPr>
      <w:hyperlink w:anchor="_Toc259717418" w:history="1">
        <w:r w:rsidR="003E4210" w:rsidRPr="005B500B">
          <w:rPr>
            <w:rStyle w:val="Hyperlink"/>
            <w:noProof/>
          </w:rPr>
          <w:t>21.8.2.2.6 Channel Measurement</w:t>
        </w:r>
        <w:r w:rsidR="003E4210">
          <w:rPr>
            <w:noProof/>
            <w:webHidden/>
          </w:rPr>
          <w:tab/>
        </w:r>
        <w:r>
          <w:rPr>
            <w:noProof/>
            <w:webHidden/>
          </w:rPr>
          <w:fldChar w:fldCharType="begin"/>
        </w:r>
        <w:r w:rsidR="003E4210">
          <w:rPr>
            <w:noProof/>
            <w:webHidden/>
          </w:rPr>
          <w:instrText xml:space="preserve"> PAGEREF _Toc259717418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419" w:history="1">
        <w:r w:rsidR="003E4210" w:rsidRPr="005B500B">
          <w:rPr>
            <w:rStyle w:val="Hyperlink"/>
            <w:noProof/>
            <w:lang w:eastAsia="ja-JP"/>
          </w:rPr>
          <w:t>21.9</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Golay Sequences</w:t>
        </w:r>
        <w:r w:rsidR="003E4210">
          <w:rPr>
            <w:noProof/>
            <w:webHidden/>
          </w:rPr>
          <w:tab/>
        </w:r>
        <w:r>
          <w:rPr>
            <w:noProof/>
            <w:webHidden/>
          </w:rPr>
          <w:fldChar w:fldCharType="begin"/>
        </w:r>
        <w:r w:rsidR="003E4210">
          <w:rPr>
            <w:noProof/>
            <w:webHidden/>
          </w:rPr>
          <w:instrText xml:space="preserve"> PAGEREF _Toc259717419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BD151C">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420" w:history="1">
        <w:r w:rsidR="003E4210" w:rsidRPr="005B500B">
          <w:rPr>
            <w:rStyle w:val="Hyperlink"/>
            <w:noProof/>
            <w:lang w:eastAsia="ja-JP"/>
          </w:rPr>
          <w:t>21.10</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PLME</w:t>
        </w:r>
        <w:r w:rsidR="003E4210">
          <w:rPr>
            <w:noProof/>
            <w:webHidden/>
          </w:rPr>
          <w:tab/>
        </w:r>
        <w:r>
          <w:rPr>
            <w:noProof/>
            <w:webHidden/>
          </w:rPr>
          <w:fldChar w:fldCharType="begin"/>
        </w:r>
        <w:r w:rsidR="003E4210">
          <w:rPr>
            <w:noProof/>
            <w:webHidden/>
          </w:rPr>
          <w:instrText xml:space="preserve"> PAGEREF _Toc259717420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1" w:history="1">
        <w:r w:rsidR="003E4210" w:rsidRPr="005B500B">
          <w:rPr>
            <w:rStyle w:val="Hyperlink"/>
            <w:noProof/>
          </w:rPr>
          <w:t>21.10.1 PLME_SAP sublayer management primitives</w:t>
        </w:r>
        <w:r w:rsidR="003E4210">
          <w:rPr>
            <w:noProof/>
            <w:webHidden/>
          </w:rPr>
          <w:tab/>
        </w:r>
        <w:r>
          <w:rPr>
            <w:noProof/>
            <w:webHidden/>
          </w:rPr>
          <w:fldChar w:fldCharType="begin"/>
        </w:r>
        <w:r w:rsidR="003E4210">
          <w:rPr>
            <w:noProof/>
            <w:webHidden/>
          </w:rPr>
          <w:instrText xml:space="preserve"> PAGEREF _Toc259717421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2" w:history="1">
        <w:r w:rsidR="003E4210" w:rsidRPr="005B500B">
          <w:rPr>
            <w:rStyle w:val="Hyperlink"/>
            <w:noProof/>
          </w:rPr>
          <w:t>21.10.2 mmWave PHY Management Information Base</w:t>
        </w:r>
        <w:r w:rsidR="003E4210">
          <w:rPr>
            <w:noProof/>
            <w:webHidden/>
          </w:rPr>
          <w:tab/>
        </w:r>
        <w:r>
          <w:rPr>
            <w:noProof/>
            <w:webHidden/>
          </w:rPr>
          <w:fldChar w:fldCharType="begin"/>
        </w:r>
        <w:r w:rsidR="003E4210">
          <w:rPr>
            <w:noProof/>
            <w:webHidden/>
          </w:rPr>
          <w:instrText xml:space="preserve"> PAGEREF _Toc259717422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3" w:history="1">
        <w:r w:rsidR="003E4210" w:rsidRPr="005B500B">
          <w:rPr>
            <w:rStyle w:val="Hyperlink"/>
            <w:noProof/>
          </w:rPr>
          <w:t>21.10.3 TXTIME calculation</w:t>
        </w:r>
        <w:r w:rsidR="003E4210">
          <w:rPr>
            <w:noProof/>
            <w:webHidden/>
          </w:rPr>
          <w:tab/>
        </w:r>
        <w:r>
          <w:rPr>
            <w:noProof/>
            <w:webHidden/>
          </w:rPr>
          <w:fldChar w:fldCharType="begin"/>
        </w:r>
        <w:r w:rsidR="003E4210">
          <w:rPr>
            <w:noProof/>
            <w:webHidden/>
          </w:rPr>
          <w:instrText xml:space="preserve"> PAGEREF _Toc259717423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4" w:history="1">
        <w:r w:rsidR="003E4210" w:rsidRPr="005B500B">
          <w:rPr>
            <w:rStyle w:val="Hyperlink"/>
            <w:noProof/>
          </w:rPr>
          <w:t>21.10.4 PHY characteristics</w:t>
        </w:r>
        <w:r w:rsidR="003E4210">
          <w:rPr>
            <w:noProof/>
            <w:webHidden/>
          </w:rPr>
          <w:tab/>
        </w:r>
        <w:r>
          <w:rPr>
            <w:noProof/>
            <w:webHidden/>
          </w:rPr>
          <w:fldChar w:fldCharType="begin"/>
        </w:r>
        <w:r w:rsidR="003E4210">
          <w:rPr>
            <w:noProof/>
            <w:webHidden/>
          </w:rPr>
          <w:instrText xml:space="preserve"> PAGEREF _Toc259717424 \h </w:instrText>
        </w:r>
        <w:r>
          <w:rPr>
            <w:noProof/>
            <w:webHidden/>
          </w:rPr>
        </w:r>
        <w:r>
          <w:rPr>
            <w:noProof/>
            <w:webHidden/>
          </w:rPr>
          <w:fldChar w:fldCharType="separate"/>
        </w:r>
        <w:r w:rsidR="003E4210">
          <w:rPr>
            <w:noProof/>
            <w:webHidden/>
          </w:rPr>
          <w:t>331</w:t>
        </w:r>
        <w:r>
          <w:rPr>
            <w:noProof/>
            <w:webHidden/>
          </w:rPr>
          <w:fldChar w:fldCharType="end"/>
        </w:r>
      </w:hyperlink>
    </w:p>
    <w:p w:rsidR="003E4210" w:rsidRDefault="00BD151C">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425" w:history="1">
        <w:r w:rsidR="003E4210" w:rsidRPr="005B500B">
          <w:rPr>
            <w:rStyle w:val="Hyperlink"/>
            <w:noProof/>
          </w:rPr>
          <w:t>Annex A (normative) PICS</w:t>
        </w:r>
        <w:r w:rsidR="003E4210">
          <w:rPr>
            <w:noProof/>
            <w:webHidden/>
          </w:rPr>
          <w:tab/>
        </w:r>
        <w:r>
          <w:rPr>
            <w:noProof/>
            <w:webHidden/>
          </w:rPr>
          <w:fldChar w:fldCharType="begin"/>
        </w:r>
        <w:r w:rsidR="003E4210">
          <w:rPr>
            <w:noProof/>
            <w:webHidden/>
          </w:rPr>
          <w:instrText xml:space="preserve"> PAGEREF _Toc259717425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BD151C">
      <w:pPr>
        <w:pStyle w:val="TOC2"/>
        <w:tabs>
          <w:tab w:val="right" w:leader="dot" w:pos="9890"/>
        </w:tabs>
        <w:rPr>
          <w:rFonts w:asciiTheme="minorHAnsi" w:eastAsiaTheme="minorEastAsia" w:hAnsiTheme="minorHAnsi" w:cstheme="minorBidi"/>
          <w:smallCaps w:val="0"/>
          <w:noProof/>
          <w:sz w:val="22"/>
          <w:szCs w:val="22"/>
          <w:lang w:bidi="ar-SA"/>
        </w:rPr>
      </w:pPr>
      <w:hyperlink w:anchor="_Toc259717426" w:history="1">
        <w:r w:rsidR="003E4210" w:rsidRPr="005B500B">
          <w:rPr>
            <w:rStyle w:val="Hyperlink"/>
            <w:noProof/>
          </w:rPr>
          <w:t>A.4 PICS proforma-IEEE Std 802.11-2007</w:t>
        </w:r>
        <w:r w:rsidR="003E4210">
          <w:rPr>
            <w:noProof/>
            <w:webHidden/>
          </w:rPr>
          <w:tab/>
        </w:r>
        <w:r>
          <w:rPr>
            <w:noProof/>
            <w:webHidden/>
          </w:rPr>
          <w:fldChar w:fldCharType="begin"/>
        </w:r>
        <w:r w:rsidR="003E4210">
          <w:rPr>
            <w:noProof/>
            <w:webHidden/>
          </w:rPr>
          <w:instrText xml:space="preserve"> PAGEREF _Toc259717426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7" w:history="1">
        <w:r w:rsidR="003E4210" w:rsidRPr="005B500B">
          <w:rPr>
            <w:rStyle w:val="Hyperlink"/>
            <w:noProof/>
          </w:rPr>
          <w:t>A.4.3 IUT configuration</w:t>
        </w:r>
        <w:r w:rsidR="003E4210">
          <w:rPr>
            <w:noProof/>
            <w:webHidden/>
          </w:rPr>
          <w:tab/>
        </w:r>
        <w:r>
          <w:rPr>
            <w:noProof/>
            <w:webHidden/>
          </w:rPr>
          <w:fldChar w:fldCharType="begin"/>
        </w:r>
        <w:r w:rsidR="003E4210">
          <w:rPr>
            <w:noProof/>
            <w:webHidden/>
          </w:rPr>
          <w:instrText xml:space="preserve"> PAGEREF _Toc259717427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BD151C">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8" w:history="1">
        <w:r w:rsidR="003E4210" w:rsidRPr="005B500B">
          <w:rPr>
            <w:rStyle w:val="Hyperlink"/>
            <w:noProof/>
          </w:rPr>
          <w:t>A.4.21 mmWave features</w:t>
        </w:r>
        <w:r w:rsidR="003E4210">
          <w:rPr>
            <w:noProof/>
            <w:webHidden/>
          </w:rPr>
          <w:tab/>
        </w:r>
        <w:r>
          <w:rPr>
            <w:noProof/>
            <w:webHidden/>
          </w:rPr>
          <w:fldChar w:fldCharType="begin"/>
        </w:r>
        <w:r w:rsidR="003E4210">
          <w:rPr>
            <w:noProof/>
            <w:webHidden/>
          </w:rPr>
          <w:instrText xml:space="preserve"> PAGEREF _Toc259717428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429" w:history="1">
        <w:r w:rsidR="003E4210" w:rsidRPr="005B500B">
          <w:rPr>
            <w:rStyle w:val="Hyperlink"/>
            <w:noProof/>
          </w:rPr>
          <w:t>A.4.21.1 mmWave MAC features</w:t>
        </w:r>
        <w:r w:rsidR="003E4210">
          <w:rPr>
            <w:noProof/>
            <w:webHidden/>
          </w:rPr>
          <w:tab/>
        </w:r>
        <w:r>
          <w:rPr>
            <w:noProof/>
            <w:webHidden/>
          </w:rPr>
          <w:fldChar w:fldCharType="begin"/>
        </w:r>
        <w:r w:rsidR="003E4210">
          <w:rPr>
            <w:noProof/>
            <w:webHidden/>
          </w:rPr>
          <w:instrText xml:space="preserve"> PAGEREF _Toc259717429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BD151C">
      <w:pPr>
        <w:pStyle w:val="TOC4"/>
        <w:tabs>
          <w:tab w:val="right" w:leader="dot" w:pos="9890"/>
        </w:tabs>
        <w:rPr>
          <w:rFonts w:asciiTheme="minorHAnsi" w:eastAsiaTheme="minorEastAsia" w:hAnsiTheme="minorHAnsi" w:cstheme="minorBidi"/>
          <w:noProof/>
          <w:sz w:val="22"/>
          <w:szCs w:val="22"/>
          <w:lang w:bidi="ar-SA"/>
        </w:rPr>
      </w:pPr>
      <w:hyperlink w:anchor="_Toc259717430" w:history="1">
        <w:r w:rsidR="003E4210" w:rsidRPr="005B500B">
          <w:rPr>
            <w:rStyle w:val="Hyperlink"/>
            <w:noProof/>
          </w:rPr>
          <w:t>A.4.21.2 mmWave PHY features</w:t>
        </w:r>
        <w:r w:rsidR="003E4210">
          <w:rPr>
            <w:noProof/>
            <w:webHidden/>
          </w:rPr>
          <w:tab/>
        </w:r>
        <w:r>
          <w:rPr>
            <w:noProof/>
            <w:webHidden/>
          </w:rPr>
          <w:fldChar w:fldCharType="begin"/>
        </w:r>
        <w:r w:rsidR="003E4210">
          <w:rPr>
            <w:noProof/>
            <w:webHidden/>
          </w:rPr>
          <w:instrText xml:space="preserve"> PAGEREF _Toc259717430 \h </w:instrText>
        </w:r>
        <w:r>
          <w:rPr>
            <w:noProof/>
            <w:webHidden/>
          </w:rPr>
        </w:r>
        <w:r>
          <w:rPr>
            <w:noProof/>
            <w:webHidden/>
          </w:rPr>
          <w:fldChar w:fldCharType="separate"/>
        </w:r>
        <w:r w:rsidR="003E4210">
          <w:rPr>
            <w:noProof/>
            <w:webHidden/>
          </w:rPr>
          <w:t>333</w:t>
        </w:r>
        <w:r>
          <w:rPr>
            <w:noProof/>
            <w:webHidden/>
          </w:rPr>
          <w:fldChar w:fldCharType="end"/>
        </w:r>
      </w:hyperlink>
    </w:p>
    <w:p w:rsidR="003E4210" w:rsidRDefault="00BD151C">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431" w:history="1">
        <w:r w:rsidR="003E4210" w:rsidRPr="005B500B">
          <w:rPr>
            <w:rStyle w:val="Hyperlink"/>
            <w:noProof/>
          </w:rPr>
          <w:t>Annex D (normative) ASN.1 encoding of the MAC and PHY MIB</w:t>
        </w:r>
        <w:r w:rsidR="003E4210">
          <w:rPr>
            <w:noProof/>
            <w:webHidden/>
          </w:rPr>
          <w:tab/>
        </w:r>
        <w:r>
          <w:rPr>
            <w:noProof/>
            <w:webHidden/>
          </w:rPr>
          <w:fldChar w:fldCharType="begin"/>
        </w:r>
        <w:r w:rsidR="003E4210">
          <w:rPr>
            <w:noProof/>
            <w:webHidden/>
          </w:rPr>
          <w:instrText xml:space="preserve"> PAGEREF _Toc259717431 \h </w:instrText>
        </w:r>
        <w:r>
          <w:rPr>
            <w:noProof/>
            <w:webHidden/>
          </w:rPr>
        </w:r>
        <w:r>
          <w:rPr>
            <w:noProof/>
            <w:webHidden/>
          </w:rPr>
          <w:fldChar w:fldCharType="separate"/>
        </w:r>
        <w:r w:rsidR="003E4210">
          <w:rPr>
            <w:noProof/>
            <w:webHidden/>
          </w:rPr>
          <w:t>333</w:t>
        </w:r>
        <w:r>
          <w:rPr>
            <w:noProof/>
            <w:webHidden/>
          </w:rPr>
          <w:fldChar w:fldCharType="end"/>
        </w:r>
      </w:hyperlink>
    </w:p>
    <w:p w:rsidR="003E4210" w:rsidRDefault="00BD151C">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432" w:history="1">
        <w:r w:rsidR="003E4210" w:rsidRPr="005B500B">
          <w:rPr>
            <w:rStyle w:val="Hyperlink"/>
            <w:noProof/>
          </w:rPr>
          <w:t>Annex J (normative) Country information element and regulatory classes</w:t>
        </w:r>
        <w:r w:rsidR="003E4210">
          <w:rPr>
            <w:noProof/>
            <w:webHidden/>
          </w:rPr>
          <w:tab/>
        </w:r>
        <w:r>
          <w:rPr>
            <w:noProof/>
            <w:webHidden/>
          </w:rPr>
          <w:fldChar w:fldCharType="begin"/>
        </w:r>
        <w:r w:rsidR="003E4210">
          <w:rPr>
            <w:noProof/>
            <w:webHidden/>
          </w:rPr>
          <w:instrText xml:space="preserve"> PAGEREF _Toc259717432 \h </w:instrText>
        </w:r>
        <w:r>
          <w:rPr>
            <w:noProof/>
            <w:webHidden/>
          </w:rPr>
        </w:r>
        <w:r>
          <w:rPr>
            <w:noProof/>
            <w:webHidden/>
          </w:rPr>
          <w:fldChar w:fldCharType="separate"/>
        </w:r>
        <w:r w:rsidR="003E4210">
          <w:rPr>
            <w:noProof/>
            <w:webHidden/>
          </w:rPr>
          <w:t>334</w:t>
        </w:r>
        <w:r>
          <w:rPr>
            <w:noProof/>
            <w:webHidden/>
          </w:rPr>
          <w:fldChar w:fldCharType="end"/>
        </w:r>
      </w:hyperlink>
    </w:p>
    <w:p w:rsidR="008C36FC" w:rsidRPr="00617E00" w:rsidRDefault="00BD151C" w:rsidP="008C4C94">
      <w:pPr>
        <w:jc w:val="center"/>
        <w:rPr>
          <w:b/>
          <w:color w:val="000000"/>
        </w:rPr>
      </w:pPr>
      <w:r>
        <w:rPr>
          <w:b/>
          <w:bCs/>
          <w:color w:val="000000"/>
          <w:sz w:val="20"/>
          <w:szCs w:val="20"/>
        </w:rPr>
        <w:fldChar w:fldCharType="end"/>
      </w:r>
    </w:p>
    <w:p w:rsidR="008C36FC" w:rsidRPr="00617E00" w:rsidRDefault="001E3E65" w:rsidP="007F7004">
      <w:pPr>
        <w:outlineLvl w:val="0"/>
        <w:rPr>
          <w:b/>
          <w:color w:val="000000"/>
          <w:sz w:val="32"/>
        </w:rPr>
      </w:pPr>
      <w:r w:rsidRPr="00617E00">
        <w:rPr>
          <w:b/>
          <w:color w:val="000000"/>
          <w:sz w:val="32"/>
        </w:rPr>
        <w:t xml:space="preserve">List </w:t>
      </w:r>
      <w:r w:rsidR="008C36FC" w:rsidRPr="00617E00">
        <w:rPr>
          <w:b/>
          <w:color w:val="000000"/>
          <w:sz w:val="32"/>
        </w:rPr>
        <w:t>of Figures</w:t>
      </w:r>
    </w:p>
    <w:p w:rsidR="001E3E65" w:rsidRPr="00617E00" w:rsidRDefault="001E3E65" w:rsidP="0091073E">
      <w:pPr>
        <w:jc w:val="center"/>
        <w:outlineLvl w:val="0"/>
        <w:rPr>
          <w:b/>
          <w:color w:val="000000"/>
        </w:rPr>
      </w:pPr>
    </w:p>
    <w:p w:rsidR="003E4210" w:rsidRDefault="00BD151C">
      <w:pPr>
        <w:pStyle w:val="TableofFigures"/>
        <w:tabs>
          <w:tab w:val="right" w:leader="dot" w:pos="9890"/>
        </w:tabs>
        <w:rPr>
          <w:rFonts w:asciiTheme="minorHAnsi" w:eastAsiaTheme="minorEastAsia" w:hAnsiTheme="minorHAnsi" w:cstheme="minorBidi"/>
          <w:noProof/>
          <w:sz w:val="22"/>
          <w:szCs w:val="22"/>
        </w:rPr>
      </w:pPr>
      <w:r w:rsidRPr="00BD151C">
        <w:rPr>
          <w:b/>
          <w:color w:val="000000"/>
        </w:rPr>
        <w:fldChar w:fldCharType="begin"/>
      </w:r>
      <w:r w:rsidR="00AB2E33">
        <w:rPr>
          <w:b/>
          <w:color w:val="000000"/>
        </w:rPr>
        <w:instrText xml:space="preserve"> TOC \h \z \c "Figure" </w:instrText>
      </w:r>
      <w:r w:rsidRPr="00BD151C">
        <w:rPr>
          <w:b/>
          <w:color w:val="000000"/>
        </w:rPr>
        <w:fldChar w:fldCharType="separate"/>
      </w:r>
      <w:hyperlink w:anchor="_Toc259717433" w:history="1">
        <w:r w:rsidR="003E4210" w:rsidRPr="005B148D">
          <w:rPr>
            <w:rStyle w:val="Hyperlink"/>
            <w:noProof/>
          </w:rPr>
          <w:t>Figure 1 – Logical architecture of a PBSS</w:t>
        </w:r>
        <w:r w:rsidR="003E4210">
          <w:rPr>
            <w:noProof/>
            <w:webHidden/>
          </w:rPr>
          <w:tab/>
        </w:r>
        <w:r>
          <w:rPr>
            <w:noProof/>
            <w:webHidden/>
          </w:rPr>
          <w:fldChar w:fldCharType="begin"/>
        </w:r>
        <w:r w:rsidR="003E4210">
          <w:rPr>
            <w:noProof/>
            <w:webHidden/>
          </w:rPr>
          <w:instrText xml:space="preserve"> PAGEREF _Toc259717433 \h </w:instrText>
        </w:r>
        <w:r>
          <w:rPr>
            <w:noProof/>
            <w:webHidden/>
          </w:rPr>
        </w:r>
        <w:r>
          <w:rPr>
            <w:noProof/>
            <w:webHidden/>
          </w:rPr>
          <w:fldChar w:fldCharType="separate"/>
        </w:r>
        <w:r w:rsidR="003E4210">
          <w:rPr>
            <w:noProof/>
            <w:webHidden/>
          </w:rPr>
          <w:t>25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34" w:history="1">
        <w:r w:rsidR="003E4210" w:rsidRPr="005B148D">
          <w:rPr>
            <w:rStyle w:val="Hyperlink"/>
            <w:noProof/>
          </w:rPr>
          <w:t>Figure 2 – RSNA setup in PBSS</w:t>
        </w:r>
        <w:r w:rsidR="003E4210">
          <w:rPr>
            <w:noProof/>
            <w:webHidden/>
          </w:rPr>
          <w:tab/>
        </w:r>
        <w:r>
          <w:rPr>
            <w:noProof/>
            <w:webHidden/>
          </w:rPr>
          <w:fldChar w:fldCharType="begin"/>
        </w:r>
        <w:r w:rsidR="003E4210">
          <w:rPr>
            <w:noProof/>
            <w:webHidden/>
          </w:rPr>
          <w:instrText xml:space="preserve"> PAGEREF _Toc259717434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35" w:history="1">
        <w:r w:rsidR="003E4210" w:rsidRPr="005B148D">
          <w:rPr>
            <w:rStyle w:val="Hyperlink"/>
            <w:noProof/>
          </w:rPr>
          <w:t>Figure 3 – Poll frame</w:t>
        </w:r>
        <w:r w:rsidR="003E4210">
          <w:rPr>
            <w:noProof/>
            <w:webHidden/>
          </w:rPr>
          <w:tab/>
        </w:r>
        <w:r>
          <w:rPr>
            <w:noProof/>
            <w:webHidden/>
          </w:rPr>
          <w:fldChar w:fldCharType="begin"/>
        </w:r>
        <w:r w:rsidR="003E4210">
          <w:rPr>
            <w:noProof/>
            <w:webHidden/>
          </w:rPr>
          <w:instrText xml:space="preserve"> PAGEREF _Toc259717435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36" w:history="1">
        <w:r w:rsidR="003E4210" w:rsidRPr="005B148D">
          <w:rPr>
            <w:rStyle w:val="Hyperlink"/>
            <w:noProof/>
          </w:rPr>
          <w:t>Figure 4 – SPR frame</w:t>
        </w:r>
        <w:r w:rsidR="003E4210">
          <w:rPr>
            <w:noProof/>
            <w:webHidden/>
          </w:rPr>
          <w:tab/>
        </w:r>
        <w:r>
          <w:rPr>
            <w:noProof/>
            <w:webHidden/>
          </w:rPr>
          <w:fldChar w:fldCharType="begin"/>
        </w:r>
        <w:r w:rsidR="003E4210">
          <w:rPr>
            <w:noProof/>
            <w:webHidden/>
          </w:rPr>
          <w:instrText xml:space="preserve"> PAGEREF _Toc259717436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37" w:history="1">
        <w:r w:rsidR="003E4210" w:rsidRPr="005B148D">
          <w:rPr>
            <w:rStyle w:val="Hyperlink"/>
            <w:noProof/>
          </w:rPr>
          <w:t>Figure 5 – Grant frame</w:t>
        </w:r>
        <w:r w:rsidR="003E4210">
          <w:rPr>
            <w:noProof/>
            <w:webHidden/>
          </w:rPr>
          <w:tab/>
        </w:r>
        <w:r>
          <w:rPr>
            <w:noProof/>
            <w:webHidden/>
          </w:rPr>
          <w:fldChar w:fldCharType="begin"/>
        </w:r>
        <w:r w:rsidR="003E4210">
          <w:rPr>
            <w:noProof/>
            <w:webHidden/>
          </w:rPr>
          <w:instrText xml:space="preserve"> PAGEREF _Toc259717437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38" w:history="1">
        <w:r w:rsidR="003E4210" w:rsidRPr="005B148D">
          <w:rPr>
            <w:rStyle w:val="Hyperlink"/>
            <w:noProof/>
          </w:rPr>
          <w:t>Figure 6</w:t>
        </w:r>
        <w:r w:rsidR="003E4210" w:rsidRPr="005B148D">
          <w:rPr>
            <w:rStyle w:val="Hyperlink"/>
            <w:bCs/>
            <w:noProof/>
          </w:rPr>
          <w:t xml:space="preserve"> – mmWaveCTS frame</w:t>
        </w:r>
        <w:r w:rsidR="003E4210">
          <w:rPr>
            <w:noProof/>
            <w:webHidden/>
          </w:rPr>
          <w:tab/>
        </w:r>
        <w:r>
          <w:rPr>
            <w:noProof/>
            <w:webHidden/>
          </w:rPr>
          <w:fldChar w:fldCharType="begin"/>
        </w:r>
        <w:r w:rsidR="003E4210">
          <w:rPr>
            <w:noProof/>
            <w:webHidden/>
          </w:rPr>
          <w:instrText xml:space="preserve"> PAGEREF _Toc259717438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39" w:history="1">
        <w:r w:rsidR="003E4210" w:rsidRPr="005B148D">
          <w:rPr>
            <w:rStyle w:val="Hyperlink"/>
            <w:noProof/>
          </w:rPr>
          <w:t>Figure 7</w:t>
        </w:r>
        <w:r w:rsidR="003E4210" w:rsidRPr="005B148D">
          <w:rPr>
            <w:rStyle w:val="Hyperlink"/>
            <w:bCs/>
            <w:noProof/>
          </w:rPr>
          <w:t xml:space="preserve"> – mmWaveDTS frame</w:t>
        </w:r>
        <w:r w:rsidR="003E4210">
          <w:rPr>
            <w:noProof/>
            <w:webHidden/>
          </w:rPr>
          <w:tab/>
        </w:r>
        <w:r>
          <w:rPr>
            <w:noProof/>
            <w:webHidden/>
          </w:rPr>
          <w:fldChar w:fldCharType="begin"/>
        </w:r>
        <w:r w:rsidR="003E4210">
          <w:rPr>
            <w:noProof/>
            <w:webHidden/>
          </w:rPr>
          <w:instrText xml:space="preserve"> PAGEREF _Toc259717439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0" w:history="1">
        <w:r w:rsidR="003E4210" w:rsidRPr="005B148D">
          <w:rPr>
            <w:rStyle w:val="Hyperlink"/>
            <w:noProof/>
          </w:rPr>
          <w:t>Figure 8</w:t>
        </w:r>
        <w:r w:rsidR="003E4210" w:rsidRPr="005B148D">
          <w:rPr>
            <w:rStyle w:val="Hyperlink"/>
            <w:bCs/>
            <w:noProof/>
          </w:rPr>
          <w:t xml:space="preserve"> – mmWaveCF-End frame</w:t>
        </w:r>
        <w:r w:rsidR="003E4210">
          <w:rPr>
            <w:noProof/>
            <w:webHidden/>
          </w:rPr>
          <w:tab/>
        </w:r>
        <w:r>
          <w:rPr>
            <w:noProof/>
            <w:webHidden/>
          </w:rPr>
          <w:fldChar w:fldCharType="begin"/>
        </w:r>
        <w:r w:rsidR="003E4210">
          <w:rPr>
            <w:noProof/>
            <w:webHidden/>
          </w:rPr>
          <w:instrText xml:space="preserve"> PAGEREF _Toc259717440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1" w:history="1">
        <w:r w:rsidR="003E4210" w:rsidRPr="005B148D">
          <w:rPr>
            <w:rStyle w:val="Hyperlink"/>
            <w:noProof/>
          </w:rPr>
          <w:t>Figure 9 – SS frame</w:t>
        </w:r>
        <w:r w:rsidR="003E4210">
          <w:rPr>
            <w:noProof/>
            <w:webHidden/>
          </w:rPr>
          <w:tab/>
        </w:r>
        <w:r>
          <w:rPr>
            <w:noProof/>
            <w:webHidden/>
          </w:rPr>
          <w:fldChar w:fldCharType="begin"/>
        </w:r>
        <w:r w:rsidR="003E4210">
          <w:rPr>
            <w:noProof/>
            <w:webHidden/>
          </w:rPr>
          <w:instrText xml:space="preserve"> PAGEREF _Toc259717441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2" w:history="1">
        <w:r w:rsidR="003E4210" w:rsidRPr="005B148D">
          <w:rPr>
            <w:rStyle w:val="Hyperlink"/>
            <w:noProof/>
          </w:rPr>
          <w:t>Figure 10 – SS-Feedback frame</w:t>
        </w:r>
        <w:r w:rsidR="003E4210">
          <w:rPr>
            <w:noProof/>
            <w:webHidden/>
          </w:rPr>
          <w:tab/>
        </w:r>
        <w:r>
          <w:rPr>
            <w:noProof/>
            <w:webHidden/>
          </w:rPr>
          <w:fldChar w:fldCharType="begin"/>
        </w:r>
        <w:r w:rsidR="003E4210">
          <w:rPr>
            <w:noProof/>
            <w:webHidden/>
          </w:rPr>
          <w:instrText xml:space="preserve"> PAGEREF _Toc259717442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3" w:history="1">
        <w:r w:rsidR="003E4210" w:rsidRPr="005B148D">
          <w:rPr>
            <w:rStyle w:val="Hyperlink"/>
            <w:noProof/>
          </w:rPr>
          <w:t>Figure 11 – SS-ACK frame</w:t>
        </w:r>
        <w:r w:rsidR="003E4210">
          <w:rPr>
            <w:noProof/>
            <w:webHidden/>
          </w:rPr>
          <w:tab/>
        </w:r>
        <w:r>
          <w:rPr>
            <w:noProof/>
            <w:webHidden/>
          </w:rPr>
          <w:fldChar w:fldCharType="begin"/>
        </w:r>
        <w:r w:rsidR="003E4210">
          <w:rPr>
            <w:noProof/>
            <w:webHidden/>
          </w:rPr>
          <w:instrText xml:space="preserve"> PAGEREF _Toc259717443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4" w:history="1">
        <w:r w:rsidR="003E4210" w:rsidRPr="005B148D">
          <w:rPr>
            <w:rStyle w:val="Hyperlink"/>
            <w:noProof/>
          </w:rPr>
          <w:t>Figure 12 – Short A-MSDU subframe structure</w:t>
        </w:r>
        <w:r w:rsidR="003E4210">
          <w:rPr>
            <w:noProof/>
            <w:webHidden/>
          </w:rPr>
          <w:tab/>
        </w:r>
        <w:r>
          <w:rPr>
            <w:noProof/>
            <w:webHidden/>
          </w:rPr>
          <w:fldChar w:fldCharType="begin"/>
        </w:r>
        <w:r w:rsidR="003E4210">
          <w:rPr>
            <w:noProof/>
            <w:webHidden/>
          </w:rPr>
          <w:instrText xml:space="preserve"> PAGEREF _Toc259717444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5" w:history="1">
        <w:r w:rsidR="003E4210" w:rsidRPr="005B148D">
          <w:rPr>
            <w:rStyle w:val="Hyperlink"/>
            <w:noProof/>
            <w:lang w:val="fr-FR"/>
          </w:rPr>
          <w:t>Figure 13 – mmWave Beacon frame format</w:t>
        </w:r>
        <w:r w:rsidR="003E4210">
          <w:rPr>
            <w:noProof/>
            <w:webHidden/>
          </w:rPr>
          <w:tab/>
        </w:r>
        <w:r>
          <w:rPr>
            <w:noProof/>
            <w:webHidden/>
          </w:rPr>
          <w:fldChar w:fldCharType="begin"/>
        </w:r>
        <w:r w:rsidR="003E4210">
          <w:rPr>
            <w:noProof/>
            <w:webHidden/>
          </w:rPr>
          <w:instrText xml:space="preserve"> PAGEREF _Toc259717445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6" w:history="1">
        <w:r w:rsidR="003E4210" w:rsidRPr="005B148D">
          <w:rPr>
            <w:rStyle w:val="Hyperlink"/>
            <w:noProof/>
          </w:rPr>
          <w:t>Figure 14 – Beacon Interval Control</w:t>
        </w:r>
        <w:r w:rsidR="003E4210">
          <w:rPr>
            <w:noProof/>
            <w:webHidden/>
          </w:rPr>
          <w:tab/>
        </w:r>
        <w:r>
          <w:rPr>
            <w:noProof/>
            <w:webHidden/>
          </w:rPr>
          <w:fldChar w:fldCharType="begin"/>
        </w:r>
        <w:r w:rsidR="003E4210">
          <w:rPr>
            <w:noProof/>
            <w:webHidden/>
          </w:rPr>
          <w:instrText xml:space="preserve"> PAGEREF _Toc259717446 \h </w:instrText>
        </w:r>
        <w:r>
          <w:rPr>
            <w:noProof/>
            <w:webHidden/>
          </w:rPr>
        </w:r>
        <w:r>
          <w:rPr>
            <w:noProof/>
            <w:webHidden/>
          </w:rPr>
          <w:fldChar w:fldCharType="separate"/>
        </w:r>
        <w:r w:rsidR="003E4210">
          <w:rPr>
            <w:noProof/>
            <w:webHidden/>
          </w:rPr>
          <w:t>41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7" w:history="1">
        <w:r w:rsidR="003E4210" w:rsidRPr="005B148D">
          <w:rPr>
            <w:rStyle w:val="Hyperlink"/>
            <w:noProof/>
          </w:rPr>
          <w:t>Figure 15 – mmWave Capability</w:t>
        </w:r>
        <w:r w:rsidR="003E4210">
          <w:rPr>
            <w:noProof/>
            <w:webHidden/>
          </w:rPr>
          <w:tab/>
        </w:r>
        <w:r>
          <w:rPr>
            <w:noProof/>
            <w:webHidden/>
          </w:rPr>
          <w:fldChar w:fldCharType="begin"/>
        </w:r>
        <w:r w:rsidR="003E4210">
          <w:rPr>
            <w:noProof/>
            <w:webHidden/>
          </w:rPr>
          <w:instrText xml:space="preserve"> PAGEREF _Toc259717447 \h </w:instrText>
        </w:r>
        <w:r>
          <w:rPr>
            <w:noProof/>
            <w:webHidden/>
          </w:rPr>
        </w:r>
        <w:r>
          <w:rPr>
            <w:noProof/>
            <w:webHidden/>
          </w:rPr>
          <w:fldChar w:fldCharType="separate"/>
        </w:r>
        <w:r w:rsidR="003E4210">
          <w:rPr>
            <w:noProof/>
            <w:webHidden/>
          </w:rPr>
          <w:t>42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8" w:history="1">
        <w:r w:rsidR="003E4210" w:rsidRPr="005B148D">
          <w:rPr>
            <w:rStyle w:val="Hyperlink"/>
            <w:noProof/>
          </w:rPr>
          <w:t>Figure 16 – PCP/AP clustering control field format</w:t>
        </w:r>
        <w:r w:rsidR="003E4210">
          <w:rPr>
            <w:noProof/>
            <w:webHidden/>
          </w:rPr>
          <w:tab/>
        </w:r>
        <w:r>
          <w:rPr>
            <w:noProof/>
            <w:webHidden/>
          </w:rPr>
          <w:fldChar w:fldCharType="begin"/>
        </w:r>
        <w:r w:rsidR="003E4210">
          <w:rPr>
            <w:noProof/>
            <w:webHidden/>
          </w:rPr>
          <w:instrText xml:space="preserve"> PAGEREF _Toc259717448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49" w:history="1">
        <w:r w:rsidR="003E4210" w:rsidRPr="005B148D">
          <w:rPr>
            <w:rStyle w:val="Hyperlink"/>
            <w:noProof/>
          </w:rPr>
          <w:t>Figure 17 – Relay STA Info field</w:t>
        </w:r>
        <w:r w:rsidR="003E4210">
          <w:rPr>
            <w:noProof/>
            <w:webHidden/>
          </w:rPr>
          <w:tab/>
        </w:r>
        <w:r>
          <w:rPr>
            <w:noProof/>
            <w:webHidden/>
          </w:rPr>
          <w:fldChar w:fldCharType="begin"/>
        </w:r>
        <w:r w:rsidR="003E4210">
          <w:rPr>
            <w:noProof/>
            <w:webHidden/>
          </w:rPr>
          <w:instrText xml:space="preserve"> PAGEREF _Toc259717449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0" w:history="1">
        <w:r w:rsidR="003E4210" w:rsidRPr="005B148D">
          <w:rPr>
            <w:rStyle w:val="Hyperlink"/>
            <w:noProof/>
          </w:rPr>
          <w:t>Figure 18 – Measurement request field format for Directional Channel Quality Request</w:t>
        </w:r>
        <w:r w:rsidR="003E4210">
          <w:rPr>
            <w:noProof/>
            <w:webHidden/>
          </w:rPr>
          <w:tab/>
        </w:r>
        <w:r>
          <w:rPr>
            <w:noProof/>
            <w:webHidden/>
          </w:rPr>
          <w:fldChar w:fldCharType="begin"/>
        </w:r>
        <w:r w:rsidR="003E4210">
          <w:rPr>
            <w:noProof/>
            <w:webHidden/>
          </w:rPr>
          <w:instrText xml:space="preserve"> PAGEREF _Toc259717450 \h </w:instrText>
        </w:r>
        <w:r>
          <w:rPr>
            <w:noProof/>
            <w:webHidden/>
          </w:rPr>
        </w:r>
        <w:r>
          <w:rPr>
            <w:noProof/>
            <w:webHidden/>
          </w:rPr>
          <w:fldChar w:fldCharType="separate"/>
        </w:r>
        <w:r w:rsidR="003E4210">
          <w:rPr>
            <w:noProof/>
            <w:webHidden/>
          </w:rPr>
          <w:t>46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1" w:history="1">
        <w:r w:rsidR="003E4210" w:rsidRPr="005B148D">
          <w:rPr>
            <w:rStyle w:val="Hyperlink"/>
            <w:noProof/>
          </w:rPr>
          <w:t>Figure 19 – Directional Channel Quality Reporting Information data field format</w:t>
        </w:r>
        <w:r w:rsidR="003E4210">
          <w:rPr>
            <w:noProof/>
            <w:webHidden/>
          </w:rPr>
          <w:tab/>
        </w:r>
        <w:r>
          <w:rPr>
            <w:noProof/>
            <w:webHidden/>
          </w:rPr>
          <w:fldChar w:fldCharType="begin"/>
        </w:r>
        <w:r w:rsidR="003E4210">
          <w:rPr>
            <w:noProof/>
            <w:webHidden/>
          </w:rPr>
          <w:instrText xml:space="preserve"> PAGEREF _Toc259717451 \h </w:instrText>
        </w:r>
        <w:r>
          <w:rPr>
            <w:noProof/>
            <w:webHidden/>
          </w:rPr>
        </w:r>
        <w:r>
          <w:rPr>
            <w:noProof/>
            <w:webHidden/>
          </w:rPr>
          <w:fldChar w:fldCharType="separate"/>
        </w:r>
        <w:r w:rsidR="003E4210">
          <w:rPr>
            <w:noProof/>
            <w:webHidden/>
          </w:rPr>
          <w:t>47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2" w:history="1">
        <w:r w:rsidR="003E4210" w:rsidRPr="005B148D">
          <w:rPr>
            <w:rStyle w:val="Hyperlink"/>
            <w:noProof/>
          </w:rPr>
          <w:t xml:space="preserve">Figure 20 – </w:t>
        </w:r>
        <w:r w:rsidR="003E4210" w:rsidRPr="005B148D">
          <w:rPr>
            <w:rStyle w:val="Hyperlink"/>
            <w:rFonts w:eastAsia="SimSun"/>
            <w:noProof/>
            <w:lang w:eastAsia="zh-CN"/>
          </w:rPr>
          <w:t>Directional Measurement Request</w:t>
        </w:r>
        <w:r w:rsidR="003E4210">
          <w:rPr>
            <w:noProof/>
            <w:webHidden/>
          </w:rPr>
          <w:tab/>
        </w:r>
        <w:r>
          <w:rPr>
            <w:noProof/>
            <w:webHidden/>
          </w:rPr>
          <w:fldChar w:fldCharType="begin"/>
        </w:r>
        <w:r w:rsidR="003E4210">
          <w:rPr>
            <w:noProof/>
            <w:webHidden/>
          </w:rPr>
          <w:instrText xml:space="preserve"> PAGEREF _Toc259717452 \h </w:instrText>
        </w:r>
        <w:r>
          <w:rPr>
            <w:noProof/>
            <w:webHidden/>
          </w:rPr>
        </w:r>
        <w:r>
          <w:rPr>
            <w:noProof/>
            <w:webHidden/>
          </w:rPr>
          <w:fldChar w:fldCharType="separate"/>
        </w:r>
        <w:r w:rsidR="003E4210">
          <w:rPr>
            <w:noProof/>
            <w:webHidden/>
          </w:rPr>
          <w:t>48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3" w:history="1">
        <w:r w:rsidR="003E4210" w:rsidRPr="005B148D">
          <w:rPr>
            <w:rStyle w:val="Hyperlink"/>
            <w:noProof/>
          </w:rPr>
          <w:t xml:space="preserve">Figure 21 </w:t>
        </w:r>
        <w:r w:rsidR="003E4210" w:rsidRPr="005B148D">
          <w:rPr>
            <w:rStyle w:val="Hyperlink"/>
            <w:rFonts w:eastAsia="SimSun"/>
            <w:bCs/>
            <w:noProof/>
            <w:lang w:eastAsia="zh-CN"/>
          </w:rPr>
          <w:t>– Directional Statistics Request</w:t>
        </w:r>
        <w:r w:rsidR="003E4210">
          <w:rPr>
            <w:noProof/>
            <w:webHidden/>
          </w:rPr>
          <w:tab/>
        </w:r>
        <w:r>
          <w:rPr>
            <w:noProof/>
            <w:webHidden/>
          </w:rPr>
          <w:fldChar w:fldCharType="begin"/>
        </w:r>
        <w:r w:rsidR="003E4210">
          <w:rPr>
            <w:noProof/>
            <w:webHidden/>
          </w:rPr>
          <w:instrText xml:space="preserve"> PAGEREF _Toc259717453 \h </w:instrText>
        </w:r>
        <w:r>
          <w:rPr>
            <w:noProof/>
            <w:webHidden/>
          </w:rPr>
        </w:r>
        <w:r>
          <w:rPr>
            <w:noProof/>
            <w:webHidden/>
          </w:rPr>
          <w:fldChar w:fldCharType="separate"/>
        </w:r>
        <w:r w:rsidR="003E4210">
          <w:rPr>
            <w:noProof/>
            <w:webHidden/>
          </w:rPr>
          <w:t>49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4" w:history="1">
        <w:r w:rsidR="003E4210" w:rsidRPr="005B148D">
          <w:rPr>
            <w:rStyle w:val="Hyperlink"/>
            <w:noProof/>
          </w:rPr>
          <w:t xml:space="preserve">Figure 22 </w:t>
        </w:r>
        <w:r w:rsidR="003E4210" w:rsidRPr="005B148D">
          <w:rPr>
            <w:rStyle w:val="Hyperlink"/>
            <w:noProof/>
            <w:lang w:eastAsia="zh-CN"/>
          </w:rPr>
          <w:t>– Directional Statistics Bitmap field format</w:t>
        </w:r>
        <w:r w:rsidR="003E4210">
          <w:rPr>
            <w:noProof/>
            <w:webHidden/>
          </w:rPr>
          <w:tab/>
        </w:r>
        <w:r>
          <w:rPr>
            <w:noProof/>
            <w:webHidden/>
          </w:rPr>
          <w:fldChar w:fldCharType="begin"/>
        </w:r>
        <w:r w:rsidR="003E4210">
          <w:rPr>
            <w:noProof/>
            <w:webHidden/>
          </w:rPr>
          <w:instrText xml:space="preserve"> PAGEREF _Toc259717454 \h </w:instrText>
        </w:r>
        <w:r>
          <w:rPr>
            <w:noProof/>
            <w:webHidden/>
          </w:rPr>
        </w:r>
        <w:r>
          <w:rPr>
            <w:noProof/>
            <w:webHidden/>
          </w:rPr>
          <w:fldChar w:fldCharType="separate"/>
        </w:r>
        <w:r w:rsidR="003E4210">
          <w:rPr>
            <w:noProof/>
            <w:webHidden/>
          </w:rPr>
          <w:t>49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5" w:history="1">
        <w:r w:rsidR="003E4210" w:rsidRPr="005B148D">
          <w:rPr>
            <w:rStyle w:val="Hyperlink"/>
            <w:noProof/>
          </w:rPr>
          <w:t>Figure 23 – Measurement report field format for Directional Channel Quality Report</w:t>
        </w:r>
        <w:r w:rsidR="003E4210">
          <w:rPr>
            <w:noProof/>
            <w:webHidden/>
          </w:rPr>
          <w:tab/>
        </w:r>
        <w:r>
          <w:rPr>
            <w:noProof/>
            <w:webHidden/>
          </w:rPr>
          <w:fldChar w:fldCharType="begin"/>
        </w:r>
        <w:r w:rsidR="003E4210">
          <w:rPr>
            <w:noProof/>
            <w:webHidden/>
          </w:rPr>
          <w:instrText xml:space="preserve"> PAGEREF _Toc259717455 \h </w:instrText>
        </w:r>
        <w:r>
          <w:rPr>
            <w:noProof/>
            <w:webHidden/>
          </w:rPr>
        </w:r>
        <w:r>
          <w:rPr>
            <w:noProof/>
            <w:webHidden/>
          </w:rPr>
          <w:fldChar w:fldCharType="separate"/>
        </w:r>
        <w:r w:rsidR="003E4210">
          <w:rPr>
            <w:noProof/>
            <w:webHidden/>
          </w:rPr>
          <w:t>50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6" w:history="1">
        <w:r w:rsidR="003E4210" w:rsidRPr="005B148D">
          <w:rPr>
            <w:rStyle w:val="Hyperlink"/>
            <w:noProof/>
          </w:rPr>
          <w:t xml:space="preserve">Figure 24 </w:t>
        </w:r>
        <w:r w:rsidR="003E4210" w:rsidRPr="005B148D">
          <w:rPr>
            <w:rStyle w:val="Hyperlink"/>
            <w:rFonts w:eastAsia="SimSun"/>
            <w:bCs/>
            <w:noProof/>
            <w:lang w:eastAsia="zh-CN"/>
          </w:rPr>
          <w:t>– Directional Measurement Report</w:t>
        </w:r>
        <w:r w:rsidR="003E4210">
          <w:rPr>
            <w:noProof/>
            <w:webHidden/>
          </w:rPr>
          <w:tab/>
        </w:r>
        <w:r>
          <w:rPr>
            <w:noProof/>
            <w:webHidden/>
          </w:rPr>
          <w:fldChar w:fldCharType="begin"/>
        </w:r>
        <w:r w:rsidR="003E4210">
          <w:rPr>
            <w:noProof/>
            <w:webHidden/>
          </w:rPr>
          <w:instrText xml:space="preserve"> PAGEREF _Toc259717456 \h </w:instrText>
        </w:r>
        <w:r>
          <w:rPr>
            <w:noProof/>
            <w:webHidden/>
          </w:rPr>
        </w:r>
        <w:r>
          <w:rPr>
            <w:noProof/>
            <w:webHidden/>
          </w:rPr>
          <w:fldChar w:fldCharType="separate"/>
        </w:r>
        <w:r w:rsidR="003E4210">
          <w:rPr>
            <w:noProof/>
            <w:webHidden/>
          </w:rPr>
          <w:t>51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7" w:history="1">
        <w:r w:rsidR="003E4210" w:rsidRPr="005B148D">
          <w:rPr>
            <w:rStyle w:val="Hyperlink"/>
            <w:noProof/>
          </w:rPr>
          <w:t>Figure 25 –</w:t>
        </w:r>
        <w:r w:rsidR="003E4210" w:rsidRPr="005B148D">
          <w:rPr>
            <w:rStyle w:val="Hyperlink"/>
            <w:rFonts w:eastAsia="SimSun" w:cs="Arial"/>
            <w:noProof/>
            <w:lang w:eastAsia="zh-CN"/>
          </w:rPr>
          <w:t xml:space="preserve"> Measurement Results field format</w:t>
        </w:r>
        <w:r w:rsidR="003E4210">
          <w:rPr>
            <w:noProof/>
            <w:webHidden/>
          </w:rPr>
          <w:tab/>
        </w:r>
        <w:r>
          <w:rPr>
            <w:noProof/>
            <w:webHidden/>
          </w:rPr>
          <w:fldChar w:fldCharType="begin"/>
        </w:r>
        <w:r w:rsidR="003E4210">
          <w:rPr>
            <w:noProof/>
            <w:webHidden/>
          </w:rPr>
          <w:instrText xml:space="preserve"> PAGEREF _Toc259717457 \h </w:instrText>
        </w:r>
        <w:r>
          <w:rPr>
            <w:noProof/>
            <w:webHidden/>
          </w:rPr>
        </w:r>
        <w:r>
          <w:rPr>
            <w:noProof/>
            <w:webHidden/>
          </w:rPr>
          <w:fldChar w:fldCharType="separate"/>
        </w:r>
        <w:r w:rsidR="003E4210">
          <w:rPr>
            <w:noProof/>
            <w:webHidden/>
          </w:rPr>
          <w:t>52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8" w:history="1">
        <w:r w:rsidR="003E4210" w:rsidRPr="005B148D">
          <w:rPr>
            <w:rStyle w:val="Hyperlink"/>
            <w:noProof/>
          </w:rPr>
          <w:t xml:space="preserve">Figure 26 </w:t>
        </w:r>
        <w:r w:rsidR="003E4210" w:rsidRPr="005B148D">
          <w:rPr>
            <w:rStyle w:val="Hyperlink"/>
            <w:rFonts w:eastAsia="SimSun"/>
            <w:bCs/>
            <w:noProof/>
            <w:lang w:eastAsia="zh-CN"/>
          </w:rPr>
          <w:t>– Directional Statistics Report</w:t>
        </w:r>
        <w:r w:rsidR="003E4210">
          <w:rPr>
            <w:noProof/>
            <w:webHidden/>
          </w:rPr>
          <w:tab/>
        </w:r>
        <w:r>
          <w:rPr>
            <w:noProof/>
            <w:webHidden/>
          </w:rPr>
          <w:fldChar w:fldCharType="begin"/>
        </w:r>
        <w:r w:rsidR="003E4210">
          <w:rPr>
            <w:noProof/>
            <w:webHidden/>
          </w:rPr>
          <w:instrText xml:space="preserve"> PAGEREF _Toc259717458 \h </w:instrText>
        </w:r>
        <w:r>
          <w:rPr>
            <w:noProof/>
            <w:webHidden/>
          </w:rPr>
        </w:r>
        <w:r>
          <w:rPr>
            <w:noProof/>
            <w:webHidden/>
          </w:rPr>
          <w:fldChar w:fldCharType="separate"/>
        </w:r>
        <w:r w:rsidR="003E4210">
          <w:rPr>
            <w:noProof/>
            <w:webHidden/>
          </w:rPr>
          <w:t>52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59" w:history="1">
        <w:r w:rsidR="003E4210" w:rsidRPr="005B148D">
          <w:rPr>
            <w:rStyle w:val="Hyperlink"/>
            <w:noProof/>
          </w:rPr>
          <w:t>Figure 27 – mmWave BSS Parameter Change element format</w:t>
        </w:r>
        <w:r w:rsidR="003E4210">
          <w:rPr>
            <w:noProof/>
            <w:webHidden/>
          </w:rPr>
          <w:tab/>
        </w:r>
        <w:r>
          <w:rPr>
            <w:noProof/>
            <w:webHidden/>
          </w:rPr>
          <w:fldChar w:fldCharType="begin"/>
        </w:r>
        <w:r w:rsidR="003E4210">
          <w:rPr>
            <w:noProof/>
            <w:webHidden/>
          </w:rPr>
          <w:instrText xml:space="preserve"> PAGEREF _Toc259717459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0" w:history="1">
        <w:r w:rsidR="003E4210" w:rsidRPr="005B148D">
          <w:rPr>
            <w:rStyle w:val="Hyperlink"/>
            <w:noProof/>
          </w:rPr>
          <w:t>Figure 28 – Change Type Bitmap field format</w:t>
        </w:r>
        <w:r w:rsidR="003E4210">
          <w:rPr>
            <w:noProof/>
            <w:webHidden/>
          </w:rPr>
          <w:tab/>
        </w:r>
        <w:r>
          <w:rPr>
            <w:noProof/>
            <w:webHidden/>
          </w:rPr>
          <w:fldChar w:fldCharType="begin"/>
        </w:r>
        <w:r w:rsidR="003E4210">
          <w:rPr>
            <w:noProof/>
            <w:webHidden/>
          </w:rPr>
          <w:instrText xml:space="preserve"> PAGEREF _Toc259717460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1" w:history="1">
        <w:r w:rsidR="003E4210" w:rsidRPr="005B148D">
          <w:rPr>
            <w:rStyle w:val="Hyperlink"/>
            <w:noProof/>
          </w:rPr>
          <w:t>Figure 29 – mmWave Capabilities element format</w:t>
        </w:r>
        <w:r w:rsidR="003E4210">
          <w:rPr>
            <w:noProof/>
            <w:webHidden/>
          </w:rPr>
          <w:tab/>
        </w:r>
        <w:r>
          <w:rPr>
            <w:noProof/>
            <w:webHidden/>
          </w:rPr>
          <w:fldChar w:fldCharType="begin"/>
        </w:r>
        <w:r w:rsidR="003E4210">
          <w:rPr>
            <w:noProof/>
            <w:webHidden/>
          </w:rPr>
          <w:instrText xml:space="preserve"> PAGEREF _Toc259717461 \h </w:instrText>
        </w:r>
        <w:r>
          <w:rPr>
            <w:noProof/>
            <w:webHidden/>
          </w:rPr>
        </w:r>
        <w:r>
          <w:rPr>
            <w:noProof/>
            <w:webHidden/>
          </w:rPr>
          <w:fldChar w:fldCharType="separate"/>
        </w:r>
        <w:r w:rsidR="003E4210">
          <w:rPr>
            <w:noProof/>
            <w:webHidden/>
          </w:rPr>
          <w:t>58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2" w:history="1">
        <w:r w:rsidR="003E4210" w:rsidRPr="005B148D">
          <w:rPr>
            <w:rStyle w:val="Hyperlink"/>
            <w:noProof/>
            <w:lang w:val="fr-FR"/>
          </w:rPr>
          <w:t>Figure 30 – mmWave STA Capability Information</w:t>
        </w:r>
        <w:r w:rsidR="003E4210">
          <w:rPr>
            <w:noProof/>
            <w:webHidden/>
          </w:rPr>
          <w:tab/>
        </w:r>
        <w:r>
          <w:rPr>
            <w:noProof/>
            <w:webHidden/>
          </w:rPr>
          <w:fldChar w:fldCharType="begin"/>
        </w:r>
        <w:r w:rsidR="003E4210">
          <w:rPr>
            <w:noProof/>
            <w:webHidden/>
          </w:rPr>
          <w:instrText xml:space="preserve"> PAGEREF _Toc259717462 \h </w:instrText>
        </w:r>
        <w:r>
          <w:rPr>
            <w:noProof/>
            <w:webHidden/>
          </w:rPr>
        </w:r>
        <w:r>
          <w:rPr>
            <w:noProof/>
            <w:webHidden/>
          </w:rPr>
          <w:fldChar w:fldCharType="separate"/>
        </w:r>
        <w:r w:rsidR="003E4210">
          <w:rPr>
            <w:noProof/>
            <w:webHidden/>
          </w:rPr>
          <w:t>59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3" w:history="1">
        <w:r w:rsidR="003E4210" w:rsidRPr="005B148D">
          <w:rPr>
            <w:rStyle w:val="Hyperlink"/>
            <w:noProof/>
          </w:rPr>
          <w:t>Figure 31 – A-MPDU parameters field</w:t>
        </w:r>
        <w:r w:rsidR="003E4210">
          <w:rPr>
            <w:noProof/>
            <w:webHidden/>
          </w:rPr>
          <w:tab/>
        </w:r>
        <w:r>
          <w:rPr>
            <w:noProof/>
            <w:webHidden/>
          </w:rPr>
          <w:fldChar w:fldCharType="begin"/>
        </w:r>
        <w:r w:rsidR="003E4210">
          <w:rPr>
            <w:noProof/>
            <w:webHidden/>
          </w:rPr>
          <w:instrText xml:space="preserve"> PAGEREF _Toc259717463 \h </w:instrText>
        </w:r>
        <w:r>
          <w:rPr>
            <w:noProof/>
            <w:webHidden/>
          </w:rPr>
        </w:r>
        <w:r>
          <w:rPr>
            <w:noProof/>
            <w:webHidden/>
          </w:rPr>
          <w:fldChar w:fldCharType="separate"/>
        </w:r>
        <w:r w:rsidR="003E4210">
          <w:rPr>
            <w:noProof/>
            <w:webHidden/>
          </w:rPr>
          <w:t>59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4" w:history="1">
        <w:r w:rsidR="003E4210" w:rsidRPr="005B148D">
          <w:rPr>
            <w:rStyle w:val="Hyperlink"/>
            <w:noProof/>
          </w:rPr>
          <w:t>Figure 32 – Supported MCS set field</w:t>
        </w:r>
        <w:r w:rsidR="003E4210">
          <w:rPr>
            <w:noProof/>
            <w:webHidden/>
          </w:rPr>
          <w:tab/>
        </w:r>
        <w:r>
          <w:rPr>
            <w:noProof/>
            <w:webHidden/>
          </w:rPr>
          <w:fldChar w:fldCharType="begin"/>
        </w:r>
        <w:r w:rsidR="003E4210">
          <w:rPr>
            <w:noProof/>
            <w:webHidden/>
          </w:rPr>
          <w:instrText xml:space="preserve"> PAGEREF _Toc259717464 \h </w:instrText>
        </w:r>
        <w:r>
          <w:rPr>
            <w:noProof/>
            <w:webHidden/>
          </w:rPr>
        </w:r>
        <w:r>
          <w:rPr>
            <w:noProof/>
            <w:webHidden/>
          </w:rPr>
          <w:fldChar w:fldCharType="separate"/>
        </w:r>
        <w:r w:rsidR="003E4210">
          <w:rPr>
            <w:noProof/>
            <w:webHidden/>
          </w:rPr>
          <w:t>60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5" w:history="1">
        <w:r w:rsidR="003E4210" w:rsidRPr="005B148D">
          <w:rPr>
            <w:rStyle w:val="Hyperlink"/>
            <w:noProof/>
          </w:rPr>
          <w:t>Figure 33 – mmWave PCP/AP Capability Information</w:t>
        </w:r>
        <w:r w:rsidR="003E4210">
          <w:rPr>
            <w:noProof/>
            <w:webHidden/>
          </w:rPr>
          <w:tab/>
        </w:r>
        <w:r>
          <w:rPr>
            <w:noProof/>
            <w:webHidden/>
          </w:rPr>
          <w:fldChar w:fldCharType="begin"/>
        </w:r>
        <w:r w:rsidR="003E4210">
          <w:rPr>
            <w:noProof/>
            <w:webHidden/>
          </w:rPr>
          <w:instrText xml:space="preserve"> PAGEREF _Toc259717465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6" w:history="1">
        <w:r w:rsidR="003E4210" w:rsidRPr="005B148D">
          <w:rPr>
            <w:rStyle w:val="Hyperlink"/>
            <w:noProof/>
          </w:rPr>
          <w:t>Figure 34 – mmWave Operation element</w:t>
        </w:r>
        <w:r w:rsidR="003E4210">
          <w:rPr>
            <w:noProof/>
            <w:webHidden/>
          </w:rPr>
          <w:tab/>
        </w:r>
        <w:r>
          <w:rPr>
            <w:noProof/>
            <w:webHidden/>
          </w:rPr>
          <w:fldChar w:fldCharType="begin"/>
        </w:r>
        <w:r w:rsidR="003E4210">
          <w:rPr>
            <w:noProof/>
            <w:webHidden/>
          </w:rPr>
          <w:instrText xml:space="preserve"> PAGEREF _Toc259717466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7" w:history="1">
        <w:r w:rsidR="003E4210" w:rsidRPr="005B148D">
          <w:rPr>
            <w:rStyle w:val="Hyperlink"/>
            <w:noProof/>
          </w:rPr>
          <w:t>Figure 35 – mmWave Operation Information</w:t>
        </w:r>
        <w:r w:rsidR="003E4210">
          <w:rPr>
            <w:noProof/>
            <w:webHidden/>
          </w:rPr>
          <w:tab/>
        </w:r>
        <w:r>
          <w:rPr>
            <w:noProof/>
            <w:webHidden/>
          </w:rPr>
          <w:fldChar w:fldCharType="begin"/>
        </w:r>
        <w:r w:rsidR="003E4210">
          <w:rPr>
            <w:noProof/>
            <w:webHidden/>
          </w:rPr>
          <w:instrText xml:space="preserve"> PAGEREF _Toc259717467 \h </w:instrText>
        </w:r>
        <w:r>
          <w:rPr>
            <w:noProof/>
            <w:webHidden/>
          </w:rPr>
        </w:r>
        <w:r>
          <w:rPr>
            <w:noProof/>
            <w:webHidden/>
          </w:rPr>
          <w:fldChar w:fldCharType="separate"/>
        </w:r>
        <w:r w:rsidR="003E4210">
          <w:rPr>
            <w:noProof/>
            <w:webHidden/>
          </w:rPr>
          <w:t>62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8" w:history="1">
        <w:r w:rsidR="003E4210" w:rsidRPr="005B148D">
          <w:rPr>
            <w:rStyle w:val="Hyperlink"/>
            <w:noProof/>
          </w:rPr>
          <w:t>Figure 36 – mmWave BSS Parameter Configuration field</w:t>
        </w:r>
        <w:r w:rsidR="003E4210">
          <w:rPr>
            <w:noProof/>
            <w:webHidden/>
          </w:rPr>
          <w:tab/>
        </w:r>
        <w:r>
          <w:rPr>
            <w:noProof/>
            <w:webHidden/>
          </w:rPr>
          <w:fldChar w:fldCharType="begin"/>
        </w:r>
        <w:r w:rsidR="003E4210">
          <w:rPr>
            <w:noProof/>
            <w:webHidden/>
          </w:rPr>
          <w:instrText xml:space="preserve"> PAGEREF _Toc259717468 \h </w:instrText>
        </w:r>
        <w:r>
          <w:rPr>
            <w:noProof/>
            <w:webHidden/>
          </w:rPr>
        </w:r>
        <w:r>
          <w:rPr>
            <w:noProof/>
            <w:webHidden/>
          </w:rPr>
          <w:fldChar w:fldCharType="separate"/>
        </w:r>
        <w:r w:rsidR="003E4210">
          <w:rPr>
            <w:noProof/>
            <w:webHidden/>
          </w:rPr>
          <w:t>62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69" w:history="1">
        <w:r w:rsidR="003E4210" w:rsidRPr="005B148D">
          <w:rPr>
            <w:rStyle w:val="Hyperlink"/>
            <w:noProof/>
            <w:lang w:val="fr-FR"/>
          </w:rPr>
          <w:t>Figure 37 – Beam refinement element format</w:t>
        </w:r>
        <w:r w:rsidR="003E4210">
          <w:rPr>
            <w:noProof/>
            <w:webHidden/>
          </w:rPr>
          <w:tab/>
        </w:r>
        <w:r>
          <w:rPr>
            <w:noProof/>
            <w:webHidden/>
          </w:rPr>
          <w:fldChar w:fldCharType="begin"/>
        </w:r>
        <w:r w:rsidR="003E4210">
          <w:rPr>
            <w:noProof/>
            <w:webHidden/>
          </w:rPr>
          <w:instrText xml:space="preserve"> PAGEREF _Toc259717469 \h </w:instrText>
        </w:r>
        <w:r>
          <w:rPr>
            <w:noProof/>
            <w:webHidden/>
          </w:rPr>
        </w:r>
        <w:r>
          <w:rPr>
            <w:noProof/>
            <w:webHidden/>
          </w:rPr>
          <w:fldChar w:fldCharType="separate"/>
        </w:r>
        <w:r w:rsidR="003E4210">
          <w:rPr>
            <w:noProof/>
            <w:webHidden/>
          </w:rPr>
          <w:t>63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0" w:history="1">
        <w:r w:rsidR="003E4210" w:rsidRPr="005B148D">
          <w:rPr>
            <w:rStyle w:val="Hyperlink"/>
            <w:noProof/>
          </w:rPr>
          <w:t>Figure 38 – Wakeup Schedule</w:t>
        </w:r>
        <w:r w:rsidR="003E4210">
          <w:rPr>
            <w:noProof/>
            <w:webHidden/>
          </w:rPr>
          <w:tab/>
        </w:r>
        <w:r>
          <w:rPr>
            <w:noProof/>
            <w:webHidden/>
          </w:rPr>
          <w:fldChar w:fldCharType="begin"/>
        </w:r>
        <w:r w:rsidR="003E4210">
          <w:rPr>
            <w:noProof/>
            <w:webHidden/>
          </w:rPr>
          <w:instrText xml:space="preserve"> PAGEREF _Toc259717470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1" w:history="1">
        <w:r w:rsidR="003E4210" w:rsidRPr="005B148D">
          <w:rPr>
            <w:rStyle w:val="Hyperlink"/>
            <w:noProof/>
          </w:rPr>
          <w:t>Figure 39 – Extended Schedule element format</w:t>
        </w:r>
        <w:r w:rsidR="003E4210">
          <w:rPr>
            <w:noProof/>
            <w:webHidden/>
          </w:rPr>
          <w:tab/>
        </w:r>
        <w:r>
          <w:rPr>
            <w:noProof/>
            <w:webHidden/>
          </w:rPr>
          <w:fldChar w:fldCharType="begin"/>
        </w:r>
        <w:r w:rsidR="003E4210">
          <w:rPr>
            <w:noProof/>
            <w:webHidden/>
          </w:rPr>
          <w:instrText xml:space="preserve"> PAGEREF _Toc259717471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2" w:history="1">
        <w:r w:rsidR="003E4210" w:rsidRPr="005B148D">
          <w:rPr>
            <w:rStyle w:val="Hyperlink"/>
            <w:noProof/>
          </w:rPr>
          <w:t>Figure 40 – Allocation field</w:t>
        </w:r>
        <w:r w:rsidR="003E4210">
          <w:rPr>
            <w:noProof/>
            <w:webHidden/>
          </w:rPr>
          <w:tab/>
        </w:r>
        <w:r>
          <w:rPr>
            <w:noProof/>
            <w:webHidden/>
          </w:rPr>
          <w:fldChar w:fldCharType="begin"/>
        </w:r>
        <w:r w:rsidR="003E4210">
          <w:rPr>
            <w:noProof/>
            <w:webHidden/>
          </w:rPr>
          <w:instrText xml:space="preserve"> PAGEREF _Toc259717472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3" w:history="1">
        <w:r w:rsidR="003E4210" w:rsidRPr="005B148D">
          <w:rPr>
            <w:rStyle w:val="Hyperlink"/>
            <w:noProof/>
          </w:rPr>
          <w:t>Figure 41 – Allocation Control field</w:t>
        </w:r>
        <w:r w:rsidR="003E4210">
          <w:rPr>
            <w:noProof/>
            <w:webHidden/>
          </w:rPr>
          <w:tab/>
        </w:r>
        <w:r>
          <w:rPr>
            <w:noProof/>
            <w:webHidden/>
          </w:rPr>
          <w:fldChar w:fldCharType="begin"/>
        </w:r>
        <w:r w:rsidR="003E4210">
          <w:rPr>
            <w:noProof/>
            <w:webHidden/>
          </w:rPr>
          <w:instrText xml:space="preserve"> PAGEREF _Toc259717473 \h </w:instrText>
        </w:r>
        <w:r>
          <w:rPr>
            <w:noProof/>
            <w:webHidden/>
          </w:rPr>
        </w:r>
        <w:r>
          <w:rPr>
            <w:noProof/>
            <w:webHidden/>
          </w:rPr>
          <w:fldChar w:fldCharType="separate"/>
        </w:r>
        <w:r w:rsidR="003E4210">
          <w:rPr>
            <w:noProof/>
            <w:webHidden/>
          </w:rPr>
          <w:t>66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4" w:history="1">
        <w:r w:rsidR="003E4210" w:rsidRPr="005B148D">
          <w:rPr>
            <w:rStyle w:val="Hyperlink"/>
            <w:noProof/>
          </w:rPr>
          <w:t>Figure 42 – STA availability element format</w:t>
        </w:r>
        <w:r w:rsidR="003E4210">
          <w:rPr>
            <w:noProof/>
            <w:webHidden/>
          </w:rPr>
          <w:tab/>
        </w:r>
        <w:r>
          <w:rPr>
            <w:noProof/>
            <w:webHidden/>
          </w:rPr>
          <w:fldChar w:fldCharType="begin"/>
        </w:r>
        <w:r w:rsidR="003E4210">
          <w:rPr>
            <w:noProof/>
            <w:webHidden/>
          </w:rPr>
          <w:instrText xml:space="preserve"> PAGEREF _Toc259717474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5" w:history="1">
        <w:r w:rsidR="003E4210" w:rsidRPr="005B148D">
          <w:rPr>
            <w:rStyle w:val="Hyperlink"/>
            <w:noProof/>
          </w:rPr>
          <w:t>Figure 43 – STA Info field</w:t>
        </w:r>
        <w:r w:rsidR="003E4210">
          <w:rPr>
            <w:noProof/>
            <w:webHidden/>
          </w:rPr>
          <w:tab/>
        </w:r>
        <w:r>
          <w:rPr>
            <w:noProof/>
            <w:webHidden/>
          </w:rPr>
          <w:fldChar w:fldCharType="begin"/>
        </w:r>
        <w:r w:rsidR="003E4210">
          <w:rPr>
            <w:noProof/>
            <w:webHidden/>
          </w:rPr>
          <w:instrText xml:space="preserve"> PAGEREF _Toc259717475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6" w:history="1">
        <w:r w:rsidR="003E4210" w:rsidRPr="005B148D">
          <w:rPr>
            <w:rStyle w:val="Hyperlink"/>
            <w:noProof/>
            <w:lang w:val="fr-FR"/>
          </w:rPr>
          <w:t>Figure 44 – Extended mmWave TSPEC element format</w:t>
        </w:r>
        <w:r w:rsidR="003E4210">
          <w:rPr>
            <w:noProof/>
            <w:webHidden/>
          </w:rPr>
          <w:tab/>
        </w:r>
        <w:r>
          <w:rPr>
            <w:noProof/>
            <w:webHidden/>
          </w:rPr>
          <w:fldChar w:fldCharType="begin"/>
        </w:r>
        <w:r w:rsidR="003E4210">
          <w:rPr>
            <w:noProof/>
            <w:webHidden/>
          </w:rPr>
          <w:instrText xml:space="preserve"> PAGEREF _Toc259717476 \h </w:instrText>
        </w:r>
        <w:r>
          <w:rPr>
            <w:noProof/>
            <w:webHidden/>
          </w:rPr>
        </w:r>
        <w:r>
          <w:rPr>
            <w:noProof/>
            <w:webHidden/>
          </w:rPr>
          <w:fldChar w:fldCharType="separate"/>
        </w:r>
        <w:r w:rsidR="003E4210">
          <w:rPr>
            <w:noProof/>
            <w:webHidden/>
          </w:rPr>
          <w:t>68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7" w:history="1">
        <w:r w:rsidR="003E4210" w:rsidRPr="005B148D">
          <w:rPr>
            <w:rStyle w:val="Hyperlink"/>
            <w:noProof/>
          </w:rPr>
          <w:t>Figure 45 – Extended mmWave TS Info field format</w:t>
        </w:r>
        <w:r w:rsidR="003E4210">
          <w:rPr>
            <w:noProof/>
            <w:webHidden/>
          </w:rPr>
          <w:tab/>
        </w:r>
        <w:r>
          <w:rPr>
            <w:noProof/>
            <w:webHidden/>
          </w:rPr>
          <w:fldChar w:fldCharType="begin"/>
        </w:r>
        <w:r w:rsidR="003E4210">
          <w:rPr>
            <w:noProof/>
            <w:webHidden/>
          </w:rPr>
          <w:instrText xml:space="preserve"> PAGEREF _Toc259717477 \h </w:instrText>
        </w:r>
        <w:r>
          <w:rPr>
            <w:noProof/>
            <w:webHidden/>
          </w:rPr>
        </w:r>
        <w:r>
          <w:rPr>
            <w:noProof/>
            <w:webHidden/>
          </w:rPr>
          <w:fldChar w:fldCharType="separate"/>
        </w:r>
        <w:r w:rsidR="003E4210">
          <w:rPr>
            <w:noProof/>
            <w:webHidden/>
          </w:rPr>
          <w:t>68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8" w:history="1">
        <w:r w:rsidR="003E4210" w:rsidRPr="005B148D">
          <w:rPr>
            <w:rStyle w:val="Hyperlink"/>
            <w:noProof/>
          </w:rPr>
          <w:t>Figure 46 – TS scheduling constraint field format</w:t>
        </w:r>
        <w:r w:rsidR="003E4210">
          <w:rPr>
            <w:noProof/>
            <w:webHidden/>
          </w:rPr>
          <w:tab/>
        </w:r>
        <w:r>
          <w:rPr>
            <w:noProof/>
            <w:webHidden/>
          </w:rPr>
          <w:fldChar w:fldCharType="begin"/>
        </w:r>
        <w:r w:rsidR="003E4210">
          <w:rPr>
            <w:noProof/>
            <w:webHidden/>
          </w:rPr>
          <w:instrText xml:space="preserve"> PAGEREF _Toc259717478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79" w:history="1">
        <w:r w:rsidR="003E4210" w:rsidRPr="005B148D">
          <w:rPr>
            <w:rStyle w:val="Hyperlink"/>
            <w:noProof/>
            <w:lang w:val="fr-FR"/>
          </w:rPr>
          <w:t>Figure 47 – Constraint subfield</w:t>
        </w:r>
        <w:r w:rsidR="003E4210">
          <w:rPr>
            <w:noProof/>
            <w:webHidden/>
          </w:rPr>
          <w:tab/>
        </w:r>
        <w:r>
          <w:rPr>
            <w:noProof/>
            <w:webHidden/>
          </w:rPr>
          <w:fldChar w:fldCharType="begin"/>
        </w:r>
        <w:r w:rsidR="003E4210">
          <w:rPr>
            <w:noProof/>
            <w:webHidden/>
          </w:rPr>
          <w:instrText xml:space="preserve"> PAGEREF _Toc259717479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0" w:history="1">
        <w:r w:rsidR="003E4210" w:rsidRPr="005B148D">
          <w:rPr>
            <w:rStyle w:val="Hyperlink"/>
            <w:noProof/>
          </w:rPr>
          <w:t>Figure 48 – Next mmWave AT</w:t>
        </w:r>
        <w:r w:rsidR="003E4210">
          <w:rPr>
            <w:noProof/>
            <w:webHidden/>
          </w:rPr>
          <w:tab/>
        </w:r>
        <w:r>
          <w:rPr>
            <w:noProof/>
            <w:webHidden/>
          </w:rPr>
          <w:fldChar w:fldCharType="begin"/>
        </w:r>
        <w:r w:rsidR="003E4210">
          <w:rPr>
            <w:noProof/>
            <w:webHidden/>
          </w:rPr>
          <w:instrText xml:space="preserve"> PAGEREF _Toc259717480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1" w:history="1">
        <w:r w:rsidR="003E4210" w:rsidRPr="005B148D">
          <w:rPr>
            <w:rStyle w:val="Hyperlink"/>
            <w:noProof/>
          </w:rPr>
          <w:t>Figure 49 – Awake Window</w:t>
        </w:r>
        <w:r w:rsidR="003E4210">
          <w:rPr>
            <w:noProof/>
            <w:webHidden/>
          </w:rPr>
          <w:tab/>
        </w:r>
        <w:r>
          <w:rPr>
            <w:noProof/>
            <w:webHidden/>
          </w:rPr>
          <w:fldChar w:fldCharType="begin"/>
        </w:r>
        <w:r w:rsidR="003E4210">
          <w:rPr>
            <w:noProof/>
            <w:webHidden/>
          </w:rPr>
          <w:instrText xml:space="preserve"> PAGEREF _Toc259717481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2" w:history="1">
        <w:r w:rsidR="003E4210" w:rsidRPr="005B148D">
          <w:rPr>
            <w:rStyle w:val="Hyperlink"/>
            <w:noProof/>
          </w:rPr>
          <w:t>Figure 50 – Multi-band element format</w:t>
        </w:r>
        <w:r w:rsidR="003E4210">
          <w:rPr>
            <w:noProof/>
            <w:webHidden/>
          </w:rPr>
          <w:tab/>
        </w:r>
        <w:r>
          <w:rPr>
            <w:noProof/>
            <w:webHidden/>
          </w:rPr>
          <w:fldChar w:fldCharType="begin"/>
        </w:r>
        <w:r w:rsidR="003E4210">
          <w:rPr>
            <w:noProof/>
            <w:webHidden/>
          </w:rPr>
          <w:instrText xml:space="preserve"> PAGEREF _Toc259717482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3" w:history="1">
        <w:r w:rsidR="003E4210" w:rsidRPr="005B148D">
          <w:rPr>
            <w:rStyle w:val="Hyperlink"/>
            <w:noProof/>
          </w:rPr>
          <w:t>Figure 51 – Multi-band control field format</w:t>
        </w:r>
        <w:r w:rsidR="003E4210">
          <w:rPr>
            <w:noProof/>
            <w:webHidden/>
          </w:rPr>
          <w:tab/>
        </w:r>
        <w:r>
          <w:rPr>
            <w:noProof/>
            <w:webHidden/>
          </w:rPr>
          <w:fldChar w:fldCharType="begin"/>
        </w:r>
        <w:r w:rsidR="003E4210">
          <w:rPr>
            <w:noProof/>
            <w:webHidden/>
          </w:rPr>
          <w:instrText xml:space="preserve"> PAGEREF _Toc259717483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4" w:history="1">
        <w:r w:rsidR="003E4210" w:rsidRPr="005B148D">
          <w:rPr>
            <w:rStyle w:val="Hyperlink"/>
            <w:noProof/>
          </w:rPr>
          <w:t xml:space="preserve">Figure 52 </w:t>
        </w:r>
        <w:r w:rsidR="003E4210" w:rsidRPr="005B148D">
          <w:rPr>
            <w:rStyle w:val="Hyperlink"/>
            <w:noProof/>
            <w:lang w:eastAsia="ko-KR"/>
          </w:rPr>
          <w:t>–</w:t>
        </w:r>
        <w:r w:rsidR="003E4210" w:rsidRPr="005B148D">
          <w:rPr>
            <w:rStyle w:val="Hyperlink"/>
            <w:noProof/>
          </w:rPr>
          <w:t xml:space="preserve"> Multi-band STA capability field format</w:t>
        </w:r>
        <w:r w:rsidR="003E4210">
          <w:rPr>
            <w:noProof/>
            <w:webHidden/>
          </w:rPr>
          <w:tab/>
        </w:r>
        <w:r>
          <w:rPr>
            <w:noProof/>
            <w:webHidden/>
          </w:rPr>
          <w:fldChar w:fldCharType="begin"/>
        </w:r>
        <w:r w:rsidR="003E4210">
          <w:rPr>
            <w:noProof/>
            <w:webHidden/>
          </w:rPr>
          <w:instrText xml:space="preserve"> PAGEREF _Toc259717484 \h </w:instrText>
        </w:r>
        <w:r>
          <w:rPr>
            <w:noProof/>
            <w:webHidden/>
          </w:rPr>
        </w:r>
        <w:r>
          <w:rPr>
            <w:noProof/>
            <w:webHidden/>
          </w:rPr>
          <w:fldChar w:fldCharType="separate"/>
        </w:r>
        <w:r w:rsidR="003E4210">
          <w:rPr>
            <w:noProof/>
            <w:webHidden/>
          </w:rPr>
          <w:t>74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5" w:history="1">
        <w:r w:rsidR="003E4210" w:rsidRPr="005B148D">
          <w:rPr>
            <w:rStyle w:val="Hyperlink"/>
            <w:noProof/>
          </w:rPr>
          <w:t xml:space="preserve">Figure 53 </w:t>
        </w:r>
        <w:r w:rsidR="003E4210" w:rsidRPr="005B148D">
          <w:rPr>
            <w:rStyle w:val="Hyperlink"/>
            <w:noProof/>
            <w:lang w:val="fr-FR"/>
          </w:rPr>
          <w:t>– ADDBA extension</w:t>
        </w:r>
        <w:r w:rsidR="003E4210">
          <w:rPr>
            <w:noProof/>
            <w:webHidden/>
          </w:rPr>
          <w:tab/>
        </w:r>
        <w:r>
          <w:rPr>
            <w:noProof/>
            <w:webHidden/>
          </w:rPr>
          <w:fldChar w:fldCharType="begin"/>
        </w:r>
        <w:r w:rsidR="003E4210">
          <w:rPr>
            <w:noProof/>
            <w:webHidden/>
          </w:rPr>
          <w:instrText xml:space="preserve"> PAGEREF _Toc259717485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6" w:history="1">
        <w:r w:rsidR="003E4210" w:rsidRPr="005B148D">
          <w:rPr>
            <w:rStyle w:val="Hyperlink"/>
            <w:noProof/>
          </w:rPr>
          <w:t xml:space="preserve">Figure 54 </w:t>
        </w:r>
        <w:r w:rsidR="003E4210" w:rsidRPr="005B148D">
          <w:rPr>
            <w:rStyle w:val="Hyperlink"/>
            <w:noProof/>
            <w:lang w:val="fr-FR"/>
          </w:rPr>
          <w:t>– ADDBA capabilities</w:t>
        </w:r>
        <w:r w:rsidR="003E4210">
          <w:rPr>
            <w:noProof/>
            <w:webHidden/>
          </w:rPr>
          <w:tab/>
        </w:r>
        <w:r>
          <w:rPr>
            <w:noProof/>
            <w:webHidden/>
          </w:rPr>
          <w:fldChar w:fldCharType="begin"/>
        </w:r>
        <w:r w:rsidR="003E4210">
          <w:rPr>
            <w:noProof/>
            <w:webHidden/>
          </w:rPr>
          <w:instrText xml:space="preserve"> PAGEREF _Toc259717486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7" w:history="1">
        <w:r w:rsidR="003E4210" w:rsidRPr="005B148D">
          <w:rPr>
            <w:rStyle w:val="Hyperlink"/>
            <w:noProof/>
          </w:rPr>
          <w:t>Figure 55 – Next PCP List</w:t>
        </w:r>
        <w:r w:rsidR="003E4210">
          <w:rPr>
            <w:noProof/>
            <w:webHidden/>
          </w:rPr>
          <w:tab/>
        </w:r>
        <w:r>
          <w:rPr>
            <w:noProof/>
            <w:webHidden/>
          </w:rPr>
          <w:fldChar w:fldCharType="begin"/>
        </w:r>
        <w:r w:rsidR="003E4210">
          <w:rPr>
            <w:noProof/>
            <w:webHidden/>
          </w:rPr>
          <w:instrText xml:space="preserve"> PAGEREF _Toc259717487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8" w:history="1">
        <w:r w:rsidR="003E4210" w:rsidRPr="005B148D">
          <w:rPr>
            <w:rStyle w:val="Hyperlink"/>
            <w:noProof/>
          </w:rPr>
          <w:t>Figure 56 – PCP Handover</w:t>
        </w:r>
        <w:r w:rsidR="003E4210">
          <w:rPr>
            <w:noProof/>
            <w:webHidden/>
          </w:rPr>
          <w:tab/>
        </w:r>
        <w:r>
          <w:rPr>
            <w:noProof/>
            <w:webHidden/>
          </w:rPr>
          <w:fldChar w:fldCharType="begin"/>
        </w:r>
        <w:r w:rsidR="003E4210">
          <w:rPr>
            <w:noProof/>
            <w:webHidden/>
          </w:rPr>
          <w:instrText xml:space="preserve"> PAGEREF _Toc259717488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89" w:history="1">
        <w:r w:rsidR="003E4210" w:rsidRPr="005B148D">
          <w:rPr>
            <w:rStyle w:val="Hyperlink"/>
            <w:noProof/>
          </w:rPr>
          <w:t>Figure 57 – Link Margin element</w:t>
        </w:r>
        <w:r w:rsidR="003E4210">
          <w:rPr>
            <w:noProof/>
            <w:webHidden/>
          </w:rPr>
          <w:tab/>
        </w:r>
        <w:r>
          <w:rPr>
            <w:noProof/>
            <w:webHidden/>
          </w:rPr>
          <w:fldChar w:fldCharType="begin"/>
        </w:r>
        <w:r w:rsidR="003E4210">
          <w:rPr>
            <w:noProof/>
            <w:webHidden/>
          </w:rPr>
          <w:instrText xml:space="preserve"> PAGEREF _Toc259717489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0" w:history="1">
        <w:r w:rsidR="003E4210" w:rsidRPr="005B148D">
          <w:rPr>
            <w:rStyle w:val="Hyperlink"/>
            <w:noProof/>
          </w:rPr>
          <w:t>Figure 58 – Switching stream element format</w:t>
        </w:r>
        <w:r w:rsidR="003E4210">
          <w:rPr>
            <w:noProof/>
            <w:webHidden/>
          </w:rPr>
          <w:tab/>
        </w:r>
        <w:r>
          <w:rPr>
            <w:noProof/>
            <w:webHidden/>
          </w:rPr>
          <w:fldChar w:fldCharType="begin"/>
        </w:r>
        <w:r w:rsidR="003E4210">
          <w:rPr>
            <w:noProof/>
            <w:webHidden/>
          </w:rPr>
          <w:instrText xml:space="preserve"> PAGEREF _Toc259717490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1" w:history="1">
        <w:r w:rsidR="003E4210" w:rsidRPr="005B148D">
          <w:rPr>
            <w:rStyle w:val="Hyperlink"/>
            <w:noProof/>
          </w:rPr>
          <w:t>Figure 59 – Switching parameters field format</w:t>
        </w:r>
        <w:r w:rsidR="003E4210">
          <w:rPr>
            <w:noProof/>
            <w:webHidden/>
          </w:rPr>
          <w:tab/>
        </w:r>
        <w:r>
          <w:rPr>
            <w:noProof/>
            <w:webHidden/>
          </w:rPr>
          <w:fldChar w:fldCharType="begin"/>
        </w:r>
        <w:r w:rsidR="003E4210">
          <w:rPr>
            <w:noProof/>
            <w:webHidden/>
          </w:rPr>
          <w:instrText xml:space="preserve"> PAGEREF _Toc259717491 \h </w:instrText>
        </w:r>
        <w:r>
          <w:rPr>
            <w:noProof/>
            <w:webHidden/>
          </w:rPr>
        </w:r>
        <w:r>
          <w:rPr>
            <w:noProof/>
            <w:webHidden/>
          </w:rPr>
          <w:fldChar w:fldCharType="separate"/>
        </w:r>
        <w:r w:rsidR="003E4210">
          <w:rPr>
            <w:noProof/>
            <w:webHidden/>
          </w:rPr>
          <w:t>78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2" w:history="1">
        <w:r w:rsidR="003E4210" w:rsidRPr="005B148D">
          <w:rPr>
            <w:rStyle w:val="Hyperlink"/>
            <w:noProof/>
          </w:rPr>
          <w:t>Figure 60 – Session Transition element format</w:t>
        </w:r>
        <w:r w:rsidR="003E4210">
          <w:rPr>
            <w:noProof/>
            <w:webHidden/>
          </w:rPr>
          <w:tab/>
        </w:r>
        <w:r>
          <w:rPr>
            <w:noProof/>
            <w:webHidden/>
          </w:rPr>
          <w:fldChar w:fldCharType="begin"/>
        </w:r>
        <w:r w:rsidR="003E4210">
          <w:rPr>
            <w:noProof/>
            <w:webHidden/>
          </w:rPr>
          <w:instrText xml:space="preserve"> PAGEREF _Toc259717492 \h </w:instrText>
        </w:r>
        <w:r>
          <w:rPr>
            <w:noProof/>
            <w:webHidden/>
          </w:rPr>
        </w:r>
        <w:r>
          <w:rPr>
            <w:noProof/>
            <w:webHidden/>
          </w:rPr>
          <w:fldChar w:fldCharType="separate"/>
        </w:r>
        <w:r w:rsidR="003E4210">
          <w:rPr>
            <w:noProof/>
            <w:webHidden/>
          </w:rPr>
          <w:t>78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3" w:history="1">
        <w:r w:rsidR="003E4210" w:rsidRPr="005B148D">
          <w:rPr>
            <w:rStyle w:val="Hyperlink"/>
            <w:noProof/>
          </w:rPr>
          <w:t xml:space="preserve">Figure 61 </w:t>
        </w:r>
        <w:r w:rsidR="003E4210" w:rsidRPr="005B148D">
          <w:rPr>
            <w:rStyle w:val="Hyperlink"/>
            <w:noProof/>
            <w:lang w:eastAsia="ko-KR"/>
          </w:rPr>
          <w:t>–</w:t>
        </w:r>
        <w:r w:rsidR="003E4210" w:rsidRPr="005B148D">
          <w:rPr>
            <w:rStyle w:val="Hyperlink"/>
            <w:noProof/>
          </w:rPr>
          <w:t xml:space="preserve"> Session </w:t>
        </w:r>
        <w:r w:rsidR="003E4210" w:rsidRPr="005B148D">
          <w:rPr>
            <w:rStyle w:val="Hyperlink"/>
            <w:noProof/>
            <w:lang w:eastAsia="ko-KR"/>
          </w:rPr>
          <w:t>t</w:t>
        </w:r>
        <w:r w:rsidR="003E4210" w:rsidRPr="005B148D">
          <w:rPr>
            <w:rStyle w:val="Hyperlink"/>
            <w:noProof/>
          </w:rPr>
          <w:t>ype field</w:t>
        </w:r>
        <w:r w:rsidR="003E4210" w:rsidRPr="005B148D">
          <w:rPr>
            <w:rStyle w:val="Hyperlink"/>
            <w:noProof/>
            <w:lang w:eastAsia="ko-KR"/>
          </w:rPr>
          <w:t xml:space="preserve"> format</w:t>
        </w:r>
        <w:r w:rsidR="003E4210">
          <w:rPr>
            <w:noProof/>
            <w:webHidden/>
          </w:rPr>
          <w:tab/>
        </w:r>
        <w:r>
          <w:rPr>
            <w:noProof/>
            <w:webHidden/>
          </w:rPr>
          <w:fldChar w:fldCharType="begin"/>
        </w:r>
        <w:r w:rsidR="003E4210">
          <w:rPr>
            <w:noProof/>
            <w:webHidden/>
          </w:rPr>
          <w:instrText xml:space="preserve"> PAGEREF _Toc259717493 \h </w:instrText>
        </w:r>
        <w:r>
          <w:rPr>
            <w:noProof/>
            <w:webHidden/>
          </w:rPr>
        </w:r>
        <w:r>
          <w:rPr>
            <w:noProof/>
            <w:webHidden/>
          </w:rPr>
          <w:fldChar w:fldCharType="separate"/>
        </w:r>
        <w:r w:rsidR="003E4210">
          <w:rPr>
            <w:noProof/>
            <w:webHidden/>
          </w:rPr>
          <w:t>79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4" w:history="1">
        <w:r w:rsidR="003E4210" w:rsidRPr="005B148D">
          <w:rPr>
            <w:rStyle w:val="Hyperlink"/>
            <w:noProof/>
          </w:rPr>
          <w:t>Figure 62 – Cluster Report element</w:t>
        </w:r>
        <w:r w:rsidR="003E4210">
          <w:rPr>
            <w:noProof/>
            <w:webHidden/>
          </w:rPr>
          <w:tab/>
        </w:r>
        <w:r>
          <w:rPr>
            <w:noProof/>
            <w:webHidden/>
          </w:rPr>
          <w:fldChar w:fldCharType="begin"/>
        </w:r>
        <w:r w:rsidR="003E4210">
          <w:rPr>
            <w:noProof/>
            <w:webHidden/>
          </w:rPr>
          <w:instrText xml:space="preserve"> PAGEREF _Toc259717494 \h </w:instrText>
        </w:r>
        <w:r>
          <w:rPr>
            <w:noProof/>
            <w:webHidden/>
          </w:rPr>
        </w:r>
        <w:r>
          <w:rPr>
            <w:noProof/>
            <w:webHidden/>
          </w:rPr>
          <w:fldChar w:fldCharType="separate"/>
        </w:r>
        <w:r w:rsidR="003E4210">
          <w:rPr>
            <w:noProof/>
            <w:webHidden/>
          </w:rPr>
          <w:t>80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5" w:history="1">
        <w:r w:rsidR="003E4210" w:rsidRPr="005B148D">
          <w:rPr>
            <w:rStyle w:val="Hyperlink"/>
            <w:noProof/>
          </w:rPr>
          <w:t>Figure 63 – Cluster report control field</w:t>
        </w:r>
        <w:r w:rsidR="003E4210">
          <w:rPr>
            <w:noProof/>
            <w:webHidden/>
          </w:rPr>
          <w:tab/>
        </w:r>
        <w:r>
          <w:rPr>
            <w:noProof/>
            <w:webHidden/>
          </w:rPr>
          <w:fldChar w:fldCharType="begin"/>
        </w:r>
        <w:r w:rsidR="003E4210">
          <w:rPr>
            <w:noProof/>
            <w:webHidden/>
          </w:rPr>
          <w:instrText xml:space="preserve"> PAGEREF _Toc259717495 \h </w:instrText>
        </w:r>
        <w:r>
          <w:rPr>
            <w:noProof/>
            <w:webHidden/>
          </w:rPr>
        </w:r>
        <w:r>
          <w:rPr>
            <w:noProof/>
            <w:webHidden/>
          </w:rPr>
          <w:fldChar w:fldCharType="separate"/>
        </w:r>
        <w:r w:rsidR="003E4210">
          <w:rPr>
            <w:noProof/>
            <w:webHidden/>
          </w:rPr>
          <w:t>80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6" w:history="1">
        <w:r w:rsidR="003E4210" w:rsidRPr="005B148D">
          <w:rPr>
            <w:rStyle w:val="Hyperlink"/>
            <w:noProof/>
          </w:rPr>
          <w:t>Figure 64 – Relay capabilities element format</w:t>
        </w:r>
        <w:r w:rsidR="003E4210">
          <w:rPr>
            <w:noProof/>
            <w:webHidden/>
          </w:rPr>
          <w:tab/>
        </w:r>
        <w:r>
          <w:rPr>
            <w:noProof/>
            <w:webHidden/>
          </w:rPr>
          <w:fldChar w:fldCharType="begin"/>
        </w:r>
        <w:r w:rsidR="003E4210">
          <w:rPr>
            <w:noProof/>
            <w:webHidden/>
          </w:rPr>
          <w:instrText xml:space="preserve"> PAGEREF _Toc259717496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7" w:history="1">
        <w:r w:rsidR="003E4210" w:rsidRPr="005B148D">
          <w:rPr>
            <w:rStyle w:val="Hyperlink"/>
            <w:noProof/>
          </w:rPr>
          <w:t>Figure 65 – Relay capabilities info field</w:t>
        </w:r>
        <w:r w:rsidR="003E4210">
          <w:rPr>
            <w:noProof/>
            <w:webHidden/>
          </w:rPr>
          <w:tab/>
        </w:r>
        <w:r>
          <w:rPr>
            <w:noProof/>
            <w:webHidden/>
          </w:rPr>
          <w:fldChar w:fldCharType="begin"/>
        </w:r>
        <w:r w:rsidR="003E4210">
          <w:rPr>
            <w:noProof/>
            <w:webHidden/>
          </w:rPr>
          <w:instrText xml:space="preserve"> PAGEREF _Toc259717497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8" w:history="1">
        <w:r w:rsidR="003E4210" w:rsidRPr="005B148D">
          <w:rPr>
            <w:rStyle w:val="Hyperlink"/>
            <w:noProof/>
          </w:rPr>
          <w:t>Figure 66 – Relay transfer parameter set element format</w:t>
        </w:r>
        <w:r w:rsidR="003E4210">
          <w:rPr>
            <w:noProof/>
            <w:webHidden/>
          </w:rPr>
          <w:tab/>
        </w:r>
        <w:r>
          <w:rPr>
            <w:noProof/>
            <w:webHidden/>
          </w:rPr>
          <w:fldChar w:fldCharType="begin"/>
        </w:r>
        <w:r w:rsidR="003E4210">
          <w:rPr>
            <w:noProof/>
            <w:webHidden/>
          </w:rPr>
          <w:instrText xml:space="preserve"> PAGEREF _Toc259717498 \h </w:instrText>
        </w:r>
        <w:r>
          <w:rPr>
            <w:noProof/>
            <w:webHidden/>
          </w:rPr>
        </w:r>
        <w:r>
          <w:rPr>
            <w:noProof/>
            <w:webHidden/>
          </w:rPr>
          <w:fldChar w:fldCharType="separate"/>
        </w:r>
        <w:r w:rsidR="003E4210">
          <w:rPr>
            <w:noProof/>
            <w:webHidden/>
          </w:rPr>
          <w:t>82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499" w:history="1">
        <w:r w:rsidR="003E4210" w:rsidRPr="005B148D">
          <w:rPr>
            <w:rStyle w:val="Hyperlink"/>
            <w:noProof/>
          </w:rPr>
          <w:t>Figure 67 – Relay transfer parameter field</w:t>
        </w:r>
        <w:r w:rsidR="003E4210">
          <w:rPr>
            <w:noProof/>
            <w:webHidden/>
          </w:rPr>
          <w:tab/>
        </w:r>
        <w:r>
          <w:rPr>
            <w:noProof/>
            <w:webHidden/>
          </w:rPr>
          <w:fldChar w:fldCharType="begin"/>
        </w:r>
        <w:r w:rsidR="003E4210">
          <w:rPr>
            <w:noProof/>
            <w:webHidden/>
          </w:rPr>
          <w:instrText xml:space="preserve"> PAGEREF _Toc259717499 \h </w:instrText>
        </w:r>
        <w:r>
          <w:rPr>
            <w:noProof/>
            <w:webHidden/>
          </w:rPr>
        </w:r>
        <w:r>
          <w:rPr>
            <w:noProof/>
            <w:webHidden/>
          </w:rPr>
          <w:fldChar w:fldCharType="separate"/>
        </w:r>
        <w:r w:rsidR="003E4210">
          <w:rPr>
            <w:noProof/>
            <w:webHidden/>
          </w:rPr>
          <w:t>82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0" w:history="1">
        <w:r w:rsidR="003E4210" w:rsidRPr="005B148D">
          <w:rPr>
            <w:rStyle w:val="Hyperlink"/>
            <w:noProof/>
          </w:rPr>
          <w:t>Figure 68 – SS field format</w:t>
        </w:r>
        <w:r w:rsidR="003E4210">
          <w:rPr>
            <w:noProof/>
            <w:webHidden/>
          </w:rPr>
          <w:tab/>
        </w:r>
        <w:r>
          <w:rPr>
            <w:noProof/>
            <w:webHidden/>
          </w:rPr>
          <w:fldChar w:fldCharType="begin"/>
        </w:r>
        <w:r w:rsidR="003E4210">
          <w:rPr>
            <w:noProof/>
            <w:webHidden/>
          </w:rPr>
          <w:instrText xml:space="preserve"> PAGEREF _Toc259717500 \h </w:instrText>
        </w:r>
        <w:r>
          <w:rPr>
            <w:noProof/>
            <w:webHidden/>
          </w:rPr>
        </w:r>
        <w:r>
          <w:rPr>
            <w:noProof/>
            <w:webHidden/>
          </w:rPr>
          <w:fldChar w:fldCharType="separate"/>
        </w:r>
        <w:r w:rsidR="003E4210">
          <w:rPr>
            <w:noProof/>
            <w:webHidden/>
          </w:rPr>
          <w:t>83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1" w:history="1">
        <w:r w:rsidR="003E4210" w:rsidRPr="005B148D">
          <w:rPr>
            <w:rStyle w:val="Hyperlink"/>
            <w:noProof/>
          </w:rPr>
          <w:t>Figure 69 – SP Info field format</w:t>
        </w:r>
        <w:r w:rsidR="003E4210">
          <w:rPr>
            <w:noProof/>
            <w:webHidden/>
          </w:rPr>
          <w:tab/>
        </w:r>
        <w:r>
          <w:rPr>
            <w:noProof/>
            <w:webHidden/>
          </w:rPr>
          <w:fldChar w:fldCharType="begin"/>
        </w:r>
        <w:r w:rsidR="003E4210">
          <w:rPr>
            <w:noProof/>
            <w:webHidden/>
          </w:rPr>
          <w:instrText xml:space="preserve"> PAGEREF _Toc259717501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2" w:history="1">
        <w:r w:rsidR="003E4210" w:rsidRPr="005B148D">
          <w:rPr>
            <w:rStyle w:val="Hyperlink"/>
            <w:noProof/>
          </w:rPr>
          <w:t>Figure 70 – SS Feedback field format</w:t>
        </w:r>
        <w:r w:rsidR="003E4210">
          <w:rPr>
            <w:noProof/>
            <w:webHidden/>
          </w:rPr>
          <w:tab/>
        </w:r>
        <w:r>
          <w:rPr>
            <w:noProof/>
            <w:webHidden/>
          </w:rPr>
          <w:fldChar w:fldCharType="begin"/>
        </w:r>
        <w:r w:rsidR="003E4210">
          <w:rPr>
            <w:noProof/>
            <w:webHidden/>
          </w:rPr>
          <w:instrText xml:space="preserve"> PAGEREF _Toc259717502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3" w:history="1">
        <w:r w:rsidR="003E4210" w:rsidRPr="005B148D">
          <w:rPr>
            <w:rStyle w:val="Hyperlink"/>
            <w:noProof/>
          </w:rPr>
          <w:t>Figure 71 – BRP Request field format</w:t>
        </w:r>
        <w:r w:rsidR="003E4210">
          <w:rPr>
            <w:noProof/>
            <w:webHidden/>
          </w:rPr>
          <w:tab/>
        </w:r>
        <w:r>
          <w:rPr>
            <w:noProof/>
            <w:webHidden/>
          </w:rPr>
          <w:fldChar w:fldCharType="begin"/>
        </w:r>
        <w:r w:rsidR="003E4210">
          <w:rPr>
            <w:noProof/>
            <w:webHidden/>
          </w:rPr>
          <w:instrText xml:space="preserve"> PAGEREF _Toc259717503 \h </w:instrText>
        </w:r>
        <w:r>
          <w:rPr>
            <w:noProof/>
            <w:webHidden/>
          </w:rPr>
        </w:r>
        <w:r>
          <w:rPr>
            <w:noProof/>
            <w:webHidden/>
          </w:rPr>
          <w:fldChar w:fldCharType="separate"/>
        </w:r>
        <w:r w:rsidR="003E4210">
          <w:rPr>
            <w:noProof/>
            <w:webHidden/>
          </w:rPr>
          <w:t>85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4" w:history="1">
        <w:r w:rsidR="003E4210" w:rsidRPr="005B148D">
          <w:rPr>
            <w:rStyle w:val="Hyperlink"/>
            <w:noProof/>
          </w:rPr>
          <w:t>Figure 72 – BF Control field format</w:t>
        </w:r>
        <w:r w:rsidR="003E4210">
          <w:rPr>
            <w:noProof/>
            <w:webHidden/>
          </w:rPr>
          <w:tab/>
        </w:r>
        <w:r>
          <w:rPr>
            <w:noProof/>
            <w:webHidden/>
          </w:rPr>
          <w:fldChar w:fldCharType="begin"/>
        </w:r>
        <w:r w:rsidR="003E4210">
          <w:rPr>
            <w:noProof/>
            <w:webHidden/>
          </w:rPr>
          <w:instrText xml:space="preserve"> PAGEREF _Toc259717504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5" w:history="1">
        <w:r w:rsidR="003E4210" w:rsidRPr="005B148D">
          <w:rPr>
            <w:rStyle w:val="Hyperlink"/>
            <w:noProof/>
          </w:rPr>
          <w:t>Figure 73 – DTP Request frame format</w:t>
        </w:r>
        <w:r w:rsidR="003E4210">
          <w:rPr>
            <w:noProof/>
            <w:webHidden/>
          </w:rPr>
          <w:tab/>
        </w:r>
        <w:r>
          <w:rPr>
            <w:noProof/>
            <w:webHidden/>
          </w:rPr>
          <w:fldChar w:fldCharType="begin"/>
        </w:r>
        <w:r w:rsidR="003E4210">
          <w:rPr>
            <w:noProof/>
            <w:webHidden/>
          </w:rPr>
          <w:instrText xml:space="preserve"> PAGEREF _Toc259717505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6" w:history="1">
        <w:r w:rsidR="003E4210" w:rsidRPr="005B148D">
          <w:rPr>
            <w:rStyle w:val="Hyperlink"/>
            <w:noProof/>
          </w:rPr>
          <w:t>Figure 74 – DTP Report frame format</w:t>
        </w:r>
        <w:r w:rsidR="003E4210">
          <w:rPr>
            <w:noProof/>
            <w:webHidden/>
          </w:rPr>
          <w:tab/>
        </w:r>
        <w:r>
          <w:rPr>
            <w:noProof/>
            <w:webHidden/>
          </w:rPr>
          <w:fldChar w:fldCharType="begin"/>
        </w:r>
        <w:r w:rsidR="003E4210">
          <w:rPr>
            <w:noProof/>
            <w:webHidden/>
          </w:rPr>
          <w:instrText xml:space="preserve"> PAGEREF _Toc259717506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7" w:history="1">
        <w:r w:rsidR="003E4210" w:rsidRPr="005B148D">
          <w:rPr>
            <w:rStyle w:val="Hyperlink"/>
            <w:noProof/>
          </w:rPr>
          <w:t>Figure 75 – Channel measurement info field</w:t>
        </w:r>
        <w:r w:rsidR="003E4210">
          <w:rPr>
            <w:noProof/>
            <w:webHidden/>
          </w:rPr>
          <w:tab/>
        </w:r>
        <w:r>
          <w:rPr>
            <w:noProof/>
            <w:webHidden/>
          </w:rPr>
          <w:fldChar w:fldCharType="begin"/>
        </w:r>
        <w:r w:rsidR="003E4210">
          <w:rPr>
            <w:noProof/>
            <w:webHidden/>
          </w:rPr>
          <w:instrText xml:space="preserve"> PAGEREF _Toc259717507 \h </w:instrText>
        </w:r>
        <w:r>
          <w:rPr>
            <w:noProof/>
            <w:webHidden/>
          </w:rPr>
        </w:r>
        <w:r>
          <w:rPr>
            <w:noProof/>
            <w:webHidden/>
          </w:rPr>
          <w:fldChar w:fldCharType="separate"/>
        </w:r>
        <w:r w:rsidR="003E4210">
          <w:rPr>
            <w:noProof/>
            <w:webHidden/>
          </w:rPr>
          <w:t>100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8" w:history="1">
        <w:r w:rsidR="003E4210" w:rsidRPr="005B148D">
          <w:rPr>
            <w:rStyle w:val="Hyperlink"/>
            <w:noProof/>
          </w:rPr>
          <w:t>Figure 76 – Relay operation type field</w:t>
        </w:r>
        <w:r w:rsidR="003E4210">
          <w:rPr>
            <w:noProof/>
            <w:webHidden/>
          </w:rPr>
          <w:tab/>
        </w:r>
        <w:r>
          <w:rPr>
            <w:noProof/>
            <w:webHidden/>
          </w:rPr>
          <w:fldChar w:fldCharType="begin"/>
        </w:r>
        <w:r w:rsidR="003E4210">
          <w:rPr>
            <w:noProof/>
            <w:webHidden/>
          </w:rPr>
          <w:instrText xml:space="preserve"> PAGEREF _Toc259717508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09" w:history="1">
        <w:r w:rsidR="003E4210" w:rsidRPr="005B148D">
          <w:rPr>
            <w:rStyle w:val="Hyperlink"/>
            <w:noProof/>
            <w:lang w:val="fr-FR"/>
          </w:rPr>
          <w:t>Figure 77 – mmWave A-MPDU subframe format</w:t>
        </w:r>
        <w:r w:rsidR="003E4210">
          <w:rPr>
            <w:noProof/>
            <w:webHidden/>
          </w:rPr>
          <w:tab/>
        </w:r>
        <w:r>
          <w:rPr>
            <w:noProof/>
            <w:webHidden/>
          </w:rPr>
          <w:fldChar w:fldCharType="begin"/>
        </w:r>
        <w:r w:rsidR="003E4210">
          <w:rPr>
            <w:noProof/>
            <w:webHidden/>
          </w:rPr>
          <w:instrText xml:space="preserve"> PAGEREF _Toc259717509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0" w:history="1">
        <w:r w:rsidR="003E4210" w:rsidRPr="005B148D">
          <w:rPr>
            <w:rStyle w:val="Hyperlink"/>
            <w:noProof/>
          </w:rPr>
          <w:t>Figure 78 – Expanded GCMP MPDU</w:t>
        </w:r>
        <w:r w:rsidR="003E4210">
          <w:rPr>
            <w:noProof/>
            <w:webHidden/>
          </w:rPr>
          <w:tab/>
        </w:r>
        <w:r>
          <w:rPr>
            <w:noProof/>
            <w:webHidden/>
          </w:rPr>
          <w:fldChar w:fldCharType="begin"/>
        </w:r>
        <w:r w:rsidR="003E4210">
          <w:rPr>
            <w:noProof/>
            <w:webHidden/>
          </w:rPr>
          <w:instrText xml:space="preserve"> PAGEREF _Toc259717510 \h </w:instrText>
        </w:r>
        <w:r>
          <w:rPr>
            <w:noProof/>
            <w:webHidden/>
          </w:rPr>
        </w:r>
        <w:r>
          <w:rPr>
            <w:noProof/>
            <w:webHidden/>
          </w:rPr>
          <w:fldChar w:fldCharType="separate"/>
        </w:r>
        <w:r w:rsidR="003E4210">
          <w:rPr>
            <w:noProof/>
            <w:webHidden/>
          </w:rPr>
          <w:t>116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1" w:history="1">
        <w:r w:rsidR="003E4210" w:rsidRPr="005B148D">
          <w:rPr>
            <w:rStyle w:val="Hyperlink"/>
            <w:noProof/>
          </w:rPr>
          <w:t>Figure 79 – GCMP encapsulation block diagram</w:t>
        </w:r>
        <w:r w:rsidR="003E4210">
          <w:rPr>
            <w:noProof/>
            <w:webHidden/>
          </w:rPr>
          <w:tab/>
        </w:r>
        <w:r>
          <w:rPr>
            <w:noProof/>
            <w:webHidden/>
          </w:rPr>
          <w:fldChar w:fldCharType="begin"/>
        </w:r>
        <w:r w:rsidR="003E4210">
          <w:rPr>
            <w:noProof/>
            <w:webHidden/>
          </w:rPr>
          <w:instrText xml:space="preserve"> PAGEREF _Toc259717511 \h </w:instrText>
        </w:r>
        <w:r>
          <w:rPr>
            <w:noProof/>
            <w:webHidden/>
          </w:rPr>
        </w:r>
        <w:r>
          <w:rPr>
            <w:noProof/>
            <w:webHidden/>
          </w:rPr>
          <w:fldChar w:fldCharType="separate"/>
        </w:r>
        <w:r w:rsidR="003E4210">
          <w:rPr>
            <w:noProof/>
            <w:webHidden/>
          </w:rPr>
          <w:t>117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2" w:history="1">
        <w:r w:rsidR="003E4210" w:rsidRPr="005B148D">
          <w:rPr>
            <w:rStyle w:val="Hyperlink"/>
            <w:noProof/>
          </w:rPr>
          <w:t>Figure 80 – Nonce construction</w:t>
        </w:r>
        <w:r w:rsidR="003E4210">
          <w:rPr>
            <w:noProof/>
            <w:webHidden/>
          </w:rPr>
          <w:tab/>
        </w:r>
        <w:r>
          <w:rPr>
            <w:noProof/>
            <w:webHidden/>
          </w:rPr>
          <w:fldChar w:fldCharType="begin"/>
        </w:r>
        <w:r w:rsidR="003E4210">
          <w:rPr>
            <w:noProof/>
            <w:webHidden/>
          </w:rPr>
          <w:instrText xml:space="preserve"> PAGEREF _Toc259717512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3" w:history="1">
        <w:r w:rsidR="003E4210" w:rsidRPr="005B148D">
          <w:rPr>
            <w:rStyle w:val="Hyperlink"/>
            <w:noProof/>
          </w:rPr>
          <w:t>Figure 81 – GCMP decapsulation block diagram</w:t>
        </w:r>
        <w:r w:rsidR="003E4210">
          <w:rPr>
            <w:noProof/>
            <w:webHidden/>
          </w:rPr>
          <w:tab/>
        </w:r>
        <w:r>
          <w:rPr>
            <w:noProof/>
            <w:webHidden/>
          </w:rPr>
          <w:fldChar w:fldCharType="begin"/>
        </w:r>
        <w:r w:rsidR="003E4210">
          <w:rPr>
            <w:noProof/>
            <w:webHidden/>
          </w:rPr>
          <w:instrText xml:space="preserve"> PAGEREF _Toc259717513 \h </w:instrText>
        </w:r>
        <w:r>
          <w:rPr>
            <w:noProof/>
            <w:webHidden/>
          </w:rPr>
        </w:r>
        <w:r>
          <w:rPr>
            <w:noProof/>
            <w:webHidden/>
          </w:rPr>
          <w:fldChar w:fldCharType="separate"/>
        </w:r>
        <w:r w:rsidR="003E4210">
          <w:rPr>
            <w:noProof/>
            <w:webHidden/>
          </w:rPr>
          <w:t>119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4" w:history="1">
        <w:r w:rsidR="003E4210" w:rsidRPr="005B148D">
          <w:rPr>
            <w:rStyle w:val="Hyperlink"/>
            <w:noProof/>
          </w:rPr>
          <w:t>Figure 82 – Example of a BI structure</w:t>
        </w:r>
        <w:r w:rsidR="003E4210">
          <w:rPr>
            <w:noProof/>
            <w:webHidden/>
          </w:rPr>
          <w:tab/>
        </w:r>
        <w:r>
          <w:rPr>
            <w:noProof/>
            <w:webHidden/>
          </w:rPr>
          <w:fldChar w:fldCharType="begin"/>
        </w:r>
        <w:r w:rsidR="003E4210">
          <w:rPr>
            <w:noProof/>
            <w:webHidden/>
          </w:rPr>
          <w:instrText xml:space="preserve"> PAGEREF _Toc259717514 \h </w:instrText>
        </w:r>
        <w:r>
          <w:rPr>
            <w:noProof/>
            <w:webHidden/>
          </w:rPr>
        </w:r>
        <w:r>
          <w:rPr>
            <w:noProof/>
            <w:webHidden/>
          </w:rPr>
          <w:fldChar w:fldCharType="separate"/>
        </w:r>
        <w:r w:rsidR="003E4210">
          <w:rPr>
            <w:noProof/>
            <w:webHidden/>
          </w:rPr>
          <w:t>152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5" w:history="1">
        <w:r w:rsidR="003E4210" w:rsidRPr="005B148D">
          <w:rPr>
            <w:rStyle w:val="Hyperlink"/>
            <w:noProof/>
          </w:rPr>
          <w:t>Figure 83 – Example of frame exchanges during the AT</w:t>
        </w:r>
        <w:r w:rsidR="003E4210">
          <w:rPr>
            <w:noProof/>
            <w:webHidden/>
          </w:rPr>
          <w:tab/>
        </w:r>
        <w:r>
          <w:rPr>
            <w:noProof/>
            <w:webHidden/>
          </w:rPr>
          <w:fldChar w:fldCharType="begin"/>
        </w:r>
        <w:r w:rsidR="003E4210">
          <w:rPr>
            <w:noProof/>
            <w:webHidden/>
          </w:rPr>
          <w:instrText xml:space="preserve"> PAGEREF _Toc259717515 \h </w:instrText>
        </w:r>
        <w:r>
          <w:rPr>
            <w:noProof/>
            <w:webHidden/>
          </w:rPr>
        </w:r>
        <w:r>
          <w:rPr>
            <w:noProof/>
            <w:webHidden/>
          </w:rPr>
          <w:fldChar w:fldCharType="separate"/>
        </w:r>
        <w:r w:rsidR="003E4210">
          <w:rPr>
            <w:noProof/>
            <w:webHidden/>
          </w:rPr>
          <w:t>153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6" w:history="1">
        <w:r w:rsidR="003E4210" w:rsidRPr="005B148D">
          <w:rPr>
            <w:rStyle w:val="Hyperlink"/>
            <w:noProof/>
          </w:rPr>
          <w:t>Figure 84 – The guard time</w:t>
        </w:r>
        <w:r w:rsidR="003E4210">
          <w:rPr>
            <w:noProof/>
            <w:webHidden/>
          </w:rPr>
          <w:tab/>
        </w:r>
        <w:r>
          <w:rPr>
            <w:noProof/>
            <w:webHidden/>
          </w:rPr>
          <w:fldChar w:fldCharType="begin"/>
        </w:r>
        <w:r w:rsidR="003E4210">
          <w:rPr>
            <w:noProof/>
            <w:webHidden/>
          </w:rPr>
          <w:instrText xml:space="preserve"> PAGEREF _Toc259717516 \h </w:instrText>
        </w:r>
        <w:r>
          <w:rPr>
            <w:noProof/>
            <w:webHidden/>
          </w:rPr>
        </w:r>
        <w:r>
          <w:rPr>
            <w:noProof/>
            <w:webHidden/>
          </w:rPr>
          <w:fldChar w:fldCharType="separate"/>
        </w:r>
        <w:r w:rsidR="003E4210">
          <w:rPr>
            <w:noProof/>
            <w:webHidden/>
          </w:rPr>
          <w:t>158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7" w:history="1">
        <w:r w:rsidR="003E4210" w:rsidRPr="005B148D">
          <w:rPr>
            <w:rStyle w:val="Hyperlink"/>
            <w:noProof/>
          </w:rPr>
          <w:t>Figure 85 – Example of dynamic allocation of service period mechanism</w:t>
        </w:r>
        <w:r w:rsidR="003E4210">
          <w:rPr>
            <w:noProof/>
            <w:webHidden/>
          </w:rPr>
          <w:tab/>
        </w:r>
        <w:r>
          <w:rPr>
            <w:noProof/>
            <w:webHidden/>
          </w:rPr>
          <w:fldChar w:fldCharType="begin"/>
        </w:r>
        <w:r w:rsidR="003E4210">
          <w:rPr>
            <w:noProof/>
            <w:webHidden/>
          </w:rPr>
          <w:instrText xml:space="preserve"> PAGEREF _Toc259717517 \h </w:instrText>
        </w:r>
        <w:r>
          <w:rPr>
            <w:noProof/>
            <w:webHidden/>
          </w:rPr>
        </w:r>
        <w:r>
          <w:rPr>
            <w:noProof/>
            <w:webHidden/>
          </w:rPr>
          <w:fldChar w:fldCharType="separate"/>
        </w:r>
        <w:r w:rsidR="003E4210">
          <w:rPr>
            <w:noProof/>
            <w:webHidden/>
          </w:rPr>
          <w:t>163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8" w:history="1">
        <w:r w:rsidR="003E4210" w:rsidRPr="005B148D">
          <w:rPr>
            <w:rStyle w:val="Hyperlink"/>
            <w:noProof/>
          </w:rPr>
          <w:t>Figure 86 – PCP/AP clustering for 3 PCPs/APs</w:t>
        </w:r>
        <w:r w:rsidR="003E4210">
          <w:rPr>
            <w:noProof/>
            <w:webHidden/>
          </w:rPr>
          <w:tab/>
        </w:r>
        <w:r>
          <w:rPr>
            <w:noProof/>
            <w:webHidden/>
          </w:rPr>
          <w:fldChar w:fldCharType="begin"/>
        </w:r>
        <w:r w:rsidR="003E4210">
          <w:rPr>
            <w:noProof/>
            <w:webHidden/>
          </w:rPr>
          <w:instrText xml:space="preserve"> PAGEREF _Toc259717518 \h </w:instrText>
        </w:r>
        <w:r>
          <w:rPr>
            <w:noProof/>
            <w:webHidden/>
          </w:rPr>
        </w:r>
        <w:r>
          <w:rPr>
            <w:noProof/>
            <w:webHidden/>
          </w:rPr>
          <w:fldChar w:fldCharType="separate"/>
        </w:r>
        <w:r w:rsidR="003E4210">
          <w:rPr>
            <w:noProof/>
            <w:webHidden/>
          </w:rPr>
          <w:t>171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19" w:history="1">
        <w:r w:rsidR="003E4210" w:rsidRPr="005B148D">
          <w:rPr>
            <w:rStyle w:val="Hyperlink"/>
            <w:noProof/>
          </w:rPr>
          <w:t>Figure 87 – An example of beamforming training</w:t>
        </w:r>
        <w:r w:rsidR="003E4210">
          <w:rPr>
            <w:noProof/>
            <w:webHidden/>
          </w:rPr>
          <w:tab/>
        </w:r>
        <w:r>
          <w:rPr>
            <w:noProof/>
            <w:webHidden/>
          </w:rPr>
          <w:fldChar w:fldCharType="begin"/>
        </w:r>
        <w:r w:rsidR="003E4210">
          <w:rPr>
            <w:noProof/>
            <w:webHidden/>
          </w:rPr>
          <w:instrText xml:space="preserve"> PAGEREF _Toc259717519 \h </w:instrText>
        </w:r>
        <w:r>
          <w:rPr>
            <w:noProof/>
            <w:webHidden/>
          </w:rPr>
        </w:r>
        <w:r>
          <w:rPr>
            <w:noProof/>
            <w:webHidden/>
          </w:rPr>
          <w:fldChar w:fldCharType="separate"/>
        </w:r>
        <w:r w:rsidR="003E4210">
          <w:rPr>
            <w:noProof/>
            <w:webHidden/>
          </w:rPr>
          <w:t>174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0" w:history="1">
        <w:r w:rsidR="003E4210" w:rsidRPr="005B148D">
          <w:rPr>
            <w:rStyle w:val="Hyperlink"/>
            <w:noProof/>
          </w:rPr>
          <w:t>Figure 88 – An example of sector level sweep</w:t>
        </w:r>
        <w:r w:rsidR="003E4210">
          <w:rPr>
            <w:noProof/>
            <w:webHidden/>
          </w:rPr>
          <w:tab/>
        </w:r>
        <w:r>
          <w:rPr>
            <w:noProof/>
            <w:webHidden/>
          </w:rPr>
          <w:fldChar w:fldCharType="begin"/>
        </w:r>
        <w:r w:rsidR="003E4210">
          <w:rPr>
            <w:noProof/>
            <w:webHidden/>
          </w:rPr>
          <w:instrText xml:space="preserve"> PAGEREF _Toc259717520 \h </w:instrText>
        </w:r>
        <w:r>
          <w:rPr>
            <w:noProof/>
            <w:webHidden/>
          </w:rPr>
        </w:r>
        <w:r>
          <w:rPr>
            <w:noProof/>
            <w:webHidden/>
          </w:rPr>
          <w:fldChar w:fldCharType="separate"/>
        </w:r>
        <w:r w:rsidR="003E4210">
          <w:rPr>
            <w:noProof/>
            <w:webHidden/>
          </w:rPr>
          <w:t>176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1" w:history="1">
        <w:r w:rsidR="003E4210" w:rsidRPr="005B148D">
          <w:rPr>
            <w:rStyle w:val="Hyperlink"/>
            <w:noProof/>
          </w:rPr>
          <w:t>Figure 89 – An example of sector level sweep</w:t>
        </w:r>
        <w:r w:rsidR="003E4210">
          <w:rPr>
            <w:noProof/>
            <w:webHidden/>
          </w:rPr>
          <w:tab/>
        </w:r>
        <w:r>
          <w:rPr>
            <w:noProof/>
            <w:webHidden/>
          </w:rPr>
          <w:fldChar w:fldCharType="begin"/>
        </w:r>
        <w:r w:rsidR="003E4210">
          <w:rPr>
            <w:noProof/>
            <w:webHidden/>
          </w:rPr>
          <w:instrText xml:space="preserve"> PAGEREF _Toc259717521 \h </w:instrText>
        </w:r>
        <w:r>
          <w:rPr>
            <w:noProof/>
            <w:webHidden/>
          </w:rPr>
        </w:r>
        <w:r>
          <w:rPr>
            <w:noProof/>
            <w:webHidden/>
          </w:rPr>
          <w:fldChar w:fldCharType="separate"/>
        </w:r>
        <w:r w:rsidR="003E4210">
          <w:rPr>
            <w:noProof/>
            <w:webHidden/>
          </w:rPr>
          <w:t>177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2" w:history="1">
        <w:r w:rsidR="003E4210" w:rsidRPr="005B148D">
          <w:rPr>
            <w:rStyle w:val="Hyperlink"/>
            <w:noProof/>
          </w:rPr>
          <w:t>Figure 90 – Initiator TXSS or Initiator RXSS</w:t>
        </w:r>
        <w:r w:rsidR="003E4210">
          <w:rPr>
            <w:noProof/>
            <w:webHidden/>
          </w:rPr>
          <w:tab/>
        </w:r>
        <w:r>
          <w:rPr>
            <w:noProof/>
            <w:webHidden/>
          </w:rPr>
          <w:fldChar w:fldCharType="begin"/>
        </w:r>
        <w:r w:rsidR="003E4210">
          <w:rPr>
            <w:noProof/>
            <w:webHidden/>
          </w:rPr>
          <w:instrText xml:space="preserve"> PAGEREF _Toc259717522 \h </w:instrText>
        </w:r>
        <w:r>
          <w:rPr>
            <w:noProof/>
            <w:webHidden/>
          </w:rPr>
        </w:r>
        <w:r>
          <w:rPr>
            <w:noProof/>
            <w:webHidden/>
          </w:rPr>
          <w:fldChar w:fldCharType="separate"/>
        </w:r>
        <w:r w:rsidR="003E4210">
          <w:rPr>
            <w:noProof/>
            <w:webHidden/>
          </w:rPr>
          <w:t>178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3" w:history="1">
        <w:r w:rsidR="003E4210" w:rsidRPr="005B148D">
          <w:rPr>
            <w:rStyle w:val="Hyperlink"/>
            <w:noProof/>
          </w:rPr>
          <w:t>Figure 91 – Responder TXSS or Responder RXSS</w:t>
        </w:r>
        <w:r w:rsidR="003E4210">
          <w:rPr>
            <w:noProof/>
            <w:webHidden/>
          </w:rPr>
          <w:tab/>
        </w:r>
        <w:r>
          <w:rPr>
            <w:noProof/>
            <w:webHidden/>
          </w:rPr>
          <w:fldChar w:fldCharType="begin"/>
        </w:r>
        <w:r w:rsidR="003E4210">
          <w:rPr>
            <w:noProof/>
            <w:webHidden/>
          </w:rPr>
          <w:instrText xml:space="preserve"> PAGEREF _Toc259717523 \h </w:instrText>
        </w:r>
        <w:r>
          <w:rPr>
            <w:noProof/>
            <w:webHidden/>
          </w:rPr>
        </w:r>
        <w:r>
          <w:rPr>
            <w:noProof/>
            <w:webHidden/>
          </w:rPr>
          <w:fldChar w:fldCharType="separate"/>
        </w:r>
        <w:r w:rsidR="003E4210">
          <w:rPr>
            <w:noProof/>
            <w:webHidden/>
          </w:rPr>
          <w:t>181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4" w:history="1">
        <w:r w:rsidR="003E4210" w:rsidRPr="005B148D">
          <w:rPr>
            <w:rStyle w:val="Hyperlink"/>
            <w:noProof/>
          </w:rPr>
          <w:t>Figure 92 – An example of a beam refinement transactions</w:t>
        </w:r>
        <w:r w:rsidR="003E4210">
          <w:rPr>
            <w:noProof/>
            <w:webHidden/>
          </w:rPr>
          <w:tab/>
        </w:r>
        <w:r>
          <w:rPr>
            <w:noProof/>
            <w:webHidden/>
          </w:rPr>
          <w:fldChar w:fldCharType="begin"/>
        </w:r>
        <w:r w:rsidR="003E4210">
          <w:rPr>
            <w:noProof/>
            <w:webHidden/>
          </w:rPr>
          <w:instrText xml:space="preserve"> PAGEREF _Toc259717524 \h </w:instrText>
        </w:r>
        <w:r>
          <w:rPr>
            <w:noProof/>
            <w:webHidden/>
          </w:rPr>
        </w:r>
        <w:r>
          <w:rPr>
            <w:noProof/>
            <w:webHidden/>
          </w:rPr>
          <w:fldChar w:fldCharType="separate"/>
        </w:r>
        <w:r w:rsidR="003E4210">
          <w:rPr>
            <w:noProof/>
            <w:webHidden/>
          </w:rPr>
          <w:t>185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5" w:history="1">
        <w:r w:rsidR="003E4210" w:rsidRPr="005B148D">
          <w:rPr>
            <w:rStyle w:val="Hyperlink"/>
            <w:noProof/>
          </w:rPr>
          <w:t>Figure 93 – Example of BRP setup sub-phase procedure (SLS in BT and A-BFT)</w:t>
        </w:r>
        <w:r w:rsidR="003E4210">
          <w:rPr>
            <w:noProof/>
            <w:webHidden/>
          </w:rPr>
          <w:tab/>
        </w:r>
        <w:r>
          <w:rPr>
            <w:noProof/>
            <w:webHidden/>
          </w:rPr>
          <w:fldChar w:fldCharType="begin"/>
        </w:r>
        <w:r w:rsidR="003E4210">
          <w:rPr>
            <w:noProof/>
            <w:webHidden/>
          </w:rPr>
          <w:instrText xml:space="preserve"> PAGEREF _Toc259717525 \h </w:instrText>
        </w:r>
        <w:r>
          <w:rPr>
            <w:noProof/>
            <w:webHidden/>
          </w:rPr>
        </w:r>
        <w:r>
          <w:rPr>
            <w:noProof/>
            <w:webHidden/>
          </w:rPr>
          <w:fldChar w:fldCharType="separate"/>
        </w:r>
        <w:r w:rsidR="003E4210">
          <w:rPr>
            <w:noProof/>
            <w:webHidden/>
          </w:rPr>
          <w:t>187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6" w:history="1">
        <w:r w:rsidR="003E4210" w:rsidRPr="005B148D">
          <w:rPr>
            <w:rStyle w:val="Hyperlink"/>
            <w:noProof/>
          </w:rPr>
          <w:t>Figure 94 – Example of BRP setup sub-phase procedure (SLS in DTT)</w:t>
        </w:r>
        <w:r w:rsidR="003E4210">
          <w:rPr>
            <w:noProof/>
            <w:webHidden/>
          </w:rPr>
          <w:tab/>
        </w:r>
        <w:r>
          <w:rPr>
            <w:noProof/>
            <w:webHidden/>
          </w:rPr>
          <w:fldChar w:fldCharType="begin"/>
        </w:r>
        <w:r w:rsidR="003E4210">
          <w:rPr>
            <w:noProof/>
            <w:webHidden/>
          </w:rPr>
          <w:instrText xml:space="preserve"> PAGEREF _Toc259717526 \h </w:instrText>
        </w:r>
        <w:r>
          <w:rPr>
            <w:noProof/>
            <w:webHidden/>
          </w:rPr>
        </w:r>
        <w:r>
          <w:rPr>
            <w:noProof/>
            <w:webHidden/>
          </w:rPr>
          <w:fldChar w:fldCharType="separate"/>
        </w:r>
        <w:r w:rsidR="003E4210">
          <w:rPr>
            <w:noProof/>
            <w:webHidden/>
          </w:rPr>
          <w:t>187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7" w:history="1">
        <w:r w:rsidR="003E4210" w:rsidRPr="005B148D">
          <w:rPr>
            <w:rStyle w:val="Hyperlink"/>
            <w:noProof/>
          </w:rPr>
          <w:t>Figure 95 – A-BFT structure</w:t>
        </w:r>
        <w:r w:rsidR="003E4210">
          <w:rPr>
            <w:noProof/>
            <w:webHidden/>
          </w:rPr>
          <w:tab/>
        </w:r>
        <w:r>
          <w:rPr>
            <w:noProof/>
            <w:webHidden/>
          </w:rPr>
          <w:fldChar w:fldCharType="begin"/>
        </w:r>
        <w:r w:rsidR="003E4210">
          <w:rPr>
            <w:noProof/>
            <w:webHidden/>
          </w:rPr>
          <w:instrText xml:space="preserve"> PAGEREF _Toc259717527 \h </w:instrText>
        </w:r>
        <w:r>
          <w:rPr>
            <w:noProof/>
            <w:webHidden/>
          </w:rPr>
        </w:r>
        <w:r>
          <w:rPr>
            <w:noProof/>
            <w:webHidden/>
          </w:rPr>
          <w:fldChar w:fldCharType="separate"/>
        </w:r>
        <w:r w:rsidR="003E4210">
          <w:rPr>
            <w:noProof/>
            <w:webHidden/>
          </w:rPr>
          <w:t>189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8" w:history="1">
        <w:r w:rsidR="003E4210" w:rsidRPr="005B148D">
          <w:rPr>
            <w:rStyle w:val="Hyperlink"/>
            <w:noProof/>
          </w:rPr>
          <w:t>Figure 96 – SS slot (aSSSlotTime) definition</w:t>
        </w:r>
        <w:r w:rsidR="003E4210">
          <w:rPr>
            <w:noProof/>
            <w:webHidden/>
          </w:rPr>
          <w:tab/>
        </w:r>
        <w:r>
          <w:rPr>
            <w:noProof/>
            <w:webHidden/>
          </w:rPr>
          <w:fldChar w:fldCharType="begin"/>
        </w:r>
        <w:r w:rsidR="003E4210">
          <w:rPr>
            <w:noProof/>
            <w:webHidden/>
          </w:rPr>
          <w:instrText xml:space="preserve"> PAGEREF _Toc259717528 \h </w:instrText>
        </w:r>
        <w:r>
          <w:rPr>
            <w:noProof/>
            <w:webHidden/>
          </w:rPr>
        </w:r>
        <w:r>
          <w:rPr>
            <w:noProof/>
            <w:webHidden/>
          </w:rPr>
          <w:fldChar w:fldCharType="separate"/>
        </w:r>
        <w:r w:rsidR="003E4210">
          <w:rPr>
            <w:noProof/>
            <w:webHidden/>
          </w:rPr>
          <w:t>189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29" w:history="1">
        <w:r w:rsidR="003E4210" w:rsidRPr="005B148D">
          <w:rPr>
            <w:rStyle w:val="Hyperlink"/>
            <w:noProof/>
          </w:rPr>
          <w:t>Figure 97 – Example of time allocation for the MIDC phase with MID and BC sub-phases</w:t>
        </w:r>
        <w:r w:rsidR="003E4210">
          <w:rPr>
            <w:noProof/>
            <w:webHidden/>
          </w:rPr>
          <w:tab/>
        </w:r>
        <w:r>
          <w:rPr>
            <w:noProof/>
            <w:webHidden/>
          </w:rPr>
          <w:fldChar w:fldCharType="begin"/>
        </w:r>
        <w:r w:rsidR="003E4210">
          <w:rPr>
            <w:noProof/>
            <w:webHidden/>
          </w:rPr>
          <w:instrText xml:space="preserve"> PAGEREF _Toc259717529 \h </w:instrText>
        </w:r>
        <w:r>
          <w:rPr>
            <w:noProof/>
            <w:webHidden/>
          </w:rPr>
        </w:r>
        <w:r>
          <w:rPr>
            <w:noProof/>
            <w:webHidden/>
          </w:rPr>
          <w:fldChar w:fldCharType="separate"/>
        </w:r>
        <w:r w:rsidR="003E4210">
          <w:rPr>
            <w:noProof/>
            <w:webHidden/>
          </w:rPr>
          <w:t>194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0" w:history="1">
        <w:r w:rsidR="003E4210" w:rsidRPr="005B148D">
          <w:rPr>
            <w:rStyle w:val="Hyperlink"/>
            <w:noProof/>
          </w:rPr>
          <w:t>Figure 98 – Example of time allocation for the MIDC phase with the MID sub-phase only</w:t>
        </w:r>
        <w:r w:rsidR="003E4210">
          <w:rPr>
            <w:noProof/>
            <w:webHidden/>
          </w:rPr>
          <w:tab/>
        </w:r>
        <w:r>
          <w:rPr>
            <w:noProof/>
            <w:webHidden/>
          </w:rPr>
          <w:fldChar w:fldCharType="begin"/>
        </w:r>
        <w:r w:rsidR="003E4210">
          <w:rPr>
            <w:noProof/>
            <w:webHidden/>
          </w:rPr>
          <w:instrText xml:space="preserve"> PAGEREF _Toc259717530 \h </w:instrText>
        </w:r>
        <w:r>
          <w:rPr>
            <w:noProof/>
            <w:webHidden/>
          </w:rPr>
        </w:r>
        <w:r>
          <w:rPr>
            <w:noProof/>
            <w:webHidden/>
          </w:rPr>
          <w:fldChar w:fldCharType="separate"/>
        </w:r>
        <w:r w:rsidR="003E4210">
          <w:rPr>
            <w:noProof/>
            <w:webHidden/>
          </w:rPr>
          <w:t>195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1" w:history="1">
        <w:r w:rsidR="003E4210" w:rsidRPr="005B148D">
          <w:rPr>
            <w:rStyle w:val="Hyperlink"/>
            <w:noProof/>
          </w:rPr>
          <w:t>Figure 99 – Example of the use of the BRP setup sub-phase to setup the subsequent MIDC phase in the A-BFT and DTT</w:t>
        </w:r>
        <w:r w:rsidR="003E4210">
          <w:rPr>
            <w:noProof/>
            <w:webHidden/>
          </w:rPr>
          <w:tab/>
        </w:r>
        <w:r>
          <w:rPr>
            <w:noProof/>
            <w:webHidden/>
          </w:rPr>
          <w:fldChar w:fldCharType="begin"/>
        </w:r>
        <w:r w:rsidR="003E4210">
          <w:rPr>
            <w:noProof/>
            <w:webHidden/>
          </w:rPr>
          <w:instrText xml:space="preserve"> PAGEREF _Toc259717531 \h </w:instrText>
        </w:r>
        <w:r>
          <w:rPr>
            <w:noProof/>
            <w:webHidden/>
          </w:rPr>
        </w:r>
        <w:r>
          <w:rPr>
            <w:noProof/>
            <w:webHidden/>
          </w:rPr>
          <w:fldChar w:fldCharType="separate"/>
        </w:r>
        <w:r w:rsidR="003E4210">
          <w:rPr>
            <w:noProof/>
            <w:webHidden/>
          </w:rPr>
          <w:t>195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2" w:history="1">
        <w:r w:rsidR="003E4210" w:rsidRPr="005B148D">
          <w:rPr>
            <w:rStyle w:val="Hyperlink"/>
            <w:noProof/>
          </w:rPr>
          <w:t>Figure 100 – Example of the use of the BRP setup sub-phase to setup the subsequent MIDC phase in the DTT</w:t>
        </w:r>
        <w:r w:rsidR="003E4210">
          <w:rPr>
            <w:noProof/>
            <w:webHidden/>
          </w:rPr>
          <w:tab/>
        </w:r>
        <w:r>
          <w:rPr>
            <w:noProof/>
            <w:webHidden/>
          </w:rPr>
          <w:fldChar w:fldCharType="begin"/>
        </w:r>
        <w:r w:rsidR="003E4210">
          <w:rPr>
            <w:noProof/>
            <w:webHidden/>
          </w:rPr>
          <w:instrText xml:space="preserve"> PAGEREF _Toc259717532 \h </w:instrText>
        </w:r>
        <w:r>
          <w:rPr>
            <w:noProof/>
            <w:webHidden/>
          </w:rPr>
        </w:r>
        <w:r>
          <w:rPr>
            <w:noProof/>
            <w:webHidden/>
          </w:rPr>
          <w:fldChar w:fldCharType="separate"/>
        </w:r>
        <w:r w:rsidR="003E4210">
          <w:rPr>
            <w:noProof/>
            <w:webHidden/>
          </w:rPr>
          <w:t>196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3" w:history="1">
        <w:r w:rsidR="003E4210" w:rsidRPr="005B148D">
          <w:rPr>
            <w:rStyle w:val="Hyperlink"/>
            <w:noProof/>
          </w:rPr>
          <w:t>Figure 101 – Conceptual flow of a sample MIDC phase execution with MID and BC sub-phases for the initiator link</w:t>
        </w:r>
        <w:r w:rsidR="003E4210">
          <w:rPr>
            <w:noProof/>
            <w:webHidden/>
          </w:rPr>
          <w:tab/>
        </w:r>
        <w:r>
          <w:rPr>
            <w:noProof/>
            <w:webHidden/>
          </w:rPr>
          <w:fldChar w:fldCharType="begin"/>
        </w:r>
        <w:r w:rsidR="003E4210">
          <w:rPr>
            <w:noProof/>
            <w:webHidden/>
          </w:rPr>
          <w:instrText xml:space="preserve"> PAGEREF _Toc259717533 \h </w:instrText>
        </w:r>
        <w:r>
          <w:rPr>
            <w:noProof/>
            <w:webHidden/>
          </w:rPr>
        </w:r>
        <w:r>
          <w:rPr>
            <w:noProof/>
            <w:webHidden/>
          </w:rPr>
          <w:fldChar w:fldCharType="separate"/>
        </w:r>
        <w:r w:rsidR="003E4210">
          <w:rPr>
            <w:noProof/>
            <w:webHidden/>
          </w:rPr>
          <w:t>197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4" w:history="1">
        <w:r w:rsidR="003E4210" w:rsidRPr="005B148D">
          <w:rPr>
            <w:rStyle w:val="Hyperlink"/>
            <w:noProof/>
          </w:rPr>
          <w:t xml:space="preserve">Figure 102 – </w:t>
        </w:r>
        <w:r w:rsidR="003E4210" w:rsidRPr="005B148D">
          <w:rPr>
            <w:rStyle w:val="Hyperlink"/>
            <w:rFonts w:cs="Arial"/>
            <w:noProof/>
          </w:rPr>
          <w:t>Examples of the use of the MID extension field during the execution of the MID sub-phase</w:t>
        </w:r>
        <w:r w:rsidR="003E4210">
          <w:rPr>
            <w:noProof/>
            <w:webHidden/>
          </w:rPr>
          <w:tab/>
        </w:r>
        <w:r>
          <w:rPr>
            <w:noProof/>
            <w:webHidden/>
          </w:rPr>
          <w:fldChar w:fldCharType="begin"/>
        </w:r>
        <w:r w:rsidR="003E4210">
          <w:rPr>
            <w:noProof/>
            <w:webHidden/>
          </w:rPr>
          <w:instrText xml:space="preserve"> PAGEREF _Toc259717534 \h </w:instrText>
        </w:r>
        <w:r>
          <w:rPr>
            <w:noProof/>
            <w:webHidden/>
          </w:rPr>
        </w:r>
        <w:r>
          <w:rPr>
            <w:noProof/>
            <w:webHidden/>
          </w:rPr>
          <w:fldChar w:fldCharType="separate"/>
        </w:r>
        <w:r w:rsidR="003E4210">
          <w:rPr>
            <w:noProof/>
            <w:webHidden/>
          </w:rPr>
          <w:t>199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5" w:history="1">
        <w:r w:rsidR="003E4210" w:rsidRPr="005B148D">
          <w:rPr>
            <w:rStyle w:val="Hyperlink"/>
            <w:noProof/>
          </w:rPr>
          <w:t>Figure 103 – Beam Combining</w:t>
        </w:r>
        <w:r w:rsidR="003E4210">
          <w:rPr>
            <w:noProof/>
            <w:webHidden/>
          </w:rPr>
          <w:tab/>
        </w:r>
        <w:r>
          <w:rPr>
            <w:noProof/>
            <w:webHidden/>
          </w:rPr>
          <w:fldChar w:fldCharType="begin"/>
        </w:r>
        <w:r w:rsidR="003E4210">
          <w:rPr>
            <w:noProof/>
            <w:webHidden/>
          </w:rPr>
          <w:instrText xml:space="preserve"> PAGEREF _Toc259717535 \h </w:instrText>
        </w:r>
        <w:r>
          <w:rPr>
            <w:noProof/>
            <w:webHidden/>
          </w:rPr>
        </w:r>
        <w:r>
          <w:rPr>
            <w:noProof/>
            <w:webHidden/>
          </w:rPr>
          <w:fldChar w:fldCharType="separate"/>
        </w:r>
        <w:r w:rsidR="003E4210">
          <w:rPr>
            <w:noProof/>
            <w:webHidden/>
          </w:rPr>
          <w:t>200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6" w:history="1">
        <w:r w:rsidR="003E4210" w:rsidRPr="005B148D">
          <w:rPr>
            <w:rStyle w:val="Hyperlink"/>
            <w:noProof/>
          </w:rPr>
          <w:t>Figure 104 – Conceptual flow of a sample MIDC phase execution with only the MID sub-phase for the initiator link</w:t>
        </w:r>
        <w:r w:rsidR="003E4210">
          <w:rPr>
            <w:noProof/>
            <w:webHidden/>
          </w:rPr>
          <w:tab/>
        </w:r>
        <w:r>
          <w:rPr>
            <w:noProof/>
            <w:webHidden/>
          </w:rPr>
          <w:fldChar w:fldCharType="begin"/>
        </w:r>
        <w:r w:rsidR="003E4210">
          <w:rPr>
            <w:noProof/>
            <w:webHidden/>
          </w:rPr>
          <w:instrText xml:space="preserve"> PAGEREF _Toc259717536 \h </w:instrText>
        </w:r>
        <w:r>
          <w:rPr>
            <w:noProof/>
            <w:webHidden/>
          </w:rPr>
        </w:r>
        <w:r>
          <w:rPr>
            <w:noProof/>
            <w:webHidden/>
          </w:rPr>
          <w:fldChar w:fldCharType="separate"/>
        </w:r>
        <w:r w:rsidR="003E4210">
          <w:rPr>
            <w:noProof/>
            <w:webHidden/>
          </w:rPr>
          <w:t>200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7" w:history="1">
        <w:r w:rsidR="003E4210" w:rsidRPr="005B148D">
          <w:rPr>
            <w:rStyle w:val="Hyperlink"/>
            <w:noProof/>
          </w:rPr>
          <w:t>Figure 105 – Example of the use of the BRP setup sub-phase to setup the subsequent R-MID sub-phase in the A-BFT and DTT</w:t>
        </w:r>
        <w:r w:rsidR="003E4210">
          <w:rPr>
            <w:noProof/>
            <w:webHidden/>
          </w:rPr>
          <w:tab/>
        </w:r>
        <w:r>
          <w:rPr>
            <w:noProof/>
            <w:webHidden/>
          </w:rPr>
          <w:fldChar w:fldCharType="begin"/>
        </w:r>
        <w:r w:rsidR="003E4210">
          <w:rPr>
            <w:noProof/>
            <w:webHidden/>
          </w:rPr>
          <w:instrText xml:space="preserve"> PAGEREF _Toc259717537 \h </w:instrText>
        </w:r>
        <w:r>
          <w:rPr>
            <w:noProof/>
            <w:webHidden/>
          </w:rPr>
        </w:r>
        <w:r>
          <w:rPr>
            <w:noProof/>
            <w:webHidden/>
          </w:rPr>
          <w:fldChar w:fldCharType="separate"/>
        </w:r>
        <w:r w:rsidR="003E4210">
          <w:rPr>
            <w:noProof/>
            <w:webHidden/>
          </w:rPr>
          <w:t>201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8" w:history="1">
        <w:r w:rsidR="003E4210" w:rsidRPr="005B148D">
          <w:rPr>
            <w:rStyle w:val="Hyperlink"/>
            <w:noProof/>
          </w:rPr>
          <w:t>Figure 106 – Example of the use of the BRP setup sub-phase to setup the subsequent I-MID sub-phase in the DTT</w:t>
        </w:r>
        <w:r w:rsidR="003E4210">
          <w:rPr>
            <w:noProof/>
            <w:webHidden/>
          </w:rPr>
          <w:tab/>
        </w:r>
        <w:r>
          <w:rPr>
            <w:noProof/>
            <w:webHidden/>
          </w:rPr>
          <w:fldChar w:fldCharType="begin"/>
        </w:r>
        <w:r w:rsidR="003E4210">
          <w:rPr>
            <w:noProof/>
            <w:webHidden/>
          </w:rPr>
          <w:instrText xml:space="preserve"> PAGEREF _Toc259717538 \h </w:instrText>
        </w:r>
        <w:r>
          <w:rPr>
            <w:noProof/>
            <w:webHidden/>
          </w:rPr>
        </w:r>
        <w:r>
          <w:rPr>
            <w:noProof/>
            <w:webHidden/>
          </w:rPr>
          <w:fldChar w:fldCharType="separate"/>
        </w:r>
        <w:r w:rsidR="003E4210">
          <w:rPr>
            <w:noProof/>
            <w:webHidden/>
          </w:rPr>
          <w:t>202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39" w:history="1">
        <w:r w:rsidR="003E4210" w:rsidRPr="005B148D">
          <w:rPr>
            <w:rStyle w:val="Hyperlink"/>
            <w:noProof/>
          </w:rPr>
          <w:t>Figure 107 – Example beam refinement transaction (receive training)</w:t>
        </w:r>
        <w:r w:rsidR="003E4210">
          <w:rPr>
            <w:noProof/>
            <w:webHidden/>
          </w:rPr>
          <w:tab/>
        </w:r>
        <w:r>
          <w:rPr>
            <w:noProof/>
            <w:webHidden/>
          </w:rPr>
          <w:fldChar w:fldCharType="begin"/>
        </w:r>
        <w:r w:rsidR="003E4210">
          <w:rPr>
            <w:noProof/>
            <w:webHidden/>
          </w:rPr>
          <w:instrText xml:space="preserve"> PAGEREF _Toc259717539 \h </w:instrText>
        </w:r>
        <w:r>
          <w:rPr>
            <w:noProof/>
            <w:webHidden/>
          </w:rPr>
        </w:r>
        <w:r>
          <w:rPr>
            <w:noProof/>
            <w:webHidden/>
          </w:rPr>
          <w:fldChar w:fldCharType="separate"/>
        </w:r>
        <w:r w:rsidR="003E4210">
          <w:rPr>
            <w:noProof/>
            <w:webHidden/>
          </w:rPr>
          <w:t>206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0" w:history="1">
        <w:r w:rsidR="003E4210" w:rsidRPr="005B148D">
          <w:rPr>
            <w:rStyle w:val="Hyperlink"/>
            <w:noProof/>
          </w:rPr>
          <w:t>Figure 108 – Example beam refinement transaction (transmit training)</w:t>
        </w:r>
        <w:r w:rsidR="003E4210">
          <w:rPr>
            <w:noProof/>
            <w:webHidden/>
          </w:rPr>
          <w:tab/>
        </w:r>
        <w:r>
          <w:rPr>
            <w:noProof/>
            <w:webHidden/>
          </w:rPr>
          <w:fldChar w:fldCharType="begin"/>
        </w:r>
        <w:r w:rsidR="003E4210">
          <w:rPr>
            <w:noProof/>
            <w:webHidden/>
          </w:rPr>
          <w:instrText xml:space="preserve"> PAGEREF _Toc259717540 \h </w:instrText>
        </w:r>
        <w:r>
          <w:rPr>
            <w:noProof/>
            <w:webHidden/>
          </w:rPr>
        </w:r>
        <w:r>
          <w:rPr>
            <w:noProof/>
            <w:webHidden/>
          </w:rPr>
          <w:fldChar w:fldCharType="separate"/>
        </w:r>
        <w:r w:rsidR="003E4210">
          <w:rPr>
            <w:noProof/>
            <w:webHidden/>
          </w:rPr>
          <w:t>206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1" w:history="1">
        <w:r w:rsidR="003E4210" w:rsidRPr="005B148D">
          <w:rPr>
            <w:rStyle w:val="Hyperlink"/>
            <w:noProof/>
          </w:rPr>
          <w:t>Figure 109 – Example beam refinement transaction (combination of receive and transmit training)</w:t>
        </w:r>
        <w:r w:rsidR="003E4210">
          <w:rPr>
            <w:noProof/>
            <w:webHidden/>
          </w:rPr>
          <w:tab/>
        </w:r>
        <w:r>
          <w:rPr>
            <w:noProof/>
            <w:webHidden/>
          </w:rPr>
          <w:fldChar w:fldCharType="begin"/>
        </w:r>
        <w:r w:rsidR="003E4210">
          <w:rPr>
            <w:noProof/>
            <w:webHidden/>
          </w:rPr>
          <w:instrText xml:space="preserve"> PAGEREF _Toc259717541 \h </w:instrText>
        </w:r>
        <w:r>
          <w:rPr>
            <w:noProof/>
            <w:webHidden/>
          </w:rPr>
        </w:r>
        <w:r>
          <w:rPr>
            <w:noProof/>
            <w:webHidden/>
          </w:rPr>
          <w:fldChar w:fldCharType="separate"/>
        </w:r>
        <w:r w:rsidR="003E4210">
          <w:rPr>
            <w:noProof/>
            <w:webHidden/>
          </w:rPr>
          <w:t>207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2" w:history="1">
        <w:r w:rsidR="003E4210" w:rsidRPr="005B148D">
          <w:rPr>
            <w:rStyle w:val="Hyperlink"/>
            <w:noProof/>
          </w:rPr>
          <w:t>Figure 110 – Example of a beam tracking procedure</w:t>
        </w:r>
        <w:r w:rsidR="003E4210">
          <w:rPr>
            <w:noProof/>
            <w:webHidden/>
          </w:rPr>
          <w:tab/>
        </w:r>
        <w:r>
          <w:rPr>
            <w:noProof/>
            <w:webHidden/>
          </w:rPr>
          <w:fldChar w:fldCharType="begin"/>
        </w:r>
        <w:r w:rsidR="003E4210">
          <w:rPr>
            <w:noProof/>
            <w:webHidden/>
          </w:rPr>
          <w:instrText xml:space="preserve"> PAGEREF _Toc259717542 \h </w:instrText>
        </w:r>
        <w:r>
          <w:rPr>
            <w:noProof/>
            <w:webHidden/>
          </w:rPr>
        </w:r>
        <w:r>
          <w:rPr>
            <w:noProof/>
            <w:webHidden/>
          </w:rPr>
          <w:fldChar w:fldCharType="separate"/>
        </w:r>
        <w:r w:rsidR="003E4210">
          <w:rPr>
            <w:noProof/>
            <w:webHidden/>
          </w:rPr>
          <w:t>208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3" w:history="1">
        <w:r w:rsidR="003E4210" w:rsidRPr="005B148D">
          <w:rPr>
            <w:rStyle w:val="Hyperlink"/>
            <w:noProof/>
          </w:rPr>
          <w:t>Figure 111 – TXSS phase state machine (initiator)</w:t>
        </w:r>
        <w:r w:rsidR="003E4210">
          <w:rPr>
            <w:noProof/>
            <w:webHidden/>
          </w:rPr>
          <w:tab/>
        </w:r>
        <w:r>
          <w:rPr>
            <w:noProof/>
            <w:webHidden/>
          </w:rPr>
          <w:fldChar w:fldCharType="begin"/>
        </w:r>
        <w:r w:rsidR="003E4210">
          <w:rPr>
            <w:noProof/>
            <w:webHidden/>
          </w:rPr>
          <w:instrText xml:space="preserve"> PAGEREF _Toc259717543 \h </w:instrText>
        </w:r>
        <w:r>
          <w:rPr>
            <w:noProof/>
            <w:webHidden/>
          </w:rPr>
        </w:r>
        <w:r>
          <w:rPr>
            <w:noProof/>
            <w:webHidden/>
          </w:rPr>
          <w:fldChar w:fldCharType="separate"/>
        </w:r>
        <w:r w:rsidR="003E4210">
          <w:rPr>
            <w:noProof/>
            <w:webHidden/>
          </w:rPr>
          <w:t>209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4" w:history="1">
        <w:r w:rsidR="003E4210" w:rsidRPr="005B148D">
          <w:rPr>
            <w:rStyle w:val="Hyperlink"/>
            <w:noProof/>
          </w:rPr>
          <w:t>Figure 112 – TXSS phase state machine (responder)</w:t>
        </w:r>
        <w:r w:rsidR="003E4210">
          <w:rPr>
            <w:noProof/>
            <w:webHidden/>
          </w:rPr>
          <w:tab/>
        </w:r>
        <w:r>
          <w:rPr>
            <w:noProof/>
            <w:webHidden/>
          </w:rPr>
          <w:fldChar w:fldCharType="begin"/>
        </w:r>
        <w:r w:rsidR="003E4210">
          <w:rPr>
            <w:noProof/>
            <w:webHidden/>
          </w:rPr>
          <w:instrText xml:space="preserve"> PAGEREF _Toc259717544 \h </w:instrText>
        </w:r>
        <w:r>
          <w:rPr>
            <w:noProof/>
            <w:webHidden/>
          </w:rPr>
        </w:r>
        <w:r>
          <w:rPr>
            <w:noProof/>
            <w:webHidden/>
          </w:rPr>
          <w:fldChar w:fldCharType="separate"/>
        </w:r>
        <w:r w:rsidR="003E4210">
          <w:rPr>
            <w:noProof/>
            <w:webHidden/>
          </w:rPr>
          <w:t>209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5" w:history="1">
        <w:r w:rsidR="003E4210" w:rsidRPr="005B148D">
          <w:rPr>
            <w:rStyle w:val="Hyperlink"/>
            <w:noProof/>
          </w:rPr>
          <w:t>Figure 113 – mmWave Block Ack architecture</w:t>
        </w:r>
        <w:r w:rsidR="003E4210">
          <w:rPr>
            <w:noProof/>
            <w:webHidden/>
          </w:rPr>
          <w:tab/>
        </w:r>
        <w:r>
          <w:rPr>
            <w:noProof/>
            <w:webHidden/>
          </w:rPr>
          <w:fldChar w:fldCharType="begin"/>
        </w:r>
        <w:r w:rsidR="003E4210">
          <w:rPr>
            <w:noProof/>
            <w:webHidden/>
          </w:rPr>
          <w:instrText xml:space="preserve"> PAGEREF _Toc259717545 \h </w:instrText>
        </w:r>
        <w:r>
          <w:rPr>
            <w:noProof/>
            <w:webHidden/>
          </w:rPr>
        </w:r>
        <w:r>
          <w:rPr>
            <w:noProof/>
            <w:webHidden/>
          </w:rPr>
          <w:fldChar w:fldCharType="separate"/>
        </w:r>
        <w:r w:rsidR="003E4210">
          <w:rPr>
            <w:noProof/>
            <w:webHidden/>
          </w:rPr>
          <w:t>210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6" w:history="1">
        <w:r w:rsidR="003E4210" w:rsidRPr="005B148D">
          <w:rPr>
            <w:rStyle w:val="Hyperlink"/>
            <w:noProof/>
          </w:rPr>
          <w:t>Figure 114 – Flow control and its associated parameters as a function of receiver buffer size</w:t>
        </w:r>
        <w:r w:rsidR="003E4210">
          <w:rPr>
            <w:noProof/>
            <w:webHidden/>
          </w:rPr>
          <w:tab/>
        </w:r>
        <w:r>
          <w:rPr>
            <w:noProof/>
            <w:webHidden/>
          </w:rPr>
          <w:fldChar w:fldCharType="begin"/>
        </w:r>
        <w:r w:rsidR="003E4210">
          <w:rPr>
            <w:noProof/>
            <w:webHidden/>
          </w:rPr>
          <w:instrText xml:space="preserve"> PAGEREF _Toc259717546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7" w:history="1">
        <w:r w:rsidR="003E4210" w:rsidRPr="005B148D">
          <w:rPr>
            <w:rStyle w:val="Hyperlink"/>
            <w:noProof/>
          </w:rPr>
          <w:t>Figure 115 – Example of mmWave Beacon transmission by PCP/AP during the BT</w:t>
        </w:r>
        <w:r w:rsidR="003E4210">
          <w:rPr>
            <w:noProof/>
            <w:webHidden/>
          </w:rPr>
          <w:tab/>
        </w:r>
        <w:r>
          <w:rPr>
            <w:noProof/>
            <w:webHidden/>
          </w:rPr>
          <w:fldChar w:fldCharType="begin"/>
        </w:r>
        <w:r w:rsidR="003E4210">
          <w:rPr>
            <w:noProof/>
            <w:webHidden/>
          </w:rPr>
          <w:instrText xml:space="preserve"> PAGEREF _Toc259717547 \h </w:instrText>
        </w:r>
        <w:r>
          <w:rPr>
            <w:noProof/>
            <w:webHidden/>
          </w:rPr>
        </w:r>
        <w:r>
          <w:rPr>
            <w:noProof/>
            <w:webHidden/>
          </w:rPr>
          <w:fldChar w:fldCharType="separate"/>
        </w:r>
        <w:r w:rsidR="003E4210">
          <w:rPr>
            <w:noProof/>
            <w:webHidden/>
          </w:rPr>
          <w:t>218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8" w:history="1">
        <w:r w:rsidR="003E4210" w:rsidRPr="005B148D">
          <w:rPr>
            <w:rStyle w:val="Hyperlink"/>
            <w:noProof/>
          </w:rPr>
          <w:t>Figure 116 – Probe request/response in the UB</w:t>
        </w:r>
        <w:r w:rsidR="003E4210">
          <w:rPr>
            <w:noProof/>
            <w:webHidden/>
          </w:rPr>
          <w:tab/>
        </w:r>
        <w:r>
          <w:rPr>
            <w:noProof/>
            <w:webHidden/>
          </w:rPr>
          <w:fldChar w:fldCharType="begin"/>
        </w:r>
        <w:r w:rsidR="003E4210">
          <w:rPr>
            <w:noProof/>
            <w:webHidden/>
          </w:rPr>
          <w:instrText xml:space="preserve"> PAGEREF _Toc259717548 \h </w:instrText>
        </w:r>
        <w:r>
          <w:rPr>
            <w:noProof/>
            <w:webHidden/>
          </w:rPr>
        </w:r>
        <w:r>
          <w:rPr>
            <w:noProof/>
            <w:webHidden/>
          </w:rPr>
          <w:fldChar w:fldCharType="separate"/>
        </w:r>
        <w:r w:rsidR="003E4210">
          <w:rPr>
            <w:noProof/>
            <w:webHidden/>
          </w:rPr>
          <w:t>225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49" w:history="1">
        <w:r w:rsidR="003E4210" w:rsidRPr="005B148D">
          <w:rPr>
            <w:rStyle w:val="Hyperlink"/>
            <w:noProof/>
          </w:rPr>
          <w:t>Figure 117 – State Transition Diagram of non-PCP/non-AP STA in Active and Power Save Mode</w:t>
        </w:r>
        <w:r w:rsidR="003E4210">
          <w:rPr>
            <w:noProof/>
            <w:webHidden/>
          </w:rPr>
          <w:tab/>
        </w:r>
        <w:r>
          <w:rPr>
            <w:noProof/>
            <w:webHidden/>
          </w:rPr>
          <w:fldChar w:fldCharType="begin"/>
        </w:r>
        <w:r w:rsidR="003E4210">
          <w:rPr>
            <w:noProof/>
            <w:webHidden/>
          </w:rPr>
          <w:instrText xml:space="preserve"> PAGEREF _Toc259717549 \h </w:instrText>
        </w:r>
        <w:r>
          <w:rPr>
            <w:noProof/>
            <w:webHidden/>
          </w:rPr>
        </w:r>
        <w:r>
          <w:rPr>
            <w:noProof/>
            <w:webHidden/>
          </w:rPr>
          <w:fldChar w:fldCharType="separate"/>
        </w:r>
        <w:r w:rsidR="003E4210">
          <w:rPr>
            <w:noProof/>
            <w:webHidden/>
          </w:rPr>
          <w:t>229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0" w:history="1">
        <w:r w:rsidR="003E4210" w:rsidRPr="005B148D">
          <w:rPr>
            <w:rStyle w:val="Hyperlink"/>
            <w:noProof/>
          </w:rPr>
          <w:t>Figure 118 – State Transition Diagram of PCP Power Management Mode</w:t>
        </w:r>
        <w:r w:rsidR="003E4210">
          <w:rPr>
            <w:noProof/>
            <w:webHidden/>
          </w:rPr>
          <w:tab/>
        </w:r>
        <w:r>
          <w:rPr>
            <w:noProof/>
            <w:webHidden/>
          </w:rPr>
          <w:fldChar w:fldCharType="begin"/>
        </w:r>
        <w:r w:rsidR="003E4210">
          <w:rPr>
            <w:noProof/>
            <w:webHidden/>
          </w:rPr>
          <w:instrText xml:space="preserve"> PAGEREF _Toc259717550 \h </w:instrText>
        </w:r>
        <w:r>
          <w:rPr>
            <w:noProof/>
            <w:webHidden/>
          </w:rPr>
        </w:r>
        <w:r>
          <w:rPr>
            <w:noProof/>
            <w:webHidden/>
          </w:rPr>
          <w:fldChar w:fldCharType="separate"/>
        </w:r>
        <w:r w:rsidR="003E4210">
          <w:rPr>
            <w:noProof/>
            <w:webHidden/>
          </w:rPr>
          <w:t>233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1" w:history="1">
        <w:r w:rsidR="003E4210" w:rsidRPr="005B148D">
          <w:rPr>
            <w:rStyle w:val="Hyperlink"/>
            <w:noProof/>
          </w:rPr>
          <w:t>Figure 119 – Example operation of PPS mode</w:t>
        </w:r>
        <w:r w:rsidR="003E4210">
          <w:rPr>
            <w:noProof/>
            <w:webHidden/>
          </w:rPr>
          <w:tab/>
        </w:r>
        <w:r>
          <w:rPr>
            <w:noProof/>
            <w:webHidden/>
          </w:rPr>
          <w:fldChar w:fldCharType="begin"/>
        </w:r>
        <w:r w:rsidR="003E4210">
          <w:rPr>
            <w:noProof/>
            <w:webHidden/>
          </w:rPr>
          <w:instrText xml:space="preserve"> PAGEREF _Toc259717551 \h </w:instrText>
        </w:r>
        <w:r>
          <w:rPr>
            <w:noProof/>
            <w:webHidden/>
          </w:rPr>
        </w:r>
        <w:r>
          <w:rPr>
            <w:noProof/>
            <w:webHidden/>
          </w:rPr>
          <w:fldChar w:fldCharType="separate"/>
        </w:r>
        <w:r w:rsidR="003E4210">
          <w:rPr>
            <w:noProof/>
            <w:webHidden/>
          </w:rPr>
          <w:t>234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2" w:history="1">
        <w:r w:rsidR="003E4210" w:rsidRPr="005B148D">
          <w:rPr>
            <w:rStyle w:val="Hyperlink"/>
            <w:noProof/>
          </w:rPr>
          <w:t xml:space="preserve">Figure 120 </w:t>
        </w:r>
        <w:r w:rsidR="003E4210" w:rsidRPr="005B148D">
          <w:rPr>
            <w:rStyle w:val="Hyperlink"/>
            <w:rFonts w:cs="Arial"/>
            <w:noProof/>
          </w:rPr>
          <w:t>– Relationship between state variables and services</w:t>
        </w:r>
        <w:r w:rsidR="003E4210">
          <w:rPr>
            <w:noProof/>
            <w:webHidden/>
          </w:rPr>
          <w:tab/>
        </w:r>
        <w:r>
          <w:rPr>
            <w:noProof/>
            <w:webHidden/>
          </w:rPr>
          <w:fldChar w:fldCharType="begin"/>
        </w:r>
        <w:r w:rsidR="003E4210">
          <w:rPr>
            <w:noProof/>
            <w:webHidden/>
          </w:rPr>
          <w:instrText xml:space="preserve"> PAGEREF _Toc259717552 \h </w:instrText>
        </w:r>
        <w:r>
          <w:rPr>
            <w:noProof/>
            <w:webHidden/>
          </w:rPr>
        </w:r>
        <w:r>
          <w:rPr>
            <w:noProof/>
            <w:webHidden/>
          </w:rPr>
          <w:fldChar w:fldCharType="separate"/>
        </w:r>
        <w:r w:rsidR="003E4210">
          <w:rPr>
            <w:noProof/>
            <w:webHidden/>
          </w:rPr>
          <w:t>235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3" w:history="1">
        <w:r w:rsidR="003E4210" w:rsidRPr="005B148D">
          <w:rPr>
            <w:rStyle w:val="Hyperlink"/>
            <w:noProof/>
          </w:rPr>
          <w:t>Figure 121 – Moving the BT position</w:t>
        </w:r>
        <w:r w:rsidR="003E4210">
          <w:rPr>
            <w:noProof/>
            <w:webHidden/>
          </w:rPr>
          <w:tab/>
        </w:r>
        <w:r>
          <w:rPr>
            <w:noProof/>
            <w:webHidden/>
          </w:rPr>
          <w:fldChar w:fldCharType="begin"/>
        </w:r>
        <w:r w:rsidR="003E4210">
          <w:rPr>
            <w:noProof/>
            <w:webHidden/>
          </w:rPr>
          <w:instrText xml:space="preserve"> PAGEREF _Toc259717553 \h </w:instrText>
        </w:r>
        <w:r>
          <w:rPr>
            <w:noProof/>
            <w:webHidden/>
          </w:rPr>
        </w:r>
        <w:r>
          <w:rPr>
            <w:noProof/>
            <w:webHidden/>
          </w:rPr>
          <w:fldChar w:fldCharType="separate"/>
        </w:r>
        <w:r w:rsidR="003E4210">
          <w:rPr>
            <w:noProof/>
            <w:webHidden/>
          </w:rPr>
          <w:t>258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4" w:history="1">
        <w:r w:rsidR="003E4210" w:rsidRPr="005B148D">
          <w:rPr>
            <w:rStyle w:val="Hyperlink"/>
            <w:noProof/>
          </w:rPr>
          <w:t>Figure 122 – Changing BI duration</w:t>
        </w:r>
        <w:r w:rsidR="003E4210">
          <w:rPr>
            <w:noProof/>
            <w:webHidden/>
          </w:rPr>
          <w:tab/>
        </w:r>
        <w:r>
          <w:rPr>
            <w:noProof/>
            <w:webHidden/>
          </w:rPr>
          <w:fldChar w:fldCharType="begin"/>
        </w:r>
        <w:r w:rsidR="003E4210">
          <w:rPr>
            <w:noProof/>
            <w:webHidden/>
          </w:rPr>
          <w:instrText xml:space="preserve"> PAGEREF _Toc259717554 \h </w:instrText>
        </w:r>
        <w:r>
          <w:rPr>
            <w:noProof/>
            <w:webHidden/>
          </w:rPr>
        </w:r>
        <w:r>
          <w:rPr>
            <w:noProof/>
            <w:webHidden/>
          </w:rPr>
          <w:fldChar w:fldCharType="separate"/>
        </w:r>
        <w:r w:rsidR="003E4210">
          <w:rPr>
            <w:noProof/>
            <w:webHidden/>
          </w:rPr>
          <w:t>259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5" w:history="1">
        <w:r w:rsidR="003E4210" w:rsidRPr="005B148D">
          <w:rPr>
            <w:rStyle w:val="Hyperlink"/>
            <w:noProof/>
          </w:rPr>
          <w:t>Figure 123 – Example of spatial sharing assessment</w:t>
        </w:r>
        <w:r w:rsidR="003E4210">
          <w:rPr>
            <w:noProof/>
            <w:webHidden/>
          </w:rPr>
          <w:tab/>
        </w:r>
        <w:r>
          <w:rPr>
            <w:noProof/>
            <w:webHidden/>
          </w:rPr>
          <w:fldChar w:fldCharType="begin"/>
        </w:r>
        <w:r w:rsidR="003E4210">
          <w:rPr>
            <w:noProof/>
            <w:webHidden/>
          </w:rPr>
          <w:instrText xml:space="preserve"> PAGEREF _Toc259717555 \h </w:instrText>
        </w:r>
        <w:r>
          <w:rPr>
            <w:noProof/>
            <w:webHidden/>
          </w:rPr>
        </w:r>
        <w:r>
          <w:rPr>
            <w:noProof/>
            <w:webHidden/>
          </w:rPr>
          <w:fldChar w:fldCharType="separate"/>
        </w:r>
        <w:r w:rsidR="003E4210">
          <w:rPr>
            <w:noProof/>
            <w:webHidden/>
          </w:rPr>
          <w:t>261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6" w:history="1">
        <w:r w:rsidR="003E4210" w:rsidRPr="005B148D">
          <w:rPr>
            <w:rStyle w:val="Hyperlink"/>
            <w:noProof/>
          </w:rPr>
          <w:t>Figure 124 – Example of spatial sharing between SP1 and SP2</w:t>
        </w:r>
        <w:r w:rsidR="003E4210">
          <w:rPr>
            <w:noProof/>
            <w:webHidden/>
          </w:rPr>
          <w:tab/>
        </w:r>
        <w:r>
          <w:rPr>
            <w:noProof/>
            <w:webHidden/>
          </w:rPr>
          <w:fldChar w:fldCharType="begin"/>
        </w:r>
        <w:r w:rsidR="003E4210">
          <w:rPr>
            <w:noProof/>
            <w:webHidden/>
          </w:rPr>
          <w:instrText xml:space="preserve"> PAGEREF _Toc259717556 \h </w:instrText>
        </w:r>
        <w:r>
          <w:rPr>
            <w:noProof/>
            <w:webHidden/>
          </w:rPr>
        </w:r>
        <w:r>
          <w:rPr>
            <w:noProof/>
            <w:webHidden/>
          </w:rPr>
          <w:fldChar w:fldCharType="separate"/>
        </w:r>
        <w:r w:rsidR="003E4210">
          <w:rPr>
            <w:noProof/>
            <w:webHidden/>
          </w:rPr>
          <w:t>262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7" w:history="1">
        <w:r w:rsidR="003E4210" w:rsidRPr="005B148D">
          <w:rPr>
            <w:rStyle w:val="Hyperlink"/>
            <w:noProof/>
          </w:rPr>
          <w:t>Figure 125 – States of the FST setup protocol</w:t>
        </w:r>
        <w:r w:rsidR="003E4210">
          <w:rPr>
            <w:noProof/>
            <w:webHidden/>
          </w:rPr>
          <w:tab/>
        </w:r>
        <w:r>
          <w:rPr>
            <w:noProof/>
            <w:webHidden/>
          </w:rPr>
          <w:fldChar w:fldCharType="begin"/>
        </w:r>
        <w:r w:rsidR="003E4210">
          <w:rPr>
            <w:noProof/>
            <w:webHidden/>
          </w:rPr>
          <w:instrText xml:space="preserve"> PAGEREF _Toc259717557 \h </w:instrText>
        </w:r>
        <w:r>
          <w:rPr>
            <w:noProof/>
            <w:webHidden/>
          </w:rPr>
        </w:r>
        <w:r>
          <w:rPr>
            <w:noProof/>
            <w:webHidden/>
          </w:rPr>
          <w:fldChar w:fldCharType="separate"/>
        </w:r>
        <w:r w:rsidR="003E4210">
          <w:rPr>
            <w:noProof/>
            <w:webHidden/>
          </w:rPr>
          <w:t>265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8" w:history="1">
        <w:r w:rsidR="003E4210" w:rsidRPr="005B148D">
          <w:rPr>
            <w:rStyle w:val="Hyperlink"/>
            <w:noProof/>
          </w:rPr>
          <w:t>Figure 126 – Example of Normal mode operation with FD/AF relay</w:t>
        </w:r>
        <w:r w:rsidR="003E4210">
          <w:rPr>
            <w:noProof/>
            <w:webHidden/>
          </w:rPr>
          <w:tab/>
        </w:r>
        <w:r>
          <w:rPr>
            <w:noProof/>
            <w:webHidden/>
          </w:rPr>
          <w:fldChar w:fldCharType="begin"/>
        </w:r>
        <w:r w:rsidR="003E4210">
          <w:rPr>
            <w:noProof/>
            <w:webHidden/>
          </w:rPr>
          <w:instrText xml:space="preserve"> PAGEREF _Toc259717558 \h </w:instrText>
        </w:r>
        <w:r>
          <w:rPr>
            <w:noProof/>
            <w:webHidden/>
          </w:rPr>
        </w:r>
        <w:r>
          <w:rPr>
            <w:noProof/>
            <w:webHidden/>
          </w:rPr>
          <w:fldChar w:fldCharType="separate"/>
        </w:r>
        <w:r w:rsidR="003E4210">
          <w:rPr>
            <w:noProof/>
            <w:webHidden/>
          </w:rPr>
          <w:t>278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59" w:history="1">
        <w:r w:rsidR="003E4210" w:rsidRPr="005B148D">
          <w:rPr>
            <w:rStyle w:val="Hyperlink"/>
            <w:noProof/>
          </w:rPr>
          <w:t>Figure 127 – Example of the operation with HD/DF relay</w:t>
        </w:r>
        <w:r w:rsidR="003E4210">
          <w:rPr>
            <w:noProof/>
            <w:webHidden/>
          </w:rPr>
          <w:tab/>
        </w:r>
        <w:r>
          <w:rPr>
            <w:noProof/>
            <w:webHidden/>
          </w:rPr>
          <w:fldChar w:fldCharType="begin"/>
        </w:r>
        <w:r w:rsidR="003E4210">
          <w:rPr>
            <w:noProof/>
            <w:webHidden/>
          </w:rPr>
          <w:instrText xml:space="preserve"> PAGEREF _Toc259717559 \h </w:instrText>
        </w:r>
        <w:r>
          <w:rPr>
            <w:noProof/>
            <w:webHidden/>
          </w:rPr>
        </w:r>
        <w:r>
          <w:rPr>
            <w:noProof/>
            <w:webHidden/>
          </w:rPr>
          <w:fldChar w:fldCharType="separate"/>
        </w:r>
        <w:r w:rsidR="003E4210">
          <w:rPr>
            <w:noProof/>
            <w:webHidden/>
          </w:rPr>
          <w:t>279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0" w:history="1">
        <w:r w:rsidR="003E4210" w:rsidRPr="005B148D">
          <w:rPr>
            <w:rStyle w:val="Hyperlink"/>
            <w:noProof/>
          </w:rPr>
          <w:t>Figure 128 – TPA mechanism</w:t>
        </w:r>
        <w:r w:rsidR="003E4210">
          <w:rPr>
            <w:noProof/>
            <w:webHidden/>
          </w:rPr>
          <w:tab/>
        </w:r>
        <w:r>
          <w:rPr>
            <w:noProof/>
            <w:webHidden/>
          </w:rPr>
          <w:fldChar w:fldCharType="begin"/>
        </w:r>
        <w:r w:rsidR="003E4210">
          <w:rPr>
            <w:noProof/>
            <w:webHidden/>
          </w:rPr>
          <w:instrText xml:space="preserve"> PAGEREF _Toc259717560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1" w:history="1">
        <w:r w:rsidR="003E4210" w:rsidRPr="005B148D">
          <w:rPr>
            <w:rStyle w:val="Hyperlink"/>
            <w:noProof/>
          </w:rPr>
          <w:t>Figure 129 – Example of data transmission in an SP with link cooperating relay</w:t>
        </w:r>
        <w:r w:rsidR="003E4210">
          <w:rPr>
            <w:noProof/>
            <w:webHidden/>
          </w:rPr>
          <w:tab/>
        </w:r>
        <w:r>
          <w:rPr>
            <w:noProof/>
            <w:webHidden/>
          </w:rPr>
          <w:fldChar w:fldCharType="begin"/>
        </w:r>
        <w:r w:rsidR="003E4210">
          <w:rPr>
            <w:noProof/>
            <w:webHidden/>
          </w:rPr>
          <w:instrText xml:space="preserve"> PAGEREF _Toc259717561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2" w:history="1">
        <w:r w:rsidR="003E4210" w:rsidRPr="005B148D">
          <w:rPr>
            <w:rStyle w:val="Hyperlink"/>
            <w:noProof/>
          </w:rPr>
          <w:t>Figure 130 – Transmit Mask</w:t>
        </w:r>
        <w:r w:rsidR="003E4210">
          <w:rPr>
            <w:noProof/>
            <w:webHidden/>
          </w:rPr>
          <w:tab/>
        </w:r>
        <w:r>
          <w:rPr>
            <w:noProof/>
            <w:webHidden/>
          </w:rPr>
          <w:fldChar w:fldCharType="begin"/>
        </w:r>
        <w:r w:rsidR="003E4210">
          <w:rPr>
            <w:noProof/>
            <w:webHidden/>
          </w:rPr>
          <w:instrText xml:space="preserve"> PAGEREF _Toc259717562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3" w:history="1">
        <w:r w:rsidR="003E4210" w:rsidRPr="005B148D">
          <w:rPr>
            <w:rStyle w:val="Hyperlink"/>
            <w:noProof/>
          </w:rPr>
          <w:t xml:space="preserve">Figure 131 </w:t>
        </w:r>
        <w:r w:rsidR="003E4210" w:rsidRPr="005B148D">
          <w:rPr>
            <w:rStyle w:val="Hyperlink"/>
            <w:rFonts w:cs="Arial"/>
            <w:noProof/>
          </w:rPr>
          <w:t>– Packet structure</w:t>
        </w:r>
        <w:r w:rsidR="003E4210">
          <w:rPr>
            <w:noProof/>
            <w:webHidden/>
          </w:rPr>
          <w:tab/>
        </w:r>
        <w:r>
          <w:rPr>
            <w:noProof/>
            <w:webHidden/>
          </w:rPr>
          <w:fldChar w:fldCharType="begin"/>
        </w:r>
        <w:r w:rsidR="003E4210">
          <w:rPr>
            <w:noProof/>
            <w:webHidden/>
          </w:rPr>
          <w:instrText xml:space="preserve"> PAGEREF _Toc259717563 \h </w:instrText>
        </w:r>
        <w:r>
          <w:rPr>
            <w:noProof/>
            <w:webHidden/>
          </w:rPr>
        </w:r>
        <w:r>
          <w:rPr>
            <w:noProof/>
            <w:webHidden/>
          </w:rPr>
          <w:fldChar w:fldCharType="separate"/>
        </w:r>
        <w:r w:rsidR="003E4210">
          <w:rPr>
            <w:noProof/>
            <w:webHidden/>
          </w:rPr>
          <w:t>293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4" w:history="1">
        <w:r w:rsidR="003E4210" w:rsidRPr="005B148D">
          <w:rPr>
            <w:rStyle w:val="Hyperlink"/>
            <w:noProof/>
          </w:rPr>
          <w:t>Figure 132 – Illustration of the windowing function</w:t>
        </w:r>
        <w:r w:rsidR="003E4210">
          <w:rPr>
            <w:noProof/>
            <w:webHidden/>
          </w:rPr>
          <w:tab/>
        </w:r>
        <w:r>
          <w:rPr>
            <w:noProof/>
            <w:webHidden/>
          </w:rPr>
          <w:fldChar w:fldCharType="begin"/>
        </w:r>
        <w:r w:rsidR="003E4210">
          <w:rPr>
            <w:noProof/>
            <w:webHidden/>
          </w:rPr>
          <w:instrText xml:space="preserve"> PAGEREF _Toc259717564 \h </w:instrText>
        </w:r>
        <w:r>
          <w:rPr>
            <w:noProof/>
            <w:webHidden/>
          </w:rPr>
        </w:r>
        <w:r>
          <w:rPr>
            <w:noProof/>
            <w:webHidden/>
          </w:rPr>
          <w:fldChar w:fldCharType="separate"/>
        </w:r>
        <w:r w:rsidR="003E4210">
          <w:rPr>
            <w:noProof/>
            <w:webHidden/>
          </w:rPr>
          <w:t>294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5" w:history="1">
        <w:r w:rsidR="003E4210" w:rsidRPr="005B148D">
          <w:rPr>
            <w:rStyle w:val="Hyperlink"/>
            <w:noProof/>
          </w:rPr>
          <w:t>Figure 133 –</w:t>
        </w:r>
        <w:r w:rsidR="003E4210" w:rsidRPr="005B148D">
          <w:rPr>
            <w:rStyle w:val="Hyperlink"/>
            <w:rFonts w:cs="Arial"/>
            <w:noProof/>
          </w:rPr>
          <w:t xml:space="preserve"> The preamble</w:t>
        </w:r>
        <w:r w:rsidR="003E4210">
          <w:rPr>
            <w:noProof/>
            <w:webHidden/>
          </w:rPr>
          <w:tab/>
        </w:r>
        <w:r>
          <w:rPr>
            <w:noProof/>
            <w:webHidden/>
          </w:rPr>
          <w:fldChar w:fldCharType="begin"/>
        </w:r>
        <w:r w:rsidR="003E4210">
          <w:rPr>
            <w:noProof/>
            <w:webHidden/>
          </w:rPr>
          <w:instrText xml:space="preserve"> PAGEREF _Toc259717565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6" w:history="1">
        <w:r w:rsidR="003E4210" w:rsidRPr="005B148D">
          <w:rPr>
            <w:rStyle w:val="Hyperlink"/>
            <w:noProof/>
          </w:rPr>
          <w:t>Figure 134 – Channel Estimation field for SC Packets</w:t>
        </w:r>
        <w:r w:rsidR="003E4210">
          <w:rPr>
            <w:noProof/>
            <w:webHidden/>
          </w:rPr>
          <w:tab/>
        </w:r>
        <w:r>
          <w:rPr>
            <w:noProof/>
            <w:webHidden/>
          </w:rPr>
          <w:fldChar w:fldCharType="begin"/>
        </w:r>
        <w:r w:rsidR="003E4210">
          <w:rPr>
            <w:noProof/>
            <w:webHidden/>
          </w:rPr>
          <w:instrText xml:space="preserve"> PAGEREF _Toc259717566 \h </w:instrText>
        </w:r>
        <w:r>
          <w:rPr>
            <w:noProof/>
            <w:webHidden/>
          </w:rPr>
        </w:r>
        <w:r>
          <w:rPr>
            <w:noProof/>
            <w:webHidden/>
          </w:rPr>
          <w:fldChar w:fldCharType="separate"/>
        </w:r>
        <w:r w:rsidR="003E4210">
          <w:rPr>
            <w:noProof/>
            <w:webHidden/>
          </w:rPr>
          <w:t>296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7" w:history="1">
        <w:r w:rsidR="003E4210" w:rsidRPr="005B148D">
          <w:rPr>
            <w:rStyle w:val="Hyperlink"/>
            <w:noProof/>
          </w:rPr>
          <w:t>Figure 135 – Channel Estimation field for OFDM Packets</w:t>
        </w:r>
        <w:r w:rsidR="003E4210">
          <w:rPr>
            <w:noProof/>
            <w:webHidden/>
          </w:rPr>
          <w:tab/>
        </w:r>
        <w:r>
          <w:rPr>
            <w:noProof/>
            <w:webHidden/>
          </w:rPr>
          <w:fldChar w:fldCharType="begin"/>
        </w:r>
        <w:r w:rsidR="003E4210">
          <w:rPr>
            <w:noProof/>
            <w:webHidden/>
          </w:rPr>
          <w:instrText xml:space="preserve"> PAGEREF _Toc259717567 \h </w:instrText>
        </w:r>
        <w:r>
          <w:rPr>
            <w:noProof/>
            <w:webHidden/>
          </w:rPr>
        </w:r>
        <w:r>
          <w:rPr>
            <w:noProof/>
            <w:webHidden/>
          </w:rPr>
          <w:fldChar w:fldCharType="separate"/>
        </w:r>
        <w:r w:rsidR="003E4210">
          <w:rPr>
            <w:noProof/>
            <w:webHidden/>
          </w:rPr>
          <w:t>296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8" w:history="1">
        <w:r w:rsidR="003E4210" w:rsidRPr="005B148D">
          <w:rPr>
            <w:rStyle w:val="Hyperlink"/>
            <w:noProof/>
          </w:rPr>
          <w:t>Figure 136 – Data scrambler</w:t>
        </w:r>
        <w:r w:rsidR="003E4210">
          <w:rPr>
            <w:noProof/>
            <w:webHidden/>
          </w:rPr>
          <w:tab/>
        </w:r>
        <w:r>
          <w:rPr>
            <w:noProof/>
            <w:webHidden/>
          </w:rPr>
          <w:fldChar w:fldCharType="begin"/>
        </w:r>
        <w:r w:rsidR="003E4210">
          <w:rPr>
            <w:noProof/>
            <w:webHidden/>
          </w:rPr>
          <w:instrText xml:space="preserve"> PAGEREF _Toc259717568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69" w:history="1">
        <w:r w:rsidR="003E4210" w:rsidRPr="005B148D">
          <w:rPr>
            <w:rStyle w:val="Hyperlink"/>
            <w:noProof/>
          </w:rPr>
          <w:t>Figure 137</w:t>
        </w:r>
        <w:r w:rsidR="003E4210" w:rsidRPr="005B148D">
          <w:rPr>
            <w:rStyle w:val="Hyperlink"/>
            <w:bCs/>
            <w:noProof/>
            <w:lang w:eastAsia="ja-JP"/>
          </w:rPr>
          <w:t xml:space="preserve"> – Control PHY Frames</w:t>
        </w:r>
        <w:r w:rsidR="003E4210">
          <w:rPr>
            <w:noProof/>
            <w:webHidden/>
          </w:rPr>
          <w:tab/>
        </w:r>
        <w:r>
          <w:rPr>
            <w:noProof/>
            <w:webHidden/>
          </w:rPr>
          <w:fldChar w:fldCharType="begin"/>
        </w:r>
        <w:r w:rsidR="003E4210">
          <w:rPr>
            <w:noProof/>
            <w:webHidden/>
          </w:rPr>
          <w:instrText xml:space="preserve"> PAGEREF _Toc259717569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70" w:history="1">
        <w:r w:rsidR="003E4210" w:rsidRPr="005B148D">
          <w:rPr>
            <w:rStyle w:val="Hyperlink"/>
            <w:noProof/>
          </w:rPr>
          <w:t>Figure 138 – Control PHY Preamble</w:t>
        </w:r>
        <w:r w:rsidR="003E4210">
          <w:rPr>
            <w:noProof/>
            <w:webHidden/>
          </w:rPr>
          <w:tab/>
        </w:r>
        <w:r>
          <w:rPr>
            <w:noProof/>
            <w:webHidden/>
          </w:rPr>
          <w:fldChar w:fldCharType="begin"/>
        </w:r>
        <w:r w:rsidR="003E4210">
          <w:rPr>
            <w:noProof/>
            <w:webHidden/>
          </w:rPr>
          <w:instrText xml:space="preserve"> PAGEREF _Toc259717570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71" w:history="1">
        <w:r w:rsidR="003E4210" w:rsidRPr="005B148D">
          <w:rPr>
            <w:rStyle w:val="Hyperlink"/>
            <w:noProof/>
          </w:rPr>
          <w:t>Figure 139 – OFDM frame format</w:t>
        </w:r>
        <w:r w:rsidR="003E4210">
          <w:rPr>
            <w:noProof/>
            <w:webHidden/>
          </w:rPr>
          <w:tab/>
        </w:r>
        <w:r>
          <w:rPr>
            <w:noProof/>
            <w:webHidden/>
          </w:rPr>
          <w:fldChar w:fldCharType="begin"/>
        </w:r>
        <w:r w:rsidR="003E4210">
          <w:rPr>
            <w:noProof/>
            <w:webHidden/>
          </w:rPr>
          <w:instrText xml:space="preserve"> PAGEREF _Toc259717571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72" w:history="1">
        <w:r w:rsidR="003E4210" w:rsidRPr="005B148D">
          <w:rPr>
            <w:rStyle w:val="Hyperlink"/>
            <w:noProof/>
          </w:rPr>
          <w:t>Figure 140 – 64-QAM modulation mapping</w:t>
        </w:r>
        <w:r w:rsidR="003E4210">
          <w:rPr>
            <w:noProof/>
            <w:webHidden/>
          </w:rPr>
          <w:tab/>
        </w:r>
        <w:r>
          <w:rPr>
            <w:noProof/>
            <w:webHidden/>
          </w:rPr>
          <w:fldChar w:fldCharType="begin"/>
        </w:r>
        <w:r w:rsidR="003E4210">
          <w:rPr>
            <w:noProof/>
            <w:webHidden/>
          </w:rPr>
          <w:instrText xml:space="preserve"> PAGEREF _Toc259717572 \h </w:instrText>
        </w:r>
        <w:r>
          <w:rPr>
            <w:noProof/>
            <w:webHidden/>
          </w:rPr>
        </w:r>
        <w:r>
          <w:rPr>
            <w:noProof/>
            <w:webHidden/>
          </w:rPr>
          <w:fldChar w:fldCharType="separate"/>
        </w:r>
        <w:r w:rsidR="003E4210">
          <w:rPr>
            <w:noProof/>
            <w:webHidden/>
          </w:rPr>
          <w:t>310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73" w:history="1">
        <w:r w:rsidR="003E4210" w:rsidRPr="005B148D">
          <w:rPr>
            <w:rStyle w:val="Hyperlink"/>
            <w:noProof/>
          </w:rPr>
          <w:t>Figure 141 – SC frame format</w:t>
        </w:r>
        <w:r w:rsidR="003E4210">
          <w:rPr>
            <w:noProof/>
            <w:webHidden/>
          </w:rPr>
          <w:tab/>
        </w:r>
        <w:r>
          <w:rPr>
            <w:noProof/>
            <w:webHidden/>
          </w:rPr>
          <w:fldChar w:fldCharType="begin"/>
        </w:r>
        <w:r w:rsidR="003E4210">
          <w:rPr>
            <w:noProof/>
            <w:webHidden/>
          </w:rPr>
          <w:instrText xml:space="preserve"> PAGEREF _Toc259717573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74" w:history="1">
        <w:r w:rsidR="003E4210" w:rsidRPr="005B148D">
          <w:rPr>
            <w:rStyle w:val="Hyperlink"/>
            <w:noProof/>
          </w:rPr>
          <w:t>Figure 142 – BPSK constellation bit encoding</w:t>
        </w:r>
        <w:r w:rsidR="003E4210">
          <w:rPr>
            <w:noProof/>
            <w:webHidden/>
          </w:rPr>
          <w:tab/>
        </w:r>
        <w:r>
          <w:rPr>
            <w:noProof/>
            <w:webHidden/>
          </w:rPr>
          <w:fldChar w:fldCharType="begin"/>
        </w:r>
        <w:r w:rsidR="003E4210">
          <w:rPr>
            <w:noProof/>
            <w:webHidden/>
          </w:rPr>
          <w:instrText xml:space="preserve"> PAGEREF _Toc259717574 \h </w:instrText>
        </w:r>
        <w:r>
          <w:rPr>
            <w:noProof/>
            <w:webHidden/>
          </w:rPr>
        </w:r>
        <w:r>
          <w:rPr>
            <w:noProof/>
            <w:webHidden/>
          </w:rPr>
          <w:fldChar w:fldCharType="separate"/>
        </w:r>
        <w:r w:rsidR="003E4210">
          <w:rPr>
            <w:noProof/>
            <w:webHidden/>
          </w:rPr>
          <w:t>319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75" w:history="1">
        <w:r w:rsidR="003E4210" w:rsidRPr="005B148D">
          <w:rPr>
            <w:rStyle w:val="Hyperlink"/>
            <w:noProof/>
          </w:rPr>
          <w:t>Figure 143 – QPSK constellation bit encoding</w:t>
        </w:r>
        <w:r w:rsidR="003E4210">
          <w:rPr>
            <w:noProof/>
            <w:webHidden/>
          </w:rPr>
          <w:tab/>
        </w:r>
        <w:r>
          <w:rPr>
            <w:noProof/>
            <w:webHidden/>
          </w:rPr>
          <w:fldChar w:fldCharType="begin"/>
        </w:r>
        <w:r w:rsidR="003E4210">
          <w:rPr>
            <w:noProof/>
            <w:webHidden/>
          </w:rPr>
          <w:instrText xml:space="preserve"> PAGEREF _Toc259717575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76" w:history="1">
        <w:r w:rsidR="003E4210" w:rsidRPr="005B148D">
          <w:rPr>
            <w:rStyle w:val="Hyperlink"/>
            <w:noProof/>
          </w:rPr>
          <w:t>Figure 144 – Block transmission</w:t>
        </w:r>
        <w:r w:rsidR="003E4210">
          <w:rPr>
            <w:noProof/>
            <w:webHidden/>
          </w:rPr>
          <w:tab/>
        </w:r>
        <w:r>
          <w:rPr>
            <w:noProof/>
            <w:webHidden/>
          </w:rPr>
          <w:fldChar w:fldCharType="begin"/>
        </w:r>
        <w:r w:rsidR="003E4210">
          <w:rPr>
            <w:noProof/>
            <w:webHidden/>
          </w:rPr>
          <w:instrText xml:space="preserve"> PAGEREF _Toc259717576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77" w:history="1">
        <w:r w:rsidR="003E4210" w:rsidRPr="005B148D">
          <w:rPr>
            <w:rStyle w:val="Hyperlink"/>
            <w:noProof/>
          </w:rPr>
          <w:t>Figure 145 – Blocking for low power SC</w:t>
        </w:r>
        <w:r w:rsidR="003E4210">
          <w:rPr>
            <w:noProof/>
            <w:webHidden/>
          </w:rPr>
          <w:tab/>
        </w:r>
        <w:r>
          <w:rPr>
            <w:noProof/>
            <w:webHidden/>
          </w:rPr>
          <w:fldChar w:fldCharType="begin"/>
        </w:r>
        <w:r w:rsidR="003E4210">
          <w:rPr>
            <w:noProof/>
            <w:webHidden/>
          </w:rPr>
          <w:instrText xml:space="preserve"> PAGEREF _Toc259717577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78" w:history="1">
        <w:r w:rsidR="003E4210" w:rsidRPr="005B148D">
          <w:rPr>
            <w:rStyle w:val="Hyperlink"/>
            <w:noProof/>
          </w:rPr>
          <w:t>Figure 146 – Beam refinement packet structure</w:t>
        </w:r>
        <w:r w:rsidR="003E4210">
          <w:rPr>
            <w:noProof/>
            <w:webHidden/>
          </w:rPr>
          <w:tab/>
        </w:r>
        <w:r>
          <w:rPr>
            <w:noProof/>
            <w:webHidden/>
          </w:rPr>
          <w:fldChar w:fldCharType="begin"/>
        </w:r>
        <w:r w:rsidR="003E4210">
          <w:rPr>
            <w:noProof/>
            <w:webHidden/>
          </w:rPr>
          <w:instrText xml:space="preserve"> PAGEREF _Toc259717578 \h </w:instrText>
        </w:r>
        <w:r>
          <w:rPr>
            <w:noProof/>
            <w:webHidden/>
          </w:rPr>
        </w:r>
        <w:r>
          <w:rPr>
            <w:noProof/>
            <w:webHidden/>
          </w:rPr>
          <w:fldChar w:fldCharType="separate"/>
        </w:r>
        <w:r w:rsidR="003E4210">
          <w:rPr>
            <w:noProof/>
            <w:webHidden/>
          </w:rPr>
          <w:t>327</w:t>
        </w:r>
        <w:r>
          <w:rPr>
            <w:noProof/>
            <w:webHidden/>
          </w:rPr>
          <w:fldChar w:fldCharType="end"/>
        </w:r>
      </w:hyperlink>
    </w:p>
    <w:p w:rsidR="008C36FC" w:rsidRPr="00617E00" w:rsidRDefault="00BD151C" w:rsidP="00D27154">
      <w:pPr>
        <w:jc w:val="center"/>
        <w:rPr>
          <w:b/>
          <w:color w:val="000000"/>
        </w:rPr>
      </w:pPr>
      <w:r>
        <w:rPr>
          <w:rFonts w:eastAsia="MS Mincho"/>
          <w:b/>
          <w:color w:val="000000"/>
          <w:szCs w:val="20"/>
          <w:lang w:bidi="ar-SA"/>
        </w:rPr>
        <w:fldChar w:fldCharType="end"/>
      </w:r>
    </w:p>
    <w:p w:rsidR="008C36FC" w:rsidRPr="00617E00" w:rsidRDefault="008C36FC" w:rsidP="0055055E">
      <w:pPr>
        <w:rPr>
          <w:color w:val="000000"/>
        </w:rPr>
      </w:pPr>
    </w:p>
    <w:p w:rsidR="008C36FC" w:rsidRPr="00617E00" w:rsidRDefault="001E3E65" w:rsidP="007F7004">
      <w:pPr>
        <w:outlineLvl w:val="0"/>
        <w:rPr>
          <w:b/>
          <w:color w:val="000000"/>
          <w:sz w:val="32"/>
        </w:rPr>
      </w:pPr>
      <w:r w:rsidRPr="00617E00">
        <w:rPr>
          <w:b/>
          <w:color w:val="000000"/>
          <w:sz w:val="32"/>
        </w:rPr>
        <w:t xml:space="preserve">List of </w:t>
      </w:r>
      <w:r w:rsidR="008C36FC" w:rsidRPr="00617E00">
        <w:rPr>
          <w:b/>
          <w:color w:val="000000"/>
          <w:sz w:val="32"/>
        </w:rPr>
        <w:t>Tables</w:t>
      </w:r>
    </w:p>
    <w:p w:rsidR="008C36FC" w:rsidRPr="00617E00" w:rsidRDefault="008C36FC" w:rsidP="00D27154">
      <w:pPr>
        <w:jc w:val="center"/>
        <w:rPr>
          <w:b/>
          <w:color w:val="000000"/>
        </w:rPr>
      </w:pPr>
    </w:p>
    <w:p w:rsidR="003E4210" w:rsidRDefault="00BD151C">
      <w:pPr>
        <w:pStyle w:val="TableofFigures"/>
        <w:tabs>
          <w:tab w:val="right" w:leader="dot" w:pos="9890"/>
        </w:tabs>
        <w:rPr>
          <w:rFonts w:asciiTheme="minorHAnsi" w:eastAsiaTheme="minorEastAsia" w:hAnsiTheme="minorHAnsi" w:cstheme="minorBidi"/>
          <w:noProof/>
          <w:sz w:val="22"/>
          <w:szCs w:val="22"/>
        </w:rPr>
      </w:pPr>
      <w:r w:rsidRPr="00BD151C">
        <w:rPr>
          <w:color w:val="000000"/>
        </w:rPr>
        <w:fldChar w:fldCharType="begin"/>
      </w:r>
      <w:r w:rsidR="00661A6D">
        <w:rPr>
          <w:color w:val="000000"/>
        </w:rPr>
        <w:instrText xml:space="preserve"> TOC \h \z \c "Table" </w:instrText>
      </w:r>
      <w:r w:rsidRPr="00BD151C">
        <w:rPr>
          <w:color w:val="000000"/>
        </w:rPr>
        <w:fldChar w:fldCharType="separate"/>
      </w:r>
      <w:hyperlink w:anchor="_Toc259717579" w:history="1">
        <w:r w:rsidR="003E4210" w:rsidRPr="00816794">
          <w:rPr>
            <w:rStyle w:val="Hyperlink"/>
            <w:noProof/>
          </w:rPr>
          <w:t>Table 1 – Control Frame Extension</w:t>
        </w:r>
        <w:r w:rsidR="003E4210">
          <w:rPr>
            <w:noProof/>
            <w:webHidden/>
          </w:rPr>
          <w:tab/>
        </w:r>
        <w:r>
          <w:rPr>
            <w:noProof/>
            <w:webHidden/>
          </w:rPr>
          <w:fldChar w:fldCharType="begin"/>
        </w:r>
        <w:r w:rsidR="003E4210">
          <w:rPr>
            <w:noProof/>
            <w:webHidden/>
          </w:rPr>
          <w:instrText xml:space="preserve"> PAGEREF _Toc259717579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0" w:history="1">
        <w:r w:rsidR="003E4210" w:rsidRPr="00816794">
          <w:rPr>
            <w:rStyle w:val="Hyperlink"/>
            <w:noProof/>
          </w:rPr>
          <w:t>Table 2 – QoS Control field for mmWave PHY frames</w:t>
        </w:r>
        <w:r w:rsidR="003E4210">
          <w:rPr>
            <w:noProof/>
            <w:webHidden/>
          </w:rPr>
          <w:tab/>
        </w:r>
        <w:r>
          <w:rPr>
            <w:noProof/>
            <w:webHidden/>
          </w:rPr>
          <w:fldChar w:fldCharType="begin"/>
        </w:r>
        <w:r w:rsidR="003E4210">
          <w:rPr>
            <w:noProof/>
            <w:webHidden/>
          </w:rPr>
          <w:instrText xml:space="preserve"> PAGEREF _Toc259717580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1" w:history="1">
        <w:r w:rsidR="003E4210" w:rsidRPr="00816794">
          <w:rPr>
            <w:rStyle w:val="Hyperlink"/>
            <w:noProof/>
          </w:rPr>
          <w:t>Table 3 – mmWave Beacon frame body</w:t>
        </w:r>
        <w:r w:rsidR="003E4210">
          <w:rPr>
            <w:noProof/>
            <w:webHidden/>
          </w:rPr>
          <w:tab/>
        </w:r>
        <w:r>
          <w:rPr>
            <w:noProof/>
            <w:webHidden/>
          </w:rPr>
          <w:fldChar w:fldCharType="begin"/>
        </w:r>
        <w:r w:rsidR="003E4210">
          <w:rPr>
            <w:noProof/>
            <w:webHidden/>
          </w:rPr>
          <w:instrText xml:space="preserve"> PAGEREF _Toc259717581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2" w:history="1">
        <w:r w:rsidR="003E4210" w:rsidRPr="00816794">
          <w:rPr>
            <w:rStyle w:val="Hyperlink"/>
            <w:noProof/>
          </w:rPr>
          <w:t>Table 4 – Category Values</w:t>
        </w:r>
        <w:r w:rsidR="003E4210">
          <w:rPr>
            <w:noProof/>
            <w:webHidden/>
          </w:rPr>
          <w:tab/>
        </w:r>
        <w:r>
          <w:rPr>
            <w:noProof/>
            <w:webHidden/>
          </w:rPr>
          <w:fldChar w:fldCharType="begin"/>
        </w:r>
        <w:r w:rsidR="003E4210">
          <w:rPr>
            <w:noProof/>
            <w:webHidden/>
          </w:rPr>
          <w:instrText xml:space="preserve"> PAGEREF _Toc259717582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3" w:history="1">
        <w:r w:rsidR="003E4210" w:rsidRPr="00816794">
          <w:rPr>
            <w:rStyle w:val="Hyperlink"/>
            <w:noProof/>
          </w:rPr>
          <w:t>Table 5 – Optional Subelement IDs for Directional Channel Quality Request</w:t>
        </w:r>
        <w:r w:rsidR="003E4210">
          <w:rPr>
            <w:noProof/>
            <w:webHidden/>
          </w:rPr>
          <w:tab/>
        </w:r>
        <w:r>
          <w:rPr>
            <w:noProof/>
            <w:webHidden/>
          </w:rPr>
          <w:fldChar w:fldCharType="begin"/>
        </w:r>
        <w:r w:rsidR="003E4210">
          <w:rPr>
            <w:noProof/>
            <w:webHidden/>
          </w:rPr>
          <w:instrText xml:space="preserve"> PAGEREF _Toc259717583 \h </w:instrText>
        </w:r>
        <w:r>
          <w:rPr>
            <w:noProof/>
            <w:webHidden/>
          </w:rPr>
        </w:r>
        <w:r>
          <w:rPr>
            <w:noProof/>
            <w:webHidden/>
          </w:rPr>
          <w:fldChar w:fldCharType="separate"/>
        </w:r>
        <w:r w:rsidR="003E4210">
          <w:rPr>
            <w:noProof/>
            <w:webHidden/>
          </w:rPr>
          <w:t>47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4" w:history="1">
        <w:r w:rsidR="003E4210" w:rsidRPr="00816794">
          <w:rPr>
            <w:rStyle w:val="Hyperlink"/>
            <w:noProof/>
          </w:rPr>
          <w:t>Table 6 – Reporting Condition for Directional Channel Quality Report</w:t>
        </w:r>
        <w:r w:rsidR="003E4210">
          <w:rPr>
            <w:noProof/>
            <w:webHidden/>
          </w:rPr>
          <w:tab/>
        </w:r>
        <w:r>
          <w:rPr>
            <w:noProof/>
            <w:webHidden/>
          </w:rPr>
          <w:fldChar w:fldCharType="begin"/>
        </w:r>
        <w:r w:rsidR="003E4210">
          <w:rPr>
            <w:noProof/>
            <w:webHidden/>
          </w:rPr>
          <w:instrText xml:space="preserve"> PAGEREF _Toc259717584 \h </w:instrText>
        </w:r>
        <w:r>
          <w:rPr>
            <w:noProof/>
            <w:webHidden/>
          </w:rPr>
        </w:r>
        <w:r>
          <w:rPr>
            <w:noProof/>
            <w:webHidden/>
          </w:rPr>
          <w:fldChar w:fldCharType="separate"/>
        </w:r>
        <w:r w:rsidR="003E4210">
          <w:rPr>
            <w:noProof/>
            <w:webHidden/>
          </w:rPr>
          <w:t>47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5" w:history="1">
        <w:r w:rsidR="003E4210" w:rsidRPr="00816794">
          <w:rPr>
            <w:rStyle w:val="Hyperlink"/>
            <w:noProof/>
          </w:rPr>
          <w:t>Table 7 – Optional Subelement IDs for Directional Channel Quality Report</w:t>
        </w:r>
        <w:r w:rsidR="003E4210">
          <w:rPr>
            <w:noProof/>
            <w:webHidden/>
          </w:rPr>
          <w:tab/>
        </w:r>
        <w:r>
          <w:rPr>
            <w:noProof/>
            <w:webHidden/>
          </w:rPr>
          <w:fldChar w:fldCharType="begin"/>
        </w:r>
        <w:r w:rsidR="003E4210">
          <w:rPr>
            <w:noProof/>
            <w:webHidden/>
          </w:rPr>
          <w:instrText xml:space="preserve"> PAGEREF _Toc259717585 \h </w:instrText>
        </w:r>
        <w:r>
          <w:rPr>
            <w:noProof/>
            <w:webHidden/>
          </w:rPr>
        </w:r>
        <w:r>
          <w:rPr>
            <w:noProof/>
            <w:webHidden/>
          </w:rPr>
          <w:fldChar w:fldCharType="separate"/>
        </w:r>
        <w:r w:rsidR="003E4210">
          <w:rPr>
            <w:noProof/>
            <w:webHidden/>
          </w:rPr>
          <w:t>51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6" w:history="1">
        <w:r w:rsidR="003E4210" w:rsidRPr="00816794">
          <w:rPr>
            <w:rStyle w:val="Hyperlink"/>
            <w:noProof/>
          </w:rPr>
          <w:t>Table 8 – Reliability</w:t>
        </w:r>
        <w:r w:rsidR="003E4210">
          <w:rPr>
            <w:noProof/>
            <w:webHidden/>
          </w:rPr>
          <w:tab/>
        </w:r>
        <w:r>
          <w:rPr>
            <w:noProof/>
            <w:webHidden/>
          </w:rPr>
          <w:fldChar w:fldCharType="begin"/>
        </w:r>
        <w:r w:rsidR="003E4210">
          <w:rPr>
            <w:noProof/>
            <w:webHidden/>
          </w:rPr>
          <w:instrText xml:space="preserve"> PAGEREF _Toc259717586 \h </w:instrText>
        </w:r>
        <w:r>
          <w:rPr>
            <w:noProof/>
            <w:webHidden/>
          </w:rPr>
        </w:r>
        <w:r>
          <w:rPr>
            <w:noProof/>
            <w:webHidden/>
          </w:rPr>
          <w:fldChar w:fldCharType="separate"/>
        </w:r>
        <w:r w:rsidR="003E4210">
          <w:rPr>
            <w:noProof/>
            <w:webHidden/>
          </w:rPr>
          <w:t>55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7" w:history="1">
        <w:r w:rsidR="003E4210" w:rsidRPr="00816794">
          <w:rPr>
            <w:rStyle w:val="Hyperlink"/>
            <w:rFonts w:eastAsia="Times New Roman"/>
            <w:bCs/>
            <w:noProof/>
            <w:lang w:bidi="he-IL"/>
          </w:rPr>
          <w:t>Table 9</w:t>
        </w:r>
        <w:r w:rsidR="003E4210" w:rsidRPr="00816794">
          <w:rPr>
            <w:rStyle w:val="Hyperlink"/>
            <w:bCs/>
            <w:noProof/>
          </w:rPr>
          <w:t xml:space="preserve"> </w:t>
        </w:r>
        <w:r w:rsidR="003E4210" w:rsidRPr="00816794">
          <w:rPr>
            <w:rStyle w:val="Hyperlink"/>
            <w:rFonts w:eastAsia="Times New Roman"/>
            <w:bCs/>
            <w:noProof/>
            <w:lang w:bidi="he-IL"/>
          </w:rPr>
          <w:t>– mmWave BSS Control field format</w:t>
        </w:r>
        <w:r w:rsidR="003E4210">
          <w:rPr>
            <w:noProof/>
            <w:webHidden/>
          </w:rPr>
          <w:tab/>
        </w:r>
        <w:r>
          <w:rPr>
            <w:noProof/>
            <w:webHidden/>
          </w:rPr>
          <w:fldChar w:fldCharType="begin"/>
        </w:r>
        <w:r w:rsidR="003E4210">
          <w:rPr>
            <w:noProof/>
            <w:webHidden/>
          </w:rPr>
          <w:instrText xml:space="preserve"> PAGEREF _Toc259717587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8" w:history="1">
        <w:r w:rsidR="003E4210" w:rsidRPr="00816794">
          <w:rPr>
            <w:rStyle w:val="Hyperlink"/>
            <w:noProof/>
          </w:rPr>
          <w:t>Table 10 – Subfields of the A-MPDU Parameters field</w:t>
        </w:r>
        <w:r w:rsidR="003E4210">
          <w:rPr>
            <w:noProof/>
            <w:webHidden/>
          </w:rPr>
          <w:tab/>
        </w:r>
        <w:r>
          <w:rPr>
            <w:noProof/>
            <w:webHidden/>
          </w:rPr>
          <w:fldChar w:fldCharType="begin"/>
        </w:r>
        <w:r w:rsidR="003E4210">
          <w:rPr>
            <w:noProof/>
            <w:webHidden/>
          </w:rPr>
          <w:instrText xml:space="preserve"> PAGEREF _Toc259717588 \h </w:instrText>
        </w:r>
        <w:r>
          <w:rPr>
            <w:noProof/>
            <w:webHidden/>
          </w:rPr>
        </w:r>
        <w:r>
          <w:rPr>
            <w:noProof/>
            <w:webHidden/>
          </w:rPr>
          <w:fldChar w:fldCharType="separate"/>
        </w:r>
        <w:r w:rsidR="003E4210">
          <w:rPr>
            <w:noProof/>
            <w:webHidden/>
          </w:rPr>
          <w:t>59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89" w:history="1">
        <w:r w:rsidR="003E4210" w:rsidRPr="00816794">
          <w:rPr>
            <w:rStyle w:val="Hyperlink"/>
            <w:noProof/>
          </w:rPr>
          <w:t>Table 11 – FBCK-REQ fields</w:t>
        </w:r>
        <w:r w:rsidR="003E4210">
          <w:rPr>
            <w:noProof/>
            <w:webHidden/>
          </w:rPr>
          <w:tab/>
        </w:r>
        <w:r>
          <w:rPr>
            <w:noProof/>
            <w:webHidden/>
          </w:rPr>
          <w:fldChar w:fldCharType="begin"/>
        </w:r>
        <w:r w:rsidR="003E4210">
          <w:rPr>
            <w:noProof/>
            <w:webHidden/>
          </w:rPr>
          <w:instrText xml:space="preserve"> PAGEREF _Toc259717589 \h </w:instrText>
        </w:r>
        <w:r>
          <w:rPr>
            <w:noProof/>
            <w:webHidden/>
          </w:rPr>
        </w:r>
        <w:r>
          <w:rPr>
            <w:noProof/>
            <w:webHidden/>
          </w:rPr>
          <w:fldChar w:fldCharType="separate"/>
        </w:r>
        <w:r w:rsidR="003E4210">
          <w:rPr>
            <w:noProof/>
            <w:webHidden/>
          </w:rPr>
          <w:t>63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0" w:history="1">
        <w:r w:rsidR="003E4210" w:rsidRPr="00816794">
          <w:rPr>
            <w:rStyle w:val="Hyperlink"/>
            <w:noProof/>
          </w:rPr>
          <w:t>Table 12 – FBCK-TYPE field</w:t>
        </w:r>
        <w:r w:rsidR="003E4210">
          <w:rPr>
            <w:noProof/>
            <w:webHidden/>
          </w:rPr>
          <w:tab/>
        </w:r>
        <w:r>
          <w:rPr>
            <w:noProof/>
            <w:webHidden/>
          </w:rPr>
          <w:fldChar w:fldCharType="begin"/>
        </w:r>
        <w:r w:rsidR="003E4210">
          <w:rPr>
            <w:noProof/>
            <w:webHidden/>
          </w:rPr>
          <w:instrText xml:space="preserve"> PAGEREF _Toc259717590 \h </w:instrText>
        </w:r>
        <w:r>
          <w:rPr>
            <w:noProof/>
            <w:webHidden/>
          </w:rPr>
        </w:r>
        <w:r>
          <w:rPr>
            <w:noProof/>
            <w:webHidden/>
          </w:rPr>
          <w:fldChar w:fldCharType="separate"/>
        </w:r>
        <w:r w:rsidR="003E4210">
          <w:rPr>
            <w:noProof/>
            <w:webHidden/>
          </w:rPr>
          <w:t>64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1" w:history="1">
        <w:r w:rsidR="003E4210" w:rsidRPr="00816794">
          <w:rPr>
            <w:rStyle w:val="Hyperlink"/>
            <w:noProof/>
          </w:rPr>
          <w:t>Table 13 – Traffic Type values</w:t>
        </w:r>
        <w:r w:rsidR="003E4210">
          <w:rPr>
            <w:noProof/>
            <w:webHidden/>
          </w:rPr>
          <w:tab/>
        </w:r>
        <w:r>
          <w:rPr>
            <w:noProof/>
            <w:webHidden/>
          </w:rPr>
          <w:fldChar w:fldCharType="begin"/>
        </w:r>
        <w:r w:rsidR="003E4210">
          <w:rPr>
            <w:noProof/>
            <w:webHidden/>
          </w:rPr>
          <w:instrText xml:space="preserve"> PAGEREF _Toc259717591 \h </w:instrText>
        </w:r>
        <w:r>
          <w:rPr>
            <w:noProof/>
            <w:webHidden/>
          </w:rPr>
        </w:r>
        <w:r>
          <w:rPr>
            <w:noProof/>
            <w:webHidden/>
          </w:rPr>
          <w:fldChar w:fldCharType="separate"/>
        </w:r>
        <w:r w:rsidR="003E4210">
          <w:rPr>
            <w:noProof/>
            <w:webHidden/>
          </w:rPr>
          <w:t>68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2" w:history="1">
        <w:r w:rsidR="003E4210" w:rsidRPr="00816794">
          <w:rPr>
            <w:rStyle w:val="Hyperlink"/>
            <w:noProof/>
          </w:rPr>
          <w:t>Table 14 – Allocation Period values</w:t>
        </w:r>
        <w:r w:rsidR="003E4210">
          <w:rPr>
            <w:noProof/>
            <w:webHidden/>
          </w:rPr>
          <w:tab/>
        </w:r>
        <w:r>
          <w:rPr>
            <w:noProof/>
            <w:webHidden/>
          </w:rPr>
          <w:fldChar w:fldCharType="begin"/>
        </w:r>
        <w:r w:rsidR="003E4210">
          <w:rPr>
            <w:noProof/>
            <w:webHidden/>
          </w:rPr>
          <w:instrText xml:space="preserve"> PAGEREF _Toc259717592 \h </w:instrText>
        </w:r>
        <w:r>
          <w:rPr>
            <w:noProof/>
            <w:webHidden/>
          </w:rPr>
        </w:r>
        <w:r>
          <w:rPr>
            <w:noProof/>
            <w:webHidden/>
          </w:rPr>
          <w:fldChar w:fldCharType="separate"/>
        </w:r>
        <w:r w:rsidR="003E4210">
          <w:rPr>
            <w:noProof/>
            <w:webHidden/>
          </w:rPr>
          <w:t>69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3" w:history="1">
        <w:r w:rsidR="003E4210" w:rsidRPr="00816794">
          <w:rPr>
            <w:rStyle w:val="Hyperlink"/>
            <w:noProof/>
          </w:rPr>
          <w:t>Table 15 – Channel Measurement Feedback element format</w:t>
        </w:r>
        <w:r w:rsidR="003E4210">
          <w:rPr>
            <w:noProof/>
            <w:webHidden/>
          </w:rPr>
          <w:tab/>
        </w:r>
        <w:r>
          <w:rPr>
            <w:noProof/>
            <w:webHidden/>
          </w:rPr>
          <w:fldChar w:fldCharType="begin"/>
        </w:r>
        <w:r w:rsidR="003E4210">
          <w:rPr>
            <w:noProof/>
            <w:webHidden/>
          </w:rPr>
          <w:instrText xml:space="preserve"> PAGEREF _Toc259717593 \h </w:instrText>
        </w:r>
        <w:r>
          <w:rPr>
            <w:noProof/>
            <w:webHidden/>
          </w:rPr>
        </w:r>
        <w:r>
          <w:rPr>
            <w:noProof/>
            <w:webHidden/>
          </w:rPr>
          <w:fldChar w:fldCharType="separate"/>
        </w:r>
        <w:r w:rsidR="003E4210">
          <w:rPr>
            <w:noProof/>
            <w:webHidden/>
          </w:rPr>
          <w:t>71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4" w:history="1">
        <w:r w:rsidR="003E4210" w:rsidRPr="00816794">
          <w:rPr>
            <w:rStyle w:val="Hyperlink"/>
            <w:noProof/>
          </w:rPr>
          <w:t>Table 16 – Channel measurement</w:t>
        </w:r>
        <w:r w:rsidR="003E4210">
          <w:rPr>
            <w:noProof/>
            <w:webHidden/>
          </w:rPr>
          <w:tab/>
        </w:r>
        <w:r>
          <w:rPr>
            <w:noProof/>
            <w:webHidden/>
          </w:rPr>
          <w:fldChar w:fldCharType="begin"/>
        </w:r>
        <w:r w:rsidR="003E4210">
          <w:rPr>
            <w:noProof/>
            <w:webHidden/>
          </w:rPr>
          <w:instrText xml:space="preserve"> PAGEREF _Toc259717594 \h </w:instrText>
        </w:r>
        <w:r>
          <w:rPr>
            <w:noProof/>
            <w:webHidden/>
          </w:rPr>
        </w:r>
        <w:r>
          <w:rPr>
            <w:noProof/>
            <w:webHidden/>
          </w:rPr>
          <w:fldChar w:fldCharType="separate"/>
        </w:r>
        <w:r w:rsidR="003E4210">
          <w:rPr>
            <w:noProof/>
            <w:webHidden/>
          </w:rPr>
          <w:t>72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5" w:history="1">
        <w:r w:rsidR="003E4210" w:rsidRPr="00816794">
          <w:rPr>
            <w:rStyle w:val="Hyperlink"/>
            <w:noProof/>
          </w:rPr>
          <w:t>Table 17 – STA Role</w:t>
        </w:r>
        <w:r w:rsidR="003E4210">
          <w:rPr>
            <w:noProof/>
            <w:webHidden/>
          </w:rPr>
          <w:tab/>
        </w:r>
        <w:r>
          <w:rPr>
            <w:noProof/>
            <w:webHidden/>
          </w:rPr>
          <w:fldChar w:fldCharType="begin"/>
        </w:r>
        <w:r w:rsidR="003E4210">
          <w:rPr>
            <w:noProof/>
            <w:webHidden/>
          </w:rPr>
          <w:instrText xml:space="preserve"> PAGEREF _Toc259717595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6" w:history="1">
        <w:r w:rsidR="003E4210" w:rsidRPr="00816794">
          <w:rPr>
            <w:rStyle w:val="Hyperlink"/>
            <w:noProof/>
          </w:rPr>
          <w:t xml:space="preserve">Table 18 </w:t>
        </w:r>
        <w:r w:rsidR="003E4210" w:rsidRPr="00816794">
          <w:rPr>
            <w:rStyle w:val="Hyperlink"/>
            <w:noProof/>
            <w:lang w:eastAsia="ko-KR"/>
          </w:rPr>
          <w:t>– Action field values</w:t>
        </w:r>
        <w:r w:rsidR="003E4210">
          <w:rPr>
            <w:noProof/>
            <w:webHidden/>
          </w:rPr>
          <w:tab/>
        </w:r>
        <w:r>
          <w:rPr>
            <w:noProof/>
            <w:webHidden/>
          </w:rPr>
          <w:fldChar w:fldCharType="begin"/>
        </w:r>
        <w:r w:rsidR="003E4210">
          <w:rPr>
            <w:noProof/>
            <w:webHidden/>
          </w:rPr>
          <w:instrText xml:space="preserve"> PAGEREF _Toc259717596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7" w:history="1">
        <w:r w:rsidR="003E4210" w:rsidRPr="00816794">
          <w:rPr>
            <w:rStyle w:val="Hyperlink"/>
            <w:noProof/>
          </w:rPr>
          <w:t>Table 19 – DTP Report element</w:t>
        </w:r>
        <w:r w:rsidR="003E4210">
          <w:rPr>
            <w:noProof/>
            <w:webHidden/>
          </w:rPr>
          <w:tab/>
        </w:r>
        <w:r>
          <w:rPr>
            <w:noProof/>
            <w:webHidden/>
          </w:rPr>
          <w:fldChar w:fldCharType="begin"/>
        </w:r>
        <w:r w:rsidR="003E4210">
          <w:rPr>
            <w:noProof/>
            <w:webHidden/>
          </w:rPr>
          <w:instrText xml:space="preserve"> PAGEREF _Toc259717597 \h </w:instrText>
        </w:r>
        <w:r>
          <w:rPr>
            <w:noProof/>
            <w:webHidden/>
          </w:rPr>
        </w:r>
        <w:r>
          <w:rPr>
            <w:noProof/>
            <w:webHidden/>
          </w:rPr>
          <w:fldChar w:fldCharType="separate"/>
        </w:r>
        <w:r w:rsidR="003E4210">
          <w:rPr>
            <w:noProof/>
            <w:webHidden/>
          </w:rPr>
          <w:t>79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8" w:history="1">
        <w:r w:rsidR="003E4210" w:rsidRPr="00816794">
          <w:rPr>
            <w:rStyle w:val="Hyperlink"/>
            <w:noProof/>
          </w:rPr>
          <w:t>Table 20 – Subfields of the relay capabilities info field</w:t>
        </w:r>
        <w:r w:rsidR="003E4210">
          <w:rPr>
            <w:noProof/>
            <w:webHidden/>
          </w:rPr>
          <w:tab/>
        </w:r>
        <w:r>
          <w:rPr>
            <w:noProof/>
            <w:webHidden/>
          </w:rPr>
          <w:fldChar w:fldCharType="begin"/>
        </w:r>
        <w:r w:rsidR="003E4210">
          <w:rPr>
            <w:noProof/>
            <w:webHidden/>
          </w:rPr>
          <w:instrText xml:space="preserve"> PAGEREF _Toc259717598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599" w:history="1">
        <w:r w:rsidR="003E4210" w:rsidRPr="00816794">
          <w:rPr>
            <w:rStyle w:val="Hyperlink"/>
            <w:noProof/>
          </w:rPr>
          <w:t>Table 21 – Encoding of the ADDTS request variant</w:t>
        </w:r>
        <w:r w:rsidR="003E4210">
          <w:rPr>
            <w:noProof/>
            <w:webHidden/>
          </w:rPr>
          <w:tab/>
        </w:r>
        <w:r>
          <w:rPr>
            <w:noProof/>
            <w:webHidden/>
          </w:rPr>
          <w:fldChar w:fldCharType="begin"/>
        </w:r>
        <w:r w:rsidR="003E4210">
          <w:rPr>
            <w:noProof/>
            <w:webHidden/>
          </w:rPr>
          <w:instrText xml:space="preserve"> PAGEREF _Toc259717599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0" w:history="1">
        <w:r w:rsidR="003E4210" w:rsidRPr="00816794">
          <w:rPr>
            <w:rStyle w:val="Hyperlink"/>
            <w:noProof/>
          </w:rPr>
          <w:t>Table 22 – Encoding of the ADDTS response variant</w:t>
        </w:r>
        <w:r w:rsidR="003E4210">
          <w:rPr>
            <w:noProof/>
            <w:webHidden/>
          </w:rPr>
          <w:tab/>
        </w:r>
        <w:r>
          <w:rPr>
            <w:noProof/>
            <w:webHidden/>
          </w:rPr>
          <w:fldChar w:fldCharType="begin"/>
        </w:r>
        <w:r w:rsidR="003E4210">
          <w:rPr>
            <w:noProof/>
            <w:webHidden/>
          </w:rPr>
          <w:instrText xml:space="preserve"> PAGEREF _Toc259717600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1" w:history="1">
        <w:r w:rsidR="003E4210" w:rsidRPr="00816794">
          <w:rPr>
            <w:rStyle w:val="Hyperlink"/>
            <w:noProof/>
          </w:rPr>
          <w:t>Table 23 – Extended mmWave ADDTS Request frame variant</w:t>
        </w:r>
        <w:r w:rsidR="003E4210">
          <w:rPr>
            <w:noProof/>
            <w:webHidden/>
          </w:rPr>
          <w:tab/>
        </w:r>
        <w:r>
          <w:rPr>
            <w:noProof/>
            <w:webHidden/>
          </w:rPr>
          <w:fldChar w:fldCharType="begin"/>
        </w:r>
        <w:r w:rsidR="003E4210">
          <w:rPr>
            <w:noProof/>
            <w:webHidden/>
          </w:rPr>
          <w:instrText xml:space="preserve"> PAGEREF _Toc259717601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2" w:history="1">
        <w:r w:rsidR="003E4210" w:rsidRPr="00816794">
          <w:rPr>
            <w:rStyle w:val="Hyperlink"/>
            <w:noProof/>
          </w:rPr>
          <w:t>Table 24 – Extended mmWave ADDTS Response frame variant</w:t>
        </w:r>
        <w:r w:rsidR="003E4210">
          <w:rPr>
            <w:noProof/>
            <w:webHidden/>
          </w:rPr>
          <w:tab/>
        </w:r>
        <w:r>
          <w:rPr>
            <w:noProof/>
            <w:webHidden/>
          </w:rPr>
          <w:fldChar w:fldCharType="begin"/>
        </w:r>
        <w:r w:rsidR="003E4210">
          <w:rPr>
            <w:noProof/>
            <w:webHidden/>
          </w:rPr>
          <w:instrText xml:space="preserve"> PAGEREF _Toc259717602 \h </w:instrText>
        </w:r>
        <w:r>
          <w:rPr>
            <w:noProof/>
            <w:webHidden/>
          </w:rPr>
        </w:r>
        <w:r>
          <w:rPr>
            <w:noProof/>
            <w:webHidden/>
          </w:rPr>
          <w:fldChar w:fldCharType="separate"/>
        </w:r>
        <w:r w:rsidR="003E4210">
          <w:rPr>
            <w:noProof/>
            <w:webHidden/>
          </w:rPr>
          <w:t>89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3" w:history="1">
        <w:r w:rsidR="003E4210" w:rsidRPr="00816794">
          <w:rPr>
            <w:rStyle w:val="Hyperlink"/>
            <w:noProof/>
          </w:rPr>
          <w:t>Table 25 – mmWave Action field values</w:t>
        </w:r>
        <w:r w:rsidR="003E4210">
          <w:rPr>
            <w:noProof/>
            <w:webHidden/>
          </w:rPr>
          <w:tab/>
        </w:r>
        <w:r>
          <w:rPr>
            <w:noProof/>
            <w:webHidden/>
          </w:rPr>
          <w:fldChar w:fldCharType="begin"/>
        </w:r>
        <w:r w:rsidR="003E4210">
          <w:rPr>
            <w:noProof/>
            <w:webHidden/>
          </w:rPr>
          <w:instrText xml:space="preserve"> PAGEREF _Toc259717603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4" w:history="1">
        <w:r w:rsidR="003E4210" w:rsidRPr="00816794">
          <w:rPr>
            <w:rStyle w:val="Hyperlink"/>
            <w:noProof/>
          </w:rPr>
          <w:t>Table 26 – Announce</w:t>
        </w:r>
        <w:r w:rsidR="003E4210">
          <w:rPr>
            <w:noProof/>
            <w:webHidden/>
          </w:rPr>
          <w:tab/>
        </w:r>
        <w:r>
          <w:rPr>
            <w:noProof/>
            <w:webHidden/>
          </w:rPr>
          <w:fldChar w:fldCharType="begin"/>
        </w:r>
        <w:r w:rsidR="003E4210">
          <w:rPr>
            <w:noProof/>
            <w:webHidden/>
          </w:rPr>
          <w:instrText xml:space="preserve"> PAGEREF _Toc259717604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5" w:history="1">
        <w:r w:rsidR="003E4210" w:rsidRPr="00816794">
          <w:rPr>
            <w:rStyle w:val="Hyperlink"/>
            <w:noProof/>
          </w:rPr>
          <w:t>Table 27 – Power Save Configuration Request</w:t>
        </w:r>
        <w:r w:rsidR="003E4210">
          <w:rPr>
            <w:noProof/>
            <w:webHidden/>
          </w:rPr>
          <w:tab/>
        </w:r>
        <w:r>
          <w:rPr>
            <w:noProof/>
            <w:webHidden/>
          </w:rPr>
          <w:fldChar w:fldCharType="begin"/>
        </w:r>
        <w:r w:rsidR="003E4210">
          <w:rPr>
            <w:noProof/>
            <w:webHidden/>
          </w:rPr>
          <w:instrText xml:space="preserve"> PAGEREF _Toc259717605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6" w:history="1">
        <w:r w:rsidR="003E4210" w:rsidRPr="00816794">
          <w:rPr>
            <w:rStyle w:val="Hyperlink"/>
            <w:noProof/>
          </w:rPr>
          <w:t>Table 28 – Power Save Configuration Response</w:t>
        </w:r>
        <w:r w:rsidR="003E4210">
          <w:rPr>
            <w:noProof/>
            <w:webHidden/>
          </w:rPr>
          <w:tab/>
        </w:r>
        <w:r>
          <w:rPr>
            <w:noProof/>
            <w:webHidden/>
          </w:rPr>
          <w:fldChar w:fldCharType="begin"/>
        </w:r>
        <w:r w:rsidR="003E4210">
          <w:rPr>
            <w:noProof/>
            <w:webHidden/>
          </w:rPr>
          <w:instrText xml:space="preserve"> PAGEREF _Toc259717606 \h </w:instrText>
        </w:r>
        <w:r>
          <w:rPr>
            <w:noProof/>
            <w:webHidden/>
          </w:rPr>
        </w:r>
        <w:r>
          <w:rPr>
            <w:noProof/>
            <w:webHidden/>
          </w:rPr>
          <w:fldChar w:fldCharType="separate"/>
        </w:r>
        <w:r w:rsidR="003E4210">
          <w:rPr>
            <w:noProof/>
            <w:webHidden/>
          </w:rPr>
          <w:t>93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7" w:history="1">
        <w:r w:rsidR="003E4210" w:rsidRPr="00816794">
          <w:rPr>
            <w:rStyle w:val="Hyperlink"/>
            <w:noProof/>
          </w:rPr>
          <w:t>Table 29 – Information Request frame</w:t>
        </w:r>
        <w:r w:rsidR="003E4210">
          <w:rPr>
            <w:noProof/>
            <w:webHidden/>
          </w:rPr>
          <w:tab/>
        </w:r>
        <w:r>
          <w:rPr>
            <w:noProof/>
            <w:webHidden/>
          </w:rPr>
          <w:fldChar w:fldCharType="begin"/>
        </w:r>
        <w:r w:rsidR="003E4210">
          <w:rPr>
            <w:noProof/>
            <w:webHidden/>
          </w:rPr>
          <w:instrText xml:space="preserve"> PAGEREF _Toc259717607 \h </w:instrText>
        </w:r>
        <w:r>
          <w:rPr>
            <w:noProof/>
            <w:webHidden/>
          </w:rPr>
        </w:r>
        <w:r>
          <w:rPr>
            <w:noProof/>
            <w:webHidden/>
          </w:rPr>
          <w:fldChar w:fldCharType="separate"/>
        </w:r>
        <w:r w:rsidR="003E4210">
          <w:rPr>
            <w:noProof/>
            <w:webHidden/>
          </w:rPr>
          <w:t>93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8" w:history="1">
        <w:r w:rsidR="003E4210" w:rsidRPr="00816794">
          <w:rPr>
            <w:rStyle w:val="Hyperlink"/>
            <w:noProof/>
          </w:rPr>
          <w:t>Table 30 – Information Response frame</w:t>
        </w:r>
        <w:r w:rsidR="003E4210">
          <w:rPr>
            <w:noProof/>
            <w:webHidden/>
          </w:rPr>
          <w:tab/>
        </w:r>
        <w:r>
          <w:rPr>
            <w:noProof/>
            <w:webHidden/>
          </w:rPr>
          <w:fldChar w:fldCharType="begin"/>
        </w:r>
        <w:r w:rsidR="003E4210">
          <w:rPr>
            <w:noProof/>
            <w:webHidden/>
          </w:rPr>
          <w:instrText xml:space="preserve"> PAGEREF _Toc259717608 \h </w:instrText>
        </w:r>
        <w:r>
          <w:rPr>
            <w:noProof/>
            <w:webHidden/>
          </w:rPr>
        </w:r>
        <w:r>
          <w:rPr>
            <w:noProof/>
            <w:webHidden/>
          </w:rPr>
          <w:fldChar w:fldCharType="separate"/>
        </w:r>
        <w:r w:rsidR="003E4210">
          <w:rPr>
            <w:noProof/>
            <w:webHidden/>
          </w:rPr>
          <w:t>94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09" w:history="1">
        <w:r w:rsidR="003E4210" w:rsidRPr="00816794">
          <w:rPr>
            <w:rStyle w:val="Hyperlink"/>
            <w:noProof/>
          </w:rPr>
          <w:t>Table 31 – Beam Refinement frame</w:t>
        </w:r>
        <w:r w:rsidR="003E4210">
          <w:rPr>
            <w:noProof/>
            <w:webHidden/>
          </w:rPr>
          <w:tab/>
        </w:r>
        <w:r>
          <w:rPr>
            <w:noProof/>
            <w:webHidden/>
          </w:rPr>
          <w:fldChar w:fldCharType="begin"/>
        </w:r>
        <w:r w:rsidR="003E4210">
          <w:rPr>
            <w:noProof/>
            <w:webHidden/>
          </w:rPr>
          <w:instrText xml:space="preserve"> PAGEREF _Toc259717609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0" w:history="1">
        <w:r w:rsidR="003E4210" w:rsidRPr="00816794">
          <w:rPr>
            <w:rStyle w:val="Hyperlink"/>
            <w:noProof/>
          </w:rPr>
          <w:t xml:space="preserve">Table 32 – </w:t>
        </w:r>
        <w:r w:rsidR="003E4210" w:rsidRPr="00816794">
          <w:rPr>
            <w:rStyle w:val="Hyperlink"/>
            <w:rFonts w:eastAsia="Times New Roman"/>
            <w:noProof/>
          </w:rPr>
          <w:t>Handover Request frame</w:t>
        </w:r>
        <w:r w:rsidR="003E4210">
          <w:rPr>
            <w:noProof/>
            <w:webHidden/>
          </w:rPr>
          <w:tab/>
        </w:r>
        <w:r>
          <w:rPr>
            <w:noProof/>
            <w:webHidden/>
          </w:rPr>
          <w:fldChar w:fldCharType="begin"/>
        </w:r>
        <w:r w:rsidR="003E4210">
          <w:rPr>
            <w:noProof/>
            <w:webHidden/>
          </w:rPr>
          <w:instrText xml:space="preserve"> PAGEREF _Toc259717610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1" w:history="1">
        <w:r w:rsidR="003E4210" w:rsidRPr="00816794">
          <w:rPr>
            <w:rStyle w:val="Hyperlink"/>
            <w:noProof/>
          </w:rPr>
          <w:t>Table 33 – Handover Response</w:t>
        </w:r>
        <w:r w:rsidR="003E4210" w:rsidRPr="00816794">
          <w:rPr>
            <w:rStyle w:val="Hyperlink"/>
            <w:rFonts w:eastAsia="Times New Roman"/>
            <w:noProof/>
          </w:rPr>
          <w:t xml:space="preserve"> frame</w:t>
        </w:r>
        <w:r w:rsidR="003E4210">
          <w:rPr>
            <w:noProof/>
            <w:webHidden/>
          </w:rPr>
          <w:tab/>
        </w:r>
        <w:r>
          <w:rPr>
            <w:noProof/>
            <w:webHidden/>
          </w:rPr>
          <w:fldChar w:fldCharType="begin"/>
        </w:r>
        <w:r w:rsidR="003E4210">
          <w:rPr>
            <w:noProof/>
            <w:webHidden/>
          </w:rPr>
          <w:instrText xml:space="preserve"> PAGEREF _Toc259717611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2" w:history="1">
        <w:r w:rsidR="003E4210" w:rsidRPr="00816794">
          <w:rPr>
            <w:rStyle w:val="Hyperlink"/>
            <w:noProof/>
          </w:rPr>
          <w:t>Table 34 – Link Margin Request</w:t>
        </w:r>
        <w:r w:rsidR="003E4210" w:rsidRPr="00816794">
          <w:rPr>
            <w:rStyle w:val="Hyperlink"/>
            <w:rFonts w:eastAsia="Times New Roman"/>
            <w:noProof/>
          </w:rPr>
          <w:t xml:space="preserve"> frame</w:t>
        </w:r>
        <w:r w:rsidR="003E4210">
          <w:rPr>
            <w:noProof/>
            <w:webHidden/>
          </w:rPr>
          <w:tab/>
        </w:r>
        <w:r>
          <w:rPr>
            <w:noProof/>
            <w:webHidden/>
          </w:rPr>
          <w:fldChar w:fldCharType="begin"/>
        </w:r>
        <w:r w:rsidR="003E4210">
          <w:rPr>
            <w:noProof/>
            <w:webHidden/>
          </w:rPr>
          <w:instrText xml:space="preserve"> PAGEREF _Toc259717612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3" w:history="1">
        <w:r w:rsidR="003E4210" w:rsidRPr="00816794">
          <w:rPr>
            <w:rStyle w:val="Hyperlink"/>
            <w:noProof/>
          </w:rPr>
          <w:t>Table 35 – Link Margin Response</w:t>
        </w:r>
        <w:r w:rsidR="003E4210" w:rsidRPr="00816794">
          <w:rPr>
            <w:rStyle w:val="Hyperlink"/>
            <w:rFonts w:eastAsia="Times New Roman"/>
            <w:noProof/>
          </w:rPr>
          <w:t xml:space="preserve"> frame</w:t>
        </w:r>
        <w:r w:rsidR="003E4210">
          <w:rPr>
            <w:noProof/>
            <w:webHidden/>
          </w:rPr>
          <w:tab/>
        </w:r>
        <w:r>
          <w:rPr>
            <w:noProof/>
            <w:webHidden/>
          </w:rPr>
          <w:fldChar w:fldCharType="begin"/>
        </w:r>
        <w:r w:rsidR="003E4210">
          <w:rPr>
            <w:noProof/>
            <w:webHidden/>
          </w:rPr>
          <w:instrText xml:space="preserve"> PAGEREF _Toc259717613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4" w:history="1">
        <w:r w:rsidR="003E4210" w:rsidRPr="00816794">
          <w:rPr>
            <w:rStyle w:val="Hyperlink"/>
            <w:noProof/>
          </w:rPr>
          <w:t>Table 36 – Relay search request frame format</w:t>
        </w:r>
        <w:r w:rsidR="003E4210">
          <w:rPr>
            <w:noProof/>
            <w:webHidden/>
          </w:rPr>
          <w:tab/>
        </w:r>
        <w:r>
          <w:rPr>
            <w:noProof/>
            <w:webHidden/>
          </w:rPr>
          <w:fldChar w:fldCharType="begin"/>
        </w:r>
        <w:r w:rsidR="003E4210">
          <w:rPr>
            <w:noProof/>
            <w:webHidden/>
          </w:rPr>
          <w:instrText xml:space="preserve"> PAGEREF _Toc259717614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5" w:history="1">
        <w:r w:rsidR="003E4210" w:rsidRPr="00816794">
          <w:rPr>
            <w:rStyle w:val="Hyperlink"/>
            <w:noProof/>
          </w:rPr>
          <w:t>Table 37 – Relay search response frame body</w:t>
        </w:r>
        <w:r w:rsidR="003E4210">
          <w:rPr>
            <w:noProof/>
            <w:webHidden/>
          </w:rPr>
          <w:tab/>
        </w:r>
        <w:r>
          <w:rPr>
            <w:noProof/>
            <w:webHidden/>
          </w:rPr>
          <w:fldChar w:fldCharType="begin"/>
        </w:r>
        <w:r w:rsidR="003E4210">
          <w:rPr>
            <w:noProof/>
            <w:webHidden/>
          </w:rPr>
          <w:instrText xml:space="preserve"> PAGEREF _Toc259717615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6" w:history="1">
        <w:r w:rsidR="003E4210" w:rsidRPr="00816794">
          <w:rPr>
            <w:rStyle w:val="Hyperlink"/>
            <w:noProof/>
          </w:rPr>
          <w:t>Table 38 – Multi-relays channel measurement request frame body</w:t>
        </w:r>
        <w:r w:rsidR="003E4210">
          <w:rPr>
            <w:noProof/>
            <w:webHidden/>
          </w:rPr>
          <w:tab/>
        </w:r>
        <w:r>
          <w:rPr>
            <w:noProof/>
            <w:webHidden/>
          </w:rPr>
          <w:fldChar w:fldCharType="begin"/>
        </w:r>
        <w:r w:rsidR="003E4210">
          <w:rPr>
            <w:noProof/>
            <w:webHidden/>
          </w:rPr>
          <w:instrText xml:space="preserve"> PAGEREF _Toc259717616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7" w:history="1">
        <w:r w:rsidR="003E4210" w:rsidRPr="00816794">
          <w:rPr>
            <w:rStyle w:val="Hyperlink"/>
            <w:noProof/>
          </w:rPr>
          <w:t>Table 39 – Multi-relays channel measurement report frame body</w:t>
        </w:r>
        <w:r w:rsidR="003E4210">
          <w:rPr>
            <w:noProof/>
            <w:webHidden/>
          </w:rPr>
          <w:tab/>
        </w:r>
        <w:r>
          <w:rPr>
            <w:noProof/>
            <w:webHidden/>
          </w:rPr>
          <w:fldChar w:fldCharType="begin"/>
        </w:r>
        <w:r w:rsidR="003E4210">
          <w:rPr>
            <w:noProof/>
            <w:webHidden/>
          </w:rPr>
          <w:instrText xml:space="preserve"> PAGEREF _Toc259717617 \h </w:instrText>
        </w:r>
        <w:r>
          <w:rPr>
            <w:noProof/>
            <w:webHidden/>
          </w:rPr>
        </w:r>
        <w:r>
          <w:rPr>
            <w:noProof/>
            <w:webHidden/>
          </w:rPr>
          <w:fldChar w:fldCharType="separate"/>
        </w:r>
        <w:r w:rsidR="003E4210">
          <w:rPr>
            <w:noProof/>
            <w:webHidden/>
          </w:rPr>
          <w:t>100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8" w:history="1">
        <w:r w:rsidR="003E4210" w:rsidRPr="00816794">
          <w:rPr>
            <w:rStyle w:val="Hyperlink"/>
            <w:noProof/>
          </w:rPr>
          <w:t>Table 40 – RLS request frame body</w:t>
        </w:r>
        <w:r w:rsidR="003E4210">
          <w:rPr>
            <w:noProof/>
            <w:webHidden/>
          </w:rPr>
          <w:tab/>
        </w:r>
        <w:r>
          <w:rPr>
            <w:noProof/>
            <w:webHidden/>
          </w:rPr>
          <w:fldChar w:fldCharType="begin"/>
        </w:r>
        <w:r w:rsidR="003E4210">
          <w:rPr>
            <w:noProof/>
            <w:webHidden/>
          </w:rPr>
          <w:instrText xml:space="preserve"> PAGEREF _Toc259717618 \h </w:instrText>
        </w:r>
        <w:r>
          <w:rPr>
            <w:noProof/>
            <w:webHidden/>
          </w:rPr>
        </w:r>
        <w:r>
          <w:rPr>
            <w:noProof/>
            <w:webHidden/>
          </w:rPr>
          <w:fldChar w:fldCharType="separate"/>
        </w:r>
        <w:r w:rsidR="003E4210">
          <w:rPr>
            <w:noProof/>
            <w:webHidden/>
          </w:rPr>
          <w:t>101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19" w:history="1">
        <w:r w:rsidR="003E4210" w:rsidRPr="00816794">
          <w:rPr>
            <w:rStyle w:val="Hyperlink"/>
            <w:noProof/>
          </w:rPr>
          <w:t>Table 41 – RLS response frame body</w:t>
        </w:r>
        <w:r w:rsidR="003E4210">
          <w:rPr>
            <w:noProof/>
            <w:webHidden/>
          </w:rPr>
          <w:tab/>
        </w:r>
        <w:r>
          <w:rPr>
            <w:noProof/>
            <w:webHidden/>
          </w:rPr>
          <w:fldChar w:fldCharType="begin"/>
        </w:r>
        <w:r w:rsidR="003E4210">
          <w:rPr>
            <w:noProof/>
            <w:webHidden/>
          </w:rPr>
          <w:instrText xml:space="preserve"> PAGEREF _Toc259717619 \h </w:instrText>
        </w:r>
        <w:r>
          <w:rPr>
            <w:noProof/>
            <w:webHidden/>
          </w:rPr>
        </w:r>
        <w:r>
          <w:rPr>
            <w:noProof/>
            <w:webHidden/>
          </w:rPr>
          <w:fldChar w:fldCharType="separate"/>
        </w:r>
        <w:r w:rsidR="003E4210">
          <w:rPr>
            <w:noProof/>
            <w:webHidden/>
          </w:rPr>
          <w:t>102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0" w:history="1">
        <w:r w:rsidR="003E4210" w:rsidRPr="00816794">
          <w:rPr>
            <w:rStyle w:val="Hyperlink"/>
            <w:noProof/>
          </w:rPr>
          <w:t>Table 42 – RLS announcement frame body</w:t>
        </w:r>
        <w:r w:rsidR="003E4210">
          <w:rPr>
            <w:noProof/>
            <w:webHidden/>
          </w:rPr>
          <w:tab/>
        </w:r>
        <w:r>
          <w:rPr>
            <w:noProof/>
            <w:webHidden/>
          </w:rPr>
          <w:fldChar w:fldCharType="begin"/>
        </w:r>
        <w:r w:rsidR="003E4210">
          <w:rPr>
            <w:noProof/>
            <w:webHidden/>
          </w:rPr>
          <w:instrText xml:space="preserve"> PAGEREF _Toc259717620 \h </w:instrText>
        </w:r>
        <w:r>
          <w:rPr>
            <w:noProof/>
            <w:webHidden/>
          </w:rPr>
        </w:r>
        <w:r>
          <w:rPr>
            <w:noProof/>
            <w:webHidden/>
          </w:rPr>
          <w:fldChar w:fldCharType="separate"/>
        </w:r>
        <w:r w:rsidR="003E4210">
          <w:rPr>
            <w:noProof/>
            <w:webHidden/>
          </w:rPr>
          <w:t>103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1" w:history="1">
        <w:r w:rsidR="003E4210" w:rsidRPr="00816794">
          <w:rPr>
            <w:rStyle w:val="Hyperlink"/>
            <w:noProof/>
          </w:rPr>
          <w:t>Table 43 – RLS teardown frame body</w:t>
        </w:r>
        <w:r w:rsidR="003E4210">
          <w:rPr>
            <w:noProof/>
            <w:webHidden/>
          </w:rPr>
          <w:tab/>
        </w:r>
        <w:r>
          <w:rPr>
            <w:noProof/>
            <w:webHidden/>
          </w:rPr>
          <w:fldChar w:fldCharType="begin"/>
        </w:r>
        <w:r w:rsidR="003E4210">
          <w:rPr>
            <w:noProof/>
            <w:webHidden/>
          </w:rPr>
          <w:instrText xml:space="preserve"> PAGEREF _Toc259717621 \h </w:instrText>
        </w:r>
        <w:r>
          <w:rPr>
            <w:noProof/>
            <w:webHidden/>
          </w:rPr>
        </w:r>
        <w:r>
          <w:rPr>
            <w:noProof/>
            <w:webHidden/>
          </w:rPr>
          <w:fldChar w:fldCharType="separate"/>
        </w:r>
        <w:r w:rsidR="003E4210">
          <w:rPr>
            <w:noProof/>
            <w:webHidden/>
          </w:rPr>
          <w:t>103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2" w:history="1">
        <w:r w:rsidR="003E4210" w:rsidRPr="00816794">
          <w:rPr>
            <w:rStyle w:val="Hyperlink"/>
            <w:noProof/>
          </w:rPr>
          <w:t>Table 44 – Relay ACK request frame body</w:t>
        </w:r>
        <w:r w:rsidR="003E4210">
          <w:rPr>
            <w:noProof/>
            <w:webHidden/>
          </w:rPr>
          <w:tab/>
        </w:r>
        <w:r>
          <w:rPr>
            <w:noProof/>
            <w:webHidden/>
          </w:rPr>
          <w:fldChar w:fldCharType="begin"/>
        </w:r>
        <w:r w:rsidR="003E4210">
          <w:rPr>
            <w:noProof/>
            <w:webHidden/>
          </w:rPr>
          <w:instrText xml:space="preserve"> PAGEREF _Toc259717622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3" w:history="1">
        <w:r w:rsidR="003E4210" w:rsidRPr="00816794">
          <w:rPr>
            <w:rStyle w:val="Hyperlink"/>
            <w:noProof/>
          </w:rPr>
          <w:t>Table 45 – Relay ACK response frame body</w:t>
        </w:r>
        <w:r w:rsidR="003E4210">
          <w:rPr>
            <w:noProof/>
            <w:webHidden/>
          </w:rPr>
          <w:tab/>
        </w:r>
        <w:r>
          <w:rPr>
            <w:noProof/>
            <w:webHidden/>
          </w:rPr>
          <w:fldChar w:fldCharType="begin"/>
        </w:r>
        <w:r w:rsidR="003E4210">
          <w:rPr>
            <w:noProof/>
            <w:webHidden/>
          </w:rPr>
          <w:instrText xml:space="preserve"> PAGEREF _Toc259717623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4" w:history="1">
        <w:r w:rsidR="003E4210" w:rsidRPr="00816794">
          <w:rPr>
            <w:rStyle w:val="Hyperlink"/>
            <w:noProof/>
          </w:rPr>
          <w:t>Table 46 – TPA request frame body</w:t>
        </w:r>
        <w:r w:rsidR="003E4210">
          <w:rPr>
            <w:noProof/>
            <w:webHidden/>
          </w:rPr>
          <w:tab/>
        </w:r>
        <w:r>
          <w:rPr>
            <w:noProof/>
            <w:webHidden/>
          </w:rPr>
          <w:fldChar w:fldCharType="begin"/>
        </w:r>
        <w:r w:rsidR="003E4210">
          <w:rPr>
            <w:noProof/>
            <w:webHidden/>
          </w:rPr>
          <w:instrText xml:space="preserve"> PAGEREF _Toc259717624 \h </w:instrText>
        </w:r>
        <w:r>
          <w:rPr>
            <w:noProof/>
            <w:webHidden/>
          </w:rPr>
        </w:r>
        <w:r>
          <w:rPr>
            <w:noProof/>
            <w:webHidden/>
          </w:rPr>
          <w:fldChar w:fldCharType="separate"/>
        </w:r>
        <w:r w:rsidR="003E4210">
          <w:rPr>
            <w:noProof/>
            <w:webHidden/>
          </w:rPr>
          <w:t>105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5" w:history="1">
        <w:r w:rsidR="003E4210" w:rsidRPr="00816794">
          <w:rPr>
            <w:rStyle w:val="Hyperlink"/>
            <w:noProof/>
          </w:rPr>
          <w:t>Table 47 – TPA response frame body</w:t>
        </w:r>
        <w:r w:rsidR="003E4210">
          <w:rPr>
            <w:noProof/>
            <w:webHidden/>
          </w:rPr>
          <w:tab/>
        </w:r>
        <w:r>
          <w:rPr>
            <w:noProof/>
            <w:webHidden/>
          </w:rPr>
          <w:fldChar w:fldCharType="begin"/>
        </w:r>
        <w:r w:rsidR="003E4210">
          <w:rPr>
            <w:noProof/>
            <w:webHidden/>
          </w:rPr>
          <w:instrText xml:space="preserve"> PAGEREF _Toc259717625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6" w:history="1">
        <w:r w:rsidR="003E4210" w:rsidRPr="00816794">
          <w:rPr>
            <w:rStyle w:val="Hyperlink"/>
            <w:noProof/>
          </w:rPr>
          <w:t>Table 48 – TPA report frame body</w:t>
        </w:r>
        <w:r w:rsidR="003E4210">
          <w:rPr>
            <w:noProof/>
            <w:webHidden/>
          </w:rPr>
          <w:tab/>
        </w:r>
        <w:r>
          <w:rPr>
            <w:noProof/>
            <w:webHidden/>
          </w:rPr>
          <w:fldChar w:fldCharType="begin"/>
        </w:r>
        <w:r w:rsidR="003E4210">
          <w:rPr>
            <w:noProof/>
            <w:webHidden/>
          </w:rPr>
          <w:instrText xml:space="preserve"> PAGEREF _Toc259717626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7" w:history="1">
        <w:r w:rsidR="003E4210" w:rsidRPr="00816794">
          <w:rPr>
            <w:rStyle w:val="Hyperlink"/>
            <w:noProof/>
          </w:rPr>
          <w:t>Table 49 – ROC request frame body</w:t>
        </w:r>
        <w:r w:rsidR="003E4210">
          <w:rPr>
            <w:noProof/>
            <w:webHidden/>
          </w:rPr>
          <w:tab/>
        </w:r>
        <w:r>
          <w:rPr>
            <w:noProof/>
            <w:webHidden/>
          </w:rPr>
          <w:fldChar w:fldCharType="begin"/>
        </w:r>
        <w:r w:rsidR="003E4210">
          <w:rPr>
            <w:noProof/>
            <w:webHidden/>
          </w:rPr>
          <w:instrText xml:space="preserve"> PAGEREF _Toc259717627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8" w:history="1">
        <w:r w:rsidR="003E4210" w:rsidRPr="00816794">
          <w:rPr>
            <w:rStyle w:val="Hyperlink"/>
            <w:noProof/>
          </w:rPr>
          <w:t>Table 50 – ROC response frame body</w:t>
        </w:r>
        <w:r w:rsidR="003E4210">
          <w:rPr>
            <w:noProof/>
            <w:webHidden/>
          </w:rPr>
          <w:tab/>
        </w:r>
        <w:r>
          <w:rPr>
            <w:noProof/>
            <w:webHidden/>
          </w:rPr>
          <w:fldChar w:fldCharType="begin"/>
        </w:r>
        <w:r w:rsidR="003E4210">
          <w:rPr>
            <w:noProof/>
            <w:webHidden/>
          </w:rPr>
          <w:instrText xml:space="preserve"> PAGEREF _Toc259717628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29" w:history="1">
        <w:r w:rsidR="003E4210" w:rsidRPr="00816794">
          <w:rPr>
            <w:rStyle w:val="Hyperlink"/>
            <w:noProof/>
          </w:rPr>
          <w:t>Table 51 – FST Action field values</w:t>
        </w:r>
        <w:r w:rsidR="003E4210">
          <w:rPr>
            <w:noProof/>
            <w:webHidden/>
          </w:rPr>
          <w:tab/>
        </w:r>
        <w:r>
          <w:rPr>
            <w:noProof/>
            <w:webHidden/>
          </w:rPr>
          <w:fldChar w:fldCharType="begin"/>
        </w:r>
        <w:r w:rsidR="003E4210">
          <w:rPr>
            <w:noProof/>
            <w:webHidden/>
          </w:rPr>
          <w:instrText xml:space="preserve"> PAGEREF _Toc259717629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0" w:history="1">
        <w:r w:rsidR="003E4210" w:rsidRPr="00816794">
          <w:rPr>
            <w:rStyle w:val="Hyperlink"/>
            <w:noProof/>
          </w:rPr>
          <w:t>Table 52 – FST Setup Request frame</w:t>
        </w:r>
        <w:r w:rsidR="003E4210">
          <w:rPr>
            <w:noProof/>
            <w:webHidden/>
          </w:rPr>
          <w:tab/>
        </w:r>
        <w:r>
          <w:rPr>
            <w:noProof/>
            <w:webHidden/>
          </w:rPr>
          <w:fldChar w:fldCharType="begin"/>
        </w:r>
        <w:r w:rsidR="003E4210">
          <w:rPr>
            <w:noProof/>
            <w:webHidden/>
          </w:rPr>
          <w:instrText xml:space="preserve"> PAGEREF _Toc259717630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1" w:history="1">
        <w:r w:rsidR="003E4210" w:rsidRPr="00816794">
          <w:rPr>
            <w:rStyle w:val="Hyperlink"/>
            <w:noProof/>
          </w:rPr>
          <w:t>Table 53 – FST Setup Response frame</w:t>
        </w:r>
        <w:r w:rsidR="003E4210">
          <w:rPr>
            <w:noProof/>
            <w:webHidden/>
          </w:rPr>
          <w:tab/>
        </w:r>
        <w:r>
          <w:rPr>
            <w:noProof/>
            <w:webHidden/>
          </w:rPr>
          <w:fldChar w:fldCharType="begin"/>
        </w:r>
        <w:r w:rsidR="003E4210">
          <w:rPr>
            <w:noProof/>
            <w:webHidden/>
          </w:rPr>
          <w:instrText xml:space="preserve"> PAGEREF _Toc259717631 \h </w:instrText>
        </w:r>
        <w:r>
          <w:rPr>
            <w:noProof/>
            <w:webHidden/>
          </w:rPr>
        </w:r>
        <w:r>
          <w:rPr>
            <w:noProof/>
            <w:webHidden/>
          </w:rPr>
          <w:fldChar w:fldCharType="separate"/>
        </w:r>
        <w:r w:rsidR="003E4210">
          <w:rPr>
            <w:noProof/>
            <w:webHidden/>
          </w:rPr>
          <w:t>109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2" w:history="1">
        <w:r w:rsidR="003E4210" w:rsidRPr="00816794">
          <w:rPr>
            <w:rStyle w:val="Hyperlink"/>
            <w:noProof/>
          </w:rPr>
          <w:t>Table 54 – FST Tear down frame</w:t>
        </w:r>
        <w:r w:rsidR="003E4210">
          <w:rPr>
            <w:noProof/>
            <w:webHidden/>
          </w:rPr>
          <w:tab/>
        </w:r>
        <w:r>
          <w:rPr>
            <w:noProof/>
            <w:webHidden/>
          </w:rPr>
          <w:fldChar w:fldCharType="begin"/>
        </w:r>
        <w:r w:rsidR="003E4210">
          <w:rPr>
            <w:noProof/>
            <w:webHidden/>
          </w:rPr>
          <w:instrText xml:space="preserve"> PAGEREF _Toc259717632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3" w:history="1">
        <w:r w:rsidR="003E4210" w:rsidRPr="00816794">
          <w:rPr>
            <w:rStyle w:val="Hyperlink"/>
            <w:noProof/>
          </w:rPr>
          <w:t>Table 55 – FST Ack Request frame</w:t>
        </w:r>
        <w:r w:rsidR="003E4210">
          <w:rPr>
            <w:noProof/>
            <w:webHidden/>
          </w:rPr>
          <w:tab/>
        </w:r>
        <w:r>
          <w:rPr>
            <w:noProof/>
            <w:webHidden/>
          </w:rPr>
          <w:fldChar w:fldCharType="begin"/>
        </w:r>
        <w:r w:rsidR="003E4210">
          <w:rPr>
            <w:noProof/>
            <w:webHidden/>
          </w:rPr>
          <w:instrText xml:space="preserve"> PAGEREF _Toc259717633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4" w:history="1">
        <w:r w:rsidR="003E4210" w:rsidRPr="00816794">
          <w:rPr>
            <w:rStyle w:val="Hyperlink"/>
            <w:noProof/>
          </w:rPr>
          <w:t>Table 56 – FST Ack Response frame</w:t>
        </w:r>
        <w:r w:rsidR="003E4210">
          <w:rPr>
            <w:noProof/>
            <w:webHidden/>
          </w:rPr>
          <w:tab/>
        </w:r>
        <w:r>
          <w:rPr>
            <w:noProof/>
            <w:webHidden/>
          </w:rPr>
          <w:fldChar w:fldCharType="begin"/>
        </w:r>
        <w:r w:rsidR="003E4210">
          <w:rPr>
            <w:noProof/>
            <w:webHidden/>
          </w:rPr>
          <w:instrText xml:space="preserve"> PAGEREF _Toc259717634 \h </w:instrText>
        </w:r>
        <w:r>
          <w:rPr>
            <w:noProof/>
            <w:webHidden/>
          </w:rPr>
        </w:r>
        <w:r>
          <w:rPr>
            <w:noProof/>
            <w:webHidden/>
          </w:rPr>
          <w:fldChar w:fldCharType="separate"/>
        </w:r>
        <w:r w:rsidR="003E4210">
          <w:rPr>
            <w:noProof/>
            <w:webHidden/>
          </w:rPr>
          <w:t>111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5" w:history="1">
        <w:r w:rsidR="003E4210" w:rsidRPr="00816794">
          <w:rPr>
            <w:rStyle w:val="Hyperlink"/>
            <w:noProof/>
          </w:rPr>
          <w:t>Table 57 – MPDU Delimiter fields mmWave A-MPDU</w:t>
        </w:r>
        <w:r w:rsidR="003E4210">
          <w:rPr>
            <w:noProof/>
            <w:webHidden/>
          </w:rPr>
          <w:tab/>
        </w:r>
        <w:r>
          <w:rPr>
            <w:noProof/>
            <w:webHidden/>
          </w:rPr>
          <w:fldChar w:fldCharType="begin"/>
        </w:r>
        <w:r w:rsidR="003E4210">
          <w:rPr>
            <w:noProof/>
            <w:webHidden/>
          </w:rPr>
          <w:instrText xml:space="preserve"> PAGEREF _Toc259717635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6" w:history="1">
        <w:r w:rsidR="003E4210" w:rsidRPr="00816794">
          <w:rPr>
            <w:rStyle w:val="Hyperlink"/>
            <w:noProof/>
          </w:rPr>
          <w:t>Table 58 – Beam Refinement packet type following a TXSS</w:t>
        </w:r>
        <w:r w:rsidR="003E4210">
          <w:rPr>
            <w:noProof/>
            <w:webHidden/>
          </w:rPr>
          <w:tab/>
        </w:r>
        <w:r>
          <w:rPr>
            <w:noProof/>
            <w:webHidden/>
          </w:rPr>
          <w:fldChar w:fldCharType="begin"/>
        </w:r>
        <w:r w:rsidR="003E4210">
          <w:rPr>
            <w:noProof/>
            <w:webHidden/>
          </w:rPr>
          <w:instrText xml:space="preserve"> PAGEREF _Toc259717636 \h </w:instrText>
        </w:r>
        <w:r>
          <w:rPr>
            <w:noProof/>
            <w:webHidden/>
          </w:rPr>
        </w:r>
        <w:r>
          <w:rPr>
            <w:noProof/>
            <w:webHidden/>
          </w:rPr>
          <w:fldChar w:fldCharType="separate"/>
        </w:r>
        <w:r w:rsidR="003E4210">
          <w:rPr>
            <w:noProof/>
            <w:webHidden/>
          </w:rPr>
          <w:t>205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7" w:history="1">
        <w:r w:rsidR="003E4210" w:rsidRPr="00816794">
          <w:rPr>
            <w:rStyle w:val="Hyperlink"/>
            <w:noProof/>
          </w:rPr>
          <w:t>Table 59 – Beam refinement packet type following an RXSS</w:t>
        </w:r>
        <w:r w:rsidR="003E4210">
          <w:rPr>
            <w:noProof/>
            <w:webHidden/>
          </w:rPr>
          <w:tab/>
        </w:r>
        <w:r>
          <w:rPr>
            <w:noProof/>
            <w:webHidden/>
          </w:rPr>
          <w:fldChar w:fldCharType="begin"/>
        </w:r>
        <w:r w:rsidR="003E4210">
          <w:rPr>
            <w:noProof/>
            <w:webHidden/>
          </w:rPr>
          <w:instrText xml:space="preserve"> PAGEREF _Toc259717637 \h </w:instrText>
        </w:r>
        <w:r>
          <w:rPr>
            <w:noProof/>
            <w:webHidden/>
          </w:rPr>
        </w:r>
        <w:r>
          <w:rPr>
            <w:noProof/>
            <w:webHidden/>
          </w:rPr>
          <w:fldChar w:fldCharType="separate"/>
        </w:r>
        <w:r w:rsidR="003E4210">
          <w:rPr>
            <w:noProof/>
            <w:webHidden/>
          </w:rPr>
          <w:t>205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8" w:history="1">
        <w:r w:rsidR="003E4210" w:rsidRPr="00816794">
          <w:rPr>
            <w:rStyle w:val="Hyperlink"/>
            <w:noProof/>
          </w:rPr>
          <w:t>Table 60 – Power management states for an Awake BI</w:t>
        </w:r>
        <w:r w:rsidR="003E4210">
          <w:rPr>
            <w:noProof/>
            <w:webHidden/>
          </w:rPr>
          <w:tab/>
        </w:r>
        <w:r>
          <w:rPr>
            <w:noProof/>
            <w:webHidden/>
          </w:rPr>
          <w:fldChar w:fldCharType="begin"/>
        </w:r>
        <w:r w:rsidR="003E4210">
          <w:rPr>
            <w:noProof/>
            <w:webHidden/>
          </w:rPr>
          <w:instrText xml:space="preserve"> PAGEREF _Toc259717638 \h </w:instrText>
        </w:r>
        <w:r>
          <w:rPr>
            <w:noProof/>
            <w:webHidden/>
          </w:rPr>
        </w:r>
        <w:r>
          <w:rPr>
            <w:noProof/>
            <w:webHidden/>
          </w:rPr>
          <w:fldChar w:fldCharType="separate"/>
        </w:r>
        <w:r w:rsidR="003E4210">
          <w:rPr>
            <w:noProof/>
            <w:webHidden/>
          </w:rPr>
          <w:t>228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39" w:history="1">
        <w:r w:rsidR="003E4210" w:rsidRPr="00816794">
          <w:rPr>
            <w:rStyle w:val="Hyperlink"/>
            <w:noProof/>
          </w:rPr>
          <w:t>Table 61 – Exceptions for the initiator</w:t>
        </w:r>
        <w:r w:rsidR="003E4210">
          <w:rPr>
            <w:noProof/>
            <w:webHidden/>
          </w:rPr>
          <w:tab/>
        </w:r>
        <w:r>
          <w:rPr>
            <w:noProof/>
            <w:webHidden/>
          </w:rPr>
          <w:fldChar w:fldCharType="begin"/>
        </w:r>
        <w:r w:rsidR="003E4210">
          <w:rPr>
            <w:noProof/>
            <w:webHidden/>
          </w:rPr>
          <w:instrText xml:space="preserve"> PAGEREF _Toc259717639 \h </w:instrText>
        </w:r>
        <w:r>
          <w:rPr>
            <w:noProof/>
            <w:webHidden/>
          </w:rPr>
        </w:r>
        <w:r>
          <w:rPr>
            <w:noProof/>
            <w:webHidden/>
          </w:rPr>
          <w:fldChar w:fldCharType="separate"/>
        </w:r>
        <w:r w:rsidR="003E4210">
          <w:rPr>
            <w:noProof/>
            <w:webHidden/>
          </w:rPr>
          <w:t>266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0" w:history="1">
        <w:r w:rsidR="003E4210" w:rsidRPr="00816794">
          <w:rPr>
            <w:rStyle w:val="Hyperlink"/>
            <w:noProof/>
          </w:rPr>
          <w:t>Table 62 – FST status at state transition</w:t>
        </w:r>
        <w:r w:rsidR="003E4210">
          <w:rPr>
            <w:noProof/>
            <w:webHidden/>
          </w:rPr>
          <w:tab/>
        </w:r>
        <w:r>
          <w:rPr>
            <w:noProof/>
            <w:webHidden/>
          </w:rPr>
          <w:fldChar w:fldCharType="begin"/>
        </w:r>
        <w:r w:rsidR="003E4210">
          <w:rPr>
            <w:noProof/>
            <w:webHidden/>
          </w:rPr>
          <w:instrText xml:space="preserve"> PAGEREF _Toc259717640 \h </w:instrText>
        </w:r>
        <w:r>
          <w:rPr>
            <w:noProof/>
            <w:webHidden/>
          </w:rPr>
        </w:r>
        <w:r>
          <w:rPr>
            <w:noProof/>
            <w:webHidden/>
          </w:rPr>
          <w:fldChar w:fldCharType="separate"/>
        </w:r>
        <w:r w:rsidR="003E4210">
          <w:rPr>
            <w:noProof/>
            <w:webHidden/>
          </w:rPr>
          <w:t>268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1" w:history="1">
        <w:r w:rsidR="003E4210" w:rsidRPr="00816794">
          <w:rPr>
            <w:rStyle w:val="Hyperlink"/>
            <w:noProof/>
          </w:rPr>
          <w:t>Table 63 – MAC sublayer parameters</w:t>
        </w:r>
        <w:r w:rsidR="003E4210">
          <w:rPr>
            <w:noProof/>
            <w:webHidden/>
          </w:rPr>
          <w:tab/>
        </w:r>
        <w:r>
          <w:rPr>
            <w:noProof/>
            <w:webHidden/>
          </w:rPr>
          <w:fldChar w:fldCharType="begin"/>
        </w:r>
        <w:r w:rsidR="003E4210">
          <w:rPr>
            <w:noProof/>
            <w:webHidden/>
          </w:rPr>
          <w:instrText xml:space="preserve"> PAGEREF _Toc259717641 \h </w:instrText>
        </w:r>
        <w:r>
          <w:rPr>
            <w:noProof/>
            <w:webHidden/>
          </w:rPr>
        </w:r>
        <w:r>
          <w:rPr>
            <w:noProof/>
            <w:webHidden/>
          </w:rPr>
          <w:fldChar w:fldCharType="separate"/>
        </w:r>
        <w:r w:rsidR="003E4210">
          <w:rPr>
            <w:noProof/>
            <w:webHidden/>
          </w:rPr>
          <w:t>272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2" w:history="1">
        <w:r w:rsidR="003E4210" w:rsidRPr="00816794">
          <w:rPr>
            <w:rStyle w:val="Hyperlink"/>
            <w:noProof/>
          </w:rPr>
          <w:t>Table 64 – TXVECTOR and RXVECTOR parameters</w:t>
        </w:r>
        <w:r w:rsidR="003E4210">
          <w:rPr>
            <w:noProof/>
            <w:webHidden/>
          </w:rPr>
          <w:tab/>
        </w:r>
        <w:r>
          <w:rPr>
            <w:noProof/>
            <w:webHidden/>
          </w:rPr>
          <w:fldChar w:fldCharType="begin"/>
        </w:r>
        <w:r w:rsidR="003E4210">
          <w:rPr>
            <w:noProof/>
            <w:webHidden/>
          </w:rPr>
          <w:instrText xml:space="preserve"> PAGEREF _Toc259717642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3" w:history="1">
        <w:r w:rsidR="003E4210" w:rsidRPr="00816794">
          <w:rPr>
            <w:rStyle w:val="Hyperlink"/>
            <w:noProof/>
          </w:rPr>
          <w:t>Table 65 – TXSTATUS parameters</w:t>
        </w:r>
        <w:r w:rsidR="003E4210">
          <w:rPr>
            <w:noProof/>
            <w:webHidden/>
          </w:rPr>
          <w:tab/>
        </w:r>
        <w:r>
          <w:rPr>
            <w:noProof/>
            <w:webHidden/>
          </w:rPr>
          <w:fldChar w:fldCharType="begin"/>
        </w:r>
        <w:r w:rsidR="003E4210">
          <w:rPr>
            <w:noProof/>
            <w:webHidden/>
          </w:rPr>
          <w:instrText xml:space="preserve"> PAGEREF _Toc259717643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4" w:history="1">
        <w:r w:rsidR="003E4210" w:rsidRPr="00816794">
          <w:rPr>
            <w:rStyle w:val="Hyperlink"/>
            <w:noProof/>
          </w:rPr>
          <w:t>Table 66 – Receiver Sensitiviy</w:t>
        </w:r>
        <w:r w:rsidR="003E4210">
          <w:rPr>
            <w:noProof/>
            <w:webHidden/>
          </w:rPr>
          <w:tab/>
        </w:r>
        <w:r>
          <w:rPr>
            <w:noProof/>
            <w:webHidden/>
          </w:rPr>
          <w:fldChar w:fldCharType="begin"/>
        </w:r>
        <w:r w:rsidR="003E4210">
          <w:rPr>
            <w:noProof/>
            <w:webHidden/>
          </w:rPr>
          <w:instrText xml:space="preserve"> PAGEREF _Toc259717644 \h </w:instrText>
        </w:r>
        <w:r>
          <w:rPr>
            <w:noProof/>
            <w:webHidden/>
          </w:rPr>
        </w:r>
        <w:r>
          <w:rPr>
            <w:noProof/>
            <w:webHidden/>
          </w:rPr>
          <w:fldChar w:fldCharType="separate"/>
        </w:r>
        <w:r w:rsidR="003E4210">
          <w:rPr>
            <w:noProof/>
            <w:webHidden/>
          </w:rPr>
          <w:t>291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5" w:history="1">
        <w:r w:rsidR="003E4210" w:rsidRPr="00816794">
          <w:rPr>
            <w:rStyle w:val="Hyperlink"/>
            <w:noProof/>
          </w:rPr>
          <w:t xml:space="preserve">Table 67 </w:t>
        </w:r>
        <w:r w:rsidR="003E4210" w:rsidRPr="00816794">
          <w:rPr>
            <w:rStyle w:val="Hyperlink"/>
            <w:rFonts w:cs="Arial"/>
            <w:noProof/>
          </w:rPr>
          <w:t>– Timing Related Parameters</w:t>
        </w:r>
        <w:r w:rsidR="003E4210">
          <w:rPr>
            <w:noProof/>
            <w:webHidden/>
          </w:rPr>
          <w:tab/>
        </w:r>
        <w:r>
          <w:rPr>
            <w:noProof/>
            <w:webHidden/>
          </w:rPr>
          <w:fldChar w:fldCharType="begin"/>
        </w:r>
        <w:r w:rsidR="003E4210">
          <w:rPr>
            <w:noProof/>
            <w:webHidden/>
          </w:rPr>
          <w:instrText xml:space="preserve"> PAGEREF _Toc259717645 \h </w:instrText>
        </w:r>
        <w:r>
          <w:rPr>
            <w:noProof/>
            <w:webHidden/>
          </w:rPr>
        </w:r>
        <w:r>
          <w:rPr>
            <w:noProof/>
            <w:webHidden/>
          </w:rPr>
          <w:fldChar w:fldCharType="separate"/>
        </w:r>
        <w:r w:rsidR="003E4210">
          <w:rPr>
            <w:noProof/>
            <w:webHidden/>
          </w:rPr>
          <w:t>292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6" w:history="1">
        <w:r w:rsidR="003E4210" w:rsidRPr="00816794">
          <w:rPr>
            <w:rStyle w:val="Hyperlink"/>
            <w:noProof/>
          </w:rPr>
          <w:t>Table 68 – Frequently used parameters</w:t>
        </w:r>
        <w:r w:rsidR="003E4210">
          <w:rPr>
            <w:noProof/>
            <w:webHidden/>
          </w:rPr>
          <w:tab/>
        </w:r>
        <w:r>
          <w:rPr>
            <w:noProof/>
            <w:webHidden/>
          </w:rPr>
          <w:fldChar w:fldCharType="begin"/>
        </w:r>
        <w:r w:rsidR="003E4210">
          <w:rPr>
            <w:noProof/>
            <w:webHidden/>
          </w:rPr>
          <w:instrText xml:space="preserve"> PAGEREF _Toc259717646 \h </w:instrText>
        </w:r>
        <w:r>
          <w:rPr>
            <w:noProof/>
            <w:webHidden/>
          </w:rPr>
        </w:r>
        <w:r>
          <w:rPr>
            <w:noProof/>
            <w:webHidden/>
          </w:rPr>
          <w:fldChar w:fldCharType="separate"/>
        </w:r>
        <w:r w:rsidR="003E4210">
          <w:rPr>
            <w:noProof/>
            <w:webHidden/>
          </w:rPr>
          <w:t>292</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7" w:history="1">
        <w:r w:rsidR="003E4210" w:rsidRPr="00816794">
          <w:rPr>
            <w:rStyle w:val="Hyperlink"/>
            <w:noProof/>
            <w:lang w:val="fr-FR"/>
          </w:rPr>
          <w:t>Table 69 – Rate 1/2 LDPC code matrix</w:t>
        </w:r>
        <w:r w:rsidR="003E4210">
          <w:rPr>
            <w:noProof/>
            <w:webHidden/>
          </w:rPr>
          <w:tab/>
        </w:r>
        <w:r>
          <w:rPr>
            <w:noProof/>
            <w:webHidden/>
          </w:rPr>
          <w:fldChar w:fldCharType="begin"/>
        </w:r>
        <w:r w:rsidR="003E4210">
          <w:rPr>
            <w:noProof/>
            <w:webHidden/>
          </w:rPr>
          <w:instrText xml:space="preserve"> PAGEREF _Toc259717647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8" w:history="1">
        <w:r w:rsidR="003E4210" w:rsidRPr="00816794">
          <w:rPr>
            <w:rStyle w:val="Hyperlink"/>
            <w:noProof/>
            <w:lang w:val="fr-FR"/>
          </w:rPr>
          <w:t>Table 70 – Rate 5/8 LDPC code matrix</w:t>
        </w:r>
        <w:r w:rsidR="003E4210">
          <w:rPr>
            <w:noProof/>
            <w:webHidden/>
          </w:rPr>
          <w:tab/>
        </w:r>
        <w:r>
          <w:rPr>
            <w:noProof/>
            <w:webHidden/>
          </w:rPr>
          <w:fldChar w:fldCharType="begin"/>
        </w:r>
        <w:r w:rsidR="003E4210">
          <w:rPr>
            <w:noProof/>
            <w:webHidden/>
          </w:rPr>
          <w:instrText xml:space="preserve"> PAGEREF _Toc259717648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49" w:history="1">
        <w:r w:rsidR="003E4210" w:rsidRPr="00816794">
          <w:rPr>
            <w:rStyle w:val="Hyperlink"/>
            <w:noProof/>
            <w:lang w:val="fr-FR"/>
          </w:rPr>
          <w:t>Table 71 – Rate 3/4 LPDC code matrix</w:t>
        </w:r>
        <w:r w:rsidR="003E4210">
          <w:rPr>
            <w:noProof/>
            <w:webHidden/>
          </w:rPr>
          <w:tab/>
        </w:r>
        <w:r>
          <w:rPr>
            <w:noProof/>
            <w:webHidden/>
          </w:rPr>
          <w:fldChar w:fldCharType="begin"/>
        </w:r>
        <w:r w:rsidR="003E4210">
          <w:rPr>
            <w:noProof/>
            <w:webHidden/>
          </w:rPr>
          <w:instrText xml:space="preserve"> PAGEREF _Toc259717649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0" w:history="1">
        <w:r w:rsidR="003E4210" w:rsidRPr="00816794">
          <w:rPr>
            <w:rStyle w:val="Hyperlink"/>
            <w:noProof/>
            <w:lang w:val="fr-FR"/>
          </w:rPr>
          <w:t>Table 72 – Rate 13/16 LDPC code matrix</w:t>
        </w:r>
        <w:r w:rsidR="003E4210">
          <w:rPr>
            <w:noProof/>
            <w:webHidden/>
          </w:rPr>
          <w:tab/>
        </w:r>
        <w:r>
          <w:rPr>
            <w:noProof/>
            <w:webHidden/>
          </w:rPr>
          <w:fldChar w:fldCharType="begin"/>
        </w:r>
        <w:r w:rsidR="003E4210">
          <w:rPr>
            <w:noProof/>
            <w:webHidden/>
          </w:rPr>
          <w:instrText xml:space="preserve"> PAGEREF _Toc259717650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1" w:history="1">
        <w:r w:rsidR="003E4210" w:rsidRPr="00816794">
          <w:rPr>
            <w:rStyle w:val="Hyperlink"/>
            <w:noProof/>
          </w:rPr>
          <w:t>Table 73 – Control PHY header fields</w:t>
        </w:r>
        <w:r w:rsidR="003E4210">
          <w:rPr>
            <w:noProof/>
            <w:webHidden/>
          </w:rPr>
          <w:tab/>
        </w:r>
        <w:r>
          <w:rPr>
            <w:noProof/>
            <w:webHidden/>
          </w:rPr>
          <w:fldChar w:fldCharType="begin"/>
        </w:r>
        <w:r w:rsidR="003E4210">
          <w:rPr>
            <w:noProof/>
            <w:webHidden/>
          </w:rPr>
          <w:instrText xml:space="preserve"> PAGEREF _Toc259717651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2" w:history="1">
        <w:r w:rsidR="003E4210" w:rsidRPr="00816794">
          <w:rPr>
            <w:rStyle w:val="Hyperlink"/>
            <w:noProof/>
          </w:rPr>
          <w:t>Table 74 – EVM requirement for control PHY</w:t>
        </w:r>
        <w:r w:rsidR="003E4210">
          <w:rPr>
            <w:noProof/>
            <w:webHidden/>
          </w:rPr>
          <w:tab/>
        </w:r>
        <w:r>
          <w:rPr>
            <w:noProof/>
            <w:webHidden/>
          </w:rPr>
          <w:fldChar w:fldCharType="begin"/>
        </w:r>
        <w:r w:rsidR="003E4210">
          <w:rPr>
            <w:noProof/>
            <w:webHidden/>
          </w:rPr>
          <w:instrText xml:space="preserve"> PAGEREF _Toc259717652 \h </w:instrText>
        </w:r>
        <w:r>
          <w:rPr>
            <w:noProof/>
            <w:webHidden/>
          </w:rPr>
        </w:r>
        <w:r>
          <w:rPr>
            <w:noProof/>
            <w:webHidden/>
          </w:rPr>
          <w:fldChar w:fldCharType="separate"/>
        </w:r>
        <w:r w:rsidR="003E4210">
          <w:rPr>
            <w:noProof/>
            <w:webHidden/>
          </w:rPr>
          <w:t>304</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3" w:history="1">
        <w:r w:rsidR="003E4210" w:rsidRPr="00816794">
          <w:rPr>
            <w:rStyle w:val="Hyperlink"/>
            <w:noProof/>
          </w:rPr>
          <w:t>Table 75 – Header fields</w:t>
        </w:r>
        <w:r w:rsidR="003E4210">
          <w:rPr>
            <w:noProof/>
            <w:webHidden/>
          </w:rPr>
          <w:tab/>
        </w:r>
        <w:r>
          <w:rPr>
            <w:noProof/>
            <w:webHidden/>
          </w:rPr>
          <w:fldChar w:fldCharType="begin"/>
        </w:r>
        <w:r w:rsidR="003E4210">
          <w:rPr>
            <w:noProof/>
            <w:webHidden/>
          </w:rPr>
          <w:instrText xml:space="preserve"> PAGEREF _Toc259717653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4" w:history="1">
        <w:r w:rsidR="003E4210" w:rsidRPr="00816794">
          <w:rPr>
            <w:rStyle w:val="Hyperlink"/>
            <w:noProof/>
          </w:rPr>
          <w:t>Table 76 – Modulation and Coding Scheme for OFDM</w:t>
        </w:r>
        <w:r w:rsidR="003E4210">
          <w:rPr>
            <w:noProof/>
            <w:webHidden/>
          </w:rPr>
          <w:tab/>
        </w:r>
        <w:r>
          <w:rPr>
            <w:noProof/>
            <w:webHidden/>
          </w:rPr>
          <w:fldChar w:fldCharType="begin"/>
        </w:r>
        <w:r w:rsidR="003E4210">
          <w:rPr>
            <w:noProof/>
            <w:webHidden/>
          </w:rPr>
          <w:instrText xml:space="preserve"> PAGEREF _Toc259717654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5" w:history="1">
        <w:r w:rsidR="003E4210" w:rsidRPr="00816794">
          <w:rPr>
            <w:rStyle w:val="Hyperlink"/>
            <w:noProof/>
          </w:rPr>
          <w:t>Table 77 – LDPC code rates</w:t>
        </w:r>
        <w:r w:rsidR="003E4210">
          <w:rPr>
            <w:noProof/>
            <w:webHidden/>
          </w:rPr>
          <w:tab/>
        </w:r>
        <w:r>
          <w:rPr>
            <w:noProof/>
            <w:webHidden/>
          </w:rPr>
          <w:fldChar w:fldCharType="begin"/>
        </w:r>
        <w:r w:rsidR="003E4210">
          <w:rPr>
            <w:noProof/>
            <w:webHidden/>
          </w:rPr>
          <w:instrText xml:space="preserve"> PAGEREF _Toc259717655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6" w:history="1">
        <w:r w:rsidR="003E4210" w:rsidRPr="00816794">
          <w:rPr>
            <w:rStyle w:val="Hyperlink"/>
            <w:noProof/>
          </w:rPr>
          <w:t>Table 78 – Header fields</w:t>
        </w:r>
        <w:r w:rsidR="003E4210">
          <w:rPr>
            <w:noProof/>
            <w:webHidden/>
          </w:rPr>
          <w:tab/>
        </w:r>
        <w:r>
          <w:rPr>
            <w:noProof/>
            <w:webHidden/>
          </w:rPr>
          <w:fldChar w:fldCharType="begin"/>
        </w:r>
        <w:r w:rsidR="003E4210">
          <w:rPr>
            <w:noProof/>
            <w:webHidden/>
          </w:rPr>
          <w:instrText xml:space="preserve"> PAGEREF _Toc259717656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7" w:history="1">
        <w:r w:rsidR="003E4210" w:rsidRPr="00816794">
          <w:rPr>
            <w:rStyle w:val="Hyperlink"/>
            <w:noProof/>
          </w:rPr>
          <w:t>Table 79 – Modulation and Coding Scheme for SC</w:t>
        </w:r>
        <w:r w:rsidR="003E4210">
          <w:rPr>
            <w:noProof/>
            <w:webHidden/>
          </w:rPr>
          <w:tab/>
        </w:r>
        <w:r>
          <w:rPr>
            <w:noProof/>
            <w:webHidden/>
          </w:rPr>
          <w:fldChar w:fldCharType="begin"/>
        </w:r>
        <w:r w:rsidR="003E4210">
          <w:rPr>
            <w:noProof/>
            <w:webHidden/>
          </w:rPr>
          <w:instrText xml:space="preserve"> PAGEREF _Toc259717657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8" w:history="1">
        <w:r w:rsidR="003E4210" w:rsidRPr="00816794">
          <w:rPr>
            <w:rStyle w:val="Hyperlink"/>
            <w:noProof/>
          </w:rPr>
          <w:t>Table 80 – LDPC code rates</w:t>
        </w:r>
        <w:r w:rsidR="003E4210">
          <w:rPr>
            <w:noProof/>
            <w:webHidden/>
          </w:rPr>
          <w:tab/>
        </w:r>
        <w:r>
          <w:rPr>
            <w:noProof/>
            <w:webHidden/>
          </w:rPr>
          <w:fldChar w:fldCharType="begin"/>
        </w:r>
        <w:r w:rsidR="003E4210">
          <w:rPr>
            <w:noProof/>
            <w:webHidden/>
          </w:rPr>
          <w:instrText xml:space="preserve"> PAGEREF _Toc259717658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59" w:history="1">
        <w:r w:rsidR="003E4210" w:rsidRPr="00816794">
          <w:rPr>
            <w:rStyle w:val="Hyperlink"/>
            <w:noProof/>
          </w:rPr>
          <w:t>Table 81 – Values of N</w:t>
        </w:r>
        <w:r w:rsidR="003E4210" w:rsidRPr="00816794">
          <w:rPr>
            <w:rStyle w:val="Hyperlink"/>
            <w:noProof/>
            <w:vertAlign w:val="subscript"/>
          </w:rPr>
          <w:t>CBPB</w:t>
        </w:r>
        <w:r w:rsidR="003E4210">
          <w:rPr>
            <w:noProof/>
            <w:webHidden/>
          </w:rPr>
          <w:tab/>
        </w:r>
        <w:r>
          <w:rPr>
            <w:noProof/>
            <w:webHidden/>
          </w:rPr>
          <w:fldChar w:fldCharType="begin"/>
        </w:r>
        <w:r w:rsidR="003E4210">
          <w:rPr>
            <w:noProof/>
            <w:webHidden/>
          </w:rPr>
          <w:instrText xml:space="preserve"> PAGEREF _Toc259717659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60" w:history="1">
        <w:r w:rsidR="003E4210" w:rsidRPr="00816794">
          <w:rPr>
            <w:rStyle w:val="Hyperlink"/>
            <w:noProof/>
          </w:rPr>
          <w:t>Table 82 – Low power SC Modualtion and Coding Schemes</w:t>
        </w:r>
        <w:r w:rsidR="003E4210">
          <w:rPr>
            <w:noProof/>
            <w:webHidden/>
          </w:rPr>
          <w:tab/>
        </w:r>
        <w:r>
          <w:rPr>
            <w:noProof/>
            <w:webHidden/>
          </w:rPr>
          <w:fldChar w:fldCharType="begin"/>
        </w:r>
        <w:r w:rsidR="003E4210">
          <w:rPr>
            <w:noProof/>
            <w:webHidden/>
          </w:rPr>
          <w:instrText xml:space="preserve"> PAGEREF _Toc259717660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61" w:history="1">
        <w:r w:rsidR="003E4210" w:rsidRPr="00816794">
          <w:rPr>
            <w:rStyle w:val="Hyperlink"/>
            <w:noProof/>
          </w:rPr>
          <w:t>Table 83 – The sequence Ga</w:t>
        </w:r>
        <w:r w:rsidR="003E4210" w:rsidRPr="00816794">
          <w:rPr>
            <w:rStyle w:val="Hyperlink"/>
            <w:noProof/>
            <w:vertAlign w:val="subscript"/>
          </w:rPr>
          <w:t>128</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_Toc259717661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62" w:history="1">
        <w:r w:rsidR="003E4210" w:rsidRPr="00816794">
          <w:rPr>
            <w:rStyle w:val="Hyperlink"/>
            <w:noProof/>
          </w:rPr>
          <w:t>Table 84 – The sequence Gb</w:t>
        </w:r>
        <w:r w:rsidR="003E4210" w:rsidRPr="00816794">
          <w:rPr>
            <w:rStyle w:val="Hyperlink"/>
            <w:noProof/>
            <w:vertAlign w:val="subscript"/>
          </w:rPr>
          <w:t>128</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_Toc259717662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63" w:history="1">
        <w:r w:rsidR="003E4210" w:rsidRPr="00816794">
          <w:rPr>
            <w:rStyle w:val="Hyperlink"/>
            <w:noProof/>
          </w:rPr>
          <w:t>Table 85 – The sequence Ga</w:t>
        </w:r>
        <w:r w:rsidR="003E4210" w:rsidRPr="00816794">
          <w:rPr>
            <w:rStyle w:val="Hyperlink"/>
            <w:noProof/>
            <w:vertAlign w:val="subscript"/>
          </w:rPr>
          <w:t>64</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_Toc259717663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64" w:history="1">
        <w:r w:rsidR="003E4210" w:rsidRPr="00816794">
          <w:rPr>
            <w:rStyle w:val="Hyperlink"/>
            <w:noProof/>
          </w:rPr>
          <w:t>Table 86 – The sequence Gb</w:t>
        </w:r>
        <w:r w:rsidR="003E4210" w:rsidRPr="00816794">
          <w:rPr>
            <w:rStyle w:val="Hyperlink"/>
            <w:noProof/>
            <w:vertAlign w:val="subscript"/>
          </w:rPr>
          <w:t>64</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_Toc259717664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65" w:history="1">
        <w:r w:rsidR="003E4210" w:rsidRPr="00816794">
          <w:rPr>
            <w:rStyle w:val="Hyperlink"/>
            <w:noProof/>
          </w:rPr>
          <w:t>Table 87 – The sequence Ga</w:t>
        </w:r>
        <w:r w:rsidR="003E4210" w:rsidRPr="00816794">
          <w:rPr>
            <w:rStyle w:val="Hyperlink"/>
            <w:noProof/>
            <w:vertAlign w:val="subscript"/>
          </w:rPr>
          <w:t>32</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_Toc259717665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66" w:history="1">
        <w:r w:rsidR="003E4210" w:rsidRPr="00816794">
          <w:rPr>
            <w:rStyle w:val="Hyperlink"/>
            <w:noProof/>
          </w:rPr>
          <w:t>Table 88 – The sequence Gb</w:t>
        </w:r>
        <w:r w:rsidR="003E4210" w:rsidRPr="00816794">
          <w:rPr>
            <w:rStyle w:val="Hyperlink"/>
            <w:noProof/>
            <w:vertAlign w:val="subscript"/>
          </w:rPr>
          <w:t>32</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_Toc259717666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67" w:history="1">
        <w:r w:rsidR="003E4210" w:rsidRPr="00816794">
          <w:rPr>
            <w:rStyle w:val="Hyperlink"/>
            <w:noProof/>
          </w:rPr>
          <w:t>Table 89 – mmWave PHY MIB attribute default values</w:t>
        </w:r>
        <w:r w:rsidR="003E4210">
          <w:rPr>
            <w:noProof/>
            <w:webHidden/>
          </w:rPr>
          <w:tab/>
        </w:r>
        <w:r>
          <w:rPr>
            <w:noProof/>
            <w:webHidden/>
          </w:rPr>
          <w:fldChar w:fldCharType="begin"/>
        </w:r>
        <w:r w:rsidR="003E4210">
          <w:rPr>
            <w:noProof/>
            <w:webHidden/>
          </w:rPr>
          <w:instrText xml:space="preserve"> PAGEREF _Toc259717667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BD151C">
      <w:pPr>
        <w:pStyle w:val="TableofFigures"/>
        <w:tabs>
          <w:tab w:val="right" w:leader="dot" w:pos="9890"/>
        </w:tabs>
        <w:rPr>
          <w:rFonts w:asciiTheme="minorHAnsi" w:eastAsiaTheme="minorEastAsia" w:hAnsiTheme="minorHAnsi" w:cstheme="minorBidi"/>
          <w:noProof/>
          <w:sz w:val="22"/>
          <w:szCs w:val="22"/>
        </w:rPr>
      </w:pPr>
      <w:hyperlink w:anchor="_Toc259717668" w:history="1">
        <w:r w:rsidR="003E4210" w:rsidRPr="00816794">
          <w:rPr>
            <w:rStyle w:val="Hyperlink"/>
            <w:noProof/>
          </w:rPr>
          <w:t>Table 90 – mmWave PHY Characteristics</w:t>
        </w:r>
        <w:r w:rsidR="003E4210">
          <w:rPr>
            <w:noProof/>
            <w:webHidden/>
          </w:rPr>
          <w:tab/>
        </w:r>
        <w:r>
          <w:rPr>
            <w:noProof/>
            <w:webHidden/>
          </w:rPr>
          <w:fldChar w:fldCharType="begin"/>
        </w:r>
        <w:r w:rsidR="003E4210">
          <w:rPr>
            <w:noProof/>
            <w:webHidden/>
          </w:rPr>
          <w:instrText xml:space="preserve"> PAGEREF _Toc259717668 \h </w:instrText>
        </w:r>
        <w:r>
          <w:rPr>
            <w:noProof/>
            <w:webHidden/>
          </w:rPr>
        </w:r>
        <w:r>
          <w:rPr>
            <w:noProof/>
            <w:webHidden/>
          </w:rPr>
          <w:fldChar w:fldCharType="separate"/>
        </w:r>
        <w:r w:rsidR="003E4210">
          <w:rPr>
            <w:noProof/>
            <w:webHidden/>
          </w:rPr>
          <w:t>331</w:t>
        </w:r>
        <w:r>
          <w:rPr>
            <w:noProof/>
            <w:webHidden/>
          </w:rPr>
          <w:fldChar w:fldCharType="end"/>
        </w:r>
      </w:hyperlink>
    </w:p>
    <w:p w:rsidR="008C36FC" w:rsidRPr="00617E00" w:rsidRDefault="00BD151C" w:rsidP="0055055E">
      <w:pPr>
        <w:rPr>
          <w:color w:val="000000"/>
        </w:rPr>
      </w:pPr>
      <w:r>
        <w:rPr>
          <w:rFonts w:eastAsia="MS Mincho"/>
          <w:color w:val="000000"/>
          <w:szCs w:val="20"/>
          <w:lang w:bidi="ar-SA"/>
        </w:rPr>
        <w:fldChar w:fldCharType="end"/>
      </w:r>
      <w:r w:rsidR="00523851" w:rsidRPr="00617E00">
        <w:rPr>
          <w:rFonts w:eastAsia="MS Mincho"/>
          <w:color w:val="000000"/>
        </w:rPr>
        <w:tab/>
      </w:r>
      <w:r w:rsidR="008C36FC" w:rsidRPr="00617E00">
        <w:rPr>
          <w:rFonts w:eastAsia="MS Mincho"/>
          <w:color w:val="000000"/>
        </w:rPr>
        <w:br w:type="page"/>
      </w:r>
    </w:p>
    <w:p w:rsidR="008C36FC" w:rsidRPr="00066F65" w:rsidRDefault="008C36FC" w:rsidP="003701DB">
      <w:pPr>
        <w:pStyle w:val="Heading1"/>
        <w:numPr>
          <w:ilvl w:val="0"/>
          <w:numId w:val="49"/>
        </w:numPr>
      </w:pPr>
      <w:bookmarkStart w:id="0" w:name="_Toc189075637"/>
      <w:bookmarkStart w:id="1" w:name="_Toc189076122"/>
      <w:bookmarkStart w:id="2" w:name="_Toc190153084"/>
      <w:bookmarkStart w:id="3" w:name="_Toc197515264"/>
      <w:bookmarkStart w:id="4" w:name="_Toc197517151"/>
      <w:bookmarkStart w:id="5" w:name="_Toc202073869"/>
      <w:bookmarkStart w:id="6" w:name="_Toc205016510"/>
      <w:bookmarkStart w:id="7" w:name="_Toc205121486"/>
      <w:bookmarkStart w:id="8" w:name="_Toc206227366"/>
      <w:bookmarkStart w:id="9" w:name="_Toc206415313"/>
      <w:bookmarkStart w:id="10" w:name="_Toc206418120"/>
      <w:bookmarkStart w:id="11" w:name="_Toc207098801"/>
      <w:bookmarkStart w:id="12" w:name="_Toc207099409"/>
      <w:bookmarkStart w:id="13" w:name="_Toc207099870"/>
      <w:bookmarkStart w:id="14" w:name="_Toc207100329"/>
      <w:bookmarkStart w:id="15" w:name="_Toc207348251"/>
      <w:bookmarkStart w:id="16" w:name="_Toc207611217"/>
      <w:bookmarkStart w:id="17" w:name="_Toc207611720"/>
      <w:bookmarkStart w:id="18" w:name="_Toc189075638"/>
      <w:bookmarkStart w:id="19" w:name="_Toc189076123"/>
      <w:bookmarkStart w:id="20" w:name="_Toc190153085"/>
      <w:bookmarkStart w:id="21" w:name="_Toc197515265"/>
      <w:bookmarkStart w:id="22" w:name="_Toc197517152"/>
      <w:bookmarkStart w:id="23" w:name="_Toc202073870"/>
      <w:bookmarkStart w:id="24" w:name="_Toc205016511"/>
      <w:bookmarkStart w:id="25" w:name="_Toc205121487"/>
      <w:bookmarkStart w:id="26" w:name="_Toc206227367"/>
      <w:bookmarkStart w:id="27" w:name="_Toc206415314"/>
      <w:bookmarkStart w:id="28" w:name="_Toc206418121"/>
      <w:bookmarkStart w:id="29" w:name="_Toc207098802"/>
      <w:bookmarkStart w:id="30" w:name="_Toc207099410"/>
      <w:bookmarkStart w:id="31" w:name="_Toc207099871"/>
      <w:bookmarkStart w:id="32" w:name="_Toc207100330"/>
      <w:bookmarkStart w:id="33" w:name="_Toc207348252"/>
      <w:bookmarkStart w:id="34" w:name="_Toc207611218"/>
      <w:bookmarkStart w:id="35" w:name="_Toc207611721"/>
      <w:bookmarkStart w:id="36" w:name="_Toc207098804"/>
      <w:bookmarkStart w:id="37" w:name="_Toc207099412"/>
      <w:bookmarkStart w:id="38" w:name="_Toc207100332"/>
      <w:bookmarkStart w:id="39" w:name="_Toc207348254"/>
      <w:bookmarkStart w:id="40" w:name="_Toc215582555"/>
      <w:bookmarkStart w:id="41" w:name="_Toc235399779"/>
      <w:bookmarkStart w:id="42" w:name="_Ref236723377"/>
      <w:bookmarkStart w:id="43" w:name="_Ref236724287"/>
      <w:bookmarkStart w:id="44" w:name="_Ref236726381"/>
      <w:bookmarkStart w:id="45" w:name="_Ref243987879"/>
      <w:bookmarkStart w:id="46" w:name="_Ref244245423"/>
      <w:bookmarkStart w:id="47" w:name="_Ref246669203"/>
      <w:bookmarkStart w:id="48" w:name="_Toc259716831"/>
      <w:bookmarkStart w:id="49" w:name="_Toc189075640"/>
      <w:bookmarkStart w:id="50" w:name="_Toc202073872"/>
      <w:bookmarkStart w:id="51" w:name="_Toc205016513"/>
      <w:bookmarkStart w:id="52" w:name="_Toc205121489"/>
      <w:bookmarkStart w:id="53" w:name="_Toc206227369"/>
      <w:bookmarkStart w:id="54" w:name="_Toc206415316"/>
      <w:bookmarkStart w:id="55" w:name="_Toc20641812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066F65">
        <w:lastRenderedPageBreak/>
        <w:t>Overview</w:t>
      </w:r>
      <w:bookmarkEnd w:id="36"/>
      <w:bookmarkEnd w:id="37"/>
      <w:bookmarkEnd w:id="38"/>
      <w:bookmarkEnd w:id="39"/>
      <w:bookmarkEnd w:id="40"/>
      <w:bookmarkEnd w:id="41"/>
      <w:bookmarkEnd w:id="42"/>
      <w:bookmarkEnd w:id="43"/>
      <w:bookmarkEnd w:id="44"/>
      <w:bookmarkEnd w:id="45"/>
      <w:bookmarkEnd w:id="46"/>
      <w:bookmarkEnd w:id="47"/>
      <w:bookmarkEnd w:id="48"/>
      <w:r w:rsidRPr="00066F65">
        <w:t xml:space="preserve"> </w:t>
      </w:r>
    </w:p>
    <w:p w:rsidR="008C36FC" w:rsidRPr="00066F65" w:rsidRDefault="003953ED" w:rsidP="003953ED">
      <w:pPr>
        <w:pStyle w:val="Heading2"/>
      </w:pPr>
      <w:bookmarkStart w:id="56" w:name="_Toc207098805"/>
      <w:bookmarkStart w:id="57" w:name="_Toc207099413"/>
      <w:bookmarkStart w:id="58" w:name="_Toc207100333"/>
      <w:bookmarkStart w:id="59" w:name="_Toc207348255"/>
      <w:bookmarkStart w:id="60" w:name="_Toc215582556"/>
      <w:bookmarkStart w:id="61" w:name="_Toc235399780"/>
      <w:bookmarkStart w:id="62" w:name="_Toc259716832"/>
      <w:r w:rsidRPr="00066F65">
        <w:t xml:space="preserve">1.1 </w:t>
      </w:r>
      <w:r w:rsidR="008C36FC" w:rsidRPr="00066F65">
        <w:t>Scope</w:t>
      </w:r>
      <w:bookmarkEnd w:id="56"/>
      <w:bookmarkEnd w:id="57"/>
      <w:bookmarkEnd w:id="58"/>
      <w:bookmarkEnd w:id="59"/>
      <w:bookmarkEnd w:id="60"/>
      <w:bookmarkEnd w:id="61"/>
      <w:bookmarkEnd w:id="62"/>
      <w:r w:rsidR="008C36FC" w:rsidRPr="00066F65">
        <w:t xml:space="preserve"> </w:t>
      </w:r>
    </w:p>
    <w:p w:rsidR="00C66128" w:rsidRPr="00617E00" w:rsidRDefault="00C66128" w:rsidP="00C66128"/>
    <w:p w:rsidR="00C66128" w:rsidRPr="00617E00" w:rsidRDefault="00C66128" w:rsidP="00C66128">
      <w:r w:rsidRPr="00617E00">
        <w:t>This amendment defines modifications to both the 802.11 physical layers (PHY) and the 802.11 Medium Access Control Layer (MAC) to enable operation in the 60 GHz frequency band (typically 57-66 GHz) c</w:t>
      </w:r>
      <w:r w:rsidR="003046EF" w:rsidRPr="00617E00">
        <w:t xml:space="preserve">apable of very high throughput. </w:t>
      </w:r>
    </w:p>
    <w:p w:rsidR="008C36FC" w:rsidRPr="00066F65" w:rsidRDefault="003953ED" w:rsidP="003953ED">
      <w:pPr>
        <w:pStyle w:val="Heading2"/>
      </w:pPr>
      <w:bookmarkStart w:id="63" w:name="_Toc207098806"/>
      <w:bookmarkStart w:id="64" w:name="_Toc207099414"/>
      <w:bookmarkStart w:id="65" w:name="_Toc207100334"/>
      <w:bookmarkStart w:id="66" w:name="_Toc207348256"/>
      <w:bookmarkStart w:id="67" w:name="_Toc215582557"/>
      <w:bookmarkStart w:id="68" w:name="_Toc235399781"/>
      <w:bookmarkStart w:id="69" w:name="_Toc259716833"/>
      <w:r w:rsidRPr="00066F65">
        <w:t xml:space="preserve">1.2 </w:t>
      </w:r>
      <w:r w:rsidR="008C36FC" w:rsidRPr="00066F65">
        <w:t>Purpose</w:t>
      </w:r>
      <w:bookmarkEnd w:id="63"/>
      <w:bookmarkEnd w:id="64"/>
      <w:bookmarkEnd w:id="65"/>
      <w:bookmarkEnd w:id="66"/>
      <w:bookmarkEnd w:id="67"/>
      <w:bookmarkEnd w:id="68"/>
      <w:bookmarkEnd w:id="69"/>
    </w:p>
    <w:p w:rsidR="00C66128" w:rsidRPr="00617E00" w:rsidRDefault="00C66128" w:rsidP="00C66128"/>
    <w:p w:rsidR="00C66128" w:rsidRPr="00617E00" w:rsidRDefault="00C66128" w:rsidP="003046EF">
      <w:r w:rsidRPr="00617E00">
        <w:t xml:space="preserve">The purpose of this amendment is to improve the 802.11 user experience by providing significantly higher throughput. </w:t>
      </w:r>
    </w:p>
    <w:p w:rsidR="008C36FC" w:rsidRPr="00066F65" w:rsidRDefault="008C36FC" w:rsidP="003701DB">
      <w:pPr>
        <w:pStyle w:val="Heading1"/>
        <w:numPr>
          <w:ilvl w:val="0"/>
          <w:numId w:val="48"/>
        </w:numPr>
      </w:pPr>
      <w:bookmarkStart w:id="70" w:name="_Toc207098807"/>
      <w:bookmarkStart w:id="71" w:name="_Toc207099415"/>
      <w:bookmarkStart w:id="72" w:name="_Toc207100335"/>
      <w:bookmarkStart w:id="73" w:name="_Toc207348257"/>
      <w:bookmarkStart w:id="74" w:name="_Toc215582558"/>
      <w:bookmarkStart w:id="75" w:name="_Toc235399782"/>
      <w:bookmarkStart w:id="76" w:name="_Toc259716834"/>
      <w:r w:rsidRPr="00066F65">
        <w:t>Normative references</w:t>
      </w:r>
      <w:bookmarkEnd w:id="70"/>
      <w:bookmarkEnd w:id="71"/>
      <w:bookmarkEnd w:id="72"/>
      <w:bookmarkEnd w:id="73"/>
      <w:bookmarkEnd w:id="74"/>
      <w:bookmarkEnd w:id="75"/>
      <w:bookmarkEnd w:id="76"/>
    </w:p>
    <w:p w:rsidR="009B665C" w:rsidRPr="00617E00" w:rsidRDefault="009B665C" w:rsidP="009B665C">
      <w:pPr>
        <w:rPr>
          <w:b/>
          <w:i/>
        </w:rPr>
      </w:pPr>
    </w:p>
    <w:p w:rsidR="009B665C" w:rsidRPr="00617E00" w:rsidRDefault="009B665C" w:rsidP="009B665C">
      <w:r w:rsidRPr="00617E00">
        <w:t xml:space="preserve">IEEE 802.11™-2007, IEEE Standard for Information </w:t>
      </w:r>
      <w:r w:rsidR="003F7F26">
        <w:t>T</w:t>
      </w:r>
      <w:r w:rsidRPr="00617E00">
        <w:t>echnology—Telecommunications and information exchange between systems—Local and metropolitan area networks—Specific requirements, Part 11: Wireless LAN Medium Access Control (MAC) and Physical Layer (PHY) Specifications</w:t>
      </w:r>
    </w:p>
    <w:p w:rsidR="009B665C" w:rsidRPr="00617E00" w:rsidRDefault="009B665C" w:rsidP="009B665C"/>
    <w:p w:rsidR="009B665C" w:rsidRPr="00617E00" w:rsidRDefault="009B665C" w:rsidP="009B665C">
      <w:r w:rsidRPr="00617E00">
        <w:t xml:space="preserve">IEEE 802.11k™-2008, IEEE Standard for Information </w:t>
      </w:r>
      <w:r w:rsidR="003F7F26">
        <w:t>T</w:t>
      </w:r>
      <w:r w:rsidRPr="00617E00">
        <w:t>echnology—Telecommunications and information exchange between systems—Local and metropolitan area networks—Specific requirements, Part 11: Wireless LAN Medium Access Control (MAC) and Physical Layer (PHY) Specifications, Amendment 1: Radio Resource Measurement of Wireless LANs</w:t>
      </w:r>
    </w:p>
    <w:p w:rsidR="009B665C" w:rsidRPr="00617E00" w:rsidRDefault="009B665C" w:rsidP="009B665C"/>
    <w:p w:rsidR="009B665C" w:rsidRPr="00617E00" w:rsidRDefault="009B665C" w:rsidP="009B665C">
      <w:r w:rsidRPr="00617E00">
        <w:t xml:space="preserve">IEEE </w:t>
      </w:r>
      <w:r w:rsidR="00DA0521" w:rsidRPr="00617E00">
        <w:t>802.11y</w:t>
      </w:r>
      <w:r w:rsidR="003F7F26">
        <w:t>™</w:t>
      </w:r>
      <w:r w:rsidR="00DA0521" w:rsidRPr="00617E00">
        <w:t>-2008</w:t>
      </w:r>
      <w:r w:rsidRPr="00617E00">
        <w:t xml:space="preserve">, </w:t>
      </w:r>
      <w:r w:rsidR="003F7F26">
        <w:t xml:space="preserve">IEEE </w:t>
      </w:r>
      <w:r w:rsidRPr="00617E00">
        <w:t>Standard for Information Technology—Telecommunications and information exchange between systems—Local and metropolitan area networks—Specific requirements, Part 11: Wireless LAN Medium Access Control (MAC) and Physical</w:t>
      </w:r>
      <w:r w:rsidR="00D578FD" w:rsidRPr="00617E00">
        <w:t xml:space="preserve"> </w:t>
      </w:r>
      <w:r w:rsidRPr="00617E00">
        <w:t>Layer (PHY) specifications, Amendment 3: 3650–3700 MHz Operation in USA</w:t>
      </w:r>
    </w:p>
    <w:p w:rsidR="009B665C" w:rsidRPr="00617E00" w:rsidRDefault="009B665C" w:rsidP="009B665C"/>
    <w:p w:rsidR="009B665C" w:rsidRPr="00617E00" w:rsidRDefault="00E22A63" w:rsidP="009B665C">
      <w:r>
        <w:t xml:space="preserve">IEEE </w:t>
      </w:r>
      <w:r w:rsidR="003F7F26">
        <w:t>802.11w™-2009</w:t>
      </w:r>
      <w:r w:rsidR="009B665C" w:rsidRPr="00617E00">
        <w:t xml:space="preserve">, </w:t>
      </w:r>
      <w:r w:rsidR="003F7F26">
        <w:t xml:space="preserve">IEEE </w:t>
      </w:r>
      <w:r w:rsidR="009B665C" w:rsidRPr="00617E00">
        <w:t>Standard for Information Technology - Telecommunications and information exchange between systems - Local and metropolitan area networks – Specific Requirements, Part 11: Wireless LAN Medium Access Control (MAC) and Physical Layer (PHY) specifications, Amendment 4: Protected Management Frames</w:t>
      </w:r>
    </w:p>
    <w:p w:rsidR="009B665C" w:rsidRPr="00617E00" w:rsidRDefault="009B665C" w:rsidP="009B665C"/>
    <w:p w:rsidR="009B665C" w:rsidRPr="00617E00" w:rsidRDefault="00E22A63" w:rsidP="009B665C">
      <w:r>
        <w:t xml:space="preserve">IEEE </w:t>
      </w:r>
      <w:r w:rsidR="009B665C" w:rsidRPr="00617E00">
        <w:t>802.11n</w:t>
      </w:r>
      <w:r w:rsidR="009B665C" w:rsidRPr="00617E00">
        <w:rPr>
          <w:vertAlign w:val="superscript"/>
        </w:rPr>
        <w:t>TM</w:t>
      </w:r>
      <w:r w:rsidR="001F463D" w:rsidRPr="00617E00">
        <w:t>-2009</w:t>
      </w:r>
      <w:r w:rsidR="009B665C" w:rsidRPr="00617E00">
        <w:t xml:space="preserve">, </w:t>
      </w:r>
      <w:r w:rsidR="003F7F26">
        <w:t xml:space="preserve">IEEE </w:t>
      </w:r>
      <w:r>
        <w:t>Standard</w:t>
      </w:r>
      <w:r w:rsidR="009B665C" w:rsidRPr="00617E00">
        <w:t xml:space="preserve"> for Information Technology—Telecommunications and information exchange between systems—Local and metropolitan area networks—Specific requirements, Part 11: Wireless LAN Medium Access Control (MAC) and Physical Layer (PHY) specifications, Amendment 5: Enhancements for Higher Throughput</w:t>
      </w:r>
    </w:p>
    <w:p w:rsidR="009B665C" w:rsidRPr="00617E00" w:rsidRDefault="009B665C" w:rsidP="009B665C"/>
    <w:p w:rsidR="00DA0521" w:rsidRPr="00617E00" w:rsidRDefault="00DA0521" w:rsidP="009B665C">
      <w:r w:rsidRPr="00617E00">
        <w:t>IEEE P802.11v™/D7.0</w:t>
      </w:r>
      <w:r w:rsidR="001F463D" w:rsidRPr="00617E00">
        <w:t>3</w:t>
      </w:r>
      <w:r w:rsidRPr="00617E00">
        <w:t xml:space="preserve">, Draft Standard for Information technology- Telecommunications and information exchange between systems- Local and metropolitan area networks- Specific requirements- Part 11: Wireless LAN Medium Access Control (MAC) and Physical Layer (PHY) specifications, Amendment 8: Wireless Network Management </w:t>
      </w:r>
    </w:p>
    <w:p w:rsidR="00DA0521" w:rsidRPr="00617E00" w:rsidRDefault="00DA0521" w:rsidP="009B665C"/>
    <w:p w:rsidR="005B7E5B" w:rsidRPr="00617E00" w:rsidRDefault="005B7E5B" w:rsidP="005B7E5B">
      <w:r w:rsidRPr="00617E00">
        <w:t>NIST Special Publication 800-38D, Recommendation for Block Cipher Modes of Operation: Galois/Counter Mode (GCM) and GMAC, Morris Dworkin, November 2007</w:t>
      </w:r>
    </w:p>
    <w:p w:rsidR="00420967" w:rsidRPr="00617E00" w:rsidRDefault="00420967" w:rsidP="009B665C"/>
    <w:p w:rsidR="008C36FC" w:rsidRPr="00066F65" w:rsidRDefault="008C36FC" w:rsidP="003701DB">
      <w:pPr>
        <w:pStyle w:val="Heading1"/>
        <w:numPr>
          <w:ilvl w:val="0"/>
          <w:numId w:val="48"/>
        </w:numPr>
      </w:pPr>
      <w:bookmarkStart w:id="77" w:name="_Toc207098808"/>
      <w:bookmarkStart w:id="78" w:name="_Toc207099416"/>
      <w:bookmarkStart w:id="79" w:name="_Toc207100336"/>
      <w:bookmarkStart w:id="80" w:name="_Toc207348258"/>
      <w:bookmarkStart w:id="81" w:name="_Toc215582559"/>
      <w:bookmarkStart w:id="82" w:name="_Toc235399783"/>
      <w:bookmarkStart w:id="83" w:name="_Toc259716835"/>
      <w:r w:rsidRPr="00066F65">
        <w:t>Definitions</w:t>
      </w:r>
      <w:bookmarkEnd w:id="77"/>
      <w:bookmarkEnd w:id="78"/>
      <w:bookmarkEnd w:id="79"/>
      <w:bookmarkEnd w:id="80"/>
      <w:bookmarkEnd w:id="81"/>
      <w:bookmarkEnd w:id="82"/>
      <w:bookmarkEnd w:id="83"/>
      <w:r w:rsidRPr="00066F65">
        <w:t xml:space="preserve"> </w:t>
      </w:r>
    </w:p>
    <w:p w:rsidR="008C36FC" w:rsidRPr="00066F65" w:rsidRDefault="008C36FC" w:rsidP="00C01F31">
      <w:pPr>
        <w:jc w:val="both"/>
        <w:rPr>
          <w:b/>
          <w:i/>
          <w:iCs/>
          <w:u w:val="single"/>
        </w:rPr>
      </w:pPr>
    </w:p>
    <w:p w:rsidR="001D495A" w:rsidRPr="00617E00" w:rsidRDefault="001D495A" w:rsidP="001D495A">
      <w:pPr>
        <w:autoSpaceDE w:val="0"/>
        <w:autoSpaceDN w:val="0"/>
        <w:adjustRightInd w:val="0"/>
      </w:pPr>
      <w:r w:rsidRPr="00617E00">
        <w:rPr>
          <w:b/>
        </w:rPr>
        <w:t>3.43 downlink:</w:t>
      </w:r>
      <w:r w:rsidRPr="00617E00">
        <w:t xml:space="preserve"> A unidirectional link from an access point (AP) to one or more non-AP stations (STAs)</w:t>
      </w:r>
      <w:r w:rsidR="00C5199B" w:rsidRPr="00617E00">
        <w:t xml:space="preserve"> </w:t>
      </w:r>
      <w:r w:rsidRPr="00066F65">
        <w:rPr>
          <w:bCs/>
          <w:u w:val="single"/>
        </w:rPr>
        <w:t xml:space="preserve">or a unidirectional link from a Destination STA to a Source STA. </w:t>
      </w:r>
    </w:p>
    <w:p w:rsidR="001D495A" w:rsidRPr="00066F65" w:rsidRDefault="001D495A" w:rsidP="001D495A">
      <w:pPr>
        <w:autoSpaceDE w:val="0"/>
        <w:autoSpaceDN w:val="0"/>
        <w:adjustRightInd w:val="0"/>
        <w:rPr>
          <w:bCs/>
          <w:u w:val="single"/>
        </w:rPr>
      </w:pPr>
    </w:p>
    <w:p w:rsidR="001D495A" w:rsidRPr="00066F65" w:rsidRDefault="001D495A" w:rsidP="001D495A">
      <w:pPr>
        <w:autoSpaceDE w:val="0"/>
        <w:autoSpaceDN w:val="0"/>
        <w:adjustRightInd w:val="0"/>
        <w:rPr>
          <w:bCs/>
          <w:u w:val="single"/>
        </w:rPr>
      </w:pPr>
      <w:r w:rsidRPr="00171B57">
        <w:rPr>
          <w:b/>
        </w:rPr>
        <w:t>3.167 uplink</w:t>
      </w:r>
      <w:r w:rsidRPr="00171B57">
        <w:t>: A unidirectional link from a non-access point (non-AP) station (STA) to an access point (AP)</w:t>
      </w:r>
      <w:r w:rsidR="00C5199B" w:rsidRPr="00171B57">
        <w:t xml:space="preserve"> </w:t>
      </w:r>
      <w:r w:rsidRPr="00066F65">
        <w:rPr>
          <w:bCs/>
          <w:u w:val="single"/>
        </w:rPr>
        <w:t>or a unidirectional link from a Source STA to a Destination STA</w:t>
      </w:r>
      <w:r w:rsidR="008C7724" w:rsidRPr="00066F65">
        <w:rPr>
          <w:bCs/>
          <w:u w:val="single"/>
        </w:rPr>
        <w:t>.</w:t>
      </w:r>
    </w:p>
    <w:p w:rsidR="001D495A" w:rsidRPr="00171B57" w:rsidRDefault="001D495A" w:rsidP="00C01F31">
      <w:pPr>
        <w:jc w:val="both"/>
        <w:rPr>
          <w:b/>
        </w:rPr>
      </w:pPr>
    </w:p>
    <w:p w:rsidR="008C36FC" w:rsidRPr="00171B57" w:rsidRDefault="008C36FC" w:rsidP="00C01F31">
      <w:pPr>
        <w:jc w:val="both"/>
      </w:pPr>
      <w:r w:rsidRPr="00171B57">
        <w:rPr>
          <w:b/>
        </w:rPr>
        <w:t>3.193 average noise plus interference power indicator (ANIPI)</w:t>
      </w:r>
      <w:r w:rsidRPr="00171B57">
        <w:t>: A MAC indication of the average noise plus interference power measured on a channel that meets the two simultaneous conditions: 1) the STA is not transmitting a frame, and 2) the STA is not receiving a frame addressed to itself.</w:t>
      </w:r>
    </w:p>
    <w:p w:rsidR="00C471D5" w:rsidRPr="00171B57" w:rsidRDefault="00C471D5" w:rsidP="00C01F31">
      <w:pPr>
        <w:jc w:val="both"/>
      </w:pPr>
    </w:p>
    <w:p w:rsidR="00C471D5" w:rsidRPr="00171B57" w:rsidRDefault="00C471D5" w:rsidP="00C471D5">
      <w:pPr>
        <w:autoSpaceDE w:val="0"/>
        <w:autoSpaceDN w:val="0"/>
        <w:adjustRightInd w:val="0"/>
      </w:pPr>
      <w:r w:rsidRPr="00171B57">
        <w:rPr>
          <w:b/>
        </w:rPr>
        <w:t xml:space="preserve">3.194 </w:t>
      </w:r>
      <w:r w:rsidR="006137FC" w:rsidRPr="00171B57">
        <w:rPr>
          <w:b/>
        </w:rPr>
        <w:t>b</w:t>
      </w:r>
      <w:r w:rsidRPr="00171B57">
        <w:rPr>
          <w:b/>
        </w:rPr>
        <w:t xml:space="preserve">eacon </w:t>
      </w:r>
      <w:r w:rsidR="006137FC" w:rsidRPr="00171B57">
        <w:rPr>
          <w:b/>
        </w:rPr>
        <w:t>t</w:t>
      </w:r>
      <w:r w:rsidRPr="00171B57">
        <w:rPr>
          <w:b/>
        </w:rPr>
        <w:t>ime (BT)</w:t>
      </w:r>
      <w:r w:rsidRPr="00171B57">
        <w:t xml:space="preserve">: </w:t>
      </w:r>
      <w:r w:rsidR="00D578FD" w:rsidRPr="00171B57">
        <w:t>T</w:t>
      </w:r>
      <w:r w:rsidRPr="00171B57">
        <w:t>he time interval between the start of the first mmWave Beacon transmission by a</w:t>
      </w:r>
      <w:r w:rsidR="002F0A96" w:rsidRPr="00171B57">
        <w:t>n</w:t>
      </w:r>
      <w:r w:rsidRPr="00171B57">
        <w:t xml:space="preserve"> </w:t>
      </w:r>
      <w:r w:rsidR="00B96FB9" w:rsidRPr="00171B57">
        <w:t>mSTA</w:t>
      </w:r>
      <w:r w:rsidRPr="00171B57">
        <w:t xml:space="preserve"> in a beacon interval to the end of the last mmWave Beacon transmission by the </w:t>
      </w:r>
      <w:r w:rsidR="00B96FB9" w:rsidRPr="00171B57">
        <w:t>mSTA</w:t>
      </w:r>
      <w:r w:rsidRPr="00171B57">
        <w:t xml:space="preserve"> in the same beacon interval. </w:t>
      </w:r>
    </w:p>
    <w:p w:rsidR="008C36FC" w:rsidRPr="00171B57" w:rsidRDefault="008C36FC" w:rsidP="00C471D5">
      <w:pPr>
        <w:jc w:val="both"/>
      </w:pPr>
    </w:p>
    <w:p w:rsidR="00151A26" w:rsidRPr="00171B57" w:rsidRDefault="00151A26" w:rsidP="00B03B4E">
      <w:pPr>
        <w:jc w:val="both"/>
      </w:pPr>
      <w:r w:rsidRPr="00171B57">
        <w:rPr>
          <w:b/>
        </w:rPr>
        <w:t>3.195 antenna</w:t>
      </w:r>
      <w:r w:rsidRPr="00171B57">
        <w:t xml:space="preserve">: </w:t>
      </w:r>
      <w:r w:rsidR="00323462" w:rsidRPr="00171B57">
        <w:t xml:space="preserve">An antenna is a phased array, a single element antenna, or a set of switched beam antennas covered by a </w:t>
      </w:r>
      <w:r w:rsidR="00CC21E9" w:rsidRPr="00171B57">
        <w:t>quasi</w:t>
      </w:r>
      <w:r w:rsidR="00323462" w:rsidRPr="00171B57">
        <w:t>-omni antenna</w:t>
      </w:r>
      <w:r w:rsidR="00281486" w:rsidRPr="00171B57">
        <w:t xml:space="preserve"> </w:t>
      </w:r>
      <w:r w:rsidR="00323462" w:rsidRPr="00171B57">
        <w:t>pattern.</w:t>
      </w:r>
    </w:p>
    <w:p w:rsidR="00BF556E" w:rsidRPr="00171B57" w:rsidRDefault="00BF556E" w:rsidP="00151A26">
      <w:pPr>
        <w:jc w:val="both"/>
      </w:pPr>
    </w:p>
    <w:p w:rsidR="00BF556E" w:rsidRPr="00171B57" w:rsidRDefault="00BF556E" w:rsidP="00C66128">
      <w:pPr>
        <w:outlineLvl w:val="0"/>
        <w:rPr>
          <w:sz w:val="28"/>
        </w:rPr>
      </w:pPr>
      <w:r w:rsidRPr="00171B57">
        <w:rPr>
          <w:b/>
        </w:rPr>
        <w:t>3.196</w:t>
      </w:r>
      <w:r w:rsidRPr="00171B57">
        <w:rPr>
          <w:b/>
          <w:sz w:val="28"/>
        </w:rPr>
        <w:t xml:space="preserve"> </w:t>
      </w:r>
      <w:r w:rsidRPr="00171B57">
        <w:rPr>
          <w:b/>
        </w:rPr>
        <w:t>QoS mmWave frame</w:t>
      </w:r>
      <w:r w:rsidRPr="00171B57">
        <w:t xml:space="preserve">: </w:t>
      </w:r>
      <w:r w:rsidR="0050461D" w:rsidRPr="00171B57">
        <w:t xml:space="preserve">A </w:t>
      </w:r>
      <w:r w:rsidRPr="00171B57">
        <w:t xml:space="preserve">QoS frame </w:t>
      </w:r>
      <w:r w:rsidR="00C66128" w:rsidRPr="00171B57">
        <w:t>that is transmitted as</w:t>
      </w:r>
      <w:r w:rsidRPr="00171B57">
        <w:t xml:space="preserve"> </w:t>
      </w:r>
      <w:r w:rsidR="000070C2" w:rsidRPr="00171B57">
        <w:t xml:space="preserve">a </w:t>
      </w:r>
      <w:r w:rsidRPr="00171B57">
        <w:t>mmWave PPDU</w:t>
      </w:r>
      <w:r w:rsidR="00C66128" w:rsidRPr="00171B57">
        <w:t xml:space="preserve">. </w:t>
      </w:r>
    </w:p>
    <w:p w:rsidR="00151A26" w:rsidRPr="00171B57" w:rsidRDefault="00151A26" w:rsidP="00C01F31">
      <w:pPr>
        <w:jc w:val="both"/>
      </w:pPr>
    </w:p>
    <w:p w:rsidR="00151A26" w:rsidRPr="00171B57" w:rsidRDefault="00151A26" w:rsidP="00931E47">
      <w:pPr>
        <w:jc w:val="both"/>
      </w:pPr>
      <w:r w:rsidRPr="00171B57">
        <w:rPr>
          <w:b/>
        </w:rPr>
        <w:t>3.19</w:t>
      </w:r>
      <w:r w:rsidR="002C78AB" w:rsidRPr="00171B57">
        <w:rPr>
          <w:b/>
        </w:rPr>
        <w:t>7</w:t>
      </w:r>
      <w:r w:rsidRPr="00171B57">
        <w:rPr>
          <w:b/>
        </w:rPr>
        <w:t xml:space="preserve"> </w:t>
      </w:r>
      <w:r w:rsidR="006137FC" w:rsidRPr="00171B57">
        <w:rPr>
          <w:b/>
        </w:rPr>
        <w:t>q</w:t>
      </w:r>
      <w:r w:rsidRPr="00171B57">
        <w:rPr>
          <w:b/>
        </w:rPr>
        <w:t>uasi-omni antenna pattern</w:t>
      </w:r>
      <w:r w:rsidRPr="00171B57">
        <w:t>:</w:t>
      </w:r>
      <w:r w:rsidR="00080054">
        <w:t xml:space="preserve"> </w:t>
      </w:r>
      <w:r w:rsidR="00931E47" w:rsidRPr="00931E47">
        <w:t>A quasi-omni antenna pattern is defined to be an operating mode with the widest practical beamwidth attainable for a particular antenna.</w:t>
      </w:r>
      <w:r w:rsidR="00D11F2E">
        <w:t xml:space="preserve"> </w:t>
      </w:r>
      <w:r w:rsidR="00931E47" w:rsidRPr="00931E47">
        <w:t>The antenna gain of the main beam with the quasi-omni pattern is at most 15dB lower than the antenna gain in the main beam for a directional pattern.</w:t>
      </w:r>
      <w:r w:rsidR="0053357F">
        <w:t xml:space="preserve"> </w:t>
      </w:r>
    </w:p>
    <w:p w:rsidR="00A4366D" w:rsidRPr="00171B57" w:rsidRDefault="00A4366D" w:rsidP="00151A26">
      <w:pPr>
        <w:jc w:val="both"/>
      </w:pPr>
    </w:p>
    <w:p w:rsidR="00A4366D" w:rsidRPr="00171B57" w:rsidRDefault="002C78AB" w:rsidP="00C471D5">
      <w:r w:rsidRPr="00171B57">
        <w:rPr>
          <w:b/>
        </w:rPr>
        <w:t>3.198</w:t>
      </w:r>
      <w:r w:rsidR="00A4366D" w:rsidRPr="00171B57">
        <w:t xml:space="preserve"> </w:t>
      </w:r>
      <w:r w:rsidR="00A4366D" w:rsidRPr="00171B57">
        <w:rPr>
          <w:b/>
        </w:rPr>
        <w:t>mmWave STA</w:t>
      </w:r>
      <w:r w:rsidR="00A60986" w:rsidRPr="00171B57">
        <w:rPr>
          <w:b/>
        </w:rPr>
        <w:t xml:space="preserve"> (mSTA)</w:t>
      </w:r>
      <w:r w:rsidR="00A4366D" w:rsidRPr="00171B57">
        <w:t xml:space="preserve">: </w:t>
      </w:r>
      <w:r w:rsidR="000070C2" w:rsidRPr="00171B57">
        <w:t>A STA whose radio transmitter is operating on a channel that is within the UB.</w:t>
      </w:r>
      <w:r w:rsidR="00281486" w:rsidRPr="00171B57">
        <w:t xml:space="preserve"> </w:t>
      </w:r>
    </w:p>
    <w:p w:rsidR="00D13142" w:rsidRPr="00171B57" w:rsidRDefault="00D13142" w:rsidP="00151A26">
      <w:pPr>
        <w:jc w:val="both"/>
      </w:pPr>
    </w:p>
    <w:p w:rsidR="00151A26" w:rsidRPr="00171B57" w:rsidRDefault="000070C2" w:rsidP="006F7635">
      <w:pPr>
        <w:jc w:val="both"/>
      </w:pPr>
      <w:r w:rsidRPr="00171B57">
        <w:rPr>
          <w:b/>
        </w:rPr>
        <w:t>3.</w:t>
      </w:r>
      <w:r w:rsidR="00860F63" w:rsidRPr="00171B57">
        <w:rPr>
          <w:b/>
        </w:rPr>
        <w:t>199</w:t>
      </w:r>
      <w:r w:rsidRPr="00171B57">
        <w:rPr>
          <w:b/>
        </w:rPr>
        <w:t xml:space="preserve"> mmWave PPDU:</w:t>
      </w:r>
      <w:r w:rsidR="00C471D5" w:rsidRPr="00171B57">
        <w:t xml:space="preserve"> </w:t>
      </w:r>
      <w:r w:rsidR="00D578FD" w:rsidRPr="00171B57">
        <w:t>A</w:t>
      </w:r>
      <w:r w:rsidRPr="00171B57">
        <w:t xml:space="preserve"> C</w:t>
      </w:r>
      <w:r w:rsidR="005A7059" w:rsidRPr="00171B57">
        <w:t xml:space="preserve">lause </w:t>
      </w:r>
      <w:fldSimple w:instr=" REF _Ref243724714 \r \h  \* MERGEFORMAT ">
        <w:r w:rsidR="003E4210" w:rsidRPr="003E4210">
          <w:rPr>
            <w:bCs/>
          </w:rPr>
          <w:t>21</w:t>
        </w:r>
      </w:fldSimple>
      <w:r w:rsidRPr="00171B57">
        <w:t xml:space="preserve"> PPDU transmitted or received using the Clause</w:t>
      </w:r>
      <w:r w:rsidR="006F7635" w:rsidRPr="00171B57">
        <w:t xml:space="preserve"> </w:t>
      </w:r>
      <w:r w:rsidR="00BD151C">
        <w:rPr>
          <w:bCs/>
        </w:rPr>
        <w:fldChar w:fldCharType="begin"/>
      </w:r>
      <w:r w:rsidR="006F7635">
        <w:rPr>
          <w:bCs/>
        </w:rPr>
        <w:instrText xml:space="preserve"> REF _Ref243724299 \r \h </w:instrText>
      </w:r>
      <w:r w:rsidR="00BD151C">
        <w:rPr>
          <w:bCs/>
        </w:rPr>
      </w:r>
      <w:r w:rsidR="00BD151C">
        <w:rPr>
          <w:bCs/>
        </w:rPr>
        <w:fldChar w:fldCharType="separate"/>
      </w:r>
      <w:r w:rsidR="003E4210">
        <w:rPr>
          <w:bCs/>
        </w:rPr>
        <w:t>21</w:t>
      </w:r>
      <w:r w:rsidR="00BD151C">
        <w:rPr>
          <w:bCs/>
        </w:rPr>
        <w:fldChar w:fldCharType="end"/>
      </w:r>
      <w:r w:rsidRPr="00171B57">
        <w:t xml:space="preserve"> PHY</w:t>
      </w:r>
      <w:r w:rsidR="003A0BAA" w:rsidRPr="00171B57">
        <w:t>.</w:t>
      </w:r>
    </w:p>
    <w:p w:rsidR="008A5C48" w:rsidRPr="00171B57" w:rsidRDefault="008A5C48" w:rsidP="00A4366D">
      <w:pPr>
        <w:jc w:val="both"/>
      </w:pPr>
    </w:p>
    <w:p w:rsidR="008A5C48" w:rsidRPr="00171B57" w:rsidRDefault="0063607D" w:rsidP="00860F63">
      <w:pPr>
        <w:rPr>
          <w:b/>
        </w:rPr>
      </w:pPr>
      <w:r w:rsidRPr="00171B57">
        <w:rPr>
          <w:rFonts w:eastAsia="Batang"/>
          <w:b/>
        </w:rPr>
        <w:t>3.</w:t>
      </w:r>
      <w:r w:rsidR="00860F63" w:rsidRPr="00171B57">
        <w:rPr>
          <w:rFonts w:eastAsia="Batang"/>
          <w:b/>
        </w:rPr>
        <w:t xml:space="preserve">200 </w:t>
      </w:r>
      <w:r w:rsidR="00ED2CB1" w:rsidRPr="00171B57">
        <w:rPr>
          <w:rFonts w:eastAsia="Batang"/>
          <w:b/>
        </w:rPr>
        <w:t>personal basic service set (</w:t>
      </w:r>
      <w:r w:rsidR="008A5C48" w:rsidRPr="00171B57">
        <w:rPr>
          <w:rFonts w:eastAsia="Batang"/>
          <w:b/>
        </w:rPr>
        <w:t>PBSS</w:t>
      </w:r>
      <w:r w:rsidR="00ED2CB1" w:rsidRPr="00171B57">
        <w:rPr>
          <w:rFonts w:eastAsia="Batang"/>
          <w:b/>
        </w:rPr>
        <w:t>)</w:t>
      </w:r>
      <w:r w:rsidR="008A5C48" w:rsidRPr="00171B57">
        <w:rPr>
          <w:rFonts w:eastAsia="Batang"/>
        </w:rPr>
        <w:t xml:space="preserve">: </w:t>
      </w:r>
      <w:r w:rsidR="000070C2" w:rsidRPr="00171B57">
        <w:rPr>
          <w:rFonts w:eastAsia="Batang"/>
        </w:rPr>
        <w:t xml:space="preserve">A basic service set (BSS) which forms a self-contained network, includes one PBSS coordination point (PCP), and in which access to a distribution system (DS) </w:t>
      </w:r>
      <w:r w:rsidR="007C17CD">
        <w:rPr>
          <w:rFonts w:eastAsia="Batang"/>
        </w:rPr>
        <w:t>is</w:t>
      </w:r>
      <w:r w:rsidR="000070C2" w:rsidRPr="00171B57">
        <w:rPr>
          <w:rFonts w:eastAsia="Batang"/>
        </w:rPr>
        <w:t xml:space="preserve"> not available. Membership in a PBSS implies that wireless communication with all other members of the PBSS is possible. </w:t>
      </w:r>
      <w:r w:rsidR="008A5C48" w:rsidRPr="00171B57">
        <w:rPr>
          <w:rFonts w:eastAsia="Batang"/>
        </w:rPr>
        <w:br/>
      </w:r>
    </w:p>
    <w:p w:rsidR="00151A26" w:rsidRPr="00171B57" w:rsidRDefault="00151A26" w:rsidP="00860F63">
      <w:pPr>
        <w:jc w:val="both"/>
      </w:pPr>
      <w:r w:rsidRPr="00171B57">
        <w:rPr>
          <w:b/>
        </w:rPr>
        <w:t>3.</w:t>
      </w:r>
      <w:r w:rsidR="00860F63" w:rsidRPr="00171B57">
        <w:rPr>
          <w:b/>
        </w:rPr>
        <w:t xml:space="preserve">201 </w:t>
      </w:r>
      <w:r w:rsidRPr="00171B57">
        <w:rPr>
          <w:b/>
        </w:rPr>
        <w:t xml:space="preserve">PBSS </w:t>
      </w:r>
      <w:r w:rsidR="002A1F9B">
        <w:rPr>
          <w:b/>
        </w:rPr>
        <w:t>c</w:t>
      </w:r>
      <w:r w:rsidRPr="00171B57">
        <w:rPr>
          <w:b/>
        </w:rPr>
        <w:t xml:space="preserve">ontrol </w:t>
      </w:r>
      <w:r w:rsidR="002A1F9B">
        <w:rPr>
          <w:b/>
        </w:rPr>
        <w:t>p</w:t>
      </w:r>
      <w:r w:rsidRPr="00171B57">
        <w:rPr>
          <w:b/>
        </w:rPr>
        <w:t>oint (PCP)</w:t>
      </w:r>
      <w:r w:rsidRPr="00171B57">
        <w:t xml:space="preserve">: </w:t>
      </w:r>
      <w:r w:rsidR="000070C2" w:rsidRPr="00171B57">
        <w:t xml:space="preserve">Any entity that has station </w:t>
      </w:r>
      <w:r w:rsidR="00137BD5" w:rsidRPr="00171B57">
        <w:t>(STA)</w:t>
      </w:r>
      <w:r w:rsidR="00D11F2E">
        <w:t xml:space="preserve"> </w:t>
      </w:r>
      <w:r w:rsidR="000070C2" w:rsidRPr="00171B57">
        <w:t xml:space="preserve">functionality and has received a START.confirm with a return code of SUCCESS in response to the transmission of a START.request with BSSType parameter set to </w:t>
      </w:r>
      <w:r w:rsidR="00483D9E" w:rsidRPr="00171B57">
        <w:t>“</w:t>
      </w:r>
      <w:r w:rsidR="000070C2" w:rsidRPr="00171B57">
        <w:t>PBSS</w:t>
      </w:r>
      <w:r w:rsidR="00483D9E" w:rsidRPr="00171B57">
        <w:t>”</w:t>
      </w:r>
      <w:r w:rsidRPr="00171B57">
        <w:t>.</w:t>
      </w:r>
    </w:p>
    <w:p w:rsidR="006A384F" w:rsidRPr="00171B57" w:rsidRDefault="006A384F" w:rsidP="00151A26">
      <w:pPr>
        <w:jc w:val="both"/>
      </w:pPr>
    </w:p>
    <w:p w:rsidR="0072219B" w:rsidRPr="00171B57" w:rsidRDefault="002C78AB" w:rsidP="00860F63">
      <w:pPr>
        <w:jc w:val="both"/>
        <w:rPr>
          <w:b/>
          <w:i/>
        </w:rPr>
      </w:pPr>
      <w:r w:rsidRPr="00171B57">
        <w:rPr>
          <w:b/>
        </w:rPr>
        <w:t>3.</w:t>
      </w:r>
      <w:r w:rsidR="00860F63" w:rsidRPr="00171B57">
        <w:rPr>
          <w:b/>
        </w:rPr>
        <w:t xml:space="preserve">202 </w:t>
      </w:r>
      <w:r w:rsidR="006137FC" w:rsidRPr="00171B57">
        <w:rPr>
          <w:b/>
        </w:rPr>
        <w:t>p</w:t>
      </w:r>
      <w:r w:rsidR="00457BD1" w:rsidRPr="00171B57">
        <w:rPr>
          <w:b/>
        </w:rPr>
        <w:t>e</w:t>
      </w:r>
      <w:r w:rsidR="006A384F" w:rsidRPr="00171B57">
        <w:rPr>
          <w:b/>
        </w:rPr>
        <w:t xml:space="preserve">er to peer traffic specification (PTP TSPEC): </w:t>
      </w:r>
      <w:r w:rsidR="006A384F" w:rsidRPr="00171B57">
        <w:t>The quality of service (QoS) characteristics of a data flow between non-access point (non-AP) QoS stations (STA).</w:t>
      </w:r>
      <w:r w:rsidR="006972B7" w:rsidRPr="00171B57">
        <w:t xml:space="preserve"> </w:t>
      </w:r>
    </w:p>
    <w:p w:rsidR="0072219B" w:rsidRPr="00171B57" w:rsidRDefault="0072219B" w:rsidP="0063607D">
      <w:pPr>
        <w:jc w:val="both"/>
        <w:rPr>
          <w:b/>
          <w:i/>
        </w:rPr>
      </w:pPr>
    </w:p>
    <w:p w:rsidR="00861688" w:rsidRPr="00171B57" w:rsidRDefault="00861688" w:rsidP="00860F63">
      <w:pPr>
        <w:jc w:val="both"/>
      </w:pPr>
      <w:r w:rsidRPr="00171B57">
        <w:rPr>
          <w:b/>
        </w:rPr>
        <w:t>3.</w:t>
      </w:r>
      <w:r w:rsidR="00860F63" w:rsidRPr="00171B57">
        <w:rPr>
          <w:b/>
        </w:rPr>
        <w:t xml:space="preserve">203 </w:t>
      </w:r>
      <w:r w:rsidR="006137FC" w:rsidRPr="00171B57">
        <w:rPr>
          <w:b/>
        </w:rPr>
        <w:t>a</w:t>
      </w:r>
      <w:r w:rsidRPr="00171B57">
        <w:rPr>
          <w:b/>
        </w:rPr>
        <w:t>ntenna Weight Vector (AWV)</w:t>
      </w:r>
      <w:r w:rsidRPr="00171B57">
        <w:t xml:space="preserve">: </w:t>
      </w:r>
      <w:r w:rsidR="00AF26A2" w:rsidRPr="00AF26A2">
        <w:t>A vector of weights describing the phase-shifting and amplitude-scaling parameters for each element of a phased array antenna</w:t>
      </w:r>
      <w:r w:rsidRPr="00171B57">
        <w:t>.</w:t>
      </w:r>
      <w:r w:rsidR="00281486" w:rsidRPr="00171B57">
        <w:t xml:space="preserve"> </w:t>
      </w:r>
    </w:p>
    <w:p w:rsidR="00861688" w:rsidRPr="00171B57" w:rsidRDefault="00EF5EFB" w:rsidP="00151A26">
      <w:pPr>
        <w:jc w:val="both"/>
      </w:pPr>
      <w:r w:rsidRPr="00171B57">
        <w:rPr>
          <w:b/>
        </w:rPr>
        <w:t xml:space="preserve"> </w:t>
      </w:r>
    </w:p>
    <w:p w:rsidR="00861688" w:rsidRPr="00171B57" w:rsidRDefault="00861688" w:rsidP="00E238CC">
      <w:pPr>
        <w:jc w:val="both"/>
      </w:pPr>
      <w:r w:rsidRPr="00171B57">
        <w:rPr>
          <w:b/>
        </w:rPr>
        <w:lastRenderedPageBreak/>
        <w:t>3.</w:t>
      </w:r>
      <w:r w:rsidR="00860F63" w:rsidRPr="00171B57">
        <w:rPr>
          <w:b/>
        </w:rPr>
        <w:t>20</w:t>
      </w:r>
      <w:r w:rsidR="00CC21E9" w:rsidRPr="00171B57">
        <w:rPr>
          <w:b/>
        </w:rPr>
        <w:t>4</w:t>
      </w:r>
      <w:r w:rsidR="00860F63" w:rsidRPr="00171B57">
        <w:rPr>
          <w:b/>
        </w:rPr>
        <w:t xml:space="preserve"> </w:t>
      </w:r>
      <w:r w:rsidR="006137FC" w:rsidRPr="00171B57">
        <w:rPr>
          <w:b/>
        </w:rPr>
        <w:t>s</w:t>
      </w:r>
      <w:r w:rsidRPr="00171B57">
        <w:rPr>
          <w:b/>
        </w:rPr>
        <w:t>ector</w:t>
      </w:r>
      <w:r w:rsidRPr="00171B57">
        <w:t xml:space="preserve">: </w:t>
      </w:r>
      <w:r w:rsidR="00E238CC">
        <w:t xml:space="preserve">A </w:t>
      </w:r>
      <w:r w:rsidR="00220F80">
        <w:t>t</w:t>
      </w:r>
      <w:r w:rsidR="00E238CC">
        <w:t xml:space="preserve">ransmit or </w:t>
      </w:r>
      <w:r w:rsidR="00220F80">
        <w:t>r</w:t>
      </w:r>
      <w:r w:rsidR="00E238CC">
        <w:t>eceive antenna configuration corresponding to a Sector ID.</w:t>
      </w:r>
      <w:r w:rsidR="00D11F2E">
        <w:t xml:space="preserve"> </w:t>
      </w:r>
    </w:p>
    <w:p w:rsidR="00DF7F88" w:rsidRPr="00171B57" w:rsidRDefault="00DA0521" w:rsidP="0063607D">
      <w:pPr>
        <w:jc w:val="both"/>
      </w:pPr>
      <w:r w:rsidRPr="00171B57">
        <w:rPr>
          <w:b/>
        </w:rPr>
        <w:t xml:space="preserve"> </w:t>
      </w:r>
    </w:p>
    <w:p w:rsidR="00DF7F88" w:rsidRPr="00171B57" w:rsidRDefault="00DF7F88" w:rsidP="00D06E93">
      <w:pPr>
        <w:autoSpaceDE w:val="0"/>
        <w:autoSpaceDN w:val="0"/>
        <w:adjustRightInd w:val="0"/>
      </w:pPr>
      <w:r w:rsidRPr="00171B57">
        <w:rPr>
          <w:b/>
        </w:rPr>
        <w:t>3.</w:t>
      </w:r>
      <w:r w:rsidR="00C471D5" w:rsidRPr="00171B57">
        <w:rPr>
          <w:b/>
        </w:rPr>
        <w:t>20</w:t>
      </w:r>
      <w:r w:rsidR="00CC21E9" w:rsidRPr="00171B57">
        <w:rPr>
          <w:b/>
        </w:rPr>
        <w:t>5</w:t>
      </w:r>
      <w:r w:rsidR="00C471D5" w:rsidRPr="00171B57">
        <w:t xml:space="preserve"> </w:t>
      </w:r>
      <w:r w:rsidR="006137FC" w:rsidRPr="00171B57">
        <w:rPr>
          <w:b/>
        </w:rPr>
        <w:t>s</w:t>
      </w:r>
      <w:r w:rsidRPr="00171B57">
        <w:rPr>
          <w:b/>
        </w:rPr>
        <w:t>patial frequency sharing:</w:t>
      </w:r>
      <w:r w:rsidRPr="00171B57">
        <w:t xml:space="preserve"> </w:t>
      </w:r>
      <w:r w:rsidR="00D06E93" w:rsidRPr="00D06E93">
        <w:t xml:space="preserve">Use of a </w:t>
      </w:r>
      <w:r w:rsidR="00D06E93">
        <w:t xml:space="preserve">frequency </w:t>
      </w:r>
      <w:r w:rsidR="00D06E93" w:rsidRPr="00D06E93">
        <w:t>channel by multiple STAs whose directional transmissions may overlap in time.</w:t>
      </w:r>
    </w:p>
    <w:p w:rsidR="00EC1AC3" w:rsidRPr="00171B57" w:rsidRDefault="00EC1AC3" w:rsidP="00860F63">
      <w:pPr>
        <w:autoSpaceDE w:val="0"/>
        <w:autoSpaceDN w:val="0"/>
        <w:adjustRightInd w:val="0"/>
      </w:pPr>
    </w:p>
    <w:p w:rsidR="00DF7F88" w:rsidRPr="00171B57" w:rsidRDefault="00DF7F88" w:rsidP="00860F63">
      <w:pPr>
        <w:autoSpaceDE w:val="0"/>
        <w:autoSpaceDN w:val="0"/>
        <w:adjustRightInd w:val="0"/>
      </w:pPr>
      <w:r w:rsidRPr="00171B57">
        <w:rPr>
          <w:b/>
        </w:rPr>
        <w:t>3.</w:t>
      </w:r>
      <w:r w:rsidR="00C471D5" w:rsidRPr="00171B57">
        <w:rPr>
          <w:b/>
        </w:rPr>
        <w:t>20</w:t>
      </w:r>
      <w:r w:rsidR="00CC21E9" w:rsidRPr="00171B57">
        <w:rPr>
          <w:b/>
        </w:rPr>
        <w:t>6</w:t>
      </w:r>
      <w:r w:rsidR="00C471D5" w:rsidRPr="00171B57">
        <w:t xml:space="preserve"> </w:t>
      </w:r>
      <w:r w:rsidR="006137FC" w:rsidRPr="00171B57">
        <w:rPr>
          <w:b/>
        </w:rPr>
        <w:t>s</w:t>
      </w:r>
      <w:r w:rsidRPr="00171B57">
        <w:rPr>
          <w:b/>
        </w:rPr>
        <w:t>patial frequency sharing domain:</w:t>
      </w:r>
      <w:r w:rsidRPr="00171B57">
        <w:t xml:space="preserve"> </w:t>
      </w:r>
      <w:r w:rsidR="00AD071D" w:rsidRPr="00171B57">
        <w:t>A</w:t>
      </w:r>
      <w:r w:rsidR="003A0BAA" w:rsidRPr="00171B57">
        <w:t xml:space="preserve"> combination of channels of operation, antenna configurations and MCS choices for a given plurality of pairs of STAs operating in the ultra band such that no pair’s transmissions induce frame errors in the frames exchanged by any other pair. </w:t>
      </w:r>
    </w:p>
    <w:p w:rsidR="00DF7F88" w:rsidRPr="00171B57" w:rsidRDefault="00DF7F88" w:rsidP="00DF7F88">
      <w:pPr>
        <w:autoSpaceDE w:val="0"/>
        <w:autoSpaceDN w:val="0"/>
        <w:adjustRightInd w:val="0"/>
      </w:pPr>
    </w:p>
    <w:p w:rsidR="00DF7F88" w:rsidRPr="00171B57" w:rsidRDefault="00DF7F88" w:rsidP="00860F63">
      <w:pPr>
        <w:autoSpaceDE w:val="0"/>
        <w:autoSpaceDN w:val="0"/>
        <w:adjustRightInd w:val="0"/>
      </w:pPr>
      <w:r w:rsidRPr="00171B57">
        <w:rPr>
          <w:b/>
        </w:rPr>
        <w:t>3.</w:t>
      </w:r>
      <w:r w:rsidR="00C471D5" w:rsidRPr="00171B57">
        <w:rPr>
          <w:b/>
        </w:rPr>
        <w:t>2</w:t>
      </w:r>
      <w:r w:rsidR="00860F63" w:rsidRPr="00171B57">
        <w:rPr>
          <w:b/>
        </w:rPr>
        <w:t>0</w:t>
      </w:r>
      <w:r w:rsidR="00CC21E9" w:rsidRPr="00171B57">
        <w:rPr>
          <w:b/>
        </w:rPr>
        <w:t>7</w:t>
      </w:r>
      <w:r w:rsidR="00C471D5" w:rsidRPr="00171B57">
        <w:t xml:space="preserve"> </w:t>
      </w:r>
      <w:r w:rsidR="006137FC" w:rsidRPr="00171B57">
        <w:rPr>
          <w:b/>
        </w:rPr>
        <w:t>s</w:t>
      </w:r>
      <w:r w:rsidRPr="00171B57">
        <w:rPr>
          <w:b/>
        </w:rPr>
        <w:t>pace-</w:t>
      </w:r>
      <w:r w:rsidR="002A1F9B">
        <w:rPr>
          <w:b/>
        </w:rPr>
        <w:t>f</w:t>
      </w:r>
      <w:r w:rsidRPr="00171B57">
        <w:rPr>
          <w:b/>
        </w:rPr>
        <w:t xml:space="preserve">requency </w:t>
      </w:r>
      <w:r w:rsidR="002A1F9B">
        <w:rPr>
          <w:b/>
        </w:rPr>
        <w:t>d</w:t>
      </w:r>
      <w:r w:rsidRPr="00171B57">
        <w:rPr>
          <w:b/>
        </w:rPr>
        <w:t>omain:</w:t>
      </w:r>
      <w:r w:rsidRPr="00171B57">
        <w:t xml:space="preserve"> </w:t>
      </w:r>
      <w:r w:rsidR="00AD071D" w:rsidRPr="00171B57">
        <w:t>T</w:t>
      </w:r>
      <w:r w:rsidR="003A0BAA" w:rsidRPr="00171B57">
        <w:t xml:space="preserve">he set of all combinations of channels of operation, antenna configurations and MCS choices for a given plurality of pairs of STAs operating in the ultra band that are not in the spatial frequency sharing domain. </w:t>
      </w:r>
    </w:p>
    <w:p w:rsidR="00DF7F88" w:rsidRPr="00171B57" w:rsidRDefault="00DF7F88" w:rsidP="00DF7F88">
      <w:pPr>
        <w:autoSpaceDE w:val="0"/>
        <w:autoSpaceDN w:val="0"/>
        <w:adjustRightInd w:val="0"/>
      </w:pPr>
    </w:p>
    <w:p w:rsidR="00DF7F88" w:rsidRPr="00171B57" w:rsidRDefault="00DF7F88" w:rsidP="00860F63">
      <w:pPr>
        <w:autoSpaceDE w:val="0"/>
        <w:autoSpaceDN w:val="0"/>
        <w:adjustRightInd w:val="0"/>
        <w:outlineLvl w:val="0"/>
      </w:pPr>
      <w:r w:rsidRPr="00171B57">
        <w:rPr>
          <w:b/>
        </w:rPr>
        <w:t>3.</w:t>
      </w:r>
      <w:r w:rsidR="00C471D5" w:rsidRPr="00171B57">
        <w:rPr>
          <w:b/>
        </w:rPr>
        <w:t>2</w:t>
      </w:r>
      <w:r w:rsidR="00CC21E9" w:rsidRPr="00171B57">
        <w:rPr>
          <w:b/>
        </w:rPr>
        <w:t>08</w:t>
      </w:r>
      <w:r w:rsidR="00C471D5" w:rsidRPr="00171B57">
        <w:t xml:space="preserve"> </w:t>
      </w:r>
      <w:r w:rsidR="006137FC" w:rsidRPr="00171B57">
        <w:rPr>
          <w:b/>
        </w:rPr>
        <w:t>l</w:t>
      </w:r>
      <w:r w:rsidRPr="00171B57">
        <w:rPr>
          <w:b/>
        </w:rPr>
        <w:t>ow band</w:t>
      </w:r>
      <w:r w:rsidR="00EC1AC3" w:rsidRPr="00171B57">
        <w:rPr>
          <w:b/>
        </w:rPr>
        <w:t xml:space="preserve"> (LB)</w:t>
      </w:r>
      <w:r w:rsidRPr="00171B57">
        <w:t xml:space="preserve">: 2.4 GHz – 2.4835 GHz </w:t>
      </w:r>
      <w:r w:rsidR="00483D9E" w:rsidRPr="00171B57">
        <w:t xml:space="preserve">frequency </w:t>
      </w:r>
      <w:r w:rsidRPr="00171B57">
        <w:t>band</w:t>
      </w:r>
      <w:r w:rsidR="003A0BAA" w:rsidRPr="00171B57">
        <w:t>.</w:t>
      </w:r>
    </w:p>
    <w:p w:rsidR="00DF7F88" w:rsidRPr="00171B57" w:rsidRDefault="00DF7F88" w:rsidP="00DF7F88">
      <w:pPr>
        <w:autoSpaceDE w:val="0"/>
        <w:autoSpaceDN w:val="0"/>
        <w:adjustRightInd w:val="0"/>
      </w:pPr>
    </w:p>
    <w:p w:rsidR="00DF7F88" w:rsidRPr="00171B57" w:rsidRDefault="00DF7F88" w:rsidP="00860F63">
      <w:pPr>
        <w:autoSpaceDE w:val="0"/>
        <w:autoSpaceDN w:val="0"/>
        <w:adjustRightInd w:val="0"/>
        <w:outlineLvl w:val="0"/>
      </w:pPr>
      <w:r w:rsidRPr="00171B57">
        <w:rPr>
          <w:b/>
        </w:rPr>
        <w:t>3.</w:t>
      </w:r>
      <w:r w:rsidR="00C471D5" w:rsidRPr="00171B57">
        <w:rPr>
          <w:b/>
        </w:rPr>
        <w:t>2</w:t>
      </w:r>
      <w:r w:rsidR="00CC21E9" w:rsidRPr="00171B57">
        <w:rPr>
          <w:b/>
        </w:rPr>
        <w:t>09</w:t>
      </w:r>
      <w:r w:rsidR="00C471D5" w:rsidRPr="00171B57">
        <w:t xml:space="preserve"> </w:t>
      </w:r>
      <w:r w:rsidR="006137FC" w:rsidRPr="00171B57">
        <w:rPr>
          <w:b/>
        </w:rPr>
        <w:t>h</w:t>
      </w:r>
      <w:r w:rsidRPr="00171B57">
        <w:rPr>
          <w:b/>
        </w:rPr>
        <w:t>igh band</w:t>
      </w:r>
      <w:r w:rsidR="00EC1AC3" w:rsidRPr="00171B57">
        <w:rPr>
          <w:b/>
        </w:rPr>
        <w:t xml:space="preserve"> (HB)</w:t>
      </w:r>
      <w:r w:rsidRPr="00171B57">
        <w:rPr>
          <w:b/>
        </w:rPr>
        <w:t>:</w:t>
      </w:r>
      <w:r w:rsidRPr="00171B57">
        <w:t xml:space="preserve"> 4.9 GHz – 5.825 GHz </w:t>
      </w:r>
      <w:r w:rsidR="00483D9E" w:rsidRPr="00171B57">
        <w:t xml:space="preserve">frequency </w:t>
      </w:r>
      <w:r w:rsidRPr="00171B57">
        <w:t>band</w:t>
      </w:r>
      <w:r w:rsidR="003A0BAA" w:rsidRPr="00171B57">
        <w:t>.</w:t>
      </w:r>
    </w:p>
    <w:p w:rsidR="00DF7F88" w:rsidRPr="00171B57" w:rsidRDefault="00DF7F88" w:rsidP="00DF7F88">
      <w:pPr>
        <w:autoSpaceDE w:val="0"/>
        <w:autoSpaceDN w:val="0"/>
        <w:adjustRightInd w:val="0"/>
        <w:outlineLvl w:val="0"/>
      </w:pPr>
    </w:p>
    <w:p w:rsidR="00DF7F88" w:rsidRPr="00171B57" w:rsidRDefault="00DF7F88" w:rsidP="00860F63">
      <w:pPr>
        <w:autoSpaceDE w:val="0"/>
        <w:autoSpaceDN w:val="0"/>
        <w:adjustRightInd w:val="0"/>
        <w:outlineLvl w:val="0"/>
      </w:pPr>
      <w:r w:rsidRPr="00171B57">
        <w:rPr>
          <w:b/>
        </w:rPr>
        <w:t>3.</w:t>
      </w:r>
      <w:r w:rsidR="00C471D5" w:rsidRPr="00171B57">
        <w:rPr>
          <w:b/>
        </w:rPr>
        <w:t>2</w:t>
      </w:r>
      <w:r w:rsidR="00CC21E9" w:rsidRPr="00171B57">
        <w:rPr>
          <w:b/>
        </w:rPr>
        <w:t>10</w:t>
      </w:r>
      <w:r w:rsidR="00C471D5" w:rsidRPr="00171B57">
        <w:t xml:space="preserve"> </w:t>
      </w:r>
      <w:r w:rsidR="006137FC" w:rsidRPr="00171B57">
        <w:rPr>
          <w:b/>
        </w:rPr>
        <w:t>u</w:t>
      </w:r>
      <w:r w:rsidRPr="00171B57">
        <w:rPr>
          <w:b/>
        </w:rPr>
        <w:t>ltra band</w:t>
      </w:r>
      <w:r w:rsidR="00EC1AC3" w:rsidRPr="00171B57">
        <w:rPr>
          <w:b/>
        </w:rPr>
        <w:t xml:space="preserve"> (UB)</w:t>
      </w:r>
      <w:r w:rsidRPr="00171B57">
        <w:rPr>
          <w:b/>
        </w:rPr>
        <w:t>:</w:t>
      </w:r>
      <w:r w:rsidRPr="00171B57">
        <w:t xml:space="preserve"> 57 – 66 GHz </w:t>
      </w:r>
      <w:r w:rsidR="00483D9E" w:rsidRPr="00171B57">
        <w:t xml:space="preserve">frequency </w:t>
      </w:r>
      <w:r w:rsidRPr="00171B57">
        <w:t>band</w:t>
      </w:r>
      <w:r w:rsidR="003A0BAA" w:rsidRPr="00171B57">
        <w:t>.</w:t>
      </w:r>
    </w:p>
    <w:p w:rsidR="0093220E" w:rsidRPr="00171B57" w:rsidRDefault="0093220E" w:rsidP="00DF7F88">
      <w:pPr>
        <w:autoSpaceDE w:val="0"/>
        <w:autoSpaceDN w:val="0"/>
        <w:adjustRightInd w:val="0"/>
        <w:outlineLvl w:val="0"/>
      </w:pPr>
    </w:p>
    <w:p w:rsidR="0093220E" w:rsidRPr="00171B57" w:rsidRDefault="0093220E" w:rsidP="00860F63">
      <w:pPr>
        <w:jc w:val="both"/>
        <w:rPr>
          <w:lang w:val="en-GB"/>
        </w:rPr>
      </w:pPr>
      <w:r w:rsidRPr="00171B57">
        <w:rPr>
          <w:b/>
          <w:lang w:val="en-GB"/>
        </w:rPr>
        <w:t>3.</w:t>
      </w:r>
      <w:r w:rsidR="00C471D5" w:rsidRPr="00171B57">
        <w:rPr>
          <w:b/>
          <w:lang w:val="en-GB"/>
        </w:rPr>
        <w:t>21</w:t>
      </w:r>
      <w:r w:rsidR="00CC21E9" w:rsidRPr="00171B57">
        <w:rPr>
          <w:b/>
          <w:lang w:val="en-GB"/>
        </w:rPr>
        <w:t>1</w:t>
      </w:r>
      <w:r w:rsidR="00C471D5" w:rsidRPr="00171B57">
        <w:rPr>
          <w:b/>
          <w:lang w:val="en-GB"/>
        </w:rPr>
        <w:t xml:space="preserve"> </w:t>
      </w:r>
      <w:r w:rsidR="006137FC" w:rsidRPr="00171B57">
        <w:rPr>
          <w:b/>
          <w:lang w:val="en-GB"/>
        </w:rPr>
        <w:t>s</w:t>
      </w:r>
      <w:r w:rsidRPr="00171B57">
        <w:rPr>
          <w:b/>
          <w:lang w:val="en-GB"/>
        </w:rPr>
        <w:t>ession</w:t>
      </w:r>
      <w:r w:rsidRPr="00171B57">
        <w:rPr>
          <w:lang w:val="en-GB"/>
        </w:rPr>
        <w:t xml:space="preserve">: </w:t>
      </w:r>
      <w:r w:rsidR="00AD071D" w:rsidRPr="00171B57">
        <w:rPr>
          <w:lang w:val="en-GB"/>
        </w:rPr>
        <w:t>S</w:t>
      </w:r>
      <w:r w:rsidR="006C1352" w:rsidRPr="00171B57">
        <w:rPr>
          <w:lang w:val="en-GB"/>
        </w:rPr>
        <w:t>tate information kept in a pair of STAs that have an established direct PHY link (i.e., excludes forwarding)</w:t>
      </w:r>
      <w:r w:rsidRPr="00171B57">
        <w:rPr>
          <w:lang w:val="en-GB"/>
        </w:rPr>
        <w:t>.</w:t>
      </w:r>
    </w:p>
    <w:p w:rsidR="0093220E" w:rsidRPr="00171B57" w:rsidRDefault="0093220E" w:rsidP="0093220E">
      <w:pPr>
        <w:jc w:val="both"/>
        <w:rPr>
          <w:lang w:val="en-GB"/>
        </w:rPr>
      </w:pPr>
    </w:p>
    <w:p w:rsidR="00867361" w:rsidRPr="0005754F" w:rsidRDefault="0093220E" w:rsidP="00867361">
      <w:r w:rsidRPr="0005754F">
        <w:rPr>
          <w:b/>
        </w:rPr>
        <w:t>3.</w:t>
      </w:r>
      <w:r w:rsidR="00C471D5" w:rsidRPr="0005754F">
        <w:rPr>
          <w:b/>
        </w:rPr>
        <w:t>21</w:t>
      </w:r>
      <w:r w:rsidR="00CC21E9" w:rsidRPr="0005754F">
        <w:rPr>
          <w:b/>
        </w:rPr>
        <w:t>2</w:t>
      </w:r>
      <w:r w:rsidR="00C471D5" w:rsidRPr="0005754F">
        <w:rPr>
          <w:b/>
        </w:rPr>
        <w:t xml:space="preserve"> </w:t>
      </w:r>
      <w:r w:rsidR="00867361" w:rsidRPr="0005754F">
        <w:rPr>
          <w:b/>
          <w:bCs/>
          <w:color w:val="000000"/>
        </w:rPr>
        <w:t>FST</w:t>
      </w:r>
      <w:r w:rsidR="00867361" w:rsidRPr="0005754F">
        <w:rPr>
          <w:b/>
        </w:rPr>
        <w:t xml:space="preserve"> </w:t>
      </w:r>
      <w:r w:rsidR="007C17CD">
        <w:rPr>
          <w:b/>
        </w:rPr>
        <w:t>s</w:t>
      </w:r>
      <w:r w:rsidR="00867361" w:rsidRPr="0005754F">
        <w:rPr>
          <w:b/>
        </w:rPr>
        <w:t xml:space="preserve">ession </w:t>
      </w:r>
      <w:r w:rsidR="007C17CD">
        <w:rPr>
          <w:b/>
        </w:rPr>
        <w:t>t</w:t>
      </w:r>
      <w:r w:rsidR="00867361" w:rsidRPr="0005754F">
        <w:rPr>
          <w:b/>
        </w:rPr>
        <w:t>ransfer</w:t>
      </w:r>
      <w:r w:rsidR="00867361" w:rsidRPr="0005754F">
        <w:t xml:space="preserve">: The </w:t>
      </w:r>
      <w:r w:rsidR="00867361" w:rsidRPr="0005754F">
        <w:rPr>
          <w:lang w:val="en-GB"/>
        </w:rPr>
        <w:t>transfer of a session</w:t>
      </w:r>
      <w:r w:rsidR="00867361" w:rsidRPr="0005754F">
        <w:rPr>
          <w:rFonts w:ascii="Arial" w:hAnsi="Arial" w:cs="Arial"/>
          <w:color w:val="000000"/>
        </w:rPr>
        <w:t> </w:t>
      </w:r>
      <w:r w:rsidR="00867361" w:rsidRPr="0005754F">
        <w:rPr>
          <w:color w:val="000000"/>
        </w:rPr>
        <w:t>from a channel to another channel</w:t>
      </w:r>
      <w:r w:rsidR="00867361" w:rsidRPr="0005754F">
        <w:rPr>
          <w:lang w:val="en-GB"/>
        </w:rPr>
        <w:t xml:space="preserve"> when the communicating STAs both have matching radios in the frequency band they wish to communicate.</w:t>
      </w:r>
    </w:p>
    <w:p w:rsidR="00860F63" w:rsidRPr="00171B57" w:rsidRDefault="00860F63" w:rsidP="00171B57">
      <w:pPr>
        <w:autoSpaceDE w:val="0"/>
        <w:autoSpaceDN w:val="0"/>
        <w:adjustRightInd w:val="0"/>
        <w:outlineLvl w:val="0"/>
        <w:rPr>
          <w:b/>
          <w:i/>
        </w:rPr>
      </w:pPr>
    </w:p>
    <w:p w:rsidR="0089044F" w:rsidRPr="00171B57" w:rsidRDefault="0089044F" w:rsidP="00860F63">
      <w:pPr>
        <w:autoSpaceDE w:val="0"/>
        <w:autoSpaceDN w:val="0"/>
        <w:adjustRightInd w:val="0"/>
        <w:rPr>
          <w:rFonts w:eastAsia="Batang"/>
        </w:rPr>
      </w:pPr>
      <w:r w:rsidRPr="00171B57">
        <w:rPr>
          <w:rFonts w:eastAsia="Batang"/>
          <w:b/>
        </w:rPr>
        <w:t>3.21</w:t>
      </w:r>
      <w:r w:rsidR="00CC21E9" w:rsidRPr="00171B57">
        <w:rPr>
          <w:rFonts w:eastAsia="Batang"/>
          <w:b/>
        </w:rPr>
        <w:t>3</w:t>
      </w:r>
      <w:r w:rsidRPr="00171B57">
        <w:rPr>
          <w:rFonts w:eastAsia="Batang"/>
          <w:b/>
        </w:rPr>
        <w:t xml:space="preserve"> </w:t>
      </w:r>
      <w:r w:rsidR="006137FC" w:rsidRPr="00171B57">
        <w:rPr>
          <w:rFonts w:eastAsia="Batang"/>
          <w:b/>
        </w:rPr>
        <w:t>s</w:t>
      </w:r>
      <w:r w:rsidR="00E238CC">
        <w:rPr>
          <w:rFonts w:eastAsia="Batang"/>
          <w:b/>
        </w:rPr>
        <w:t>ector s</w:t>
      </w:r>
      <w:r w:rsidRPr="00171B57">
        <w:rPr>
          <w:rFonts w:eastAsia="Batang"/>
          <w:b/>
        </w:rPr>
        <w:t>weep</w:t>
      </w:r>
      <w:r w:rsidRPr="00171B57">
        <w:rPr>
          <w:rFonts w:eastAsia="Batang"/>
        </w:rPr>
        <w:t xml:space="preserve">: </w:t>
      </w:r>
      <w:r w:rsidR="00AD071D" w:rsidRPr="00171B57">
        <w:rPr>
          <w:rFonts w:eastAsia="Batang"/>
        </w:rPr>
        <w:t>C</w:t>
      </w:r>
      <w:r w:rsidRPr="00171B57">
        <w:rPr>
          <w:rFonts w:eastAsia="Batang"/>
        </w:rPr>
        <w:t>hange in antenna configuration performed within SBIFS interval</w:t>
      </w:r>
      <w:r w:rsidR="003A0BAA" w:rsidRPr="00171B57">
        <w:rPr>
          <w:rFonts w:eastAsia="Batang"/>
        </w:rPr>
        <w:t>.</w:t>
      </w:r>
    </w:p>
    <w:p w:rsidR="0089044F" w:rsidRPr="00171B57" w:rsidRDefault="0089044F" w:rsidP="0089044F">
      <w:pPr>
        <w:autoSpaceDE w:val="0"/>
        <w:autoSpaceDN w:val="0"/>
        <w:adjustRightInd w:val="0"/>
        <w:rPr>
          <w:rFonts w:eastAsia="Batang"/>
        </w:rPr>
      </w:pPr>
    </w:p>
    <w:p w:rsidR="0089044F" w:rsidRPr="00171B57" w:rsidRDefault="0089044F" w:rsidP="00C471D5">
      <w:pPr>
        <w:autoSpaceDE w:val="0"/>
        <w:autoSpaceDN w:val="0"/>
        <w:adjustRightInd w:val="0"/>
        <w:rPr>
          <w:b/>
        </w:rPr>
      </w:pPr>
      <w:r w:rsidRPr="00171B57">
        <w:rPr>
          <w:rFonts w:eastAsia="Batang"/>
          <w:b/>
        </w:rPr>
        <w:t>3.2</w:t>
      </w:r>
      <w:r w:rsidR="00C471D5" w:rsidRPr="00171B57">
        <w:rPr>
          <w:rFonts w:eastAsia="Batang"/>
          <w:b/>
        </w:rPr>
        <w:t>1</w:t>
      </w:r>
      <w:r w:rsidR="00CC21E9" w:rsidRPr="00171B57">
        <w:rPr>
          <w:rFonts w:eastAsia="Batang"/>
          <w:b/>
        </w:rPr>
        <w:t>4</w:t>
      </w:r>
      <w:r w:rsidRPr="00171B57">
        <w:rPr>
          <w:rFonts w:eastAsia="Batang"/>
          <w:b/>
        </w:rPr>
        <w:t xml:space="preserve"> </w:t>
      </w:r>
      <w:r w:rsidR="006137FC" w:rsidRPr="00171B57">
        <w:rPr>
          <w:rFonts w:eastAsia="Batang"/>
          <w:b/>
        </w:rPr>
        <w:t>t</w:t>
      </w:r>
      <w:r w:rsidRPr="00171B57">
        <w:rPr>
          <w:rFonts w:eastAsia="Batang"/>
          <w:b/>
        </w:rPr>
        <w:t>ransmit sector sweep (TXSS)</w:t>
      </w:r>
      <w:r w:rsidRPr="00171B57">
        <w:rPr>
          <w:rFonts w:eastAsia="Batang"/>
        </w:rPr>
        <w:t xml:space="preserve">: transmission of </w:t>
      </w:r>
      <w:r w:rsidR="009E6E77">
        <w:rPr>
          <w:rFonts w:eastAsia="Batang"/>
        </w:rPr>
        <w:t xml:space="preserve">multiple </w:t>
      </w:r>
      <w:r w:rsidR="00B55611">
        <w:rPr>
          <w:rFonts w:eastAsia="Batang"/>
        </w:rPr>
        <w:t xml:space="preserve">SS or mmWave Beacon </w:t>
      </w:r>
      <w:r w:rsidR="009E6E77">
        <w:rPr>
          <w:rFonts w:eastAsia="Batang"/>
        </w:rPr>
        <w:t>frames</w:t>
      </w:r>
      <w:r w:rsidRPr="00171B57">
        <w:rPr>
          <w:rFonts w:eastAsia="Batang"/>
        </w:rPr>
        <w:t>, in which a sector sweep is performed between consecutive transmissions</w:t>
      </w:r>
      <w:r w:rsidR="003A0BAA" w:rsidRPr="00171B57">
        <w:rPr>
          <w:rFonts w:eastAsia="Batang"/>
        </w:rPr>
        <w:t>.</w:t>
      </w:r>
      <w:r w:rsidR="009E6E77">
        <w:rPr>
          <w:rFonts w:eastAsia="Batang"/>
        </w:rPr>
        <w:t xml:space="preserve"> </w:t>
      </w:r>
    </w:p>
    <w:p w:rsidR="0089044F" w:rsidRPr="00171B57" w:rsidRDefault="0089044F" w:rsidP="0089044F">
      <w:pPr>
        <w:autoSpaceDE w:val="0"/>
        <w:autoSpaceDN w:val="0"/>
        <w:adjustRightInd w:val="0"/>
        <w:rPr>
          <w:b/>
        </w:rPr>
      </w:pPr>
    </w:p>
    <w:p w:rsidR="0089044F" w:rsidRPr="00171B57" w:rsidRDefault="005805C5" w:rsidP="00C471D5">
      <w:pPr>
        <w:autoSpaceDE w:val="0"/>
        <w:autoSpaceDN w:val="0"/>
        <w:adjustRightInd w:val="0"/>
        <w:outlineLvl w:val="0"/>
        <w:rPr>
          <w:rFonts w:eastAsia="Batang"/>
        </w:rPr>
      </w:pPr>
      <w:r w:rsidRPr="00171B57">
        <w:rPr>
          <w:rFonts w:eastAsia="Batang"/>
          <w:b/>
        </w:rPr>
        <w:t>3.</w:t>
      </w:r>
      <w:r w:rsidR="0089044F" w:rsidRPr="00171B57">
        <w:rPr>
          <w:rFonts w:eastAsia="Batang"/>
          <w:b/>
        </w:rPr>
        <w:t>2</w:t>
      </w:r>
      <w:r w:rsidR="00C471D5" w:rsidRPr="00171B57">
        <w:rPr>
          <w:rFonts w:eastAsia="Batang"/>
          <w:b/>
        </w:rPr>
        <w:t>1</w:t>
      </w:r>
      <w:r w:rsidR="00CC21E9" w:rsidRPr="00171B57">
        <w:rPr>
          <w:rFonts w:eastAsia="Batang"/>
          <w:b/>
        </w:rPr>
        <w:t>5</w:t>
      </w:r>
      <w:r w:rsidR="0089044F" w:rsidRPr="00171B57">
        <w:rPr>
          <w:rFonts w:eastAsia="Batang"/>
          <w:b/>
        </w:rPr>
        <w:t xml:space="preserve"> </w:t>
      </w:r>
      <w:r w:rsidR="006137FC" w:rsidRPr="00171B57">
        <w:rPr>
          <w:rFonts w:eastAsia="Batang"/>
          <w:b/>
        </w:rPr>
        <w:t>r</w:t>
      </w:r>
      <w:r w:rsidR="0089044F" w:rsidRPr="00171B57">
        <w:rPr>
          <w:rFonts w:eastAsia="Batang"/>
          <w:b/>
        </w:rPr>
        <w:t>eceive sector sweep (RXSS)</w:t>
      </w:r>
      <w:r w:rsidR="0089044F" w:rsidRPr="00171B57">
        <w:rPr>
          <w:rFonts w:eastAsia="Batang"/>
        </w:rPr>
        <w:t xml:space="preserve">: reception attempt of </w:t>
      </w:r>
      <w:r w:rsidR="00B55611">
        <w:rPr>
          <w:rFonts w:eastAsia="Batang"/>
        </w:rPr>
        <w:t>SS</w:t>
      </w:r>
      <w:r w:rsidR="0089044F" w:rsidRPr="00171B57">
        <w:rPr>
          <w:rFonts w:eastAsia="Batang"/>
        </w:rPr>
        <w:t xml:space="preserve"> frame</w:t>
      </w:r>
      <w:r w:rsidR="00B55611">
        <w:rPr>
          <w:rFonts w:eastAsia="Batang"/>
        </w:rPr>
        <w:t>s</w:t>
      </w:r>
      <w:r w:rsidR="0089044F" w:rsidRPr="00171B57">
        <w:rPr>
          <w:rFonts w:eastAsia="Batang"/>
        </w:rPr>
        <w:t>, in which a sector sweep is performed between consecutive reception attempts</w:t>
      </w:r>
      <w:r w:rsidR="003A0BAA" w:rsidRPr="00171B57">
        <w:rPr>
          <w:rFonts w:eastAsia="Batang"/>
        </w:rPr>
        <w:t>.</w:t>
      </w:r>
      <w:r w:rsidR="00B55611">
        <w:rPr>
          <w:rFonts w:eastAsia="Batang"/>
        </w:rPr>
        <w:t xml:space="preserve"> </w:t>
      </w:r>
    </w:p>
    <w:p w:rsidR="00861688" w:rsidRPr="00171B57" w:rsidRDefault="00861688" w:rsidP="009B665C">
      <w:pPr>
        <w:jc w:val="both"/>
      </w:pPr>
    </w:p>
    <w:p w:rsidR="005805C5" w:rsidRPr="00171B57" w:rsidRDefault="005805C5" w:rsidP="009B665C">
      <w:pPr>
        <w:jc w:val="both"/>
      </w:pPr>
      <w:r w:rsidRPr="00171B57">
        <w:rPr>
          <w:rFonts w:eastAsia="Batang"/>
          <w:b/>
        </w:rPr>
        <w:t xml:space="preserve">3.216 </w:t>
      </w:r>
      <w:r w:rsidRPr="00171B57">
        <w:rPr>
          <w:b/>
        </w:rPr>
        <w:t>mmWave BSS</w:t>
      </w:r>
      <w:r w:rsidRPr="00171B57">
        <w:t xml:space="preserve">: a BSS which operates on a channel that is within the UB. </w:t>
      </w:r>
    </w:p>
    <w:p w:rsidR="005805C5" w:rsidRPr="00171B57" w:rsidRDefault="005805C5" w:rsidP="009B665C">
      <w:pPr>
        <w:jc w:val="both"/>
      </w:pPr>
    </w:p>
    <w:p w:rsidR="005805C5" w:rsidRPr="00171B57" w:rsidRDefault="005805C5" w:rsidP="009B665C">
      <w:pPr>
        <w:jc w:val="both"/>
      </w:pPr>
      <w:r w:rsidRPr="00171B57">
        <w:rPr>
          <w:rFonts w:eastAsia="Batang"/>
          <w:b/>
        </w:rPr>
        <w:t>3.216 mmWave PBSS</w:t>
      </w:r>
      <w:r w:rsidRPr="00171B57">
        <w:rPr>
          <w:rFonts w:eastAsia="Batang"/>
        </w:rPr>
        <w:t>: a mmWave BSS that is also a PBSS.</w:t>
      </w:r>
    </w:p>
    <w:p w:rsidR="008C36FC" w:rsidRPr="00066F65" w:rsidRDefault="008C36FC" w:rsidP="003701DB">
      <w:pPr>
        <w:pStyle w:val="Heading1"/>
        <w:numPr>
          <w:ilvl w:val="0"/>
          <w:numId w:val="48"/>
        </w:numPr>
      </w:pPr>
      <w:bookmarkStart w:id="84" w:name="_Toc207098809"/>
      <w:bookmarkStart w:id="85" w:name="_Toc207099417"/>
      <w:bookmarkStart w:id="86" w:name="_Toc207100337"/>
      <w:bookmarkStart w:id="87" w:name="_Toc207348259"/>
      <w:bookmarkStart w:id="88" w:name="_Toc215582560"/>
      <w:bookmarkStart w:id="89" w:name="_Toc235399784"/>
      <w:bookmarkStart w:id="90" w:name="_Toc259716836"/>
      <w:r w:rsidRPr="00066F65">
        <w:t>Abbreviations and acronyms</w:t>
      </w:r>
      <w:bookmarkEnd w:id="84"/>
      <w:bookmarkEnd w:id="85"/>
      <w:bookmarkEnd w:id="86"/>
      <w:bookmarkEnd w:id="87"/>
      <w:bookmarkEnd w:id="88"/>
      <w:bookmarkEnd w:id="89"/>
      <w:bookmarkEnd w:id="90"/>
      <w:r w:rsidR="00281486" w:rsidRPr="00066F65">
        <w:t xml:space="preserve"> </w:t>
      </w:r>
    </w:p>
    <w:bookmarkEnd w:id="49"/>
    <w:bookmarkEnd w:id="50"/>
    <w:bookmarkEnd w:id="51"/>
    <w:bookmarkEnd w:id="52"/>
    <w:bookmarkEnd w:id="53"/>
    <w:bookmarkEnd w:id="54"/>
    <w:bookmarkEnd w:id="55"/>
    <w:p w:rsidR="008C36FC" w:rsidRPr="00171B57" w:rsidRDefault="008C36FC" w:rsidP="00AF50CD"/>
    <w:tbl>
      <w:tblPr>
        <w:tblW w:w="0" w:type="auto"/>
        <w:tblLook w:val="01E0"/>
      </w:tblPr>
      <w:tblGrid>
        <w:gridCol w:w="2448"/>
        <w:gridCol w:w="7668"/>
      </w:tblGrid>
      <w:tr w:rsidR="0080004E" w:rsidRPr="00066F65" w:rsidTr="00D0037C">
        <w:tc>
          <w:tcPr>
            <w:tcW w:w="2448" w:type="dxa"/>
          </w:tcPr>
          <w:p w:rsidR="0080004E" w:rsidRDefault="0080004E" w:rsidP="00D0037C">
            <w:pPr>
              <w:jc w:val="both"/>
              <w:rPr>
                <w:rFonts w:eastAsia="SimSun"/>
              </w:rPr>
            </w:pPr>
            <w:r w:rsidRPr="00171B57">
              <w:rPr>
                <w:rFonts w:eastAsia="SimSun"/>
              </w:rPr>
              <w:t>A-BFT</w:t>
            </w:r>
          </w:p>
          <w:p w:rsidR="00D0477B" w:rsidRPr="00171B57" w:rsidRDefault="00D0477B" w:rsidP="00D0037C">
            <w:pPr>
              <w:jc w:val="both"/>
              <w:rPr>
                <w:rFonts w:eastAsia="SimSun"/>
              </w:rPr>
            </w:pPr>
            <w:r>
              <w:rPr>
                <w:rFonts w:eastAsia="SimSun"/>
              </w:rPr>
              <w:t>AF</w:t>
            </w:r>
          </w:p>
        </w:tc>
        <w:tc>
          <w:tcPr>
            <w:tcW w:w="7668" w:type="dxa"/>
          </w:tcPr>
          <w:p w:rsidR="0080004E" w:rsidRDefault="00386A92" w:rsidP="00386A92">
            <w:pPr>
              <w:jc w:val="both"/>
              <w:outlineLvl w:val="0"/>
              <w:rPr>
                <w:rFonts w:eastAsia="SimSun"/>
              </w:rPr>
            </w:pPr>
            <w:r w:rsidRPr="00171B57">
              <w:rPr>
                <w:rFonts w:eastAsia="SimSun"/>
              </w:rPr>
              <w:t>a</w:t>
            </w:r>
            <w:r w:rsidR="0080004E" w:rsidRPr="00171B57">
              <w:rPr>
                <w:rFonts w:eastAsia="SimSun"/>
              </w:rPr>
              <w:t xml:space="preserve">ssociation </w:t>
            </w:r>
            <w:r w:rsidRPr="00171B57">
              <w:rPr>
                <w:rFonts w:eastAsia="SimSun"/>
              </w:rPr>
              <w:t>b</w:t>
            </w:r>
            <w:r w:rsidR="0080004E" w:rsidRPr="00171B57">
              <w:rPr>
                <w:rFonts w:eastAsia="SimSun"/>
              </w:rPr>
              <w:t xml:space="preserve">eamforming </w:t>
            </w:r>
            <w:r w:rsidRPr="00171B57">
              <w:rPr>
                <w:rFonts w:eastAsia="SimSun"/>
              </w:rPr>
              <w:t>t</w:t>
            </w:r>
            <w:r w:rsidR="0080004E" w:rsidRPr="00171B57">
              <w:rPr>
                <w:rFonts w:eastAsia="SimSun"/>
              </w:rPr>
              <w:t>raining</w:t>
            </w:r>
          </w:p>
          <w:p w:rsidR="00D0477B" w:rsidRPr="00171B57" w:rsidRDefault="00D0477B" w:rsidP="00386A92">
            <w:pPr>
              <w:jc w:val="both"/>
              <w:outlineLvl w:val="0"/>
              <w:rPr>
                <w:rFonts w:eastAsia="SimSun"/>
              </w:rPr>
            </w:pPr>
            <w:r>
              <w:rPr>
                <w:rFonts w:eastAsia="SimSun"/>
              </w:rPr>
              <w:t>amplify-and-forward</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AT</w:t>
            </w:r>
          </w:p>
        </w:tc>
        <w:tc>
          <w:tcPr>
            <w:tcW w:w="7668" w:type="dxa"/>
          </w:tcPr>
          <w:p w:rsidR="0080004E" w:rsidRPr="00171B57" w:rsidRDefault="00386A92" w:rsidP="00386A92">
            <w:pPr>
              <w:jc w:val="both"/>
              <w:outlineLvl w:val="0"/>
              <w:rPr>
                <w:rFonts w:eastAsia="SimSun"/>
              </w:rPr>
            </w:pPr>
            <w:r w:rsidRPr="00171B57">
              <w:rPr>
                <w:rFonts w:eastAsia="SimSun"/>
              </w:rPr>
              <w:t>a</w:t>
            </w:r>
            <w:r w:rsidR="0080004E" w:rsidRPr="00171B57">
              <w:rPr>
                <w:rFonts w:eastAsia="SimSun"/>
              </w:rPr>
              <w:t xml:space="preserve">nnouncement </w:t>
            </w:r>
            <w:r w:rsidRPr="00171B57">
              <w:rPr>
                <w:rFonts w:eastAsia="SimSun"/>
              </w:rPr>
              <w:t>t</w:t>
            </w:r>
            <w:r w:rsidR="0080004E" w:rsidRPr="00171B57">
              <w:rPr>
                <w:rFonts w:eastAsia="SimSun"/>
              </w:rPr>
              <w:t>ime</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AWV</w:t>
            </w:r>
          </w:p>
        </w:tc>
        <w:tc>
          <w:tcPr>
            <w:tcW w:w="7668" w:type="dxa"/>
          </w:tcPr>
          <w:p w:rsidR="0080004E" w:rsidRPr="00171B57" w:rsidRDefault="00386A92" w:rsidP="00D0037C">
            <w:pPr>
              <w:jc w:val="both"/>
              <w:outlineLvl w:val="0"/>
              <w:rPr>
                <w:rFonts w:eastAsia="SimSun"/>
              </w:rPr>
            </w:pPr>
            <w:r w:rsidRPr="00171B57">
              <w:rPr>
                <w:rFonts w:eastAsia="SimSun"/>
              </w:rPr>
              <w:t>a</w:t>
            </w:r>
            <w:r w:rsidR="0080004E" w:rsidRPr="00171B57">
              <w:rPr>
                <w:rFonts w:eastAsia="SimSun"/>
              </w:rPr>
              <w:t>ntenna weight vector</w:t>
            </w:r>
            <w:r w:rsidR="00281486" w:rsidRPr="00171B57">
              <w:rPr>
                <w:rFonts w:eastAsia="SimSun"/>
              </w:rPr>
              <w:t xml:space="preserve"> </w:t>
            </w:r>
          </w:p>
        </w:tc>
      </w:tr>
      <w:tr w:rsidR="001129F3" w:rsidRPr="00066F65" w:rsidTr="00D0037C">
        <w:tc>
          <w:tcPr>
            <w:tcW w:w="2448" w:type="dxa"/>
          </w:tcPr>
          <w:p w:rsidR="001129F3" w:rsidRPr="00171B57" w:rsidRDefault="001129F3" w:rsidP="00D0037C">
            <w:pPr>
              <w:jc w:val="both"/>
              <w:rPr>
                <w:rFonts w:eastAsia="SimSun"/>
              </w:rPr>
            </w:pPr>
            <w:r>
              <w:rPr>
                <w:rFonts w:eastAsia="SimSun"/>
              </w:rPr>
              <w:t>BF</w:t>
            </w:r>
          </w:p>
        </w:tc>
        <w:tc>
          <w:tcPr>
            <w:tcW w:w="7668" w:type="dxa"/>
          </w:tcPr>
          <w:p w:rsidR="001129F3" w:rsidRPr="00171B57" w:rsidRDefault="00D0477B" w:rsidP="00D0037C">
            <w:pPr>
              <w:jc w:val="both"/>
              <w:outlineLvl w:val="0"/>
              <w:rPr>
                <w:rFonts w:eastAsia="SimSun"/>
              </w:rPr>
            </w:pPr>
            <w:r>
              <w:rPr>
                <w:rFonts w:eastAsia="SimSun"/>
              </w:rPr>
              <w:t>b</w:t>
            </w:r>
            <w:r w:rsidR="001129F3">
              <w:rPr>
                <w:rFonts w:eastAsia="SimSun"/>
              </w:rPr>
              <w:t>eamforming</w:t>
            </w:r>
          </w:p>
        </w:tc>
      </w:tr>
      <w:tr w:rsidR="00861688" w:rsidRPr="00066F65" w:rsidTr="00D0037C">
        <w:tc>
          <w:tcPr>
            <w:tcW w:w="2448" w:type="dxa"/>
          </w:tcPr>
          <w:p w:rsidR="00861688" w:rsidRPr="00171B57" w:rsidRDefault="00861688" w:rsidP="00D0037C">
            <w:pPr>
              <w:jc w:val="both"/>
              <w:rPr>
                <w:rFonts w:eastAsia="SimSun"/>
              </w:rPr>
            </w:pPr>
            <w:r w:rsidRPr="00171B57">
              <w:rPr>
                <w:rFonts w:eastAsia="SimSun"/>
              </w:rPr>
              <w:t>BI</w:t>
            </w:r>
          </w:p>
        </w:tc>
        <w:tc>
          <w:tcPr>
            <w:tcW w:w="7668" w:type="dxa"/>
          </w:tcPr>
          <w:p w:rsidR="00861688" w:rsidRPr="00171B57" w:rsidRDefault="00386A92" w:rsidP="001129F3">
            <w:pPr>
              <w:jc w:val="both"/>
              <w:rPr>
                <w:rFonts w:eastAsia="SimSun"/>
              </w:rPr>
            </w:pPr>
            <w:r w:rsidRPr="00171B57">
              <w:rPr>
                <w:rFonts w:eastAsia="SimSun"/>
              </w:rPr>
              <w:t>b</w:t>
            </w:r>
            <w:r w:rsidR="00861688" w:rsidRPr="00171B57">
              <w:rPr>
                <w:rFonts w:eastAsia="SimSun"/>
              </w:rPr>
              <w:t xml:space="preserve">eacon </w:t>
            </w:r>
            <w:r w:rsidR="001129F3">
              <w:rPr>
                <w:rFonts w:eastAsia="SimSun"/>
              </w:rPr>
              <w:t>i</w:t>
            </w:r>
            <w:r w:rsidR="00861688" w:rsidRPr="00171B57">
              <w:rPr>
                <w:rFonts w:eastAsia="SimSun"/>
              </w:rPr>
              <w:t>nterval</w:t>
            </w:r>
            <w:r w:rsidR="00281486" w:rsidRPr="00171B57">
              <w:rPr>
                <w:rFonts w:eastAsia="SimSun"/>
              </w:rPr>
              <w:t xml:space="preserve"> </w:t>
            </w:r>
          </w:p>
        </w:tc>
      </w:tr>
      <w:tr w:rsidR="002B4816" w:rsidRPr="00066F65" w:rsidTr="00D0037C">
        <w:tc>
          <w:tcPr>
            <w:tcW w:w="2448" w:type="dxa"/>
          </w:tcPr>
          <w:p w:rsidR="002B4816" w:rsidRPr="00171B57" w:rsidRDefault="0080004E" w:rsidP="007F6CF1">
            <w:pPr>
              <w:jc w:val="both"/>
              <w:rPr>
                <w:rFonts w:eastAsia="SimSun"/>
              </w:rPr>
            </w:pPr>
            <w:r w:rsidRPr="00171B57">
              <w:rPr>
                <w:rFonts w:eastAsia="SimSun"/>
              </w:rPr>
              <w:t>BRP</w:t>
            </w:r>
          </w:p>
        </w:tc>
        <w:tc>
          <w:tcPr>
            <w:tcW w:w="7668" w:type="dxa"/>
          </w:tcPr>
          <w:p w:rsidR="002B4816" w:rsidRPr="00171B57" w:rsidRDefault="00386A92" w:rsidP="00386A92">
            <w:pPr>
              <w:jc w:val="both"/>
              <w:rPr>
                <w:rFonts w:eastAsia="SimSun"/>
              </w:rPr>
            </w:pPr>
            <w:r w:rsidRPr="00171B57">
              <w:rPr>
                <w:rFonts w:eastAsia="SimSun"/>
              </w:rPr>
              <w:t>b</w:t>
            </w:r>
            <w:r w:rsidR="0080004E" w:rsidRPr="00171B57">
              <w:rPr>
                <w:rFonts w:eastAsia="SimSun"/>
              </w:rPr>
              <w:t xml:space="preserve">eam </w:t>
            </w:r>
            <w:r w:rsidRPr="00171B57">
              <w:rPr>
                <w:rFonts w:eastAsia="SimSun"/>
              </w:rPr>
              <w:t>r</w:t>
            </w:r>
            <w:r w:rsidR="0080004E" w:rsidRPr="00171B57">
              <w:rPr>
                <w:rFonts w:eastAsia="SimSun"/>
              </w:rPr>
              <w:t>efinement</w:t>
            </w:r>
          </w:p>
        </w:tc>
      </w:tr>
      <w:tr w:rsidR="002B4816" w:rsidRPr="00066F65" w:rsidTr="00D0037C">
        <w:tc>
          <w:tcPr>
            <w:tcW w:w="2448" w:type="dxa"/>
          </w:tcPr>
          <w:p w:rsidR="002B4816" w:rsidRPr="00171B57" w:rsidRDefault="0080004E" w:rsidP="00D0037C">
            <w:pPr>
              <w:jc w:val="both"/>
              <w:rPr>
                <w:rFonts w:eastAsia="SimSun"/>
              </w:rPr>
            </w:pPr>
            <w:r w:rsidRPr="00171B57">
              <w:rPr>
                <w:rFonts w:eastAsia="SimSun"/>
              </w:rPr>
              <w:t>BT</w:t>
            </w:r>
          </w:p>
        </w:tc>
        <w:tc>
          <w:tcPr>
            <w:tcW w:w="7668" w:type="dxa"/>
          </w:tcPr>
          <w:p w:rsidR="002B4816" w:rsidRPr="00171B57" w:rsidRDefault="00386A92" w:rsidP="00386A92">
            <w:pPr>
              <w:jc w:val="both"/>
              <w:rPr>
                <w:rFonts w:eastAsia="SimSun"/>
              </w:rPr>
            </w:pPr>
            <w:r w:rsidRPr="00171B57">
              <w:rPr>
                <w:rFonts w:eastAsia="SimSun"/>
              </w:rPr>
              <w:t>b</w:t>
            </w:r>
            <w:r w:rsidR="0080004E" w:rsidRPr="00171B57">
              <w:rPr>
                <w:rFonts w:eastAsia="SimSun"/>
              </w:rPr>
              <w:t xml:space="preserve">eacon </w:t>
            </w:r>
            <w:r w:rsidRPr="00171B57">
              <w:rPr>
                <w:rFonts w:eastAsia="SimSun"/>
              </w:rPr>
              <w:t>t</w:t>
            </w:r>
            <w:r w:rsidR="0080004E" w:rsidRPr="00171B57">
              <w:rPr>
                <w:rFonts w:eastAsia="SimSun"/>
              </w:rPr>
              <w:t>ime</w:t>
            </w:r>
          </w:p>
        </w:tc>
      </w:tr>
      <w:tr w:rsidR="002B4816" w:rsidRPr="00066F65" w:rsidTr="00D0037C">
        <w:tc>
          <w:tcPr>
            <w:tcW w:w="2448" w:type="dxa"/>
          </w:tcPr>
          <w:p w:rsidR="002B4816" w:rsidRPr="00171B57" w:rsidRDefault="0080004E" w:rsidP="00D0037C">
            <w:pPr>
              <w:jc w:val="both"/>
              <w:rPr>
                <w:rFonts w:eastAsia="SimSun"/>
              </w:rPr>
            </w:pPr>
            <w:r w:rsidRPr="00171B57">
              <w:rPr>
                <w:rFonts w:eastAsia="SimSun"/>
              </w:rPr>
              <w:t>CBP</w:t>
            </w:r>
          </w:p>
        </w:tc>
        <w:tc>
          <w:tcPr>
            <w:tcW w:w="7668" w:type="dxa"/>
          </w:tcPr>
          <w:p w:rsidR="002B4816" w:rsidRPr="00171B57" w:rsidRDefault="00386A92" w:rsidP="00386A92">
            <w:pPr>
              <w:jc w:val="both"/>
              <w:rPr>
                <w:rFonts w:eastAsia="SimSun"/>
              </w:rPr>
            </w:pPr>
            <w:r w:rsidRPr="00171B57">
              <w:rPr>
                <w:rFonts w:eastAsia="SimSun"/>
              </w:rPr>
              <w:t>c</w:t>
            </w:r>
            <w:r w:rsidR="008C7724" w:rsidRPr="00171B57">
              <w:rPr>
                <w:rFonts w:eastAsia="SimSun"/>
              </w:rPr>
              <w:t>ontention</w:t>
            </w:r>
            <w:r w:rsidR="007F6CF1" w:rsidRPr="00171B57">
              <w:rPr>
                <w:rFonts w:eastAsia="SimSun"/>
              </w:rPr>
              <w:t>-b</w:t>
            </w:r>
            <w:r w:rsidR="0080004E" w:rsidRPr="00171B57">
              <w:rPr>
                <w:rFonts w:eastAsia="SimSun"/>
              </w:rPr>
              <w:t xml:space="preserve">ased </w:t>
            </w:r>
            <w:r w:rsidRPr="00171B57">
              <w:rPr>
                <w:rFonts w:eastAsia="SimSun"/>
              </w:rPr>
              <w:t>p</w:t>
            </w:r>
            <w:r w:rsidR="0080004E" w:rsidRPr="00171B57">
              <w:rPr>
                <w:rFonts w:eastAsia="SimSun"/>
              </w:rPr>
              <w:t xml:space="preserve">eriod </w:t>
            </w:r>
          </w:p>
        </w:tc>
      </w:tr>
      <w:tr w:rsidR="00084976" w:rsidRPr="00066F65" w:rsidTr="00D0037C">
        <w:tc>
          <w:tcPr>
            <w:tcW w:w="2448" w:type="dxa"/>
          </w:tcPr>
          <w:p w:rsidR="00084976" w:rsidRDefault="00084976" w:rsidP="00D0037C">
            <w:pPr>
              <w:jc w:val="both"/>
              <w:rPr>
                <w:rFonts w:eastAsia="SimSun"/>
              </w:rPr>
            </w:pPr>
            <w:r w:rsidRPr="00171B57">
              <w:rPr>
                <w:rFonts w:eastAsia="SimSun"/>
              </w:rPr>
              <w:lastRenderedPageBreak/>
              <w:t xml:space="preserve">dBi </w:t>
            </w:r>
          </w:p>
          <w:p w:rsidR="00D0477B" w:rsidRPr="00171B57" w:rsidRDefault="00D0477B" w:rsidP="00D0037C">
            <w:pPr>
              <w:jc w:val="both"/>
              <w:rPr>
                <w:rFonts w:eastAsia="SimSun"/>
              </w:rPr>
            </w:pPr>
            <w:r>
              <w:rPr>
                <w:rFonts w:eastAsia="SimSun"/>
              </w:rPr>
              <w:t>DF</w:t>
            </w:r>
          </w:p>
        </w:tc>
        <w:tc>
          <w:tcPr>
            <w:tcW w:w="7668" w:type="dxa"/>
          </w:tcPr>
          <w:p w:rsidR="00084976" w:rsidRDefault="00386A92" w:rsidP="00D0037C">
            <w:pPr>
              <w:jc w:val="both"/>
              <w:rPr>
                <w:rFonts w:eastAsia="SimSun"/>
                <w:color w:val="000000"/>
              </w:rPr>
            </w:pPr>
            <w:r w:rsidRPr="00171B57">
              <w:rPr>
                <w:rFonts w:eastAsia="SimSun"/>
                <w:color w:val="000000"/>
              </w:rPr>
              <w:t>t</w:t>
            </w:r>
            <w:r w:rsidR="00EB230E" w:rsidRPr="00171B57">
              <w:rPr>
                <w:rFonts w:eastAsia="SimSun"/>
                <w:color w:val="000000"/>
              </w:rPr>
              <w:t>he dB value to be used with isotropic antennas</w:t>
            </w:r>
            <w:r w:rsidR="00281486" w:rsidRPr="00171B57">
              <w:rPr>
                <w:rFonts w:eastAsia="SimSun"/>
                <w:color w:val="000000"/>
              </w:rPr>
              <w:t xml:space="preserve"> </w:t>
            </w:r>
          </w:p>
          <w:p w:rsidR="00D0477B" w:rsidRPr="00171B57" w:rsidRDefault="00D0477B" w:rsidP="00D0037C">
            <w:pPr>
              <w:jc w:val="both"/>
              <w:rPr>
                <w:rFonts w:eastAsia="SimSun"/>
                <w:b/>
                <w:i/>
              </w:rPr>
            </w:pPr>
            <w:r>
              <w:rPr>
                <w:rFonts w:eastAsia="SimSun"/>
                <w:color w:val="000000"/>
              </w:rPr>
              <w:t>decode-and-forward</w:t>
            </w:r>
          </w:p>
        </w:tc>
      </w:tr>
      <w:tr w:rsidR="0080004E" w:rsidRPr="00066F65" w:rsidTr="00D0037C">
        <w:tc>
          <w:tcPr>
            <w:tcW w:w="2448" w:type="dxa"/>
          </w:tcPr>
          <w:p w:rsidR="0080004E" w:rsidRDefault="0080004E" w:rsidP="00D0037C">
            <w:pPr>
              <w:jc w:val="both"/>
              <w:rPr>
                <w:rFonts w:eastAsia="SimSun"/>
              </w:rPr>
            </w:pPr>
            <w:r w:rsidRPr="00171B57">
              <w:rPr>
                <w:rFonts w:eastAsia="SimSun"/>
              </w:rPr>
              <w:t>DTT</w:t>
            </w:r>
          </w:p>
          <w:p w:rsidR="00D0477B" w:rsidRPr="00171B57" w:rsidRDefault="00D0477B" w:rsidP="00D0037C">
            <w:pPr>
              <w:jc w:val="both"/>
              <w:rPr>
                <w:rFonts w:eastAsia="SimSun"/>
              </w:rPr>
            </w:pPr>
            <w:r>
              <w:rPr>
                <w:rFonts w:eastAsia="SimSun"/>
              </w:rPr>
              <w:t>FD</w:t>
            </w:r>
          </w:p>
          <w:p w:rsidR="009A50C2" w:rsidRPr="00171B57" w:rsidRDefault="009A50C2" w:rsidP="00D0037C">
            <w:pPr>
              <w:jc w:val="both"/>
              <w:rPr>
                <w:rFonts w:eastAsia="SimSun"/>
              </w:rPr>
            </w:pPr>
            <w:r w:rsidRPr="00171B57">
              <w:rPr>
                <w:rFonts w:eastAsia="SimSun"/>
              </w:rPr>
              <w:t>FST</w:t>
            </w:r>
          </w:p>
          <w:p w:rsidR="007C1E5D" w:rsidRPr="00171B57" w:rsidRDefault="007C1E5D" w:rsidP="00D0037C">
            <w:pPr>
              <w:jc w:val="both"/>
              <w:rPr>
                <w:rFonts w:eastAsia="SimSun"/>
              </w:rPr>
            </w:pPr>
            <w:r w:rsidRPr="00171B57">
              <w:rPr>
                <w:rFonts w:eastAsia="SimSun"/>
              </w:rPr>
              <w:t>GCM</w:t>
            </w:r>
          </w:p>
          <w:p w:rsidR="007C1E5D" w:rsidRPr="00171B57" w:rsidRDefault="007C1E5D" w:rsidP="00D0037C">
            <w:pPr>
              <w:jc w:val="both"/>
              <w:rPr>
                <w:rFonts w:eastAsia="SimSun"/>
              </w:rPr>
            </w:pPr>
            <w:r w:rsidRPr="00171B57">
              <w:rPr>
                <w:rFonts w:eastAsia="SimSun"/>
              </w:rPr>
              <w:t>GCMP</w:t>
            </w:r>
          </w:p>
        </w:tc>
        <w:tc>
          <w:tcPr>
            <w:tcW w:w="7668" w:type="dxa"/>
          </w:tcPr>
          <w:p w:rsidR="0080004E" w:rsidRDefault="00386A92" w:rsidP="00D0037C">
            <w:pPr>
              <w:jc w:val="both"/>
              <w:outlineLvl w:val="0"/>
              <w:rPr>
                <w:rFonts w:eastAsia="SimSun"/>
              </w:rPr>
            </w:pPr>
            <w:r w:rsidRPr="00171B57">
              <w:rPr>
                <w:rFonts w:eastAsia="SimSun"/>
              </w:rPr>
              <w:t>d</w:t>
            </w:r>
            <w:r w:rsidR="0080004E" w:rsidRPr="00171B57">
              <w:rPr>
                <w:rFonts w:eastAsia="SimSun"/>
              </w:rPr>
              <w:t xml:space="preserve">ata </w:t>
            </w:r>
            <w:r w:rsidRPr="00171B57">
              <w:rPr>
                <w:rFonts w:eastAsia="SimSun"/>
              </w:rPr>
              <w:t>transfer</w:t>
            </w:r>
            <w:r w:rsidR="0080004E" w:rsidRPr="00171B57">
              <w:rPr>
                <w:rFonts w:eastAsia="SimSun"/>
              </w:rPr>
              <w:t xml:space="preserve"> </w:t>
            </w:r>
            <w:r w:rsidRPr="00171B57">
              <w:rPr>
                <w:rFonts w:eastAsia="SimSun"/>
              </w:rPr>
              <w:t>t</w:t>
            </w:r>
            <w:r w:rsidR="0080004E" w:rsidRPr="00171B57">
              <w:rPr>
                <w:rFonts w:eastAsia="SimSun"/>
              </w:rPr>
              <w:t>ime</w:t>
            </w:r>
          </w:p>
          <w:p w:rsidR="00D0477B" w:rsidRPr="00171B57" w:rsidRDefault="00D0477B" w:rsidP="00D0037C">
            <w:pPr>
              <w:jc w:val="both"/>
              <w:outlineLvl w:val="0"/>
              <w:rPr>
                <w:rFonts w:eastAsia="SimSun"/>
              </w:rPr>
            </w:pPr>
            <w:r>
              <w:rPr>
                <w:rFonts w:eastAsia="SimSun"/>
              </w:rPr>
              <w:t>full-duplex</w:t>
            </w:r>
          </w:p>
          <w:p w:rsidR="007C1E5D" w:rsidRPr="00171B57" w:rsidRDefault="00386A92" w:rsidP="00D0037C">
            <w:pPr>
              <w:jc w:val="both"/>
              <w:outlineLvl w:val="0"/>
              <w:rPr>
                <w:rFonts w:eastAsia="SimSun"/>
              </w:rPr>
            </w:pPr>
            <w:r w:rsidRPr="00171B57">
              <w:rPr>
                <w:rFonts w:eastAsia="SimSun"/>
              </w:rPr>
              <w:t>f</w:t>
            </w:r>
            <w:r w:rsidR="009A50C2" w:rsidRPr="00171B57">
              <w:rPr>
                <w:rFonts w:eastAsia="SimSun"/>
              </w:rPr>
              <w:t xml:space="preserve">ast </w:t>
            </w:r>
            <w:r w:rsidRPr="00171B57">
              <w:rPr>
                <w:rFonts w:eastAsia="SimSun"/>
              </w:rPr>
              <w:t>s</w:t>
            </w:r>
            <w:r w:rsidR="009A50C2" w:rsidRPr="00171B57">
              <w:rPr>
                <w:rFonts w:eastAsia="SimSun"/>
              </w:rPr>
              <w:t xml:space="preserve">ession </w:t>
            </w:r>
            <w:r w:rsidRPr="00171B57">
              <w:rPr>
                <w:rFonts w:eastAsia="SimSun"/>
              </w:rPr>
              <w:t>t</w:t>
            </w:r>
            <w:r w:rsidR="009A50C2" w:rsidRPr="00171B57">
              <w:rPr>
                <w:rFonts w:eastAsia="SimSun"/>
              </w:rPr>
              <w:t>ransfer</w:t>
            </w:r>
          </w:p>
          <w:p w:rsidR="009A50C2" w:rsidRPr="00171B57" w:rsidRDefault="007C1E5D" w:rsidP="00D0037C">
            <w:pPr>
              <w:jc w:val="both"/>
              <w:outlineLvl w:val="0"/>
              <w:rPr>
                <w:rFonts w:eastAsia="SimSun"/>
                <w:lang w:val="fr-FR"/>
              </w:rPr>
            </w:pPr>
            <w:r w:rsidRPr="00171B57">
              <w:rPr>
                <w:rFonts w:eastAsia="SimSun"/>
                <w:lang w:val="fr-FR"/>
              </w:rPr>
              <w:t xml:space="preserve">Galois/Counter </w:t>
            </w:r>
            <w:r w:rsidR="00386A92" w:rsidRPr="00171B57">
              <w:rPr>
                <w:rFonts w:eastAsia="SimSun"/>
                <w:lang w:val="fr-FR"/>
              </w:rPr>
              <w:t>m</w:t>
            </w:r>
            <w:r w:rsidRPr="00171B57">
              <w:rPr>
                <w:rFonts w:eastAsia="SimSun"/>
                <w:lang w:val="fr-FR"/>
              </w:rPr>
              <w:t>ode</w:t>
            </w:r>
            <w:r w:rsidR="00281486" w:rsidRPr="00171B57">
              <w:rPr>
                <w:rFonts w:eastAsia="SimSun"/>
                <w:lang w:val="fr-FR"/>
              </w:rPr>
              <w:t xml:space="preserve"> </w:t>
            </w:r>
          </w:p>
          <w:p w:rsidR="007C1E5D" w:rsidRPr="00171B57" w:rsidRDefault="007C1E5D" w:rsidP="00386A92">
            <w:pPr>
              <w:jc w:val="both"/>
              <w:outlineLvl w:val="0"/>
              <w:rPr>
                <w:rFonts w:eastAsia="SimSun"/>
                <w:lang w:val="fr-FR"/>
              </w:rPr>
            </w:pPr>
            <w:r w:rsidRPr="00171B57">
              <w:rPr>
                <w:rFonts w:eastAsia="SimSun"/>
                <w:lang w:val="fr-FR"/>
              </w:rPr>
              <w:t xml:space="preserve">Galois/Counter </w:t>
            </w:r>
            <w:r w:rsidR="00386A92" w:rsidRPr="00171B57">
              <w:rPr>
                <w:rFonts w:eastAsia="SimSun"/>
                <w:lang w:val="fr-FR"/>
              </w:rPr>
              <w:t>m</w:t>
            </w:r>
            <w:r w:rsidRPr="00171B57">
              <w:rPr>
                <w:rFonts w:eastAsia="SimSun"/>
                <w:lang w:val="fr-FR"/>
              </w:rPr>
              <w:t xml:space="preserve">ode </w:t>
            </w:r>
            <w:r w:rsidR="00386A92" w:rsidRPr="00171B57">
              <w:rPr>
                <w:rFonts w:eastAsia="SimSun"/>
                <w:lang w:val="fr-FR"/>
              </w:rPr>
              <w:t>p</w:t>
            </w:r>
            <w:r w:rsidRPr="00171B57">
              <w:rPr>
                <w:rFonts w:eastAsia="SimSun"/>
                <w:lang w:val="fr-FR"/>
              </w:rPr>
              <w:t>rotocol</w:t>
            </w:r>
            <w:r w:rsidR="00281486" w:rsidRPr="00171B57">
              <w:rPr>
                <w:rFonts w:eastAsia="SimSun"/>
                <w:lang w:val="fr-FR"/>
              </w:rPr>
              <w:t xml:space="preserve"> </w:t>
            </w:r>
          </w:p>
        </w:tc>
      </w:tr>
      <w:tr w:rsidR="0080004E" w:rsidRPr="00066F65" w:rsidTr="00D0037C">
        <w:tc>
          <w:tcPr>
            <w:tcW w:w="2448" w:type="dxa"/>
          </w:tcPr>
          <w:p w:rsidR="0080004E" w:rsidRDefault="0080004E" w:rsidP="00D0037C">
            <w:pPr>
              <w:jc w:val="both"/>
              <w:rPr>
                <w:rFonts w:eastAsia="SimSun"/>
              </w:rPr>
            </w:pPr>
            <w:r w:rsidRPr="00171B57">
              <w:rPr>
                <w:rFonts w:eastAsia="SimSun"/>
              </w:rPr>
              <w:t>GP</w:t>
            </w:r>
          </w:p>
          <w:p w:rsidR="00D0477B" w:rsidRPr="00171B57" w:rsidRDefault="00D0477B" w:rsidP="00D0037C">
            <w:pPr>
              <w:jc w:val="both"/>
              <w:rPr>
                <w:rFonts w:eastAsia="SimSun"/>
              </w:rPr>
            </w:pPr>
            <w:r>
              <w:rPr>
                <w:rFonts w:eastAsia="SimSun"/>
              </w:rPr>
              <w:t>HD</w:t>
            </w:r>
          </w:p>
          <w:p w:rsidR="00397C10" w:rsidRPr="00171B57" w:rsidRDefault="00397C10" w:rsidP="00D0037C">
            <w:pPr>
              <w:jc w:val="both"/>
              <w:rPr>
                <w:rFonts w:eastAsia="SimSun"/>
              </w:rPr>
            </w:pPr>
            <w:r w:rsidRPr="00171B57">
              <w:rPr>
                <w:rFonts w:eastAsia="SimSun"/>
              </w:rPr>
              <w:t>mmWave</w:t>
            </w:r>
          </w:p>
        </w:tc>
        <w:tc>
          <w:tcPr>
            <w:tcW w:w="7668" w:type="dxa"/>
          </w:tcPr>
          <w:p w:rsidR="00687C08" w:rsidRDefault="00386A92" w:rsidP="00D0037C">
            <w:pPr>
              <w:jc w:val="both"/>
              <w:outlineLvl w:val="0"/>
              <w:rPr>
                <w:rFonts w:eastAsia="SimSun"/>
              </w:rPr>
            </w:pPr>
            <w:r w:rsidRPr="00171B57">
              <w:rPr>
                <w:rFonts w:eastAsia="SimSun"/>
              </w:rPr>
              <w:t>g</w:t>
            </w:r>
            <w:r w:rsidR="0080004E" w:rsidRPr="00171B57">
              <w:rPr>
                <w:rFonts w:eastAsia="SimSun"/>
              </w:rPr>
              <w:t xml:space="preserve">rant </w:t>
            </w:r>
            <w:r w:rsidRPr="00171B57">
              <w:rPr>
                <w:rFonts w:eastAsia="SimSun"/>
              </w:rPr>
              <w:t>p</w:t>
            </w:r>
            <w:r w:rsidR="0080004E" w:rsidRPr="00171B57">
              <w:rPr>
                <w:rFonts w:eastAsia="SimSun"/>
              </w:rPr>
              <w:t>eriod</w:t>
            </w:r>
          </w:p>
          <w:p w:rsidR="00D0477B" w:rsidRPr="00171B57" w:rsidRDefault="00D0477B" w:rsidP="00D0037C">
            <w:pPr>
              <w:jc w:val="both"/>
              <w:outlineLvl w:val="0"/>
              <w:rPr>
                <w:rFonts w:eastAsia="SimSun"/>
              </w:rPr>
            </w:pPr>
            <w:r>
              <w:rPr>
                <w:rFonts w:eastAsia="SimSun"/>
              </w:rPr>
              <w:t>half-duplex</w:t>
            </w:r>
          </w:p>
          <w:p w:rsidR="00397C10" w:rsidRPr="00171B57" w:rsidRDefault="00386A92" w:rsidP="00D0037C">
            <w:pPr>
              <w:jc w:val="both"/>
              <w:outlineLvl w:val="0"/>
              <w:rPr>
                <w:rFonts w:eastAsia="SimSun"/>
              </w:rPr>
            </w:pPr>
            <w:r w:rsidRPr="00171B57">
              <w:rPr>
                <w:rFonts w:eastAsia="SimSun"/>
              </w:rPr>
              <w:t>m</w:t>
            </w:r>
            <w:r w:rsidR="00397C10" w:rsidRPr="00171B57">
              <w:rPr>
                <w:rFonts w:eastAsia="SimSun"/>
              </w:rPr>
              <w:t>illimeter-wave</w:t>
            </w:r>
          </w:p>
        </w:tc>
      </w:tr>
      <w:tr w:rsidR="00A80E5E" w:rsidRPr="00066F65" w:rsidTr="00D0037C">
        <w:tc>
          <w:tcPr>
            <w:tcW w:w="2448" w:type="dxa"/>
          </w:tcPr>
          <w:p w:rsidR="00A80E5E" w:rsidRPr="00171B57" w:rsidRDefault="00A80E5E" w:rsidP="00D0037C">
            <w:pPr>
              <w:jc w:val="both"/>
              <w:rPr>
                <w:rFonts w:eastAsia="SimSun"/>
              </w:rPr>
            </w:pPr>
            <w:r>
              <w:rPr>
                <w:rFonts w:eastAsia="SimSun"/>
              </w:rPr>
              <w:t>MIDC</w:t>
            </w:r>
          </w:p>
        </w:tc>
        <w:tc>
          <w:tcPr>
            <w:tcW w:w="7668" w:type="dxa"/>
          </w:tcPr>
          <w:p w:rsidR="00A80E5E" w:rsidRPr="00171B57" w:rsidRDefault="00A80E5E" w:rsidP="00D0037C">
            <w:pPr>
              <w:jc w:val="both"/>
              <w:outlineLvl w:val="0"/>
              <w:rPr>
                <w:rFonts w:eastAsia="SimSun"/>
              </w:rPr>
            </w:pPr>
            <w:r>
              <w:t>m</w:t>
            </w:r>
            <w:r w:rsidRPr="009448FC">
              <w:rPr>
                <w:rFonts w:hint="eastAsia"/>
              </w:rPr>
              <w:t>ultiple sector ID capture</w:t>
            </w:r>
          </w:p>
        </w:tc>
      </w:tr>
      <w:tr w:rsidR="00C56B4D" w:rsidRPr="00066F65" w:rsidTr="00D0037C">
        <w:tc>
          <w:tcPr>
            <w:tcW w:w="2448" w:type="dxa"/>
          </w:tcPr>
          <w:p w:rsidR="00C56B4D" w:rsidRPr="00171B57" w:rsidRDefault="00C56B4D" w:rsidP="00D0037C">
            <w:pPr>
              <w:jc w:val="both"/>
              <w:rPr>
                <w:rFonts w:eastAsia="SimSun"/>
              </w:rPr>
            </w:pPr>
            <w:r w:rsidRPr="00171B57">
              <w:rPr>
                <w:rFonts w:eastAsia="SimSun"/>
              </w:rPr>
              <w:t>mSTA</w:t>
            </w:r>
          </w:p>
        </w:tc>
        <w:tc>
          <w:tcPr>
            <w:tcW w:w="7668" w:type="dxa"/>
          </w:tcPr>
          <w:p w:rsidR="00C56B4D" w:rsidRPr="00171B57" w:rsidRDefault="00C56B4D" w:rsidP="00D0037C">
            <w:pPr>
              <w:jc w:val="both"/>
              <w:outlineLvl w:val="0"/>
              <w:rPr>
                <w:rFonts w:eastAsia="SimSun"/>
              </w:rPr>
            </w:pPr>
            <w:r w:rsidRPr="00171B57">
              <w:rPr>
                <w:rFonts w:eastAsia="SimSun"/>
              </w:rPr>
              <w:t xml:space="preserve">mmWave STA </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PBSS</w:t>
            </w:r>
          </w:p>
        </w:tc>
        <w:tc>
          <w:tcPr>
            <w:tcW w:w="7668" w:type="dxa"/>
          </w:tcPr>
          <w:p w:rsidR="0080004E" w:rsidRPr="00171B57" w:rsidRDefault="00386A92" w:rsidP="00386A92">
            <w:pPr>
              <w:jc w:val="both"/>
              <w:outlineLvl w:val="0"/>
              <w:rPr>
                <w:rFonts w:eastAsia="SimSun"/>
              </w:rPr>
            </w:pPr>
            <w:r w:rsidRPr="00171B57">
              <w:rPr>
                <w:rFonts w:eastAsia="SimSun"/>
              </w:rPr>
              <w:t>p</w:t>
            </w:r>
            <w:r w:rsidR="00F72317" w:rsidRPr="00171B57">
              <w:rPr>
                <w:rFonts w:eastAsia="SimSun"/>
              </w:rPr>
              <w:t xml:space="preserve">ersonal </w:t>
            </w:r>
            <w:r w:rsidRPr="00171B57">
              <w:rPr>
                <w:rFonts w:eastAsia="SimSun"/>
              </w:rPr>
              <w:t>b</w:t>
            </w:r>
            <w:r w:rsidR="0080004E" w:rsidRPr="00171B57">
              <w:rPr>
                <w:rFonts w:eastAsia="SimSun"/>
              </w:rPr>
              <w:t xml:space="preserve">asic </w:t>
            </w:r>
            <w:r w:rsidRPr="00171B57">
              <w:rPr>
                <w:rFonts w:eastAsia="SimSun"/>
              </w:rPr>
              <w:t>s</w:t>
            </w:r>
            <w:r w:rsidR="0080004E" w:rsidRPr="00171B57">
              <w:rPr>
                <w:rFonts w:eastAsia="SimSun"/>
              </w:rPr>
              <w:t xml:space="preserve">ervice </w:t>
            </w:r>
            <w:r w:rsidRPr="00171B57">
              <w:rPr>
                <w:rFonts w:eastAsia="SimSun"/>
              </w:rPr>
              <w:t>s</w:t>
            </w:r>
            <w:r w:rsidR="0080004E" w:rsidRPr="00171B57">
              <w:rPr>
                <w:rFonts w:eastAsia="SimSun"/>
              </w:rPr>
              <w:t>et</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PCP</w:t>
            </w:r>
          </w:p>
        </w:tc>
        <w:tc>
          <w:tcPr>
            <w:tcW w:w="7668" w:type="dxa"/>
          </w:tcPr>
          <w:p w:rsidR="0080004E" w:rsidRPr="00171B57" w:rsidRDefault="0080004E" w:rsidP="00D0037C">
            <w:pPr>
              <w:jc w:val="both"/>
              <w:outlineLvl w:val="0"/>
              <w:rPr>
                <w:rFonts w:eastAsia="SimSun"/>
              </w:rPr>
            </w:pPr>
            <w:r w:rsidRPr="00171B57">
              <w:rPr>
                <w:rFonts w:eastAsia="SimSun"/>
              </w:rPr>
              <w:t>PBSS control point</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PP</w:t>
            </w:r>
          </w:p>
        </w:tc>
        <w:tc>
          <w:tcPr>
            <w:tcW w:w="7668" w:type="dxa"/>
          </w:tcPr>
          <w:p w:rsidR="003B3F81" w:rsidRPr="00171B57" w:rsidRDefault="00386A92" w:rsidP="00386A92">
            <w:pPr>
              <w:jc w:val="both"/>
              <w:outlineLvl w:val="0"/>
              <w:rPr>
                <w:rFonts w:eastAsia="SimSun"/>
              </w:rPr>
            </w:pPr>
            <w:r w:rsidRPr="00171B57">
              <w:rPr>
                <w:rFonts w:eastAsia="SimSun"/>
              </w:rPr>
              <w:t>p</w:t>
            </w:r>
            <w:r w:rsidR="003B3F81" w:rsidRPr="00171B57">
              <w:rPr>
                <w:rFonts w:eastAsia="SimSun"/>
              </w:rPr>
              <w:t>ollin</w:t>
            </w:r>
            <w:r w:rsidRPr="00171B57">
              <w:rPr>
                <w:rFonts w:eastAsia="SimSun"/>
              </w:rPr>
              <w:t>g period</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PTP TSPEC</w:t>
            </w:r>
          </w:p>
        </w:tc>
        <w:tc>
          <w:tcPr>
            <w:tcW w:w="7668" w:type="dxa"/>
          </w:tcPr>
          <w:p w:rsidR="003B3F81" w:rsidRPr="00171B57" w:rsidRDefault="00386A92" w:rsidP="00D0037C">
            <w:pPr>
              <w:jc w:val="both"/>
              <w:outlineLvl w:val="0"/>
              <w:rPr>
                <w:rFonts w:eastAsia="SimSun"/>
              </w:rPr>
            </w:pPr>
            <w:r w:rsidRPr="00171B57">
              <w:rPr>
                <w:rFonts w:eastAsia="SimSun"/>
              </w:rPr>
              <w:t>p</w:t>
            </w:r>
            <w:r w:rsidR="003B3F81" w:rsidRPr="00171B57">
              <w:rPr>
                <w:rFonts w:eastAsia="SimSun"/>
              </w:rPr>
              <w:t xml:space="preserve">eer to peer TSPEC </w:t>
            </w:r>
          </w:p>
        </w:tc>
      </w:tr>
      <w:tr w:rsidR="00CB5A85" w:rsidRPr="00066F65" w:rsidTr="00D0037C">
        <w:tc>
          <w:tcPr>
            <w:tcW w:w="2448" w:type="dxa"/>
          </w:tcPr>
          <w:p w:rsidR="00D0477B" w:rsidRDefault="00D0477B" w:rsidP="00D0037C">
            <w:pPr>
              <w:jc w:val="both"/>
              <w:rPr>
                <w:rFonts w:eastAsia="SimSun"/>
              </w:rPr>
            </w:pPr>
            <w:r>
              <w:rPr>
                <w:rFonts w:eastAsia="SimSun"/>
              </w:rPr>
              <w:t>RLS</w:t>
            </w:r>
          </w:p>
          <w:p w:rsidR="00D0477B" w:rsidRDefault="00D0477B" w:rsidP="00D0037C">
            <w:pPr>
              <w:jc w:val="both"/>
              <w:rPr>
                <w:rFonts w:eastAsia="SimSun"/>
              </w:rPr>
            </w:pPr>
            <w:r>
              <w:rPr>
                <w:rFonts w:eastAsia="SimSun"/>
              </w:rPr>
              <w:t>ROC</w:t>
            </w:r>
          </w:p>
          <w:p w:rsidR="00D0477B" w:rsidRDefault="00D0477B" w:rsidP="00D0037C">
            <w:pPr>
              <w:jc w:val="both"/>
              <w:rPr>
                <w:rFonts w:eastAsia="SimSun"/>
              </w:rPr>
            </w:pPr>
            <w:r>
              <w:rPr>
                <w:rFonts w:eastAsia="SimSun"/>
              </w:rPr>
              <w:t>RSUS</w:t>
            </w:r>
          </w:p>
          <w:p w:rsidR="00D0477B" w:rsidRDefault="00D0477B" w:rsidP="00D0037C">
            <w:pPr>
              <w:jc w:val="both"/>
              <w:rPr>
                <w:rFonts w:eastAsia="SimSun"/>
              </w:rPr>
            </w:pPr>
            <w:r>
              <w:rPr>
                <w:rFonts w:eastAsia="SimSun"/>
              </w:rPr>
              <w:t>RUS</w:t>
            </w:r>
          </w:p>
          <w:p w:rsidR="00CB5A85" w:rsidRPr="00171B57" w:rsidRDefault="00CB5A85" w:rsidP="00D0037C">
            <w:pPr>
              <w:jc w:val="both"/>
              <w:rPr>
                <w:rFonts w:eastAsia="SimSun"/>
              </w:rPr>
            </w:pPr>
            <w:r>
              <w:rPr>
                <w:rFonts w:eastAsia="SimSun"/>
              </w:rPr>
              <w:t>RXSS</w:t>
            </w:r>
          </w:p>
        </w:tc>
        <w:tc>
          <w:tcPr>
            <w:tcW w:w="7668" w:type="dxa"/>
          </w:tcPr>
          <w:p w:rsidR="00D0477B" w:rsidRDefault="00D0477B" w:rsidP="00D0037C">
            <w:pPr>
              <w:jc w:val="both"/>
              <w:outlineLvl w:val="0"/>
              <w:rPr>
                <w:rFonts w:eastAsia="SimSun"/>
              </w:rPr>
            </w:pPr>
            <w:r>
              <w:rPr>
                <w:rFonts w:eastAsia="SimSun"/>
              </w:rPr>
              <w:t>relay link setup</w:t>
            </w:r>
          </w:p>
          <w:p w:rsidR="00D0477B" w:rsidRDefault="00D0477B" w:rsidP="00D0037C">
            <w:pPr>
              <w:jc w:val="both"/>
              <w:outlineLvl w:val="0"/>
              <w:rPr>
                <w:rFonts w:eastAsia="SimSun"/>
              </w:rPr>
            </w:pPr>
            <w:r>
              <w:rPr>
                <w:rFonts w:eastAsia="SimSun"/>
              </w:rPr>
              <w:t>relay operation type change</w:t>
            </w:r>
          </w:p>
          <w:p w:rsidR="00D0477B" w:rsidRDefault="00D0477B" w:rsidP="00D0037C">
            <w:pPr>
              <w:jc w:val="both"/>
              <w:outlineLvl w:val="0"/>
              <w:rPr>
                <w:rFonts w:eastAsia="SimSun"/>
              </w:rPr>
            </w:pPr>
            <w:r>
              <w:rPr>
                <w:rFonts w:eastAsia="SimSun"/>
              </w:rPr>
              <w:t>relay-supportable mSTA</w:t>
            </w:r>
          </w:p>
          <w:p w:rsidR="00D0477B" w:rsidRDefault="00D0477B" w:rsidP="00D0037C">
            <w:pPr>
              <w:jc w:val="both"/>
              <w:outlineLvl w:val="0"/>
              <w:rPr>
                <w:rFonts w:eastAsia="SimSun"/>
              </w:rPr>
            </w:pPr>
            <w:r>
              <w:rPr>
                <w:rFonts w:eastAsia="SimSun"/>
              </w:rPr>
              <w:t>relay-usable mSTA</w:t>
            </w:r>
          </w:p>
          <w:p w:rsidR="00CB5A85" w:rsidRPr="00171B57" w:rsidRDefault="00CB5A85" w:rsidP="00D0037C">
            <w:pPr>
              <w:jc w:val="both"/>
              <w:outlineLvl w:val="0"/>
              <w:rPr>
                <w:rFonts w:eastAsia="SimSun"/>
              </w:rPr>
            </w:pPr>
            <w:r>
              <w:rPr>
                <w:rFonts w:eastAsia="SimSun"/>
              </w:rPr>
              <w:t>receive sector sweep</w:t>
            </w:r>
          </w:p>
        </w:tc>
      </w:tr>
      <w:tr w:rsidR="003B3F81" w:rsidRPr="00066F65" w:rsidTr="00D0037C">
        <w:tc>
          <w:tcPr>
            <w:tcW w:w="2448" w:type="dxa"/>
          </w:tcPr>
          <w:p w:rsidR="00687C08" w:rsidRPr="00171B57" w:rsidRDefault="003B3F81" w:rsidP="00D0037C">
            <w:pPr>
              <w:jc w:val="both"/>
              <w:rPr>
                <w:rFonts w:eastAsia="SimSun"/>
              </w:rPr>
            </w:pPr>
            <w:r w:rsidRPr="00171B57">
              <w:rPr>
                <w:rFonts w:eastAsia="SimSun"/>
              </w:rPr>
              <w:t>SBIFS</w:t>
            </w:r>
          </w:p>
          <w:p w:rsidR="00687C08" w:rsidRPr="00171B57" w:rsidRDefault="00687C08" w:rsidP="00D0037C">
            <w:pPr>
              <w:jc w:val="both"/>
              <w:rPr>
                <w:rFonts w:eastAsia="SimSun"/>
              </w:rPr>
            </w:pPr>
            <w:r w:rsidRPr="00171B57">
              <w:rPr>
                <w:rFonts w:eastAsia="SimSun"/>
              </w:rPr>
              <w:t>SFDOM</w:t>
            </w:r>
          </w:p>
          <w:p w:rsidR="00687C08" w:rsidRPr="00171B57" w:rsidRDefault="00687C08" w:rsidP="00D0037C">
            <w:pPr>
              <w:jc w:val="both"/>
              <w:rPr>
                <w:rFonts w:eastAsia="SimSun"/>
              </w:rPr>
            </w:pPr>
            <w:r w:rsidRPr="00171B57">
              <w:rPr>
                <w:rFonts w:eastAsia="SimSun"/>
              </w:rPr>
              <w:t>SFS</w:t>
            </w:r>
          </w:p>
          <w:p w:rsidR="00687C08" w:rsidRPr="00171B57" w:rsidRDefault="00687C08" w:rsidP="00D0037C">
            <w:pPr>
              <w:jc w:val="both"/>
              <w:rPr>
                <w:rFonts w:eastAsia="SimSun"/>
              </w:rPr>
            </w:pPr>
            <w:r w:rsidRPr="00171B57">
              <w:rPr>
                <w:rFonts w:eastAsia="SimSun"/>
              </w:rPr>
              <w:t>SFSDOM</w:t>
            </w:r>
          </w:p>
        </w:tc>
        <w:tc>
          <w:tcPr>
            <w:tcW w:w="7668" w:type="dxa"/>
          </w:tcPr>
          <w:p w:rsidR="003B3F81" w:rsidRPr="00171B57" w:rsidRDefault="00386A92" w:rsidP="00D0037C">
            <w:pPr>
              <w:jc w:val="both"/>
              <w:rPr>
                <w:rFonts w:eastAsia="SimSun"/>
              </w:rPr>
            </w:pPr>
            <w:r w:rsidRPr="00171B57">
              <w:rPr>
                <w:rFonts w:eastAsia="SimSun"/>
              </w:rPr>
              <w:t>s</w:t>
            </w:r>
            <w:r w:rsidR="003B3F81" w:rsidRPr="00171B57">
              <w:rPr>
                <w:rFonts w:eastAsia="SimSun"/>
              </w:rPr>
              <w:t xml:space="preserve">hort </w:t>
            </w:r>
            <w:r w:rsidRPr="00171B57">
              <w:rPr>
                <w:rFonts w:eastAsia="SimSun"/>
              </w:rPr>
              <w:t>b</w:t>
            </w:r>
            <w:r w:rsidR="003B3F81" w:rsidRPr="00171B57">
              <w:rPr>
                <w:rFonts w:eastAsia="SimSun"/>
              </w:rPr>
              <w:t xml:space="preserve">eamforming </w:t>
            </w:r>
            <w:r w:rsidRPr="00171B57">
              <w:rPr>
                <w:rFonts w:eastAsia="SimSun"/>
              </w:rPr>
              <w:t>i</w:t>
            </w:r>
            <w:r w:rsidR="003B3F81" w:rsidRPr="00171B57">
              <w:rPr>
                <w:rFonts w:eastAsia="SimSun"/>
              </w:rPr>
              <w:t xml:space="preserve">nter </w:t>
            </w:r>
            <w:r w:rsidRPr="00171B57">
              <w:rPr>
                <w:rFonts w:eastAsia="SimSun"/>
              </w:rPr>
              <w:t>f</w:t>
            </w:r>
            <w:r w:rsidR="003B3F81" w:rsidRPr="00171B57">
              <w:rPr>
                <w:rFonts w:eastAsia="SimSun"/>
              </w:rPr>
              <w:t xml:space="preserve">rame </w:t>
            </w:r>
            <w:r w:rsidRPr="00171B57">
              <w:rPr>
                <w:rFonts w:eastAsia="SimSun"/>
              </w:rPr>
              <w:t>s</w:t>
            </w:r>
            <w:r w:rsidR="003B3F81" w:rsidRPr="00171B57">
              <w:rPr>
                <w:rFonts w:eastAsia="SimSun"/>
              </w:rPr>
              <w:t>pac</w:t>
            </w:r>
            <w:r w:rsidR="000070C2" w:rsidRPr="00171B57">
              <w:rPr>
                <w:rFonts w:eastAsia="SimSun"/>
              </w:rPr>
              <w:t xml:space="preserve">e </w:t>
            </w:r>
          </w:p>
          <w:p w:rsidR="00687C08" w:rsidRPr="00171B57" w:rsidRDefault="00386A92" w:rsidP="00D0037C">
            <w:pPr>
              <w:jc w:val="both"/>
              <w:rPr>
                <w:rFonts w:eastAsia="SimSun"/>
              </w:rPr>
            </w:pPr>
            <w:r w:rsidRPr="00171B57">
              <w:rPr>
                <w:rFonts w:eastAsia="SimSun"/>
              </w:rPr>
              <w:t>s</w:t>
            </w:r>
            <w:r w:rsidR="00687C08" w:rsidRPr="00171B57">
              <w:rPr>
                <w:rFonts w:eastAsia="SimSun"/>
              </w:rPr>
              <w:t>pace-</w:t>
            </w:r>
            <w:r w:rsidRPr="00171B57">
              <w:rPr>
                <w:rFonts w:eastAsia="SimSun"/>
              </w:rPr>
              <w:t>f</w:t>
            </w:r>
            <w:r w:rsidR="00687C08" w:rsidRPr="00171B57">
              <w:rPr>
                <w:rFonts w:eastAsia="SimSun"/>
              </w:rPr>
              <w:t xml:space="preserve">requency </w:t>
            </w:r>
            <w:r w:rsidRPr="00171B57">
              <w:rPr>
                <w:rFonts w:eastAsia="SimSun"/>
              </w:rPr>
              <w:t>d</w:t>
            </w:r>
            <w:r w:rsidR="00687C08" w:rsidRPr="00171B57">
              <w:rPr>
                <w:rFonts w:eastAsia="SimSun"/>
              </w:rPr>
              <w:t>omain</w:t>
            </w:r>
          </w:p>
          <w:p w:rsidR="00687C08" w:rsidRPr="00171B57" w:rsidRDefault="00386A92" w:rsidP="00D0037C">
            <w:pPr>
              <w:jc w:val="both"/>
              <w:rPr>
                <w:rFonts w:eastAsia="SimSun"/>
              </w:rPr>
            </w:pPr>
            <w:r w:rsidRPr="00171B57">
              <w:rPr>
                <w:rFonts w:eastAsia="SimSun"/>
              </w:rPr>
              <w:t>s</w:t>
            </w:r>
            <w:r w:rsidR="00687C08" w:rsidRPr="00171B57">
              <w:rPr>
                <w:rFonts w:eastAsia="SimSun"/>
              </w:rPr>
              <w:t xml:space="preserve">patial </w:t>
            </w:r>
            <w:r w:rsidRPr="00171B57">
              <w:rPr>
                <w:rFonts w:eastAsia="SimSun"/>
              </w:rPr>
              <w:t>f</w:t>
            </w:r>
            <w:r w:rsidR="00687C08" w:rsidRPr="00171B57">
              <w:rPr>
                <w:rFonts w:eastAsia="SimSun"/>
              </w:rPr>
              <w:t xml:space="preserve">requency </w:t>
            </w:r>
            <w:r w:rsidRPr="00171B57">
              <w:rPr>
                <w:rFonts w:eastAsia="SimSun"/>
              </w:rPr>
              <w:t>s</w:t>
            </w:r>
            <w:r w:rsidR="00687C08" w:rsidRPr="00171B57">
              <w:rPr>
                <w:rFonts w:eastAsia="SimSun"/>
              </w:rPr>
              <w:t>haring</w:t>
            </w:r>
          </w:p>
          <w:p w:rsidR="00687C08" w:rsidRPr="00171B57" w:rsidRDefault="00386A92" w:rsidP="00386A92">
            <w:pPr>
              <w:jc w:val="both"/>
              <w:rPr>
                <w:rFonts w:eastAsia="SimSun"/>
              </w:rPr>
            </w:pPr>
            <w:r w:rsidRPr="00171B57">
              <w:rPr>
                <w:rFonts w:eastAsia="SimSun"/>
              </w:rPr>
              <w:t>s</w:t>
            </w:r>
            <w:r w:rsidR="00687C08" w:rsidRPr="00171B57">
              <w:rPr>
                <w:rFonts w:eastAsia="SimSun"/>
              </w:rPr>
              <w:t xml:space="preserve">patial </w:t>
            </w:r>
            <w:r w:rsidRPr="00171B57">
              <w:rPr>
                <w:rFonts w:eastAsia="SimSun"/>
              </w:rPr>
              <w:t>f</w:t>
            </w:r>
            <w:r w:rsidR="00687C08" w:rsidRPr="00171B57">
              <w:rPr>
                <w:rFonts w:eastAsia="SimSun"/>
              </w:rPr>
              <w:t xml:space="preserve">requency </w:t>
            </w:r>
            <w:r w:rsidRPr="00171B57">
              <w:rPr>
                <w:rFonts w:eastAsia="SimSun"/>
              </w:rPr>
              <w:t>s</w:t>
            </w:r>
            <w:r w:rsidR="00687C08" w:rsidRPr="00171B57">
              <w:rPr>
                <w:rFonts w:eastAsia="SimSun"/>
              </w:rPr>
              <w:t xml:space="preserve">haring </w:t>
            </w:r>
            <w:r w:rsidRPr="00171B57">
              <w:rPr>
                <w:rFonts w:eastAsia="SimSun"/>
              </w:rPr>
              <w:t>d</w:t>
            </w:r>
            <w:r w:rsidR="00687C08" w:rsidRPr="00171B57">
              <w:rPr>
                <w:rFonts w:eastAsia="SimSun"/>
              </w:rPr>
              <w:t>omain</w:t>
            </w:r>
            <w:r w:rsidR="00187D7B" w:rsidRPr="00171B57">
              <w:rPr>
                <w:rFonts w:eastAsia="SimSun"/>
              </w:rPr>
              <w:t xml:space="preserve"> </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SP</w:t>
            </w:r>
          </w:p>
        </w:tc>
        <w:tc>
          <w:tcPr>
            <w:tcW w:w="7668" w:type="dxa"/>
          </w:tcPr>
          <w:p w:rsidR="003B3F81" w:rsidRPr="00171B57" w:rsidRDefault="00386A92" w:rsidP="00386A92">
            <w:pPr>
              <w:jc w:val="both"/>
              <w:outlineLvl w:val="0"/>
              <w:rPr>
                <w:rFonts w:eastAsia="SimSun"/>
              </w:rPr>
            </w:pPr>
            <w:r w:rsidRPr="00171B57">
              <w:rPr>
                <w:rFonts w:eastAsia="SimSun"/>
              </w:rPr>
              <w:t>s</w:t>
            </w:r>
            <w:r w:rsidR="003B3F81" w:rsidRPr="00171B57">
              <w:rPr>
                <w:rFonts w:eastAsia="SimSun"/>
              </w:rPr>
              <w:t xml:space="preserve">ervice </w:t>
            </w:r>
            <w:r w:rsidRPr="00171B57">
              <w:rPr>
                <w:rFonts w:eastAsia="SimSun"/>
              </w:rPr>
              <w:t>p</w:t>
            </w:r>
            <w:r w:rsidR="003B3F81" w:rsidRPr="00171B57">
              <w:rPr>
                <w:rFonts w:eastAsia="SimSun"/>
              </w:rPr>
              <w:t>eriod</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SPR</w:t>
            </w:r>
          </w:p>
          <w:p w:rsidR="00C414F2" w:rsidRDefault="00C414F2" w:rsidP="00D0037C">
            <w:pPr>
              <w:jc w:val="both"/>
              <w:rPr>
                <w:rFonts w:eastAsia="SimSun"/>
              </w:rPr>
            </w:pPr>
            <w:r w:rsidRPr="00171B57">
              <w:rPr>
                <w:rFonts w:eastAsia="SimSun"/>
              </w:rPr>
              <w:t>SS</w:t>
            </w:r>
          </w:p>
          <w:p w:rsidR="00D0477B" w:rsidRPr="00171B57" w:rsidRDefault="00D0477B" w:rsidP="00D0037C">
            <w:pPr>
              <w:jc w:val="both"/>
              <w:rPr>
                <w:rFonts w:eastAsia="SimSun"/>
              </w:rPr>
            </w:pPr>
            <w:r>
              <w:rPr>
                <w:rFonts w:eastAsia="SimSun"/>
              </w:rPr>
              <w:t>TPA</w:t>
            </w:r>
          </w:p>
        </w:tc>
        <w:tc>
          <w:tcPr>
            <w:tcW w:w="7668" w:type="dxa"/>
          </w:tcPr>
          <w:p w:rsidR="003B3F81" w:rsidRPr="00171B57" w:rsidRDefault="00386A92" w:rsidP="00D0037C">
            <w:pPr>
              <w:jc w:val="both"/>
              <w:outlineLvl w:val="0"/>
              <w:rPr>
                <w:rFonts w:eastAsia="SimSun"/>
              </w:rPr>
            </w:pPr>
            <w:r w:rsidRPr="00171B57">
              <w:rPr>
                <w:rFonts w:eastAsia="SimSun"/>
              </w:rPr>
              <w:t>s</w:t>
            </w:r>
            <w:r w:rsidR="003B3F81" w:rsidRPr="00171B57">
              <w:rPr>
                <w:rFonts w:eastAsia="SimSun"/>
              </w:rPr>
              <w:t>ervice period request</w:t>
            </w:r>
          </w:p>
          <w:p w:rsidR="00C414F2" w:rsidRDefault="00386A92" w:rsidP="00D0037C">
            <w:pPr>
              <w:jc w:val="both"/>
              <w:outlineLvl w:val="0"/>
              <w:rPr>
                <w:rFonts w:eastAsia="SimSun"/>
              </w:rPr>
            </w:pPr>
            <w:r w:rsidRPr="00171B57">
              <w:rPr>
                <w:rFonts w:eastAsia="SimSun"/>
              </w:rPr>
              <w:t>s</w:t>
            </w:r>
            <w:r w:rsidR="00C414F2" w:rsidRPr="00171B57">
              <w:rPr>
                <w:rFonts w:eastAsia="SimSun"/>
              </w:rPr>
              <w:t xml:space="preserve">ector sweep </w:t>
            </w:r>
          </w:p>
          <w:p w:rsidR="00D0477B" w:rsidRPr="00171B57" w:rsidRDefault="00BF6131" w:rsidP="00BF6131">
            <w:pPr>
              <w:jc w:val="both"/>
              <w:outlineLvl w:val="0"/>
              <w:rPr>
                <w:rFonts w:eastAsia="SimSun"/>
              </w:rPr>
            </w:pPr>
            <w:r w:rsidRPr="00BF6131">
              <w:rPr>
                <w:rFonts w:eastAsia="SimSun"/>
              </w:rPr>
              <w:t>transmission time-</w:t>
            </w:r>
            <w:r>
              <w:rPr>
                <w:rFonts w:eastAsia="SimSun"/>
              </w:rPr>
              <w:t>p</w:t>
            </w:r>
            <w:r w:rsidRPr="00BF6131">
              <w:rPr>
                <w:rFonts w:eastAsia="SimSun"/>
              </w:rPr>
              <w:t xml:space="preserve">oint </w:t>
            </w:r>
            <w:r>
              <w:rPr>
                <w:rFonts w:eastAsia="SimSun"/>
              </w:rPr>
              <w:t>a</w:t>
            </w:r>
            <w:r w:rsidRPr="00BF6131">
              <w:rPr>
                <w:rFonts w:eastAsia="SimSun"/>
              </w:rPr>
              <w:t>djustment</w:t>
            </w:r>
          </w:p>
        </w:tc>
      </w:tr>
      <w:tr w:rsidR="00CB5A85" w:rsidRPr="00066F65" w:rsidTr="00D0037C">
        <w:tc>
          <w:tcPr>
            <w:tcW w:w="2448" w:type="dxa"/>
          </w:tcPr>
          <w:p w:rsidR="00CB5A85" w:rsidRPr="00171B57" w:rsidRDefault="00CB5A85" w:rsidP="00D0037C">
            <w:pPr>
              <w:jc w:val="both"/>
              <w:rPr>
                <w:rFonts w:eastAsia="SimSun"/>
              </w:rPr>
            </w:pPr>
            <w:r>
              <w:rPr>
                <w:rFonts w:eastAsia="SimSun"/>
              </w:rPr>
              <w:t>TXSS</w:t>
            </w:r>
          </w:p>
        </w:tc>
        <w:tc>
          <w:tcPr>
            <w:tcW w:w="7668" w:type="dxa"/>
          </w:tcPr>
          <w:p w:rsidR="00CB5A85" w:rsidRPr="00171B57" w:rsidRDefault="00CB5A85" w:rsidP="00D0037C">
            <w:pPr>
              <w:jc w:val="both"/>
              <w:outlineLvl w:val="0"/>
              <w:rPr>
                <w:rFonts w:eastAsia="SimSun"/>
              </w:rPr>
            </w:pPr>
            <w:r>
              <w:rPr>
                <w:rFonts w:eastAsia="SimSun"/>
              </w:rPr>
              <w:t>transmit sector sweep</w:t>
            </w:r>
          </w:p>
        </w:tc>
      </w:tr>
    </w:tbl>
    <w:p w:rsidR="00537CD3" w:rsidRPr="00171B57" w:rsidRDefault="00687C08" w:rsidP="00687C08">
      <w:pPr>
        <w:autoSpaceDE w:val="0"/>
        <w:autoSpaceDN w:val="0"/>
        <w:adjustRightInd w:val="0"/>
        <w:outlineLvl w:val="0"/>
        <w:rPr>
          <w:sz w:val="22"/>
        </w:rPr>
      </w:pPr>
      <w:r w:rsidRPr="00171B57">
        <w:rPr>
          <w:sz w:val="22"/>
        </w:rPr>
        <w:t xml:space="preserve"> </w:t>
      </w:r>
    </w:p>
    <w:p w:rsidR="008C36FC" w:rsidRPr="00171B57" w:rsidRDefault="00537CD3" w:rsidP="00687C08">
      <w:pPr>
        <w:autoSpaceDE w:val="0"/>
        <w:autoSpaceDN w:val="0"/>
        <w:adjustRightInd w:val="0"/>
        <w:outlineLvl w:val="0"/>
        <w:rPr>
          <w:sz w:val="22"/>
        </w:rPr>
      </w:pPr>
      <w:r w:rsidRPr="00171B57">
        <w:rPr>
          <w:sz w:val="22"/>
        </w:rPr>
        <w:br w:type="page"/>
      </w:r>
    </w:p>
    <w:p w:rsidR="0072665C" w:rsidRPr="00066F65" w:rsidRDefault="008C36FC" w:rsidP="003701DB">
      <w:pPr>
        <w:pStyle w:val="Heading1"/>
        <w:numPr>
          <w:ilvl w:val="0"/>
          <w:numId w:val="48"/>
        </w:numPr>
      </w:pPr>
      <w:bookmarkStart w:id="91" w:name="_Toc222659835"/>
      <w:bookmarkStart w:id="92" w:name="_Toc222660400"/>
      <w:bookmarkStart w:id="93" w:name="_Toc222806081"/>
      <w:bookmarkStart w:id="94" w:name="_Toc222806657"/>
      <w:bookmarkStart w:id="95" w:name="_Toc222807478"/>
      <w:bookmarkStart w:id="96" w:name="_Toc222809196"/>
      <w:bookmarkStart w:id="97" w:name="_Toc222659836"/>
      <w:bookmarkStart w:id="98" w:name="_Toc222660401"/>
      <w:bookmarkStart w:id="99" w:name="_Toc222806082"/>
      <w:bookmarkStart w:id="100" w:name="_Toc222806658"/>
      <w:bookmarkStart w:id="101" w:name="_Toc222807479"/>
      <w:bookmarkStart w:id="102" w:name="_Toc222809197"/>
      <w:bookmarkStart w:id="103" w:name="_Toc222659837"/>
      <w:bookmarkStart w:id="104" w:name="_Toc222660402"/>
      <w:bookmarkStart w:id="105" w:name="_Toc222806083"/>
      <w:bookmarkStart w:id="106" w:name="_Toc222806659"/>
      <w:bookmarkStart w:id="107" w:name="_Toc222807480"/>
      <w:bookmarkStart w:id="108" w:name="_Toc222809198"/>
      <w:bookmarkStart w:id="109" w:name="_Toc215554652"/>
      <w:bookmarkStart w:id="110" w:name="_Toc215582561"/>
      <w:bookmarkStart w:id="111" w:name="_Toc213489736"/>
      <w:bookmarkStart w:id="112" w:name="_Toc213492689"/>
      <w:bookmarkStart w:id="113" w:name="_Toc214612903"/>
      <w:bookmarkStart w:id="114" w:name="_Toc214805454"/>
      <w:bookmarkStart w:id="115" w:name="_Toc189075641"/>
      <w:bookmarkStart w:id="116" w:name="_Toc202073873"/>
      <w:bookmarkStart w:id="117" w:name="_Toc205016514"/>
      <w:bookmarkStart w:id="118" w:name="_Toc205121490"/>
      <w:bookmarkStart w:id="119" w:name="_Toc206227370"/>
      <w:bookmarkStart w:id="120" w:name="_Toc206415317"/>
      <w:bookmarkStart w:id="121" w:name="_Toc206418124"/>
      <w:bookmarkStart w:id="122" w:name="_Toc207098810"/>
      <w:bookmarkStart w:id="123" w:name="_Toc207099418"/>
      <w:bookmarkStart w:id="124" w:name="_Toc207100338"/>
      <w:bookmarkStart w:id="125" w:name="_Toc207348260"/>
      <w:bookmarkStart w:id="126" w:name="_Toc215582563"/>
      <w:bookmarkStart w:id="127" w:name="_Toc235399785"/>
      <w:bookmarkStart w:id="128" w:name="_Toc25971683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066F65">
        <w:lastRenderedPageBreak/>
        <w:t>General description</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066F65">
        <w:t xml:space="preserve"> </w:t>
      </w:r>
    </w:p>
    <w:p w:rsidR="006F4427" w:rsidRDefault="0053357F" w:rsidP="006F4427">
      <w:r>
        <w:t xml:space="preserve"> </w:t>
      </w:r>
    </w:p>
    <w:p w:rsidR="00886265" w:rsidRPr="00886265" w:rsidRDefault="00886265" w:rsidP="00886265">
      <w:pPr>
        <w:pStyle w:val="Heading2"/>
        <w:rPr>
          <w:u w:val="none"/>
          <w:lang w:eastAsia="ko-KR" w:bidi="ar-SA"/>
        </w:rPr>
      </w:pPr>
      <w:bookmarkStart w:id="129" w:name="_Toc259716838"/>
      <w:r w:rsidRPr="00886265">
        <w:rPr>
          <w:u w:val="none"/>
          <w:lang w:eastAsia="ko-KR" w:bidi="ar-SA"/>
        </w:rPr>
        <w:t>5.2 Components of the IEEE 802.11 architecture</w:t>
      </w:r>
      <w:bookmarkEnd w:id="129"/>
    </w:p>
    <w:p w:rsidR="00886265" w:rsidRDefault="00886265" w:rsidP="00886265">
      <w:pPr>
        <w:autoSpaceDE w:val="0"/>
        <w:autoSpaceDN w:val="0"/>
        <w:adjustRightInd w:val="0"/>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third paragraph as indicated below</w:t>
      </w:r>
      <w:r w:rsidRPr="00726E69">
        <w:rPr>
          <w:i/>
          <w:iCs/>
          <w:lang w:eastAsia="ko-KR" w:bidi="ar-SA"/>
        </w:rPr>
        <w:t>:</w:t>
      </w:r>
    </w:p>
    <w:p w:rsidR="00886265" w:rsidRDefault="00886265" w:rsidP="00886265">
      <w:pPr>
        <w:autoSpaceDE w:val="0"/>
        <w:autoSpaceDN w:val="0"/>
        <w:adjustRightInd w:val="0"/>
      </w:pPr>
    </w:p>
    <w:p w:rsidR="00886265" w:rsidRDefault="00886265" w:rsidP="00886265">
      <w:pPr>
        <w:rPr>
          <w:lang w:eastAsia="ko-KR" w:bidi="ar-SA"/>
        </w:rPr>
      </w:pPr>
      <w:r w:rsidRPr="00C12B3B">
        <w:rPr>
          <w:lang w:eastAsia="ko-KR" w:bidi="ar-SA"/>
        </w:rPr>
        <w:t xml:space="preserve">It is useful to think of the ovals used to depict a BSS as the coverage area within which the member STAs of the BSS may remain in communication. </w:t>
      </w:r>
      <w:r w:rsidRPr="00C06749">
        <w:rPr>
          <w:u w:val="single"/>
          <w:lang w:eastAsia="ko-KR" w:bidi="ar-SA"/>
        </w:rPr>
        <w:t xml:space="preserve">When a STA operates in the UB, </w:t>
      </w:r>
      <w:r>
        <w:rPr>
          <w:u w:val="single"/>
          <w:lang w:eastAsia="ko-KR" w:bidi="ar-SA"/>
        </w:rPr>
        <w:t xml:space="preserve">however, the oval may not be a good representation of the coverage area of a BSS due to the directional patterns generated </w:t>
      </w:r>
      <w:r w:rsidR="00877B46" w:rsidRPr="00877B46">
        <w:rPr>
          <w:u w:val="single"/>
          <w:lang w:eastAsia="ko-KR" w:bidi="ar-SA"/>
        </w:rPr>
        <w:t>by the member STA</w:t>
      </w:r>
      <w:r w:rsidRPr="00C06749">
        <w:rPr>
          <w:u w:val="single"/>
          <w:lang w:eastAsia="ko-KR" w:bidi="ar-SA"/>
        </w:rPr>
        <w:t xml:space="preserve">. </w:t>
      </w:r>
      <w:r w:rsidRPr="00C12B3B">
        <w:rPr>
          <w:lang w:eastAsia="ko-KR" w:bidi="ar-SA"/>
        </w:rPr>
        <w:t>(The concept of area, while not precise, is often good enough.) This area is called the Basic Service Area (BSA). If a STA moves out of its BSA, it can no longer directly communicate with other STAs present in the BSA.</w:t>
      </w:r>
    </w:p>
    <w:p w:rsidR="00886265" w:rsidRDefault="00886265" w:rsidP="00886265">
      <w:pPr>
        <w:autoSpaceDE w:val="0"/>
        <w:autoSpaceDN w:val="0"/>
        <w:adjustRightInd w:val="0"/>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indicated subclause as follows</w:t>
      </w:r>
      <w:r w:rsidRPr="00726E69">
        <w:rPr>
          <w:i/>
          <w:iCs/>
          <w:lang w:eastAsia="ko-KR" w:bidi="ar-SA"/>
        </w:rPr>
        <w:t>:</w:t>
      </w:r>
    </w:p>
    <w:p w:rsidR="00886265" w:rsidRDefault="00886265" w:rsidP="00886265">
      <w:pPr>
        <w:autoSpaceDE w:val="0"/>
        <w:autoSpaceDN w:val="0"/>
        <w:adjustRightInd w:val="0"/>
      </w:pPr>
    </w:p>
    <w:p w:rsidR="00886265" w:rsidRPr="00DA397B" w:rsidRDefault="00886265" w:rsidP="00886265">
      <w:pPr>
        <w:pStyle w:val="Heading3"/>
        <w:rPr>
          <w:lang w:eastAsia="ko-KR" w:bidi="ar-SA"/>
        </w:rPr>
      </w:pPr>
      <w:bookmarkStart w:id="130" w:name="_Toc259716839"/>
      <w:r w:rsidRPr="00DA397B">
        <w:rPr>
          <w:lang w:eastAsia="ko-KR" w:bidi="ar-SA"/>
        </w:rPr>
        <w:t>5.2.1a The Personal BSS (PBSS) as an ad hoc network</w:t>
      </w:r>
      <w:bookmarkEnd w:id="130"/>
    </w:p>
    <w:p w:rsidR="00886265" w:rsidRPr="00DA397B" w:rsidRDefault="00886265" w:rsidP="00886265">
      <w:pPr>
        <w:autoSpaceDE w:val="0"/>
        <w:autoSpaceDN w:val="0"/>
        <w:adjustRightInd w:val="0"/>
        <w:rPr>
          <w:u w:val="single"/>
        </w:rPr>
      </w:pPr>
    </w:p>
    <w:p w:rsidR="00886265" w:rsidRPr="00886265" w:rsidRDefault="00886265" w:rsidP="00886265">
      <w:pPr>
        <w:autoSpaceDE w:val="0"/>
        <w:autoSpaceDN w:val="0"/>
        <w:adjustRightInd w:val="0"/>
        <w:rPr>
          <w:lang w:eastAsia="ko-KR" w:bidi="ar-SA"/>
        </w:rPr>
      </w:pPr>
      <w:r w:rsidRPr="00886265">
        <w:rPr>
          <w:lang w:eastAsia="ko-KR" w:bidi="ar-SA"/>
        </w:rPr>
        <w:t>Similar to the IBSS, the PBSS is a type of IEEE 802.11 LAN ad hoc network in which STAs are able to communicate directly with each other.</w:t>
      </w:r>
    </w:p>
    <w:p w:rsidR="00886265" w:rsidRPr="00886265" w:rsidRDefault="00886265" w:rsidP="00886265">
      <w:pPr>
        <w:autoSpaceDE w:val="0"/>
        <w:autoSpaceDN w:val="0"/>
        <w:adjustRightInd w:val="0"/>
        <w:rPr>
          <w:lang w:eastAsia="ko-KR" w:bidi="ar-SA"/>
        </w:rPr>
      </w:pPr>
    </w:p>
    <w:p w:rsidR="00886265" w:rsidRPr="00886265" w:rsidRDefault="00886265" w:rsidP="00886265">
      <w:pPr>
        <w:autoSpaceDE w:val="0"/>
        <w:autoSpaceDN w:val="0"/>
        <w:adjustRightInd w:val="0"/>
        <w:rPr>
          <w:lang w:eastAsia="ko-KR" w:bidi="ar-SA"/>
        </w:rPr>
      </w:pPr>
      <w:r w:rsidRPr="00886265">
        <w:rPr>
          <w:lang w:eastAsia="ko-KR" w:bidi="ar-SA"/>
        </w:rPr>
        <w:t xml:space="preserve">As opposed to the IBSS, in the PBSS one STA is required to assume the role of the PBSS central point (PCP). The PCP provides the basic timing for the PBSS through mmWave Beacon and </w:t>
      </w:r>
      <w:r w:rsidR="00877B46">
        <w:rPr>
          <w:lang w:eastAsia="ko-KR" w:bidi="ar-SA"/>
        </w:rPr>
        <w:t>A</w:t>
      </w:r>
      <w:r w:rsidRPr="00886265">
        <w:rPr>
          <w:lang w:eastAsia="ko-KR" w:bidi="ar-SA"/>
        </w:rPr>
        <w:t xml:space="preserve">nnounce </w:t>
      </w:r>
      <w:r w:rsidR="00877B46" w:rsidRPr="00877B46">
        <w:rPr>
          <w:lang w:eastAsia="ko-KR" w:bidi="ar-SA"/>
        </w:rPr>
        <w:t>frames as well as allocation</w:t>
      </w:r>
      <w:r w:rsidRPr="00886265">
        <w:rPr>
          <w:lang w:eastAsia="ko-KR" w:bidi="ar-SA"/>
        </w:rPr>
        <w:t xml:space="preserve"> of service period</w:t>
      </w:r>
      <w:r w:rsidR="00877B46">
        <w:rPr>
          <w:lang w:eastAsia="ko-KR" w:bidi="ar-SA"/>
        </w:rPr>
        <w:t>s and contention-based periods.</w:t>
      </w:r>
    </w:p>
    <w:p w:rsidR="00886265" w:rsidRDefault="00886265" w:rsidP="00886265">
      <w:pPr>
        <w:rPr>
          <w:lang w:eastAsia="ko-KR" w:bidi="ar-SA"/>
        </w:rPr>
      </w:pPr>
    </w:p>
    <w:p w:rsidR="00886265" w:rsidRPr="00040942" w:rsidRDefault="00886265" w:rsidP="00886265">
      <w:pPr>
        <w:pStyle w:val="Heading3"/>
        <w:rPr>
          <w:lang w:eastAsia="ko-KR" w:bidi="ar-SA"/>
        </w:rPr>
      </w:pPr>
      <w:bookmarkStart w:id="131" w:name="_Toc259716840"/>
      <w:r>
        <w:rPr>
          <w:lang w:eastAsia="ko-KR" w:bidi="ar-SA"/>
        </w:rPr>
        <w:t>5</w:t>
      </w:r>
      <w:r w:rsidRPr="00040942">
        <w:rPr>
          <w:lang w:eastAsia="ko-KR" w:bidi="ar-SA"/>
        </w:rPr>
        <w:t>.</w:t>
      </w:r>
      <w:r>
        <w:rPr>
          <w:lang w:eastAsia="ko-KR" w:bidi="ar-SA"/>
        </w:rPr>
        <w:t>2.6</w:t>
      </w:r>
      <w:r w:rsidRPr="00040942">
        <w:rPr>
          <w:lang w:eastAsia="ko-KR" w:bidi="ar-SA"/>
        </w:rPr>
        <w:t xml:space="preserve"> </w:t>
      </w:r>
      <w:r>
        <w:rPr>
          <w:lang w:eastAsia="ko-KR" w:bidi="ar-SA"/>
        </w:rPr>
        <w:t>QoS BSS: The QoS network</w:t>
      </w:r>
      <w:bookmarkEnd w:id="131"/>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throughout this subclause, replace “</w:t>
      </w:r>
      <w:r w:rsidRPr="00D945F1">
        <w:rPr>
          <w:iCs/>
          <w:lang w:eastAsia="ko-KR" w:bidi="ar-SA"/>
        </w:rPr>
        <w:t>QoS</w:t>
      </w:r>
      <w:r>
        <w:rPr>
          <w:i/>
          <w:iCs/>
          <w:lang w:eastAsia="ko-KR" w:bidi="ar-SA"/>
        </w:rPr>
        <w:t xml:space="preserve"> </w:t>
      </w:r>
      <w:r w:rsidRPr="00D945F1">
        <w:rPr>
          <w:iCs/>
          <w:lang w:eastAsia="ko-KR" w:bidi="ar-SA"/>
        </w:rPr>
        <w:t>access point</w:t>
      </w:r>
      <w:r>
        <w:rPr>
          <w:i/>
          <w:iCs/>
          <w:lang w:eastAsia="ko-KR" w:bidi="ar-SA"/>
        </w:rPr>
        <w:t>” by “</w:t>
      </w:r>
      <w:r w:rsidRPr="00D945F1">
        <w:rPr>
          <w:iCs/>
          <w:lang w:eastAsia="ko-KR" w:bidi="ar-SA"/>
        </w:rPr>
        <w:t>QoS</w:t>
      </w:r>
      <w:r>
        <w:rPr>
          <w:i/>
          <w:iCs/>
          <w:lang w:eastAsia="ko-KR" w:bidi="ar-SA"/>
        </w:rPr>
        <w:t xml:space="preserve"> </w:t>
      </w:r>
      <w:r w:rsidRPr="00D945F1">
        <w:rPr>
          <w:iCs/>
          <w:lang w:eastAsia="ko-KR" w:bidi="ar-SA"/>
        </w:rPr>
        <w:t>access point and PCP</w:t>
      </w:r>
      <w:r>
        <w:rPr>
          <w:i/>
          <w:iCs/>
          <w:lang w:eastAsia="ko-KR" w:bidi="ar-SA"/>
        </w:rPr>
        <w:t>”</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throughout this subclause, replace “</w:t>
      </w:r>
      <w:r>
        <w:rPr>
          <w:iCs/>
          <w:lang w:eastAsia="ko-KR" w:bidi="ar-SA"/>
        </w:rPr>
        <w:t>AP</w:t>
      </w:r>
      <w:r>
        <w:rPr>
          <w:i/>
          <w:iCs/>
          <w:lang w:eastAsia="ko-KR" w:bidi="ar-SA"/>
        </w:rPr>
        <w:t>” by “</w:t>
      </w:r>
      <w:r>
        <w:rPr>
          <w:iCs/>
          <w:lang w:eastAsia="ko-KR" w:bidi="ar-SA"/>
        </w:rPr>
        <w:t xml:space="preserve">AP and </w:t>
      </w:r>
      <w:r w:rsidRPr="00D945F1">
        <w:rPr>
          <w:iCs/>
          <w:lang w:eastAsia="ko-KR" w:bidi="ar-SA"/>
        </w:rPr>
        <w:t>PCP</w:t>
      </w:r>
      <w:r>
        <w:rPr>
          <w:i/>
          <w:iCs/>
          <w:lang w:eastAsia="ko-KR" w:bidi="ar-SA"/>
        </w:rPr>
        <w:t>”</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paragraph after the first paragraph:</w:t>
      </w:r>
    </w:p>
    <w:p w:rsidR="00886265" w:rsidRDefault="00886265" w:rsidP="00886265">
      <w:pPr>
        <w:rPr>
          <w:lang w:eastAsia="ko-KR" w:bidi="ar-SA"/>
        </w:rPr>
      </w:pPr>
    </w:p>
    <w:p w:rsidR="00886265" w:rsidRPr="000E25F2" w:rsidRDefault="00886265" w:rsidP="00886265">
      <w:pPr>
        <w:rPr>
          <w:u w:val="single"/>
          <w:lang w:eastAsia="ko-KR" w:bidi="ar-SA"/>
        </w:rPr>
      </w:pPr>
      <w:r w:rsidRPr="000E25F2">
        <w:rPr>
          <w:u w:val="single"/>
          <w:lang w:eastAsia="ko-KR" w:bidi="ar-SA"/>
        </w:rPr>
        <w:t>Every STA within a PBSS is a QoS STA, and hence every PBSS is a QoS BSS.</w:t>
      </w:r>
    </w:p>
    <w:p w:rsidR="00886265" w:rsidRDefault="00886265" w:rsidP="00886265">
      <w:pPr>
        <w:rPr>
          <w:lang w:eastAsia="ko-KR" w:bidi="ar-SA"/>
        </w:rPr>
      </w:pP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 xml:space="preserve">Insert the </w:t>
      </w:r>
      <w:r w:rsidRPr="00726E69">
        <w:rPr>
          <w:i/>
          <w:iCs/>
          <w:lang w:eastAsia="ko-KR" w:bidi="ar-SA"/>
        </w:rPr>
        <w:t xml:space="preserve">following </w:t>
      </w:r>
      <w:r>
        <w:rPr>
          <w:i/>
          <w:iCs/>
          <w:lang w:eastAsia="ko-KR" w:bidi="ar-SA"/>
        </w:rPr>
        <w:t>subclause after 5.2.9</w:t>
      </w:r>
      <w:r w:rsidRPr="00726E69">
        <w:rPr>
          <w:i/>
          <w:iCs/>
          <w:lang w:eastAsia="ko-KR" w:bidi="ar-SA"/>
        </w:rPr>
        <w:t>:</w:t>
      </w:r>
    </w:p>
    <w:p w:rsidR="00886265" w:rsidRDefault="00886265" w:rsidP="00886265">
      <w:pPr>
        <w:autoSpaceDE w:val="0"/>
        <w:autoSpaceDN w:val="0"/>
        <w:adjustRightInd w:val="0"/>
      </w:pPr>
    </w:p>
    <w:p w:rsidR="00886265" w:rsidRPr="003057BF" w:rsidRDefault="00886265" w:rsidP="00886265">
      <w:pPr>
        <w:pStyle w:val="Heading3"/>
        <w:rPr>
          <w:lang w:eastAsia="ko-KR" w:bidi="ar-SA"/>
        </w:rPr>
      </w:pPr>
      <w:bookmarkStart w:id="132" w:name="_Toc259716841"/>
      <w:r w:rsidRPr="003057BF">
        <w:rPr>
          <w:lang w:eastAsia="ko-KR" w:bidi="ar-SA"/>
        </w:rPr>
        <w:t>5.2.10 mmWave STA (mSTA)</w:t>
      </w:r>
      <w:bookmarkEnd w:id="132"/>
    </w:p>
    <w:p w:rsidR="00886265" w:rsidRPr="003057BF" w:rsidRDefault="00886265" w:rsidP="00886265">
      <w:pPr>
        <w:rPr>
          <w:u w:val="single"/>
          <w:lang w:eastAsia="ko-KR" w:bidi="ar-SA"/>
        </w:rPr>
      </w:pPr>
    </w:p>
    <w:p w:rsidR="00886265" w:rsidRPr="00886265" w:rsidRDefault="00886265" w:rsidP="00886265">
      <w:pPr>
        <w:rPr>
          <w:lang w:eastAsia="ko-KR" w:bidi="ar-SA"/>
        </w:rPr>
      </w:pPr>
      <w:r w:rsidRPr="00886265">
        <w:rPr>
          <w:lang w:eastAsia="ko-KR" w:bidi="ar-SA"/>
        </w:rPr>
        <w:t xml:space="preserve">The IEEE 802.11 mSTA provides PHY and MAC features that can support a throughput of 1 Gb/s and greater, as measured at the MAC data service access point (SAP). An mSTA supports mmWave features as identified in Clause 9, Clause 11 and Clause 21. An mSTA operates in the mmWave band and supports transmission and reception of frames that are compliant with PHY specifications as </w:t>
      </w:r>
      <w:r w:rsidRPr="00886265">
        <w:rPr>
          <w:lang w:eastAsia="ko-KR" w:bidi="ar-SA"/>
        </w:rPr>
        <w:lastRenderedPageBreak/>
        <w:t xml:space="preserve">defined in Clause 21. An mSTA is also a QoS STA. Certain mmWave features such as service period allocation are only available to mSTAs that are associated with an AP or with a PCP, while other mmWave features such as DCF operation within allocated CBPs do not require association. An mSTA supports beamforming as described in </w:t>
      </w:r>
      <w:r w:rsidR="00BD151C">
        <w:rPr>
          <w:lang w:eastAsia="ko-KR" w:bidi="ar-SA"/>
        </w:rPr>
        <w:fldChar w:fldCharType="begin"/>
      </w:r>
      <w:r w:rsidR="005D629E">
        <w:rPr>
          <w:lang w:eastAsia="ko-KR" w:bidi="ar-SA"/>
        </w:rPr>
        <w:instrText xml:space="preserve"> REF _Ref256692648 \r \h </w:instrText>
      </w:r>
      <w:r w:rsidR="00BD151C">
        <w:rPr>
          <w:lang w:eastAsia="ko-KR" w:bidi="ar-SA"/>
        </w:rPr>
      </w:r>
      <w:r w:rsidR="00BD151C">
        <w:rPr>
          <w:lang w:eastAsia="ko-KR" w:bidi="ar-SA"/>
        </w:rPr>
        <w:fldChar w:fldCharType="separate"/>
      </w:r>
      <w:r w:rsidR="003E4210">
        <w:rPr>
          <w:lang w:eastAsia="ko-KR" w:bidi="ar-SA"/>
        </w:rPr>
        <w:t>9.25</w:t>
      </w:r>
      <w:r w:rsidR="00BD151C">
        <w:rPr>
          <w:lang w:eastAsia="ko-KR" w:bidi="ar-SA"/>
        </w:rPr>
        <w:fldChar w:fldCharType="end"/>
      </w:r>
      <w:r w:rsidR="005D629E">
        <w:rPr>
          <w:lang w:eastAsia="ko-KR" w:bidi="ar-SA"/>
        </w:rPr>
        <w:t xml:space="preserve"> and </w:t>
      </w:r>
      <w:r w:rsidR="00BD151C">
        <w:rPr>
          <w:lang w:eastAsia="ko-KR" w:bidi="ar-SA"/>
        </w:rPr>
        <w:fldChar w:fldCharType="begin"/>
      </w:r>
      <w:r w:rsidR="005D629E">
        <w:rPr>
          <w:lang w:eastAsia="ko-KR" w:bidi="ar-SA"/>
        </w:rPr>
        <w:instrText xml:space="preserve"> REF _Ref256692649 \r \h </w:instrText>
      </w:r>
      <w:r w:rsidR="00BD151C">
        <w:rPr>
          <w:lang w:eastAsia="ko-KR" w:bidi="ar-SA"/>
        </w:rPr>
      </w:r>
      <w:r w:rsidR="00BD151C">
        <w:rPr>
          <w:lang w:eastAsia="ko-KR" w:bidi="ar-SA"/>
        </w:rPr>
        <w:fldChar w:fldCharType="separate"/>
      </w:r>
      <w:r w:rsidR="003E4210">
        <w:rPr>
          <w:lang w:eastAsia="ko-KR" w:bidi="ar-SA"/>
        </w:rPr>
        <w:t>21.8</w:t>
      </w:r>
      <w:r w:rsidR="00BD151C">
        <w:rPr>
          <w:lang w:eastAsia="ko-KR" w:bidi="ar-SA"/>
        </w:rPr>
        <w:fldChar w:fldCharType="end"/>
      </w:r>
      <w:r w:rsidRPr="00886265">
        <w:rPr>
          <w:lang w:eastAsia="ko-KR" w:bidi="ar-SA"/>
        </w:rPr>
        <w:t>, and GCM encryption as described in 8.3.5.</w:t>
      </w:r>
    </w:p>
    <w:p w:rsidR="00886265" w:rsidRPr="00886265" w:rsidRDefault="00886265" w:rsidP="00886265">
      <w:pPr>
        <w:rPr>
          <w:lang w:eastAsia="ko-KR" w:bidi="ar-SA"/>
        </w:rPr>
      </w:pPr>
    </w:p>
    <w:p w:rsidR="00886265" w:rsidRPr="00886265" w:rsidRDefault="00886265" w:rsidP="00886265">
      <w:pPr>
        <w:rPr>
          <w:lang w:eastAsia="ko-KR" w:bidi="ar-SA"/>
        </w:rPr>
      </w:pPr>
      <w:r w:rsidRPr="00886265">
        <w:rPr>
          <w:lang w:eastAsia="ko-KR" w:bidi="ar-SA"/>
        </w:rPr>
        <w:t>An mSTA supports an unified and interoperable PHY as described in 21.4, 21.5</w:t>
      </w:r>
      <w:r w:rsidR="00137ADE">
        <w:rPr>
          <w:lang w:eastAsia="ko-KR" w:bidi="ar-SA"/>
        </w:rPr>
        <w:t>,</w:t>
      </w:r>
      <w:r w:rsidRPr="00886265">
        <w:rPr>
          <w:lang w:eastAsia="ko-KR" w:bidi="ar-SA"/>
        </w:rPr>
        <w:t xml:space="preserve"> 21.6</w:t>
      </w:r>
      <w:r w:rsidR="00137ADE">
        <w:rPr>
          <w:lang w:eastAsia="ko-KR" w:bidi="ar-SA"/>
        </w:rPr>
        <w:t>, and 21.7</w:t>
      </w:r>
      <w:r w:rsidRPr="00886265">
        <w:rPr>
          <w:lang w:eastAsia="ko-KR" w:bidi="ar-SA"/>
        </w:rPr>
        <w:t>. At a minimum, an mSTA supports the mandatory modulation and coding scheme (MCS) and PLCP protocol data unit (</w:t>
      </w:r>
      <w:r w:rsidR="00137ADE">
        <w:rPr>
          <w:lang w:eastAsia="ko-KR" w:bidi="ar-SA"/>
        </w:rPr>
        <w:t xml:space="preserve">PPDU) formats described in 21.4 and </w:t>
      </w:r>
      <w:r w:rsidRPr="00886265">
        <w:rPr>
          <w:lang w:eastAsia="ko-KR" w:bidi="ar-SA"/>
        </w:rPr>
        <w:t>21.6. An mSTA has PHY features that include: a common low density parity check (LDPC) encoding; common preamble; the use of Golay sequences; and beamforming. The PPDUs are always transmitted with the same channel bandwidth as described in Annex J for the mmWave band.</w:t>
      </w:r>
    </w:p>
    <w:p w:rsidR="00886265" w:rsidRPr="00886265" w:rsidRDefault="00886265" w:rsidP="00886265">
      <w:pPr>
        <w:rPr>
          <w:lang w:eastAsia="ko-KR" w:bidi="ar-SA"/>
        </w:rPr>
      </w:pPr>
    </w:p>
    <w:p w:rsidR="00886265" w:rsidRPr="00886265" w:rsidRDefault="00886265" w:rsidP="00886265">
      <w:pPr>
        <w:rPr>
          <w:lang w:eastAsia="ko-KR" w:bidi="ar-SA"/>
        </w:rPr>
      </w:pPr>
      <w:r w:rsidRPr="00886265">
        <w:rPr>
          <w:lang w:eastAsia="ko-KR" w:bidi="ar-SA"/>
        </w:rPr>
        <w:t>An mSTA supports MAC features that provide directional channel access. An mSTA has MAC features that include: frame aggregation; Block Ack features; service periods; contention-based periods; mmWave protected period; PCP/AP clustering; dynamic channel time management; reverse direction; spatial sharing of frequency; beamforming; and multi-band operation.</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3" w:name="_Toc259716842"/>
      <w:r w:rsidRPr="00535AF7">
        <w:rPr>
          <w:u w:val="none"/>
          <w:lang w:eastAsia="ko-KR" w:bidi="ar-SA"/>
        </w:rPr>
        <w:t>5.3 Logical service interfaces</w:t>
      </w:r>
      <w:bookmarkEnd w:id="133"/>
    </w:p>
    <w:p w:rsidR="00886265" w:rsidRPr="00DD0D44" w:rsidRDefault="00886265" w:rsidP="00886265">
      <w:pPr>
        <w:rPr>
          <w:lang w:eastAsia="ko-KR" w:bidi="ar-SA"/>
        </w:rPr>
      </w:pPr>
    </w:p>
    <w:p w:rsidR="00886265" w:rsidRPr="00DD0D44" w:rsidRDefault="00886265" w:rsidP="00886265">
      <w:pPr>
        <w:rPr>
          <w:i/>
          <w:lang w:eastAsia="ko-KR" w:bidi="ar-SA"/>
        </w:rPr>
      </w:pPr>
      <w:r w:rsidRPr="00DD0D44">
        <w:rPr>
          <w:i/>
          <w:lang w:eastAsia="ko-KR" w:bidi="ar-SA"/>
        </w:rPr>
        <w:t>.11 Editor Note: Change the last paragraph as follows:</w:t>
      </w:r>
    </w:p>
    <w:p w:rsidR="00886265" w:rsidRPr="00DD0D44" w:rsidRDefault="00886265" w:rsidP="00886265">
      <w:pPr>
        <w:rPr>
          <w:lang w:eastAsia="ko-KR" w:bidi="ar-SA"/>
        </w:rPr>
      </w:pPr>
    </w:p>
    <w:p w:rsidR="00886265" w:rsidRPr="00DD0D44" w:rsidRDefault="00886265" w:rsidP="00886265">
      <w:pPr>
        <w:rPr>
          <w:lang w:eastAsia="ko-KR" w:bidi="ar-SA"/>
        </w:rPr>
      </w:pPr>
      <w:r w:rsidRPr="00DD0D44">
        <w:rPr>
          <w:lang w:eastAsia="ko-KR" w:bidi="ar-SA"/>
        </w:rPr>
        <w:t>This set of services is divided into two groups: the SS and the DSS. The SS are part of every STA. The DSS are provided by the DS</w:t>
      </w:r>
      <w:r>
        <w:rPr>
          <w:lang w:eastAsia="ko-KR" w:bidi="ar-SA"/>
        </w:rPr>
        <w:t xml:space="preserve"> </w:t>
      </w:r>
      <w:r w:rsidRPr="00D96FFE">
        <w:rPr>
          <w:u w:val="single"/>
          <w:lang w:eastAsia="ko-KR" w:bidi="ar-SA"/>
        </w:rPr>
        <w:t xml:space="preserve">and can </w:t>
      </w:r>
      <w:r>
        <w:rPr>
          <w:u w:val="single"/>
          <w:lang w:eastAsia="ko-KR" w:bidi="ar-SA"/>
        </w:rPr>
        <w:t xml:space="preserve">also </w:t>
      </w:r>
      <w:r w:rsidRPr="00D96FFE">
        <w:rPr>
          <w:u w:val="single"/>
          <w:lang w:eastAsia="ko-KR" w:bidi="ar-SA"/>
        </w:rPr>
        <w:t>be provided in the PBSS</w:t>
      </w:r>
      <w:r>
        <w:rPr>
          <w:u w:val="single"/>
          <w:lang w:eastAsia="ko-KR" w:bidi="ar-SA"/>
        </w:rPr>
        <w:t xml:space="preserve"> with the exceptions noted in 5.3.2.</w:t>
      </w:r>
    </w:p>
    <w:p w:rsidR="00886265" w:rsidRPr="00DD0D44" w:rsidRDefault="00886265" w:rsidP="00886265">
      <w:pPr>
        <w:rPr>
          <w:lang w:eastAsia="ko-KR" w:bidi="ar-SA"/>
        </w:rPr>
      </w:pPr>
    </w:p>
    <w:p w:rsidR="00886265" w:rsidRPr="00040942" w:rsidRDefault="00886265" w:rsidP="00535AF7">
      <w:pPr>
        <w:pStyle w:val="Heading3"/>
        <w:rPr>
          <w:lang w:eastAsia="ko-KR" w:bidi="ar-SA"/>
        </w:rPr>
      </w:pPr>
      <w:bookmarkStart w:id="134" w:name="_Toc259716843"/>
      <w:r>
        <w:rPr>
          <w:lang w:eastAsia="ko-KR" w:bidi="ar-SA"/>
        </w:rPr>
        <w:t>5</w:t>
      </w:r>
      <w:r w:rsidRPr="00040942">
        <w:rPr>
          <w:lang w:eastAsia="ko-KR" w:bidi="ar-SA"/>
        </w:rPr>
        <w:t>.</w:t>
      </w:r>
      <w:r>
        <w:rPr>
          <w:lang w:eastAsia="ko-KR" w:bidi="ar-SA"/>
        </w:rPr>
        <w:t>3.2</w:t>
      </w:r>
      <w:r w:rsidRPr="00040942">
        <w:rPr>
          <w:lang w:eastAsia="ko-KR" w:bidi="ar-SA"/>
        </w:rPr>
        <w:t xml:space="preserve"> </w:t>
      </w:r>
      <w:r>
        <w:rPr>
          <w:lang w:eastAsia="ko-KR" w:bidi="ar-SA"/>
        </w:rPr>
        <w:t>DSS</w:t>
      </w:r>
      <w:bookmarkEnd w:id="134"/>
    </w:p>
    <w:p w:rsidR="00886265" w:rsidRDefault="00886265" w:rsidP="00886265">
      <w:pPr>
        <w:rPr>
          <w:lang w:eastAsia="ko-KR" w:bidi="ar-SA"/>
        </w:rPr>
      </w:pPr>
    </w:p>
    <w:p w:rsidR="00886265" w:rsidRPr="00DD0D44" w:rsidRDefault="00886265" w:rsidP="00886265">
      <w:pPr>
        <w:rPr>
          <w:i/>
          <w:lang w:eastAsia="ko-KR" w:bidi="ar-SA"/>
        </w:rPr>
      </w:pPr>
      <w:r w:rsidRPr="00DD0D44">
        <w:rPr>
          <w:i/>
          <w:lang w:eastAsia="ko-KR" w:bidi="ar-SA"/>
        </w:rPr>
        <w:t xml:space="preserve">.11 Editor Note: Change the </w:t>
      </w:r>
      <w:r>
        <w:rPr>
          <w:i/>
          <w:lang w:eastAsia="ko-KR" w:bidi="ar-SA"/>
        </w:rPr>
        <w:t>first</w:t>
      </w:r>
      <w:r w:rsidRPr="00DD0D44">
        <w:rPr>
          <w:i/>
          <w:lang w:eastAsia="ko-KR" w:bidi="ar-SA"/>
        </w:rPr>
        <w:t xml:space="preserve"> paragraph as follows:</w:t>
      </w:r>
    </w:p>
    <w:p w:rsidR="00886265" w:rsidRDefault="00886265" w:rsidP="00886265">
      <w:pPr>
        <w:rPr>
          <w:lang w:eastAsia="ko-KR" w:bidi="ar-SA"/>
        </w:rPr>
      </w:pPr>
    </w:p>
    <w:p w:rsidR="00886265" w:rsidRDefault="00886265" w:rsidP="00886265">
      <w:pPr>
        <w:rPr>
          <w:lang w:eastAsia="ko-KR" w:bidi="ar-SA"/>
        </w:rPr>
      </w:pPr>
      <w:r w:rsidRPr="00DD0D44">
        <w:rPr>
          <w:lang w:eastAsia="ko-KR" w:bidi="ar-SA"/>
        </w:rPr>
        <w:t>The service provided by the DS is known as the DSS.</w:t>
      </w:r>
      <w:r>
        <w:rPr>
          <w:lang w:eastAsia="ko-KR" w:bidi="ar-SA"/>
        </w:rPr>
        <w:t xml:space="preserve"> </w:t>
      </w:r>
      <w:r w:rsidRPr="006A2797">
        <w:rPr>
          <w:u w:val="single"/>
          <w:lang w:eastAsia="ko-KR" w:bidi="ar-SA"/>
        </w:rPr>
        <w:t>In a PBSS, select</w:t>
      </w:r>
      <w:r>
        <w:rPr>
          <w:u w:val="single"/>
          <w:lang w:eastAsia="ko-KR" w:bidi="ar-SA"/>
        </w:rPr>
        <w:t xml:space="preserve"> services of the</w:t>
      </w:r>
      <w:r w:rsidRPr="006A2797">
        <w:rPr>
          <w:u w:val="single"/>
          <w:lang w:eastAsia="ko-KR" w:bidi="ar-SA"/>
        </w:rPr>
        <w:t xml:space="preserve"> DSS </w:t>
      </w:r>
      <w:r>
        <w:rPr>
          <w:u w:val="single"/>
          <w:lang w:eastAsia="ko-KR" w:bidi="ar-SA"/>
        </w:rPr>
        <w:t xml:space="preserve">can be available </w:t>
      </w:r>
      <w:r w:rsidRPr="006A2797">
        <w:rPr>
          <w:u w:val="single"/>
          <w:lang w:eastAsia="ko-KR" w:bidi="ar-SA"/>
        </w:rPr>
        <w:t>in addition to the SS.</w:t>
      </w:r>
    </w:p>
    <w:p w:rsidR="00886265" w:rsidRDefault="00886265" w:rsidP="00886265">
      <w:pPr>
        <w:rPr>
          <w:lang w:eastAsia="ko-KR" w:bidi="ar-SA"/>
        </w:rPr>
      </w:pPr>
    </w:p>
    <w:p w:rsidR="00886265" w:rsidRPr="00DD0D44" w:rsidRDefault="00886265" w:rsidP="00886265">
      <w:pPr>
        <w:rPr>
          <w:i/>
          <w:lang w:eastAsia="ko-KR" w:bidi="ar-SA"/>
        </w:rPr>
      </w:pPr>
      <w:r w:rsidRPr="00DD0D44">
        <w:rPr>
          <w:i/>
          <w:lang w:eastAsia="ko-KR" w:bidi="ar-SA"/>
        </w:rPr>
        <w:t xml:space="preserve">.11 Editor Note: Change the </w:t>
      </w:r>
      <w:r>
        <w:rPr>
          <w:i/>
          <w:lang w:eastAsia="ko-KR" w:bidi="ar-SA"/>
        </w:rPr>
        <w:t>third</w:t>
      </w:r>
      <w:r w:rsidRPr="00DD0D44">
        <w:rPr>
          <w:i/>
          <w:lang w:eastAsia="ko-KR" w:bidi="ar-SA"/>
        </w:rPr>
        <w:t xml:space="preserve"> paragraph as follows:</w:t>
      </w:r>
    </w:p>
    <w:p w:rsidR="00886265" w:rsidRDefault="00886265" w:rsidP="00886265">
      <w:pPr>
        <w:rPr>
          <w:lang w:eastAsia="ko-KR" w:bidi="ar-SA"/>
        </w:rPr>
      </w:pPr>
    </w:p>
    <w:p w:rsidR="00886265" w:rsidRPr="00DD0D44" w:rsidRDefault="00886265" w:rsidP="00886265">
      <w:pPr>
        <w:rPr>
          <w:lang w:eastAsia="ko-KR" w:bidi="ar-SA"/>
        </w:rPr>
      </w:pPr>
      <w:r w:rsidRPr="00DD0D44">
        <w:rPr>
          <w:lang w:eastAsia="ko-KR" w:bidi="ar-SA"/>
        </w:rPr>
        <w:t>The services that comprise the DSS are as follows:</w:t>
      </w:r>
    </w:p>
    <w:p w:rsidR="00886265" w:rsidRDefault="00886265" w:rsidP="003701DB">
      <w:pPr>
        <w:numPr>
          <w:ilvl w:val="0"/>
          <w:numId w:val="183"/>
        </w:numPr>
        <w:rPr>
          <w:lang w:eastAsia="ko-KR" w:bidi="ar-SA"/>
        </w:rPr>
      </w:pPr>
      <w:r w:rsidRPr="00DD0D44">
        <w:rPr>
          <w:lang w:eastAsia="ko-KR" w:bidi="ar-SA"/>
        </w:rPr>
        <w:t>Association</w:t>
      </w:r>
    </w:p>
    <w:p w:rsidR="00886265" w:rsidRDefault="00886265" w:rsidP="003701DB">
      <w:pPr>
        <w:numPr>
          <w:ilvl w:val="0"/>
          <w:numId w:val="183"/>
        </w:numPr>
        <w:rPr>
          <w:lang w:eastAsia="ko-KR" w:bidi="ar-SA"/>
        </w:rPr>
      </w:pPr>
      <w:r w:rsidRPr="00DD0D44">
        <w:rPr>
          <w:lang w:eastAsia="ko-KR" w:bidi="ar-SA"/>
        </w:rPr>
        <w:t>Disassociation</w:t>
      </w:r>
    </w:p>
    <w:p w:rsidR="00886265" w:rsidRPr="00D45C79" w:rsidRDefault="00886265" w:rsidP="003701DB">
      <w:pPr>
        <w:numPr>
          <w:ilvl w:val="0"/>
          <w:numId w:val="183"/>
        </w:numPr>
        <w:rPr>
          <w:u w:val="single"/>
          <w:lang w:eastAsia="ko-KR" w:bidi="ar-SA"/>
        </w:rPr>
      </w:pPr>
      <w:r w:rsidRPr="00DD0D44">
        <w:rPr>
          <w:lang w:eastAsia="ko-KR" w:bidi="ar-SA"/>
        </w:rPr>
        <w:t>Distribution</w:t>
      </w:r>
      <w:r>
        <w:rPr>
          <w:lang w:eastAsia="ko-KR" w:bidi="ar-SA"/>
        </w:rPr>
        <w:t xml:space="preserve"> </w:t>
      </w:r>
      <w:r w:rsidRPr="00D45C79">
        <w:rPr>
          <w:u w:val="single"/>
          <w:lang w:eastAsia="ko-KR" w:bidi="ar-SA"/>
        </w:rPr>
        <w:t xml:space="preserve">(not provided </w:t>
      </w:r>
      <w:r>
        <w:rPr>
          <w:u w:val="single"/>
          <w:lang w:eastAsia="ko-KR" w:bidi="ar-SA"/>
        </w:rPr>
        <w:t>in</w:t>
      </w:r>
      <w:r w:rsidRPr="00D45C79">
        <w:rPr>
          <w:u w:val="single"/>
          <w:lang w:eastAsia="ko-KR" w:bidi="ar-SA"/>
        </w:rPr>
        <w:t xml:space="preserve"> a PBSS)</w:t>
      </w:r>
    </w:p>
    <w:p w:rsidR="00886265" w:rsidRDefault="00886265" w:rsidP="003701DB">
      <w:pPr>
        <w:numPr>
          <w:ilvl w:val="0"/>
          <w:numId w:val="183"/>
        </w:numPr>
        <w:rPr>
          <w:lang w:eastAsia="ko-KR" w:bidi="ar-SA"/>
        </w:rPr>
      </w:pPr>
      <w:r w:rsidRPr="00DD0D44">
        <w:rPr>
          <w:lang w:eastAsia="ko-KR" w:bidi="ar-SA"/>
        </w:rPr>
        <w:t>Integration</w:t>
      </w:r>
      <w:r>
        <w:rPr>
          <w:lang w:eastAsia="ko-KR" w:bidi="ar-SA"/>
        </w:rPr>
        <w:t xml:space="preserve"> </w:t>
      </w:r>
      <w:r w:rsidRPr="00D45C79">
        <w:rPr>
          <w:u w:val="single"/>
          <w:lang w:eastAsia="ko-KR" w:bidi="ar-SA"/>
        </w:rPr>
        <w:t xml:space="preserve">(not provided </w:t>
      </w:r>
      <w:r>
        <w:rPr>
          <w:u w:val="single"/>
          <w:lang w:eastAsia="ko-KR" w:bidi="ar-SA"/>
        </w:rPr>
        <w:t>in</w:t>
      </w:r>
      <w:r w:rsidRPr="00D45C79">
        <w:rPr>
          <w:u w:val="single"/>
          <w:lang w:eastAsia="ko-KR" w:bidi="ar-SA"/>
        </w:rPr>
        <w:t xml:space="preserve"> a PBSS)</w:t>
      </w:r>
    </w:p>
    <w:p w:rsidR="00886265" w:rsidRDefault="00886265" w:rsidP="003701DB">
      <w:pPr>
        <w:numPr>
          <w:ilvl w:val="0"/>
          <w:numId w:val="183"/>
        </w:numPr>
        <w:rPr>
          <w:lang w:eastAsia="ko-KR" w:bidi="ar-SA"/>
        </w:rPr>
      </w:pPr>
      <w:r w:rsidRPr="00DD0D44">
        <w:rPr>
          <w:lang w:eastAsia="ko-KR" w:bidi="ar-SA"/>
        </w:rPr>
        <w:t>Reassociation</w:t>
      </w:r>
    </w:p>
    <w:p w:rsidR="00886265" w:rsidRDefault="00886265" w:rsidP="003701DB">
      <w:pPr>
        <w:numPr>
          <w:ilvl w:val="0"/>
          <w:numId w:val="183"/>
        </w:numPr>
        <w:rPr>
          <w:lang w:eastAsia="ko-KR" w:bidi="ar-SA"/>
        </w:rPr>
      </w:pPr>
      <w:r w:rsidRPr="00DD0D44">
        <w:rPr>
          <w:lang w:eastAsia="ko-KR" w:bidi="ar-SA"/>
        </w:rPr>
        <w:t>QoS traffic scheduling (QoS facility only)</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5" w:name="_Toc259716844"/>
      <w:r w:rsidRPr="00535AF7">
        <w:rPr>
          <w:u w:val="none"/>
          <w:lang w:eastAsia="ko-KR" w:bidi="ar-SA"/>
        </w:rPr>
        <w:t>5.4 Overview of the services</w:t>
      </w:r>
      <w:bookmarkEnd w:id="135"/>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fourth paragraph as follows</w:t>
      </w:r>
      <w:r w:rsidRPr="00726E69">
        <w:rPr>
          <w:i/>
          <w:iCs/>
          <w:lang w:eastAsia="ko-KR" w:bidi="ar-SA"/>
        </w:rPr>
        <w:t>:</w:t>
      </w:r>
    </w:p>
    <w:p w:rsidR="00886265" w:rsidRDefault="00886265" w:rsidP="00886265">
      <w:pPr>
        <w:rPr>
          <w:lang w:eastAsia="ko-KR" w:bidi="ar-SA"/>
        </w:rPr>
      </w:pPr>
    </w:p>
    <w:p w:rsidR="00886265" w:rsidRDefault="00886265" w:rsidP="00886265">
      <w:pPr>
        <w:rPr>
          <w:lang w:eastAsia="ko-KR" w:bidi="ar-SA"/>
        </w:rPr>
      </w:pPr>
      <w:r w:rsidRPr="00C3117D">
        <w:rPr>
          <w:lang w:eastAsia="ko-KR" w:bidi="ar-SA"/>
        </w:rPr>
        <w:lastRenderedPageBreak/>
        <w:t xml:space="preserve">The IEEE 802.11 MAC sublayer uses </w:t>
      </w:r>
      <w:r w:rsidRPr="004C36AE">
        <w:rPr>
          <w:strike/>
          <w:lang w:eastAsia="ko-KR" w:bidi="ar-SA"/>
        </w:rPr>
        <w:t>three</w:t>
      </w:r>
      <w:r w:rsidRPr="00C3117D">
        <w:rPr>
          <w:lang w:eastAsia="ko-KR" w:bidi="ar-SA"/>
        </w:rPr>
        <w:t xml:space="preserve"> </w:t>
      </w:r>
      <w:r w:rsidRPr="004C36AE">
        <w:rPr>
          <w:u w:val="single"/>
          <w:lang w:eastAsia="ko-KR" w:bidi="ar-SA"/>
        </w:rPr>
        <w:t>four</w:t>
      </w:r>
      <w:r>
        <w:rPr>
          <w:lang w:eastAsia="ko-KR" w:bidi="ar-SA"/>
        </w:rPr>
        <w:t xml:space="preserve"> </w:t>
      </w:r>
      <w:r w:rsidRPr="00C3117D">
        <w:rPr>
          <w:lang w:eastAsia="ko-KR" w:bidi="ar-SA"/>
        </w:rPr>
        <w:t xml:space="preserve">types of messages—data, management, </w:t>
      </w:r>
      <w:r w:rsidRPr="00C3117D">
        <w:rPr>
          <w:u w:val="single"/>
          <w:lang w:eastAsia="ko-KR" w:bidi="ar-SA"/>
        </w:rPr>
        <w:t>extension</w:t>
      </w:r>
      <w:r w:rsidRPr="004C36AE">
        <w:rPr>
          <w:u w:val="single"/>
          <w:lang w:eastAsia="ko-KR" w:bidi="ar-SA"/>
        </w:rPr>
        <w:t>,</w:t>
      </w:r>
      <w:r>
        <w:rPr>
          <w:lang w:eastAsia="ko-KR" w:bidi="ar-SA"/>
        </w:rPr>
        <w:t xml:space="preserve"> </w:t>
      </w:r>
      <w:r w:rsidRPr="00C3117D">
        <w:rPr>
          <w:lang w:eastAsia="ko-KR" w:bidi="ar-SA"/>
        </w:rPr>
        <w:t>and control (see</w:t>
      </w:r>
      <w:r>
        <w:rPr>
          <w:lang w:eastAsia="ko-KR" w:bidi="ar-SA"/>
        </w:rPr>
        <w:t xml:space="preserve"> </w:t>
      </w:r>
      <w:r w:rsidRPr="00C3117D">
        <w:rPr>
          <w:lang w:eastAsia="ko-KR" w:bidi="ar-SA"/>
        </w:rPr>
        <w:t>Clause 7). The data messages are handled via the MAC data service path.</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paragraph after the sixth paragraph</w:t>
      </w:r>
      <w:r w:rsidRPr="00726E69">
        <w:rPr>
          <w:i/>
          <w:iCs/>
          <w:lang w:eastAsia="ko-KR" w:bidi="ar-SA"/>
        </w:rPr>
        <w:t>:</w:t>
      </w:r>
    </w:p>
    <w:p w:rsidR="00886265" w:rsidRDefault="00886265" w:rsidP="00886265">
      <w:pPr>
        <w:rPr>
          <w:lang w:eastAsia="ko-KR" w:bidi="ar-SA"/>
        </w:rPr>
      </w:pPr>
    </w:p>
    <w:p w:rsidR="00886265" w:rsidRPr="009D53F1" w:rsidRDefault="00886265" w:rsidP="00886265">
      <w:pPr>
        <w:autoSpaceDE w:val="0"/>
        <w:autoSpaceDN w:val="0"/>
        <w:adjustRightInd w:val="0"/>
        <w:rPr>
          <w:u w:val="single"/>
          <w:lang w:eastAsia="ko-KR" w:bidi="ar-SA"/>
        </w:rPr>
      </w:pPr>
      <w:r w:rsidRPr="009D53F1">
        <w:rPr>
          <w:u w:val="single"/>
          <w:lang w:eastAsia="ko-KR" w:bidi="ar-SA"/>
        </w:rPr>
        <w:t xml:space="preserve">MAC extension messages </w:t>
      </w:r>
      <w:r>
        <w:rPr>
          <w:u w:val="single"/>
          <w:lang w:eastAsia="ko-KR" w:bidi="ar-SA"/>
        </w:rPr>
        <w:t>can be</w:t>
      </w:r>
      <w:r w:rsidRPr="009D53F1">
        <w:rPr>
          <w:u w:val="single"/>
          <w:lang w:eastAsia="ko-KR" w:bidi="ar-SA"/>
        </w:rPr>
        <w:t xml:space="preserve"> used to support the IEEE 802.11 services </w:t>
      </w:r>
      <w:r>
        <w:rPr>
          <w:u w:val="single"/>
          <w:lang w:eastAsia="ko-KR" w:bidi="ar-SA"/>
        </w:rPr>
        <w:t xml:space="preserve">that </w:t>
      </w:r>
      <w:r w:rsidRPr="009D53F1">
        <w:rPr>
          <w:u w:val="single"/>
          <w:lang w:eastAsia="ko-KR" w:bidi="ar-SA"/>
        </w:rPr>
        <w:t>are handled via the MAC</w:t>
      </w:r>
      <w:r>
        <w:rPr>
          <w:u w:val="single"/>
          <w:lang w:eastAsia="ko-KR" w:bidi="ar-SA"/>
        </w:rPr>
        <w:t xml:space="preserve"> management service path.</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Modify the seventh (and last) paragraph as follows</w:t>
      </w:r>
      <w:r w:rsidRPr="00726E69">
        <w:rPr>
          <w:i/>
          <w:iCs/>
          <w:lang w:eastAsia="ko-KR" w:bidi="ar-SA"/>
        </w:rPr>
        <w:t>:</w:t>
      </w:r>
    </w:p>
    <w:p w:rsidR="00886265" w:rsidRDefault="00886265" w:rsidP="00886265">
      <w:pPr>
        <w:rPr>
          <w:lang w:eastAsia="ko-KR" w:bidi="ar-SA"/>
        </w:rPr>
      </w:pPr>
    </w:p>
    <w:p w:rsidR="00886265" w:rsidRDefault="00886265" w:rsidP="00886265">
      <w:pPr>
        <w:rPr>
          <w:lang w:eastAsia="ko-KR" w:bidi="ar-SA"/>
        </w:rPr>
      </w:pPr>
      <w:r w:rsidRPr="009D53F1">
        <w:rPr>
          <w:lang w:eastAsia="ko-KR" w:bidi="ar-SA"/>
        </w:rPr>
        <w:t>The examples here assume an ESS network environment. The differences between the ESS</w:t>
      </w:r>
      <w:r w:rsidRPr="00DB609B">
        <w:rPr>
          <w:u w:val="single"/>
          <w:lang w:eastAsia="ko-KR" w:bidi="ar-SA"/>
        </w:rPr>
        <w:t>, the PBSS</w:t>
      </w:r>
      <w:r w:rsidRPr="009D53F1">
        <w:rPr>
          <w:lang w:eastAsia="ko-KR" w:bidi="ar-SA"/>
        </w:rPr>
        <w:t xml:space="preserve"> and the IBSS network environments are discussed separately in 5.6.</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indicated subclause as follows</w:t>
      </w:r>
      <w:r w:rsidRPr="00726E69">
        <w:rPr>
          <w:i/>
          <w:iCs/>
          <w:lang w:eastAsia="ko-KR" w:bidi="ar-SA"/>
        </w:rPr>
        <w:t>:</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6" w:name="_Toc259716845"/>
      <w:r w:rsidRPr="00535AF7">
        <w:rPr>
          <w:u w:val="none"/>
          <w:lang w:eastAsia="ko-KR" w:bidi="ar-SA"/>
        </w:rPr>
        <w:t>5.6 Differences between ESS</w:t>
      </w:r>
      <w:r w:rsidRPr="00535AF7">
        <w:rPr>
          <w:lang w:eastAsia="ko-KR" w:bidi="ar-SA"/>
        </w:rPr>
        <w:t>, PBSS</w:t>
      </w:r>
      <w:r w:rsidRPr="00535AF7">
        <w:rPr>
          <w:u w:val="none"/>
          <w:lang w:eastAsia="ko-KR" w:bidi="ar-SA"/>
        </w:rPr>
        <w:t xml:space="preserve"> and IBSS LANs</w:t>
      </w:r>
      <w:bookmarkEnd w:id="136"/>
    </w:p>
    <w:p w:rsidR="00886265" w:rsidRDefault="00886265" w:rsidP="00886265">
      <w:pPr>
        <w:rPr>
          <w:lang w:eastAsia="ko-KR" w:bidi="ar-SA"/>
        </w:rPr>
      </w:pPr>
    </w:p>
    <w:p w:rsidR="00886265" w:rsidRDefault="00886265" w:rsidP="00886265">
      <w:pPr>
        <w:rPr>
          <w:lang w:eastAsia="ko-KR" w:bidi="ar-SA"/>
        </w:rPr>
      </w:pPr>
      <w:r w:rsidRPr="001C3FE1">
        <w:rPr>
          <w:lang w:eastAsia="ko-KR" w:bidi="ar-SA"/>
        </w:rPr>
        <w:t>In 5.2.1 the concept of the IBSS LAN was introduced</w:t>
      </w:r>
      <w:r>
        <w:rPr>
          <w:lang w:eastAsia="ko-KR" w:bidi="ar-SA"/>
        </w:rPr>
        <w:t xml:space="preserve"> </w:t>
      </w:r>
      <w:r w:rsidRPr="00C7418B">
        <w:rPr>
          <w:u w:val="single"/>
          <w:lang w:eastAsia="ko-KR" w:bidi="ar-SA"/>
        </w:rPr>
        <w:t>and in 5.2.1a the concept of the PBSS LAN was introduced</w:t>
      </w:r>
      <w:r w:rsidRPr="001C3FE1">
        <w:rPr>
          <w:lang w:eastAsia="ko-KR" w:bidi="ar-SA"/>
        </w:rPr>
        <w:t>. It was noted that an IBSS</w:t>
      </w:r>
      <w:r>
        <w:rPr>
          <w:u w:val="single"/>
          <w:lang w:eastAsia="ko-KR" w:bidi="ar-SA"/>
        </w:rPr>
        <w:t xml:space="preserve"> and </w:t>
      </w:r>
      <w:r w:rsidRPr="00393086">
        <w:rPr>
          <w:u w:val="single"/>
          <w:lang w:eastAsia="ko-KR" w:bidi="ar-SA"/>
        </w:rPr>
        <w:t>PBSS</w:t>
      </w:r>
      <w:r w:rsidRPr="001C3FE1">
        <w:rPr>
          <w:lang w:eastAsia="ko-KR" w:bidi="ar-SA"/>
        </w:rPr>
        <w:t xml:space="preserve"> is often used to support an ad hoc network. In an IBSS</w:t>
      </w:r>
      <w:r>
        <w:rPr>
          <w:u w:val="single"/>
          <w:lang w:eastAsia="ko-KR" w:bidi="ar-SA"/>
        </w:rPr>
        <w:t xml:space="preserve"> and </w:t>
      </w:r>
      <w:r w:rsidR="005D629E">
        <w:rPr>
          <w:u w:val="single"/>
          <w:lang w:eastAsia="ko-KR" w:bidi="ar-SA"/>
        </w:rPr>
        <w:t xml:space="preserve">a </w:t>
      </w:r>
      <w:r w:rsidRPr="00393086">
        <w:rPr>
          <w:u w:val="single"/>
          <w:lang w:eastAsia="ko-KR" w:bidi="ar-SA"/>
        </w:rPr>
        <w:t>PBSS</w:t>
      </w:r>
      <w:r w:rsidRPr="001C3FE1">
        <w:rPr>
          <w:lang w:eastAsia="ko-KR" w:bidi="ar-SA"/>
        </w:rPr>
        <w:t xml:space="preserve"> network, a STA communicates directly with one or more other STAs.</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paragraphs after “</w:t>
      </w:r>
      <w:r w:rsidRPr="00205BBC">
        <w:rPr>
          <w:iCs/>
          <w:lang w:eastAsia="ko-KR" w:bidi="ar-SA"/>
        </w:rPr>
        <w:t>Figure 5-9 – Logical architecture of an IBSS</w:t>
      </w:r>
      <w:r>
        <w:rPr>
          <w:i/>
          <w:iCs/>
          <w:lang w:eastAsia="ko-KR" w:bidi="ar-SA"/>
        </w:rPr>
        <w:t>”</w:t>
      </w:r>
      <w:r w:rsidRPr="00726E69">
        <w:rPr>
          <w:i/>
          <w:iCs/>
          <w:lang w:eastAsia="ko-KR" w:bidi="ar-SA"/>
        </w:rPr>
        <w:t>:</w:t>
      </w:r>
    </w:p>
    <w:p w:rsidR="00886265" w:rsidRDefault="00886265" w:rsidP="00886265">
      <w:pPr>
        <w:rPr>
          <w:lang w:eastAsia="ko-KR" w:bidi="ar-SA"/>
        </w:rPr>
      </w:pPr>
    </w:p>
    <w:p w:rsidR="00886265" w:rsidRPr="00205BBC" w:rsidRDefault="00886265" w:rsidP="00886265">
      <w:pPr>
        <w:rPr>
          <w:u w:val="single"/>
          <w:lang w:eastAsia="ko-KR" w:bidi="ar-SA"/>
        </w:rPr>
      </w:pPr>
      <w:r>
        <w:rPr>
          <w:u w:val="single"/>
          <w:lang w:eastAsia="ko-KR" w:bidi="ar-SA"/>
        </w:rPr>
        <w:t xml:space="preserve">An important </w:t>
      </w:r>
      <w:r w:rsidRPr="00205BBC">
        <w:rPr>
          <w:u w:val="single"/>
          <w:lang w:eastAsia="ko-KR" w:bidi="ar-SA"/>
        </w:rPr>
        <w:t>difference between the IBSS and the PBSS is that within the PBSS only a single STA, namely the PCP, is responsible for beacon frame transmission. Within the IBSS, all STAs are responsible for beacon frame transmission.</w:t>
      </w:r>
      <w:r>
        <w:rPr>
          <w:u w:val="single"/>
          <w:lang w:eastAsia="ko-KR" w:bidi="ar-SA"/>
        </w:rPr>
        <w:t xml:space="preserve"> When compared to the infrastructure BSS, the PBSS does not provide certain DSSs as described in 5.3.2.</w:t>
      </w:r>
    </w:p>
    <w:p w:rsidR="00886265" w:rsidRPr="00205BBC" w:rsidRDefault="00886265" w:rsidP="00886265">
      <w:pPr>
        <w:rPr>
          <w:u w:val="single"/>
          <w:lang w:eastAsia="ko-KR" w:bidi="ar-SA"/>
        </w:rPr>
      </w:pPr>
    </w:p>
    <w:p w:rsidR="00886265" w:rsidRPr="00205BBC" w:rsidRDefault="00886265" w:rsidP="00886265">
      <w:pPr>
        <w:rPr>
          <w:u w:val="single"/>
          <w:lang w:eastAsia="ko-KR" w:bidi="ar-SA"/>
        </w:rPr>
      </w:pPr>
      <w:r w:rsidRPr="00205BBC">
        <w:rPr>
          <w:u w:val="single"/>
          <w:lang w:eastAsia="ko-KR" w:bidi="ar-SA"/>
        </w:rPr>
        <w:t>A PBSS consists of STAs that are logically connected. Thus, as opposed to the IBSS, there can be more than one PBSS</w:t>
      </w:r>
      <w:r>
        <w:rPr>
          <w:u w:val="single"/>
          <w:lang w:eastAsia="ko-KR" w:bidi="ar-SA"/>
        </w:rPr>
        <w:t>s</w:t>
      </w:r>
      <w:r w:rsidRPr="00205BBC">
        <w:rPr>
          <w:u w:val="single"/>
          <w:lang w:eastAsia="ko-KR" w:bidi="ar-SA"/>
        </w:rPr>
        <w:t xml:space="preserve"> in the same BSA. One of the STAs within </w:t>
      </w:r>
      <w:r>
        <w:rPr>
          <w:u w:val="single"/>
          <w:lang w:eastAsia="ko-KR" w:bidi="ar-SA"/>
        </w:rPr>
        <w:t>each</w:t>
      </w:r>
      <w:r w:rsidRPr="00205BBC">
        <w:rPr>
          <w:u w:val="single"/>
          <w:lang w:eastAsia="ko-KR" w:bidi="ar-SA"/>
        </w:rPr>
        <w:t xml:space="preserve"> PBSS assumes the role of the PCP. The logical picture of the PBSS reduces to </w:t>
      </w:r>
      <w:fldSimple w:instr=" REF _Ref247610874 \h  \* MERGEFORMAT ">
        <w:r w:rsidR="003E4210" w:rsidRPr="003E4210">
          <w:rPr>
            <w:u w:val="single"/>
          </w:rPr>
          <w:t xml:space="preserve">Figure </w:t>
        </w:r>
        <w:r w:rsidR="003E4210" w:rsidRPr="003E4210">
          <w:rPr>
            <w:noProof/>
            <w:u w:val="single"/>
          </w:rPr>
          <w:t>1</w:t>
        </w:r>
      </w:fldSimple>
      <w:r w:rsidRPr="00205BBC">
        <w:rPr>
          <w:u w:val="single"/>
          <w:lang w:eastAsia="ko-KR" w:bidi="ar-SA"/>
        </w:rPr>
        <w:t>.</w:t>
      </w:r>
    </w:p>
    <w:p w:rsidR="00886265" w:rsidRDefault="00886265" w:rsidP="00886265">
      <w:pPr>
        <w:rPr>
          <w:lang w:eastAsia="ko-KR" w:bidi="ar-SA"/>
        </w:rPr>
      </w:pPr>
    </w:p>
    <w:p w:rsidR="00886265" w:rsidRDefault="00886265" w:rsidP="00886265">
      <w:pPr>
        <w:jc w:val="center"/>
        <w:rPr>
          <w:lang w:eastAsia="ko-KR" w:bidi="ar-SA"/>
        </w:rPr>
      </w:pPr>
      <w:r>
        <w:object w:dxaOrig="3734" w:dyaOrig="1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9pt;height:99.15pt" o:ole="">
            <v:imagedata r:id="rId102" o:title=""/>
          </v:shape>
          <o:OLEObject Type="Embed" ProgID="Visio.Drawing.11" ShapeID="_x0000_i1026" DrawAspect="Content" ObjectID="_1334048208" r:id="rId103"/>
        </w:object>
      </w:r>
    </w:p>
    <w:p w:rsidR="00886265" w:rsidRDefault="00886265" w:rsidP="00886265">
      <w:pPr>
        <w:pStyle w:val="Caption"/>
        <w:rPr>
          <w:lang w:eastAsia="ko-KR"/>
        </w:rPr>
      </w:pPr>
      <w:bookmarkStart w:id="137" w:name="_Ref247610874"/>
      <w:bookmarkStart w:id="138" w:name="_Toc259717433"/>
      <w:r>
        <w:t xml:space="preserve">Figure </w:t>
      </w:r>
      <w:r w:rsidR="00BD151C">
        <w:fldChar w:fldCharType="begin"/>
      </w:r>
      <w:r w:rsidR="00801316">
        <w:instrText xml:space="preserve"> SEQ Figure \* ARABIC </w:instrText>
      </w:r>
      <w:r w:rsidR="00BD151C">
        <w:fldChar w:fldCharType="separate"/>
      </w:r>
      <w:r w:rsidR="003E4210">
        <w:rPr>
          <w:noProof/>
        </w:rPr>
        <w:t>1</w:t>
      </w:r>
      <w:r w:rsidR="00BD151C">
        <w:fldChar w:fldCharType="end"/>
      </w:r>
      <w:bookmarkEnd w:id="137"/>
      <w:r>
        <w:t xml:space="preserve"> – Logical architecture of a PBSS</w:t>
      </w:r>
      <w:bookmarkEnd w:id="138"/>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fourth paragraph as follows</w:t>
      </w:r>
      <w:r w:rsidRPr="00726E69">
        <w:rPr>
          <w:i/>
          <w:iCs/>
          <w:lang w:eastAsia="ko-KR" w:bidi="ar-SA"/>
        </w:rPr>
        <w:t>:</w:t>
      </w:r>
    </w:p>
    <w:p w:rsidR="00886265" w:rsidRDefault="00886265" w:rsidP="00886265">
      <w:pPr>
        <w:rPr>
          <w:lang w:eastAsia="ko-KR" w:bidi="ar-SA"/>
        </w:rPr>
      </w:pPr>
    </w:p>
    <w:p w:rsidR="00886265" w:rsidRDefault="00886265" w:rsidP="00886265">
      <w:pPr>
        <w:rPr>
          <w:lang w:eastAsia="ko-KR" w:bidi="ar-SA"/>
        </w:rPr>
      </w:pPr>
      <w:r w:rsidRPr="00205BBC">
        <w:rPr>
          <w:lang w:eastAsia="ko-KR" w:bidi="ar-SA"/>
        </w:rPr>
        <w:t xml:space="preserve">Only the minimum two STAs are shown in Figure 5-9. An IBSS may have an arbitrary number of members. In an IBSS, only Class 1 and Class 2 frames are allowed because there is no DS in an IBSS. </w:t>
      </w:r>
      <w:r w:rsidRPr="00205BBC">
        <w:rPr>
          <w:u w:val="single"/>
          <w:lang w:eastAsia="ko-KR" w:bidi="ar-SA"/>
        </w:rPr>
        <w:lastRenderedPageBreak/>
        <w:t>A PBSS can have an arbitrary number of STAs, but there can be no more than 255 STAs associated with a PCP.</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fifth and sixth paragraphs as follows</w:t>
      </w:r>
      <w:r w:rsidRPr="00726E69">
        <w:rPr>
          <w:i/>
          <w:iCs/>
          <w:lang w:eastAsia="ko-KR" w:bidi="ar-SA"/>
        </w:rPr>
        <w:t>:</w:t>
      </w:r>
    </w:p>
    <w:p w:rsidR="00886265" w:rsidRDefault="00886265" w:rsidP="00886265">
      <w:pPr>
        <w:rPr>
          <w:lang w:eastAsia="ko-KR" w:bidi="ar-SA"/>
        </w:rPr>
      </w:pPr>
    </w:p>
    <w:p w:rsidR="00886265" w:rsidRPr="001D2699" w:rsidRDefault="00886265" w:rsidP="00886265">
      <w:pPr>
        <w:rPr>
          <w:lang w:eastAsia="ko-KR" w:bidi="ar-SA"/>
        </w:rPr>
      </w:pPr>
      <w:r w:rsidRPr="001D2699">
        <w:rPr>
          <w:lang w:eastAsia="ko-KR" w:bidi="ar-SA"/>
        </w:rPr>
        <w:t>The services that apply to an IBSS are the SSs</w:t>
      </w:r>
      <w:r>
        <w:rPr>
          <w:lang w:eastAsia="ko-KR" w:bidi="ar-SA"/>
        </w:rPr>
        <w:t xml:space="preserve">. </w:t>
      </w:r>
      <w:r w:rsidRPr="00F77BE5">
        <w:rPr>
          <w:u w:val="single"/>
          <w:lang w:eastAsia="ko-KR" w:bidi="ar-SA"/>
        </w:rPr>
        <w:t>The services th</w:t>
      </w:r>
      <w:r>
        <w:rPr>
          <w:u w:val="single"/>
          <w:lang w:eastAsia="ko-KR" w:bidi="ar-SA"/>
        </w:rPr>
        <w:t>at apply to the PBSS are the SSs</w:t>
      </w:r>
      <w:r w:rsidRPr="00F77BE5">
        <w:rPr>
          <w:u w:val="single"/>
          <w:lang w:eastAsia="ko-KR" w:bidi="ar-SA"/>
        </w:rPr>
        <w:t xml:space="preserve"> and, in addition, </w:t>
      </w:r>
      <w:r>
        <w:rPr>
          <w:u w:val="single"/>
          <w:lang w:eastAsia="ko-KR" w:bidi="ar-SA"/>
        </w:rPr>
        <w:t>the DSSs that can apply to the PBSS as described in 5.3.2</w:t>
      </w:r>
      <w:r w:rsidRPr="00F77BE5">
        <w:rPr>
          <w:u w:val="single"/>
          <w:lang w:eastAsia="ko-KR" w:bidi="ar-SA"/>
        </w:rPr>
        <w:t>.</w:t>
      </w:r>
      <w:r w:rsidRPr="001D2699">
        <w:rPr>
          <w:lang w:eastAsia="ko-KR" w:bidi="ar-SA"/>
        </w:rPr>
        <w:t xml:space="preserve"> A QoS IBSS </w:t>
      </w:r>
      <w:r>
        <w:rPr>
          <w:u w:val="single"/>
          <w:lang w:eastAsia="ko-KR" w:bidi="ar-SA"/>
        </w:rPr>
        <w:t xml:space="preserve">and PBSS </w:t>
      </w:r>
      <w:r w:rsidRPr="001D2699">
        <w:rPr>
          <w:lang w:eastAsia="ko-KR" w:bidi="ar-SA"/>
        </w:rPr>
        <w:t>support</w:t>
      </w:r>
      <w:r w:rsidRPr="001D2699">
        <w:rPr>
          <w:strike/>
          <w:lang w:eastAsia="ko-KR" w:bidi="ar-SA"/>
        </w:rPr>
        <w:t>s</w:t>
      </w:r>
      <w:r w:rsidRPr="001D2699">
        <w:rPr>
          <w:lang w:eastAsia="ko-KR" w:bidi="ar-SA"/>
        </w:rPr>
        <w:t xml:space="preserve"> operation under the HCF using TXOPs gained through the EDCA mechanism. </w:t>
      </w:r>
      <w:r w:rsidRPr="005C37BD">
        <w:rPr>
          <w:u w:val="single"/>
          <w:lang w:eastAsia="ko-KR" w:bidi="ar-SA"/>
        </w:rPr>
        <w:t xml:space="preserve">In a PBSS, the EDCA mechanism </w:t>
      </w:r>
      <w:r>
        <w:rPr>
          <w:u w:val="single"/>
          <w:lang w:eastAsia="ko-KR" w:bidi="ar-SA"/>
        </w:rPr>
        <w:t xml:space="preserve">is </w:t>
      </w:r>
      <w:r w:rsidRPr="005C37BD">
        <w:rPr>
          <w:u w:val="single"/>
          <w:lang w:eastAsia="ko-KR" w:bidi="ar-SA"/>
        </w:rPr>
        <w:t xml:space="preserve">used </w:t>
      </w:r>
      <w:r>
        <w:rPr>
          <w:u w:val="single"/>
          <w:lang w:eastAsia="ko-KR" w:bidi="ar-SA"/>
        </w:rPr>
        <w:t xml:space="preserve">only </w:t>
      </w:r>
      <w:r w:rsidRPr="005C37BD">
        <w:rPr>
          <w:u w:val="single"/>
          <w:lang w:eastAsia="ko-KR" w:bidi="ar-SA"/>
        </w:rPr>
        <w:t>within scheduled contention-based periods.</w:t>
      </w:r>
      <w:r>
        <w:rPr>
          <w:lang w:eastAsia="ko-KR" w:bidi="ar-SA"/>
        </w:rPr>
        <w:t xml:space="preserve"> </w:t>
      </w:r>
      <w:r w:rsidRPr="001D2699">
        <w:rPr>
          <w:lang w:eastAsia="ko-KR" w:bidi="ar-SA"/>
        </w:rPr>
        <w:t>The parameters that control differentiation of traffic classes using EDCA are fixed</w:t>
      </w:r>
      <w:r>
        <w:rPr>
          <w:lang w:eastAsia="ko-KR" w:bidi="ar-SA"/>
        </w:rPr>
        <w:t xml:space="preserve"> </w:t>
      </w:r>
      <w:r w:rsidRPr="001D2699">
        <w:rPr>
          <w:u w:val="single"/>
          <w:lang w:eastAsia="ko-KR" w:bidi="ar-SA"/>
        </w:rPr>
        <w:t xml:space="preserve">in </w:t>
      </w:r>
      <w:r>
        <w:rPr>
          <w:u w:val="single"/>
          <w:lang w:eastAsia="ko-KR" w:bidi="ar-SA"/>
        </w:rPr>
        <w:t>an IBSS, but can be configured</w:t>
      </w:r>
      <w:r w:rsidRPr="001D2699">
        <w:rPr>
          <w:u w:val="single"/>
          <w:lang w:eastAsia="ko-KR" w:bidi="ar-SA"/>
        </w:rPr>
        <w:t xml:space="preserve"> by the PCP in a PBSS</w:t>
      </w:r>
      <w:r w:rsidRPr="001D2699">
        <w:rPr>
          <w:lang w:eastAsia="ko-KR" w:bidi="ar-SA"/>
        </w:rPr>
        <w:t>. A QoS IBSS has no HC and does not support polled TXOP operation and setting up of TSPEC.</w:t>
      </w:r>
      <w:r>
        <w:rPr>
          <w:lang w:eastAsia="ko-KR" w:bidi="ar-SA"/>
        </w:rPr>
        <w:t xml:space="preserve"> </w:t>
      </w:r>
      <w:r w:rsidRPr="00566BD0">
        <w:rPr>
          <w:u w:val="single"/>
          <w:lang w:eastAsia="ko-KR" w:bidi="ar-SA"/>
        </w:rPr>
        <w:t xml:space="preserve">The PCP of a PBSS has no HC, but can support TSPEC setup </w:t>
      </w:r>
      <w:r>
        <w:rPr>
          <w:u w:val="single"/>
          <w:lang w:eastAsia="ko-KR" w:bidi="ar-SA"/>
        </w:rPr>
        <w:t>and service periods</w:t>
      </w:r>
      <w:r w:rsidRPr="00566BD0">
        <w:rPr>
          <w:u w:val="single"/>
          <w:lang w:eastAsia="ko-KR" w:bidi="ar-SA"/>
        </w:rPr>
        <w:t>.</w:t>
      </w:r>
    </w:p>
    <w:p w:rsidR="00886265" w:rsidRPr="001D2699" w:rsidRDefault="00886265" w:rsidP="00886265">
      <w:pPr>
        <w:rPr>
          <w:lang w:eastAsia="ko-KR" w:bidi="ar-SA"/>
        </w:rPr>
      </w:pPr>
    </w:p>
    <w:p w:rsidR="00886265" w:rsidRDefault="00886265" w:rsidP="00886265">
      <w:pPr>
        <w:rPr>
          <w:lang w:eastAsia="ko-KR" w:bidi="ar-SA"/>
        </w:rPr>
      </w:pPr>
      <w:r w:rsidRPr="001D2699">
        <w:rPr>
          <w:lang w:eastAsia="ko-KR" w:bidi="ar-SA"/>
        </w:rPr>
        <w:t>In an IBSS, each STA must enforce its own security policy. In an ESS</w:t>
      </w:r>
      <w:r>
        <w:rPr>
          <w:lang w:eastAsia="ko-KR" w:bidi="ar-SA"/>
        </w:rPr>
        <w:t xml:space="preserve"> </w:t>
      </w:r>
      <w:r w:rsidRPr="00566BD0">
        <w:rPr>
          <w:u w:val="single"/>
          <w:lang w:eastAsia="ko-KR" w:bidi="ar-SA"/>
        </w:rPr>
        <w:t>and PBSS</w:t>
      </w:r>
      <w:r w:rsidRPr="001D2699">
        <w:rPr>
          <w:lang w:eastAsia="ko-KR" w:bidi="ar-SA"/>
        </w:rPr>
        <w:t>, an AP</w:t>
      </w:r>
      <w:r>
        <w:rPr>
          <w:u w:val="single"/>
          <w:lang w:eastAsia="ko-KR" w:bidi="ar-SA"/>
        </w:rPr>
        <w:t xml:space="preserve"> and </w:t>
      </w:r>
      <w:r w:rsidRPr="00566BD0">
        <w:rPr>
          <w:u w:val="single"/>
          <w:lang w:eastAsia="ko-KR" w:bidi="ar-SA"/>
        </w:rPr>
        <w:t>PCP</w:t>
      </w:r>
      <w:r w:rsidRPr="001D2699">
        <w:rPr>
          <w:lang w:eastAsia="ko-KR" w:bidi="ar-SA"/>
        </w:rPr>
        <w:t xml:space="preserve"> can</w:t>
      </w:r>
      <w:r w:rsidR="00535AF7" w:rsidRPr="00535AF7">
        <w:rPr>
          <w:u w:val="single"/>
          <w:lang w:eastAsia="ko-KR" w:bidi="ar-SA"/>
        </w:rPr>
        <w:t>, respectively,</w:t>
      </w:r>
      <w:r w:rsidRPr="001D2699">
        <w:rPr>
          <w:lang w:eastAsia="ko-KR" w:bidi="ar-SA"/>
        </w:rPr>
        <w:t xml:space="preserve"> enforce a uniform security policy across all STAs.</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9" w:name="_Toc259716846"/>
      <w:r w:rsidRPr="00535AF7">
        <w:rPr>
          <w:u w:val="none"/>
          <w:lang w:eastAsia="ko-KR" w:bidi="ar-SA"/>
        </w:rPr>
        <w:t>5.8 IEEE Std 802.11 and IEEE Std 802.1X-2004</w:t>
      </w:r>
      <w:bookmarkEnd w:id="139"/>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subclause</w:t>
      </w:r>
    </w:p>
    <w:p w:rsidR="00886265" w:rsidRDefault="00886265" w:rsidP="00886265">
      <w:pPr>
        <w:rPr>
          <w:lang w:eastAsia="ko-KR" w:bidi="ar-SA"/>
        </w:rPr>
      </w:pPr>
    </w:p>
    <w:p w:rsidR="00886265" w:rsidRPr="00A82454" w:rsidRDefault="00886265" w:rsidP="00535AF7">
      <w:pPr>
        <w:pStyle w:val="Heading3"/>
        <w:rPr>
          <w:lang w:eastAsia="ko-KR" w:bidi="ar-SA"/>
        </w:rPr>
      </w:pPr>
      <w:bookmarkStart w:id="140" w:name="_Toc259716847"/>
      <w:r w:rsidRPr="00A82454">
        <w:rPr>
          <w:lang w:eastAsia="ko-KR" w:bidi="ar-SA"/>
        </w:rPr>
        <w:t>5.8.3a PBSS functional model description</w:t>
      </w:r>
      <w:bookmarkEnd w:id="140"/>
    </w:p>
    <w:p w:rsidR="00886265" w:rsidRDefault="00886265" w:rsidP="00886265">
      <w:pPr>
        <w:rPr>
          <w:lang w:eastAsia="ko-KR" w:bidi="ar-SA"/>
        </w:rPr>
      </w:pPr>
    </w:p>
    <w:p w:rsidR="00886265" w:rsidRPr="00535AF7" w:rsidRDefault="00886265" w:rsidP="00535AF7">
      <w:pPr>
        <w:rPr>
          <w:lang w:eastAsia="ko-KR" w:bidi="ar-SA"/>
        </w:rPr>
      </w:pPr>
      <w:r w:rsidRPr="00535AF7">
        <w:rPr>
          <w:lang w:eastAsia="ko-KR" w:bidi="ar-SA"/>
        </w:rPr>
        <w:t xml:space="preserve">This subclause summarizes the system setup and operation of an RSNA in a PBSS. </w:t>
      </w:r>
    </w:p>
    <w:p w:rsidR="00886265" w:rsidRPr="00535AF7" w:rsidRDefault="00886265" w:rsidP="00535AF7">
      <w:pPr>
        <w:rPr>
          <w:lang w:eastAsia="ko-KR" w:bidi="ar-SA"/>
        </w:rPr>
      </w:pPr>
    </w:p>
    <w:p w:rsidR="00886265" w:rsidRPr="00535AF7" w:rsidRDefault="00886265" w:rsidP="00535AF7">
      <w:pPr>
        <w:rPr>
          <w:lang w:eastAsia="ko-KR" w:bidi="ar-SA"/>
        </w:rPr>
      </w:pPr>
      <w:r w:rsidRPr="00535AF7">
        <w:rPr>
          <w:lang w:eastAsia="ko-KR" w:bidi="ar-SA"/>
        </w:rPr>
        <w:t xml:space="preserve">In a PBSS, if a non-PCP STA chooses to associate with the PCP of the PBSS, it establishes an RSNA with the PCP following the infrastructure functional model as specified in 5.8.2. </w:t>
      </w:r>
    </w:p>
    <w:p w:rsidR="00886265" w:rsidRPr="00535AF7" w:rsidRDefault="00886265" w:rsidP="00535AF7">
      <w:pPr>
        <w:rPr>
          <w:lang w:eastAsia="ko-KR" w:bidi="ar-SA"/>
        </w:rPr>
      </w:pPr>
    </w:p>
    <w:p w:rsidR="00886265" w:rsidRPr="00535AF7" w:rsidRDefault="00886265" w:rsidP="00535AF7">
      <w:pPr>
        <w:rPr>
          <w:lang w:eastAsia="ko-KR" w:bidi="ar-SA"/>
        </w:rPr>
      </w:pPr>
      <w:r w:rsidRPr="00535AF7">
        <w:rPr>
          <w:lang w:eastAsia="ko-KR" w:bidi="ar-SA"/>
        </w:rPr>
        <w:t xml:space="preserve">If a non-PCP STA wants to establish an RSNA with the PCP without association, or if the non-PCP STA wants to establish an RSNA with another non-PCP STA, it can directly initiate an RSNA authentication with the peer STA, followed by a 4-Way Handshake. One difference between this model and the IBSS functional model is that only one RSNA authentication and one 4-Way Handshake are performed between two STAs. If both STAs initiate an RSNA setup at the same time, the RSNA setup initiated by the STA with the lower MAC address is carried through, while the RSNA setup initiated by the STA with the higher MAC address is terminated. </w:t>
      </w:r>
    </w:p>
    <w:p w:rsidR="00886265" w:rsidRPr="00535AF7" w:rsidRDefault="00886265" w:rsidP="00535AF7">
      <w:pPr>
        <w:rPr>
          <w:lang w:eastAsia="ko-KR" w:bidi="ar-SA"/>
        </w:rPr>
      </w:pPr>
    </w:p>
    <w:p w:rsidR="00886265" w:rsidRPr="00535AF7" w:rsidRDefault="00BD151C" w:rsidP="00535AF7">
      <w:pPr>
        <w:rPr>
          <w:lang w:eastAsia="ko-KR" w:bidi="ar-SA"/>
        </w:rPr>
      </w:pPr>
      <w:r>
        <w:rPr>
          <w:lang w:eastAsia="ko-KR" w:bidi="ar-SA"/>
        </w:rPr>
        <w:fldChar w:fldCharType="begin"/>
      </w:r>
      <w:r w:rsidR="00535AF7">
        <w:rPr>
          <w:lang w:eastAsia="ko-KR" w:bidi="ar-SA"/>
        </w:rPr>
        <w:instrText xml:space="preserve"> REF _Ref251501850 \h </w:instrText>
      </w:r>
      <w:r>
        <w:rPr>
          <w:lang w:eastAsia="ko-KR" w:bidi="ar-SA"/>
        </w:rPr>
      </w:r>
      <w:r>
        <w:rPr>
          <w:lang w:eastAsia="ko-KR" w:bidi="ar-SA"/>
        </w:rPr>
        <w:fldChar w:fldCharType="separate"/>
      </w:r>
      <w:r w:rsidR="003E4210">
        <w:t xml:space="preserve">Figure </w:t>
      </w:r>
      <w:r w:rsidR="003E4210">
        <w:rPr>
          <w:noProof/>
        </w:rPr>
        <w:t>2</w:t>
      </w:r>
      <w:r>
        <w:rPr>
          <w:lang w:eastAsia="ko-KR" w:bidi="ar-SA"/>
        </w:rPr>
        <w:fldChar w:fldCharType="end"/>
      </w:r>
      <w:r w:rsidR="00535AF7">
        <w:rPr>
          <w:lang w:eastAsia="ko-KR" w:bidi="ar-SA"/>
        </w:rPr>
        <w:t xml:space="preserve"> </w:t>
      </w:r>
      <w:r w:rsidR="00886265" w:rsidRPr="00535AF7">
        <w:rPr>
          <w:lang w:eastAsia="ko-KR" w:bidi="ar-SA"/>
        </w:rPr>
        <w:t>shows an example of the RSNA setup in a PBSS. An initiator STA discovers a peer STA’s RSNA policies through the mmWave Beacons from the peer STA if the peer STA is the PCP, or through the Probe Response or Information Response frames from the peer STA. The initiator STA does not associate with the peer STA, and directly initiates an RSNA authentication with the peer STA. A 4-Way Handshake is started right after the RSNA authentication to complete the RSNA setup.</w:t>
      </w:r>
    </w:p>
    <w:p w:rsidR="00886265" w:rsidRDefault="00886265" w:rsidP="00886265">
      <w:pPr>
        <w:autoSpaceDE w:val="0"/>
        <w:autoSpaceDN w:val="0"/>
        <w:adjustRightInd w:val="0"/>
        <w:jc w:val="both"/>
        <w:rPr>
          <w:rFonts w:ascii="TimesNewRoman" w:hAnsi="TimesNewRoman" w:cs="TimesNewRoman"/>
          <w:sz w:val="23"/>
          <w:szCs w:val="23"/>
          <w:lang w:eastAsia="zh-CN" w:bidi="ar-SA"/>
        </w:rPr>
      </w:pPr>
    </w:p>
    <w:p w:rsidR="00886265" w:rsidRDefault="00886265" w:rsidP="00886265">
      <w:pPr>
        <w:autoSpaceDE w:val="0"/>
        <w:autoSpaceDN w:val="0"/>
        <w:adjustRightInd w:val="0"/>
        <w:jc w:val="center"/>
        <w:rPr>
          <w:rFonts w:ascii="TimesNewRoman" w:hAnsi="TimesNewRoman" w:cs="TimesNewRoman"/>
          <w:sz w:val="23"/>
          <w:szCs w:val="23"/>
          <w:lang w:eastAsia="zh-CN" w:bidi="ar-SA"/>
        </w:rPr>
      </w:pPr>
      <w:r>
        <w:object w:dxaOrig="4991" w:dyaOrig="4934">
          <v:shape id="_x0000_i1027" type="#_x0000_t75" style="width:250.4pt;height:247.7pt" o:ole="" fillcolor="#0c9">
            <v:imagedata r:id="rId104" o:title=""/>
          </v:shape>
          <o:OLEObject Type="Embed" ProgID="Visio.Drawing.11" ShapeID="_x0000_i1027" DrawAspect="Content" ObjectID="_1334048209" r:id="rId105"/>
        </w:object>
      </w:r>
    </w:p>
    <w:p w:rsidR="00535AF7" w:rsidRDefault="00535AF7" w:rsidP="00535AF7">
      <w:pPr>
        <w:pStyle w:val="Caption"/>
        <w:rPr>
          <w:rFonts w:ascii="TimesNewRoman" w:hAnsi="TimesNewRoman" w:cs="TimesNewRoman"/>
          <w:sz w:val="23"/>
          <w:szCs w:val="23"/>
          <w:lang w:eastAsia="zh-CN"/>
        </w:rPr>
      </w:pPr>
      <w:bookmarkStart w:id="141" w:name="_Ref251501850"/>
      <w:bookmarkStart w:id="142" w:name="_Toc259717434"/>
      <w:r>
        <w:t xml:space="preserve">Figure </w:t>
      </w:r>
      <w:r w:rsidR="00BD151C">
        <w:fldChar w:fldCharType="begin"/>
      </w:r>
      <w:r w:rsidR="00801316">
        <w:instrText xml:space="preserve"> SEQ Figure \* ARABIC </w:instrText>
      </w:r>
      <w:r w:rsidR="00BD151C">
        <w:fldChar w:fldCharType="separate"/>
      </w:r>
      <w:r w:rsidR="003E4210">
        <w:rPr>
          <w:noProof/>
        </w:rPr>
        <w:t>2</w:t>
      </w:r>
      <w:r w:rsidR="00BD151C">
        <w:fldChar w:fldCharType="end"/>
      </w:r>
      <w:bookmarkEnd w:id="141"/>
      <w:r>
        <w:t xml:space="preserve"> – RSNA setup in PBSS</w:t>
      </w:r>
      <w:bookmarkEnd w:id="142"/>
    </w:p>
    <w:p w:rsidR="00886265" w:rsidRDefault="00886265" w:rsidP="00886265">
      <w:pPr>
        <w:autoSpaceDE w:val="0"/>
        <w:autoSpaceDN w:val="0"/>
        <w:adjustRightInd w:val="0"/>
        <w:jc w:val="center"/>
        <w:rPr>
          <w:rFonts w:ascii="TimesNewRoman" w:hAnsi="TimesNewRoman" w:cs="TimesNewRoman"/>
          <w:sz w:val="23"/>
          <w:szCs w:val="23"/>
          <w:lang w:eastAsia="zh-CN" w:bidi="ar-SA"/>
        </w:rPr>
      </w:pPr>
    </w:p>
    <w:p w:rsidR="00886265" w:rsidRPr="00535AF7" w:rsidRDefault="00886265" w:rsidP="00535AF7">
      <w:pPr>
        <w:rPr>
          <w:lang w:eastAsia="ko-KR" w:bidi="ar-SA"/>
        </w:rPr>
      </w:pPr>
      <w:r w:rsidRPr="00535AF7">
        <w:rPr>
          <w:lang w:eastAsia="ko-KR" w:bidi="ar-SA"/>
        </w:rPr>
        <w:t xml:space="preserve">When PSK authentication is used in a PBSS, a single PSK is installed in all STAs that join the PBSS. Two STAs that have installed </w:t>
      </w:r>
      <w:r w:rsidR="00877B46">
        <w:rPr>
          <w:lang w:eastAsia="ko-KR" w:bidi="ar-SA"/>
        </w:rPr>
        <w:t>the</w:t>
      </w:r>
      <w:r w:rsidRPr="00535AF7">
        <w:rPr>
          <w:lang w:eastAsia="ko-KR" w:bidi="ar-SA"/>
        </w:rPr>
        <w:t xml:space="preserve"> same PSK can skip pairwise authentication and directly use the PSK as PMK to create the PTKSA.</w:t>
      </w:r>
    </w:p>
    <w:p w:rsidR="00886265" w:rsidRPr="00535AF7" w:rsidRDefault="00886265" w:rsidP="00535AF7">
      <w:pPr>
        <w:rPr>
          <w:lang w:eastAsia="ko-KR" w:bidi="ar-SA"/>
        </w:rPr>
      </w:pPr>
    </w:p>
    <w:p w:rsidR="00886265" w:rsidRPr="00DF40D8" w:rsidRDefault="00886265" w:rsidP="00331624">
      <w:pPr>
        <w:rPr>
          <w:lang w:eastAsia="ko-KR" w:bidi="ar-SA"/>
        </w:rPr>
      </w:pPr>
      <w:r w:rsidRPr="00535AF7">
        <w:rPr>
          <w:lang w:eastAsia="ko-KR" w:bidi="ar-SA"/>
        </w:rPr>
        <w:t xml:space="preserve">In the example of </w:t>
      </w:r>
      <w:fldSimple w:instr=" REF _Ref251501850 \h  \* MERGEFORMAT ">
        <w:r w:rsidR="003E4210">
          <w:rPr>
            <w:lang w:eastAsia="ko-KR" w:bidi="ar-SA"/>
          </w:rPr>
          <w:t>Figure 2</w:t>
        </w:r>
      </w:fldSimple>
      <w:r w:rsidRPr="00535AF7">
        <w:rPr>
          <w:lang w:eastAsia="ko-KR" w:bidi="ar-SA"/>
        </w:rPr>
        <w:t xml:space="preserve">, PSK authentication is used in a PBSS. Both the initiator STA and the peer STA have installed </w:t>
      </w:r>
      <w:r w:rsidR="00C37B1D">
        <w:rPr>
          <w:lang w:eastAsia="ko-KR" w:bidi="ar-SA"/>
        </w:rPr>
        <w:t>the</w:t>
      </w:r>
      <w:r w:rsidRPr="00535AF7">
        <w:rPr>
          <w:lang w:eastAsia="ko-KR" w:bidi="ar-SA"/>
        </w:rPr>
        <w:t xml:space="preserve"> same PSK. When the initiator STA wants to establish an RSNA with the peer STA and discovers that the peer STA uses </w:t>
      </w:r>
      <w:r w:rsidR="00C37B1D">
        <w:rPr>
          <w:lang w:eastAsia="ko-KR" w:bidi="ar-SA"/>
        </w:rPr>
        <w:t>the</w:t>
      </w:r>
      <w:r w:rsidRPr="00535AF7">
        <w:rPr>
          <w:lang w:eastAsia="ko-KR" w:bidi="ar-SA"/>
        </w:rPr>
        <w:t xml:space="preserve"> same PSK, it skips the pairwise authentication and directly initiates a 4-Way Handshake with the peer STA.</w:t>
      </w:r>
    </w:p>
    <w:p w:rsidR="00813D37" w:rsidRPr="00D66DFA" w:rsidRDefault="00D66DFA" w:rsidP="00D66DFA">
      <w:pPr>
        <w:pStyle w:val="Heading1"/>
      </w:pPr>
      <w:bookmarkStart w:id="143" w:name="_Toc259716848"/>
      <w:r>
        <w:t xml:space="preserve">7 </w:t>
      </w:r>
      <w:r w:rsidR="00C36C16" w:rsidRPr="00D66DFA">
        <w:t>Frame</w:t>
      </w:r>
      <w:r w:rsidR="00C36C16" w:rsidRPr="00331624">
        <w:t xml:space="preserve"> formats</w:t>
      </w:r>
      <w:bookmarkEnd w:id="143"/>
    </w:p>
    <w:p w:rsidR="00331624" w:rsidRPr="00331624" w:rsidRDefault="00331624" w:rsidP="00331624"/>
    <w:p w:rsidR="008C36FC" w:rsidRPr="00066F65" w:rsidRDefault="00331624" w:rsidP="00331624">
      <w:pPr>
        <w:pStyle w:val="Heading2"/>
      </w:pPr>
      <w:bookmarkStart w:id="144" w:name="_Toc207098871"/>
      <w:bookmarkStart w:id="145" w:name="_Toc207099479"/>
      <w:bookmarkStart w:id="146" w:name="_Toc207100399"/>
      <w:bookmarkStart w:id="147" w:name="_Toc207348321"/>
      <w:bookmarkStart w:id="148" w:name="_Toc215582662"/>
      <w:bookmarkStart w:id="149" w:name="_Toc235400184"/>
      <w:bookmarkStart w:id="150" w:name="_Toc259716849"/>
      <w:r>
        <w:t>7.1</w:t>
      </w:r>
      <w:r w:rsidR="00D11F2E">
        <w:t xml:space="preserve"> </w:t>
      </w:r>
      <w:r w:rsidR="008C36FC" w:rsidRPr="00066F65">
        <w:t>MAC frame formats</w:t>
      </w:r>
      <w:bookmarkEnd w:id="144"/>
      <w:bookmarkEnd w:id="145"/>
      <w:bookmarkEnd w:id="146"/>
      <w:bookmarkEnd w:id="147"/>
      <w:bookmarkEnd w:id="148"/>
      <w:bookmarkEnd w:id="149"/>
      <w:bookmarkEnd w:id="150"/>
    </w:p>
    <w:p w:rsidR="008C36FC" w:rsidRPr="00DF40D8" w:rsidRDefault="00D11F2E" w:rsidP="0053357F">
      <w:pPr>
        <w:outlineLvl w:val="0"/>
      </w:pPr>
      <w:r>
        <w:t xml:space="preserve"> </w:t>
      </w:r>
    </w:p>
    <w:p w:rsidR="00496CBB" w:rsidRDefault="0057167B" w:rsidP="0057167B">
      <w:pPr>
        <w:pStyle w:val="Heading3"/>
      </w:pPr>
      <w:bookmarkStart w:id="151" w:name="_Toc235400186"/>
      <w:bookmarkStart w:id="152" w:name="_Toc259716850"/>
      <w:r>
        <w:t xml:space="preserve">7.1.2 </w:t>
      </w:r>
      <w:r w:rsidR="008C36FC" w:rsidRPr="00DF40D8">
        <w:t>General frame format</w:t>
      </w:r>
      <w:bookmarkEnd w:id="151"/>
      <w:bookmarkEnd w:id="152"/>
    </w:p>
    <w:p w:rsidR="00050F2A" w:rsidRDefault="00050F2A" w:rsidP="00D86F11"/>
    <w:p w:rsidR="00050F2A" w:rsidRDefault="00050F2A" w:rsidP="003431AF">
      <w:pPr>
        <w:rPr>
          <w:i/>
          <w:iCs/>
        </w:rPr>
      </w:pPr>
      <w:r w:rsidRPr="003431AF">
        <w:rPr>
          <w:i/>
          <w:iCs/>
        </w:rPr>
        <w:t xml:space="preserve">.11 Editor Note: </w:t>
      </w:r>
      <w:r w:rsidR="009979E1">
        <w:rPr>
          <w:i/>
          <w:iCs/>
        </w:rPr>
        <w:t>insert the following</w:t>
      </w:r>
      <w:r w:rsidRPr="003431AF">
        <w:rPr>
          <w:i/>
          <w:iCs/>
        </w:rPr>
        <w:t xml:space="preserve"> </w:t>
      </w:r>
      <w:r w:rsidR="003431AF" w:rsidRPr="003431AF">
        <w:rPr>
          <w:i/>
          <w:iCs/>
        </w:rPr>
        <w:t>paragraph</w:t>
      </w:r>
      <w:r w:rsidR="00633A5F">
        <w:rPr>
          <w:i/>
          <w:iCs/>
        </w:rPr>
        <w:t xml:space="preserve"> as the third paragraph</w:t>
      </w:r>
      <w:r w:rsidRPr="003431AF">
        <w:rPr>
          <w:i/>
          <w:iCs/>
        </w:rPr>
        <w:t xml:space="preserve">: </w:t>
      </w:r>
    </w:p>
    <w:p w:rsidR="003431AF" w:rsidRPr="003431AF" w:rsidRDefault="003431AF" w:rsidP="003431AF">
      <w:pPr>
        <w:rPr>
          <w:i/>
          <w:iCs/>
        </w:rPr>
      </w:pPr>
    </w:p>
    <w:p w:rsidR="00050F2A" w:rsidRPr="003431AF" w:rsidRDefault="00050F2A" w:rsidP="00050F2A">
      <w:pPr>
        <w:rPr>
          <w:u w:val="single"/>
        </w:rPr>
      </w:pPr>
      <w:r w:rsidRPr="003431AF">
        <w:rPr>
          <w:u w:val="single"/>
        </w:rPr>
        <w:t xml:space="preserve">The Frame Body of up to 9000 octets </w:t>
      </w:r>
      <w:r w:rsidR="003431AF" w:rsidRPr="003431AF">
        <w:rPr>
          <w:rFonts w:ascii="TimesNewRoman" w:hAnsi="TimesNewRoman" w:cs="TimesNewRoman"/>
          <w:u w:val="single"/>
        </w:rPr>
        <w:t>plus any overhead from security encapsulation</w:t>
      </w:r>
      <w:r w:rsidR="003431AF" w:rsidRPr="003431AF">
        <w:rPr>
          <w:u w:val="single"/>
        </w:rPr>
        <w:t xml:space="preserve"> </w:t>
      </w:r>
      <w:r w:rsidRPr="003431AF">
        <w:rPr>
          <w:u w:val="single"/>
        </w:rPr>
        <w:t xml:space="preserve">is permitted for frames transmitted using the mmWave PHY (clause </w:t>
      </w:r>
      <w:r w:rsidR="00BD151C" w:rsidRPr="003431AF">
        <w:rPr>
          <w:u w:val="single"/>
        </w:rPr>
        <w:fldChar w:fldCharType="begin"/>
      </w:r>
      <w:r w:rsidRPr="003431AF">
        <w:rPr>
          <w:u w:val="single"/>
        </w:rPr>
        <w:instrText xml:space="preserve"> REF _Ref243723664 \r \h </w:instrText>
      </w:r>
      <w:r w:rsidR="00BD151C" w:rsidRPr="003431AF">
        <w:rPr>
          <w:u w:val="single"/>
        </w:rPr>
      </w:r>
      <w:r w:rsidR="00BD151C" w:rsidRPr="003431AF">
        <w:rPr>
          <w:u w:val="single"/>
        </w:rPr>
        <w:fldChar w:fldCharType="separate"/>
      </w:r>
      <w:r w:rsidR="003E4210">
        <w:rPr>
          <w:u w:val="single"/>
        </w:rPr>
        <w:t>21</w:t>
      </w:r>
      <w:r w:rsidR="00BD151C" w:rsidRPr="003431AF">
        <w:rPr>
          <w:u w:val="single"/>
        </w:rPr>
        <w:fldChar w:fldCharType="end"/>
      </w:r>
      <w:r w:rsidRPr="003431AF">
        <w:rPr>
          <w:u w:val="single"/>
        </w:rPr>
        <w:t>)</w:t>
      </w:r>
      <w:r w:rsidR="00563F1E">
        <w:rPr>
          <w:u w:val="single"/>
        </w:rPr>
        <w:t>.</w:t>
      </w:r>
      <w:r w:rsidR="005659CA">
        <w:rPr>
          <w:u w:val="single"/>
        </w:rPr>
        <w:t xml:space="preserve"> </w:t>
      </w:r>
    </w:p>
    <w:p w:rsidR="00050F2A" w:rsidRPr="00DF40D8" w:rsidRDefault="00050F2A" w:rsidP="00050F2A"/>
    <w:p w:rsidR="00A17F9A" w:rsidRDefault="00A17F9A" w:rsidP="00A17F9A">
      <w:pPr>
        <w:rPr>
          <w:i/>
          <w:iCs/>
        </w:rPr>
      </w:pPr>
      <w:r w:rsidRPr="003431AF">
        <w:rPr>
          <w:i/>
          <w:iCs/>
        </w:rPr>
        <w:t>.</w:t>
      </w:r>
      <w:r w:rsidRPr="00A17F9A">
        <w:rPr>
          <w:i/>
          <w:iCs/>
        </w:rPr>
        <w:t>11 Editor Note: In Figure 7-1</w:t>
      </w:r>
      <w:r w:rsidR="00633A5F">
        <w:rPr>
          <w:i/>
          <w:iCs/>
        </w:rPr>
        <w:t xml:space="preserve"> MAC frame format,</w:t>
      </w:r>
      <w:r w:rsidRPr="00A17F9A">
        <w:rPr>
          <w:i/>
          <w:iCs/>
        </w:rPr>
        <w:t xml:space="preserve"> replace the value 7955 by 9000</w:t>
      </w:r>
      <w:r w:rsidR="00D11F2E">
        <w:rPr>
          <w:i/>
          <w:iCs/>
        </w:rPr>
        <w:t xml:space="preserve"> </w:t>
      </w:r>
    </w:p>
    <w:p w:rsidR="00F13815" w:rsidRPr="00DF40D8" w:rsidRDefault="00F13815" w:rsidP="0004091F">
      <w:pPr>
        <w:rPr>
          <w:b/>
        </w:rPr>
      </w:pPr>
    </w:p>
    <w:p w:rsidR="008C36FC" w:rsidRPr="00DF40D8" w:rsidRDefault="00496CBB" w:rsidP="00496CBB">
      <w:pPr>
        <w:pStyle w:val="Heading3"/>
      </w:pPr>
      <w:bookmarkStart w:id="153" w:name="_Toc235400187"/>
      <w:bookmarkStart w:id="154" w:name="_Toc259716851"/>
      <w:r>
        <w:lastRenderedPageBreak/>
        <w:t>7.1.3</w:t>
      </w:r>
      <w:r w:rsidR="00D11F2E">
        <w:t xml:space="preserve"> </w:t>
      </w:r>
      <w:r w:rsidR="008C36FC" w:rsidRPr="00DF40D8">
        <w:t>Frame fields</w:t>
      </w:r>
      <w:bookmarkEnd w:id="153"/>
      <w:bookmarkEnd w:id="154"/>
    </w:p>
    <w:p w:rsidR="00424C2C" w:rsidRDefault="00496CBB" w:rsidP="00496CBB">
      <w:pPr>
        <w:pStyle w:val="Heading4"/>
      </w:pPr>
      <w:bookmarkStart w:id="155" w:name="_Toc235400188"/>
      <w:bookmarkStart w:id="156" w:name="_Toc259716852"/>
      <w:r>
        <w:t>7.1.3.1</w:t>
      </w:r>
      <w:r w:rsidR="00D11F2E">
        <w:t xml:space="preserve"> </w:t>
      </w:r>
      <w:r w:rsidR="008C36FC" w:rsidRPr="00DF40D8">
        <w:t>Frame Control field</w:t>
      </w:r>
      <w:bookmarkStart w:id="157" w:name="_Toc244136920"/>
      <w:bookmarkEnd w:id="155"/>
      <w:bookmarkEnd w:id="156"/>
      <w:bookmarkEnd w:id="157"/>
    </w:p>
    <w:p w:rsidR="00424C2C" w:rsidRPr="00424C2C" w:rsidRDefault="00424C2C" w:rsidP="003701DB">
      <w:pPr>
        <w:pStyle w:val="Heading5"/>
        <w:numPr>
          <w:ilvl w:val="4"/>
          <w:numId w:val="194"/>
        </w:numPr>
      </w:pPr>
      <w:bookmarkStart w:id="158" w:name="_Ref251855172"/>
      <w:bookmarkStart w:id="159" w:name="_Toc259716853"/>
      <w:r>
        <w:t>Type and Subtype fields</w:t>
      </w:r>
      <w:bookmarkEnd w:id="158"/>
      <w:bookmarkEnd w:id="159"/>
    </w:p>
    <w:p w:rsidR="007748AA" w:rsidRDefault="00D11F2E" w:rsidP="0065611B">
      <w:r>
        <w:t xml:space="preserve"> </w:t>
      </w:r>
    </w:p>
    <w:p w:rsidR="007748AA" w:rsidRPr="007748AA" w:rsidRDefault="007748AA" w:rsidP="00393BA5">
      <w:pPr>
        <w:rPr>
          <w:i/>
          <w:iCs/>
        </w:rPr>
      </w:pPr>
      <w:r w:rsidRPr="007748AA">
        <w:rPr>
          <w:i/>
          <w:iCs/>
        </w:rPr>
        <w:t xml:space="preserve">.11 Editor Note: </w:t>
      </w:r>
      <w:r w:rsidR="00393BA5">
        <w:rPr>
          <w:i/>
          <w:iCs/>
        </w:rPr>
        <w:t>modify</w:t>
      </w:r>
      <w:r w:rsidRPr="007748AA">
        <w:rPr>
          <w:i/>
          <w:iCs/>
        </w:rPr>
        <w:t xml:space="preserve"> Table 7-1 </w:t>
      </w:r>
      <w:r w:rsidR="00ED6DDE">
        <w:rPr>
          <w:i/>
          <w:iCs/>
        </w:rPr>
        <w:t>as follows:</w:t>
      </w:r>
    </w:p>
    <w:p w:rsidR="008C36FC" w:rsidRPr="00DF40D8" w:rsidRDefault="008C36FC" w:rsidP="0004091F"/>
    <w:p w:rsidR="008C36FC" w:rsidRPr="00066F65" w:rsidRDefault="008C36FC" w:rsidP="00DF40D8">
      <w:pPr>
        <w:pStyle w:val="Caption"/>
        <w:keepNext/>
      </w:pPr>
      <w:bookmarkStart w:id="160" w:name="_Ref217462009"/>
      <w:bookmarkStart w:id="161" w:name="_Ref236394148"/>
      <w:bookmarkStart w:id="162" w:name="_Toc225065764"/>
      <w:bookmarkStart w:id="163" w:name="_Toc250654403"/>
      <w:r w:rsidRPr="00066F65">
        <w:t xml:space="preserve">Table </w:t>
      </w:r>
      <w:bookmarkEnd w:id="160"/>
      <w:bookmarkEnd w:id="161"/>
      <w:r w:rsidR="00ED6DDE">
        <w:t>7-1</w:t>
      </w:r>
      <w:r w:rsidRPr="00066F65">
        <w:t xml:space="preserve"> –</w:t>
      </w:r>
      <w:r w:rsidR="00ED6DDE">
        <w:t xml:space="preserve"> </w:t>
      </w:r>
      <w:r w:rsidRPr="00066F65">
        <w:t xml:space="preserve">Valid </w:t>
      </w:r>
      <w:r w:rsidR="00ED6DDE">
        <w:t>t</w:t>
      </w:r>
      <w:r w:rsidRPr="00066F65">
        <w:t xml:space="preserve">ype and </w:t>
      </w:r>
      <w:r w:rsidR="00ED6DDE">
        <w:t>s</w:t>
      </w:r>
      <w:r w:rsidRPr="00066F65">
        <w:t>ubtype combinations</w:t>
      </w:r>
      <w:bookmarkEnd w:id="162"/>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4"/>
        <w:gridCol w:w="1484"/>
        <w:gridCol w:w="1796"/>
        <w:gridCol w:w="3838"/>
      </w:tblGrid>
      <w:tr w:rsidR="008C36FC" w:rsidRPr="00066F65" w:rsidTr="00D0037C">
        <w:trPr>
          <w:jc w:val="center"/>
        </w:trPr>
        <w:tc>
          <w:tcPr>
            <w:tcW w:w="1474" w:type="dxa"/>
          </w:tcPr>
          <w:p w:rsidR="008C36FC" w:rsidRPr="00DF40D8" w:rsidRDefault="008C36FC" w:rsidP="00D0037C">
            <w:pPr>
              <w:jc w:val="center"/>
              <w:rPr>
                <w:rFonts w:eastAsia="SimSun"/>
                <w:b/>
              </w:rPr>
            </w:pPr>
            <w:r w:rsidRPr="00DF40D8">
              <w:rPr>
                <w:rFonts w:eastAsia="SimSun"/>
                <w:b/>
              </w:rPr>
              <w:t>Type value</w:t>
            </w:r>
          </w:p>
          <w:p w:rsidR="008C36FC" w:rsidRPr="00DF40D8" w:rsidRDefault="008C36FC" w:rsidP="00D0037C">
            <w:pPr>
              <w:jc w:val="center"/>
              <w:rPr>
                <w:rFonts w:eastAsia="SimSun"/>
                <w:b/>
              </w:rPr>
            </w:pPr>
            <w:r w:rsidRPr="00DF40D8">
              <w:rPr>
                <w:rFonts w:eastAsia="SimSun"/>
                <w:b/>
              </w:rPr>
              <w:t>b3 b2</w:t>
            </w:r>
          </w:p>
        </w:tc>
        <w:tc>
          <w:tcPr>
            <w:tcW w:w="1484" w:type="dxa"/>
          </w:tcPr>
          <w:p w:rsidR="008C36FC" w:rsidRPr="00DF40D8" w:rsidRDefault="008C36FC" w:rsidP="00D0037C">
            <w:pPr>
              <w:jc w:val="center"/>
              <w:rPr>
                <w:rFonts w:eastAsia="SimSun"/>
                <w:b/>
              </w:rPr>
            </w:pPr>
            <w:r w:rsidRPr="00DF40D8">
              <w:rPr>
                <w:rFonts w:eastAsia="SimSun"/>
                <w:b/>
              </w:rPr>
              <w:t>Type</w:t>
            </w:r>
          </w:p>
          <w:p w:rsidR="008C36FC" w:rsidRPr="00DF40D8" w:rsidRDefault="008C36FC" w:rsidP="00D0037C">
            <w:pPr>
              <w:jc w:val="center"/>
              <w:rPr>
                <w:rFonts w:eastAsia="SimSun"/>
                <w:b/>
              </w:rPr>
            </w:pPr>
            <w:r w:rsidRPr="00DF40D8">
              <w:rPr>
                <w:rFonts w:eastAsia="SimSun"/>
                <w:b/>
              </w:rPr>
              <w:t>description</w:t>
            </w:r>
          </w:p>
        </w:tc>
        <w:tc>
          <w:tcPr>
            <w:tcW w:w="1796" w:type="dxa"/>
          </w:tcPr>
          <w:p w:rsidR="008C36FC" w:rsidRPr="00DF40D8" w:rsidRDefault="008C36FC" w:rsidP="00D0037C">
            <w:pPr>
              <w:jc w:val="center"/>
              <w:rPr>
                <w:rFonts w:eastAsia="SimSun"/>
                <w:b/>
              </w:rPr>
            </w:pPr>
            <w:r w:rsidRPr="00DF40D8">
              <w:rPr>
                <w:rFonts w:eastAsia="SimSun"/>
                <w:b/>
              </w:rPr>
              <w:t>Subtype value</w:t>
            </w:r>
          </w:p>
          <w:p w:rsidR="008C36FC" w:rsidRPr="00DF40D8" w:rsidRDefault="008C36FC" w:rsidP="00D0037C">
            <w:pPr>
              <w:jc w:val="center"/>
              <w:rPr>
                <w:rFonts w:eastAsia="SimSun"/>
                <w:b/>
              </w:rPr>
            </w:pPr>
            <w:r w:rsidRPr="00DF40D8">
              <w:rPr>
                <w:rFonts w:eastAsia="SimSun"/>
                <w:b/>
              </w:rPr>
              <w:t>b7 b6 b5 b4</w:t>
            </w:r>
          </w:p>
        </w:tc>
        <w:tc>
          <w:tcPr>
            <w:tcW w:w="3838" w:type="dxa"/>
          </w:tcPr>
          <w:p w:rsidR="008C36FC" w:rsidRPr="00DF40D8" w:rsidRDefault="008C36FC" w:rsidP="00D0037C">
            <w:pPr>
              <w:jc w:val="center"/>
              <w:rPr>
                <w:rFonts w:eastAsia="SimSun"/>
                <w:b/>
              </w:rPr>
            </w:pPr>
            <w:r w:rsidRPr="00DF40D8">
              <w:rPr>
                <w:rFonts w:eastAsia="SimSun"/>
                <w:b/>
              </w:rPr>
              <w:t>Subtype description</w:t>
            </w:r>
          </w:p>
        </w:tc>
      </w:tr>
      <w:tr w:rsidR="008C36FC" w:rsidRPr="00066F65" w:rsidTr="00D0037C">
        <w:trPr>
          <w:jc w:val="center"/>
        </w:trPr>
        <w:tc>
          <w:tcPr>
            <w:tcW w:w="1474" w:type="dxa"/>
          </w:tcPr>
          <w:p w:rsidR="008C36FC" w:rsidRPr="00DF40D8" w:rsidRDefault="008C36FC" w:rsidP="00D0037C">
            <w:pPr>
              <w:jc w:val="center"/>
              <w:rPr>
                <w:rFonts w:eastAsia="SimSun"/>
              </w:rPr>
            </w:pPr>
            <w:r w:rsidRPr="00DF40D8">
              <w:rPr>
                <w:rFonts w:eastAsia="SimSun"/>
              </w:rPr>
              <w:t>01</w:t>
            </w:r>
          </w:p>
        </w:tc>
        <w:tc>
          <w:tcPr>
            <w:tcW w:w="1484" w:type="dxa"/>
          </w:tcPr>
          <w:p w:rsidR="008C36FC" w:rsidRPr="00DF40D8" w:rsidRDefault="008C36FC" w:rsidP="00D0037C">
            <w:pPr>
              <w:jc w:val="center"/>
              <w:rPr>
                <w:rFonts w:eastAsia="SimSun"/>
              </w:rPr>
            </w:pPr>
            <w:r w:rsidRPr="00DF40D8">
              <w:rPr>
                <w:rFonts w:eastAsia="SimSun"/>
              </w:rPr>
              <w:t>Control</w:t>
            </w:r>
          </w:p>
        </w:tc>
        <w:tc>
          <w:tcPr>
            <w:tcW w:w="1796" w:type="dxa"/>
          </w:tcPr>
          <w:p w:rsidR="008C36FC" w:rsidRPr="00DF40D8" w:rsidRDefault="008C36FC" w:rsidP="00ED6DDE">
            <w:pPr>
              <w:jc w:val="center"/>
              <w:rPr>
                <w:rFonts w:eastAsia="SimSun"/>
              </w:rPr>
            </w:pPr>
            <w:r w:rsidRPr="00DF40D8">
              <w:rPr>
                <w:rFonts w:eastAsia="SimSun"/>
              </w:rPr>
              <w:t>0000-01</w:t>
            </w:r>
            <w:r w:rsidR="00ED6DDE" w:rsidRPr="00ED6DDE">
              <w:rPr>
                <w:rFonts w:eastAsia="SimSun"/>
                <w:strike/>
              </w:rPr>
              <w:t>1</w:t>
            </w:r>
            <w:r w:rsidR="00ED6DDE">
              <w:rPr>
                <w:rFonts w:eastAsia="SimSun"/>
              </w:rPr>
              <w:t>0</w:t>
            </w:r>
            <w:r w:rsidR="00ED6DDE" w:rsidRPr="00ED6DDE">
              <w:rPr>
                <w:rFonts w:eastAsia="SimSun"/>
                <w:u w:val="single"/>
              </w:rPr>
              <w:t>1</w:t>
            </w:r>
          </w:p>
        </w:tc>
        <w:tc>
          <w:tcPr>
            <w:tcW w:w="3838" w:type="dxa"/>
          </w:tcPr>
          <w:p w:rsidR="008C36FC" w:rsidRPr="00DF40D8" w:rsidRDefault="008C36FC" w:rsidP="00D0037C">
            <w:pPr>
              <w:jc w:val="both"/>
              <w:rPr>
                <w:rFonts w:eastAsia="SimSun"/>
              </w:rPr>
            </w:pPr>
            <w:r w:rsidRPr="00DF40D8">
              <w:rPr>
                <w:rFonts w:eastAsia="SimSun"/>
              </w:rPr>
              <w:t>Reserved</w:t>
            </w:r>
          </w:p>
        </w:tc>
      </w:tr>
      <w:tr w:rsidR="008C36FC" w:rsidRPr="00066F65" w:rsidTr="00D0037C">
        <w:trPr>
          <w:jc w:val="center"/>
        </w:trPr>
        <w:tc>
          <w:tcPr>
            <w:tcW w:w="1474" w:type="dxa"/>
          </w:tcPr>
          <w:p w:rsidR="008C36FC" w:rsidRPr="00ED6DDE" w:rsidRDefault="008C36FC" w:rsidP="00D0037C">
            <w:pPr>
              <w:jc w:val="center"/>
              <w:rPr>
                <w:rFonts w:eastAsia="SimSun"/>
                <w:u w:val="single"/>
              </w:rPr>
            </w:pPr>
            <w:r w:rsidRPr="00ED6DDE">
              <w:rPr>
                <w:rFonts w:eastAsia="SimSun"/>
                <w:u w:val="single"/>
              </w:rPr>
              <w:t>01</w:t>
            </w:r>
          </w:p>
        </w:tc>
        <w:tc>
          <w:tcPr>
            <w:tcW w:w="1484" w:type="dxa"/>
          </w:tcPr>
          <w:p w:rsidR="008C36FC" w:rsidRPr="00ED6DDE" w:rsidRDefault="008C36FC" w:rsidP="00D0037C">
            <w:pPr>
              <w:jc w:val="center"/>
              <w:rPr>
                <w:rFonts w:eastAsia="SimSun"/>
                <w:u w:val="single"/>
              </w:rPr>
            </w:pPr>
            <w:r w:rsidRPr="00ED6DDE">
              <w:rPr>
                <w:rFonts w:eastAsia="SimSun"/>
                <w:u w:val="single"/>
              </w:rPr>
              <w:t>Control</w:t>
            </w:r>
          </w:p>
        </w:tc>
        <w:tc>
          <w:tcPr>
            <w:tcW w:w="1796" w:type="dxa"/>
          </w:tcPr>
          <w:p w:rsidR="008C36FC" w:rsidRPr="00ED6DDE" w:rsidRDefault="008C36FC" w:rsidP="00D0037C">
            <w:pPr>
              <w:jc w:val="center"/>
              <w:rPr>
                <w:rFonts w:eastAsia="SimSun"/>
                <w:u w:val="single"/>
              </w:rPr>
            </w:pPr>
            <w:r w:rsidRPr="00ED6DDE">
              <w:rPr>
                <w:rFonts w:eastAsia="SimSun"/>
                <w:u w:val="single"/>
              </w:rPr>
              <w:t>0110</w:t>
            </w:r>
          </w:p>
        </w:tc>
        <w:tc>
          <w:tcPr>
            <w:tcW w:w="3838" w:type="dxa"/>
          </w:tcPr>
          <w:p w:rsidR="008C36FC" w:rsidRPr="00ED6DDE" w:rsidRDefault="008C36FC" w:rsidP="00D0037C">
            <w:pPr>
              <w:jc w:val="both"/>
              <w:rPr>
                <w:rFonts w:eastAsia="SimSun"/>
                <w:u w:val="single"/>
              </w:rPr>
            </w:pPr>
            <w:r w:rsidRPr="00ED6DDE">
              <w:rPr>
                <w:rFonts w:eastAsia="SimSun"/>
                <w:u w:val="single"/>
              </w:rPr>
              <w:t>Control frame extension</w:t>
            </w:r>
          </w:p>
        </w:tc>
      </w:tr>
      <w:tr w:rsidR="008C36FC" w:rsidRPr="00066F65" w:rsidTr="00D0037C">
        <w:trPr>
          <w:jc w:val="center"/>
        </w:trPr>
        <w:tc>
          <w:tcPr>
            <w:tcW w:w="1474" w:type="dxa"/>
          </w:tcPr>
          <w:p w:rsidR="008C36FC" w:rsidRPr="00ED6DDE" w:rsidRDefault="008C36FC" w:rsidP="00D0037C">
            <w:pPr>
              <w:jc w:val="center"/>
              <w:rPr>
                <w:rFonts w:eastAsia="SimSun"/>
                <w:u w:val="single"/>
              </w:rPr>
            </w:pPr>
            <w:r w:rsidRPr="00ED6DDE">
              <w:rPr>
                <w:rFonts w:eastAsia="SimSun"/>
                <w:u w:val="single"/>
              </w:rPr>
              <w:t>11</w:t>
            </w:r>
          </w:p>
        </w:tc>
        <w:tc>
          <w:tcPr>
            <w:tcW w:w="1484" w:type="dxa"/>
          </w:tcPr>
          <w:p w:rsidR="008C36FC" w:rsidRPr="00ED6DDE" w:rsidRDefault="008C36FC" w:rsidP="00D0037C">
            <w:pPr>
              <w:jc w:val="center"/>
              <w:rPr>
                <w:rFonts w:eastAsia="SimSun"/>
                <w:u w:val="single"/>
              </w:rPr>
            </w:pPr>
            <w:r w:rsidRPr="00ED6DDE">
              <w:rPr>
                <w:rFonts w:eastAsia="SimSun"/>
                <w:u w:val="single"/>
              </w:rPr>
              <w:t>Extension</w:t>
            </w:r>
          </w:p>
        </w:tc>
        <w:tc>
          <w:tcPr>
            <w:tcW w:w="1796" w:type="dxa"/>
          </w:tcPr>
          <w:p w:rsidR="008C36FC" w:rsidRPr="00ED6DDE" w:rsidRDefault="008C36FC" w:rsidP="00D0037C">
            <w:pPr>
              <w:jc w:val="center"/>
              <w:rPr>
                <w:rFonts w:eastAsia="SimSun"/>
                <w:u w:val="single"/>
              </w:rPr>
            </w:pPr>
            <w:r w:rsidRPr="00ED6DDE">
              <w:rPr>
                <w:rFonts w:eastAsia="SimSun"/>
                <w:u w:val="single"/>
              </w:rPr>
              <w:t>0000</w:t>
            </w:r>
          </w:p>
        </w:tc>
        <w:tc>
          <w:tcPr>
            <w:tcW w:w="3838" w:type="dxa"/>
          </w:tcPr>
          <w:p w:rsidR="008C36FC" w:rsidRPr="00ED6DDE" w:rsidRDefault="00397C10" w:rsidP="00D0037C">
            <w:pPr>
              <w:jc w:val="both"/>
              <w:rPr>
                <w:rFonts w:eastAsia="SimSun"/>
                <w:u w:val="single"/>
              </w:rPr>
            </w:pPr>
            <w:r w:rsidRPr="00ED6DDE">
              <w:rPr>
                <w:rFonts w:eastAsia="SimSun"/>
                <w:u w:val="single"/>
              </w:rPr>
              <w:t>mmWave</w:t>
            </w:r>
            <w:r w:rsidR="00EE1100" w:rsidRPr="00ED6DDE">
              <w:rPr>
                <w:rFonts w:eastAsia="SimSun"/>
                <w:u w:val="single"/>
              </w:rPr>
              <w:t xml:space="preserve"> </w:t>
            </w:r>
            <w:r w:rsidR="00604B66" w:rsidRPr="00ED6DDE">
              <w:rPr>
                <w:rFonts w:eastAsia="SimSun"/>
                <w:u w:val="single"/>
              </w:rPr>
              <w:t xml:space="preserve">Beacon </w:t>
            </w:r>
          </w:p>
        </w:tc>
      </w:tr>
      <w:tr w:rsidR="008C36FC" w:rsidRPr="00066F65" w:rsidTr="00D0037C">
        <w:trPr>
          <w:jc w:val="center"/>
        </w:trPr>
        <w:tc>
          <w:tcPr>
            <w:tcW w:w="1474" w:type="dxa"/>
          </w:tcPr>
          <w:p w:rsidR="008C36FC" w:rsidRPr="00ED6DDE" w:rsidRDefault="008C36FC" w:rsidP="00D0037C">
            <w:pPr>
              <w:jc w:val="center"/>
              <w:rPr>
                <w:rFonts w:eastAsia="SimSun"/>
                <w:u w:val="single"/>
              </w:rPr>
            </w:pPr>
            <w:r w:rsidRPr="00ED6DDE">
              <w:rPr>
                <w:rFonts w:eastAsia="SimSun"/>
                <w:u w:val="single"/>
              </w:rPr>
              <w:t>11</w:t>
            </w:r>
          </w:p>
        </w:tc>
        <w:tc>
          <w:tcPr>
            <w:tcW w:w="1484" w:type="dxa"/>
          </w:tcPr>
          <w:p w:rsidR="008C36FC" w:rsidRPr="00ED6DDE" w:rsidRDefault="008C36FC" w:rsidP="00D0037C">
            <w:pPr>
              <w:jc w:val="center"/>
              <w:rPr>
                <w:rFonts w:eastAsia="SimSun"/>
                <w:u w:val="single"/>
              </w:rPr>
            </w:pPr>
            <w:r w:rsidRPr="00ED6DDE">
              <w:rPr>
                <w:rFonts w:eastAsia="SimSun"/>
                <w:u w:val="single"/>
              </w:rPr>
              <w:t>Extension</w:t>
            </w:r>
          </w:p>
        </w:tc>
        <w:tc>
          <w:tcPr>
            <w:tcW w:w="1796" w:type="dxa"/>
          </w:tcPr>
          <w:p w:rsidR="008C36FC" w:rsidRPr="00ED6DDE" w:rsidRDefault="00873086" w:rsidP="00D0037C">
            <w:pPr>
              <w:jc w:val="center"/>
              <w:rPr>
                <w:rFonts w:eastAsia="SimSun"/>
                <w:u w:val="single"/>
              </w:rPr>
            </w:pPr>
            <w:r w:rsidRPr="00ED6DDE">
              <w:rPr>
                <w:rFonts w:eastAsia="SimSun"/>
                <w:u w:val="single"/>
              </w:rPr>
              <w:t>000</w:t>
            </w:r>
            <w:r w:rsidR="009A1197" w:rsidRPr="00ED6DDE">
              <w:rPr>
                <w:rFonts w:eastAsia="SimSun"/>
                <w:u w:val="single"/>
              </w:rPr>
              <w:t>1</w:t>
            </w:r>
            <w:r w:rsidR="008C36FC" w:rsidRPr="00ED6DDE">
              <w:rPr>
                <w:rFonts w:eastAsia="SimSun"/>
                <w:u w:val="single"/>
              </w:rPr>
              <w:t>-1111</w:t>
            </w:r>
          </w:p>
        </w:tc>
        <w:tc>
          <w:tcPr>
            <w:tcW w:w="3838" w:type="dxa"/>
          </w:tcPr>
          <w:p w:rsidR="008C36FC" w:rsidRPr="00ED6DDE" w:rsidRDefault="008C36FC" w:rsidP="00D0037C">
            <w:pPr>
              <w:jc w:val="both"/>
              <w:rPr>
                <w:rFonts w:eastAsia="SimSun"/>
                <w:u w:val="single"/>
              </w:rPr>
            </w:pPr>
            <w:r w:rsidRPr="00ED6DDE">
              <w:rPr>
                <w:rFonts w:eastAsia="SimSun"/>
                <w:u w:val="single"/>
              </w:rPr>
              <w:t>Reserved</w:t>
            </w:r>
          </w:p>
        </w:tc>
      </w:tr>
    </w:tbl>
    <w:p w:rsidR="008C36FC" w:rsidRPr="00DF40D8" w:rsidRDefault="008C36FC" w:rsidP="0004091F"/>
    <w:p w:rsidR="0065611B" w:rsidRDefault="0065611B" w:rsidP="0004091F"/>
    <w:p w:rsidR="0065611B" w:rsidRPr="007748AA" w:rsidRDefault="0065611B" w:rsidP="00D43635">
      <w:pPr>
        <w:rPr>
          <w:i/>
          <w:iCs/>
        </w:rPr>
      </w:pPr>
      <w:r w:rsidRPr="007748AA">
        <w:rPr>
          <w:i/>
          <w:iCs/>
        </w:rPr>
        <w:t xml:space="preserve">.11 Editor Note: </w:t>
      </w:r>
      <w:r w:rsidR="00D43635">
        <w:rPr>
          <w:i/>
          <w:iCs/>
        </w:rPr>
        <w:t>add the following text and table at end of the sublcuse</w:t>
      </w:r>
    </w:p>
    <w:p w:rsidR="0065611B" w:rsidRDefault="0065611B" w:rsidP="0065611B"/>
    <w:p w:rsidR="008C36FC" w:rsidRPr="00D43635" w:rsidRDefault="00F828B3" w:rsidP="0004091F">
      <w:pPr>
        <w:rPr>
          <w:u w:val="single"/>
        </w:rPr>
      </w:pPr>
      <w:r w:rsidRPr="00D43635">
        <w:rPr>
          <w:u w:val="single"/>
        </w:rPr>
        <w:t xml:space="preserve">The Control frame extension subtype is used to increase the subtype space by reusing bits b8-b11 in the Frame Control field. These additional Control frames are defined in </w:t>
      </w:r>
      <w:r w:rsidR="00BD151C" w:rsidRPr="00D43635">
        <w:rPr>
          <w:u w:val="single"/>
        </w:rPr>
        <w:fldChar w:fldCharType="begin"/>
      </w:r>
      <w:r w:rsidRPr="00D43635">
        <w:rPr>
          <w:u w:val="single"/>
        </w:rPr>
        <w:instrText xml:space="preserve"> REF _Ref241397738 \h </w:instrText>
      </w:r>
      <w:r w:rsidR="00BD151C" w:rsidRPr="00D43635">
        <w:rPr>
          <w:u w:val="single"/>
        </w:rPr>
      </w:r>
      <w:r w:rsidR="00BD151C" w:rsidRPr="00D43635">
        <w:rPr>
          <w:u w:val="single"/>
        </w:rPr>
        <w:fldChar w:fldCharType="separate"/>
      </w:r>
      <w:r w:rsidR="003E4210" w:rsidRPr="00633A5F">
        <w:t xml:space="preserve">Table </w:t>
      </w:r>
      <w:r w:rsidR="003E4210">
        <w:rPr>
          <w:noProof/>
        </w:rPr>
        <w:t>1</w:t>
      </w:r>
      <w:r w:rsidR="00BD151C" w:rsidRPr="00D43635">
        <w:rPr>
          <w:u w:val="single"/>
        </w:rPr>
        <w:fldChar w:fldCharType="end"/>
      </w:r>
      <w:r w:rsidRPr="00D43635">
        <w:rPr>
          <w:u w:val="single"/>
        </w:rPr>
        <w:t xml:space="preserve">. </w:t>
      </w:r>
    </w:p>
    <w:p w:rsidR="008C36FC" w:rsidRPr="00D43635" w:rsidRDefault="008C36FC" w:rsidP="0004091F">
      <w:pPr>
        <w:rPr>
          <w:u w:val="single"/>
        </w:rPr>
      </w:pPr>
    </w:p>
    <w:p w:rsidR="008C36FC" w:rsidRPr="00633A5F" w:rsidRDefault="008C36FC" w:rsidP="0065611B">
      <w:pPr>
        <w:pStyle w:val="Caption"/>
        <w:keepNext/>
      </w:pPr>
      <w:bookmarkStart w:id="164" w:name="_Ref241397738"/>
      <w:bookmarkStart w:id="165" w:name="_Toc225065765"/>
      <w:bookmarkStart w:id="166" w:name="_Toc250654404"/>
      <w:bookmarkStart w:id="167" w:name="_Toc259717579"/>
      <w:r w:rsidRPr="00633A5F">
        <w:t>Table</w:t>
      </w:r>
      <w:r w:rsidR="00F828B3" w:rsidRPr="00633A5F">
        <w:t xml:space="preserve"> </w:t>
      </w:r>
      <w:r w:rsidR="00BD151C" w:rsidRPr="00633A5F">
        <w:fldChar w:fldCharType="begin"/>
      </w:r>
      <w:r w:rsidR="00630C87" w:rsidRPr="00633A5F">
        <w:instrText xml:space="preserve"> SEQ Table \* ARABIC </w:instrText>
      </w:r>
      <w:r w:rsidR="00BD151C" w:rsidRPr="00633A5F">
        <w:fldChar w:fldCharType="separate"/>
      </w:r>
      <w:r w:rsidR="003E4210">
        <w:rPr>
          <w:noProof/>
        </w:rPr>
        <w:t>1</w:t>
      </w:r>
      <w:r w:rsidR="00BD151C" w:rsidRPr="00633A5F">
        <w:fldChar w:fldCharType="end"/>
      </w:r>
      <w:bookmarkEnd w:id="164"/>
      <w:r w:rsidRPr="00633A5F">
        <w:t xml:space="preserve"> </w:t>
      </w:r>
      <w:r w:rsidR="009F067A" w:rsidRPr="00633A5F">
        <w:t xml:space="preserve">– </w:t>
      </w:r>
      <w:bookmarkEnd w:id="165"/>
      <w:bookmarkEnd w:id="166"/>
      <w:r w:rsidR="0065611B" w:rsidRPr="00633A5F">
        <w:t>Control Frame Extension</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4"/>
        <w:gridCol w:w="1534"/>
        <w:gridCol w:w="2448"/>
        <w:gridCol w:w="3192"/>
      </w:tblGrid>
      <w:tr w:rsidR="008C36FC" w:rsidRPr="00D43635" w:rsidTr="00D0037C">
        <w:trPr>
          <w:jc w:val="center"/>
        </w:trPr>
        <w:tc>
          <w:tcPr>
            <w:tcW w:w="1534" w:type="dxa"/>
          </w:tcPr>
          <w:p w:rsidR="008C36FC" w:rsidRPr="00D43635" w:rsidRDefault="008C36FC" w:rsidP="00D0037C">
            <w:pPr>
              <w:jc w:val="center"/>
              <w:rPr>
                <w:rFonts w:eastAsia="SimSun"/>
                <w:b/>
                <w:u w:val="single"/>
              </w:rPr>
            </w:pPr>
            <w:r w:rsidRPr="00D43635">
              <w:rPr>
                <w:rFonts w:eastAsia="SimSun"/>
                <w:b/>
                <w:u w:val="single"/>
              </w:rPr>
              <w:t>Type value</w:t>
            </w:r>
          </w:p>
          <w:p w:rsidR="008C36FC" w:rsidRPr="00D43635" w:rsidRDefault="008C36FC" w:rsidP="00D0037C">
            <w:pPr>
              <w:jc w:val="center"/>
              <w:rPr>
                <w:rFonts w:eastAsia="SimSun"/>
                <w:b/>
                <w:u w:val="single"/>
              </w:rPr>
            </w:pPr>
            <w:r w:rsidRPr="00D43635">
              <w:rPr>
                <w:rFonts w:eastAsia="SimSun"/>
                <w:b/>
                <w:u w:val="single"/>
              </w:rPr>
              <w:t>b3 b2</w:t>
            </w:r>
          </w:p>
        </w:tc>
        <w:tc>
          <w:tcPr>
            <w:tcW w:w="1534" w:type="dxa"/>
          </w:tcPr>
          <w:p w:rsidR="008C36FC" w:rsidRPr="00D43635" w:rsidRDefault="008C36FC" w:rsidP="00D0037C">
            <w:pPr>
              <w:jc w:val="center"/>
              <w:rPr>
                <w:rFonts w:eastAsia="SimSun"/>
                <w:b/>
                <w:u w:val="single"/>
              </w:rPr>
            </w:pPr>
            <w:r w:rsidRPr="00D43635">
              <w:rPr>
                <w:rFonts w:eastAsia="SimSun"/>
                <w:b/>
                <w:u w:val="single"/>
              </w:rPr>
              <w:t>Subtype</w:t>
            </w:r>
          </w:p>
          <w:p w:rsidR="008C36FC" w:rsidRPr="00D43635" w:rsidRDefault="008C36FC" w:rsidP="00D0037C">
            <w:pPr>
              <w:jc w:val="center"/>
              <w:rPr>
                <w:rFonts w:eastAsia="SimSun"/>
                <w:b/>
                <w:u w:val="single"/>
              </w:rPr>
            </w:pPr>
            <w:r w:rsidRPr="00D43635">
              <w:rPr>
                <w:rFonts w:eastAsia="SimSun"/>
                <w:b/>
                <w:u w:val="single"/>
              </w:rPr>
              <w:t>b7 b6 b5 b4</w:t>
            </w:r>
          </w:p>
        </w:tc>
        <w:tc>
          <w:tcPr>
            <w:tcW w:w="2448" w:type="dxa"/>
          </w:tcPr>
          <w:p w:rsidR="008C36FC" w:rsidRPr="00D43635" w:rsidRDefault="008C36FC" w:rsidP="00D0037C">
            <w:pPr>
              <w:jc w:val="center"/>
              <w:rPr>
                <w:rFonts w:eastAsia="SimSun"/>
                <w:b/>
                <w:u w:val="single"/>
              </w:rPr>
            </w:pPr>
            <w:r w:rsidRPr="00D43635">
              <w:rPr>
                <w:rFonts w:eastAsia="SimSun"/>
                <w:b/>
                <w:u w:val="single"/>
              </w:rPr>
              <w:t>Extended subtype</w:t>
            </w:r>
          </w:p>
          <w:p w:rsidR="008C36FC" w:rsidRPr="00D43635" w:rsidRDefault="008C36FC" w:rsidP="00D0037C">
            <w:pPr>
              <w:jc w:val="center"/>
              <w:rPr>
                <w:rFonts w:eastAsia="SimSun"/>
                <w:b/>
                <w:u w:val="single"/>
              </w:rPr>
            </w:pPr>
            <w:r w:rsidRPr="00D43635">
              <w:rPr>
                <w:rFonts w:eastAsia="SimSun"/>
                <w:b/>
                <w:u w:val="single"/>
              </w:rPr>
              <w:t>b11 b10 b9 b8</w:t>
            </w:r>
          </w:p>
        </w:tc>
        <w:tc>
          <w:tcPr>
            <w:tcW w:w="3192" w:type="dxa"/>
          </w:tcPr>
          <w:p w:rsidR="008C36FC" w:rsidRPr="00D43635" w:rsidRDefault="008C36FC" w:rsidP="00D0037C">
            <w:pPr>
              <w:jc w:val="center"/>
              <w:rPr>
                <w:rFonts w:eastAsia="SimSun"/>
                <w:b/>
                <w:u w:val="single"/>
              </w:rPr>
            </w:pPr>
            <w:r w:rsidRPr="00D43635">
              <w:rPr>
                <w:rFonts w:eastAsia="SimSun"/>
                <w:b/>
                <w:u w:val="single"/>
              </w:rPr>
              <w:t>Description</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0010</w:t>
            </w:r>
          </w:p>
        </w:tc>
        <w:tc>
          <w:tcPr>
            <w:tcW w:w="3192" w:type="dxa"/>
          </w:tcPr>
          <w:p w:rsidR="008C36FC" w:rsidRPr="00D43635" w:rsidRDefault="008C36FC" w:rsidP="00D0037C">
            <w:pPr>
              <w:jc w:val="both"/>
              <w:rPr>
                <w:rFonts w:eastAsia="SimSun"/>
                <w:u w:val="single"/>
              </w:rPr>
            </w:pPr>
            <w:r w:rsidRPr="00D43635">
              <w:rPr>
                <w:rFonts w:eastAsia="SimSun"/>
                <w:u w:val="single"/>
              </w:rPr>
              <w:t>Poll</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0011</w:t>
            </w:r>
          </w:p>
        </w:tc>
        <w:tc>
          <w:tcPr>
            <w:tcW w:w="3192" w:type="dxa"/>
          </w:tcPr>
          <w:p w:rsidR="008C36FC" w:rsidRPr="00D43635" w:rsidRDefault="008C36FC" w:rsidP="00D0037C">
            <w:pPr>
              <w:jc w:val="both"/>
              <w:rPr>
                <w:rFonts w:eastAsia="SimSun"/>
                <w:u w:val="single"/>
              </w:rPr>
            </w:pPr>
            <w:r w:rsidRPr="00D43635">
              <w:rPr>
                <w:rFonts w:eastAsia="SimSun"/>
                <w:u w:val="single"/>
              </w:rPr>
              <w:t>SPR</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0100</w:t>
            </w:r>
          </w:p>
        </w:tc>
        <w:tc>
          <w:tcPr>
            <w:tcW w:w="3192" w:type="dxa"/>
          </w:tcPr>
          <w:p w:rsidR="008C36FC" w:rsidRPr="00D43635" w:rsidRDefault="008C36FC" w:rsidP="00D0037C">
            <w:pPr>
              <w:jc w:val="both"/>
              <w:rPr>
                <w:rFonts w:eastAsia="SimSun"/>
                <w:u w:val="single"/>
              </w:rPr>
            </w:pPr>
            <w:r w:rsidRPr="00D43635">
              <w:rPr>
                <w:rFonts w:eastAsia="SimSun"/>
                <w:u w:val="single"/>
              </w:rPr>
              <w:t>Grant</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0101</w:t>
            </w:r>
          </w:p>
        </w:tc>
        <w:tc>
          <w:tcPr>
            <w:tcW w:w="3192" w:type="dxa"/>
          </w:tcPr>
          <w:p w:rsidR="008C36FC" w:rsidRPr="00D43635" w:rsidRDefault="008C36FC" w:rsidP="00D0037C">
            <w:pPr>
              <w:jc w:val="both"/>
              <w:rPr>
                <w:rFonts w:eastAsia="SimSun"/>
                <w:u w:val="single"/>
              </w:rPr>
            </w:pPr>
            <w:r w:rsidRPr="00D43635">
              <w:rPr>
                <w:rFonts w:eastAsia="SimSun"/>
                <w:u w:val="single"/>
              </w:rPr>
              <w:t xml:space="preserve">mmWaveCTS </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0110</w:t>
            </w:r>
          </w:p>
        </w:tc>
        <w:tc>
          <w:tcPr>
            <w:tcW w:w="3192" w:type="dxa"/>
          </w:tcPr>
          <w:p w:rsidR="008C36FC" w:rsidRPr="00D43635" w:rsidRDefault="008C36FC" w:rsidP="00D0037C">
            <w:pPr>
              <w:jc w:val="both"/>
              <w:rPr>
                <w:rFonts w:eastAsia="SimSun"/>
                <w:u w:val="single"/>
              </w:rPr>
            </w:pPr>
            <w:r w:rsidRPr="00D43635">
              <w:rPr>
                <w:rFonts w:eastAsia="SimSun"/>
                <w:u w:val="single"/>
              </w:rPr>
              <w:t xml:space="preserve">mmWaveDTS </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0111</w:t>
            </w:r>
          </w:p>
        </w:tc>
        <w:tc>
          <w:tcPr>
            <w:tcW w:w="3192" w:type="dxa"/>
          </w:tcPr>
          <w:p w:rsidR="008C36FC" w:rsidRPr="00D43635" w:rsidRDefault="008C36FC" w:rsidP="00D0037C">
            <w:pPr>
              <w:jc w:val="both"/>
              <w:rPr>
                <w:rFonts w:eastAsia="SimSun"/>
                <w:u w:val="single"/>
              </w:rPr>
            </w:pPr>
            <w:r w:rsidRPr="00D43635">
              <w:rPr>
                <w:rFonts w:eastAsia="SimSun"/>
                <w:u w:val="single"/>
              </w:rPr>
              <w:t xml:space="preserve">mmWaveCF-End </w:t>
            </w:r>
          </w:p>
        </w:tc>
      </w:tr>
      <w:tr w:rsidR="009A1197" w:rsidRPr="00D43635" w:rsidTr="00D0037C">
        <w:trPr>
          <w:jc w:val="center"/>
        </w:trPr>
        <w:tc>
          <w:tcPr>
            <w:tcW w:w="1534" w:type="dxa"/>
          </w:tcPr>
          <w:p w:rsidR="009A1197" w:rsidRPr="00D43635" w:rsidRDefault="009A1197" w:rsidP="00D0037C">
            <w:pPr>
              <w:jc w:val="center"/>
              <w:rPr>
                <w:rFonts w:eastAsia="SimSun"/>
                <w:u w:val="single"/>
              </w:rPr>
            </w:pPr>
            <w:r w:rsidRPr="00D43635">
              <w:rPr>
                <w:rFonts w:eastAsia="SimSun"/>
                <w:u w:val="single"/>
              </w:rPr>
              <w:t>01</w:t>
            </w:r>
          </w:p>
        </w:tc>
        <w:tc>
          <w:tcPr>
            <w:tcW w:w="1534" w:type="dxa"/>
          </w:tcPr>
          <w:p w:rsidR="009A1197" w:rsidRPr="00D43635" w:rsidRDefault="009A1197" w:rsidP="00D0037C">
            <w:pPr>
              <w:jc w:val="center"/>
              <w:rPr>
                <w:rFonts w:eastAsia="SimSun"/>
                <w:u w:val="single"/>
              </w:rPr>
            </w:pPr>
            <w:r w:rsidRPr="00D43635">
              <w:rPr>
                <w:rFonts w:eastAsia="SimSun"/>
                <w:u w:val="single"/>
              </w:rPr>
              <w:t>0110</w:t>
            </w:r>
          </w:p>
        </w:tc>
        <w:tc>
          <w:tcPr>
            <w:tcW w:w="2448" w:type="dxa"/>
          </w:tcPr>
          <w:p w:rsidR="009A1197" w:rsidRPr="00D43635" w:rsidRDefault="009A1197" w:rsidP="00D0037C">
            <w:pPr>
              <w:jc w:val="center"/>
              <w:rPr>
                <w:rFonts w:eastAsia="SimSun"/>
                <w:u w:val="single"/>
              </w:rPr>
            </w:pPr>
            <w:r w:rsidRPr="00D43635">
              <w:rPr>
                <w:rFonts w:eastAsia="SimSun"/>
                <w:u w:val="single"/>
              </w:rPr>
              <w:t>1000</w:t>
            </w:r>
          </w:p>
        </w:tc>
        <w:tc>
          <w:tcPr>
            <w:tcW w:w="3192" w:type="dxa"/>
          </w:tcPr>
          <w:p w:rsidR="009A1197" w:rsidRPr="00D43635" w:rsidRDefault="009A1197" w:rsidP="00D0037C">
            <w:pPr>
              <w:jc w:val="both"/>
              <w:rPr>
                <w:rFonts w:eastAsia="SimSun"/>
                <w:u w:val="single"/>
              </w:rPr>
            </w:pPr>
            <w:r w:rsidRPr="00D43635">
              <w:rPr>
                <w:rFonts w:eastAsia="SimSun"/>
                <w:u w:val="single"/>
              </w:rPr>
              <w:t>SS</w:t>
            </w:r>
          </w:p>
        </w:tc>
      </w:tr>
      <w:tr w:rsidR="009A1197" w:rsidRPr="00D43635" w:rsidTr="00D0037C">
        <w:trPr>
          <w:jc w:val="center"/>
        </w:trPr>
        <w:tc>
          <w:tcPr>
            <w:tcW w:w="1534" w:type="dxa"/>
          </w:tcPr>
          <w:p w:rsidR="009A1197" w:rsidRPr="00D43635" w:rsidRDefault="009A1197" w:rsidP="00D0037C">
            <w:pPr>
              <w:jc w:val="center"/>
              <w:rPr>
                <w:rFonts w:eastAsia="SimSun"/>
                <w:u w:val="single"/>
              </w:rPr>
            </w:pPr>
            <w:r w:rsidRPr="00D43635">
              <w:rPr>
                <w:rFonts w:eastAsia="SimSun"/>
                <w:u w:val="single"/>
              </w:rPr>
              <w:t>01</w:t>
            </w:r>
          </w:p>
        </w:tc>
        <w:tc>
          <w:tcPr>
            <w:tcW w:w="1534" w:type="dxa"/>
          </w:tcPr>
          <w:p w:rsidR="009A1197" w:rsidRPr="00D43635" w:rsidRDefault="009A1197" w:rsidP="00D0037C">
            <w:pPr>
              <w:jc w:val="center"/>
              <w:rPr>
                <w:rFonts w:eastAsia="SimSun"/>
                <w:u w:val="single"/>
              </w:rPr>
            </w:pPr>
            <w:r w:rsidRPr="00D43635">
              <w:rPr>
                <w:rFonts w:eastAsia="SimSun"/>
                <w:u w:val="single"/>
              </w:rPr>
              <w:t>0110</w:t>
            </w:r>
          </w:p>
        </w:tc>
        <w:tc>
          <w:tcPr>
            <w:tcW w:w="2448" w:type="dxa"/>
          </w:tcPr>
          <w:p w:rsidR="009A1197" w:rsidRPr="00D43635" w:rsidRDefault="009A1197" w:rsidP="00D0037C">
            <w:pPr>
              <w:jc w:val="center"/>
              <w:rPr>
                <w:rFonts w:eastAsia="SimSun"/>
                <w:u w:val="single"/>
              </w:rPr>
            </w:pPr>
            <w:r w:rsidRPr="00D43635">
              <w:rPr>
                <w:rFonts w:eastAsia="SimSun"/>
                <w:u w:val="single"/>
              </w:rPr>
              <w:t>1001</w:t>
            </w:r>
          </w:p>
        </w:tc>
        <w:tc>
          <w:tcPr>
            <w:tcW w:w="3192" w:type="dxa"/>
          </w:tcPr>
          <w:p w:rsidR="009A1197" w:rsidRPr="00D43635" w:rsidRDefault="009A1197" w:rsidP="00D0037C">
            <w:pPr>
              <w:jc w:val="both"/>
              <w:rPr>
                <w:rFonts w:eastAsia="SimSun"/>
                <w:u w:val="single"/>
              </w:rPr>
            </w:pPr>
            <w:r w:rsidRPr="00D43635">
              <w:rPr>
                <w:rFonts w:eastAsia="SimSun"/>
                <w:u w:val="single"/>
              </w:rPr>
              <w:t>SS-Feedback</w:t>
            </w:r>
          </w:p>
        </w:tc>
      </w:tr>
      <w:tr w:rsidR="009A1197" w:rsidRPr="00D43635" w:rsidTr="00D0037C">
        <w:trPr>
          <w:jc w:val="center"/>
        </w:trPr>
        <w:tc>
          <w:tcPr>
            <w:tcW w:w="1534" w:type="dxa"/>
          </w:tcPr>
          <w:p w:rsidR="009A1197" w:rsidRPr="00D43635" w:rsidRDefault="009A1197" w:rsidP="00D0037C">
            <w:pPr>
              <w:jc w:val="center"/>
              <w:rPr>
                <w:rFonts w:eastAsia="SimSun"/>
                <w:u w:val="single"/>
              </w:rPr>
            </w:pPr>
            <w:r w:rsidRPr="00D43635">
              <w:rPr>
                <w:rFonts w:eastAsia="SimSun"/>
                <w:u w:val="single"/>
              </w:rPr>
              <w:t>01</w:t>
            </w:r>
          </w:p>
        </w:tc>
        <w:tc>
          <w:tcPr>
            <w:tcW w:w="1534" w:type="dxa"/>
          </w:tcPr>
          <w:p w:rsidR="009A1197" w:rsidRPr="00D43635" w:rsidRDefault="009A1197" w:rsidP="00D0037C">
            <w:pPr>
              <w:jc w:val="center"/>
              <w:rPr>
                <w:rFonts w:eastAsia="SimSun"/>
                <w:u w:val="single"/>
              </w:rPr>
            </w:pPr>
            <w:r w:rsidRPr="00D43635">
              <w:rPr>
                <w:rFonts w:eastAsia="SimSun"/>
                <w:u w:val="single"/>
              </w:rPr>
              <w:t>0110</w:t>
            </w:r>
          </w:p>
        </w:tc>
        <w:tc>
          <w:tcPr>
            <w:tcW w:w="2448" w:type="dxa"/>
          </w:tcPr>
          <w:p w:rsidR="009A1197" w:rsidRPr="00D43635" w:rsidRDefault="009A1197" w:rsidP="00D0037C">
            <w:pPr>
              <w:jc w:val="center"/>
              <w:rPr>
                <w:rFonts w:eastAsia="SimSun"/>
                <w:u w:val="single"/>
              </w:rPr>
            </w:pPr>
            <w:r w:rsidRPr="00D43635">
              <w:rPr>
                <w:rFonts w:eastAsia="SimSun"/>
                <w:u w:val="single"/>
              </w:rPr>
              <w:t>1010</w:t>
            </w:r>
          </w:p>
        </w:tc>
        <w:tc>
          <w:tcPr>
            <w:tcW w:w="3192" w:type="dxa"/>
          </w:tcPr>
          <w:p w:rsidR="009A1197" w:rsidRPr="00D43635" w:rsidRDefault="009A1197" w:rsidP="00D0037C">
            <w:pPr>
              <w:jc w:val="both"/>
              <w:rPr>
                <w:rFonts w:eastAsia="SimSun"/>
                <w:u w:val="single"/>
              </w:rPr>
            </w:pPr>
            <w:r w:rsidRPr="00D43635">
              <w:rPr>
                <w:rFonts w:eastAsia="SimSun"/>
                <w:u w:val="single"/>
              </w:rPr>
              <w:t xml:space="preserve">SS-ACK </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9A1197" w:rsidP="00D0037C">
            <w:pPr>
              <w:jc w:val="center"/>
              <w:rPr>
                <w:rFonts w:eastAsia="SimSun"/>
                <w:u w:val="single"/>
              </w:rPr>
            </w:pPr>
            <w:r w:rsidRPr="00D43635">
              <w:rPr>
                <w:rFonts w:eastAsia="SimSun"/>
                <w:u w:val="single"/>
              </w:rPr>
              <w:t>1011</w:t>
            </w:r>
            <w:r w:rsidR="008C36FC" w:rsidRPr="00D43635">
              <w:rPr>
                <w:rFonts w:eastAsia="SimSun"/>
                <w:u w:val="single"/>
              </w:rPr>
              <w:t>-1111</w:t>
            </w:r>
          </w:p>
        </w:tc>
        <w:tc>
          <w:tcPr>
            <w:tcW w:w="3192" w:type="dxa"/>
          </w:tcPr>
          <w:p w:rsidR="008C36FC" w:rsidRPr="00D43635" w:rsidRDefault="008C36FC" w:rsidP="00D0037C">
            <w:pPr>
              <w:jc w:val="both"/>
              <w:rPr>
                <w:rFonts w:eastAsia="SimSun"/>
                <w:u w:val="single"/>
              </w:rPr>
            </w:pPr>
            <w:r w:rsidRPr="00D43635">
              <w:rPr>
                <w:rFonts w:eastAsia="SimSun"/>
                <w:u w:val="single"/>
              </w:rPr>
              <w:t>Reserved</w:t>
            </w:r>
          </w:p>
        </w:tc>
      </w:tr>
    </w:tbl>
    <w:p w:rsidR="008C36FC" w:rsidRPr="007F620C" w:rsidRDefault="007A1850" w:rsidP="0004091F">
      <w:r>
        <w:tab/>
      </w:r>
      <w:r>
        <w:tab/>
      </w:r>
    </w:p>
    <w:p w:rsidR="008C36FC" w:rsidRPr="00DF40D8" w:rsidRDefault="008C36FC" w:rsidP="003701DB">
      <w:pPr>
        <w:pStyle w:val="Heading5"/>
        <w:numPr>
          <w:ilvl w:val="4"/>
          <w:numId w:val="194"/>
        </w:numPr>
      </w:pPr>
      <w:bookmarkStart w:id="168" w:name="_Toc235400191"/>
      <w:bookmarkStart w:id="169" w:name="_Toc259716854"/>
      <w:r w:rsidRPr="00DF40D8">
        <w:t>To DS and From DS fields</w:t>
      </w:r>
      <w:bookmarkEnd w:id="168"/>
      <w:bookmarkEnd w:id="169"/>
    </w:p>
    <w:p w:rsidR="007A1850" w:rsidRDefault="007A1850" w:rsidP="007A1850">
      <w:pPr>
        <w:rPr>
          <w:i/>
        </w:rPr>
      </w:pPr>
      <w:r w:rsidRPr="00DF40D8">
        <w:rPr>
          <w:i/>
        </w:rPr>
        <w:t xml:space="preserve">.11 Editor Note: </w:t>
      </w:r>
      <w:r>
        <w:rPr>
          <w:i/>
        </w:rPr>
        <w:t>add at end of the subcluse:</w:t>
      </w:r>
      <w:r w:rsidR="0053357F">
        <w:rPr>
          <w:i/>
        </w:rPr>
        <w:t xml:space="preserve"> </w:t>
      </w:r>
    </w:p>
    <w:p w:rsidR="007A1850" w:rsidRDefault="007A1850" w:rsidP="007A1850"/>
    <w:p w:rsidR="009F0AE1" w:rsidRPr="007A1850" w:rsidRDefault="007A1850" w:rsidP="007A1850">
      <w:pPr>
        <w:rPr>
          <w:b/>
          <w:i/>
          <w:u w:val="single"/>
        </w:rPr>
      </w:pPr>
      <w:r w:rsidRPr="007A1850">
        <w:rPr>
          <w:u w:val="single"/>
        </w:rPr>
        <w:t xml:space="preserve"> In the</w:t>
      </w:r>
      <w:r w:rsidR="00DF574C" w:rsidRPr="007A1850">
        <w:rPr>
          <w:u w:val="single"/>
        </w:rPr>
        <w:t xml:space="preserve"> Control frames of subtype Control frame extension </w:t>
      </w:r>
      <w:r w:rsidR="00F828B3" w:rsidRPr="007A1850">
        <w:rPr>
          <w:u w:val="single"/>
        </w:rPr>
        <w:t>this field does not exist</w:t>
      </w:r>
      <w:r w:rsidR="00EC4F69">
        <w:rPr>
          <w:u w:val="single"/>
        </w:rPr>
        <w:t xml:space="preserve"> (see </w:t>
      </w:r>
      <w:r w:rsidR="00BD151C">
        <w:rPr>
          <w:u w:val="single"/>
        </w:rPr>
        <w:fldChar w:fldCharType="begin"/>
      </w:r>
      <w:r w:rsidR="00E876EC">
        <w:rPr>
          <w:u w:val="single"/>
        </w:rPr>
        <w:instrText xml:space="preserve"> REF _Ref251855172 \r \h </w:instrText>
      </w:r>
      <w:r w:rsidR="00BD151C">
        <w:rPr>
          <w:u w:val="single"/>
        </w:rPr>
      </w:r>
      <w:r w:rsidR="00BD151C">
        <w:rPr>
          <w:u w:val="single"/>
        </w:rPr>
        <w:fldChar w:fldCharType="separate"/>
      </w:r>
      <w:r w:rsidR="003E4210">
        <w:rPr>
          <w:u w:val="single"/>
        </w:rPr>
        <w:t>7.1.3.1.2</w:t>
      </w:r>
      <w:r w:rsidR="00BD151C">
        <w:rPr>
          <w:u w:val="single"/>
        </w:rPr>
        <w:fldChar w:fldCharType="end"/>
      </w:r>
      <w:r w:rsidR="003233D7">
        <w:rPr>
          <w:u w:val="single"/>
        </w:rPr>
        <w:t xml:space="preserve">, </w:t>
      </w:r>
      <w:r w:rsidR="00BD151C">
        <w:rPr>
          <w:u w:val="single"/>
        </w:rPr>
        <w:fldChar w:fldCharType="begin"/>
      </w:r>
      <w:r w:rsidR="003233D7">
        <w:rPr>
          <w:u w:val="single"/>
        </w:rPr>
        <w:instrText xml:space="preserve"> REF _Ref241397738 \h </w:instrText>
      </w:r>
      <w:r w:rsidR="00BD151C">
        <w:rPr>
          <w:u w:val="single"/>
        </w:rPr>
      </w:r>
      <w:r w:rsidR="00BD151C">
        <w:rPr>
          <w:u w:val="single"/>
        </w:rPr>
        <w:fldChar w:fldCharType="separate"/>
      </w:r>
      <w:r w:rsidR="003E4210" w:rsidRPr="00633A5F">
        <w:t xml:space="preserve">Table </w:t>
      </w:r>
      <w:r w:rsidR="003E4210">
        <w:rPr>
          <w:noProof/>
        </w:rPr>
        <w:t>1</w:t>
      </w:r>
      <w:r w:rsidR="00BD151C">
        <w:rPr>
          <w:u w:val="single"/>
        </w:rPr>
        <w:fldChar w:fldCharType="end"/>
      </w:r>
      <w:r w:rsidR="003233D7">
        <w:rPr>
          <w:u w:val="single"/>
        </w:rPr>
        <w:t>)</w:t>
      </w:r>
      <w:r w:rsidR="00DF574C" w:rsidRPr="007A1850">
        <w:rPr>
          <w:u w:val="single"/>
        </w:rPr>
        <w:t>.</w:t>
      </w:r>
    </w:p>
    <w:p w:rsidR="00645434" w:rsidRPr="00DF40D8" w:rsidRDefault="00645434" w:rsidP="0004091F">
      <w:pPr>
        <w:rPr>
          <w:b/>
          <w:i/>
        </w:rPr>
      </w:pPr>
    </w:p>
    <w:p w:rsidR="009F0AE1" w:rsidRPr="00DF40D8" w:rsidRDefault="00397A3D" w:rsidP="00645434">
      <w:pPr>
        <w:rPr>
          <w:b/>
          <w:i/>
        </w:rPr>
      </w:pPr>
      <w:r w:rsidRPr="00DF40D8">
        <w:rPr>
          <w:i/>
        </w:rPr>
        <w:t xml:space="preserve">.11 </w:t>
      </w:r>
      <w:r w:rsidR="00645434" w:rsidRPr="00DF40D8">
        <w:rPr>
          <w:i/>
        </w:rPr>
        <w:t xml:space="preserve">Editor Note: In Table 7-2—To/From DS combinations in data frames, add </w:t>
      </w:r>
      <w:r w:rsidR="00645434" w:rsidRPr="00DF40D8">
        <w:rPr>
          <w:b/>
          <w:i/>
        </w:rPr>
        <w:t>"</w:t>
      </w:r>
      <w:r w:rsidR="00645434" w:rsidRPr="00DF40D8">
        <w:t>or the same PBSS</w:t>
      </w:r>
      <w:r w:rsidR="00645434" w:rsidRPr="00DF40D8">
        <w:rPr>
          <w:i/>
        </w:rPr>
        <w:t>" after the word</w:t>
      </w:r>
      <w:r w:rsidR="00645434" w:rsidRPr="00DF40D8">
        <w:rPr>
          <w:b/>
          <w:i/>
        </w:rPr>
        <w:t xml:space="preserve"> "</w:t>
      </w:r>
      <w:r w:rsidR="00645434" w:rsidRPr="00DF40D8">
        <w:t>IBSS</w:t>
      </w:r>
      <w:r w:rsidR="00645434" w:rsidRPr="00DF40D8">
        <w:rPr>
          <w:i/>
        </w:rPr>
        <w:t>" in the first row</w:t>
      </w:r>
    </w:p>
    <w:p w:rsidR="008C36FC" w:rsidRPr="00DF40D8" w:rsidRDefault="008C36FC" w:rsidP="0004091F"/>
    <w:p w:rsidR="008C36FC" w:rsidRPr="00DF40D8" w:rsidRDefault="008C36FC" w:rsidP="003701DB">
      <w:pPr>
        <w:pStyle w:val="Heading5"/>
        <w:numPr>
          <w:ilvl w:val="4"/>
          <w:numId w:val="194"/>
        </w:numPr>
      </w:pPr>
      <w:bookmarkStart w:id="170" w:name="_Toc235400192"/>
      <w:bookmarkStart w:id="171" w:name="_Toc259716855"/>
      <w:r w:rsidRPr="00DF40D8">
        <w:t>More Fragments field</w:t>
      </w:r>
      <w:bookmarkEnd w:id="170"/>
      <w:bookmarkEnd w:id="171"/>
    </w:p>
    <w:p w:rsidR="008C36FC" w:rsidRPr="00DF40D8" w:rsidRDefault="00B321BE" w:rsidP="0004091F">
      <w:r>
        <w:t>.</w:t>
      </w:r>
      <w:r w:rsidRPr="00B321BE">
        <w:rPr>
          <w:i/>
          <w:iCs/>
        </w:rPr>
        <w:t>11 Editor Note: insert at end of the subclause</w:t>
      </w:r>
      <w:r w:rsidR="00080054">
        <w:rPr>
          <w:i/>
        </w:rPr>
        <w:t xml:space="preserve"> </w:t>
      </w:r>
    </w:p>
    <w:p w:rsidR="008C36FC" w:rsidRPr="00DF40D8" w:rsidRDefault="008C36FC" w:rsidP="0004091F"/>
    <w:p w:rsidR="008C36FC" w:rsidRPr="00E876EC" w:rsidRDefault="00F828B3" w:rsidP="003233D7">
      <w:pPr>
        <w:rPr>
          <w:u w:val="single"/>
        </w:rPr>
      </w:pPr>
      <w:r w:rsidRPr="00E876EC">
        <w:rPr>
          <w:u w:val="single"/>
        </w:rPr>
        <w:t>For Control frames this field does not exist, as per the modified frame form</w:t>
      </w:r>
      <w:r w:rsidR="00633A5F">
        <w:rPr>
          <w:u w:val="single"/>
        </w:rPr>
        <w:t xml:space="preserve">at for control extended subtype </w:t>
      </w:r>
      <w:r w:rsidR="003233D7">
        <w:rPr>
          <w:u w:val="single"/>
        </w:rPr>
        <w:t xml:space="preserve">(see </w:t>
      </w:r>
      <w:r w:rsidR="00BD151C">
        <w:rPr>
          <w:u w:val="single"/>
        </w:rPr>
        <w:fldChar w:fldCharType="begin"/>
      </w:r>
      <w:r w:rsidR="003233D7">
        <w:rPr>
          <w:u w:val="single"/>
        </w:rPr>
        <w:instrText xml:space="preserve"> REF _Ref251855172 \r \h </w:instrText>
      </w:r>
      <w:r w:rsidR="00BD151C">
        <w:rPr>
          <w:u w:val="single"/>
        </w:rPr>
      </w:r>
      <w:r w:rsidR="00BD151C">
        <w:rPr>
          <w:u w:val="single"/>
        </w:rPr>
        <w:fldChar w:fldCharType="separate"/>
      </w:r>
      <w:r w:rsidR="003E4210">
        <w:rPr>
          <w:u w:val="single"/>
        </w:rPr>
        <w:t>7.1.3.1.2</w:t>
      </w:r>
      <w:r w:rsidR="00BD151C">
        <w:rPr>
          <w:u w:val="single"/>
        </w:rPr>
        <w:fldChar w:fldCharType="end"/>
      </w:r>
      <w:r w:rsidR="003233D7">
        <w:rPr>
          <w:u w:val="single"/>
        </w:rPr>
        <w:t xml:space="preserve">, </w:t>
      </w:r>
      <w:r w:rsidR="00BD151C">
        <w:rPr>
          <w:u w:val="single"/>
        </w:rPr>
        <w:fldChar w:fldCharType="begin"/>
      </w:r>
      <w:r w:rsidR="003233D7">
        <w:rPr>
          <w:u w:val="single"/>
        </w:rPr>
        <w:instrText xml:space="preserve"> REF _Ref241397738 \h </w:instrText>
      </w:r>
      <w:r w:rsidR="00BD151C">
        <w:rPr>
          <w:u w:val="single"/>
        </w:rPr>
      </w:r>
      <w:r w:rsidR="00BD151C">
        <w:rPr>
          <w:u w:val="single"/>
        </w:rPr>
        <w:fldChar w:fldCharType="separate"/>
      </w:r>
      <w:r w:rsidR="003E4210" w:rsidRPr="00633A5F">
        <w:t xml:space="preserve">Table </w:t>
      </w:r>
      <w:r w:rsidR="003E4210">
        <w:rPr>
          <w:noProof/>
        </w:rPr>
        <w:t>1</w:t>
      </w:r>
      <w:r w:rsidR="00BD151C">
        <w:rPr>
          <w:u w:val="single"/>
        </w:rPr>
        <w:fldChar w:fldCharType="end"/>
      </w:r>
      <w:r w:rsidR="003233D7">
        <w:rPr>
          <w:u w:val="single"/>
        </w:rPr>
        <w:t>)</w:t>
      </w:r>
      <w:r w:rsidR="003233D7" w:rsidRPr="007A1850">
        <w:rPr>
          <w:u w:val="single"/>
        </w:rPr>
        <w:t>.</w:t>
      </w:r>
    </w:p>
    <w:p w:rsidR="008C36FC" w:rsidRPr="00DF40D8" w:rsidRDefault="008C36FC" w:rsidP="003701DB">
      <w:pPr>
        <w:pStyle w:val="Heading5"/>
        <w:numPr>
          <w:ilvl w:val="4"/>
          <w:numId w:val="194"/>
        </w:numPr>
      </w:pPr>
      <w:bookmarkStart w:id="172" w:name="_Toc235400193"/>
      <w:bookmarkStart w:id="173" w:name="_Toc259716856"/>
      <w:r w:rsidRPr="00DF40D8">
        <w:t>Retry field</w:t>
      </w:r>
      <w:bookmarkEnd w:id="172"/>
      <w:bookmarkEnd w:id="173"/>
    </w:p>
    <w:p w:rsidR="008C36FC" w:rsidRPr="00DF40D8" w:rsidRDefault="00B321BE" w:rsidP="008F1061">
      <w:r w:rsidRPr="00B321BE">
        <w:rPr>
          <w:i/>
          <w:iCs/>
        </w:rPr>
        <w:t>11 Editor Note: insert at end of the subclause</w:t>
      </w:r>
      <w:r w:rsidR="008C36FC" w:rsidRPr="00DF40D8">
        <w:t>.</w:t>
      </w:r>
      <w:r w:rsidR="00080054">
        <w:rPr>
          <w:i/>
        </w:rPr>
        <w:t xml:space="preserve"> </w:t>
      </w:r>
    </w:p>
    <w:p w:rsidR="008C36FC" w:rsidRPr="00DF40D8" w:rsidRDefault="008C36FC" w:rsidP="0004091F"/>
    <w:p w:rsidR="008C36FC" w:rsidRPr="00E876EC" w:rsidRDefault="00F828B3" w:rsidP="003233D7">
      <w:pPr>
        <w:rPr>
          <w:u w:val="single"/>
        </w:rPr>
      </w:pPr>
      <w:r w:rsidRPr="00E876EC">
        <w:rPr>
          <w:u w:val="single"/>
        </w:rPr>
        <w:t xml:space="preserve">For Control frames this field does not exist, as per the modified frame format for control extended subtype </w:t>
      </w:r>
      <w:r w:rsidR="003233D7">
        <w:rPr>
          <w:u w:val="single"/>
        </w:rPr>
        <w:t xml:space="preserve">(see </w:t>
      </w:r>
      <w:r w:rsidR="00BD151C">
        <w:rPr>
          <w:u w:val="single"/>
        </w:rPr>
        <w:fldChar w:fldCharType="begin"/>
      </w:r>
      <w:r w:rsidR="003233D7">
        <w:rPr>
          <w:u w:val="single"/>
        </w:rPr>
        <w:instrText xml:space="preserve"> REF _Ref251855172 \r \h </w:instrText>
      </w:r>
      <w:r w:rsidR="00BD151C">
        <w:rPr>
          <w:u w:val="single"/>
        </w:rPr>
      </w:r>
      <w:r w:rsidR="00BD151C">
        <w:rPr>
          <w:u w:val="single"/>
        </w:rPr>
        <w:fldChar w:fldCharType="separate"/>
      </w:r>
      <w:r w:rsidR="003E4210">
        <w:rPr>
          <w:u w:val="single"/>
        </w:rPr>
        <w:t>7.1.3.1.2</w:t>
      </w:r>
      <w:r w:rsidR="00BD151C">
        <w:rPr>
          <w:u w:val="single"/>
        </w:rPr>
        <w:fldChar w:fldCharType="end"/>
      </w:r>
      <w:r w:rsidR="003233D7">
        <w:rPr>
          <w:u w:val="single"/>
        </w:rPr>
        <w:t xml:space="preserve">, </w:t>
      </w:r>
      <w:r w:rsidR="00BD151C">
        <w:rPr>
          <w:u w:val="single"/>
        </w:rPr>
        <w:fldChar w:fldCharType="begin"/>
      </w:r>
      <w:r w:rsidR="003233D7">
        <w:rPr>
          <w:u w:val="single"/>
        </w:rPr>
        <w:instrText xml:space="preserve"> REF _Ref241397738 \h </w:instrText>
      </w:r>
      <w:r w:rsidR="00BD151C">
        <w:rPr>
          <w:u w:val="single"/>
        </w:rPr>
      </w:r>
      <w:r w:rsidR="00BD151C">
        <w:rPr>
          <w:u w:val="single"/>
        </w:rPr>
        <w:fldChar w:fldCharType="separate"/>
      </w:r>
      <w:r w:rsidR="003E4210" w:rsidRPr="00633A5F">
        <w:t xml:space="preserve">Table </w:t>
      </w:r>
      <w:r w:rsidR="003E4210">
        <w:rPr>
          <w:noProof/>
        </w:rPr>
        <w:t>1</w:t>
      </w:r>
      <w:r w:rsidR="00BD151C">
        <w:rPr>
          <w:u w:val="single"/>
        </w:rPr>
        <w:fldChar w:fldCharType="end"/>
      </w:r>
      <w:r w:rsidR="003233D7">
        <w:rPr>
          <w:u w:val="single"/>
        </w:rPr>
        <w:t>)</w:t>
      </w:r>
      <w:r w:rsidR="003233D7" w:rsidRPr="007A1850">
        <w:rPr>
          <w:u w:val="single"/>
        </w:rPr>
        <w:t>.</w:t>
      </w:r>
    </w:p>
    <w:p w:rsidR="008C36FC" w:rsidRPr="00DF40D8" w:rsidRDefault="008C36FC" w:rsidP="003701DB">
      <w:pPr>
        <w:pStyle w:val="Heading5"/>
        <w:numPr>
          <w:ilvl w:val="4"/>
          <w:numId w:val="195"/>
        </w:numPr>
      </w:pPr>
      <w:bookmarkStart w:id="174" w:name="_Toc235400195"/>
      <w:bookmarkStart w:id="175" w:name="_Toc259716857"/>
      <w:r w:rsidRPr="00DF40D8">
        <w:t>More Data field</w:t>
      </w:r>
      <w:bookmarkEnd w:id="174"/>
      <w:bookmarkEnd w:id="175"/>
    </w:p>
    <w:p w:rsidR="00E876EC" w:rsidRPr="00DF40D8" w:rsidRDefault="00E876EC" w:rsidP="00E876EC">
      <w:r w:rsidRPr="00E876EC">
        <w:rPr>
          <w:i/>
          <w:iCs/>
        </w:rPr>
        <w:t>11 Editor Note: insert at end of the subclause</w:t>
      </w:r>
      <w:r w:rsidRPr="00DF40D8">
        <w:t>.</w:t>
      </w:r>
      <w:r w:rsidR="00D11F2E">
        <w:t xml:space="preserve"> </w:t>
      </w:r>
    </w:p>
    <w:p w:rsidR="008C36FC" w:rsidRPr="00DF40D8" w:rsidRDefault="008C36FC" w:rsidP="0004091F"/>
    <w:p w:rsidR="008C36FC" w:rsidRPr="009E1EB6" w:rsidRDefault="008C36FC" w:rsidP="00F828B3">
      <w:pPr>
        <w:rPr>
          <w:u w:val="single"/>
        </w:rPr>
      </w:pPr>
      <w:r w:rsidRPr="009E1EB6">
        <w:rPr>
          <w:u w:val="single"/>
        </w:rPr>
        <w:t>For Control frames this field is reserved.</w:t>
      </w:r>
    </w:p>
    <w:p w:rsidR="008C36FC" w:rsidRPr="00DF40D8" w:rsidRDefault="008C36FC" w:rsidP="003701DB">
      <w:pPr>
        <w:pStyle w:val="Heading5"/>
        <w:numPr>
          <w:ilvl w:val="4"/>
          <w:numId w:val="195"/>
        </w:numPr>
      </w:pPr>
      <w:bookmarkStart w:id="176" w:name="_Toc235400196"/>
      <w:bookmarkStart w:id="177" w:name="_Toc259716858"/>
      <w:r w:rsidRPr="00DF40D8">
        <w:t>Protected Frame field</w:t>
      </w:r>
      <w:bookmarkEnd w:id="176"/>
      <w:bookmarkEnd w:id="177"/>
    </w:p>
    <w:p w:rsidR="00E876EC" w:rsidRPr="00DF40D8" w:rsidRDefault="00E876EC" w:rsidP="00E876EC">
      <w:r w:rsidRPr="00E876EC">
        <w:rPr>
          <w:i/>
          <w:iCs/>
        </w:rPr>
        <w:t>11 Editor Note: insert at end of the subclause</w:t>
      </w:r>
      <w:r w:rsidRPr="00DF40D8">
        <w:t>.</w:t>
      </w:r>
      <w:r w:rsidR="00080054">
        <w:t xml:space="preserve"> </w:t>
      </w:r>
    </w:p>
    <w:p w:rsidR="00E876EC" w:rsidRDefault="00E876EC" w:rsidP="00F828B3">
      <w:pPr>
        <w:rPr>
          <w:u w:val="single"/>
        </w:rPr>
      </w:pPr>
    </w:p>
    <w:p w:rsidR="008C36FC" w:rsidRPr="009E1EB6" w:rsidRDefault="008C36FC" w:rsidP="00F828B3">
      <w:pPr>
        <w:rPr>
          <w:u w:val="single"/>
        </w:rPr>
      </w:pPr>
      <w:r w:rsidRPr="009E1EB6">
        <w:rPr>
          <w:u w:val="single"/>
        </w:rPr>
        <w:t>For Control frames this field is reserved.</w:t>
      </w:r>
    </w:p>
    <w:p w:rsidR="008C36FC" w:rsidRPr="00DF40D8" w:rsidRDefault="008C36FC" w:rsidP="003701DB">
      <w:pPr>
        <w:pStyle w:val="Heading5"/>
        <w:numPr>
          <w:ilvl w:val="4"/>
          <w:numId w:val="195"/>
        </w:numPr>
      </w:pPr>
      <w:bookmarkStart w:id="178" w:name="_Toc235400197"/>
      <w:bookmarkStart w:id="179" w:name="_Toc259716859"/>
      <w:r w:rsidRPr="00DF40D8">
        <w:t>Order field</w:t>
      </w:r>
      <w:bookmarkEnd w:id="178"/>
      <w:bookmarkEnd w:id="179"/>
    </w:p>
    <w:p w:rsidR="00E876EC" w:rsidRPr="00DF40D8" w:rsidRDefault="00E876EC" w:rsidP="00E876EC">
      <w:r w:rsidRPr="00E876EC">
        <w:rPr>
          <w:i/>
          <w:iCs/>
        </w:rPr>
        <w:t>11 Editor Note: insert at end of the subclause</w:t>
      </w:r>
      <w:r w:rsidRPr="00DF40D8">
        <w:t>.</w:t>
      </w:r>
      <w:r w:rsidR="00080054">
        <w:t xml:space="preserve"> </w:t>
      </w:r>
    </w:p>
    <w:p w:rsidR="00E876EC" w:rsidRDefault="00E876EC" w:rsidP="005D5D66">
      <w:pPr>
        <w:rPr>
          <w:u w:val="single"/>
        </w:rPr>
      </w:pPr>
    </w:p>
    <w:p w:rsidR="008C36FC" w:rsidRPr="005D5D66" w:rsidRDefault="005D5D66" w:rsidP="005D5D66">
      <w:pPr>
        <w:rPr>
          <w:u w:val="single"/>
        </w:rPr>
      </w:pPr>
      <w:r w:rsidRPr="005D5D66">
        <w:rPr>
          <w:u w:val="single"/>
        </w:rPr>
        <w:t>The Order field is</w:t>
      </w:r>
      <w:r w:rsidR="008C36FC" w:rsidRPr="005D5D66">
        <w:rPr>
          <w:u w:val="single"/>
        </w:rPr>
        <w:t xml:space="preserve"> always set to 0 for frames transmitted using the mmWave PHY</w:t>
      </w:r>
      <w:r w:rsidR="00AC6D70">
        <w:rPr>
          <w:u w:val="single"/>
        </w:rPr>
        <w:t xml:space="preserve"> (clause </w:t>
      </w:r>
      <w:r w:rsidR="00BD151C">
        <w:rPr>
          <w:u w:val="single"/>
        </w:rPr>
        <w:fldChar w:fldCharType="begin"/>
      </w:r>
      <w:r w:rsidR="00AC6D70">
        <w:rPr>
          <w:u w:val="single"/>
        </w:rPr>
        <w:instrText xml:space="preserve"> REF _Ref254514761 \r \h </w:instrText>
      </w:r>
      <w:r w:rsidR="00BD151C">
        <w:rPr>
          <w:u w:val="single"/>
        </w:rPr>
      </w:r>
      <w:r w:rsidR="00BD151C">
        <w:rPr>
          <w:u w:val="single"/>
        </w:rPr>
        <w:fldChar w:fldCharType="separate"/>
      </w:r>
      <w:r w:rsidR="003E4210">
        <w:rPr>
          <w:u w:val="single"/>
        </w:rPr>
        <w:t>21</w:t>
      </w:r>
      <w:r w:rsidR="00BD151C">
        <w:rPr>
          <w:u w:val="single"/>
        </w:rPr>
        <w:fldChar w:fldCharType="end"/>
      </w:r>
      <w:r w:rsidR="00AC6D70">
        <w:rPr>
          <w:u w:val="single"/>
        </w:rPr>
        <w:t>)</w:t>
      </w:r>
      <w:r w:rsidR="008C36FC" w:rsidRPr="005D5D66">
        <w:rPr>
          <w:u w:val="single"/>
        </w:rPr>
        <w:t xml:space="preserve">. </w:t>
      </w:r>
    </w:p>
    <w:p w:rsidR="00316CA8" w:rsidRDefault="00316CA8" w:rsidP="003701DB">
      <w:pPr>
        <w:pStyle w:val="Heading4"/>
        <w:numPr>
          <w:ilvl w:val="3"/>
          <w:numId w:val="195"/>
        </w:numPr>
      </w:pPr>
      <w:bookmarkStart w:id="180" w:name="_Toc259716860"/>
      <w:r>
        <w:t xml:space="preserve">Duration/ID </w:t>
      </w:r>
      <w:r w:rsidR="00912481">
        <w:t>f</w:t>
      </w:r>
      <w:r>
        <w:t>ield</w:t>
      </w:r>
      <w:bookmarkEnd w:id="180"/>
    </w:p>
    <w:p w:rsidR="000A1876" w:rsidRPr="007B7320" w:rsidRDefault="00316CA8" w:rsidP="003701DB">
      <w:pPr>
        <w:pStyle w:val="Heading4"/>
        <w:numPr>
          <w:ilvl w:val="3"/>
          <w:numId w:val="195"/>
        </w:numPr>
      </w:pPr>
      <w:bookmarkStart w:id="181" w:name="_Toc259716861"/>
      <w:r>
        <w:t xml:space="preserve">Address </w:t>
      </w:r>
      <w:r w:rsidR="00912481">
        <w:t>f</w:t>
      </w:r>
      <w:r>
        <w:t>ields</w:t>
      </w:r>
      <w:bookmarkEnd w:id="181"/>
    </w:p>
    <w:p w:rsidR="00F828B3" w:rsidRPr="00DF40D8" w:rsidRDefault="00F828B3" w:rsidP="00F828B3">
      <w:pPr>
        <w:pStyle w:val="Heading5"/>
      </w:pPr>
      <w:bookmarkStart w:id="182" w:name="_Toc259716862"/>
      <w:r w:rsidRPr="00DF40D8">
        <w:t>7.1.3.3.3 BSSID field</w:t>
      </w:r>
      <w:bookmarkEnd w:id="182"/>
    </w:p>
    <w:p w:rsidR="007E4749" w:rsidRPr="00DF40D8" w:rsidRDefault="007E4749" w:rsidP="007E4749">
      <w:r w:rsidRPr="00E876EC">
        <w:rPr>
          <w:i/>
          <w:iCs/>
        </w:rPr>
        <w:t xml:space="preserve">11 Editor Note: </w:t>
      </w:r>
      <w:r w:rsidR="00912481">
        <w:rPr>
          <w:i/>
          <w:iCs/>
        </w:rPr>
        <w:t>Insert</w:t>
      </w:r>
      <w:r>
        <w:rPr>
          <w:i/>
          <w:iCs/>
        </w:rPr>
        <w:t xml:space="preserve"> after the first paragraph</w:t>
      </w:r>
      <w:r w:rsidR="00BE1F31">
        <w:t xml:space="preserve"> </w:t>
      </w:r>
    </w:p>
    <w:p w:rsidR="000A1876" w:rsidRPr="00DF40D8" w:rsidRDefault="000A1876" w:rsidP="000A1876"/>
    <w:p w:rsidR="00F828B3" w:rsidRPr="007B7320" w:rsidRDefault="000A1876" w:rsidP="000A1876">
      <w:pPr>
        <w:rPr>
          <w:u w:val="single"/>
        </w:rPr>
      </w:pPr>
      <w:r w:rsidRPr="007B7320">
        <w:rPr>
          <w:u w:val="single"/>
        </w:rPr>
        <w:t>The value of this field in a PBSS is the MAC address currently in use by the STA in the PCP of the PBSS.</w:t>
      </w:r>
    </w:p>
    <w:p w:rsidR="00F828B3" w:rsidRPr="00DF40D8" w:rsidRDefault="00F828B3" w:rsidP="0004091F"/>
    <w:p w:rsidR="008C36FC" w:rsidRPr="00DF40D8" w:rsidRDefault="008C36FC" w:rsidP="003701DB">
      <w:pPr>
        <w:pStyle w:val="Heading4"/>
        <w:numPr>
          <w:ilvl w:val="3"/>
          <w:numId w:val="196"/>
        </w:numPr>
      </w:pPr>
      <w:bookmarkStart w:id="183" w:name="_Toc235400201"/>
      <w:bookmarkStart w:id="184" w:name="_Ref236723032"/>
      <w:bookmarkStart w:id="185" w:name="_Toc259716863"/>
      <w:r w:rsidRPr="00DF40D8">
        <w:t>QoS Control field</w:t>
      </w:r>
      <w:bookmarkEnd w:id="183"/>
      <w:bookmarkEnd w:id="184"/>
      <w:bookmarkEnd w:id="185"/>
    </w:p>
    <w:p w:rsidR="008C36FC" w:rsidRPr="00D60DF2" w:rsidRDefault="00D60DF2" w:rsidP="0004091F">
      <w:pPr>
        <w:rPr>
          <w:i/>
          <w:iCs/>
        </w:rPr>
      </w:pPr>
      <w:r w:rsidRPr="00D60DF2">
        <w:rPr>
          <w:i/>
          <w:iCs/>
        </w:rPr>
        <w:t>.11 Editor note: add following</w:t>
      </w:r>
      <w:r w:rsidR="000F5DFB">
        <w:rPr>
          <w:i/>
          <w:iCs/>
        </w:rPr>
        <w:t xml:space="preserve"> text and table</w:t>
      </w:r>
      <w:r w:rsidRPr="00D60DF2">
        <w:rPr>
          <w:i/>
          <w:iCs/>
        </w:rPr>
        <w:t xml:space="preserve"> at end of the subclause</w:t>
      </w:r>
      <w:r w:rsidR="00BE1F31">
        <w:rPr>
          <w:i/>
          <w:iCs/>
        </w:rPr>
        <w:t xml:space="preserve"> </w:t>
      </w:r>
    </w:p>
    <w:p w:rsidR="008C36FC" w:rsidRPr="00DF40D8" w:rsidRDefault="008C36FC" w:rsidP="0004091F"/>
    <w:p w:rsidR="008C36FC" w:rsidRPr="00DF40D8" w:rsidRDefault="00721131" w:rsidP="00403567">
      <w:r w:rsidRPr="00DF40D8">
        <w:t xml:space="preserve">The format of the QoS Control field for MPDUs transmitted within a mmWave PPDU is provided in </w:t>
      </w:r>
      <w:fldSimple w:instr=" REF _Ref218327074 \h  \* MERGEFORMAT ">
        <w:r w:rsidR="003E4210" w:rsidRPr="00066F65">
          <w:t xml:space="preserve">Table </w:t>
        </w:r>
        <w:r w:rsidR="003E4210">
          <w:t>2</w:t>
        </w:r>
      </w:fldSimple>
      <w:r w:rsidRPr="00DF40D8">
        <w:t xml:space="preserve">. Subtypes not shown in the table either do not have a QoS Control field or are not permitted to be transmitted within a mmWave PPDU. </w:t>
      </w:r>
    </w:p>
    <w:p w:rsidR="008C36FC" w:rsidRPr="00DF40D8" w:rsidRDefault="008C36FC" w:rsidP="0004091F"/>
    <w:p w:rsidR="00D075F8" w:rsidRPr="00066F65" w:rsidRDefault="008C36FC" w:rsidP="00110C90">
      <w:pPr>
        <w:pStyle w:val="Caption"/>
        <w:keepNext/>
      </w:pPr>
      <w:bookmarkStart w:id="186" w:name="_Ref218327074"/>
      <w:bookmarkStart w:id="187" w:name="_Toc225065766"/>
      <w:bookmarkStart w:id="188" w:name="_Toc250654405"/>
      <w:bookmarkStart w:id="189" w:name="_Toc259717580"/>
      <w:r w:rsidRPr="00066F65">
        <w:t>Table</w:t>
      </w:r>
      <w:r w:rsidR="004B1780" w:rsidRPr="00066F65">
        <w:t xml:space="preserve"> </w:t>
      </w:r>
      <w:r w:rsidR="00BD151C">
        <w:fldChar w:fldCharType="begin"/>
      </w:r>
      <w:r w:rsidR="00801316">
        <w:instrText xml:space="preserve"> SEQ Table \* ARABIC </w:instrText>
      </w:r>
      <w:r w:rsidR="00BD151C">
        <w:fldChar w:fldCharType="separate"/>
      </w:r>
      <w:r w:rsidR="003E4210">
        <w:rPr>
          <w:noProof/>
        </w:rPr>
        <w:t>2</w:t>
      </w:r>
      <w:r w:rsidR="00BD151C">
        <w:fldChar w:fldCharType="end"/>
      </w:r>
      <w:bookmarkEnd w:id="186"/>
      <w:r w:rsidRPr="00066F65">
        <w:rPr>
          <w:noProof/>
        </w:rPr>
        <w:t xml:space="preserve"> </w:t>
      </w:r>
      <w:r w:rsidR="00721131" w:rsidRPr="00066F65">
        <w:rPr>
          <w:noProof/>
        </w:rPr>
        <w:t xml:space="preserve">– </w:t>
      </w:r>
      <w:r w:rsidRPr="00066F65">
        <w:rPr>
          <w:noProof/>
        </w:rPr>
        <w:t>QoS Control field for mmWave PHY frames</w:t>
      </w:r>
      <w:bookmarkEnd w:id="187"/>
      <w:bookmarkEnd w:id="188"/>
      <w:bookmarkEnd w:id="189"/>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8"/>
        <w:gridCol w:w="1080"/>
        <w:gridCol w:w="990"/>
        <w:gridCol w:w="1153"/>
        <w:gridCol w:w="1296"/>
        <w:gridCol w:w="1412"/>
        <w:gridCol w:w="1128"/>
        <w:gridCol w:w="1276"/>
      </w:tblGrid>
      <w:tr w:rsidR="00721131" w:rsidRPr="00066F65" w:rsidTr="00F61156">
        <w:trPr>
          <w:jc w:val="center"/>
        </w:trPr>
        <w:tc>
          <w:tcPr>
            <w:tcW w:w="1998" w:type="dxa"/>
          </w:tcPr>
          <w:p w:rsidR="00403567" w:rsidRPr="00110C90" w:rsidRDefault="00403567" w:rsidP="00D0037C">
            <w:pPr>
              <w:jc w:val="center"/>
              <w:rPr>
                <w:rFonts w:eastAsia="SimSun"/>
                <w:b/>
              </w:rPr>
            </w:pPr>
            <w:r w:rsidRPr="00110C90">
              <w:rPr>
                <w:rFonts w:eastAsia="SimSun"/>
                <w:b/>
              </w:rPr>
              <w:t>Applicable frame (sub-)types</w:t>
            </w:r>
          </w:p>
        </w:tc>
        <w:tc>
          <w:tcPr>
            <w:tcW w:w="1080" w:type="dxa"/>
          </w:tcPr>
          <w:p w:rsidR="00403567" w:rsidRPr="00110C90" w:rsidRDefault="00403567" w:rsidP="00D0037C">
            <w:pPr>
              <w:jc w:val="center"/>
              <w:rPr>
                <w:rFonts w:eastAsia="SimSun"/>
                <w:b/>
              </w:rPr>
            </w:pPr>
            <w:r w:rsidRPr="00110C90">
              <w:rPr>
                <w:rFonts w:eastAsia="SimSun"/>
                <w:b/>
              </w:rPr>
              <w:t>Bits 0-3</w:t>
            </w:r>
          </w:p>
        </w:tc>
        <w:tc>
          <w:tcPr>
            <w:tcW w:w="990" w:type="dxa"/>
          </w:tcPr>
          <w:p w:rsidR="00403567" w:rsidRPr="00110C90" w:rsidRDefault="00403567" w:rsidP="00D0037C">
            <w:pPr>
              <w:jc w:val="center"/>
              <w:rPr>
                <w:rFonts w:eastAsia="SimSun"/>
                <w:b/>
              </w:rPr>
            </w:pPr>
            <w:r w:rsidRPr="00110C90">
              <w:rPr>
                <w:rFonts w:eastAsia="SimSun"/>
                <w:b/>
              </w:rPr>
              <w:t>Bit 4</w:t>
            </w:r>
          </w:p>
        </w:tc>
        <w:tc>
          <w:tcPr>
            <w:tcW w:w="1153" w:type="dxa"/>
          </w:tcPr>
          <w:p w:rsidR="00403567" w:rsidRPr="00110C90" w:rsidRDefault="00403567" w:rsidP="00D0037C">
            <w:pPr>
              <w:jc w:val="center"/>
              <w:rPr>
                <w:rFonts w:eastAsia="SimSun"/>
                <w:b/>
              </w:rPr>
            </w:pPr>
            <w:r w:rsidRPr="00110C90">
              <w:rPr>
                <w:rFonts w:eastAsia="SimSun"/>
                <w:b/>
              </w:rPr>
              <w:t>Bit 5-6</w:t>
            </w:r>
          </w:p>
        </w:tc>
        <w:tc>
          <w:tcPr>
            <w:tcW w:w="1296" w:type="dxa"/>
          </w:tcPr>
          <w:p w:rsidR="00403567" w:rsidRPr="00110C90" w:rsidRDefault="00403567" w:rsidP="00D0037C">
            <w:pPr>
              <w:jc w:val="center"/>
              <w:rPr>
                <w:rFonts w:eastAsia="SimSun"/>
                <w:b/>
              </w:rPr>
            </w:pPr>
            <w:r w:rsidRPr="00110C90">
              <w:rPr>
                <w:rFonts w:eastAsia="SimSun"/>
                <w:b/>
              </w:rPr>
              <w:t>Bit 7</w:t>
            </w:r>
          </w:p>
        </w:tc>
        <w:tc>
          <w:tcPr>
            <w:tcW w:w="1412" w:type="dxa"/>
          </w:tcPr>
          <w:p w:rsidR="00403567" w:rsidRPr="00110C90" w:rsidRDefault="00403567" w:rsidP="00D0037C">
            <w:pPr>
              <w:jc w:val="center"/>
              <w:rPr>
                <w:rFonts w:eastAsia="SimSun"/>
                <w:b/>
              </w:rPr>
            </w:pPr>
            <w:r w:rsidRPr="00110C90">
              <w:rPr>
                <w:rFonts w:eastAsia="SimSun"/>
                <w:b/>
              </w:rPr>
              <w:t>B</w:t>
            </w:r>
            <w:r w:rsidR="00721131" w:rsidRPr="00110C90">
              <w:rPr>
                <w:rFonts w:eastAsia="SimSun"/>
                <w:b/>
              </w:rPr>
              <w:t xml:space="preserve">it </w:t>
            </w:r>
            <w:r w:rsidRPr="00110C90">
              <w:rPr>
                <w:rFonts w:eastAsia="SimSun"/>
                <w:b/>
              </w:rPr>
              <w:t>8</w:t>
            </w:r>
          </w:p>
        </w:tc>
        <w:tc>
          <w:tcPr>
            <w:tcW w:w="1128" w:type="dxa"/>
          </w:tcPr>
          <w:p w:rsidR="00403567" w:rsidRPr="00110C90" w:rsidRDefault="00403567" w:rsidP="00D0037C">
            <w:pPr>
              <w:jc w:val="center"/>
              <w:rPr>
                <w:rFonts w:eastAsia="SimSun"/>
                <w:b/>
              </w:rPr>
            </w:pPr>
            <w:r w:rsidRPr="00110C90">
              <w:rPr>
                <w:rFonts w:eastAsia="SimSun"/>
                <w:b/>
              </w:rPr>
              <w:t>Bits 9-14</w:t>
            </w:r>
          </w:p>
        </w:tc>
        <w:tc>
          <w:tcPr>
            <w:tcW w:w="1276" w:type="dxa"/>
          </w:tcPr>
          <w:p w:rsidR="00403567" w:rsidRPr="00110C90" w:rsidRDefault="00403567" w:rsidP="00D0037C">
            <w:pPr>
              <w:jc w:val="center"/>
              <w:rPr>
                <w:rFonts w:eastAsia="SimSun"/>
                <w:b/>
              </w:rPr>
            </w:pPr>
            <w:r w:rsidRPr="00110C90">
              <w:rPr>
                <w:rFonts w:eastAsia="SimSun"/>
                <w:b/>
              </w:rPr>
              <w:t>Bit 15</w:t>
            </w:r>
          </w:p>
        </w:tc>
      </w:tr>
      <w:tr w:rsidR="00721131" w:rsidRPr="00066F65" w:rsidTr="00F61156">
        <w:trPr>
          <w:jc w:val="center"/>
        </w:trPr>
        <w:tc>
          <w:tcPr>
            <w:tcW w:w="1998" w:type="dxa"/>
          </w:tcPr>
          <w:p w:rsidR="00403567" w:rsidRPr="00110C90" w:rsidRDefault="00403567" w:rsidP="00D0037C">
            <w:pPr>
              <w:jc w:val="both"/>
              <w:rPr>
                <w:rFonts w:eastAsia="SimSun"/>
              </w:rPr>
            </w:pPr>
            <w:r w:rsidRPr="00110C90">
              <w:rPr>
                <w:rFonts w:eastAsia="SimSun"/>
              </w:rPr>
              <w:t>QoS Data</w:t>
            </w:r>
          </w:p>
        </w:tc>
        <w:tc>
          <w:tcPr>
            <w:tcW w:w="1080" w:type="dxa"/>
          </w:tcPr>
          <w:p w:rsidR="00403567" w:rsidRPr="00110C90" w:rsidRDefault="00403567" w:rsidP="00D0037C">
            <w:pPr>
              <w:jc w:val="center"/>
              <w:rPr>
                <w:rFonts w:eastAsia="SimSun"/>
              </w:rPr>
            </w:pPr>
            <w:r w:rsidRPr="00110C90">
              <w:rPr>
                <w:rFonts w:eastAsia="SimSun"/>
              </w:rPr>
              <w:t>TID</w:t>
            </w:r>
          </w:p>
        </w:tc>
        <w:tc>
          <w:tcPr>
            <w:tcW w:w="990" w:type="dxa"/>
          </w:tcPr>
          <w:p w:rsidR="00403567" w:rsidRPr="00110C90" w:rsidRDefault="00403567" w:rsidP="00D0037C">
            <w:pPr>
              <w:jc w:val="center"/>
              <w:rPr>
                <w:rFonts w:eastAsia="SimSun"/>
              </w:rPr>
            </w:pPr>
            <w:r w:rsidRPr="00110C90">
              <w:rPr>
                <w:rFonts w:eastAsia="SimSun"/>
              </w:rPr>
              <w:t>EOSP</w:t>
            </w:r>
          </w:p>
        </w:tc>
        <w:tc>
          <w:tcPr>
            <w:tcW w:w="1153" w:type="dxa"/>
          </w:tcPr>
          <w:p w:rsidR="00403567" w:rsidRPr="00110C90" w:rsidRDefault="00403567" w:rsidP="00D0037C">
            <w:pPr>
              <w:jc w:val="center"/>
              <w:rPr>
                <w:rFonts w:eastAsia="SimSun"/>
              </w:rPr>
            </w:pPr>
            <w:r w:rsidRPr="00110C90">
              <w:rPr>
                <w:rFonts w:eastAsia="SimSun"/>
              </w:rPr>
              <w:t>Ack Policy</w:t>
            </w:r>
          </w:p>
        </w:tc>
        <w:tc>
          <w:tcPr>
            <w:tcW w:w="1296" w:type="dxa"/>
          </w:tcPr>
          <w:p w:rsidR="00403567" w:rsidRPr="00110C90" w:rsidRDefault="00403567" w:rsidP="00D0037C">
            <w:pPr>
              <w:jc w:val="center"/>
              <w:rPr>
                <w:rFonts w:eastAsia="SimSun"/>
              </w:rPr>
            </w:pPr>
            <w:r w:rsidRPr="00110C90">
              <w:rPr>
                <w:rFonts w:eastAsia="SimSun"/>
              </w:rPr>
              <w:t>A-MSDU</w:t>
            </w:r>
          </w:p>
          <w:p w:rsidR="00403567" w:rsidRPr="00110C90" w:rsidRDefault="00403567" w:rsidP="00D0037C">
            <w:pPr>
              <w:jc w:val="center"/>
              <w:rPr>
                <w:rFonts w:eastAsia="SimSun"/>
              </w:rPr>
            </w:pPr>
            <w:r w:rsidRPr="00110C90">
              <w:rPr>
                <w:rFonts w:eastAsia="SimSun"/>
              </w:rPr>
              <w:t>Present</w:t>
            </w:r>
          </w:p>
        </w:tc>
        <w:tc>
          <w:tcPr>
            <w:tcW w:w="1412" w:type="dxa"/>
          </w:tcPr>
          <w:p w:rsidR="00403567" w:rsidRPr="00110C90" w:rsidRDefault="00403567" w:rsidP="00D0037C">
            <w:pPr>
              <w:jc w:val="center"/>
              <w:rPr>
                <w:rFonts w:eastAsia="SimSun"/>
              </w:rPr>
            </w:pPr>
            <w:r w:rsidRPr="00110C90">
              <w:rPr>
                <w:rFonts w:eastAsia="SimSun"/>
              </w:rPr>
              <w:t xml:space="preserve">RDG/More PPDU </w:t>
            </w:r>
          </w:p>
          <w:p w:rsidR="00403567" w:rsidRPr="00110C90" w:rsidRDefault="00403567" w:rsidP="00D0037C">
            <w:pPr>
              <w:jc w:val="center"/>
              <w:rPr>
                <w:rFonts w:eastAsia="SimSun"/>
              </w:rPr>
            </w:pPr>
          </w:p>
        </w:tc>
        <w:tc>
          <w:tcPr>
            <w:tcW w:w="1128" w:type="dxa"/>
          </w:tcPr>
          <w:p w:rsidR="00403567" w:rsidRPr="00110C90" w:rsidRDefault="00403567" w:rsidP="00D0037C">
            <w:pPr>
              <w:jc w:val="center"/>
              <w:rPr>
                <w:rFonts w:eastAsia="SimSun"/>
              </w:rPr>
            </w:pPr>
            <w:r w:rsidRPr="00110C90">
              <w:rPr>
                <w:rFonts w:eastAsia="SimSun"/>
              </w:rPr>
              <w:t>Reserved</w:t>
            </w:r>
          </w:p>
        </w:tc>
        <w:tc>
          <w:tcPr>
            <w:tcW w:w="1276" w:type="dxa"/>
          </w:tcPr>
          <w:p w:rsidR="00403567" w:rsidRPr="00110C90" w:rsidRDefault="00403567" w:rsidP="00D0037C">
            <w:pPr>
              <w:jc w:val="center"/>
              <w:rPr>
                <w:rFonts w:eastAsia="SimSun"/>
              </w:rPr>
            </w:pPr>
            <w:r w:rsidRPr="00110C90">
              <w:rPr>
                <w:rFonts w:eastAsia="SimSun"/>
              </w:rPr>
              <w:t xml:space="preserve">AC Constraint </w:t>
            </w:r>
          </w:p>
          <w:p w:rsidR="00403567" w:rsidRPr="00110C90" w:rsidRDefault="00403567" w:rsidP="00D0037C">
            <w:pPr>
              <w:jc w:val="center"/>
              <w:rPr>
                <w:rFonts w:eastAsia="SimSun"/>
              </w:rPr>
            </w:pPr>
          </w:p>
        </w:tc>
      </w:tr>
      <w:tr w:rsidR="00721131" w:rsidRPr="00066F65" w:rsidTr="00F61156">
        <w:trPr>
          <w:jc w:val="center"/>
        </w:trPr>
        <w:tc>
          <w:tcPr>
            <w:tcW w:w="1998" w:type="dxa"/>
          </w:tcPr>
          <w:p w:rsidR="00403567" w:rsidRPr="00110C90" w:rsidRDefault="00403567" w:rsidP="00D0037C">
            <w:pPr>
              <w:jc w:val="both"/>
              <w:rPr>
                <w:rFonts w:eastAsia="SimSun"/>
              </w:rPr>
            </w:pPr>
            <w:r w:rsidRPr="00110C90">
              <w:rPr>
                <w:rFonts w:eastAsia="SimSun"/>
              </w:rPr>
              <w:t>Qos Null</w:t>
            </w:r>
          </w:p>
        </w:tc>
        <w:tc>
          <w:tcPr>
            <w:tcW w:w="1080" w:type="dxa"/>
          </w:tcPr>
          <w:p w:rsidR="00403567" w:rsidRPr="00110C90" w:rsidRDefault="00403567" w:rsidP="00D0037C">
            <w:pPr>
              <w:jc w:val="center"/>
              <w:rPr>
                <w:rFonts w:eastAsia="SimSun"/>
              </w:rPr>
            </w:pPr>
            <w:r w:rsidRPr="00110C90">
              <w:rPr>
                <w:rFonts w:eastAsia="SimSun"/>
              </w:rPr>
              <w:t>TID</w:t>
            </w:r>
          </w:p>
        </w:tc>
        <w:tc>
          <w:tcPr>
            <w:tcW w:w="990" w:type="dxa"/>
          </w:tcPr>
          <w:p w:rsidR="00403567" w:rsidRPr="00110C90" w:rsidRDefault="00403567" w:rsidP="00D0037C">
            <w:pPr>
              <w:jc w:val="center"/>
              <w:rPr>
                <w:rFonts w:eastAsia="SimSun"/>
              </w:rPr>
            </w:pPr>
            <w:r w:rsidRPr="00110C90">
              <w:rPr>
                <w:rFonts w:eastAsia="SimSun"/>
              </w:rPr>
              <w:t>EOSP</w:t>
            </w:r>
          </w:p>
        </w:tc>
        <w:tc>
          <w:tcPr>
            <w:tcW w:w="1153" w:type="dxa"/>
          </w:tcPr>
          <w:p w:rsidR="00403567" w:rsidRPr="00110C90" w:rsidRDefault="00403567" w:rsidP="00D0037C">
            <w:pPr>
              <w:jc w:val="center"/>
              <w:rPr>
                <w:rFonts w:eastAsia="SimSun"/>
              </w:rPr>
            </w:pPr>
            <w:r w:rsidRPr="00110C90">
              <w:rPr>
                <w:rFonts w:eastAsia="SimSun"/>
              </w:rPr>
              <w:t>Ack Policy</w:t>
            </w:r>
          </w:p>
        </w:tc>
        <w:tc>
          <w:tcPr>
            <w:tcW w:w="1296" w:type="dxa"/>
          </w:tcPr>
          <w:p w:rsidR="00403567" w:rsidRPr="00110C90" w:rsidRDefault="00403567" w:rsidP="00D0037C">
            <w:pPr>
              <w:jc w:val="center"/>
              <w:rPr>
                <w:rFonts w:eastAsia="SimSun"/>
              </w:rPr>
            </w:pPr>
            <w:r w:rsidRPr="00110C90">
              <w:rPr>
                <w:rFonts w:eastAsia="SimSun"/>
              </w:rPr>
              <w:t>Reserved</w:t>
            </w:r>
          </w:p>
        </w:tc>
        <w:tc>
          <w:tcPr>
            <w:tcW w:w="1412" w:type="dxa"/>
          </w:tcPr>
          <w:p w:rsidR="00403567" w:rsidRPr="00110C90" w:rsidRDefault="00403567" w:rsidP="00D0037C">
            <w:pPr>
              <w:jc w:val="center"/>
              <w:rPr>
                <w:rFonts w:eastAsia="SimSun"/>
              </w:rPr>
            </w:pPr>
            <w:r w:rsidRPr="00110C90">
              <w:rPr>
                <w:rFonts w:eastAsia="SimSun"/>
              </w:rPr>
              <w:t xml:space="preserve">RDG/More PPDU </w:t>
            </w:r>
          </w:p>
          <w:p w:rsidR="00403567" w:rsidRPr="00110C90" w:rsidRDefault="00403567" w:rsidP="00D0037C">
            <w:pPr>
              <w:keepNext/>
              <w:jc w:val="center"/>
              <w:rPr>
                <w:rFonts w:eastAsia="SimSun"/>
              </w:rPr>
            </w:pPr>
          </w:p>
        </w:tc>
        <w:tc>
          <w:tcPr>
            <w:tcW w:w="1128" w:type="dxa"/>
          </w:tcPr>
          <w:p w:rsidR="00403567" w:rsidRPr="00110C90" w:rsidRDefault="00403567" w:rsidP="00D0037C">
            <w:pPr>
              <w:keepNext/>
              <w:jc w:val="center"/>
              <w:rPr>
                <w:rFonts w:eastAsia="SimSun"/>
              </w:rPr>
            </w:pPr>
            <w:r w:rsidRPr="00110C90">
              <w:rPr>
                <w:rFonts w:eastAsia="SimSun"/>
              </w:rPr>
              <w:t>Reserved</w:t>
            </w:r>
          </w:p>
        </w:tc>
        <w:tc>
          <w:tcPr>
            <w:tcW w:w="1276" w:type="dxa"/>
          </w:tcPr>
          <w:p w:rsidR="00403567" w:rsidRPr="00110C90" w:rsidRDefault="00403567" w:rsidP="00D0037C">
            <w:pPr>
              <w:jc w:val="center"/>
              <w:rPr>
                <w:rFonts w:eastAsia="SimSun"/>
              </w:rPr>
            </w:pPr>
            <w:r w:rsidRPr="00110C90">
              <w:rPr>
                <w:rFonts w:eastAsia="SimSun"/>
              </w:rPr>
              <w:t xml:space="preserve">AC Constraint </w:t>
            </w:r>
          </w:p>
          <w:p w:rsidR="00403567" w:rsidRPr="00110C90" w:rsidRDefault="00403567" w:rsidP="00D0037C">
            <w:pPr>
              <w:keepNext/>
              <w:jc w:val="center"/>
              <w:rPr>
                <w:rFonts w:eastAsia="SimSun"/>
              </w:rPr>
            </w:pPr>
          </w:p>
        </w:tc>
      </w:tr>
    </w:tbl>
    <w:p w:rsidR="008C36FC" w:rsidRPr="00110C90" w:rsidRDefault="008C36FC" w:rsidP="003701DB">
      <w:pPr>
        <w:pStyle w:val="Heading5"/>
        <w:numPr>
          <w:ilvl w:val="4"/>
          <w:numId w:val="196"/>
        </w:numPr>
        <w:ind w:left="1080"/>
      </w:pPr>
      <w:bookmarkStart w:id="190" w:name="_Toc235400202"/>
      <w:bookmarkStart w:id="191" w:name="_Toc259716864"/>
      <w:r w:rsidRPr="00110C90">
        <w:t>TID subfield</w:t>
      </w:r>
      <w:bookmarkEnd w:id="190"/>
      <w:bookmarkEnd w:id="191"/>
    </w:p>
    <w:p w:rsidR="009279B2" w:rsidRPr="009279B2" w:rsidRDefault="009279B2" w:rsidP="009279B2">
      <w:pPr>
        <w:rPr>
          <w:i/>
          <w:iCs/>
        </w:rPr>
      </w:pPr>
      <w:r w:rsidRPr="009279B2">
        <w:rPr>
          <w:i/>
          <w:iCs/>
        </w:rPr>
        <w:t xml:space="preserve">.11 Editor note: add following </w:t>
      </w:r>
      <w:r w:rsidR="005B7B37">
        <w:rPr>
          <w:i/>
          <w:iCs/>
        </w:rPr>
        <w:t>at end of</w:t>
      </w:r>
      <w:r w:rsidRPr="009279B2">
        <w:rPr>
          <w:i/>
          <w:iCs/>
        </w:rPr>
        <w:t xml:space="preserve"> the subclause</w:t>
      </w:r>
      <w:r w:rsidR="00BE1F31">
        <w:t xml:space="preserve"> </w:t>
      </w:r>
    </w:p>
    <w:p w:rsidR="00F15634" w:rsidRPr="00110C90" w:rsidRDefault="00F15634" w:rsidP="00B456F8"/>
    <w:p w:rsidR="008C36FC" w:rsidRPr="007B7320" w:rsidRDefault="00E12DA2" w:rsidP="00B456F8">
      <w:pPr>
        <w:rPr>
          <w:u w:val="single"/>
        </w:rPr>
      </w:pPr>
      <w:r w:rsidRPr="007B7320">
        <w:rPr>
          <w:u w:val="single"/>
        </w:rPr>
        <w:t>When a STA operates in the UB, t</w:t>
      </w:r>
      <w:r w:rsidR="008C36FC" w:rsidRPr="007B7320">
        <w:rPr>
          <w:u w:val="single"/>
        </w:rPr>
        <w:t>he TID subfield carries a value in the rang</w:t>
      </w:r>
      <w:r w:rsidR="00A36FBF" w:rsidRPr="007B7320">
        <w:rPr>
          <w:u w:val="single"/>
        </w:rPr>
        <w:t>e 0-7 for a TC and in the range</w:t>
      </w:r>
      <w:r w:rsidR="00B202E2" w:rsidRPr="007B7320">
        <w:rPr>
          <w:u w:val="single"/>
        </w:rPr>
        <w:t xml:space="preserve"> </w:t>
      </w:r>
      <w:r w:rsidR="00B456F8" w:rsidRPr="007B7320">
        <w:rPr>
          <w:u w:val="single"/>
        </w:rPr>
        <w:t>0</w:t>
      </w:r>
      <w:r w:rsidR="008C36FC" w:rsidRPr="007B7320">
        <w:rPr>
          <w:u w:val="single"/>
        </w:rPr>
        <w:t>-15 for a TS.</w:t>
      </w:r>
    </w:p>
    <w:p w:rsidR="00F15634" w:rsidRPr="00110C90" w:rsidRDefault="00F15634" w:rsidP="00B456F8"/>
    <w:p w:rsidR="00F15634" w:rsidRPr="00110C90" w:rsidRDefault="00F15634" w:rsidP="003701DB">
      <w:pPr>
        <w:pStyle w:val="Heading5"/>
        <w:numPr>
          <w:ilvl w:val="4"/>
          <w:numId w:val="196"/>
        </w:numPr>
        <w:ind w:left="1080"/>
      </w:pPr>
      <w:bookmarkStart w:id="192" w:name="_Toc259716865"/>
      <w:r w:rsidRPr="00110C90">
        <w:t>EOSP subfield</w:t>
      </w:r>
      <w:bookmarkEnd w:id="192"/>
      <w:r w:rsidR="00E12DA2" w:rsidRPr="00110C90">
        <w:t xml:space="preserve"> </w:t>
      </w:r>
    </w:p>
    <w:p w:rsidR="00E12DA2" w:rsidRPr="00110C90" w:rsidRDefault="00E12DA2" w:rsidP="00B456F8">
      <w:pPr>
        <w:rPr>
          <w:i/>
        </w:rPr>
      </w:pPr>
      <w:r w:rsidRPr="00110C90">
        <w:rPr>
          <w:i/>
        </w:rPr>
        <w:t>.11 Editor Note: replace all occurrences of “</w:t>
      </w:r>
      <w:r w:rsidRPr="00110C90">
        <w:t>HC</w:t>
      </w:r>
      <w:r w:rsidRPr="00110C90">
        <w:rPr>
          <w:i/>
        </w:rPr>
        <w:t>” by “</w:t>
      </w:r>
      <w:r w:rsidRPr="00110C90">
        <w:t>HC/</w:t>
      </w:r>
      <w:r w:rsidR="00B96FB9" w:rsidRPr="00110C90">
        <w:t>mSTA</w:t>
      </w:r>
      <w:r w:rsidRPr="00110C90">
        <w:rPr>
          <w:i/>
        </w:rPr>
        <w:t>”</w:t>
      </w:r>
      <w:r w:rsidR="00080054">
        <w:t xml:space="preserve"> </w:t>
      </w:r>
    </w:p>
    <w:p w:rsidR="008C36FC" w:rsidRPr="00110C90" w:rsidRDefault="008C36FC" w:rsidP="003701DB">
      <w:pPr>
        <w:pStyle w:val="Heading5"/>
        <w:numPr>
          <w:ilvl w:val="4"/>
          <w:numId w:val="41"/>
        </w:numPr>
      </w:pPr>
      <w:bookmarkStart w:id="193" w:name="_Toc235400204"/>
      <w:bookmarkStart w:id="194" w:name="_Toc259716866"/>
      <w:r w:rsidRPr="00110C90">
        <w:t>A-MSDU Present subfield</w:t>
      </w:r>
      <w:bookmarkEnd w:id="193"/>
      <w:bookmarkEnd w:id="194"/>
    </w:p>
    <w:p w:rsidR="007477C4" w:rsidRPr="007477C4" w:rsidRDefault="007477C4" w:rsidP="00775FCD">
      <w:pPr>
        <w:rPr>
          <w:i/>
          <w:iCs/>
        </w:rPr>
      </w:pPr>
      <w:r w:rsidRPr="007477C4">
        <w:rPr>
          <w:i/>
          <w:iCs/>
        </w:rPr>
        <w:t xml:space="preserve">.11 Editor note: add </w:t>
      </w:r>
      <w:r w:rsidR="00775FCD">
        <w:rPr>
          <w:i/>
          <w:iCs/>
        </w:rPr>
        <w:t>at end of the</w:t>
      </w:r>
      <w:r w:rsidRPr="007477C4">
        <w:rPr>
          <w:i/>
          <w:iCs/>
        </w:rPr>
        <w:t xml:space="preserve"> subclause</w:t>
      </w:r>
      <w:r w:rsidR="00BE1F31">
        <w:rPr>
          <w:i/>
          <w:iCs/>
        </w:rPr>
        <w:t xml:space="preserve"> </w:t>
      </w:r>
    </w:p>
    <w:p w:rsidR="008C36FC" w:rsidRPr="00110C90" w:rsidRDefault="008C36FC" w:rsidP="0004091F"/>
    <w:p w:rsidR="008C36FC" w:rsidRPr="007B7320" w:rsidRDefault="00FA42D0" w:rsidP="000A1876">
      <w:pPr>
        <w:rPr>
          <w:sz w:val="20"/>
          <w:u w:val="single"/>
        </w:rPr>
      </w:pPr>
      <w:r w:rsidRPr="007B7320">
        <w:rPr>
          <w:sz w:val="20"/>
          <w:u w:val="single"/>
        </w:rPr>
        <w:t>NOTE – W</w:t>
      </w:r>
      <w:r w:rsidR="008C36FC" w:rsidRPr="007B7320">
        <w:rPr>
          <w:sz w:val="20"/>
          <w:u w:val="single"/>
        </w:rPr>
        <w:t xml:space="preserve">hen the A-MSDU Present subfield is set to 1, one of two A-MSDU formats may be present in the Frame Body. The specific A-MSDU format present is negotiated prior to its first use </w:t>
      </w:r>
      <w:r w:rsidR="000A1876" w:rsidRPr="007B7320">
        <w:rPr>
          <w:sz w:val="20"/>
          <w:u w:val="single"/>
        </w:rPr>
        <w:t xml:space="preserve">for </w:t>
      </w:r>
      <w:r w:rsidR="008C36FC" w:rsidRPr="007B7320">
        <w:rPr>
          <w:sz w:val="20"/>
          <w:u w:val="single"/>
        </w:rPr>
        <w:t>each {RA, TID} combination.</w:t>
      </w:r>
    </w:p>
    <w:p w:rsidR="008C36FC" w:rsidRDefault="008C36FC" w:rsidP="0004091F">
      <w:pPr>
        <w:rPr>
          <w:u w:val="single"/>
        </w:rPr>
      </w:pPr>
    </w:p>
    <w:p w:rsidR="00FC528A" w:rsidRPr="00FC528A" w:rsidRDefault="00FC528A" w:rsidP="003701DB">
      <w:pPr>
        <w:pStyle w:val="ListParagraph"/>
        <w:numPr>
          <w:ilvl w:val="2"/>
          <w:numId w:val="196"/>
        </w:numPr>
        <w:autoSpaceDE w:val="0"/>
        <w:autoSpaceDN w:val="0"/>
        <w:adjustRightInd w:val="0"/>
        <w:ind w:left="720"/>
        <w:rPr>
          <w:rFonts w:ascii="Arial-BoldMT" w:hAnsi="Arial-BoldMT" w:cs="Arial-BoldMT"/>
          <w:b/>
          <w:bCs/>
        </w:rPr>
      </w:pPr>
      <w:r w:rsidRPr="00FC528A">
        <w:rPr>
          <w:rFonts w:ascii="Arial-BoldMT" w:hAnsi="Arial-BoldMT" w:cs="Arial-BoldMT"/>
          <w:b/>
          <w:bCs/>
        </w:rPr>
        <w:t>Duration/ID field (QoS STA)</w:t>
      </w:r>
    </w:p>
    <w:p w:rsidR="00FC528A" w:rsidRDefault="00FC528A" w:rsidP="00FC528A">
      <w:pPr>
        <w:autoSpaceDE w:val="0"/>
        <w:autoSpaceDN w:val="0"/>
        <w:adjustRightInd w:val="0"/>
        <w:rPr>
          <w:rFonts w:ascii="TimesNewRomanPSMT" w:hAnsi="TimesNewRomanPSMT" w:cs="TimesNewRomanPSMT"/>
        </w:rPr>
      </w:pPr>
    </w:p>
    <w:p w:rsidR="00FC528A" w:rsidRPr="00FC528A" w:rsidRDefault="00FC528A" w:rsidP="00FC528A">
      <w:pPr>
        <w:autoSpaceDE w:val="0"/>
        <w:autoSpaceDN w:val="0"/>
        <w:adjustRightInd w:val="0"/>
        <w:rPr>
          <w:rFonts w:ascii="Arial-BoldMT" w:hAnsi="Arial-BoldMT" w:cs="Arial-BoldMT"/>
          <w:b/>
          <w:bCs/>
        </w:rPr>
      </w:pPr>
      <w:r>
        <w:rPr>
          <w:i/>
          <w:iCs/>
        </w:rPr>
        <w:t>.11 Editor’s instructions: replace “</w:t>
      </w:r>
      <w:r>
        <w:rPr>
          <w:rFonts w:ascii="TimesNewRomanPSMT" w:hAnsi="TimesNewRomanPSMT" w:cs="TimesNewRomanPSMT"/>
        </w:rPr>
        <w:t xml:space="preserve">TXOP” </w:t>
      </w:r>
      <w:r>
        <w:rPr>
          <w:i/>
          <w:iCs/>
        </w:rPr>
        <w:t>with “</w:t>
      </w:r>
      <w:r>
        <w:rPr>
          <w:rFonts w:ascii="TimesNewRomanPSMT" w:hAnsi="TimesNewRomanPSMT" w:cs="TimesNewRomanPSMT"/>
        </w:rPr>
        <w:t xml:space="preserve">TXOP and SP” </w:t>
      </w:r>
      <w:r>
        <w:rPr>
          <w:i/>
          <w:iCs/>
        </w:rPr>
        <w:t>in subclause 7.1.4</w:t>
      </w:r>
    </w:p>
    <w:p w:rsidR="008C36FC" w:rsidRPr="00110C90" w:rsidRDefault="008C36FC" w:rsidP="003701DB">
      <w:pPr>
        <w:pStyle w:val="Heading2"/>
        <w:numPr>
          <w:ilvl w:val="1"/>
          <w:numId w:val="51"/>
        </w:numPr>
        <w:rPr>
          <w:u w:val="none"/>
        </w:rPr>
      </w:pPr>
      <w:bookmarkStart w:id="195" w:name="_Toc243455411"/>
      <w:bookmarkStart w:id="196" w:name="_Toc243461278"/>
      <w:bookmarkStart w:id="197" w:name="_Toc243471409"/>
      <w:bookmarkStart w:id="198" w:name="_Toc243794713"/>
      <w:bookmarkStart w:id="199" w:name="_Toc235400209"/>
      <w:bookmarkStart w:id="200" w:name="_Toc259716867"/>
      <w:bookmarkEnd w:id="195"/>
      <w:bookmarkEnd w:id="196"/>
      <w:bookmarkEnd w:id="197"/>
      <w:bookmarkEnd w:id="198"/>
      <w:r w:rsidRPr="00110C90">
        <w:rPr>
          <w:u w:val="none"/>
        </w:rPr>
        <w:t>Format of individual frame types</w:t>
      </w:r>
      <w:bookmarkEnd w:id="199"/>
      <w:bookmarkEnd w:id="200"/>
    </w:p>
    <w:p w:rsidR="008C36FC" w:rsidRPr="00110C90" w:rsidRDefault="008C36FC" w:rsidP="0004091F"/>
    <w:p w:rsidR="008C36FC" w:rsidRPr="00110C90" w:rsidRDefault="008C36FC" w:rsidP="003701DB">
      <w:pPr>
        <w:pStyle w:val="Heading3"/>
        <w:numPr>
          <w:ilvl w:val="2"/>
          <w:numId w:val="51"/>
        </w:numPr>
      </w:pPr>
      <w:bookmarkStart w:id="201" w:name="_Toc235400210"/>
      <w:bookmarkStart w:id="202" w:name="_Toc259716868"/>
      <w:r w:rsidRPr="00110C90">
        <w:t>Control frames</w:t>
      </w:r>
      <w:bookmarkEnd w:id="201"/>
      <w:bookmarkEnd w:id="202"/>
    </w:p>
    <w:p w:rsidR="00535E5B" w:rsidRPr="00D14B25" w:rsidRDefault="008C36FC" w:rsidP="003701DB">
      <w:pPr>
        <w:pStyle w:val="Heading4"/>
        <w:numPr>
          <w:ilvl w:val="3"/>
          <w:numId w:val="52"/>
        </w:numPr>
      </w:pPr>
      <w:bookmarkStart w:id="203" w:name="_Toc235400211"/>
      <w:bookmarkStart w:id="204" w:name="_Toc259716869"/>
      <w:r w:rsidRPr="00110C90">
        <w:t>RTS frame format</w:t>
      </w:r>
      <w:bookmarkEnd w:id="203"/>
      <w:bookmarkEnd w:id="204"/>
    </w:p>
    <w:p w:rsidR="00302E81" w:rsidRPr="00110C90" w:rsidRDefault="00D14B25" w:rsidP="0004091F">
      <w:r>
        <w:rPr>
          <w:i/>
        </w:rPr>
        <w:t xml:space="preserve">.11 </w:t>
      </w:r>
      <w:r w:rsidRPr="00380030">
        <w:rPr>
          <w:i/>
        </w:rPr>
        <w:t xml:space="preserve">Editor Note: </w:t>
      </w:r>
      <w:r>
        <w:rPr>
          <w:i/>
        </w:rPr>
        <w:t>Throughout this subclause, replace all occurrences of “</w:t>
      </w:r>
      <w:r w:rsidRPr="00DD6162">
        <w:t>CTS</w:t>
      </w:r>
      <w:r>
        <w:rPr>
          <w:i/>
        </w:rPr>
        <w:t>” by “</w:t>
      </w:r>
      <w:r w:rsidRPr="00DD6162">
        <w:t xml:space="preserve">CTS </w:t>
      </w:r>
      <w:r>
        <w:t>or</w:t>
      </w:r>
      <w:r w:rsidRPr="00DD6162">
        <w:t xml:space="preserve"> mmWaveCTS</w:t>
      </w:r>
      <w:r>
        <w:t xml:space="preserve"> (depending on the frequency band of operation)</w:t>
      </w:r>
      <w:r>
        <w:rPr>
          <w:i/>
        </w:rPr>
        <w:t>”</w:t>
      </w:r>
    </w:p>
    <w:p w:rsidR="008C36FC" w:rsidRPr="00110C90" w:rsidRDefault="008C36FC" w:rsidP="003701DB">
      <w:pPr>
        <w:pStyle w:val="Heading4"/>
        <w:numPr>
          <w:ilvl w:val="3"/>
          <w:numId w:val="53"/>
        </w:numPr>
      </w:pPr>
      <w:bookmarkStart w:id="205" w:name="_Toc235400212"/>
      <w:bookmarkStart w:id="206" w:name="_Toc259716870"/>
      <w:r w:rsidRPr="00110C90">
        <w:t>CTS frame format</w:t>
      </w:r>
      <w:bookmarkEnd w:id="205"/>
      <w:bookmarkEnd w:id="206"/>
    </w:p>
    <w:p w:rsidR="00302E81" w:rsidRPr="00110C90" w:rsidRDefault="00302E81" w:rsidP="0073208A">
      <w:pPr>
        <w:rPr>
          <w:i/>
        </w:rPr>
      </w:pPr>
      <w:r w:rsidRPr="00110C90">
        <w:rPr>
          <w:i/>
        </w:rPr>
        <w:t>.11 Editor Note: insert the following as the last paragraph in this subclause: “</w:t>
      </w:r>
      <w:r w:rsidRPr="00110C90">
        <w:t>STAs operating in the UB do not transmit CTS frames.</w:t>
      </w:r>
      <w:r w:rsidRPr="00110C90">
        <w:rPr>
          <w:i/>
        </w:rPr>
        <w:t>”</w:t>
      </w:r>
      <w:r w:rsidR="00D11F2E">
        <w:rPr>
          <w:i/>
        </w:rPr>
        <w:t xml:space="preserve"> </w:t>
      </w:r>
    </w:p>
    <w:p w:rsidR="0073208A" w:rsidRPr="00110C90" w:rsidRDefault="00C35C36" w:rsidP="0073208A">
      <w:pPr>
        <w:rPr>
          <w:i/>
        </w:rPr>
      </w:pPr>
      <w:r w:rsidRPr="00110C90">
        <w:rPr>
          <w:i/>
        </w:rPr>
        <w:t xml:space="preserve"> </w:t>
      </w:r>
    </w:p>
    <w:p w:rsidR="008C36FC" w:rsidRPr="00110C90" w:rsidRDefault="008C36FC" w:rsidP="003701DB">
      <w:pPr>
        <w:pStyle w:val="Heading4"/>
        <w:numPr>
          <w:ilvl w:val="3"/>
          <w:numId w:val="197"/>
        </w:numPr>
      </w:pPr>
      <w:bookmarkStart w:id="207" w:name="_Toc243455419"/>
      <w:bookmarkStart w:id="208" w:name="_Toc243461286"/>
      <w:bookmarkStart w:id="209" w:name="_Toc243471417"/>
      <w:bookmarkStart w:id="210" w:name="_Toc243794721"/>
      <w:bookmarkStart w:id="211" w:name="_Toc235400214"/>
      <w:bookmarkStart w:id="212" w:name="_Toc259716871"/>
      <w:bookmarkEnd w:id="207"/>
      <w:bookmarkEnd w:id="208"/>
      <w:bookmarkEnd w:id="209"/>
      <w:bookmarkEnd w:id="210"/>
      <w:r w:rsidRPr="00110C90">
        <w:lastRenderedPageBreak/>
        <w:t>PS-Poll frame format</w:t>
      </w:r>
      <w:bookmarkEnd w:id="211"/>
      <w:bookmarkEnd w:id="212"/>
    </w:p>
    <w:p w:rsidR="008C36FC" w:rsidRPr="00110C90" w:rsidRDefault="00177AD5" w:rsidP="0004091F">
      <w:pPr>
        <w:rPr>
          <w:i/>
        </w:rPr>
      </w:pPr>
      <w:r w:rsidRPr="00110C90">
        <w:rPr>
          <w:i/>
        </w:rPr>
        <w:t xml:space="preserve">.11 Editor Note: </w:t>
      </w:r>
      <w:r w:rsidR="0028634C" w:rsidRPr="00110C90">
        <w:rPr>
          <w:i/>
        </w:rPr>
        <w:t>insert the following as the last paragraph in this subclause: “</w:t>
      </w:r>
      <w:r w:rsidR="0028634C" w:rsidRPr="00110C90">
        <w:t>STAs operating in the UB do not transmit PS-Poll frames.</w:t>
      </w:r>
      <w:r w:rsidR="0028634C" w:rsidRPr="00110C90">
        <w:rPr>
          <w:i/>
        </w:rPr>
        <w:t>”</w:t>
      </w:r>
    </w:p>
    <w:p w:rsidR="008C36FC" w:rsidRPr="00110C90" w:rsidRDefault="008C36FC" w:rsidP="0004091F"/>
    <w:p w:rsidR="008C36FC" w:rsidRPr="00110C90" w:rsidRDefault="008C36FC" w:rsidP="003701DB">
      <w:pPr>
        <w:pStyle w:val="Heading4"/>
        <w:numPr>
          <w:ilvl w:val="3"/>
          <w:numId w:val="197"/>
        </w:numPr>
      </w:pPr>
      <w:bookmarkStart w:id="213" w:name="_Toc235400215"/>
      <w:bookmarkStart w:id="214" w:name="_Toc259716872"/>
      <w:r w:rsidRPr="00110C90">
        <w:t>CF-End frame format</w:t>
      </w:r>
      <w:bookmarkEnd w:id="213"/>
      <w:bookmarkEnd w:id="214"/>
    </w:p>
    <w:p w:rsidR="007C6559" w:rsidRPr="00110C90" w:rsidRDefault="0028634C" w:rsidP="007C6559">
      <w:pPr>
        <w:rPr>
          <w:i/>
        </w:rPr>
      </w:pPr>
      <w:r w:rsidRPr="00110C90">
        <w:rPr>
          <w:i/>
        </w:rPr>
        <w:t>.11 Editor Note: insert the following as the last paragraph in this subclause: “</w:t>
      </w:r>
      <w:r w:rsidRPr="00110C90">
        <w:t>STAs operating in the UB do not transmit CF-End frames.</w:t>
      </w:r>
      <w:r w:rsidRPr="00110C90">
        <w:rPr>
          <w:i/>
        </w:rPr>
        <w:t>”</w:t>
      </w:r>
    </w:p>
    <w:p w:rsidR="008C36FC" w:rsidRPr="00110C90" w:rsidRDefault="008C36FC" w:rsidP="0004091F">
      <w:pPr>
        <w:rPr>
          <w:sz w:val="22"/>
        </w:rPr>
      </w:pPr>
    </w:p>
    <w:p w:rsidR="008C36FC" w:rsidRPr="00110C90" w:rsidRDefault="008C36FC" w:rsidP="003701DB">
      <w:pPr>
        <w:pStyle w:val="Heading4"/>
        <w:numPr>
          <w:ilvl w:val="3"/>
          <w:numId w:val="197"/>
        </w:numPr>
      </w:pPr>
      <w:bookmarkStart w:id="215" w:name="_Toc235400216"/>
      <w:bookmarkStart w:id="216" w:name="_Toc259716873"/>
      <w:r w:rsidRPr="00110C90">
        <w:t>CF-End+CF-Ack frame format</w:t>
      </w:r>
      <w:bookmarkEnd w:id="215"/>
      <w:bookmarkEnd w:id="216"/>
    </w:p>
    <w:p w:rsidR="0028634C" w:rsidRPr="00110C90" w:rsidRDefault="0028634C" w:rsidP="0004091F">
      <w:pPr>
        <w:rPr>
          <w:i/>
        </w:rPr>
      </w:pPr>
      <w:r w:rsidRPr="00110C90">
        <w:rPr>
          <w:i/>
        </w:rPr>
        <w:t>.11 Editor Note: insert the following as the last paragraph in this subclause: “</w:t>
      </w:r>
      <w:r w:rsidRPr="00110C90">
        <w:t>STAs operating in the UB do not transmit CF-End+CF-Ack frames.</w:t>
      </w:r>
      <w:r w:rsidRPr="00110C90">
        <w:rPr>
          <w:i/>
        </w:rPr>
        <w:t>”</w:t>
      </w:r>
    </w:p>
    <w:p w:rsidR="008C36FC" w:rsidRPr="00110C90" w:rsidRDefault="008C36FC" w:rsidP="0004091F">
      <w:pPr>
        <w:rPr>
          <w:sz w:val="22"/>
        </w:rPr>
      </w:pPr>
    </w:p>
    <w:p w:rsidR="008C36FC" w:rsidRPr="00110C90" w:rsidRDefault="008C36FC" w:rsidP="003701DB">
      <w:pPr>
        <w:pStyle w:val="Heading4"/>
        <w:numPr>
          <w:ilvl w:val="3"/>
          <w:numId w:val="197"/>
        </w:numPr>
      </w:pPr>
      <w:bookmarkStart w:id="217" w:name="_Toc235400217"/>
      <w:bookmarkStart w:id="218" w:name="_Ref259713266"/>
      <w:bookmarkStart w:id="219" w:name="_Ref259713271"/>
      <w:bookmarkStart w:id="220" w:name="_Toc259716874"/>
      <w:r w:rsidRPr="00110C90">
        <w:t>Block Ack R</w:t>
      </w:r>
      <w:r w:rsidR="002C662E">
        <w:t>equest (BlockAckReq</w:t>
      </w:r>
      <w:r w:rsidRPr="00110C90">
        <w:t>) frame format</w:t>
      </w:r>
      <w:bookmarkEnd w:id="217"/>
      <w:bookmarkEnd w:id="218"/>
      <w:bookmarkEnd w:id="219"/>
      <w:bookmarkEnd w:id="220"/>
    </w:p>
    <w:p w:rsidR="00836FE3" w:rsidRDefault="00836FE3" w:rsidP="0004091F">
      <w:pPr>
        <w:rPr>
          <w:i/>
        </w:rPr>
      </w:pPr>
    </w:p>
    <w:p w:rsidR="009008CC" w:rsidRDefault="009008CC" w:rsidP="0004091F">
      <w:r w:rsidRPr="00110C90">
        <w:rPr>
          <w:i/>
        </w:rPr>
        <w:t>.11 Editor Note: insert the following as the last paragraph in this subclause:</w:t>
      </w:r>
    </w:p>
    <w:p w:rsidR="001D526F" w:rsidRDefault="001D526F" w:rsidP="009008CC"/>
    <w:p w:rsidR="008C36FC" w:rsidRPr="00110C90" w:rsidRDefault="009008CC" w:rsidP="001D526F">
      <w:r w:rsidRPr="00110C90">
        <w:t xml:space="preserve">STAs operating in the UB </w:t>
      </w:r>
      <w:r>
        <w:t>use t</w:t>
      </w:r>
      <w:r w:rsidR="008C36FC" w:rsidRPr="00110C90">
        <w:t>he Com</w:t>
      </w:r>
      <w:r>
        <w:t>pressed BlockAckRequest variant.</w:t>
      </w:r>
      <w:r w:rsidR="001D526F">
        <w:t xml:space="preserve"> </w:t>
      </w:r>
      <w:r w:rsidR="008C36FC" w:rsidRPr="00110C90">
        <w:t>The other variants are not used</w:t>
      </w:r>
      <w:r>
        <w:t xml:space="preserve"> </w:t>
      </w:r>
      <w:r w:rsidRPr="00110C90">
        <w:t>in the UB</w:t>
      </w:r>
      <w:r w:rsidR="008C36FC" w:rsidRPr="00110C90">
        <w:t>.</w:t>
      </w:r>
      <w:r w:rsidR="00D11F2E">
        <w:t xml:space="preserve"> </w:t>
      </w:r>
    </w:p>
    <w:p w:rsidR="008C36FC" w:rsidRPr="00110C90" w:rsidRDefault="008C36FC" w:rsidP="0004091F"/>
    <w:p w:rsidR="005A3AF5" w:rsidRDefault="008C36FC" w:rsidP="003701DB">
      <w:pPr>
        <w:pStyle w:val="Heading4"/>
        <w:numPr>
          <w:ilvl w:val="3"/>
          <w:numId w:val="197"/>
        </w:numPr>
      </w:pPr>
      <w:bookmarkStart w:id="221" w:name="_Toc235400218"/>
      <w:bookmarkStart w:id="222" w:name="_Ref259713550"/>
      <w:bookmarkStart w:id="223" w:name="_Toc259716875"/>
      <w:r w:rsidRPr="00110C90">
        <w:t>Block Ack (BlockAck) frame format</w:t>
      </w:r>
      <w:bookmarkEnd w:id="221"/>
      <w:bookmarkEnd w:id="222"/>
      <w:bookmarkEnd w:id="223"/>
    </w:p>
    <w:p w:rsidR="00F501A9" w:rsidRPr="00F501A9" w:rsidRDefault="00F501A9" w:rsidP="00F501A9">
      <w:pPr>
        <w:rPr>
          <w:lang w:bidi="ar-SA"/>
        </w:rPr>
      </w:pPr>
    </w:p>
    <w:p w:rsidR="00CB6E78" w:rsidRDefault="005A3AF5" w:rsidP="003701DB">
      <w:pPr>
        <w:pStyle w:val="Heading5"/>
        <w:numPr>
          <w:ilvl w:val="4"/>
          <w:numId w:val="197"/>
        </w:numPr>
      </w:pPr>
      <w:bookmarkStart w:id="224" w:name="_Toc259716876"/>
      <w:r>
        <w:t>Overview</w:t>
      </w:r>
      <w:bookmarkEnd w:id="224"/>
    </w:p>
    <w:p w:rsidR="00451B20" w:rsidRDefault="00CB6E78" w:rsidP="00CB6E78">
      <w:pPr>
        <w:rPr>
          <w:rFonts w:asciiTheme="majorBidi" w:hAnsiTheme="majorBidi" w:cstheme="majorBidi"/>
        </w:rPr>
      </w:pPr>
      <w:r w:rsidRPr="00110C90">
        <w:rPr>
          <w:i/>
        </w:rPr>
        <w:t xml:space="preserve">.11 Editor notes: </w:t>
      </w:r>
      <w:r w:rsidRPr="00CB6E78">
        <w:rPr>
          <w:rFonts w:asciiTheme="majorBidi" w:hAnsiTheme="majorBidi" w:cstheme="majorBidi"/>
          <w:i/>
          <w:iCs/>
        </w:rPr>
        <w:t>Replace Figure 7-15 with the following figure:</w:t>
      </w:r>
    </w:p>
    <w:p w:rsidR="00451B20" w:rsidRDefault="00451B20" w:rsidP="00451B20">
      <w:pPr>
        <w:jc w:val="center"/>
        <w:rPr>
          <w:rFonts w:ascii="Arial,Bold" w:hAnsi="Arial,Bold" w:cs="Arial,Bold"/>
          <w:b/>
          <w:bCs/>
          <w:sz w:val="20"/>
          <w:szCs w:val="20"/>
        </w:rPr>
      </w:pPr>
    </w:p>
    <w:tbl>
      <w:tblPr>
        <w:tblStyle w:val="TableGrid"/>
        <w:tblW w:w="0" w:type="auto"/>
        <w:tblLook w:val="04A0"/>
      </w:tblPr>
      <w:tblGrid>
        <w:gridCol w:w="830"/>
        <w:gridCol w:w="1218"/>
        <w:gridCol w:w="1390"/>
        <w:gridCol w:w="550"/>
        <w:gridCol w:w="536"/>
        <w:gridCol w:w="1053"/>
        <w:gridCol w:w="1520"/>
        <w:gridCol w:w="2375"/>
        <w:gridCol w:w="644"/>
      </w:tblGrid>
      <w:tr w:rsidR="00451B20" w:rsidTr="003437C7">
        <w:tc>
          <w:tcPr>
            <w:tcW w:w="0" w:type="auto"/>
            <w:tcBorders>
              <w:top w:val="nil"/>
              <w:left w:val="nil"/>
              <w:bottom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Octets</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2</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2</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6</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6</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2</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Variable</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1</w:t>
            </w:r>
          </w:p>
        </w:tc>
        <w:tc>
          <w:tcPr>
            <w:tcW w:w="0" w:type="auto"/>
            <w:tcBorders>
              <w:top w:val="nil"/>
              <w:left w:val="nil"/>
              <w:right w:val="nil"/>
            </w:tcBorders>
          </w:tcPr>
          <w:p w:rsidR="00451B20" w:rsidRPr="009979E1" w:rsidRDefault="00451B20" w:rsidP="003437C7">
            <w:pPr>
              <w:spacing w:before="0"/>
              <w:jc w:val="center"/>
              <w:rPr>
                <w:rFonts w:asciiTheme="majorBidi" w:hAnsiTheme="majorBidi" w:cstheme="majorBidi"/>
                <w:bCs/>
              </w:rPr>
            </w:pPr>
            <w:r w:rsidRPr="009979E1">
              <w:rPr>
                <w:rFonts w:asciiTheme="majorBidi" w:hAnsiTheme="majorBidi" w:cstheme="majorBidi"/>
                <w:bCs/>
              </w:rPr>
              <w:t>4</w:t>
            </w:r>
          </w:p>
        </w:tc>
      </w:tr>
      <w:tr w:rsidR="00451B20" w:rsidTr="003437C7">
        <w:trPr>
          <w:cantSplit/>
        </w:trPr>
        <w:tc>
          <w:tcPr>
            <w:tcW w:w="0" w:type="auto"/>
            <w:tcBorders>
              <w:top w:val="nil"/>
              <w:left w:val="nil"/>
              <w:bottom w:val="nil"/>
            </w:tcBorders>
          </w:tcPr>
          <w:p w:rsidR="00451B20" w:rsidRPr="00852227" w:rsidRDefault="00451B20" w:rsidP="003437C7">
            <w:pPr>
              <w:spacing w:before="0"/>
              <w:jc w:val="center"/>
              <w:rPr>
                <w:rFonts w:asciiTheme="majorBidi" w:hAnsiTheme="majorBidi" w:cstheme="majorBidi"/>
              </w:rPr>
            </w:pP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Frame Control</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Duration/ID</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RA</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TA</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BA control</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BA Information</w:t>
            </w:r>
          </w:p>
        </w:tc>
        <w:tc>
          <w:tcPr>
            <w:tcW w:w="0" w:type="auto"/>
          </w:tcPr>
          <w:p w:rsidR="00451B20" w:rsidRPr="00852227" w:rsidRDefault="003437C7" w:rsidP="003437C7">
            <w:pPr>
              <w:spacing w:before="0"/>
              <w:jc w:val="center"/>
              <w:rPr>
                <w:rFonts w:asciiTheme="majorBidi" w:hAnsiTheme="majorBidi" w:cstheme="majorBidi"/>
              </w:rPr>
            </w:pPr>
            <w:r>
              <w:rPr>
                <w:rFonts w:asciiTheme="majorBidi" w:hAnsiTheme="majorBidi" w:cstheme="majorBidi"/>
                <w:u w:val="single"/>
              </w:rPr>
              <w:t>RBUFCAP (Rec</w:t>
            </w:r>
            <w:r w:rsidR="00451B20" w:rsidRPr="00852227">
              <w:rPr>
                <w:rFonts w:asciiTheme="majorBidi" w:hAnsiTheme="majorBidi" w:cstheme="majorBidi"/>
                <w:u w:val="single"/>
              </w:rPr>
              <w:t>e</w:t>
            </w:r>
            <w:r>
              <w:rPr>
                <w:rFonts w:asciiTheme="majorBidi" w:hAnsiTheme="majorBidi" w:cstheme="majorBidi"/>
                <w:u w:val="single"/>
              </w:rPr>
              <w:t>i</w:t>
            </w:r>
            <w:r w:rsidR="00451B20" w:rsidRPr="00852227">
              <w:rPr>
                <w:rFonts w:asciiTheme="majorBidi" w:hAnsiTheme="majorBidi" w:cstheme="majorBidi"/>
                <w:u w:val="single"/>
              </w:rPr>
              <w:t>ver Buffer Capacity)</w:t>
            </w:r>
          </w:p>
        </w:tc>
        <w:tc>
          <w:tcPr>
            <w:tcW w:w="0" w:type="auto"/>
          </w:tcPr>
          <w:p w:rsidR="00451B20" w:rsidRPr="009979E1" w:rsidRDefault="00451B20" w:rsidP="003437C7">
            <w:pPr>
              <w:spacing w:before="0"/>
              <w:jc w:val="center"/>
              <w:rPr>
                <w:rFonts w:asciiTheme="majorBidi" w:hAnsiTheme="majorBidi" w:cstheme="majorBidi"/>
                <w:bCs/>
              </w:rPr>
            </w:pPr>
            <w:r w:rsidRPr="009979E1">
              <w:rPr>
                <w:rFonts w:asciiTheme="majorBidi" w:hAnsiTheme="majorBidi" w:cstheme="majorBidi"/>
                <w:bCs/>
              </w:rPr>
              <w:t>FCS</w:t>
            </w:r>
          </w:p>
        </w:tc>
      </w:tr>
    </w:tbl>
    <w:p w:rsidR="00451B20" w:rsidRDefault="00BD151C" w:rsidP="00451B20">
      <w:pPr>
        <w:jc w:val="center"/>
        <w:rPr>
          <w:rFonts w:ascii="Arial,Bold" w:hAnsi="Arial,Bold" w:cs="Arial,Bold"/>
          <w:b/>
          <w:bCs/>
          <w:sz w:val="20"/>
          <w:szCs w:val="20"/>
        </w:rPr>
      </w:pPr>
      <w:r>
        <w:rPr>
          <w:rFonts w:ascii="Arial,Bold" w:hAnsi="Arial,Bold" w:cs="Arial,Bold"/>
          <w:b/>
          <w:bCs/>
          <w:noProof/>
          <w:sz w:val="20"/>
          <w:szCs w:val="20"/>
        </w:rPr>
        <w:pict>
          <v:shapetype id="_x0000_t202" coordsize="21600,21600" o:spt="202" path="m,l,21600r21600,l21600,xe">
            <v:stroke joinstyle="miter"/>
            <v:path gradientshapeok="t" o:connecttype="rect"/>
          </v:shapetype>
          <v:shape id="_x0000_s1221" type="#_x0000_t202" style="position:absolute;left:0;text-align:left;margin-left:78pt;margin-top:16.55pt;width:133.5pt;height:20.9pt;z-index:251659264;mso-position-horizontal-relative:text;mso-position-vertical-relative:text" stroked="f">
            <v:textbox style="mso-next-textbox:#_x0000_s1221">
              <w:txbxContent>
                <w:p w:rsidR="00DB6E8E" w:rsidRDefault="00DB6E8E">
                  <w:r>
                    <w:t>MAC Header</w:t>
                  </w:r>
                </w:p>
              </w:txbxContent>
            </v:textbox>
          </v:shape>
        </w:pict>
      </w:r>
      <w:r>
        <w:rPr>
          <w:rFonts w:ascii="Arial,Bold" w:hAnsi="Arial,Bold" w:cs="Arial,Bold"/>
          <w:b/>
          <w:bCs/>
          <w:noProof/>
          <w:sz w:val="20"/>
          <w:szCs w:val="20"/>
        </w:rPr>
        <w:pict>
          <v:shapetype id="_x0000_t32" coordsize="21600,21600" o:spt="32" o:oned="t" path="m,l21600,21600e" filled="f">
            <v:path arrowok="t" fillok="f" o:connecttype="none"/>
            <o:lock v:ext="edit" shapetype="t"/>
          </v:shapetype>
          <v:shape id="_x0000_s1220" type="#_x0000_t32" style="position:absolute;left:0;text-align:left;margin-left:51pt;margin-top:10.55pt;width:214.5pt;height:0;z-index:251658240;mso-position-horizontal-relative:text;mso-position-vertical-relative:text" o:connectortype="straight">
            <v:stroke startarrow="block" endarrow="block"/>
          </v:shape>
        </w:pict>
      </w:r>
    </w:p>
    <w:p w:rsidR="00451B20" w:rsidRDefault="00451B20" w:rsidP="00451B20">
      <w:pPr>
        <w:jc w:val="center"/>
        <w:rPr>
          <w:rFonts w:ascii="Arial,Bold" w:hAnsi="Arial,Bold" w:cs="Arial,Bold"/>
          <w:b/>
          <w:bCs/>
          <w:sz w:val="20"/>
          <w:szCs w:val="20"/>
        </w:rPr>
      </w:pPr>
    </w:p>
    <w:p w:rsidR="002219DA" w:rsidRDefault="002219DA" w:rsidP="00451B20">
      <w:pPr>
        <w:jc w:val="center"/>
        <w:rPr>
          <w:rFonts w:asciiTheme="majorBidi" w:hAnsiTheme="majorBidi" w:cstheme="majorBidi"/>
          <w:b/>
          <w:bCs/>
        </w:rPr>
      </w:pPr>
    </w:p>
    <w:p w:rsidR="00CB6E78" w:rsidRDefault="00451B20" w:rsidP="00F501A9">
      <w:pPr>
        <w:jc w:val="center"/>
        <w:rPr>
          <w:rFonts w:asciiTheme="majorBidi" w:hAnsiTheme="majorBidi" w:cstheme="majorBidi"/>
          <w:b/>
          <w:bCs/>
        </w:rPr>
      </w:pPr>
      <w:r w:rsidRPr="00451B20">
        <w:rPr>
          <w:rFonts w:asciiTheme="majorBidi" w:hAnsiTheme="majorBidi" w:cstheme="majorBidi"/>
          <w:b/>
          <w:bCs/>
        </w:rPr>
        <w:t>Figure 7-15—BlockAck frame</w:t>
      </w:r>
    </w:p>
    <w:p w:rsidR="00F770BF" w:rsidRPr="00F501A9" w:rsidRDefault="00F770BF" w:rsidP="00F501A9">
      <w:pPr>
        <w:jc w:val="center"/>
        <w:rPr>
          <w:rFonts w:asciiTheme="majorBidi" w:hAnsiTheme="majorBidi" w:cstheme="majorBidi"/>
          <w:i/>
        </w:rPr>
      </w:pPr>
    </w:p>
    <w:p w:rsidR="00553A8A" w:rsidRDefault="00553A8A" w:rsidP="00D44540">
      <w:pPr>
        <w:rPr>
          <w:i/>
        </w:rPr>
      </w:pPr>
      <w:r w:rsidRPr="00110C90">
        <w:rPr>
          <w:i/>
        </w:rPr>
        <w:t>.11 Editor notes: modify</w:t>
      </w:r>
      <w:r w:rsidR="00D44540">
        <w:rPr>
          <w:i/>
        </w:rPr>
        <w:t xml:space="preserve"> definition of the reserved field </w:t>
      </w:r>
      <w:r w:rsidR="00D44540" w:rsidRPr="00D44540">
        <w:rPr>
          <w:rFonts w:asciiTheme="majorBidi" w:hAnsiTheme="majorBidi" w:cstheme="majorBidi"/>
          <w:i/>
        </w:rPr>
        <w:t xml:space="preserve">in </w:t>
      </w:r>
      <w:r w:rsidR="00D44540" w:rsidRPr="00CF6935">
        <w:rPr>
          <w:rFonts w:asciiTheme="majorBidi" w:hAnsiTheme="majorBidi" w:cstheme="majorBidi"/>
          <w:i/>
        </w:rPr>
        <w:t>Table 7-6k as follows:</w:t>
      </w:r>
      <w:r w:rsidR="00D44540">
        <w:rPr>
          <w:i/>
        </w:rPr>
        <w:t xml:space="preserve"> </w:t>
      </w:r>
    </w:p>
    <w:p w:rsidR="00D44540" w:rsidRDefault="00D44540" w:rsidP="00D44540">
      <w:pPr>
        <w:rPr>
          <w:i/>
        </w:rPr>
      </w:pPr>
    </w:p>
    <w:tbl>
      <w:tblPr>
        <w:tblStyle w:val="TableGrid"/>
        <w:tblW w:w="0" w:type="auto"/>
        <w:jc w:val="center"/>
        <w:tblLook w:val="04A0"/>
      </w:tblPr>
      <w:tblGrid>
        <w:gridCol w:w="2817"/>
        <w:gridCol w:w="3783"/>
        <w:gridCol w:w="3402"/>
      </w:tblGrid>
      <w:tr w:rsidR="00D44540" w:rsidRPr="003A2251" w:rsidTr="003A2251">
        <w:trPr>
          <w:jc w:val="center"/>
        </w:trPr>
        <w:tc>
          <w:tcPr>
            <w:tcW w:w="0" w:type="auto"/>
            <w:vAlign w:val="center"/>
          </w:tcPr>
          <w:p w:rsidR="00D44540" w:rsidRPr="003A2251" w:rsidRDefault="00D44540" w:rsidP="003437C7">
            <w:pPr>
              <w:spacing w:before="0"/>
              <w:rPr>
                <w:b/>
                <w:bCs/>
                <w:iCs/>
              </w:rPr>
            </w:pPr>
            <w:r w:rsidRPr="003A2251">
              <w:rPr>
                <w:b/>
                <w:bCs/>
                <w:iCs/>
              </w:rPr>
              <w:t>Multi_TID subfield value</w:t>
            </w:r>
          </w:p>
        </w:tc>
        <w:tc>
          <w:tcPr>
            <w:tcW w:w="0" w:type="auto"/>
            <w:vAlign w:val="center"/>
          </w:tcPr>
          <w:p w:rsidR="00D44540" w:rsidRPr="003A2251" w:rsidRDefault="00D44540" w:rsidP="003437C7">
            <w:pPr>
              <w:spacing w:before="0"/>
              <w:rPr>
                <w:b/>
                <w:bCs/>
                <w:iCs/>
              </w:rPr>
            </w:pPr>
            <w:r w:rsidRPr="003A2251">
              <w:rPr>
                <w:b/>
                <w:bCs/>
                <w:iCs/>
              </w:rPr>
              <w:t>Compressed Bitmap subfield value</w:t>
            </w:r>
          </w:p>
        </w:tc>
        <w:tc>
          <w:tcPr>
            <w:tcW w:w="0" w:type="auto"/>
            <w:vAlign w:val="center"/>
          </w:tcPr>
          <w:p w:rsidR="00D44540" w:rsidRPr="003A2251" w:rsidRDefault="00D44540" w:rsidP="003437C7">
            <w:pPr>
              <w:spacing w:before="0"/>
              <w:rPr>
                <w:b/>
                <w:bCs/>
                <w:iCs/>
              </w:rPr>
            </w:pPr>
            <w:r w:rsidRPr="003A2251">
              <w:rPr>
                <w:b/>
                <w:bCs/>
                <w:iCs/>
              </w:rPr>
              <w:t>BlockAck frame variant</w:t>
            </w:r>
          </w:p>
        </w:tc>
      </w:tr>
      <w:tr w:rsidR="00D44540" w:rsidRPr="00D44540" w:rsidTr="003A2251">
        <w:trPr>
          <w:jc w:val="center"/>
        </w:trPr>
        <w:tc>
          <w:tcPr>
            <w:tcW w:w="0" w:type="auto"/>
            <w:vAlign w:val="center"/>
          </w:tcPr>
          <w:p w:rsidR="00D44540" w:rsidRPr="00D44540" w:rsidRDefault="00D44540" w:rsidP="003437C7">
            <w:pPr>
              <w:spacing w:before="0"/>
              <w:jc w:val="center"/>
              <w:rPr>
                <w:iCs/>
              </w:rPr>
            </w:pPr>
            <w:r>
              <w:rPr>
                <w:iCs/>
              </w:rPr>
              <w:t>1</w:t>
            </w:r>
          </w:p>
        </w:tc>
        <w:tc>
          <w:tcPr>
            <w:tcW w:w="0" w:type="auto"/>
            <w:vAlign w:val="center"/>
          </w:tcPr>
          <w:p w:rsidR="00D44540" w:rsidRPr="00D44540" w:rsidRDefault="00D44540" w:rsidP="003437C7">
            <w:pPr>
              <w:spacing w:before="0"/>
              <w:jc w:val="center"/>
              <w:rPr>
                <w:iCs/>
              </w:rPr>
            </w:pPr>
            <w:r>
              <w:rPr>
                <w:iCs/>
              </w:rPr>
              <w:t>0</w:t>
            </w:r>
          </w:p>
        </w:tc>
        <w:tc>
          <w:tcPr>
            <w:tcW w:w="0" w:type="auto"/>
            <w:vAlign w:val="center"/>
          </w:tcPr>
          <w:p w:rsidR="003A2251" w:rsidRDefault="00D44540" w:rsidP="003437C7">
            <w:pPr>
              <w:spacing w:before="0"/>
              <w:rPr>
                <w:iCs/>
                <w:strike/>
              </w:rPr>
            </w:pPr>
            <w:r w:rsidRPr="003A2251">
              <w:rPr>
                <w:iCs/>
                <w:strike/>
              </w:rPr>
              <w:t xml:space="preserve">Reserved </w:t>
            </w:r>
          </w:p>
          <w:p w:rsidR="00D44540" w:rsidRPr="003A2251" w:rsidRDefault="00D44540" w:rsidP="003437C7">
            <w:pPr>
              <w:spacing w:before="0"/>
              <w:rPr>
                <w:iCs/>
                <w:strike/>
              </w:rPr>
            </w:pPr>
            <w:r w:rsidRPr="003A2251">
              <w:rPr>
                <w:iCs/>
                <w:u w:val="single"/>
              </w:rPr>
              <w:t>Extended Compressed BlockAck</w:t>
            </w:r>
          </w:p>
        </w:tc>
      </w:tr>
    </w:tbl>
    <w:p w:rsidR="00D44540" w:rsidRDefault="00D44540" w:rsidP="003437C7">
      <w:pPr>
        <w:rPr>
          <w:i/>
        </w:rPr>
      </w:pPr>
    </w:p>
    <w:p w:rsidR="00681ED5" w:rsidRDefault="00CF6935" w:rsidP="00F501A9">
      <w:pPr>
        <w:rPr>
          <w:i/>
        </w:rPr>
      </w:pPr>
      <w:r>
        <w:rPr>
          <w:i/>
        </w:rPr>
        <w:t>.11 Editor note</w:t>
      </w:r>
      <w:r w:rsidR="00681ED5" w:rsidRPr="00110C90">
        <w:rPr>
          <w:i/>
        </w:rPr>
        <w:t xml:space="preserve">: </w:t>
      </w:r>
      <w:r w:rsidR="00681ED5">
        <w:rPr>
          <w:i/>
        </w:rPr>
        <w:t xml:space="preserve">add after last paragraph the </w:t>
      </w:r>
      <w:r>
        <w:rPr>
          <w:i/>
        </w:rPr>
        <w:t xml:space="preserve">following </w:t>
      </w:r>
      <w:r w:rsidR="00681ED5">
        <w:rPr>
          <w:i/>
        </w:rPr>
        <w:t>sentence:</w:t>
      </w:r>
    </w:p>
    <w:p w:rsidR="004E4D86" w:rsidRDefault="004E4D86" w:rsidP="00681ED5">
      <w:pPr>
        <w:rPr>
          <w:iCs/>
        </w:rPr>
      </w:pPr>
    </w:p>
    <w:p w:rsidR="00681ED5" w:rsidRDefault="004E4D86" w:rsidP="00681ED5">
      <w:pPr>
        <w:rPr>
          <w:i/>
        </w:rPr>
      </w:pPr>
      <w:r>
        <w:rPr>
          <w:iCs/>
        </w:rPr>
        <w:t>The RBUFCAP field is present</w:t>
      </w:r>
      <w:r w:rsidR="00681ED5">
        <w:rPr>
          <w:iCs/>
        </w:rPr>
        <w:t xml:space="preserve"> in the Extended Compressed BlockAck variant</w:t>
      </w:r>
      <w:r w:rsidR="00F501A9">
        <w:rPr>
          <w:iCs/>
        </w:rPr>
        <w:t xml:space="preserve"> only as</w:t>
      </w:r>
      <w:r w:rsidR="00681ED5">
        <w:rPr>
          <w:iCs/>
        </w:rPr>
        <w:t xml:space="preserve"> </w:t>
      </w:r>
      <w:r w:rsidR="00F501A9">
        <w:rPr>
          <w:iCs/>
        </w:rPr>
        <w:t xml:space="preserve">defined in </w:t>
      </w:r>
      <w:r w:rsidR="00BD151C">
        <w:rPr>
          <w:iCs/>
        </w:rPr>
        <w:fldChar w:fldCharType="begin"/>
      </w:r>
      <w:r w:rsidR="00F501A9">
        <w:rPr>
          <w:iCs/>
        </w:rPr>
        <w:instrText xml:space="preserve"> REF _Ref251861724 \r \h </w:instrText>
      </w:r>
      <w:r w:rsidR="00BD151C">
        <w:rPr>
          <w:iCs/>
        </w:rPr>
      </w:r>
      <w:r w:rsidR="00BD151C">
        <w:rPr>
          <w:iCs/>
        </w:rPr>
        <w:fldChar w:fldCharType="separate"/>
      </w:r>
      <w:r w:rsidR="003E4210">
        <w:rPr>
          <w:iCs/>
        </w:rPr>
        <w:t>7.2.1.8.5</w:t>
      </w:r>
      <w:r w:rsidR="00BD151C">
        <w:rPr>
          <w:iCs/>
        </w:rPr>
        <w:fldChar w:fldCharType="end"/>
      </w:r>
      <w:r w:rsidR="00F501A9">
        <w:rPr>
          <w:iCs/>
        </w:rPr>
        <w:t>.</w:t>
      </w:r>
      <w:r w:rsidR="00681ED5">
        <w:rPr>
          <w:i/>
        </w:rPr>
        <w:t xml:space="preserve"> </w:t>
      </w:r>
    </w:p>
    <w:p w:rsidR="00D44540" w:rsidRDefault="00D44540" w:rsidP="00D44540">
      <w:pPr>
        <w:rPr>
          <w:i/>
        </w:rPr>
      </w:pPr>
    </w:p>
    <w:p w:rsidR="008C36FC" w:rsidRPr="00757896" w:rsidRDefault="00496142" w:rsidP="00757896">
      <w:pPr>
        <w:rPr>
          <w:i/>
        </w:rPr>
      </w:pPr>
      <w:r w:rsidRPr="00110C90">
        <w:rPr>
          <w:i/>
        </w:rPr>
        <w:t xml:space="preserve">.11 Editor notes: </w:t>
      </w:r>
      <w:r w:rsidR="00F501A9" w:rsidRPr="00757896">
        <w:rPr>
          <w:rFonts w:asciiTheme="majorBidi" w:hAnsiTheme="majorBidi" w:cstheme="majorBidi"/>
          <w:i/>
        </w:rPr>
        <w:t xml:space="preserve">insert </w:t>
      </w:r>
      <w:r w:rsidR="00CF6935">
        <w:rPr>
          <w:rFonts w:asciiTheme="majorBidi" w:hAnsiTheme="majorBidi" w:cstheme="majorBidi"/>
          <w:i/>
        </w:rPr>
        <w:t xml:space="preserve">the following </w:t>
      </w:r>
      <w:r w:rsidR="00F501A9" w:rsidRPr="00757896">
        <w:rPr>
          <w:rFonts w:asciiTheme="majorBidi" w:hAnsiTheme="majorBidi" w:cstheme="majorBidi"/>
          <w:i/>
        </w:rPr>
        <w:t xml:space="preserve">new </w:t>
      </w:r>
      <w:r w:rsidR="00CF6935">
        <w:rPr>
          <w:rFonts w:asciiTheme="majorBidi" w:hAnsiTheme="majorBidi" w:cstheme="majorBidi"/>
          <w:i/>
        </w:rPr>
        <w:t>sub</w:t>
      </w:r>
      <w:r w:rsidR="00F501A9" w:rsidRPr="00757896">
        <w:rPr>
          <w:rFonts w:asciiTheme="majorBidi" w:hAnsiTheme="majorBidi" w:cstheme="majorBidi"/>
          <w:i/>
        </w:rPr>
        <w:t>cl</w:t>
      </w:r>
      <w:r w:rsidR="00CF6935">
        <w:rPr>
          <w:rFonts w:asciiTheme="majorBidi" w:hAnsiTheme="majorBidi" w:cstheme="majorBidi"/>
          <w:i/>
        </w:rPr>
        <w:t>a</w:t>
      </w:r>
      <w:r w:rsidR="00F501A9" w:rsidRPr="00757896">
        <w:rPr>
          <w:rFonts w:asciiTheme="majorBidi" w:hAnsiTheme="majorBidi" w:cstheme="majorBidi"/>
          <w:i/>
        </w:rPr>
        <w:t>use after 7.2.1.8.4</w:t>
      </w:r>
    </w:p>
    <w:p w:rsidR="00F501A9" w:rsidRDefault="00681ED5" w:rsidP="003701DB">
      <w:pPr>
        <w:pStyle w:val="Heading5"/>
        <w:numPr>
          <w:ilvl w:val="4"/>
          <w:numId w:val="203"/>
        </w:numPr>
      </w:pPr>
      <w:r>
        <w:t xml:space="preserve"> </w:t>
      </w:r>
      <w:bookmarkStart w:id="225" w:name="_Ref251861724"/>
      <w:bookmarkStart w:id="226" w:name="_Toc259716877"/>
      <w:r>
        <w:t>Extended Compressed BlockAck variant</w:t>
      </w:r>
      <w:bookmarkEnd w:id="225"/>
      <w:bookmarkEnd w:id="226"/>
    </w:p>
    <w:p w:rsidR="00F770BF" w:rsidRDefault="00757896" w:rsidP="00757896">
      <w:pPr>
        <w:autoSpaceDE w:val="0"/>
        <w:autoSpaceDN w:val="0"/>
        <w:adjustRightInd w:val="0"/>
        <w:rPr>
          <w:rFonts w:ascii="TimesNewRoman" w:hAnsi="TimesNewRoman" w:cs="TimesNewRoman"/>
        </w:rPr>
      </w:pPr>
      <w:r w:rsidRPr="00757896">
        <w:rPr>
          <w:rFonts w:ascii="TimesNewRoman" w:hAnsi="TimesNewRoman" w:cs="TimesNewRoman"/>
        </w:rPr>
        <w:t>The TID_INFO subfield of the BA Control field of the Compressed Bloc</w:t>
      </w:r>
      <w:r>
        <w:rPr>
          <w:rFonts w:ascii="TimesNewRoman" w:hAnsi="TimesNewRoman" w:cs="TimesNewRoman"/>
        </w:rPr>
        <w:t xml:space="preserve">kAck frame contains the TID for </w:t>
      </w:r>
      <w:r w:rsidRPr="00757896">
        <w:rPr>
          <w:rFonts w:ascii="TimesNewRoman" w:hAnsi="TimesNewRoman" w:cs="TimesNewRoman"/>
        </w:rPr>
        <w:t>which</w:t>
      </w:r>
      <w:r>
        <w:rPr>
          <w:rFonts w:ascii="TimesNewRoman" w:hAnsi="TimesNewRoman" w:cs="TimesNewRoman"/>
        </w:rPr>
        <w:t xml:space="preserve"> a BlockAck frame is requested. </w:t>
      </w:r>
    </w:p>
    <w:p w:rsidR="00F770BF" w:rsidRDefault="00F770BF" w:rsidP="00757896">
      <w:pPr>
        <w:autoSpaceDE w:val="0"/>
        <w:autoSpaceDN w:val="0"/>
        <w:adjustRightInd w:val="0"/>
        <w:rPr>
          <w:rFonts w:ascii="TimesNewRoman" w:hAnsi="TimesNewRoman" w:cs="TimesNewRoman"/>
        </w:rPr>
      </w:pPr>
    </w:p>
    <w:p w:rsidR="00F501A9" w:rsidRPr="00757896" w:rsidRDefault="00757896" w:rsidP="00757896">
      <w:pPr>
        <w:autoSpaceDE w:val="0"/>
        <w:autoSpaceDN w:val="0"/>
        <w:adjustRightInd w:val="0"/>
        <w:rPr>
          <w:rFonts w:ascii="TimesNewRoman" w:hAnsi="TimesNewRoman" w:cs="TimesNewRoman"/>
        </w:rPr>
      </w:pPr>
      <w:r w:rsidRPr="00757896">
        <w:rPr>
          <w:rFonts w:ascii="TimesNewRoman" w:hAnsi="TimesNewRoman" w:cs="TimesNewRoman"/>
        </w:rPr>
        <w:t xml:space="preserve">The BA Information field of the Compressed BlockAck frame comprises </w:t>
      </w:r>
      <w:r>
        <w:rPr>
          <w:rFonts w:ascii="TimesNewRoman" w:hAnsi="TimesNewRoman" w:cs="TimesNewRoman"/>
        </w:rPr>
        <w:t xml:space="preserve">the Block Ack Starting Sequence </w:t>
      </w:r>
      <w:r w:rsidRPr="00757896">
        <w:rPr>
          <w:rFonts w:ascii="TimesNewRoman" w:hAnsi="TimesNewRoman" w:cs="TimesNewRoman"/>
        </w:rPr>
        <w:t>Control subfield and the Block Ack Bitmap subfield, as shown in Figu</w:t>
      </w:r>
      <w:r>
        <w:rPr>
          <w:rFonts w:ascii="TimesNewRoman" w:hAnsi="TimesNewRoman" w:cs="TimesNewRoman"/>
        </w:rPr>
        <w:t xml:space="preserve">re 7-16b. The Starting Sequence </w:t>
      </w:r>
      <w:r w:rsidRPr="00757896">
        <w:rPr>
          <w:rFonts w:ascii="TimesNewRoman" w:hAnsi="TimesNewRoman" w:cs="TimesNewRoman"/>
        </w:rPr>
        <w:t>Number subfield of the Block Ack Starting Sequence Control subfield cont</w:t>
      </w:r>
      <w:r>
        <w:rPr>
          <w:rFonts w:ascii="TimesNewRoman" w:hAnsi="TimesNewRoman" w:cs="TimesNewRoman"/>
        </w:rPr>
        <w:t xml:space="preserve">ains the sequence number of the </w:t>
      </w:r>
      <w:r w:rsidRPr="00757896">
        <w:rPr>
          <w:rFonts w:ascii="TimesNewRoman" w:hAnsi="TimesNewRoman" w:cs="TimesNewRoman"/>
        </w:rPr>
        <w:t>first MSDU or A-MSDU for which this BlockAck frame is sent. The value</w:t>
      </w:r>
      <w:r>
        <w:rPr>
          <w:rFonts w:ascii="TimesNewRoman" w:hAnsi="TimesNewRoman" w:cs="TimesNewRoman"/>
        </w:rPr>
        <w:t xml:space="preserve"> of this subfield is defined in </w:t>
      </w:r>
      <w:r w:rsidRPr="00757896">
        <w:rPr>
          <w:rFonts w:ascii="TimesNewRoman" w:hAnsi="TimesNewRoman" w:cs="TimesNewRoman"/>
        </w:rPr>
        <w:t>9.10.7.5. The Fragment Number subfield of the Block Ack Starting Sequence Control subfield is set to 0.</w:t>
      </w:r>
    </w:p>
    <w:p w:rsidR="00CF6935" w:rsidRDefault="00CF6935" w:rsidP="00F770BF">
      <w:pPr>
        <w:autoSpaceDE w:val="0"/>
        <w:autoSpaceDN w:val="0"/>
        <w:adjustRightInd w:val="0"/>
        <w:rPr>
          <w:rFonts w:ascii="TimesNewRoman" w:hAnsi="TimesNewRoman" w:cs="TimesNewRoman"/>
        </w:rPr>
      </w:pPr>
    </w:p>
    <w:p w:rsidR="00757896" w:rsidRPr="00F770BF" w:rsidRDefault="00757896" w:rsidP="00F770BF">
      <w:pPr>
        <w:autoSpaceDE w:val="0"/>
        <w:autoSpaceDN w:val="0"/>
        <w:adjustRightInd w:val="0"/>
        <w:rPr>
          <w:rFonts w:ascii="TimesNewRoman" w:hAnsi="TimesNewRoman" w:cs="TimesNewRoman"/>
        </w:rPr>
      </w:pPr>
      <w:r w:rsidRPr="00757896">
        <w:rPr>
          <w:rFonts w:ascii="TimesNewRoman" w:hAnsi="TimesNewRoman" w:cs="TimesNewRoman"/>
        </w:rPr>
        <w:t>The Block Ack Bitmap subfield of the BA Information field of the Compre</w:t>
      </w:r>
      <w:r w:rsidR="00F770BF">
        <w:rPr>
          <w:rFonts w:ascii="TimesNewRoman" w:hAnsi="TimesNewRoman" w:cs="TimesNewRoman"/>
        </w:rPr>
        <w:t xml:space="preserve">ssed BlockAck frame is 8 octets </w:t>
      </w:r>
      <w:r w:rsidRPr="00757896">
        <w:rPr>
          <w:rFonts w:ascii="TimesNewRoman" w:hAnsi="TimesNewRoman" w:cs="TimesNewRoman"/>
        </w:rPr>
        <w:t>in length and is used to indicate the received status of up to 64 MSDUs and A</w:t>
      </w:r>
      <w:r w:rsidR="00F770BF">
        <w:rPr>
          <w:rFonts w:ascii="TimesNewRoman" w:hAnsi="TimesNewRoman" w:cs="TimesNewRoman"/>
        </w:rPr>
        <w:t xml:space="preserve">-MSDUs. Each bit that is set to </w:t>
      </w:r>
      <w:r w:rsidRPr="00757896">
        <w:rPr>
          <w:rFonts w:ascii="TimesNewRoman" w:hAnsi="TimesNewRoman" w:cs="TimesNewRoman"/>
        </w:rPr>
        <w:t>1 in the compressed Block Ack bitmap acknowledges the successful rece</w:t>
      </w:r>
      <w:r w:rsidR="00F770BF">
        <w:rPr>
          <w:rFonts w:ascii="TimesNewRoman" w:hAnsi="TimesNewRoman" w:cs="TimesNewRoman"/>
        </w:rPr>
        <w:t xml:space="preserve">ption of a single MSDU or AMSDU </w:t>
      </w:r>
      <w:r w:rsidRPr="00757896">
        <w:rPr>
          <w:rFonts w:ascii="TimesNewRoman" w:hAnsi="TimesNewRoman" w:cs="TimesNewRoman"/>
        </w:rPr>
        <w:t xml:space="preserve">in the order of sequence number, with the first bit of the Block </w:t>
      </w:r>
      <w:r w:rsidR="00F770BF">
        <w:rPr>
          <w:rFonts w:ascii="TimesNewRoman" w:hAnsi="TimesNewRoman" w:cs="TimesNewRoman"/>
        </w:rPr>
        <w:t xml:space="preserve">Ack bitmap corresponding to the </w:t>
      </w:r>
      <w:r w:rsidRPr="00757896">
        <w:rPr>
          <w:rFonts w:ascii="TimesNewRoman" w:hAnsi="TimesNewRoman" w:cs="TimesNewRoman"/>
        </w:rPr>
        <w:t xml:space="preserve">MSDU or A-MSDU with the sequence number that matches the value </w:t>
      </w:r>
      <w:r w:rsidR="00F770BF">
        <w:rPr>
          <w:rFonts w:ascii="TimesNewRoman" w:hAnsi="TimesNewRoman" w:cs="TimesNewRoman"/>
        </w:rPr>
        <w:t xml:space="preserve">of the Starting Sequence Number </w:t>
      </w:r>
      <w:r w:rsidRPr="00757896">
        <w:rPr>
          <w:rFonts w:ascii="TimesNewRoman" w:hAnsi="TimesNewRoman" w:cs="TimesNewRoman"/>
        </w:rPr>
        <w:t>subfield of the Block Ack Starting Sequence Control subfield.</w:t>
      </w:r>
    </w:p>
    <w:p w:rsidR="00F770BF" w:rsidRDefault="00F770BF" w:rsidP="00F501A9"/>
    <w:p w:rsidR="00F501A9" w:rsidRPr="00F770BF" w:rsidRDefault="00F501A9" w:rsidP="00F501A9">
      <w:r w:rsidRPr="00F770BF">
        <w:t xml:space="preserve">The RBUFCAP field contains an unsigned integer that is the number of MPDU buffers available to store MPDUs at the time of transmission of the Extended Compressed BlockAck frame. Each MPDU buffer is at least equal to the maximum MPDU size. </w:t>
      </w:r>
    </w:p>
    <w:p w:rsidR="00681ED5" w:rsidRPr="00110C90" w:rsidRDefault="00681ED5" w:rsidP="00F770BF">
      <w:pPr>
        <w:rPr>
          <w:lang w:bidi="ar-SA"/>
        </w:rPr>
      </w:pPr>
    </w:p>
    <w:p w:rsidR="008C36FC" w:rsidRPr="00110C90" w:rsidRDefault="008C36FC" w:rsidP="003701DB">
      <w:pPr>
        <w:pStyle w:val="Heading4"/>
        <w:numPr>
          <w:ilvl w:val="3"/>
          <w:numId w:val="203"/>
        </w:numPr>
      </w:pPr>
      <w:bookmarkStart w:id="227" w:name="_Toc235400219"/>
      <w:bookmarkStart w:id="228" w:name="_Toc259716878"/>
      <w:r w:rsidRPr="00110C90">
        <w:t>Control Wrapper frame</w:t>
      </w:r>
      <w:bookmarkEnd w:id="227"/>
      <w:bookmarkEnd w:id="228"/>
    </w:p>
    <w:p w:rsidR="00B5303F" w:rsidRDefault="00302E81" w:rsidP="00FE3AE6">
      <w:pPr>
        <w:rPr>
          <w:i/>
        </w:rPr>
      </w:pPr>
      <w:r w:rsidRPr="00110C90">
        <w:rPr>
          <w:i/>
        </w:rPr>
        <w:t>.11 Editor Note: insert the following as the last paragraph in this subclause: “</w:t>
      </w:r>
      <w:r w:rsidRPr="00110C90">
        <w:t>STAs operating in the UB do not transmit Control Wrapper frames.</w:t>
      </w:r>
      <w:r w:rsidRPr="00110C90">
        <w:rPr>
          <w:i/>
        </w:rPr>
        <w:t>”</w:t>
      </w:r>
    </w:p>
    <w:p w:rsidR="00B5303F" w:rsidRPr="00110C90" w:rsidRDefault="00B5303F" w:rsidP="0004091F"/>
    <w:p w:rsidR="00B64869" w:rsidRPr="00110C90" w:rsidRDefault="00D141D6" w:rsidP="00D141D6">
      <w:r>
        <w:rPr>
          <w:i/>
        </w:rPr>
        <w:t xml:space="preserve">.11 Editor Note: insert </w:t>
      </w:r>
      <w:r w:rsidR="00CF6935">
        <w:rPr>
          <w:i/>
        </w:rPr>
        <w:t>sub</w:t>
      </w:r>
      <w:r w:rsidR="00B5303F">
        <w:rPr>
          <w:i/>
        </w:rPr>
        <w:t xml:space="preserve">clauses </w:t>
      </w:r>
      <w:r>
        <w:rPr>
          <w:i/>
        </w:rPr>
        <w:t xml:space="preserve">7.2.1.10 till 7.2.1.18 </w:t>
      </w:r>
      <w:r w:rsidR="00B5303F">
        <w:rPr>
          <w:i/>
        </w:rPr>
        <w:t>after 7.2.1.9</w:t>
      </w:r>
      <w:r w:rsidR="00BB175F">
        <w:rPr>
          <w:i/>
        </w:rPr>
        <w:t xml:space="preserve"> </w:t>
      </w:r>
    </w:p>
    <w:p w:rsidR="008C36FC" w:rsidRPr="00110C90" w:rsidRDefault="008C36FC" w:rsidP="003701DB">
      <w:pPr>
        <w:pStyle w:val="Heading4"/>
        <w:numPr>
          <w:ilvl w:val="3"/>
          <w:numId w:val="203"/>
        </w:numPr>
      </w:pPr>
      <w:bookmarkStart w:id="229" w:name="_Toc236396587"/>
      <w:bookmarkStart w:id="230" w:name="_Toc236396588"/>
      <w:bookmarkStart w:id="231" w:name="_Toc236396589"/>
      <w:bookmarkStart w:id="232" w:name="_Toc236396590"/>
      <w:bookmarkStart w:id="233" w:name="_Toc236396593"/>
      <w:bookmarkStart w:id="234" w:name="_Toc236396595"/>
      <w:bookmarkStart w:id="235" w:name="_Toc236396597"/>
      <w:bookmarkStart w:id="236" w:name="_Toc236396599"/>
      <w:bookmarkStart w:id="237" w:name="_Toc236396601"/>
      <w:bookmarkStart w:id="238" w:name="_Toc236396602"/>
      <w:bookmarkStart w:id="239" w:name="_Toc236396603"/>
      <w:bookmarkStart w:id="240" w:name="_Toc236396604"/>
      <w:bookmarkStart w:id="241" w:name="_Toc236396607"/>
      <w:bookmarkStart w:id="242" w:name="_Toc236396609"/>
      <w:bookmarkStart w:id="243" w:name="_Toc236396611"/>
      <w:bookmarkStart w:id="244" w:name="_Toc235400222"/>
      <w:bookmarkStart w:id="245" w:name="_Ref250725500"/>
      <w:bookmarkStart w:id="246" w:name="_Ref259713857"/>
      <w:bookmarkStart w:id="247" w:name="_Toc25971687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110C90">
        <w:t>Poll</w:t>
      </w:r>
      <w:bookmarkEnd w:id="244"/>
      <w:bookmarkEnd w:id="245"/>
      <w:bookmarkEnd w:id="246"/>
      <w:bookmarkEnd w:id="247"/>
    </w:p>
    <w:p w:rsidR="008C36FC" w:rsidRPr="00110C90" w:rsidRDefault="008C36FC" w:rsidP="00B95159">
      <w:r w:rsidRPr="00110C90">
        <w:t xml:space="preserve">The format of the Poll frame is shown in </w:t>
      </w:r>
      <w:r w:rsidR="00BD151C">
        <w:fldChar w:fldCharType="begin"/>
      </w:r>
      <w:r w:rsidR="00B95159">
        <w:instrText xml:space="preserve"> REF _Ref236557280 \h </w:instrText>
      </w:r>
      <w:r w:rsidR="00BD151C">
        <w:fldChar w:fldCharType="separate"/>
      </w:r>
      <w:r w:rsidR="003E4210" w:rsidRPr="00066F65">
        <w:t xml:space="preserve">Figure </w:t>
      </w:r>
      <w:r w:rsidR="003E4210">
        <w:rPr>
          <w:noProof/>
        </w:rPr>
        <w:t>3</w:t>
      </w:r>
      <w:r w:rsidR="00BD151C">
        <w:fldChar w:fldCharType="end"/>
      </w:r>
      <w:r w:rsidRPr="00110C90">
        <w:t>.</w:t>
      </w:r>
    </w:p>
    <w:p w:rsidR="008C36FC" w:rsidRPr="00110C90" w:rsidRDefault="008C36FC" w:rsidP="0004091F"/>
    <w:tbl>
      <w:tblPr>
        <w:tblW w:w="6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1015"/>
        <w:gridCol w:w="1133"/>
        <w:gridCol w:w="614"/>
        <w:gridCol w:w="600"/>
        <w:gridCol w:w="1194"/>
        <w:gridCol w:w="708"/>
      </w:tblGrid>
      <w:tr w:rsidR="00D0037C" w:rsidRPr="00066F65" w:rsidTr="00D0037C">
        <w:trPr>
          <w:jc w:val="center"/>
        </w:trPr>
        <w:tc>
          <w:tcPr>
            <w:tcW w:w="960" w:type="dxa"/>
          </w:tcPr>
          <w:p w:rsidR="00343D43" w:rsidRPr="00110C90" w:rsidRDefault="00343D43" w:rsidP="00D0037C">
            <w:pPr>
              <w:jc w:val="both"/>
              <w:rPr>
                <w:rFonts w:eastAsia="SimSun"/>
              </w:rPr>
            </w:pPr>
          </w:p>
        </w:tc>
        <w:tc>
          <w:tcPr>
            <w:tcW w:w="1015" w:type="dxa"/>
          </w:tcPr>
          <w:p w:rsidR="00343D43" w:rsidRPr="00110C90" w:rsidRDefault="00343D43" w:rsidP="005B4F79">
            <w:pPr>
              <w:jc w:val="both"/>
              <w:rPr>
                <w:rFonts w:eastAsia="SimSun"/>
              </w:rPr>
            </w:pPr>
            <w:r w:rsidRPr="00110C90">
              <w:rPr>
                <w:rFonts w:eastAsia="SimSun"/>
              </w:rPr>
              <w:t>Frame</w:t>
            </w:r>
            <w:r w:rsidR="005B4F79" w:rsidRPr="00110C90">
              <w:rPr>
                <w:rFonts w:eastAsia="SimSun"/>
              </w:rPr>
              <w:t xml:space="preserve"> </w:t>
            </w:r>
            <w:r w:rsidRPr="00110C90">
              <w:rPr>
                <w:rFonts w:eastAsia="SimSun"/>
              </w:rPr>
              <w:t>Control</w:t>
            </w:r>
          </w:p>
        </w:tc>
        <w:tc>
          <w:tcPr>
            <w:tcW w:w="1133" w:type="dxa"/>
          </w:tcPr>
          <w:p w:rsidR="00343D43" w:rsidRPr="00110C90" w:rsidRDefault="00343D43" w:rsidP="00D0037C">
            <w:pPr>
              <w:jc w:val="both"/>
              <w:rPr>
                <w:rFonts w:eastAsia="SimSun"/>
              </w:rPr>
            </w:pPr>
            <w:r w:rsidRPr="00110C90">
              <w:rPr>
                <w:rFonts w:eastAsia="SimSun"/>
              </w:rPr>
              <w:t>Duration</w:t>
            </w:r>
          </w:p>
        </w:tc>
        <w:tc>
          <w:tcPr>
            <w:tcW w:w="614" w:type="dxa"/>
          </w:tcPr>
          <w:p w:rsidR="00343D43" w:rsidRPr="00110C90" w:rsidRDefault="00343D43" w:rsidP="00D0037C">
            <w:pPr>
              <w:jc w:val="both"/>
              <w:rPr>
                <w:rFonts w:eastAsia="SimSun"/>
              </w:rPr>
            </w:pPr>
            <w:r w:rsidRPr="00110C90">
              <w:rPr>
                <w:rFonts w:eastAsia="SimSun"/>
              </w:rPr>
              <w:t>RA</w:t>
            </w:r>
          </w:p>
        </w:tc>
        <w:tc>
          <w:tcPr>
            <w:tcW w:w="600" w:type="dxa"/>
          </w:tcPr>
          <w:p w:rsidR="00343D43" w:rsidRPr="00110C90" w:rsidRDefault="00343D43" w:rsidP="00D0037C">
            <w:pPr>
              <w:jc w:val="both"/>
              <w:rPr>
                <w:rFonts w:eastAsia="SimSun"/>
              </w:rPr>
            </w:pPr>
            <w:r w:rsidRPr="00110C90">
              <w:rPr>
                <w:rFonts w:eastAsia="SimSun"/>
              </w:rPr>
              <w:t>TA</w:t>
            </w:r>
          </w:p>
        </w:tc>
        <w:tc>
          <w:tcPr>
            <w:tcW w:w="1194" w:type="dxa"/>
          </w:tcPr>
          <w:p w:rsidR="00343D43" w:rsidRPr="00110C90" w:rsidRDefault="00343D43" w:rsidP="005B4F79">
            <w:pPr>
              <w:jc w:val="both"/>
              <w:rPr>
                <w:rFonts w:eastAsia="SimSun"/>
              </w:rPr>
            </w:pPr>
            <w:r w:rsidRPr="00110C90">
              <w:rPr>
                <w:rFonts w:eastAsia="SimSun"/>
              </w:rPr>
              <w:t>Response</w:t>
            </w:r>
            <w:r w:rsidR="005B4F79" w:rsidRPr="00110C90">
              <w:rPr>
                <w:rFonts w:eastAsia="SimSun"/>
              </w:rPr>
              <w:t xml:space="preserve"> </w:t>
            </w:r>
            <w:r w:rsidRPr="00110C90">
              <w:rPr>
                <w:rFonts w:eastAsia="SimSun"/>
              </w:rPr>
              <w:t>Offset</w:t>
            </w:r>
          </w:p>
        </w:tc>
        <w:tc>
          <w:tcPr>
            <w:tcW w:w="708" w:type="dxa"/>
          </w:tcPr>
          <w:p w:rsidR="00343D43" w:rsidRPr="00110C90" w:rsidRDefault="00343D43" w:rsidP="00D0037C">
            <w:pPr>
              <w:jc w:val="both"/>
              <w:rPr>
                <w:rFonts w:eastAsia="SimSun"/>
              </w:rPr>
            </w:pPr>
            <w:r w:rsidRPr="00110C90">
              <w:rPr>
                <w:rFonts w:eastAsia="SimSun"/>
              </w:rPr>
              <w:t>FCS</w:t>
            </w:r>
          </w:p>
        </w:tc>
      </w:tr>
      <w:tr w:rsidR="00D0037C" w:rsidRPr="00066F65" w:rsidTr="00D0037C">
        <w:trPr>
          <w:jc w:val="center"/>
        </w:trPr>
        <w:tc>
          <w:tcPr>
            <w:tcW w:w="960" w:type="dxa"/>
          </w:tcPr>
          <w:p w:rsidR="00343D43" w:rsidRPr="007B2D72" w:rsidRDefault="00343D43" w:rsidP="00D0037C">
            <w:pPr>
              <w:jc w:val="both"/>
              <w:rPr>
                <w:rFonts w:eastAsia="SimSun"/>
              </w:rPr>
            </w:pPr>
            <w:r w:rsidRPr="007B2D72">
              <w:rPr>
                <w:rFonts w:eastAsia="SimSun"/>
              </w:rPr>
              <w:t>Octets:</w:t>
            </w:r>
          </w:p>
        </w:tc>
        <w:tc>
          <w:tcPr>
            <w:tcW w:w="1015" w:type="dxa"/>
          </w:tcPr>
          <w:p w:rsidR="00343D43" w:rsidRPr="007B2D72" w:rsidRDefault="00343D43" w:rsidP="00D0037C">
            <w:pPr>
              <w:jc w:val="both"/>
              <w:rPr>
                <w:rFonts w:eastAsia="SimSun"/>
              </w:rPr>
            </w:pPr>
            <w:r w:rsidRPr="007B2D72">
              <w:rPr>
                <w:rFonts w:eastAsia="SimSun"/>
              </w:rPr>
              <w:t>2</w:t>
            </w:r>
          </w:p>
        </w:tc>
        <w:tc>
          <w:tcPr>
            <w:tcW w:w="1133" w:type="dxa"/>
          </w:tcPr>
          <w:p w:rsidR="00343D43" w:rsidRPr="007B2D72" w:rsidRDefault="00343D43" w:rsidP="00D0037C">
            <w:pPr>
              <w:jc w:val="both"/>
              <w:rPr>
                <w:rFonts w:eastAsia="SimSun"/>
              </w:rPr>
            </w:pPr>
            <w:r w:rsidRPr="007B2D72">
              <w:rPr>
                <w:rFonts w:eastAsia="SimSun"/>
              </w:rPr>
              <w:t>2</w:t>
            </w:r>
          </w:p>
        </w:tc>
        <w:tc>
          <w:tcPr>
            <w:tcW w:w="614" w:type="dxa"/>
          </w:tcPr>
          <w:p w:rsidR="00343D43" w:rsidRPr="007B2D72" w:rsidRDefault="00343D43" w:rsidP="00D0037C">
            <w:pPr>
              <w:jc w:val="both"/>
              <w:rPr>
                <w:rFonts w:eastAsia="SimSun"/>
              </w:rPr>
            </w:pPr>
            <w:r w:rsidRPr="007B2D72">
              <w:rPr>
                <w:rFonts w:eastAsia="SimSun"/>
              </w:rPr>
              <w:t>6</w:t>
            </w:r>
          </w:p>
        </w:tc>
        <w:tc>
          <w:tcPr>
            <w:tcW w:w="600" w:type="dxa"/>
          </w:tcPr>
          <w:p w:rsidR="00343D43" w:rsidRPr="007B2D72" w:rsidRDefault="00343D43" w:rsidP="00D0037C">
            <w:pPr>
              <w:jc w:val="both"/>
              <w:rPr>
                <w:rFonts w:eastAsia="SimSun"/>
              </w:rPr>
            </w:pPr>
            <w:r w:rsidRPr="007B2D72">
              <w:rPr>
                <w:rFonts w:eastAsia="SimSun"/>
              </w:rPr>
              <w:t>6</w:t>
            </w:r>
          </w:p>
        </w:tc>
        <w:tc>
          <w:tcPr>
            <w:tcW w:w="1194" w:type="dxa"/>
          </w:tcPr>
          <w:p w:rsidR="00343D43" w:rsidRPr="007B2D72" w:rsidRDefault="00343D43" w:rsidP="00D0037C">
            <w:pPr>
              <w:jc w:val="both"/>
              <w:rPr>
                <w:rFonts w:eastAsia="SimSun"/>
              </w:rPr>
            </w:pPr>
            <w:r w:rsidRPr="007B2D72">
              <w:rPr>
                <w:rFonts w:eastAsia="SimSun"/>
              </w:rPr>
              <w:t>2</w:t>
            </w:r>
          </w:p>
        </w:tc>
        <w:tc>
          <w:tcPr>
            <w:tcW w:w="708" w:type="dxa"/>
          </w:tcPr>
          <w:p w:rsidR="00343D43" w:rsidRPr="007B2D72" w:rsidRDefault="00343D43" w:rsidP="00D0037C">
            <w:pPr>
              <w:keepNext/>
              <w:jc w:val="both"/>
              <w:rPr>
                <w:rFonts w:eastAsia="SimSun"/>
              </w:rPr>
            </w:pPr>
            <w:r w:rsidRPr="007B2D72">
              <w:rPr>
                <w:rFonts w:eastAsia="SimSun"/>
              </w:rPr>
              <w:t>4</w:t>
            </w:r>
          </w:p>
        </w:tc>
      </w:tr>
    </w:tbl>
    <w:p w:rsidR="008C36FC" w:rsidRPr="00066F65" w:rsidRDefault="00E91AB9" w:rsidP="00BA5BC4">
      <w:pPr>
        <w:pStyle w:val="Caption"/>
      </w:pPr>
      <w:bookmarkStart w:id="248" w:name="_Ref236557280"/>
      <w:bookmarkStart w:id="249" w:name="_Toc259717435"/>
      <w:r w:rsidRPr="00066F65">
        <w:t xml:space="preserve">Figure </w:t>
      </w:r>
      <w:r w:rsidR="00BD151C">
        <w:fldChar w:fldCharType="begin"/>
      </w:r>
      <w:r w:rsidR="00801316">
        <w:instrText xml:space="preserve"> SEQ Figure \* ARABIC </w:instrText>
      </w:r>
      <w:r w:rsidR="00BD151C">
        <w:fldChar w:fldCharType="separate"/>
      </w:r>
      <w:r w:rsidR="003E4210">
        <w:rPr>
          <w:noProof/>
        </w:rPr>
        <w:t>3</w:t>
      </w:r>
      <w:r w:rsidR="00BD151C">
        <w:fldChar w:fldCharType="end"/>
      </w:r>
      <w:bookmarkEnd w:id="248"/>
      <w:r w:rsidR="008C36FC" w:rsidRPr="00066F65">
        <w:t xml:space="preserve"> </w:t>
      </w:r>
      <w:r w:rsidR="00CA5C16" w:rsidRPr="00066F65">
        <w:t xml:space="preserve">– </w:t>
      </w:r>
      <w:r w:rsidR="008C36FC" w:rsidRPr="00066F65">
        <w:t>Poll frame</w:t>
      </w:r>
      <w:bookmarkEnd w:id="249"/>
    </w:p>
    <w:p w:rsidR="008C36FC" w:rsidRPr="007B2D72" w:rsidRDefault="008C36FC" w:rsidP="0004091F"/>
    <w:p w:rsidR="000A1876" w:rsidRPr="007B2D72" w:rsidRDefault="000A1876" w:rsidP="0004091F">
      <w:r w:rsidRPr="007B2D72">
        <w:t>The Duration field is set to include the duration</w:t>
      </w:r>
      <w:r w:rsidR="001C0805" w:rsidRPr="001C0805">
        <w:t>, in microseconds,</w:t>
      </w:r>
      <w:r w:rsidRPr="007B2D72">
        <w:t xml:space="preserve"> of the remaining Poll frame transmissions, plus all appropriate IFSs, plus the duration of the SPR frame transmissions. </w:t>
      </w:r>
    </w:p>
    <w:p w:rsidR="000A1876" w:rsidRPr="007B2D72" w:rsidRDefault="0053357F" w:rsidP="0004091F">
      <w:r>
        <w:t xml:space="preserve"> </w:t>
      </w:r>
    </w:p>
    <w:p w:rsidR="008C36FC" w:rsidRPr="007B2D72" w:rsidRDefault="008C36FC" w:rsidP="0004091F">
      <w:r w:rsidRPr="007B2D72">
        <w:t>The RA field contains the address of the STA being polled.</w:t>
      </w:r>
    </w:p>
    <w:p w:rsidR="008C36FC" w:rsidRPr="007B2D72" w:rsidRDefault="008C36FC" w:rsidP="0004091F"/>
    <w:p w:rsidR="008C36FC" w:rsidRPr="007B2D72" w:rsidRDefault="008C36FC" w:rsidP="0004091F">
      <w:r w:rsidRPr="007B2D72">
        <w:t>The TA field contains the address of the PCP</w:t>
      </w:r>
      <w:r w:rsidR="00501C8B" w:rsidRPr="007B2D72">
        <w:t>/AP</w:t>
      </w:r>
      <w:r w:rsidR="00655EA4" w:rsidRPr="007B2D72">
        <w:t>.</w:t>
      </w:r>
    </w:p>
    <w:p w:rsidR="008C36FC" w:rsidRPr="007B2D72" w:rsidRDefault="008C36FC" w:rsidP="0004091F"/>
    <w:p w:rsidR="008C36FC" w:rsidRPr="007B2D72" w:rsidRDefault="008C36FC" w:rsidP="000606BD">
      <w:r w:rsidRPr="007B2D72">
        <w:t xml:space="preserve">The Response Offset indicates the offset in units of 0.25 </w:t>
      </w:r>
      <w:r w:rsidR="007D591E" w:rsidRPr="007B2D72">
        <w:t xml:space="preserve">microseconds </w:t>
      </w:r>
      <w:r w:rsidRPr="007B2D72">
        <w:t xml:space="preserve">beginning SIFS after the end of the Poll frame for when the </w:t>
      </w:r>
      <w:r w:rsidR="000A1876" w:rsidRPr="007B2D72">
        <w:t>SPR frame in response to this Poll frame is transmitted</w:t>
      </w:r>
      <w:r w:rsidRPr="007B2D72">
        <w:t>.</w:t>
      </w:r>
    </w:p>
    <w:p w:rsidR="008C36FC" w:rsidRPr="007B2D72" w:rsidRDefault="006013C1" w:rsidP="003701DB">
      <w:pPr>
        <w:pStyle w:val="Heading4"/>
        <w:numPr>
          <w:ilvl w:val="3"/>
          <w:numId w:val="203"/>
        </w:numPr>
      </w:pPr>
      <w:bookmarkStart w:id="250" w:name="_Toc235400223"/>
      <w:bookmarkStart w:id="251" w:name="_Ref236718916"/>
      <w:bookmarkStart w:id="252" w:name="_Ref236724807"/>
      <w:bookmarkStart w:id="253" w:name="_Ref236724978"/>
      <w:bookmarkStart w:id="254" w:name="_Ref236726658"/>
      <w:bookmarkStart w:id="255" w:name="_Ref236726879"/>
      <w:bookmarkStart w:id="256" w:name="_Toc259716880"/>
      <w:r>
        <w:t>Service period request (</w:t>
      </w:r>
      <w:r w:rsidR="008C36FC" w:rsidRPr="007B2D72">
        <w:t>SPR</w:t>
      </w:r>
      <w:bookmarkEnd w:id="250"/>
      <w:bookmarkEnd w:id="251"/>
      <w:bookmarkEnd w:id="252"/>
      <w:bookmarkEnd w:id="253"/>
      <w:bookmarkEnd w:id="254"/>
      <w:bookmarkEnd w:id="255"/>
      <w:r>
        <w:t>)</w:t>
      </w:r>
      <w:bookmarkEnd w:id="256"/>
    </w:p>
    <w:p w:rsidR="008C36FC" w:rsidRPr="007B2D72" w:rsidRDefault="008C36FC" w:rsidP="008C0DE3">
      <w:r w:rsidRPr="007B2D72">
        <w:t xml:space="preserve">The format of the SPR frame is shown in </w:t>
      </w:r>
      <w:fldSimple w:instr=" REF _Ref236557344 \h  \* MERGEFORMAT ">
        <w:r w:rsidR="003E4210" w:rsidRPr="00066F65">
          <w:t xml:space="preserve">Figure </w:t>
        </w:r>
        <w:r w:rsidR="003E4210">
          <w:t>4</w:t>
        </w:r>
      </w:fldSimple>
      <w:r w:rsidRPr="007B2D72">
        <w:t>.</w:t>
      </w:r>
      <w:r w:rsidR="00873086" w:rsidRPr="007B2D72">
        <w:t xml:space="preserve"> </w:t>
      </w:r>
    </w:p>
    <w:p w:rsidR="008C36FC" w:rsidRPr="007B2D72"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1059"/>
        <w:gridCol w:w="1097"/>
        <w:gridCol w:w="1097"/>
      </w:tblGrid>
      <w:tr w:rsidR="00D0037C" w:rsidRPr="00066F65" w:rsidTr="00D0037C">
        <w:trPr>
          <w:jc w:val="center"/>
        </w:trPr>
        <w:tc>
          <w:tcPr>
            <w:tcW w:w="1016" w:type="dxa"/>
          </w:tcPr>
          <w:p w:rsidR="00873086" w:rsidRPr="007B2D72" w:rsidRDefault="00873086" w:rsidP="00D0037C">
            <w:pPr>
              <w:jc w:val="both"/>
              <w:rPr>
                <w:rFonts w:eastAsia="SimSun"/>
              </w:rPr>
            </w:pPr>
          </w:p>
        </w:tc>
        <w:tc>
          <w:tcPr>
            <w:tcW w:w="1071" w:type="dxa"/>
          </w:tcPr>
          <w:p w:rsidR="00873086" w:rsidRPr="007B2D72" w:rsidRDefault="00873086" w:rsidP="005B4F79">
            <w:pPr>
              <w:jc w:val="both"/>
              <w:rPr>
                <w:rFonts w:eastAsia="SimSun"/>
              </w:rPr>
            </w:pPr>
            <w:r w:rsidRPr="007B2D72">
              <w:rPr>
                <w:rFonts w:eastAsia="SimSun"/>
              </w:rPr>
              <w:t>Frame</w:t>
            </w:r>
            <w:r w:rsidR="005B4F79" w:rsidRPr="007B2D72">
              <w:rPr>
                <w:rFonts w:eastAsia="SimSun"/>
              </w:rPr>
              <w:t xml:space="preserve"> </w:t>
            </w:r>
            <w:r w:rsidRPr="007B2D72">
              <w:rPr>
                <w:rFonts w:eastAsia="SimSun"/>
              </w:rPr>
              <w:t>Control</w:t>
            </w:r>
          </w:p>
        </w:tc>
        <w:tc>
          <w:tcPr>
            <w:tcW w:w="1188" w:type="dxa"/>
          </w:tcPr>
          <w:p w:rsidR="00873086" w:rsidRPr="007B2D72" w:rsidRDefault="00873086" w:rsidP="00D0037C">
            <w:pPr>
              <w:jc w:val="both"/>
              <w:rPr>
                <w:rFonts w:eastAsia="SimSun"/>
              </w:rPr>
            </w:pPr>
            <w:r w:rsidRPr="007B2D72">
              <w:rPr>
                <w:rFonts w:eastAsia="SimSun"/>
              </w:rPr>
              <w:t>Duration</w:t>
            </w:r>
          </w:p>
        </w:tc>
        <w:tc>
          <w:tcPr>
            <w:tcW w:w="670" w:type="dxa"/>
          </w:tcPr>
          <w:p w:rsidR="00873086" w:rsidRPr="007B2D72" w:rsidRDefault="00873086" w:rsidP="00D0037C">
            <w:pPr>
              <w:jc w:val="both"/>
              <w:rPr>
                <w:rFonts w:eastAsia="SimSun"/>
              </w:rPr>
            </w:pPr>
            <w:r w:rsidRPr="007B2D72">
              <w:rPr>
                <w:rFonts w:eastAsia="SimSun"/>
              </w:rPr>
              <w:t>RA</w:t>
            </w:r>
          </w:p>
        </w:tc>
        <w:tc>
          <w:tcPr>
            <w:tcW w:w="656" w:type="dxa"/>
          </w:tcPr>
          <w:p w:rsidR="00873086" w:rsidRPr="007B2D72" w:rsidRDefault="00873086" w:rsidP="00D0037C">
            <w:pPr>
              <w:jc w:val="both"/>
              <w:rPr>
                <w:rFonts w:eastAsia="SimSun"/>
              </w:rPr>
            </w:pPr>
            <w:r w:rsidRPr="007B2D72">
              <w:rPr>
                <w:rFonts w:eastAsia="SimSun"/>
              </w:rPr>
              <w:t>TA</w:t>
            </w:r>
          </w:p>
        </w:tc>
        <w:tc>
          <w:tcPr>
            <w:tcW w:w="1059" w:type="dxa"/>
          </w:tcPr>
          <w:p w:rsidR="00873086" w:rsidRPr="007B2D72" w:rsidRDefault="00873086" w:rsidP="00D0037C">
            <w:pPr>
              <w:jc w:val="both"/>
              <w:rPr>
                <w:rFonts w:eastAsia="SimSun"/>
              </w:rPr>
            </w:pPr>
            <w:r w:rsidRPr="007B2D72">
              <w:rPr>
                <w:rFonts w:eastAsia="SimSun"/>
              </w:rPr>
              <w:t>SP Info</w:t>
            </w:r>
          </w:p>
        </w:tc>
        <w:tc>
          <w:tcPr>
            <w:tcW w:w="1097" w:type="dxa"/>
          </w:tcPr>
          <w:p w:rsidR="00873086" w:rsidRPr="007B2D72" w:rsidRDefault="00873086" w:rsidP="00D0037C">
            <w:pPr>
              <w:jc w:val="both"/>
              <w:rPr>
                <w:rFonts w:eastAsia="SimSun"/>
              </w:rPr>
            </w:pPr>
            <w:r w:rsidRPr="007B2D72">
              <w:rPr>
                <w:rFonts w:eastAsia="SimSun"/>
              </w:rPr>
              <w:t>BF Control</w:t>
            </w:r>
          </w:p>
        </w:tc>
        <w:tc>
          <w:tcPr>
            <w:tcW w:w="1097" w:type="dxa"/>
          </w:tcPr>
          <w:p w:rsidR="00873086" w:rsidRPr="007B2D72" w:rsidRDefault="00873086" w:rsidP="00D0037C">
            <w:pPr>
              <w:jc w:val="both"/>
              <w:rPr>
                <w:rFonts w:eastAsia="SimSun"/>
              </w:rPr>
            </w:pPr>
            <w:r w:rsidRPr="007B2D72">
              <w:rPr>
                <w:rFonts w:eastAsia="SimSun"/>
              </w:rPr>
              <w:t>FCS</w:t>
            </w:r>
          </w:p>
        </w:tc>
      </w:tr>
      <w:tr w:rsidR="00D0037C" w:rsidRPr="00066F65" w:rsidTr="00D0037C">
        <w:trPr>
          <w:jc w:val="center"/>
        </w:trPr>
        <w:tc>
          <w:tcPr>
            <w:tcW w:w="1016" w:type="dxa"/>
          </w:tcPr>
          <w:p w:rsidR="00873086" w:rsidRPr="007B2D72" w:rsidRDefault="00873086" w:rsidP="00D0037C">
            <w:pPr>
              <w:jc w:val="both"/>
              <w:rPr>
                <w:rFonts w:eastAsia="SimSun"/>
              </w:rPr>
            </w:pPr>
            <w:r w:rsidRPr="007B2D72">
              <w:rPr>
                <w:rFonts w:eastAsia="SimSun"/>
              </w:rPr>
              <w:t>Octets:</w:t>
            </w:r>
          </w:p>
        </w:tc>
        <w:tc>
          <w:tcPr>
            <w:tcW w:w="1071" w:type="dxa"/>
          </w:tcPr>
          <w:p w:rsidR="00873086" w:rsidRPr="007B2D72" w:rsidRDefault="00873086" w:rsidP="00D0037C">
            <w:pPr>
              <w:jc w:val="both"/>
              <w:rPr>
                <w:rFonts w:eastAsia="SimSun"/>
              </w:rPr>
            </w:pPr>
            <w:r w:rsidRPr="007B2D72">
              <w:rPr>
                <w:rFonts w:eastAsia="SimSun"/>
              </w:rPr>
              <w:t>2</w:t>
            </w:r>
          </w:p>
        </w:tc>
        <w:tc>
          <w:tcPr>
            <w:tcW w:w="1188" w:type="dxa"/>
          </w:tcPr>
          <w:p w:rsidR="00873086" w:rsidRPr="007B2D72" w:rsidRDefault="00873086" w:rsidP="00D0037C">
            <w:pPr>
              <w:jc w:val="both"/>
              <w:rPr>
                <w:rFonts w:eastAsia="SimSun"/>
              </w:rPr>
            </w:pPr>
            <w:r w:rsidRPr="007B2D72">
              <w:rPr>
                <w:rFonts w:eastAsia="SimSun"/>
              </w:rPr>
              <w:t>2</w:t>
            </w:r>
          </w:p>
        </w:tc>
        <w:tc>
          <w:tcPr>
            <w:tcW w:w="670" w:type="dxa"/>
          </w:tcPr>
          <w:p w:rsidR="00873086" w:rsidRPr="007B2D72" w:rsidRDefault="00873086" w:rsidP="00D0037C">
            <w:pPr>
              <w:jc w:val="both"/>
              <w:rPr>
                <w:rFonts w:eastAsia="SimSun"/>
              </w:rPr>
            </w:pPr>
            <w:r w:rsidRPr="007B2D72">
              <w:rPr>
                <w:rFonts w:eastAsia="SimSun"/>
              </w:rPr>
              <w:t>6</w:t>
            </w:r>
          </w:p>
        </w:tc>
        <w:tc>
          <w:tcPr>
            <w:tcW w:w="656" w:type="dxa"/>
          </w:tcPr>
          <w:p w:rsidR="00873086" w:rsidRPr="007B2D72" w:rsidRDefault="00873086" w:rsidP="00D0037C">
            <w:pPr>
              <w:jc w:val="both"/>
              <w:rPr>
                <w:rFonts w:eastAsia="SimSun"/>
              </w:rPr>
            </w:pPr>
            <w:r w:rsidRPr="007B2D72">
              <w:rPr>
                <w:rFonts w:eastAsia="SimSun"/>
              </w:rPr>
              <w:t>6</w:t>
            </w:r>
          </w:p>
        </w:tc>
        <w:tc>
          <w:tcPr>
            <w:tcW w:w="1059" w:type="dxa"/>
          </w:tcPr>
          <w:p w:rsidR="00873086" w:rsidRPr="007B2D72" w:rsidRDefault="00DB367D" w:rsidP="00D0037C">
            <w:pPr>
              <w:jc w:val="both"/>
              <w:rPr>
                <w:rFonts w:eastAsia="SimSun"/>
              </w:rPr>
            </w:pPr>
            <w:r w:rsidRPr="007B2D72">
              <w:rPr>
                <w:rFonts w:eastAsia="SimSun"/>
              </w:rPr>
              <w:t>5</w:t>
            </w:r>
          </w:p>
        </w:tc>
        <w:tc>
          <w:tcPr>
            <w:tcW w:w="1097" w:type="dxa"/>
          </w:tcPr>
          <w:p w:rsidR="00873086" w:rsidRPr="007B2D72" w:rsidRDefault="00873086" w:rsidP="00D0037C">
            <w:pPr>
              <w:jc w:val="both"/>
              <w:rPr>
                <w:rFonts w:eastAsia="SimSun"/>
              </w:rPr>
            </w:pPr>
            <w:r w:rsidRPr="007B2D72">
              <w:rPr>
                <w:rFonts w:eastAsia="SimSun"/>
              </w:rPr>
              <w:t>2</w:t>
            </w:r>
          </w:p>
        </w:tc>
        <w:tc>
          <w:tcPr>
            <w:tcW w:w="1097" w:type="dxa"/>
          </w:tcPr>
          <w:p w:rsidR="00873086" w:rsidRPr="007B2D72" w:rsidRDefault="00873086" w:rsidP="00D0037C">
            <w:pPr>
              <w:keepNext/>
              <w:jc w:val="both"/>
              <w:rPr>
                <w:rFonts w:eastAsia="SimSun"/>
              </w:rPr>
            </w:pPr>
            <w:r w:rsidRPr="007B2D72">
              <w:rPr>
                <w:rFonts w:eastAsia="SimSun"/>
              </w:rPr>
              <w:t>4</w:t>
            </w:r>
          </w:p>
        </w:tc>
      </w:tr>
    </w:tbl>
    <w:p w:rsidR="008C36FC" w:rsidRPr="00066F65" w:rsidRDefault="00E91AB9" w:rsidP="00BA5BC4">
      <w:pPr>
        <w:pStyle w:val="Caption"/>
      </w:pPr>
      <w:bookmarkStart w:id="257" w:name="_Ref236557344"/>
      <w:bookmarkStart w:id="258" w:name="_Toc259717436"/>
      <w:r w:rsidRPr="00066F65">
        <w:t xml:space="preserve">Figure </w:t>
      </w:r>
      <w:r w:rsidR="00BD151C">
        <w:fldChar w:fldCharType="begin"/>
      </w:r>
      <w:r w:rsidR="00801316">
        <w:instrText xml:space="preserve"> SEQ Figure \* ARABIC </w:instrText>
      </w:r>
      <w:r w:rsidR="00BD151C">
        <w:fldChar w:fldCharType="separate"/>
      </w:r>
      <w:r w:rsidR="003E4210">
        <w:rPr>
          <w:noProof/>
        </w:rPr>
        <w:t>4</w:t>
      </w:r>
      <w:r w:rsidR="00BD151C">
        <w:fldChar w:fldCharType="end"/>
      </w:r>
      <w:bookmarkEnd w:id="257"/>
      <w:r w:rsidR="00AB4EDA" w:rsidRPr="00066F65">
        <w:t xml:space="preserve"> </w:t>
      </w:r>
      <w:r w:rsidR="008B180D" w:rsidRPr="00066F65">
        <w:t xml:space="preserve">– </w:t>
      </w:r>
      <w:r w:rsidR="008C36FC" w:rsidRPr="00066F65">
        <w:rPr>
          <w:noProof/>
        </w:rPr>
        <w:t>SPR frame</w:t>
      </w:r>
      <w:bookmarkEnd w:id="258"/>
    </w:p>
    <w:p w:rsidR="008C36FC" w:rsidRPr="007B2D72" w:rsidRDefault="008C36FC" w:rsidP="0004091F"/>
    <w:p w:rsidR="003F3A0F" w:rsidRPr="007B2D72" w:rsidRDefault="003F3A0F" w:rsidP="0004091F">
      <w:r w:rsidRPr="007B2D72">
        <w:t xml:space="preserve">When sent in response to a Poll frame, the Duration field is set to </w:t>
      </w:r>
      <w:r w:rsidR="006013C1">
        <w:t xml:space="preserve">the </w:t>
      </w:r>
      <w:r w:rsidRPr="007B2D72">
        <w:t>value of the Duration field contained in the Poll frame, minus the value of the Response Offset field contained in the Poll frame</w:t>
      </w:r>
      <w:r w:rsidR="00C703A8">
        <w:t xml:space="preserve"> </w:t>
      </w:r>
      <w:r w:rsidR="00C703A8" w:rsidRPr="00C703A8">
        <w:t xml:space="preserve">multiplied by its unit as specified in </w:t>
      </w:r>
      <w:r w:rsidR="00BD151C">
        <w:fldChar w:fldCharType="begin"/>
      </w:r>
      <w:r w:rsidR="00C703A8">
        <w:instrText xml:space="preserve"> REF _Ref250725500 \r \h </w:instrText>
      </w:r>
      <w:r w:rsidR="00BD151C">
        <w:fldChar w:fldCharType="separate"/>
      </w:r>
      <w:r w:rsidR="003E4210">
        <w:t>7.2.1.10</w:t>
      </w:r>
      <w:r w:rsidR="00BD151C">
        <w:fldChar w:fldCharType="end"/>
      </w:r>
      <w:r w:rsidRPr="007B2D72">
        <w:t>, minus SIFS</w:t>
      </w:r>
      <w:r w:rsidR="00E82650">
        <w:t xml:space="preserve">, </w:t>
      </w:r>
      <w:r w:rsidR="00E82650" w:rsidRPr="00E82650">
        <w:t>minus the time taken to transmit the SPR frame</w:t>
      </w:r>
      <w:r w:rsidRPr="007B2D72">
        <w:t xml:space="preserve">. Otherwise, the Duration field is set to zero. </w:t>
      </w:r>
    </w:p>
    <w:p w:rsidR="003F3A0F" w:rsidRPr="007B2D72" w:rsidRDefault="0053357F" w:rsidP="0004091F">
      <w:r>
        <w:t xml:space="preserve"> </w:t>
      </w:r>
    </w:p>
    <w:p w:rsidR="008C36FC" w:rsidRPr="007B2D72" w:rsidRDefault="008C36FC" w:rsidP="004E2A21">
      <w:r w:rsidRPr="007B2D72">
        <w:t>The RA field contains the address of the PCP</w:t>
      </w:r>
      <w:r w:rsidR="00C445BA" w:rsidRPr="007B2D72">
        <w:t>/AP</w:t>
      </w:r>
      <w:r w:rsidRPr="007B2D72">
        <w:t>.</w:t>
      </w:r>
    </w:p>
    <w:p w:rsidR="008C36FC" w:rsidRPr="007B2D72" w:rsidRDefault="008C36FC" w:rsidP="0004091F"/>
    <w:p w:rsidR="008C36FC" w:rsidRPr="007B2D72" w:rsidRDefault="008C36FC" w:rsidP="0004091F">
      <w:r w:rsidRPr="007B2D72">
        <w:t xml:space="preserve">The TA field contains the address of the STA transmitting </w:t>
      </w:r>
      <w:r w:rsidR="00343D43" w:rsidRPr="007B2D72">
        <w:t xml:space="preserve">the </w:t>
      </w:r>
      <w:r w:rsidRPr="007B2D72">
        <w:t>SP request.</w:t>
      </w:r>
    </w:p>
    <w:p w:rsidR="008C36FC" w:rsidRPr="007B2D72" w:rsidRDefault="008C36FC" w:rsidP="0004091F"/>
    <w:p w:rsidR="008C36FC" w:rsidRPr="007B2D72" w:rsidRDefault="008C36FC" w:rsidP="00B95159">
      <w:r w:rsidRPr="007B2D72">
        <w:t>The SP Info field is defined in</w:t>
      </w:r>
      <w:r w:rsidR="00005397" w:rsidRPr="007B2D72">
        <w:t xml:space="preserve"> </w:t>
      </w:r>
      <w:r w:rsidR="00BD151C">
        <w:fldChar w:fldCharType="begin"/>
      </w:r>
      <w:r w:rsidR="00BC5849">
        <w:instrText xml:space="preserve"> REF _Ref253745302 \h </w:instrText>
      </w:r>
      <w:r w:rsidR="00BD151C">
        <w:fldChar w:fldCharType="separate"/>
      </w:r>
      <w:r w:rsidR="003E4210">
        <w:t xml:space="preserve">7.3a.2 </w:t>
      </w:r>
      <w:r w:rsidR="003E4210" w:rsidRPr="009448FC">
        <w:t>SP Info field</w:t>
      </w:r>
      <w:r w:rsidR="00BD151C">
        <w:fldChar w:fldCharType="end"/>
      </w:r>
      <w:r w:rsidRPr="007B2D72">
        <w:t>.</w:t>
      </w:r>
    </w:p>
    <w:p w:rsidR="008C36FC" w:rsidRPr="007B2D72" w:rsidRDefault="008C36FC" w:rsidP="0004091F"/>
    <w:p w:rsidR="00873086" w:rsidRPr="007B2D72" w:rsidRDefault="00873086" w:rsidP="00AF440E">
      <w:r w:rsidRPr="007B2D72">
        <w:rPr>
          <w:rFonts w:eastAsia="Batang"/>
          <w:sz w:val="23"/>
        </w:rPr>
        <w:t xml:space="preserve">The BF Control field is </w:t>
      </w:r>
      <w:r w:rsidR="00BC5849">
        <w:rPr>
          <w:rFonts w:eastAsia="Batang"/>
          <w:sz w:val="23"/>
        </w:rPr>
        <w:t xml:space="preserve">defined in </w:t>
      </w:r>
      <w:r w:rsidR="00BD151C">
        <w:fldChar w:fldCharType="begin"/>
      </w:r>
      <w:r w:rsidR="00BC5849">
        <w:instrText xml:space="preserve"> REF _Ref253745303 \h </w:instrText>
      </w:r>
      <w:r w:rsidR="00BD151C">
        <w:fldChar w:fldCharType="separate"/>
      </w:r>
      <w:r w:rsidR="003E4210">
        <w:t>7.3a.5 Beamforming Control field</w:t>
      </w:r>
      <w:r w:rsidR="00BD151C">
        <w:fldChar w:fldCharType="end"/>
      </w:r>
      <w:r w:rsidRPr="007B2D72">
        <w:rPr>
          <w:rFonts w:eastAsia="Batang"/>
          <w:sz w:val="23"/>
        </w:rPr>
        <w:t>.</w:t>
      </w:r>
    </w:p>
    <w:p w:rsidR="007A6E6E" w:rsidRPr="007B2D72" w:rsidRDefault="007A6E6E" w:rsidP="00873086"/>
    <w:p w:rsidR="008C36FC" w:rsidRPr="007B2D72" w:rsidRDefault="008C36FC" w:rsidP="003701DB">
      <w:pPr>
        <w:pStyle w:val="Heading4"/>
        <w:numPr>
          <w:ilvl w:val="3"/>
          <w:numId w:val="203"/>
        </w:numPr>
      </w:pPr>
      <w:bookmarkStart w:id="259" w:name="_Toc235400224"/>
      <w:bookmarkStart w:id="260" w:name="_Ref243106368"/>
      <w:bookmarkStart w:id="261" w:name="_Toc259716881"/>
      <w:r w:rsidRPr="007B2D72">
        <w:t>Grant</w:t>
      </w:r>
      <w:bookmarkEnd w:id="259"/>
      <w:bookmarkEnd w:id="260"/>
      <w:bookmarkEnd w:id="261"/>
    </w:p>
    <w:p w:rsidR="008C36FC" w:rsidRPr="007B2D72" w:rsidRDefault="008C36FC" w:rsidP="006F3660">
      <w:pPr>
        <w:rPr>
          <w:b/>
          <w:i/>
        </w:rPr>
      </w:pPr>
      <w:r w:rsidRPr="007B2D72">
        <w:t xml:space="preserve">The format of the Grant frame is shown in </w:t>
      </w:r>
      <w:fldSimple w:instr=" REF _Ref236392526 \h  \* MERGEFORMAT ">
        <w:r w:rsidR="003E4210" w:rsidRPr="00066F65">
          <w:t xml:space="preserve">Figure </w:t>
        </w:r>
        <w:r w:rsidR="003E4210">
          <w:t>5</w:t>
        </w:r>
      </w:fldSimple>
      <w:r w:rsidRPr="007B2D72">
        <w:t>.</w:t>
      </w:r>
      <w:r w:rsidR="00281486" w:rsidRPr="007B2D72">
        <w:t xml:space="preserve"> </w:t>
      </w:r>
    </w:p>
    <w:p w:rsidR="008C36FC" w:rsidRPr="007B2D72"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950"/>
        <w:gridCol w:w="764"/>
      </w:tblGrid>
      <w:tr w:rsidR="00D0037C" w:rsidRPr="00066F65" w:rsidTr="00D0037C">
        <w:trPr>
          <w:jc w:val="center"/>
        </w:trPr>
        <w:tc>
          <w:tcPr>
            <w:tcW w:w="1016" w:type="dxa"/>
          </w:tcPr>
          <w:p w:rsidR="00B56380" w:rsidRPr="007B2D72" w:rsidRDefault="00B56380" w:rsidP="00D0037C">
            <w:pPr>
              <w:jc w:val="both"/>
              <w:rPr>
                <w:rFonts w:eastAsia="SimSun"/>
              </w:rPr>
            </w:pPr>
          </w:p>
        </w:tc>
        <w:tc>
          <w:tcPr>
            <w:tcW w:w="1071" w:type="dxa"/>
          </w:tcPr>
          <w:p w:rsidR="00B56380" w:rsidRPr="007B2D72" w:rsidRDefault="00B56380" w:rsidP="00D0037C">
            <w:pPr>
              <w:jc w:val="both"/>
              <w:rPr>
                <w:rFonts w:eastAsia="SimSun"/>
              </w:rPr>
            </w:pPr>
            <w:r w:rsidRPr="007B2D72">
              <w:rPr>
                <w:rFonts w:eastAsia="SimSun"/>
              </w:rPr>
              <w:t>Frame</w:t>
            </w:r>
          </w:p>
          <w:p w:rsidR="00B56380" w:rsidRPr="007B2D72" w:rsidRDefault="00B56380" w:rsidP="00D0037C">
            <w:pPr>
              <w:jc w:val="both"/>
              <w:rPr>
                <w:rFonts w:eastAsia="SimSun"/>
              </w:rPr>
            </w:pPr>
            <w:r w:rsidRPr="007B2D72">
              <w:rPr>
                <w:rFonts w:eastAsia="SimSun"/>
              </w:rPr>
              <w:t>Control</w:t>
            </w:r>
          </w:p>
        </w:tc>
        <w:tc>
          <w:tcPr>
            <w:tcW w:w="1188" w:type="dxa"/>
          </w:tcPr>
          <w:p w:rsidR="00B56380" w:rsidRPr="007B2D72" w:rsidRDefault="00B56380" w:rsidP="00D0037C">
            <w:pPr>
              <w:jc w:val="both"/>
              <w:rPr>
                <w:rFonts w:eastAsia="SimSun"/>
              </w:rPr>
            </w:pPr>
            <w:r w:rsidRPr="007B2D72">
              <w:rPr>
                <w:rFonts w:eastAsia="SimSun"/>
              </w:rPr>
              <w:t>Duration</w:t>
            </w:r>
          </w:p>
        </w:tc>
        <w:tc>
          <w:tcPr>
            <w:tcW w:w="670" w:type="dxa"/>
          </w:tcPr>
          <w:p w:rsidR="00B56380" w:rsidRPr="007B2D72" w:rsidRDefault="00B56380" w:rsidP="00D0037C">
            <w:pPr>
              <w:jc w:val="both"/>
              <w:rPr>
                <w:rFonts w:eastAsia="SimSun"/>
              </w:rPr>
            </w:pPr>
            <w:r w:rsidRPr="007B2D72">
              <w:rPr>
                <w:rFonts w:eastAsia="SimSun"/>
              </w:rPr>
              <w:t>RA</w:t>
            </w:r>
          </w:p>
        </w:tc>
        <w:tc>
          <w:tcPr>
            <w:tcW w:w="656" w:type="dxa"/>
          </w:tcPr>
          <w:p w:rsidR="00B56380" w:rsidRPr="007B2D72" w:rsidRDefault="00B56380" w:rsidP="00D0037C">
            <w:pPr>
              <w:jc w:val="both"/>
              <w:rPr>
                <w:rFonts w:eastAsia="SimSun"/>
              </w:rPr>
            </w:pPr>
            <w:r w:rsidRPr="007B2D72">
              <w:rPr>
                <w:rFonts w:eastAsia="SimSun"/>
              </w:rPr>
              <w:t>TA</w:t>
            </w:r>
          </w:p>
        </w:tc>
        <w:tc>
          <w:tcPr>
            <w:tcW w:w="764" w:type="dxa"/>
          </w:tcPr>
          <w:p w:rsidR="00B56380" w:rsidRPr="007B2D72" w:rsidRDefault="00B56380" w:rsidP="00D0037C">
            <w:pPr>
              <w:jc w:val="both"/>
              <w:rPr>
                <w:rFonts w:eastAsia="SimSun"/>
              </w:rPr>
            </w:pPr>
            <w:r w:rsidRPr="007B2D72">
              <w:rPr>
                <w:rFonts w:eastAsia="SimSun"/>
              </w:rPr>
              <w:t>SP Info</w:t>
            </w:r>
          </w:p>
        </w:tc>
        <w:tc>
          <w:tcPr>
            <w:tcW w:w="764" w:type="dxa"/>
          </w:tcPr>
          <w:p w:rsidR="00B56380" w:rsidRPr="007B2D72" w:rsidRDefault="00B56380" w:rsidP="00D0037C">
            <w:pPr>
              <w:jc w:val="both"/>
              <w:rPr>
                <w:rFonts w:eastAsia="SimSun"/>
              </w:rPr>
            </w:pPr>
            <w:r w:rsidRPr="007B2D72">
              <w:rPr>
                <w:rFonts w:eastAsia="SimSun"/>
              </w:rPr>
              <w:t>BF Control</w:t>
            </w:r>
          </w:p>
        </w:tc>
        <w:tc>
          <w:tcPr>
            <w:tcW w:w="764" w:type="dxa"/>
          </w:tcPr>
          <w:p w:rsidR="00B56380" w:rsidRPr="007B2D72" w:rsidRDefault="00B56380" w:rsidP="00D0037C">
            <w:pPr>
              <w:jc w:val="both"/>
              <w:rPr>
                <w:rFonts w:eastAsia="SimSun"/>
              </w:rPr>
            </w:pPr>
            <w:r w:rsidRPr="007B2D72">
              <w:rPr>
                <w:rFonts w:eastAsia="SimSun"/>
              </w:rPr>
              <w:t>FCS</w:t>
            </w:r>
          </w:p>
        </w:tc>
      </w:tr>
      <w:tr w:rsidR="00D0037C" w:rsidRPr="00066F65" w:rsidTr="00D0037C">
        <w:trPr>
          <w:jc w:val="center"/>
        </w:trPr>
        <w:tc>
          <w:tcPr>
            <w:tcW w:w="1016" w:type="dxa"/>
          </w:tcPr>
          <w:p w:rsidR="00B56380" w:rsidRPr="00F03122" w:rsidRDefault="00B56380" w:rsidP="00D0037C">
            <w:pPr>
              <w:jc w:val="both"/>
              <w:rPr>
                <w:rFonts w:eastAsia="SimSun"/>
              </w:rPr>
            </w:pPr>
            <w:r w:rsidRPr="00F03122">
              <w:rPr>
                <w:rFonts w:eastAsia="SimSun"/>
              </w:rPr>
              <w:t>Octets:</w:t>
            </w:r>
          </w:p>
        </w:tc>
        <w:tc>
          <w:tcPr>
            <w:tcW w:w="1071" w:type="dxa"/>
          </w:tcPr>
          <w:p w:rsidR="00B56380" w:rsidRPr="00F03122" w:rsidRDefault="00B56380" w:rsidP="00D0037C">
            <w:pPr>
              <w:jc w:val="both"/>
              <w:rPr>
                <w:rFonts w:eastAsia="SimSun"/>
              </w:rPr>
            </w:pPr>
            <w:r w:rsidRPr="00F03122">
              <w:rPr>
                <w:rFonts w:eastAsia="SimSun"/>
              </w:rPr>
              <w:t>2</w:t>
            </w:r>
          </w:p>
        </w:tc>
        <w:tc>
          <w:tcPr>
            <w:tcW w:w="1188" w:type="dxa"/>
          </w:tcPr>
          <w:p w:rsidR="00B56380" w:rsidRPr="00F03122" w:rsidRDefault="00B56380" w:rsidP="00D0037C">
            <w:pPr>
              <w:jc w:val="both"/>
              <w:rPr>
                <w:rFonts w:eastAsia="SimSun"/>
              </w:rPr>
            </w:pPr>
            <w:r w:rsidRPr="00F03122">
              <w:rPr>
                <w:rFonts w:eastAsia="SimSun"/>
              </w:rPr>
              <w:t>2</w:t>
            </w:r>
          </w:p>
        </w:tc>
        <w:tc>
          <w:tcPr>
            <w:tcW w:w="670" w:type="dxa"/>
          </w:tcPr>
          <w:p w:rsidR="00B56380" w:rsidRPr="00F03122" w:rsidRDefault="00B56380" w:rsidP="00D0037C">
            <w:pPr>
              <w:jc w:val="both"/>
              <w:rPr>
                <w:rFonts w:eastAsia="SimSun"/>
              </w:rPr>
            </w:pPr>
            <w:r w:rsidRPr="00F03122">
              <w:rPr>
                <w:rFonts w:eastAsia="SimSun"/>
              </w:rPr>
              <w:t>6</w:t>
            </w:r>
          </w:p>
        </w:tc>
        <w:tc>
          <w:tcPr>
            <w:tcW w:w="656" w:type="dxa"/>
          </w:tcPr>
          <w:p w:rsidR="00B56380" w:rsidRPr="00F03122" w:rsidRDefault="00B56380" w:rsidP="00D0037C">
            <w:pPr>
              <w:jc w:val="both"/>
              <w:rPr>
                <w:rFonts w:eastAsia="SimSun"/>
              </w:rPr>
            </w:pPr>
            <w:r w:rsidRPr="00F03122">
              <w:rPr>
                <w:rFonts w:eastAsia="SimSun"/>
              </w:rPr>
              <w:t>6</w:t>
            </w:r>
          </w:p>
        </w:tc>
        <w:tc>
          <w:tcPr>
            <w:tcW w:w="764" w:type="dxa"/>
          </w:tcPr>
          <w:p w:rsidR="00B56380" w:rsidRPr="00F03122" w:rsidRDefault="00DB367D" w:rsidP="00D0037C">
            <w:pPr>
              <w:jc w:val="both"/>
              <w:rPr>
                <w:rFonts w:eastAsia="SimSun"/>
              </w:rPr>
            </w:pPr>
            <w:r w:rsidRPr="00F03122">
              <w:rPr>
                <w:rFonts w:eastAsia="SimSun"/>
              </w:rPr>
              <w:t>5</w:t>
            </w:r>
          </w:p>
        </w:tc>
        <w:tc>
          <w:tcPr>
            <w:tcW w:w="764" w:type="dxa"/>
          </w:tcPr>
          <w:p w:rsidR="00B56380" w:rsidRPr="00F03122" w:rsidRDefault="00B56380" w:rsidP="00D0037C">
            <w:pPr>
              <w:jc w:val="both"/>
              <w:rPr>
                <w:rFonts w:eastAsia="SimSun"/>
              </w:rPr>
            </w:pPr>
            <w:r w:rsidRPr="00F03122">
              <w:rPr>
                <w:rFonts w:eastAsia="SimSun"/>
              </w:rPr>
              <w:t>2</w:t>
            </w:r>
          </w:p>
        </w:tc>
        <w:tc>
          <w:tcPr>
            <w:tcW w:w="764" w:type="dxa"/>
          </w:tcPr>
          <w:p w:rsidR="00B56380" w:rsidRPr="00F03122" w:rsidRDefault="00B56380" w:rsidP="00D0037C">
            <w:pPr>
              <w:keepNext/>
              <w:jc w:val="both"/>
              <w:rPr>
                <w:rFonts w:eastAsia="SimSun"/>
              </w:rPr>
            </w:pPr>
            <w:r w:rsidRPr="00F03122">
              <w:rPr>
                <w:rFonts w:eastAsia="SimSun"/>
              </w:rPr>
              <w:t>4</w:t>
            </w:r>
          </w:p>
        </w:tc>
      </w:tr>
    </w:tbl>
    <w:p w:rsidR="008C36FC" w:rsidRPr="00066F65" w:rsidRDefault="00EB0B4D" w:rsidP="00BA5BC4">
      <w:pPr>
        <w:pStyle w:val="Caption"/>
      </w:pPr>
      <w:bookmarkStart w:id="262" w:name="_Ref236392526"/>
      <w:bookmarkStart w:id="263" w:name="_Toc259717437"/>
      <w:r w:rsidRPr="00066F65">
        <w:t xml:space="preserve">Figure </w:t>
      </w:r>
      <w:r w:rsidR="00BD151C">
        <w:fldChar w:fldCharType="begin"/>
      </w:r>
      <w:r w:rsidR="00801316">
        <w:instrText xml:space="preserve"> SEQ Figure \* ARABIC </w:instrText>
      </w:r>
      <w:r w:rsidR="00BD151C">
        <w:fldChar w:fldCharType="separate"/>
      </w:r>
      <w:r w:rsidR="003E4210">
        <w:rPr>
          <w:noProof/>
        </w:rPr>
        <w:t>5</w:t>
      </w:r>
      <w:r w:rsidR="00BD151C">
        <w:fldChar w:fldCharType="end"/>
      </w:r>
      <w:bookmarkEnd w:id="262"/>
      <w:r w:rsidR="008C36FC" w:rsidRPr="00066F65">
        <w:t xml:space="preserve"> </w:t>
      </w:r>
      <w:r w:rsidR="008B180D" w:rsidRPr="00066F65">
        <w:t xml:space="preserve">– </w:t>
      </w:r>
      <w:r w:rsidR="008C36FC" w:rsidRPr="00066F65">
        <w:t>Grant frame</w:t>
      </w:r>
      <w:bookmarkEnd w:id="263"/>
    </w:p>
    <w:p w:rsidR="00005397" w:rsidRPr="00F03122" w:rsidRDefault="00005397" w:rsidP="00005397">
      <w:pPr>
        <w:autoSpaceDE w:val="0"/>
        <w:autoSpaceDN w:val="0"/>
        <w:adjustRightInd w:val="0"/>
      </w:pPr>
    </w:p>
    <w:p w:rsidR="004A6A4A" w:rsidRPr="00F03122" w:rsidRDefault="00DB367D" w:rsidP="00005397">
      <w:pPr>
        <w:autoSpaceDE w:val="0"/>
        <w:autoSpaceDN w:val="0"/>
        <w:adjustRightInd w:val="0"/>
      </w:pPr>
      <w:r w:rsidRPr="00F03122">
        <w:t xml:space="preserve">For unicast Grant frames the Duration field in the Grant frame is set to cover the time to transmit the </w:t>
      </w:r>
      <w:r w:rsidR="00F23523">
        <w:t xml:space="preserve">remaining </w:t>
      </w:r>
      <w:r w:rsidRPr="00F03122">
        <w:t xml:space="preserve">Grant frame if required, the related IFS and the SP Duration carried in the SP Info field. For broadcast Grant frames the Duration field is set to cover for the duration of all </w:t>
      </w:r>
      <w:r w:rsidR="00F23523">
        <w:t xml:space="preserve">remaining </w:t>
      </w:r>
      <w:r w:rsidRPr="00F03122">
        <w:t xml:space="preserve">Grant frames and the transmission of the following MPDU and its response frame, if required (including appropriate IFS values). </w:t>
      </w:r>
    </w:p>
    <w:p w:rsidR="004A6A4A" w:rsidRPr="00F03122" w:rsidRDefault="004A6A4A" w:rsidP="0004091F"/>
    <w:p w:rsidR="008C36FC" w:rsidRPr="00F03122" w:rsidRDefault="008C36FC" w:rsidP="0004091F">
      <w:r w:rsidRPr="00F03122">
        <w:t>The RA field contains the address of the STA receiving the SP grant.</w:t>
      </w:r>
    </w:p>
    <w:p w:rsidR="008C36FC" w:rsidRPr="00F03122" w:rsidRDefault="008C36FC" w:rsidP="0004091F"/>
    <w:p w:rsidR="008C36FC" w:rsidRPr="00F03122" w:rsidRDefault="00DB367D" w:rsidP="0004091F">
      <w:r w:rsidRPr="00F03122">
        <w:rPr>
          <w:sz w:val="23"/>
        </w:rPr>
        <w:t xml:space="preserve">The TA field contains the address of the STA that has transmitted the Grant frame. </w:t>
      </w:r>
    </w:p>
    <w:p w:rsidR="008C36FC" w:rsidRPr="00F03122" w:rsidRDefault="008C36FC" w:rsidP="0004091F"/>
    <w:p w:rsidR="008C36FC" w:rsidRPr="00F03122" w:rsidRDefault="008C36FC" w:rsidP="002918FA">
      <w:r w:rsidRPr="00F03122">
        <w:t>The SP Info field is defined in</w:t>
      </w:r>
      <w:r w:rsidR="00BC5849">
        <w:t xml:space="preserve"> </w:t>
      </w:r>
      <w:r w:rsidR="00BD151C">
        <w:fldChar w:fldCharType="begin"/>
      </w:r>
      <w:r w:rsidR="00BC5849">
        <w:instrText xml:space="preserve"> REF _Ref253745302 \h </w:instrText>
      </w:r>
      <w:r w:rsidR="00BD151C">
        <w:fldChar w:fldCharType="separate"/>
      </w:r>
      <w:r w:rsidR="003E4210">
        <w:t xml:space="preserve">7.3a.2 </w:t>
      </w:r>
      <w:r w:rsidR="003E4210" w:rsidRPr="009448FC">
        <w:t>SP Info field</w:t>
      </w:r>
      <w:r w:rsidR="00BD151C">
        <w:fldChar w:fldCharType="end"/>
      </w:r>
      <w:r w:rsidRPr="00F03122">
        <w:t>.</w:t>
      </w:r>
    </w:p>
    <w:p w:rsidR="00F34389" w:rsidRPr="00F03122" w:rsidRDefault="00F34389" w:rsidP="00B56380">
      <w:pPr>
        <w:rPr>
          <w:rFonts w:eastAsia="Batang"/>
          <w:sz w:val="23"/>
        </w:rPr>
      </w:pPr>
    </w:p>
    <w:p w:rsidR="00B56380" w:rsidRPr="00F03122" w:rsidRDefault="00B56380" w:rsidP="006F32EC">
      <w:r w:rsidRPr="00F03122">
        <w:rPr>
          <w:rFonts w:eastAsia="Batang"/>
          <w:sz w:val="23"/>
        </w:rPr>
        <w:lastRenderedPageBreak/>
        <w:t>The BF Control field is defined in</w:t>
      </w:r>
      <w:r w:rsidR="00BC5849">
        <w:rPr>
          <w:rFonts w:eastAsia="Batang"/>
          <w:sz w:val="23"/>
        </w:rPr>
        <w:t xml:space="preserve"> </w:t>
      </w:r>
      <w:r w:rsidR="00BD151C">
        <w:fldChar w:fldCharType="begin"/>
      </w:r>
      <w:r w:rsidR="00BC5849">
        <w:instrText xml:space="preserve"> REF _Ref253745303 \h </w:instrText>
      </w:r>
      <w:r w:rsidR="00BD151C">
        <w:fldChar w:fldCharType="separate"/>
      </w:r>
      <w:r w:rsidR="003E4210">
        <w:t>7.3a.5 Beamforming Control field</w:t>
      </w:r>
      <w:r w:rsidR="00BD151C">
        <w:fldChar w:fldCharType="end"/>
      </w:r>
      <w:r w:rsidRPr="00F03122">
        <w:rPr>
          <w:rFonts w:eastAsia="Batang"/>
          <w:sz w:val="23"/>
        </w:rPr>
        <w:t>.</w:t>
      </w:r>
    </w:p>
    <w:p w:rsidR="008C36FC" w:rsidRPr="00F03122" w:rsidRDefault="008C36FC" w:rsidP="0004091F"/>
    <w:p w:rsidR="008C36FC" w:rsidRPr="00F03122" w:rsidRDefault="008C36FC" w:rsidP="003701DB">
      <w:pPr>
        <w:pStyle w:val="Heading4"/>
        <w:numPr>
          <w:ilvl w:val="3"/>
          <w:numId w:val="203"/>
        </w:numPr>
      </w:pPr>
      <w:bookmarkStart w:id="264" w:name="_Toc235400225"/>
      <w:bookmarkStart w:id="265" w:name="_Toc259716882"/>
      <w:r w:rsidRPr="00F03122">
        <w:t>mmWaveCTS</w:t>
      </w:r>
      <w:bookmarkEnd w:id="264"/>
      <w:bookmarkEnd w:id="265"/>
      <w:r w:rsidR="00281486" w:rsidRPr="00F03122">
        <w:t xml:space="preserve"> </w:t>
      </w:r>
    </w:p>
    <w:p w:rsidR="008C36FC" w:rsidRPr="00F03122" w:rsidRDefault="008C36FC" w:rsidP="006A7290">
      <w:pPr>
        <w:rPr>
          <w:rFonts w:eastAsia="MS Mincho"/>
        </w:rPr>
      </w:pPr>
      <w:r w:rsidRPr="00F03122">
        <w:rPr>
          <w:rFonts w:eastAsia="MS Mincho"/>
        </w:rPr>
        <w:t xml:space="preserve">The frame format for the mmWaveCTS frame is as defined in </w:t>
      </w:r>
      <w:r w:rsidR="00BD151C" w:rsidRPr="00F03122">
        <w:rPr>
          <w:rFonts w:eastAsia="MS Mincho"/>
        </w:rPr>
        <w:fldChar w:fldCharType="begin"/>
      </w:r>
      <w:r w:rsidR="00095B98" w:rsidRPr="00F03122">
        <w:rPr>
          <w:rFonts w:eastAsia="MS Mincho"/>
        </w:rPr>
        <w:instrText xml:space="preserve"> REF _Ref236557422 \h </w:instrText>
      </w:r>
      <w:r w:rsidR="00BD151C" w:rsidRPr="00F03122">
        <w:rPr>
          <w:rFonts w:eastAsia="MS Mincho"/>
        </w:rPr>
      </w:r>
      <w:r w:rsidR="00BD151C" w:rsidRPr="00F03122">
        <w:rPr>
          <w:rFonts w:eastAsia="MS Mincho"/>
        </w:rPr>
        <w:fldChar w:fldCharType="separate"/>
      </w:r>
      <w:r w:rsidR="003E4210" w:rsidRPr="00066F65">
        <w:t xml:space="preserve">Figure </w:t>
      </w:r>
      <w:r w:rsidR="003E4210">
        <w:rPr>
          <w:noProof/>
        </w:rPr>
        <w:t>6</w:t>
      </w:r>
      <w:r w:rsidR="00BD151C" w:rsidRPr="00F03122">
        <w:rPr>
          <w:rFonts w:eastAsia="MS Mincho"/>
        </w:rPr>
        <w:fldChar w:fldCharType="end"/>
      </w:r>
      <w:r w:rsidRPr="00F03122">
        <w:rPr>
          <w:rFonts w:eastAsia="MS Mincho"/>
        </w:rPr>
        <w:t>.</w:t>
      </w:r>
    </w:p>
    <w:p w:rsidR="008C36FC" w:rsidRPr="00F03122" w:rsidRDefault="008C36FC" w:rsidP="0004091F">
      <w:pPr>
        <w:ind w:left="360"/>
        <w:rPr>
          <w:rFonts w:eastAsia="MS Mincho"/>
          <w:b/>
        </w:rPr>
      </w:pPr>
    </w:p>
    <w:p w:rsidR="008C36FC" w:rsidRPr="00F03122" w:rsidRDefault="008C36FC" w:rsidP="0004091F">
      <w:pPr>
        <w:ind w:left="360"/>
        <w:rPr>
          <w:rFonts w:eastAsia="MS Mincho"/>
          <w:b/>
        </w:rPr>
      </w:pPr>
      <w:r w:rsidRPr="00F03122">
        <w:object w:dxaOrig="8286" w:dyaOrig="1935">
          <v:shape id="_x0000_i1028" type="#_x0000_t75" style="width:416.6pt;height:97.8pt" o:ole="">
            <v:imagedata r:id="rId106" o:title=""/>
          </v:shape>
          <o:OLEObject Type="Embed" ProgID="Visio.Drawing.11" ShapeID="_x0000_i1028" DrawAspect="Content" ObjectID="_1334048210" r:id="rId107"/>
        </w:object>
      </w:r>
    </w:p>
    <w:p w:rsidR="008C36FC" w:rsidRPr="00066F65" w:rsidRDefault="006F3660" w:rsidP="00BA5BC4">
      <w:pPr>
        <w:pStyle w:val="Caption"/>
      </w:pPr>
      <w:bookmarkStart w:id="266" w:name="_Ref236557422"/>
      <w:bookmarkStart w:id="267" w:name="_Toc259717438"/>
      <w:r w:rsidRPr="00066F65">
        <w:t xml:space="preserve">Figure </w:t>
      </w:r>
      <w:r w:rsidR="00BD151C">
        <w:fldChar w:fldCharType="begin"/>
      </w:r>
      <w:r w:rsidR="00801316">
        <w:instrText xml:space="preserve"> SEQ Figure \* ARABIC </w:instrText>
      </w:r>
      <w:r w:rsidR="00BD151C">
        <w:fldChar w:fldCharType="separate"/>
      </w:r>
      <w:r w:rsidR="003E4210">
        <w:rPr>
          <w:noProof/>
        </w:rPr>
        <w:t>6</w:t>
      </w:r>
      <w:r w:rsidR="00BD151C">
        <w:fldChar w:fldCharType="end"/>
      </w:r>
      <w:bookmarkEnd w:id="266"/>
      <w:r w:rsidR="008B180D" w:rsidRPr="00066F65">
        <w:rPr>
          <w:bCs/>
        </w:rPr>
        <w:t xml:space="preserve"> – </w:t>
      </w:r>
      <w:r w:rsidR="008C36FC" w:rsidRPr="00066F65">
        <w:rPr>
          <w:bCs/>
        </w:rPr>
        <w:t>mmWaveCTS frame</w:t>
      </w:r>
      <w:bookmarkEnd w:id="267"/>
    </w:p>
    <w:p w:rsidR="008C36FC" w:rsidRPr="001D49DB" w:rsidRDefault="008C36FC" w:rsidP="001D49DB">
      <w:pPr>
        <w:rPr>
          <w:rFonts w:eastAsia="MS Mincho"/>
        </w:rPr>
      </w:pPr>
    </w:p>
    <w:p w:rsidR="001D49DB" w:rsidRDefault="001D49DB" w:rsidP="001D49DB">
      <w:pPr>
        <w:rPr>
          <w:rFonts w:ascii="TimesNewRomanPSMT" w:hAnsi="TimesNewRomanPSMT" w:cs="TimesNewRomanPSMT"/>
          <w:lang w:bidi="ar-SA"/>
        </w:rPr>
      </w:pPr>
      <w:r w:rsidRPr="00550A8C">
        <w:rPr>
          <w:rFonts w:ascii="TimesNewRomanPSMT" w:hAnsi="TimesNewRomanPSMT" w:cs="TimesNewRomanPSMT"/>
          <w:lang w:bidi="ar-SA"/>
        </w:rPr>
        <w:t xml:space="preserve">For all </w:t>
      </w:r>
      <w:r>
        <w:rPr>
          <w:rFonts w:ascii="TimesNewRomanPSMT" w:hAnsi="TimesNewRomanPSMT" w:cs="TimesNewRomanPSMT"/>
          <w:lang w:bidi="ar-SA"/>
        </w:rPr>
        <w:t>mmWave</w:t>
      </w:r>
      <w:r w:rsidRPr="00550A8C">
        <w:rPr>
          <w:rFonts w:ascii="TimesNewRomanPSMT" w:hAnsi="TimesNewRomanPSMT" w:cs="TimesNewRomanPSMT"/>
          <w:lang w:bidi="ar-SA"/>
        </w:rPr>
        <w:t xml:space="preserve">CTS frames sent in response to RTS frames, the duration value is the value obtained from the Duration field of the immediately previous RTS frame, minus the time, in microseconds, required to transmit the </w:t>
      </w:r>
      <w:r>
        <w:rPr>
          <w:rFonts w:ascii="TimesNewRomanPSMT" w:hAnsi="TimesNewRomanPSMT" w:cs="TimesNewRomanPSMT"/>
          <w:lang w:bidi="ar-SA"/>
        </w:rPr>
        <w:t>mmWave</w:t>
      </w:r>
      <w:r w:rsidRPr="00550A8C">
        <w:rPr>
          <w:rFonts w:ascii="TimesNewRomanPSMT" w:hAnsi="TimesNewRomanPSMT" w:cs="TimesNewRomanPSMT"/>
          <w:lang w:bidi="ar-SA"/>
        </w:rPr>
        <w:t xml:space="preserve">CTS frame and its SIFS interval. </w:t>
      </w:r>
      <w:r>
        <w:rPr>
          <w:rFonts w:ascii="TimesNewRomanPSMT" w:hAnsi="TimesNewRomanPSMT" w:cs="TimesNewRomanPSMT"/>
          <w:lang w:bidi="ar-SA"/>
        </w:rPr>
        <w:t xml:space="preserve">Otherwise, the Duration field is set to the remaining duration of the TXOP or SP. </w:t>
      </w:r>
      <w:r w:rsidRPr="00550A8C">
        <w:rPr>
          <w:rFonts w:ascii="TimesNewRomanPSMT" w:hAnsi="TimesNewRomanPSMT" w:cs="TimesNewRomanPSMT"/>
          <w:lang w:bidi="ar-SA"/>
        </w:rPr>
        <w:t>If the calculated duration includes a fractional microsecond, that value is rounded up to the next higher integer.</w:t>
      </w:r>
    </w:p>
    <w:p w:rsidR="001D49DB" w:rsidRPr="00F03122" w:rsidRDefault="001D49DB" w:rsidP="001D49DB">
      <w:pPr>
        <w:rPr>
          <w:rFonts w:eastAsia="MS Mincho"/>
          <w:b/>
        </w:rPr>
      </w:pPr>
    </w:p>
    <w:p w:rsidR="00114176" w:rsidRPr="00F03122" w:rsidRDefault="00114176" w:rsidP="00CA5C16">
      <w:pPr>
        <w:rPr>
          <w:rFonts w:eastAsia="MS Mincho"/>
        </w:rPr>
      </w:pPr>
      <w:r w:rsidRPr="00F03122">
        <w:rPr>
          <w:rFonts w:eastAsia="MS Mincho"/>
        </w:rPr>
        <w:t>T</w:t>
      </w:r>
      <w:r w:rsidR="008C36FC" w:rsidRPr="00F03122">
        <w:rPr>
          <w:rFonts w:eastAsia="MS Mincho"/>
        </w:rPr>
        <w:t>he RA field of the frame is copied from the TA field of the immediately previous RTS frame to which the mmWaveCTS is a response</w:t>
      </w:r>
      <w:r w:rsidRPr="00F03122">
        <w:rPr>
          <w:rFonts w:eastAsia="MS Mincho"/>
        </w:rPr>
        <w:t>.</w:t>
      </w:r>
    </w:p>
    <w:p w:rsidR="00114176" w:rsidRPr="00F03122" w:rsidRDefault="00114176" w:rsidP="00114176">
      <w:pPr>
        <w:ind w:left="360"/>
        <w:rPr>
          <w:rFonts w:eastAsia="MS Mincho"/>
        </w:rPr>
      </w:pPr>
    </w:p>
    <w:p w:rsidR="008C36FC" w:rsidRPr="00F03122" w:rsidRDefault="00114176" w:rsidP="00CA5C16">
      <w:pPr>
        <w:rPr>
          <w:rFonts w:eastAsia="MS Mincho"/>
        </w:rPr>
      </w:pPr>
      <w:r w:rsidRPr="00F03122">
        <w:rPr>
          <w:rFonts w:eastAsia="MS Mincho"/>
        </w:rPr>
        <w:t>T</w:t>
      </w:r>
      <w:r w:rsidR="008C36FC" w:rsidRPr="00F03122">
        <w:rPr>
          <w:rFonts w:eastAsia="MS Mincho"/>
        </w:rPr>
        <w:t>he TA field is the address of the STA transmitting the mmWaveCTS frame.</w:t>
      </w:r>
    </w:p>
    <w:p w:rsidR="008C36FC" w:rsidRPr="00F03122" w:rsidRDefault="008C36FC" w:rsidP="0004091F">
      <w:pPr>
        <w:ind w:left="360"/>
        <w:rPr>
          <w:rFonts w:eastAsia="MS Mincho"/>
        </w:rPr>
      </w:pPr>
    </w:p>
    <w:p w:rsidR="008C36FC" w:rsidRPr="00F03122" w:rsidRDefault="008C36FC" w:rsidP="003701DB">
      <w:pPr>
        <w:pStyle w:val="Heading4"/>
        <w:numPr>
          <w:ilvl w:val="3"/>
          <w:numId w:val="203"/>
        </w:numPr>
      </w:pPr>
      <w:bookmarkStart w:id="268" w:name="_Toc235400226"/>
      <w:bookmarkStart w:id="269" w:name="_Toc259716883"/>
      <w:r w:rsidRPr="00F03122">
        <w:t>mmWaveDTS</w:t>
      </w:r>
      <w:bookmarkEnd w:id="268"/>
      <w:bookmarkEnd w:id="269"/>
    </w:p>
    <w:p w:rsidR="008C36FC" w:rsidRPr="00F03122" w:rsidRDefault="008C36FC" w:rsidP="00E86E64">
      <w:pPr>
        <w:rPr>
          <w:rFonts w:eastAsia="MS Mincho"/>
        </w:rPr>
      </w:pPr>
      <w:r w:rsidRPr="00F03122">
        <w:rPr>
          <w:rFonts w:eastAsia="MS Mincho"/>
        </w:rPr>
        <w:t xml:space="preserve">The frame format for the mmWave Denial to Send (DTS) frame is as defined in </w:t>
      </w:r>
      <w:r w:rsidR="00BD151C">
        <w:rPr>
          <w:rFonts w:eastAsia="MS Mincho"/>
        </w:rPr>
        <w:fldChar w:fldCharType="begin"/>
      </w:r>
      <w:r w:rsidR="006F3660">
        <w:rPr>
          <w:rFonts w:eastAsia="MS Mincho"/>
        </w:rPr>
        <w:instrText xml:space="preserve"> REF _Ref236392592 \h </w:instrText>
      </w:r>
      <w:r w:rsidR="00BD151C">
        <w:rPr>
          <w:rFonts w:eastAsia="MS Mincho"/>
        </w:rPr>
      </w:r>
      <w:r w:rsidR="00BD151C">
        <w:rPr>
          <w:rFonts w:eastAsia="MS Mincho"/>
        </w:rPr>
        <w:fldChar w:fldCharType="separate"/>
      </w:r>
      <w:r w:rsidR="003E4210" w:rsidRPr="00066F65">
        <w:t xml:space="preserve">Figure </w:t>
      </w:r>
      <w:r w:rsidR="003E4210">
        <w:rPr>
          <w:noProof/>
        </w:rPr>
        <w:t>7</w:t>
      </w:r>
      <w:r w:rsidR="00BD151C">
        <w:rPr>
          <w:rFonts w:eastAsia="MS Mincho"/>
        </w:rPr>
        <w:fldChar w:fldCharType="end"/>
      </w:r>
      <w:r w:rsidRPr="00F03122">
        <w:rPr>
          <w:rFonts w:eastAsia="MS Mincho"/>
        </w:rPr>
        <w:t>.</w:t>
      </w:r>
    </w:p>
    <w:p w:rsidR="008C36FC" w:rsidRPr="00F03122" w:rsidRDefault="008C36FC" w:rsidP="0004091F">
      <w:pPr>
        <w:ind w:left="360"/>
        <w:rPr>
          <w:rFonts w:eastAsia="MS Mincho"/>
          <w:b/>
        </w:rPr>
      </w:pPr>
    </w:p>
    <w:p w:rsidR="008C36FC" w:rsidRPr="00F03122" w:rsidRDefault="00EF7D99" w:rsidP="0004091F">
      <w:pPr>
        <w:ind w:left="360"/>
        <w:rPr>
          <w:rFonts w:eastAsia="MS Mincho"/>
          <w:b/>
        </w:rPr>
      </w:pPr>
      <w:r w:rsidRPr="00F03122">
        <w:object w:dxaOrig="9702" w:dyaOrig="1935">
          <v:shape id="_x0000_i1029" type="#_x0000_t75" style="width:468.7pt;height:93.3pt" o:ole="">
            <v:imagedata r:id="rId108" o:title=""/>
          </v:shape>
          <o:OLEObject Type="Embed" ProgID="Visio.Drawing.11" ShapeID="_x0000_i1029" DrawAspect="Content" ObjectID="_1334048211" r:id="rId109"/>
        </w:object>
      </w:r>
    </w:p>
    <w:p w:rsidR="008C36FC" w:rsidRPr="00066F65" w:rsidRDefault="006F3660" w:rsidP="00BA5BC4">
      <w:pPr>
        <w:pStyle w:val="Caption"/>
      </w:pPr>
      <w:bookmarkStart w:id="270" w:name="_Ref236392592"/>
      <w:bookmarkStart w:id="271" w:name="_Toc259717439"/>
      <w:r w:rsidRPr="00066F65">
        <w:t xml:space="preserve">Figure </w:t>
      </w:r>
      <w:r w:rsidR="00BD151C">
        <w:fldChar w:fldCharType="begin"/>
      </w:r>
      <w:r w:rsidR="00801316">
        <w:instrText xml:space="preserve"> SEQ Figure \* ARABIC </w:instrText>
      </w:r>
      <w:r w:rsidR="00BD151C">
        <w:fldChar w:fldCharType="separate"/>
      </w:r>
      <w:r w:rsidR="003E4210">
        <w:rPr>
          <w:noProof/>
        </w:rPr>
        <w:t>7</w:t>
      </w:r>
      <w:r w:rsidR="00BD151C">
        <w:fldChar w:fldCharType="end"/>
      </w:r>
      <w:bookmarkEnd w:id="270"/>
      <w:r w:rsidR="008B180D" w:rsidRPr="00066F65">
        <w:rPr>
          <w:bCs/>
        </w:rPr>
        <w:t xml:space="preserve"> – </w:t>
      </w:r>
      <w:r w:rsidR="008C36FC" w:rsidRPr="00066F65">
        <w:rPr>
          <w:bCs/>
        </w:rPr>
        <w:t>mmWaveDTS frame</w:t>
      </w:r>
      <w:bookmarkEnd w:id="271"/>
    </w:p>
    <w:p w:rsidR="008C36FC" w:rsidRDefault="008C36FC" w:rsidP="003D61BD">
      <w:pPr>
        <w:rPr>
          <w:rFonts w:eastAsia="MS Mincho"/>
        </w:rPr>
      </w:pPr>
    </w:p>
    <w:p w:rsidR="003D61BD" w:rsidRPr="00F03122" w:rsidRDefault="003D61BD" w:rsidP="003D61BD">
      <w:pPr>
        <w:rPr>
          <w:rFonts w:eastAsia="MS Mincho"/>
        </w:rPr>
      </w:pPr>
      <w:r w:rsidRPr="00F03122">
        <w:rPr>
          <w:rFonts w:eastAsia="MS Mincho"/>
        </w:rPr>
        <w:t xml:space="preserve">The Duration field is set to the transmitting STA’s NAV-(mmWaveDTS+SIFS). </w:t>
      </w:r>
    </w:p>
    <w:p w:rsidR="003D61BD" w:rsidRDefault="003D61BD" w:rsidP="003D61BD">
      <w:pPr>
        <w:rPr>
          <w:rFonts w:eastAsia="MS Mincho"/>
        </w:rPr>
      </w:pPr>
    </w:p>
    <w:p w:rsidR="003D61BD" w:rsidRPr="00F03122" w:rsidRDefault="003D61BD" w:rsidP="003D61BD">
      <w:pPr>
        <w:rPr>
          <w:rFonts w:eastAsia="MS Mincho"/>
        </w:rPr>
      </w:pPr>
      <w:r w:rsidRPr="00F03122">
        <w:rPr>
          <w:rFonts w:eastAsia="MS Mincho"/>
        </w:rPr>
        <w:t>The RA field of the frame is copied from the TA field of the immediately previous RTS frame to which the mmWaveDTS is a response.</w:t>
      </w:r>
    </w:p>
    <w:p w:rsidR="003D61BD" w:rsidRPr="00F03122" w:rsidRDefault="003D61BD" w:rsidP="003D61BD">
      <w:pPr>
        <w:rPr>
          <w:rFonts w:eastAsia="MS Mincho"/>
        </w:rPr>
      </w:pPr>
    </w:p>
    <w:p w:rsidR="008C36FC" w:rsidRPr="00F03122" w:rsidRDefault="00114176" w:rsidP="00E86E64">
      <w:pPr>
        <w:rPr>
          <w:rFonts w:eastAsia="MS Mincho"/>
        </w:rPr>
      </w:pPr>
      <w:r w:rsidRPr="00F03122">
        <w:rPr>
          <w:rFonts w:eastAsia="MS Mincho"/>
        </w:rPr>
        <w:lastRenderedPageBreak/>
        <w:t>T</w:t>
      </w:r>
      <w:r w:rsidR="008C36FC" w:rsidRPr="00F03122">
        <w:rPr>
          <w:rFonts w:eastAsia="MS Mincho"/>
        </w:rPr>
        <w:t>he NAV-SA and the NAV-DA fields addresses are of the Source STA and the Destination STA</w:t>
      </w:r>
      <w:r w:rsidR="000627CF" w:rsidRPr="00F03122">
        <w:rPr>
          <w:rFonts w:eastAsia="MS Mincho"/>
        </w:rPr>
        <w:t>, respectively, whose exchange of an RTS and mmWaveCTS caused an update to the NAV at the transmitting STA</w:t>
      </w:r>
      <w:r w:rsidR="008C36FC" w:rsidRPr="00F03122">
        <w:rPr>
          <w:rFonts w:eastAsia="MS Mincho"/>
        </w:rPr>
        <w:t xml:space="preserve">. </w:t>
      </w:r>
    </w:p>
    <w:p w:rsidR="00114176" w:rsidRPr="00F03122" w:rsidRDefault="00114176" w:rsidP="00E86E64">
      <w:pPr>
        <w:rPr>
          <w:rFonts w:eastAsia="MS Mincho"/>
        </w:rPr>
      </w:pPr>
    </w:p>
    <w:p w:rsidR="008C36FC" w:rsidRPr="00F03122" w:rsidRDefault="008C36FC" w:rsidP="003701DB">
      <w:pPr>
        <w:pStyle w:val="Heading4"/>
        <w:numPr>
          <w:ilvl w:val="3"/>
          <w:numId w:val="203"/>
        </w:numPr>
      </w:pPr>
      <w:bookmarkStart w:id="272" w:name="_Toc235400227"/>
      <w:bookmarkStart w:id="273" w:name="_Toc259716884"/>
      <w:r w:rsidRPr="00F03122">
        <w:t>mmWaveCF-End</w:t>
      </w:r>
      <w:bookmarkEnd w:id="272"/>
      <w:bookmarkEnd w:id="273"/>
    </w:p>
    <w:p w:rsidR="008C36FC" w:rsidRPr="00F03122" w:rsidRDefault="008C36FC" w:rsidP="006F3660">
      <w:pPr>
        <w:rPr>
          <w:rFonts w:eastAsia="MS Mincho"/>
        </w:rPr>
      </w:pPr>
      <w:r w:rsidRPr="00F03122">
        <w:rPr>
          <w:rFonts w:eastAsia="MS Mincho"/>
        </w:rPr>
        <w:t xml:space="preserve">The frame format for the mmWaveCF-End frame is as defined in </w:t>
      </w:r>
      <w:r w:rsidR="00BD151C">
        <w:rPr>
          <w:rFonts w:eastAsia="MS Mincho"/>
        </w:rPr>
        <w:fldChar w:fldCharType="begin"/>
      </w:r>
      <w:r w:rsidR="006F3660">
        <w:rPr>
          <w:rFonts w:eastAsia="MS Mincho"/>
        </w:rPr>
        <w:instrText xml:space="preserve"> REF _Ref236392620 \h </w:instrText>
      </w:r>
      <w:r w:rsidR="00BD151C">
        <w:rPr>
          <w:rFonts w:eastAsia="MS Mincho"/>
        </w:rPr>
      </w:r>
      <w:r w:rsidR="00BD151C">
        <w:rPr>
          <w:rFonts w:eastAsia="MS Mincho"/>
        </w:rPr>
        <w:fldChar w:fldCharType="separate"/>
      </w:r>
      <w:r w:rsidR="003E4210" w:rsidRPr="00066F65">
        <w:t xml:space="preserve">Figure </w:t>
      </w:r>
      <w:r w:rsidR="003E4210">
        <w:rPr>
          <w:noProof/>
        </w:rPr>
        <w:t>8</w:t>
      </w:r>
      <w:r w:rsidR="00BD151C">
        <w:rPr>
          <w:rFonts w:eastAsia="MS Mincho"/>
        </w:rPr>
        <w:fldChar w:fldCharType="end"/>
      </w:r>
      <w:r w:rsidR="008B180D" w:rsidRPr="00F03122">
        <w:rPr>
          <w:rFonts w:eastAsia="MS Mincho"/>
        </w:rPr>
        <w:t>.</w:t>
      </w:r>
    </w:p>
    <w:p w:rsidR="008C36FC" w:rsidRPr="00F03122" w:rsidRDefault="008C36FC" w:rsidP="0004091F">
      <w:pPr>
        <w:ind w:left="360"/>
        <w:rPr>
          <w:rFonts w:eastAsia="MS Mincho"/>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1097"/>
      </w:tblGrid>
      <w:tr w:rsidR="00D0037C" w:rsidRPr="00066F65" w:rsidTr="00D0037C">
        <w:trPr>
          <w:jc w:val="center"/>
        </w:trPr>
        <w:tc>
          <w:tcPr>
            <w:tcW w:w="1016" w:type="dxa"/>
          </w:tcPr>
          <w:p w:rsidR="00EA70D9" w:rsidRPr="00F03122" w:rsidRDefault="00EA70D9" w:rsidP="00D0037C">
            <w:pPr>
              <w:jc w:val="both"/>
              <w:rPr>
                <w:rFonts w:eastAsia="SimSun"/>
              </w:rPr>
            </w:pPr>
          </w:p>
        </w:tc>
        <w:tc>
          <w:tcPr>
            <w:tcW w:w="1071" w:type="dxa"/>
          </w:tcPr>
          <w:p w:rsidR="00EA70D9" w:rsidRPr="00F03122" w:rsidRDefault="00EA70D9" w:rsidP="008E6305">
            <w:pPr>
              <w:jc w:val="both"/>
              <w:rPr>
                <w:rFonts w:eastAsia="SimSun"/>
              </w:rPr>
            </w:pPr>
            <w:r w:rsidRPr="00F03122">
              <w:rPr>
                <w:rFonts w:eastAsia="SimSun"/>
              </w:rPr>
              <w:t>Frame</w:t>
            </w:r>
            <w:r w:rsidR="008E6305" w:rsidRPr="00F03122">
              <w:rPr>
                <w:rFonts w:eastAsia="SimSun"/>
              </w:rPr>
              <w:t xml:space="preserve"> </w:t>
            </w:r>
            <w:r w:rsidRPr="00F03122">
              <w:rPr>
                <w:rFonts w:eastAsia="SimSun"/>
              </w:rPr>
              <w:t>Control</w:t>
            </w:r>
          </w:p>
        </w:tc>
        <w:tc>
          <w:tcPr>
            <w:tcW w:w="1188" w:type="dxa"/>
          </w:tcPr>
          <w:p w:rsidR="00EA70D9" w:rsidRPr="00F03122" w:rsidRDefault="00EA70D9" w:rsidP="00D0037C">
            <w:pPr>
              <w:jc w:val="both"/>
              <w:rPr>
                <w:rFonts w:eastAsia="SimSun"/>
              </w:rPr>
            </w:pPr>
            <w:r w:rsidRPr="00F03122">
              <w:rPr>
                <w:rFonts w:eastAsia="SimSun"/>
              </w:rPr>
              <w:t>Duration</w:t>
            </w:r>
          </w:p>
        </w:tc>
        <w:tc>
          <w:tcPr>
            <w:tcW w:w="670" w:type="dxa"/>
          </w:tcPr>
          <w:p w:rsidR="00EA70D9" w:rsidRPr="00F03122" w:rsidRDefault="00EA70D9" w:rsidP="00D0037C">
            <w:pPr>
              <w:jc w:val="both"/>
              <w:rPr>
                <w:rFonts w:eastAsia="SimSun"/>
              </w:rPr>
            </w:pPr>
            <w:r w:rsidRPr="00F03122">
              <w:rPr>
                <w:rFonts w:eastAsia="SimSun"/>
              </w:rPr>
              <w:t>RA</w:t>
            </w:r>
          </w:p>
        </w:tc>
        <w:tc>
          <w:tcPr>
            <w:tcW w:w="656" w:type="dxa"/>
          </w:tcPr>
          <w:p w:rsidR="00EA70D9" w:rsidRPr="00F03122" w:rsidRDefault="00EA70D9" w:rsidP="00D0037C">
            <w:pPr>
              <w:jc w:val="both"/>
              <w:rPr>
                <w:rFonts w:eastAsia="SimSun"/>
              </w:rPr>
            </w:pPr>
            <w:r w:rsidRPr="00F03122">
              <w:rPr>
                <w:rFonts w:eastAsia="SimSun"/>
              </w:rPr>
              <w:t>TA</w:t>
            </w:r>
          </w:p>
        </w:tc>
        <w:tc>
          <w:tcPr>
            <w:tcW w:w="1097" w:type="dxa"/>
          </w:tcPr>
          <w:p w:rsidR="00EA70D9" w:rsidRPr="00F03122" w:rsidRDefault="00EA70D9" w:rsidP="00D0037C">
            <w:pPr>
              <w:jc w:val="both"/>
              <w:rPr>
                <w:rFonts w:eastAsia="SimSun"/>
              </w:rPr>
            </w:pPr>
            <w:r w:rsidRPr="00F03122">
              <w:rPr>
                <w:rFonts w:eastAsia="SimSun"/>
              </w:rPr>
              <w:t>FCS</w:t>
            </w:r>
          </w:p>
        </w:tc>
      </w:tr>
      <w:tr w:rsidR="00D0037C" w:rsidRPr="00066F65" w:rsidTr="00D0037C">
        <w:trPr>
          <w:jc w:val="center"/>
        </w:trPr>
        <w:tc>
          <w:tcPr>
            <w:tcW w:w="1016" w:type="dxa"/>
          </w:tcPr>
          <w:p w:rsidR="00EA70D9" w:rsidRPr="00F03122" w:rsidRDefault="00EA70D9" w:rsidP="00D0037C">
            <w:pPr>
              <w:jc w:val="both"/>
              <w:rPr>
                <w:rFonts w:eastAsia="SimSun"/>
              </w:rPr>
            </w:pPr>
            <w:r w:rsidRPr="00F03122">
              <w:rPr>
                <w:rFonts w:eastAsia="SimSun"/>
              </w:rPr>
              <w:t>Octets:</w:t>
            </w:r>
          </w:p>
        </w:tc>
        <w:tc>
          <w:tcPr>
            <w:tcW w:w="1071" w:type="dxa"/>
          </w:tcPr>
          <w:p w:rsidR="00EA70D9" w:rsidRPr="00F03122" w:rsidRDefault="00EA70D9" w:rsidP="00D0037C">
            <w:pPr>
              <w:jc w:val="both"/>
              <w:rPr>
                <w:rFonts w:eastAsia="SimSun"/>
              </w:rPr>
            </w:pPr>
            <w:r w:rsidRPr="00F03122">
              <w:rPr>
                <w:rFonts w:eastAsia="SimSun"/>
              </w:rPr>
              <w:t>2</w:t>
            </w:r>
          </w:p>
        </w:tc>
        <w:tc>
          <w:tcPr>
            <w:tcW w:w="1188" w:type="dxa"/>
          </w:tcPr>
          <w:p w:rsidR="00EA70D9" w:rsidRPr="00F03122" w:rsidRDefault="00EA70D9" w:rsidP="00D0037C">
            <w:pPr>
              <w:jc w:val="both"/>
              <w:rPr>
                <w:rFonts w:eastAsia="SimSun"/>
              </w:rPr>
            </w:pPr>
            <w:r w:rsidRPr="00F03122">
              <w:rPr>
                <w:rFonts w:eastAsia="SimSun"/>
              </w:rPr>
              <w:t>2</w:t>
            </w:r>
          </w:p>
        </w:tc>
        <w:tc>
          <w:tcPr>
            <w:tcW w:w="670" w:type="dxa"/>
          </w:tcPr>
          <w:p w:rsidR="00EA70D9" w:rsidRPr="00F03122" w:rsidRDefault="00EA70D9" w:rsidP="00D0037C">
            <w:pPr>
              <w:jc w:val="both"/>
              <w:rPr>
                <w:rFonts w:eastAsia="SimSun"/>
              </w:rPr>
            </w:pPr>
            <w:r w:rsidRPr="00F03122">
              <w:rPr>
                <w:rFonts w:eastAsia="SimSun"/>
              </w:rPr>
              <w:t>6</w:t>
            </w:r>
          </w:p>
        </w:tc>
        <w:tc>
          <w:tcPr>
            <w:tcW w:w="656" w:type="dxa"/>
          </w:tcPr>
          <w:p w:rsidR="00EA70D9" w:rsidRPr="00F03122" w:rsidRDefault="00EA70D9" w:rsidP="00D0037C">
            <w:pPr>
              <w:jc w:val="both"/>
              <w:rPr>
                <w:rFonts w:eastAsia="SimSun"/>
              </w:rPr>
            </w:pPr>
            <w:r w:rsidRPr="00F03122">
              <w:rPr>
                <w:rFonts w:eastAsia="SimSun"/>
              </w:rPr>
              <w:t>6</w:t>
            </w:r>
          </w:p>
        </w:tc>
        <w:tc>
          <w:tcPr>
            <w:tcW w:w="1097" w:type="dxa"/>
          </w:tcPr>
          <w:p w:rsidR="00EA70D9" w:rsidRPr="00F03122" w:rsidRDefault="00EA70D9" w:rsidP="00D0037C">
            <w:pPr>
              <w:keepNext/>
              <w:jc w:val="both"/>
              <w:rPr>
                <w:rFonts w:eastAsia="SimSun"/>
              </w:rPr>
            </w:pPr>
            <w:r w:rsidRPr="00F03122">
              <w:rPr>
                <w:rFonts w:eastAsia="SimSun"/>
              </w:rPr>
              <w:t>4</w:t>
            </w:r>
          </w:p>
        </w:tc>
      </w:tr>
    </w:tbl>
    <w:p w:rsidR="008C36FC" w:rsidRPr="00066F65" w:rsidRDefault="006F3660" w:rsidP="00BA5BC4">
      <w:pPr>
        <w:pStyle w:val="Caption"/>
      </w:pPr>
      <w:bookmarkStart w:id="274" w:name="_Ref236392620"/>
      <w:bookmarkStart w:id="275" w:name="_Toc259717440"/>
      <w:r w:rsidRPr="00066F65">
        <w:t xml:space="preserve">Figure </w:t>
      </w:r>
      <w:r w:rsidR="00BD151C">
        <w:fldChar w:fldCharType="begin"/>
      </w:r>
      <w:r w:rsidR="00801316">
        <w:instrText xml:space="preserve"> SEQ Figure \* ARABIC </w:instrText>
      </w:r>
      <w:r w:rsidR="00BD151C">
        <w:fldChar w:fldCharType="separate"/>
      </w:r>
      <w:r w:rsidR="003E4210">
        <w:rPr>
          <w:noProof/>
        </w:rPr>
        <w:t>8</w:t>
      </w:r>
      <w:r w:rsidR="00BD151C">
        <w:fldChar w:fldCharType="end"/>
      </w:r>
      <w:bookmarkEnd w:id="274"/>
      <w:r w:rsidR="008B180D" w:rsidRPr="00066F65">
        <w:rPr>
          <w:bCs/>
        </w:rPr>
        <w:t xml:space="preserve"> – </w:t>
      </w:r>
      <w:r w:rsidR="008C36FC" w:rsidRPr="00066F65">
        <w:rPr>
          <w:bCs/>
        </w:rPr>
        <w:t>mmWaveCF-End frame</w:t>
      </w:r>
      <w:bookmarkEnd w:id="275"/>
    </w:p>
    <w:p w:rsidR="008C36FC" w:rsidRPr="00F03122" w:rsidRDefault="008C36FC" w:rsidP="0004091F">
      <w:pPr>
        <w:ind w:left="360"/>
        <w:jc w:val="center"/>
        <w:rPr>
          <w:rFonts w:eastAsia="MS Mincho"/>
          <w:b/>
        </w:rPr>
      </w:pPr>
    </w:p>
    <w:p w:rsidR="008C36FC" w:rsidRDefault="008C36FC" w:rsidP="00BE5B81">
      <w:pPr>
        <w:rPr>
          <w:rFonts w:eastAsia="MS Mincho"/>
        </w:rPr>
      </w:pPr>
      <w:r w:rsidRPr="00F03122">
        <w:rPr>
          <w:rFonts w:eastAsia="MS Mincho"/>
        </w:rPr>
        <w:t xml:space="preserve">The Duration field in the mmWaveCF-End frame is set to the time required </w:t>
      </w:r>
      <w:r w:rsidR="00BE5B81" w:rsidRPr="00F03122">
        <w:rPr>
          <w:rFonts w:eastAsia="MS Mincho"/>
        </w:rPr>
        <w:t>to complete the mmWaveCF-End truncation sequence of which it is part</w:t>
      </w:r>
      <w:r w:rsidR="00A53BBD">
        <w:rPr>
          <w:rFonts w:eastAsia="MS Mincho"/>
        </w:rPr>
        <w:t xml:space="preserve"> (</w:t>
      </w:r>
      <w:r w:rsidR="00A53BBD" w:rsidRPr="00A53BBD">
        <w:rPr>
          <w:rFonts w:eastAsia="MS Mincho"/>
        </w:rPr>
        <w:t>see</w:t>
      </w:r>
      <w:r w:rsidR="00515A1B">
        <w:rPr>
          <w:rFonts w:eastAsia="MS Mincho"/>
        </w:rPr>
        <w:t xml:space="preserve"> </w:t>
      </w:r>
      <w:r w:rsidR="00BD151C">
        <w:rPr>
          <w:rFonts w:eastAsia="MS Mincho"/>
        </w:rPr>
        <w:fldChar w:fldCharType="begin"/>
      </w:r>
      <w:r w:rsidR="00515A1B">
        <w:rPr>
          <w:rFonts w:eastAsia="MS Mincho"/>
        </w:rPr>
        <w:instrText xml:space="preserve"> REF _Ref253745294 \r \h </w:instrText>
      </w:r>
      <w:r w:rsidR="00BD151C">
        <w:rPr>
          <w:rFonts w:eastAsia="MS Mincho"/>
        </w:rPr>
      </w:r>
      <w:r w:rsidR="00BD151C">
        <w:rPr>
          <w:rFonts w:eastAsia="MS Mincho"/>
        </w:rPr>
        <w:fldChar w:fldCharType="separate"/>
      </w:r>
      <w:r w:rsidR="003E4210">
        <w:rPr>
          <w:rFonts w:eastAsia="MS Mincho"/>
        </w:rPr>
        <w:t>9.23.8</w:t>
      </w:r>
      <w:r w:rsidR="00BD151C">
        <w:rPr>
          <w:rFonts w:eastAsia="MS Mincho"/>
        </w:rPr>
        <w:fldChar w:fldCharType="end"/>
      </w:r>
      <w:r w:rsidR="00852AD9">
        <w:rPr>
          <w:rFonts w:eastAsia="MS Mincho"/>
        </w:rPr>
        <w:t>):</w:t>
      </w:r>
      <w:r w:rsidR="00852AD9">
        <w:rPr>
          <w:rFonts w:eastAsia="MS Mincho"/>
          <w:lang w:val="da-DK"/>
        </w:rPr>
        <w:t xml:space="preserve"> </w:t>
      </w:r>
      <w:r w:rsidRPr="00F03122">
        <w:rPr>
          <w:rFonts w:eastAsia="MS Mincho"/>
          <w:lang w:val="da-DK"/>
        </w:rPr>
        <w:t>Duration = (i-1)*(mmWaveCF-End + SIFS)</w:t>
      </w:r>
      <w:r w:rsidR="00281C88" w:rsidRPr="00F03122">
        <w:rPr>
          <w:rFonts w:eastAsia="MS Mincho"/>
          <w:lang w:val="da-DK"/>
        </w:rPr>
        <w:t xml:space="preserve">, </w:t>
      </w:r>
      <w:r w:rsidR="00281C88" w:rsidRPr="00F03122">
        <w:rPr>
          <w:rFonts w:eastAsia="MS Mincho"/>
        </w:rPr>
        <w:t xml:space="preserve">where </w:t>
      </w:r>
      <w:r w:rsidR="00BE5B81" w:rsidRPr="00F03122">
        <w:rPr>
          <w:rFonts w:eastAsia="MS Mincho"/>
        </w:rPr>
        <w:t>i is in the range [1,3] and indicates</w:t>
      </w:r>
      <w:r w:rsidRPr="00F03122">
        <w:rPr>
          <w:rFonts w:eastAsia="MS Mincho"/>
        </w:rPr>
        <w:t xml:space="preserve"> </w:t>
      </w:r>
      <w:r w:rsidR="00281C88" w:rsidRPr="00F03122">
        <w:rPr>
          <w:rFonts w:eastAsia="MS Mincho"/>
        </w:rPr>
        <w:t xml:space="preserve">the </w:t>
      </w:r>
      <w:r w:rsidRPr="00F03122">
        <w:rPr>
          <w:rFonts w:eastAsia="MS Mincho"/>
        </w:rPr>
        <w:t>order of the mmWaveCF-End frame in the truncation sequence in the reverse direction</w:t>
      </w:r>
      <w:r w:rsidR="00114176" w:rsidRPr="00F03122">
        <w:rPr>
          <w:rFonts w:eastAsia="MS Mincho"/>
        </w:rPr>
        <w:t xml:space="preserve"> </w:t>
      </w:r>
      <w:r w:rsidRPr="00F03122">
        <w:rPr>
          <w:rFonts w:eastAsia="MS Mincho"/>
        </w:rPr>
        <w:t>(i.e.</w:t>
      </w:r>
      <w:r w:rsidR="00281C88" w:rsidRPr="00F03122">
        <w:rPr>
          <w:rFonts w:eastAsia="MS Mincho"/>
        </w:rPr>
        <w:t>,</w:t>
      </w:r>
      <w:r w:rsidRPr="00F03122">
        <w:rPr>
          <w:rFonts w:eastAsia="MS Mincho"/>
        </w:rPr>
        <w:t xml:space="preserve"> i=1 </w:t>
      </w:r>
      <w:r w:rsidR="00BE5B81" w:rsidRPr="00F03122">
        <w:rPr>
          <w:rFonts w:eastAsia="MS Mincho"/>
        </w:rPr>
        <w:t xml:space="preserve">corresponds to </w:t>
      </w:r>
      <w:r w:rsidRPr="00F03122">
        <w:rPr>
          <w:rFonts w:eastAsia="MS Mincho"/>
        </w:rPr>
        <w:t xml:space="preserve">the last mmWaveCF-End frame in </w:t>
      </w:r>
      <w:r w:rsidR="00281C88" w:rsidRPr="00F03122">
        <w:rPr>
          <w:rFonts w:eastAsia="MS Mincho"/>
        </w:rPr>
        <w:t xml:space="preserve">the </w:t>
      </w:r>
      <w:r w:rsidRPr="00F03122">
        <w:rPr>
          <w:rFonts w:eastAsia="MS Mincho"/>
        </w:rPr>
        <w:t>sequence)</w:t>
      </w:r>
      <w:r w:rsidR="00281C88" w:rsidRPr="00F03122">
        <w:rPr>
          <w:rFonts w:eastAsia="MS Mincho"/>
        </w:rPr>
        <w:t>.</w:t>
      </w:r>
    </w:p>
    <w:p w:rsidR="003D61BD" w:rsidRDefault="003D61BD" w:rsidP="00BE5B81">
      <w:pPr>
        <w:rPr>
          <w:rFonts w:eastAsia="MS Mincho"/>
        </w:rPr>
      </w:pPr>
    </w:p>
    <w:p w:rsidR="003D61BD" w:rsidRPr="00F03122" w:rsidRDefault="003D61BD" w:rsidP="003D61BD">
      <w:pPr>
        <w:rPr>
          <w:rFonts w:eastAsia="MS Mincho"/>
        </w:rPr>
      </w:pPr>
      <w:r w:rsidRPr="00F03122">
        <w:rPr>
          <w:rFonts w:eastAsia="MS Mincho"/>
        </w:rPr>
        <w:t xml:space="preserve">The RA field is the address of the STA that is the intended immediate recipient of the directed data or management frame </w:t>
      </w:r>
      <w:r w:rsidRPr="00F03122">
        <w:rPr>
          <w:sz w:val="23"/>
        </w:rPr>
        <w:t>or the Broadcast Address</w:t>
      </w:r>
      <w:r w:rsidRPr="00F03122">
        <w:rPr>
          <w:rFonts w:eastAsia="MS Mincho"/>
        </w:rPr>
        <w:t xml:space="preserve">. </w:t>
      </w:r>
    </w:p>
    <w:p w:rsidR="003D61BD" w:rsidRPr="00F03122" w:rsidRDefault="003D61BD" w:rsidP="003D61BD">
      <w:pPr>
        <w:rPr>
          <w:rFonts w:eastAsia="MS Mincho"/>
        </w:rPr>
      </w:pPr>
    </w:p>
    <w:p w:rsidR="003D61BD" w:rsidRPr="00F03122" w:rsidRDefault="003D61BD" w:rsidP="003D61BD">
      <w:pPr>
        <w:rPr>
          <w:rFonts w:eastAsia="MS Mincho"/>
        </w:rPr>
      </w:pPr>
      <w:r w:rsidRPr="00F03122">
        <w:rPr>
          <w:rFonts w:eastAsia="MS Mincho"/>
        </w:rPr>
        <w:t>The TA field is the address of the STA transmitting the mmWaveCF-End frame.</w:t>
      </w:r>
    </w:p>
    <w:p w:rsidR="00F05EE6" w:rsidRPr="00F03122" w:rsidRDefault="00F05EE6" w:rsidP="00BA5CAB">
      <w:pPr>
        <w:rPr>
          <w:rFonts w:eastAsia="MS Mincho"/>
          <w:b/>
          <w:i/>
        </w:rPr>
      </w:pPr>
    </w:p>
    <w:p w:rsidR="00281C88" w:rsidRPr="00F03122" w:rsidRDefault="00281C88" w:rsidP="003701DB">
      <w:pPr>
        <w:pStyle w:val="Heading4"/>
        <w:numPr>
          <w:ilvl w:val="3"/>
          <w:numId w:val="203"/>
        </w:numPr>
      </w:pPr>
      <w:bookmarkStart w:id="276" w:name="_Toc259716885"/>
      <w:r w:rsidRPr="00F03122">
        <w:t>Sector sweep (SS)</w:t>
      </w:r>
      <w:bookmarkEnd w:id="276"/>
    </w:p>
    <w:p w:rsidR="00281C88" w:rsidRPr="00F03122" w:rsidRDefault="00281C88" w:rsidP="00BA5CAB">
      <w:pPr>
        <w:rPr>
          <w:rFonts w:eastAsia="MS Mincho"/>
        </w:rPr>
      </w:pPr>
    </w:p>
    <w:p w:rsidR="00AB77F3" w:rsidRPr="00F03122" w:rsidRDefault="00AB77F3" w:rsidP="00AB77F3">
      <w:r w:rsidRPr="00F03122">
        <w:t xml:space="preserve">The </w:t>
      </w:r>
      <w:r w:rsidR="007D58FB">
        <w:t xml:space="preserve">frame </w:t>
      </w:r>
      <w:r w:rsidRPr="00F03122">
        <w:t xml:space="preserve">format </w:t>
      </w:r>
      <w:r w:rsidR="007D58FB">
        <w:t>for</w:t>
      </w:r>
      <w:r w:rsidRPr="00F03122">
        <w:t xml:space="preserve"> the SS frame is </w:t>
      </w:r>
      <w:r w:rsidR="007D58FB">
        <w:t xml:space="preserve">as defined </w:t>
      </w:r>
      <w:r w:rsidRPr="00F03122">
        <w:t xml:space="preserve">in </w:t>
      </w:r>
      <w:r w:rsidR="00BD151C">
        <w:fldChar w:fldCharType="begin"/>
      </w:r>
      <w:r>
        <w:instrText xml:space="preserve"> REF _Ref241042905 \h </w:instrText>
      </w:r>
      <w:r w:rsidR="00BD151C">
        <w:fldChar w:fldCharType="separate"/>
      </w:r>
      <w:r w:rsidR="003E4210" w:rsidRPr="00066F65">
        <w:t xml:space="preserve">Figure </w:t>
      </w:r>
      <w:r w:rsidR="003E4210">
        <w:rPr>
          <w:noProof/>
        </w:rPr>
        <w:t>9</w:t>
      </w:r>
      <w:r w:rsidR="00BD151C">
        <w:fldChar w:fldCharType="end"/>
      </w:r>
      <w:r w:rsidRPr="00F03122">
        <w:t>.</w:t>
      </w:r>
      <w:r w:rsidR="007D58FB">
        <w:t xml:space="preserve"> </w:t>
      </w:r>
    </w:p>
    <w:p w:rsidR="00E85A0D" w:rsidRPr="00B633F1" w:rsidRDefault="00E85A0D" w:rsidP="00E7795B">
      <w:pPr>
        <w:rPr>
          <w:b/>
          <w:color w:val="FF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1136"/>
        <w:gridCol w:w="764"/>
      </w:tblGrid>
      <w:tr w:rsidR="001822BC" w:rsidRPr="00066F65" w:rsidTr="00E7795B">
        <w:trPr>
          <w:jc w:val="center"/>
        </w:trPr>
        <w:tc>
          <w:tcPr>
            <w:tcW w:w="1016" w:type="dxa"/>
          </w:tcPr>
          <w:p w:rsidR="001822BC" w:rsidRPr="00F03122" w:rsidRDefault="001822BC" w:rsidP="00D0037C">
            <w:pPr>
              <w:jc w:val="both"/>
              <w:rPr>
                <w:rFonts w:eastAsia="SimSun"/>
              </w:rPr>
            </w:pPr>
          </w:p>
        </w:tc>
        <w:tc>
          <w:tcPr>
            <w:tcW w:w="1071" w:type="dxa"/>
          </w:tcPr>
          <w:p w:rsidR="001822BC" w:rsidRPr="00F03122" w:rsidRDefault="001822BC" w:rsidP="00D0037C">
            <w:pPr>
              <w:jc w:val="both"/>
              <w:rPr>
                <w:rFonts w:eastAsia="SimSun"/>
              </w:rPr>
            </w:pPr>
            <w:r w:rsidRPr="00F03122">
              <w:rPr>
                <w:rFonts w:eastAsia="SimSun"/>
              </w:rPr>
              <w:t>Frame</w:t>
            </w:r>
          </w:p>
          <w:p w:rsidR="001822BC" w:rsidRPr="00F03122" w:rsidRDefault="001822BC" w:rsidP="00D0037C">
            <w:pPr>
              <w:jc w:val="both"/>
              <w:rPr>
                <w:rFonts w:eastAsia="SimSun"/>
              </w:rPr>
            </w:pPr>
            <w:r w:rsidRPr="00F03122">
              <w:rPr>
                <w:rFonts w:eastAsia="SimSun"/>
              </w:rPr>
              <w:t>Control</w:t>
            </w:r>
          </w:p>
        </w:tc>
        <w:tc>
          <w:tcPr>
            <w:tcW w:w="1188" w:type="dxa"/>
          </w:tcPr>
          <w:p w:rsidR="001822BC" w:rsidRPr="00F03122" w:rsidRDefault="001822BC" w:rsidP="00D0037C">
            <w:pPr>
              <w:jc w:val="both"/>
              <w:rPr>
                <w:rFonts w:eastAsia="SimSun"/>
              </w:rPr>
            </w:pPr>
            <w:r w:rsidRPr="00F03122">
              <w:rPr>
                <w:rFonts w:eastAsia="SimSun"/>
              </w:rPr>
              <w:t>Duration</w:t>
            </w:r>
          </w:p>
        </w:tc>
        <w:tc>
          <w:tcPr>
            <w:tcW w:w="670" w:type="dxa"/>
          </w:tcPr>
          <w:p w:rsidR="001822BC" w:rsidRPr="00F03122" w:rsidRDefault="001822BC" w:rsidP="00D0037C">
            <w:pPr>
              <w:jc w:val="both"/>
              <w:rPr>
                <w:rFonts w:eastAsia="SimSun"/>
              </w:rPr>
            </w:pPr>
            <w:r w:rsidRPr="00F03122">
              <w:rPr>
                <w:rFonts w:eastAsia="SimSun"/>
              </w:rPr>
              <w:t>RA</w:t>
            </w:r>
          </w:p>
        </w:tc>
        <w:tc>
          <w:tcPr>
            <w:tcW w:w="656" w:type="dxa"/>
          </w:tcPr>
          <w:p w:rsidR="001822BC" w:rsidRPr="00F03122" w:rsidRDefault="001822BC" w:rsidP="00D0037C">
            <w:pPr>
              <w:jc w:val="both"/>
              <w:rPr>
                <w:rFonts w:eastAsia="SimSun"/>
              </w:rPr>
            </w:pPr>
            <w:r w:rsidRPr="00F03122">
              <w:rPr>
                <w:rFonts w:eastAsia="SimSun"/>
              </w:rPr>
              <w:t>TA</w:t>
            </w:r>
          </w:p>
        </w:tc>
        <w:tc>
          <w:tcPr>
            <w:tcW w:w="764" w:type="dxa"/>
          </w:tcPr>
          <w:p w:rsidR="001822BC" w:rsidRPr="00F03122" w:rsidRDefault="001822BC" w:rsidP="00D0037C">
            <w:pPr>
              <w:jc w:val="both"/>
              <w:rPr>
                <w:rFonts w:eastAsia="SimSun"/>
              </w:rPr>
            </w:pPr>
            <w:r w:rsidRPr="00F03122">
              <w:rPr>
                <w:rFonts w:eastAsia="SimSun"/>
              </w:rPr>
              <w:t>SS</w:t>
            </w:r>
          </w:p>
        </w:tc>
        <w:tc>
          <w:tcPr>
            <w:tcW w:w="1136" w:type="dxa"/>
          </w:tcPr>
          <w:p w:rsidR="001822BC" w:rsidRPr="00F03122" w:rsidRDefault="001822BC" w:rsidP="00D0037C">
            <w:pPr>
              <w:jc w:val="both"/>
              <w:rPr>
                <w:rFonts w:eastAsia="SimSun"/>
              </w:rPr>
            </w:pPr>
            <w:r w:rsidRPr="00F03122">
              <w:rPr>
                <w:rFonts w:eastAsia="SimSun"/>
              </w:rPr>
              <w:t>SS Feedback</w:t>
            </w:r>
          </w:p>
        </w:tc>
        <w:tc>
          <w:tcPr>
            <w:tcW w:w="764" w:type="dxa"/>
          </w:tcPr>
          <w:p w:rsidR="001822BC" w:rsidRPr="00F03122" w:rsidRDefault="001822BC" w:rsidP="00D0037C">
            <w:pPr>
              <w:jc w:val="both"/>
              <w:rPr>
                <w:rFonts w:eastAsia="SimSun"/>
              </w:rPr>
            </w:pPr>
            <w:r w:rsidRPr="00F03122">
              <w:rPr>
                <w:rFonts w:eastAsia="SimSun"/>
              </w:rPr>
              <w:t>FCS</w:t>
            </w:r>
          </w:p>
        </w:tc>
      </w:tr>
      <w:tr w:rsidR="001822BC" w:rsidRPr="00066F65" w:rsidTr="00E7795B">
        <w:trPr>
          <w:jc w:val="center"/>
        </w:trPr>
        <w:tc>
          <w:tcPr>
            <w:tcW w:w="1016" w:type="dxa"/>
          </w:tcPr>
          <w:p w:rsidR="001822BC" w:rsidRPr="00F03122" w:rsidRDefault="001822BC" w:rsidP="00D0037C">
            <w:pPr>
              <w:jc w:val="both"/>
              <w:rPr>
                <w:rFonts w:eastAsia="SimSun"/>
              </w:rPr>
            </w:pPr>
            <w:r w:rsidRPr="00F03122">
              <w:rPr>
                <w:rFonts w:eastAsia="SimSun"/>
              </w:rPr>
              <w:t>Octets:</w:t>
            </w:r>
          </w:p>
        </w:tc>
        <w:tc>
          <w:tcPr>
            <w:tcW w:w="1071" w:type="dxa"/>
          </w:tcPr>
          <w:p w:rsidR="001822BC" w:rsidRPr="00F03122" w:rsidRDefault="001822BC" w:rsidP="00D0037C">
            <w:pPr>
              <w:jc w:val="both"/>
              <w:rPr>
                <w:rFonts w:eastAsia="SimSun"/>
              </w:rPr>
            </w:pPr>
            <w:r w:rsidRPr="00F03122">
              <w:rPr>
                <w:rFonts w:eastAsia="SimSun"/>
              </w:rPr>
              <w:t>2</w:t>
            </w:r>
          </w:p>
        </w:tc>
        <w:tc>
          <w:tcPr>
            <w:tcW w:w="1188" w:type="dxa"/>
          </w:tcPr>
          <w:p w:rsidR="001822BC" w:rsidRPr="00F03122" w:rsidRDefault="001822BC" w:rsidP="00D0037C">
            <w:pPr>
              <w:jc w:val="both"/>
              <w:rPr>
                <w:rFonts w:eastAsia="SimSun"/>
              </w:rPr>
            </w:pPr>
            <w:r w:rsidRPr="00F03122">
              <w:rPr>
                <w:rFonts w:eastAsia="SimSun"/>
              </w:rPr>
              <w:t>2</w:t>
            </w:r>
          </w:p>
        </w:tc>
        <w:tc>
          <w:tcPr>
            <w:tcW w:w="670" w:type="dxa"/>
          </w:tcPr>
          <w:p w:rsidR="001822BC" w:rsidRPr="00F03122" w:rsidRDefault="001822BC" w:rsidP="00D0037C">
            <w:pPr>
              <w:jc w:val="both"/>
              <w:rPr>
                <w:rFonts w:eastAsia="SimSun"/>
              </w:rPr>
            </w:pPr>
            <w:r w:rsidRPr="00F03122">
              <w:rPr>
                <w:rFonts w:eastAsia="SimSun"/>
              </w:rPr>
              <w:t>6</w:t>
            </w:r>
          </w:p>
        </w:tc>
        <w:tc>
          <w:tcPr>
            <w:tcW w:w="656" w:type="dxa"/>
          </w:tcPr>
          <w:p w:rsidR="001822BC" w:rsidRPr="00F03122" w:rsidRDefault="001822BC" w:rsidP="00D0037C">
            <w:pPr>
              <w:jc w:val="both"/>
              <w:rPr>
                <w:rFonts w:eastAsia="SimSun"/>
              </w:rPr>
            </w:pPr>
            <w:r w:rsidRPr="00F03122">
              <w:rPr>
                <w:rFonts w:eastAsia="SimSun"/>
              </w:rPr>
              <w:t>6</w:t>
            </w:r>
          </w:p>
        </w:tc>
        <w:tc>
          <w:tcPr>
            <w:tcW w:w="764" w:type="dxa"/>
          </w:tcPr>
          <w:p w:rsidR="001822BC" w:rsidRPr="00F03122" w:rsidRDefault="00E85A0D" w:rsidP="00D0037C">
            <w:pPr>
              <w:jc w:val="both"/>
              <w:rPr>
                <w:rFonts w:eastAsia="SimSun"/>
              </w:rPr>
            </w:pPr>
            <w:r w:rsidRPr="00F03122">
              <w:rPr>
                <w:rFonts w:eastAsia="SimSun"/>
              </w:rPr>
              <w:t>3</w:t>
            </w:r>
          </w:p>
        </w:tc>
        <w:tc>
          <w:tcPr>
            <w:tcW w:w="1136" w:type="dxa"/>
          </w:tcPr>
          <w:p w:rsidR="001822BC" w:rsidRPr="00F03122" w:rsidRDefault="002574EE" w:rsidP="00D0037C">
            <w:pPr>
              <w:keepNext/>
              <w:jc w:val="both"/>
              <w:rPr>
                <w:rFonts w:eastAsia="SimSun"/>
              </w:rPr>
            </w:pPr>
            <w:r>
              <w:rPr>
                <w:rFonts w:eastAsia="SimSun"/>
              </w:rPr>
              <w:t>3</w:t>
            </w:r>
          </w:p>
        </w:tc>
        <w:tc>
          <w:tcPr>
            <w:tcW w:w="764" w:type="dxa"/>
          </w:tcPr>
          <w:p w:rsidR="001822BC" w:rsidRPr="00F03122" w:rsidRDefault="001822BC" w:rsidP="00D0037C">
            <w:pPr>
              <w:keepNext/>
              <w:jc w:val="both"/>
              <w:rPr>
                <w:rFonts w:eastAsia="SimSun"/>
              </w:rPr>
            </w:pPr>
            <w:r w:rsidRPr="00F03122">
              <w:rPr>
                <w:rFonts w:eastAsia="SimSun"/>
              </w:rPr>
              <w:t>4</w:t>
            </w:r>
          </w:p>
        </w:tc>
      </w:tr>
    </w:tbl>
    <w:p w:rsidR="00AB77F3" w:rsidRPr="00066F65" w:rsidRDefault="00AB77F3" w:rsidP="00BA5BC4">
      <w:pPr>
        <w:pStyle w:val="Caption"/>
      </w:pPr>
      <w:bookmarkStart w:id="277" w:name="_Ref241042905"/>
      <w:bookmarkStart w:id="278" w:name="_Toc259717441"/>
      <w:r w:rsidRPr="00066F65">
        <w:t xml:space="preserve">Figure </w:t>
      </w:r>
      <w:r w:rsidR="00BD151C">
        <w:fldChar w:fldCharType="begin"/>
      </w:r>
      <w:r w:rsidR="00801316">
        <w:instrText xml:space="preserve"> SEQ Figure \* ARABIC </w:instrText>
      </w:r>
      <w:r w:rsidR="00BD151C">
        <w:fldChar w:fldCharType="separate"/>
      </w:r>
      <w:r w:rsidR="003E4210">
        <w:rPr>
          <w:noProof/>
        </w:rPr>
        <w:t>9</w:t>
      </w:r>
      <w:r w:rsidR="00BD151C">
        <w:fldChar w:fldCharType="end"/>
      </w:r>
      <w:bookmarkEnd w:id="277"/>
      <w:r w:rsidRPr="00066F65">
        <w:t xml:space="preserve"> – SS frame</w:t>
      </w:r>
      <w:bookmarkEnd w:id="278"/>
    </w:p>
    <w:p w:rsidR="00AB77F3" w:rsidRPr="00F03122" w:rsidRDefault="00AB77F3" w:rsidP="00AB77F3"/>
    <w:p w:rsidR="00BE3B4E" w:rsidRDefault="00BE3B4E" w:rsidP="00485100">
      <w:r w:rsidRPr="00F03122">
        <w:t xml:space="preserve">The Duration field is set to the time until the end of the </w:t>
      </w:r>
      <w:r w:rsidR="00485100" w:rsidRPr="00F03122">
        <w:t>SS</w:t>
      </w:r>
      <w:r w:rsidRPr="00F03122">
        <w:t xml:space="preserve"> frame </w:t>
      </w:r>
      <w:r w:rsidR="00485100" w:rsidRPr="00F03122">
        <w:t xml:space="preserve">transmission </w:t>
      </w:r>
      <w:r w:rsidRPr="00F03122">
        <w:t xml:space="preserve">with CDOWN </w:t>
      </w:r>
      <w:r w:rsidR="00485100" w:rsidRPr="00F03122">
        <w:t>sub</w:t>
      </w:r>
      <w:r w:rsidRPr="00F03122">
        <w:t xml:space="preserve">field </w:t>
      </w:r>
      <w:r w:rsidR="00485100" w:rsidRPr="00F03122">
        <w:t>with</w:t>
      </w:r>
      <w:r w:rsidRPr="00F03122">
        <w:t xml:space="preserve">in the SS </w:t>
      </w:r>
      <w:r w:rsidR="00485100" w:rsidRPr="00F03122">
        <w:t xml:space="preserve">field </w:t>
      </w:r>
      <w:r w:rsidRPr="00F03122">
        <w:t>equal to zero</w:t>
      </w:r>
      <w:r w:rsidR="002858FB" w:rsidRPr="00F03122">
        <w:t xml:space="preserve"> or the end of the current allocation (see </w:t>
      </w:r>
      <w:r w:rsidR="00BD151C" w:rsidRPr="00F03122">
        <w:fldChar w:fldCharType="begin"/>
      </w:r>
      <w:r w:rsidR="002858FB" w:rsidRPr="00F03122">
        <w:instrText xml:space="preserve"> REF _Ref249332405 \r \h </w:instrText>
      </w:r>
      <w:r w:rsidR="00BD151C" w:rsidRPr="00F03122">
        <w:fldChar w:fldCharType="separate"/>
      </w:r>
      <w:r w:rsidR="003E4210">
        <w:t>9.25</w:t>
      </w:r>
      <w:r w:rsidR="00BD151C" w:rsidRPr="00F03122">
        <w:fldChar w:fldCharType="end"/>
      </w:r>
      <w:r w:rsidR="002858FB" w:rsidRPr="00F03122">
        <w:t>), whichever comes first</w:t>
      </w:r>
      <w:r w:rsidRPr="00F03122">
        <w:t>.</w:t>
      </w:r>
      <w:r w:rsidR="00B633F1">
        <w:t xml:space="preserve"> </w:t>
      </w:r>
    </w:p>
    <w:p w:rsidR="00B633F1" w:rsidRPr="00F03122" w:rsidRDefault="00B633F1" w:rsidP="00485100"/>
    <w:p w:rsidR="00AB77F3" w:rsidRPr="00F03122" w:rsidRDefault="00AB77F3" w:rsidP="00BE3B4E">
      <w:r w:rsidRPr="00F03122">
        <w:t xml:space="preserve">The RA field contains the address of the STA that is the intended </w:t>
      </w:r>
      <w:r w:rsidR="00BE3B4E" w:rsidRPr="00F03122">
        <w:t xml:space="preserve">receiver </w:t>
      </w:r>
      <w:r w:rsidRPr="00F03122">
        <w:t>of the sector sweep</w:t>
      </w:r>
      <w:r w:rsidR="001006CD" w:rsidRPr="00F03122">
        <w:t>.</w:t>
      </w:r>
      <w:r w:rsidR="00BE3B4E" w:rsidRPr="00F03122">
        <w:t xml:space="preserve"> </w:t>
      </w:r>
    </w:p>
    <w:p w:rsidR="00AB77F3" w:rsidRPr="00F03122" w:rsidRDefault="00AB77F3" w:rsidP="00AB77F3"/>
    <w:p w:rsidR="00AB77F3" w:rsidRPr="00F03122" w:rsidRDefault="00AB77F3" w:rsidP="00AB77F3">
      <w:r w:rsidRPr="00F03122">
        <w:t>The TA field contains the address of the transmitter STA of the sector sweep frame.</w:t>
      </w:r>
      <w:r w:rsidR="00485100" w:rsidRPr="00F03122">
        <w:t xml:space="preserve"> </w:t>
      </w:r>
    </w:p>
    <w:p w:rsidR="00AB77F3" w:rsidRPr="00F03122" w:rsidRDefault="00AB77F3" w:rsidP="00AB77F3"/>
    <w:p w:rsidR="00AB77F3" w:rsidRPr="00F03122" w:rsidRDefault="00AB77F3" w:rsidP="00BD1721">
      <w:r w:rsidRPr="00F03122">
        <w:t xml:space="preserve">The SS </w:t>
      </w:r>
      <w:r w:rsidR="00E07554" w:rsidRPr="00F03122">
        <w:t>field</w:t>
      </w:r>
      <w:r w:rsidRPr="00F03122">
        <w:t xml:space="preserve"> is defined in </w:t>
      </w:r>
      <w:r w:rsidR="00BD151C">
        <w:fldChar w:fldCharType="begin"/>
      </w:r>
      <w:r w:rsidR="009F4839">
        <w:instrText xml:space="preserve"> REF _Ref253745298 \h </w:instrText>
      </w:r>
      <w:r w:rsidR="00BD151C">
        <w:fldChar w:fldCharType="separate"/>
      </w:r>
      <w:r w:rsidR="003E4210">
        <w:t xml:space="preserve">7.3a.1 </w:t>
      </w:r>
      <w:r w:rsidR="003E4210" w:rsidRPr="00DF33B1">
        <w:t xml:space="preserve">Sector </w:t>
      </w:r>
      <w:r w:rsidR="003E4210">
        <w:t>S</w:t>
      </w:r>
      <w:r w:rsidR="003E4210" w:rsidRPr="00DF33B1">
        <w:t>weep field</w:t>
      </w:r>
      <w:r w:rsidR="00BD151C">
        <w:fldChar w:fldCharType="end"/>
      </w:r>
      <w:r w:rsidRPr="00F03122">
        <w:t>.</w:t>
      </w:r>
    </w:p>
    <w:p w:rsidR="00281C88" w:rsidRPr="00F03122" w:rsidRDefault="00281C88" w:rsidP="00BA5CAB">
      <w:pPr>
        <w:rPr>
          <w:rFonts w:eastAsia="MS Mincho"/>
        </w:rPr>
      </w:pPr>
    </w:p>
    <w:p w:rsidR="006B0186" w:rsidRPr="00F03122" w:rsidRDefault="006B0186" w:rsidP="005A3E01">
      <w:r w:rsidRPr="00F03122">
        <w:t>The SS Feedback field is defined in</w:t>
      </w:r>
      <w:r w:rsidR="005A3E01" w:rsidRPr="00F03122">
        <w:t xml:space="preserve"> </w:t>
      </w:r>
      <w:r w:rsidR="00BD151C">
        <w:fldChar w:fldCharType="begin"/>
      </w:r>
      <w:r w:rsidR="009F4839">
        <w:instrText xml:space="preserve"> REF _Ref253745299 \h </w:instrText>
      </w:r>
      <w:r w:rsidR="00BD151C">
        <w:fldChar w:fldCharType="separate"/>
      </w:r>
      <w:r w:rsidR="003E4210">
        <w:t xml:space="preserve">7.3a.3 </w:t>
      </w:r>
      <w:r w:rsidR="003E4210" w:rsidRPr="009448FC">
        <w:t>Sector Sweep Feedback field</w:t>
      </w:r>
      <w:r w:rsidR="00BD151C">
        <w:fldChar w:fldCharType="end"/>
      </w:r>
      <w:r w:rsidRPr="00F03122">
        <w:t>.</w:t>
      </w:r>
    </w:p>
    <w:p w:rsidR="006B0186" w:rsidRPr="00F03122" w:rsidRDefault="006B0186" w:rsidP="00BA5CAB">
      <w:pPr>
        <w:rPr>
          <w:rFonts w:eastAsia="MS Mincho"/>
        </w:rPr>
      </w:pPr>
    </w:p>
    <w:p w:rsidR="00281C88" w:rsidRPr="00F03122" w:rsidRDefault="00281C88" w:rsidP="003701DB">
      <w:pPr>
        <w:pStyle w:val="Heading4"/>
        <w:numPr>
          <w:ilvl w:val="3"/>
          <w:numId w:val="203"/>
        </w:numPr>
      </w:pPr>
      <w:bookmarkStart w:id="279" w:name="_Ref244094476"/>
      <w:bookmarkStart w:id="280" w:name="_Ref244095043"/>
      <w:bookmarkStart w:id="281" w:name="_Toc259716886"/>
      <w:r w:rsidRPr="00F03122">
        <w:lastRenderedPageBreak/>
        <w:t>Sector sweep feedback (SS-Feedback)</w:t>
      </w:r>
      <w:bookmarkEnd w:id="279"/>
      <w:bookmarkEnd w:id="280"/>
      <w:bookmarkEnd w:id="281"/>
    </w:p>
    <w:p w:rsidR="00281C88" w:rsidRPr="00F03122" w:rsidRDefault="00281C88" w:rsidP="00BA5CAB">
      <w:pPr>
        <w:rPr>
          <w:rFonts w:eastAsia="MS Mincho"/>
        </w:rPr>
      </w:pPr>
    </w:p>
    <w:p w:rsidR="00AB77F3" w:rsidRPr="00F03122" w:rsidRDefault="00AB77F3" w:rsidP="00AB77F3">
      <w:r w:rsidRPr="00F03122">
        <w:t xml:space="preserve">The format of the SS-Feedback frame is shown in </w:t>
      </w:r>
      <w:r w:rsidR="00BD151C" w:rsidRPr="00310226">
        <w:fldChar w:fldCharType="begin"/>
      </w:r>
      <w:r w:rsidRPr="00F03122">
        <w:instrText xml:space="preserve"> REF _Ref241042907 \h </w:instrText>
      </w:r>
      <w:r w:rsidR="00BD151C" w:rsidRPr="00310226">
        <w:fldChar w:fldCharType="separate"/>
      </w:r>
      <w:r w:rsidR="003E4210" w:rsidRPr="00066F65">
        <w:t xml:space="preserve">Figure </w:t>
      </w:r>
      <w:r w:rsidR="003E4210">
        <w:rPr>
          <w:noProof/>
        </w:rPr>
        <w:t>10</w:t>
      </w:r>
      <w:r w:rsidR="00BD151C" w:rsidRPr="00310226">
        <w:fldChar w:fldCharType="end"/>
      </w:r>
      <w:r w:rsidRPr="00F03122">
        <w:t>.</w:t>
      </w:r>
    </w:p>
    <w:p w:rsidR="00E7795B" w:rsidRPr="00066F65" w:rsidRDefault="00605931" w:rsidP="00E7795B">
      <w:pPr>
        <w:rPr>
          <w:b/>
          <w:i/>
          <w:color w:val="FF0000"/>
          <w:u w:val="single"/>
        </w:rPr>
      </w:pPr>
      <w:r w:rsidRPr="00066F65">
        <w:rPr>
          <w:b/>
          <w:i/>
          <w:color w:val="FF000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1136"/>
        <w:gridCol w:w="990"/>
        <w:gridCol w:w="764"/>
      </w:tblGrid>
      <w:tr w:rsidR="00E85A0D" w:rsidRPr="00066F65" w:rsidTr="00272C50">
        <w:trPr>
          <w:jc w:val="center"/>
        </w:trPr>
        <w:tc>
          <w:tcPr>
            <w:tcW w:w="1016" w:type="dxa"/>
          </w:tcPr>
          <w:p w:rsidR="00E85A0D" w:rsidRPr="00310226" w:rsidRDefault="00E85A0D" w:rsidP="00D0037C">
            <w:pPr>
              <w:jc w:val="both"/>
              <w:rPr>
                <w:rFonts w:eastAsia="SimSun"/>
              </w:rPr>
            </w:pPr>
          </w:p>
        </w:tc>
        <w:tc>
          <w:tcPr>
            <w:tcW w:w="1071" w:type="dxa"/>
          </w:tcPr>
          <w:p w:rsidR="00E85A0D" w:rsidRPr="00310226" w:rsidRDefault="00E85A0D" w:rsidP="005B4F79">
            <w:pPr>
              <w:jc w:val="both"/>
              <w:rPr>
                <w:rFonts w:eastAsia="SimSun"/>
              </w:rPr>
            </w:pPr>
            <w:r w:rsidRPr="00310226">
              <w:rPr>
                <w:rFonts w:eastAsia="SimSun"/>
              </w:rPr>
              <w:t>Frame</w:t>
            </w:r>
            <w:r w:rsidR="005B4F79" w:rsidRPr="00310226">
              <w:rPr>
                <w:rFonts w:eastAsia="SimSun"/>
              </w:rPr>
              <w:t xml:space="preserve"> </w:t>
            </w:r>
            <w:r w:rsidRPr="00310226">
              <w:rPr>
                <w:rFonts w:eastAsia="SimSun"/>
              </w:rPr>
              <w:t>Control</w:t>
            </w:r>
          </w:p>
        </w:tc>
        <w:tc>
          <w:tcPr>
            <w:tcW w:w="1188" w:type="dxa"/>
          </w:tcPr>
          <w:p w:rsidR="00E85A0D" w:rsidRPr="00310226" w:rsidRDefault="00E85A0D" w:rsidP="00D0037C">
            <w:pPr>
              <w:jc w:val="both"/>
              <w:rPr>
                <w:rFonts w:eastAsia="SimSun"/>
              </w:rPr>
            </w:pPr>
            <w:r w:rsidRPr="00310226">
              <w:rPr>
                <w:rFonts w:eastAsia="SimSun"/>
              </w:rPr>
              <w:t>Duration</w:t>
            </w:r>
          </w:p>
        </w:tc>
        <w:tc>
          <w:tcPr>
            <w:tcW w:w="670" w:type="dxa"/>
          </w:tcPr>
          <w:p w:rsidR="00E85A0D" w:rsidRPr="00310226" w:rsidRDefault="00E85A0D" w:rsidP="00D0037C">
            <w:pPr>
              <w:jc w:val="both"/>
              <w:rPr>
                <w:rFonts w:eastAsia="SimSun"/>
              </w:rPr>
            </w:pPr>
            <w:r w:rsidRPr="00310226">
              <w:rPr>
                <w:rFonts w:eastAsia="SimSun"/>
              </w:rPr>
              <w:t>RA</w:t>
            </w:r>
          </w:p>
        </w:tc>
        <w:tc>
          <w:tcPr>
            <w:tcW w:w="656" w:type="dxa"/>
          </w:tcPr>
          <w:p w:rsidR="00E85A0D" w:rsidRPr="00310226" w:rsidRDefault="00E85A0D" w:rsidP="00D0037C">
            <w:pPr>
              <w:jc w:val="both"/>
              <w:rPr>
                <w:rFonts w:eastAsia="SimSun"/>
              </w:rPr>
            </w:pPr>
            <w:r w:rsidRPr="00310226">
              <w:rPr>
                <w:rFonts w:eastAsia="SimSun"/>
              </w:rPr>
              <w:t>TA</w:t>
            </w:r>
          </w:p>
        </w:tc>
        <w:tc>
          <w:tcPr>
            <w:tcW w:w="764" w:type="dxa"/>
          </w:tcPr>
          <w:p w:rsidR="00E85A0D" w:rsidRPr="00310226" w:rsidRDefault="00E85A0D" w:rsidP="00D0037C">
            <w:pPr>
              <w:jc w:val="both"/>
              <w:rPr>
                <w:rFonts w:eastAsia="SimSun"/>
              </w:rPr>
            </w:pPr>
            <w:r w:rsidRPr="00310226">
              <w:rPr>
                <w:rFonts w:eastAsia="SimSun"/>
              </w:rPr>
              <w:t>SS</w:t>
            </w:r>
          </w:p>
        </w:tc>
        <w:tc>
          <w:tcPr>
            <w:tcW w:w="1136" w:type="dxa"/>
          </w:tcPr>
          <w:p w:rsidR="00E85A0D" w:rsidRPr="00310226" w:rsidRDefault="00E85A0D" w:rsidP="00D0037C">
            <w:pPr>
              <w:jc w:val="both"/>
              <w:rPr>
                <w:rFonts w:eastAsia="SimSun"/>
              </w:rPr>
            </w:pPr>
            <w:r w:rsidRPr="00310226">
              <w:rPr>
                <w:rFonts w:eastAsia="SimSun"/>
              </w:rPr>
              <w:t>SS Feedback</w:t>
            </w:r>
          </w:p>
        </w:tc>
        <w:tc>
          <w:tcPr>
            <w:tcW w:w="764" w:type="dxa"/>
          </w:tcPr>
          <w:p w:rsidR="00E85A0D" w:rsidRPr="00310226" w:rsidRDefault="00E85A0D" w:rsidP="00D0037C">
            <w:pPr>
              <w:jc w:val="both"/>
              <w:rPr>
                <w:rFonts w:eastAsia="SimSun"/>
              </w:rPr>
            </w:pPr>
            <w:r w:rsidRPr="00310226">
              <w:rPr>
                <w:rFonts w:eastAsia="SimSun"/>
              </w:rPr>
              <w:t>BRP Request</w:t>
            </w:r>
          </w:p>
        </w:tc>
        <w:tc>
          <w:tcPr>
            <w:tcW w:w="764" w:type="dxa"/>
          </w:tcPr>
          <w:p w:rsidR="00E85A0D" w:rsidRPr="00310226" w:rsidRDefault="00E85A0D" w:rsidP="00D0037C">
            <w:pPr>
              <w:jc w:val="both"/>
              <w:rPr>
                <w:rFonts w:eastAsia="SimSun"/>
              </w:rPr>
            </w:pPr>
            <w:r w:rsidRPr="00310226">
              <w:rPr>
                <w:rFonts w:eastAsia="SimSun"/>
              </w:rPr>
              <w:t>FCS</w:t>
            </w:r>
          </w:p>
        </w:tc>
      </w:tr>
      <w:tr w:rsidR="00E85A0D" w:rsidRPr="00066F65" w:rsidTr="00272C50">
        <w:trPr>
          <w:jc w:val="center"/>
        </w:trPr>
        <w:tc>
          <w:tcPr>
            <w:tcW w:w="1016" w:type="dxa"/>
          </w:tcPr>
          <w:p w:rsidR="00E85A0D" w:rsidRPr="00310226" w:rsidRDefault="00E85A0D" w:rsidP="00D0037C">
            <w:pPr>
              <w:jc w:val="both"/>
              <w:rPr>
                <w:rFonts w:eastAsia="SimSun"/>
              </w:rPr>
            </w:pPr>
            <w:r w:rsidRPr="00310226">
              <w:rPr>
                <w:rFonts w:eastAsia="SimSun"/>
              </w:rPr>
              <w:t>Octets:</w:t>
            </w:r>
          </w:p>
        </w:tc>
        <w:tc>
          <w:tcPr>
            <w:tcW w:w="1071" w:type="dxa"/>
          </w:tcPr>
          <w:p w:rsidR="00E85A0D" w:rsidRPr="00310226" w:rsidRDefault="00E85A0D" w:rsidP="00D0037C">
            <w:pPr>
              <w:jc w:val="both"/>
              <w:rPr>
                <w:rFonts w:eastAsia="SimSun"/>
              </w:rPr>
            </w:pPr>
            <w:r w:rsidRPr="00310226">
              <w:rPr>
                <w:rFonts w:eastAsia="SimSun"/>
              </w:rPr>
              <w:t>2</w:t>
            </w:r>
          </w:p>
        </w:tc>
        <w:tc>
          <w:tcPr>
            <w:tcW w:w="1188" w:type="dxa"/>
          </w:tcPr>
          <w:p w:rsidR="00E85A0D" w:rsidRPr="00310226" w:rsidRDefault="00E85A0D" w:rsidP="00D0037C">
            <w:pPr>
              <w:jc w:val="both"/>
              <w:rPr>
                <w:rFonts w:eastAsia="SimSun"/>
              </w:rPr>
            </w:pPr>
            <w:r w:rsidRPr="00310226">
              <w:rPr>
                <w:rFonts w:eastAsia="SimSun"/>
              </w:rPr>
              <w:t>2</w:t>
            </w:r>
          </w:p>
        </w:tc>
        <w:tc>
          <w:tcPr>
            <w:tcW w:w="670" w:type="dxa"/>
          </w:tcPr>
          <w:p w:rsidR="00E85A0D" w:rsidRPr="00310226" w:rsidRDefault="00E85A0D" w:rsidP="00D0037C">
            <w:pPr>
              <w:jc w:val="both"/>
              <w:rPr>
                <w:rFonts w:eastAsia="SimSun"/>
              </w:rPr>
            </w:pPr>
            <w:r w:rsidRPr="00310226">
              <w:rPr>
                <w:rFonts w:eastAsia="SimSun"/>
              </w:rPr>
              <w:t>6</w:t>
            </w:r>
          </w:p>
        </w:tc>
        <w:tc>
          <w:tcPr>
            <w:tcW w:w="656" w:type="dxa"/>
          </w:tcPr>
          <w:p w:rsidR="00E85A0D" w:rsidRPr="00310226" w:rsidRDefault="00E85A0D" w:rsidP="00D0037C">
            <w:pPr>
              <w:jc w:val="both"/>
              <w:rPr>
                <w:rFonts w:eastAsia="SimSun"/>
              </w:rPr>
            </w:pPr>
            <w:r w:rsidRPr="00310226">
              <w:rPr>
                <w:rFonts w:eastAsia="SimSun"/>
              </w:rPr>
              <w:t>6</w:t>
            </w:r>
          </w:p>
        </w:tc>
        <w:tc>
          <w:tcPr>
            <w:tcW w:w="764" w:type="dxa"/>
          </w:tcPr>
          <w:p w:rsidR="00E85A0D" w:rsidRPr="00310226" w:rsidRDefault="00E407BC" w:rsidP="00D0037C">
            <w:pPr>
              <w:jc w:val="both"/>
              <w:rPr>
                <w:rFonts w:eastAsia="SimSun"/>
              </w:rPr>
            </w:pPr>
            <w:r w:rsidRPr="00310226">
              <w:rPr>
                <w:rFonts w:eastAsia="SimSun"/>
              </w:rPr>
              <w:t>3</w:t>
            </w:r>
          </w:p>
        </w:tc>
        <w:tc>
          <w:tcPr>
            <w:tcW w:w="1136" w:type="dxa"/>
          </w:tcPr>
          <w:p w:rsidR="00E85A0D" w:rsidRPr="00310226" w:rsidRDefault="002574EE" w:rsidP="00D0037C">
            <w:pPr>
              <w:keepNext/>
              <w:jc w:val="both"/>
              <w:rPr>
                <w:rFonts w:eastAsia="SimSun"/>
              </w:rPr>
            </w:pPr>
            <w:r>
              <w:rPr>
                <w:rFonts w:eastAsia="SimSun"/>
              </w:rPr>
              <w:t>3</w:t>
            </w:r>
          </w:p>
        </w:tc>
        <w:tc>
          <w:tcPr>
            <w:tcW w:w="764" w:type="dxa"/>
          </w:tcPr>
          <w:p w:rsidR="00E85A0D" w:rsidRPr="00310226" w:rsidRDefault="002D1F84" w:rsidP="00D0037C">
            <w:pPr>
              <w:keepNext/>
              <w:jc w:val="both"/>
              <w:rPr>
                <w:rFonts w:eastAsia="SimSun"/>
              </w:rPr>
            </w:pPr>
            <w:r>
              <w:rPr>
                <w:rFonts w:eastAsia="SimSun"/>
              </w:rPr>
              <w:t>3</w:t>
            </w:r>
          </w:p>
        </w:tc>
        <w:tc>
          <w:tcPr>
            <w:tcW w:w="764" w:type="dxa"/>
          </w:tcPr>
          <w:p w:rsidR="00E85A0D" w:rsidRPr="00310226" w:rsidRDefault="00E85A0D" w:rsidP="00D0037C">
            <w:pPr>
              <w:keepNext/>
              <w:jc w:val="both"/>
              <w:rPr>
                <w:rFonts w:eastAsia="SimSun"/>
              </w:rPr>
            </w:pPr>
            <w:r w:rsidRPr="00310226">
              <w:rPr>
                <w:rFonts w:eastAsia="SimSun"/>
              </w:rPr>
              <w:t>4</w:t>
            </w:r>
          </w:p>
        </w:tc>
      </w:tr>
    </w:tbl>
    <w:p w:rsidR="00AB77F3" w:rsidRPr="00066F65" w:rsidRDefault="00AB77F3" w:rsidP="00BA5BC4">
      <w:pPr>
        <w:pStyle w:val="Caption"/>
      </w:pPr>
      <w:bookmarkStart w:id="282" w:name="_Ref241042907"/>
      <w:bookmarkStart w:id="283" w:name="_Toc259717442"/>
      <w:r w:rsidRPr="00066F65">
        <w:t xml:space="preserve">Figure </w:t>
      </w:r>
      <w:r w:rsidR="00BD151C">
        <w:fldChar w:fldCharType="begin"/>
      </w:r>
      <w:r w:rsidR="00801316">
        <w:instrText xml:space="preserve"> SEQ Figure \* ARABIC </w:instrText>
      </w:r>
      <w:r w:rsidR="00BD151C">
        <w:fldChar w:fldCharType="separate"/>
      </w:r>
      <w:r w:rsidR="003E4210">
        <w:rPr>
          <w:noProof/>
        </w:rPr>
        <w:t>10</w:t>
      </w:r>
      <w:r w:rsidR="00BD151C">
        <w:fldChar w:fldCharType="end"/>
      </w:r>
      <w:bookmarkEnd w:id="282"/>
      <w:r w:rsidRPr="00066F65">
        <w:t xml:space="preserve"> – SS-Feedback frame</w:t>
      </w:r>
      <w:bookmarkEnd w:id="283"/>
      <w:r w:rsidR="00080054">
        <w:t xml:space="preserve"> </w:t>
      </w:r>
    </w:p>
    <w:p w:rsidR="00AB77F3" w:rsidRDefault="00AB77F3" w:rsidP="00AB77F3"/>
    <w:p w:rsidR="00C703A8" w:rsidRDefault="00C703A8" w:rsidP="00AB77F3">
      <w:r w:rsidRPr="00C703A8">
        <w:t>The Duration field is set to zero when the SS-Feedback frame is transmitted within an A-BFT.</w:t>
      </w:r>
      <w:r>
        <w:t xml:space="preserve"> </w:t>
      </w:r>
      <w:r w:rsidRPr="00C703A8">
        <w:t>Otherwise, it is set to the time, in microseconds, required to transmit an SS-ACK frame plus SIFS.</w:t>
      </w:r>
    </w:p>
    <w:p w:rsidR="00C703A8" w:rsidRPr="00310226" w:rsidRDefault="0053357F" w:rsidP="00AB77F3">
      <w:r>
        <w:t xml:space="preserve"> </w:t>
      </w:r>
    </w:p>
    <w:p w:rsidR="00AB77F3" w:rsidRPr="00310226" w:rsidRDefault="00AB77F3" w:rsidP="00AB77F3">
      <w:r w:rsidRPr="00310226">
        <w:t>The RA field contains the address of the STA that is the intended destination of the SS-Feedback frame.</w:t>
      </w:r>
    </w:p>
    <w:p w:rsidR="00AB77F3" w:rsidRPr="00310226" w:rsidRDefault="00AB77F3" w:rsidP="00AB77F3"/>
    <w:p w:rsidR="00AB77F3" w:rsidRPr="00310226" w:rsidRDefault="00AB77F3" w:rsidP="00485100">
      <w:r w:rsidRPr="00310226">
        <w:t xml:space="preserve">The TA field contains the address of the </w:t>
      </w:r>
      <w:r w:rsidR="00485100" w:rsidRPr="00310226">
        <w:t>STA transmitting</w:t>
      </w:r>
      <w:r w:rsidRPr="00310226">
        <w:t xml:space="preserve"> the SS-Feedback frame.</w:t>
      </w:r>
      <w:r w:rsidR="00485100" w:rsidRPr="00310226">
        <w:t xml:space="preserve"> </w:t>
      </w:r>
    </w:p>
    <w:p w:rsidR="00AB77F3" w:rsidRPr="00310226" w:rsidRDefault="00AB77F3" w:rsidP="00AB77F3"/>
    <w:p w:rsidR="00AB77F3" w:rsidRPr="00310226" w:rsidRDefault="00AB77F3" w:rsidP="00BD1721">
      <w:r w:rsidRPr="00310226">
        <w:t xml:space="preserve">The SS </w:t>
      </w:r>
      <w:r w:rsidR="00E07554" w:rsidRPr="00310226">
        <w:t xml:space="preserve">field </w:t>
      </w:r>
      <w:r w:rsidRPr="00310226">
        <w:t>is defined in</w:t>
      </w:r>
      <w:r w:rsidR="00D36973">
        <w:t xml:space="preserve"> </w:t>
      </w:r>
      <w:r w:rsidR="00BD151C">
        <w:fldChar w:fldCharType="begin"/>
      </w:r>
      <w:r w:rsidR="009F4839">
        <w:instrText xml:space="preserve"> REF _Ref253745298 \h </w:instrText>
      </w:r>
      <w:r w:rsidR="00BD151C">
        <w:fldChar w:fldCharType="separate"/>
      </w:r>
      <w:r w:rsidR="003E4210">
        <w:t xml:space="preserve">7.3a.1 </w:t>
      </w:r>
      <w:r w:rsidR="003E4210" w:rsidRPr="00DF33B1">
        <w:t xml:space="preserve">Sector </w:t>
      </w:r>
      <w:r w:rsidR="003E4210">
        <w:t>S</w:t>
      </w:r>
      <w:r w:rsidR="003E4210" w:rsidRPr="00DF33B1">
        <w:t>weep field</w:t>
      </w:r>
      <w:r w:rsidR="00BD151C">
        <w:fldChar w:fldCharType="end"/>
      </w:r>
      <w:r w:rsidRPr="00310226">
        <w:t>.</w:t>
      </w:r>
    </w:p>
    <w:p w:rsidR="00281C88" w:rsidRPr="00310226" w:rsidRDefault="00281C88" w:rsidP="00BA5CAB">
      <w:pPr>
        <w:rPr>
          <w:rFonts w:eastAsia="MS Mincho"/>
        </w:rPr>
      </w:pPr>
    </w:p>
    <w:p w:rsidR="006B0186" w:rsidRPr="00310226" w:rsidRDefault="006B0186" w:rsidP="00D0460D">
      <w:r w:rsidRPr="00310226">
        <w:t xml:space="preserve">The SS Feedback field is defined in </w:t>
      </w:r>
      <w:r w:rsidR="00BD151C">
        <w:fldChar w:fldCharType="begin"/>
      </w:r>
      <w:r w:rsidR="009F4839">
        <w:instrText xml:space="preserve"> REF _Ref253745299 \h </w:instrText>
      </w:r>
      <w:r w:rsidR="00BD151C">
        <w:fldChar w:fldCharType="separate"/>
      </w:r>
      <w:r w:rsidR="003E4210">
        <w:t xml:space="preserve">7.3a.3 </w:t>
      </w:r>
      <w:r w:rsidR="003E4210" w:rsidRPr="009448FC">
        <w:t>Sector Sweep Feedback field</w:t>
      </w:r>
      <w:r w:rsidR="00BD151C">
        <w:fldChar w:fldCharType="end"/>
      </w:r>
      <w:r w:rsidRPr="00310226">
        <w:t>.</w:t>
      </w:r>
    </w:p>
    <w:p w:rsidR="00E85A0D" w:rsidRPr="00310226" w:rsidRDefault="00E85A0D" w:rsidP="00E85A0D"/>
    <w:p w:rsidR="00E85A0D" w:rsidRPr="00310226" w:rsidRDefault="00633A5F" w:rsidP="00E85A0D">
      <w:r>
        <w:t xml:space="preserve">The BRP </w:t>
      </w:r>
      <w:r w:rsidR="00E85A0D" w:rsidRPr="00310226">
        <w:t xml:space="preserve">Request field is defined in </w:t>
      </w:r>
      <w:r w:rsidR="00BD151C">
        <w:fldChar w:fldCharType="begin"/>
      </w:r>
      <w:r w:rsidR="009F4839">
        <w:instrText xml:space="preserve"> REF _Ref253745300 \h </w:instrText>
      </w:r>
      <w:r w:rsidR="00BD151C">
        <w:fldChar w:fldCharType="separate"/>
      </w:r>
      <w:r w:rsidR="003E4210">
        <w:t xml:space="preserve">7.3a.4 </w:t>
      </w:r>
      <w:r w:rsidR="003E4210" w:rsidRPr="009448FC">
        <w:t xml:space="preserve">BRP Request </w:t>
      </w:r>
      <w:r w:rsidR="003E4210">
        <w:t>f</w:t>
      </w:r>
      <w:r w:rsidR="003E4210" w:rsidRPr="009448FC">
        <w:t>ield</w:t>
      </w:r>
      <w:r w:rsidR="00BD151C">
        <w:fldChar w:fldCharType="end"/>
      </w:r>
      <w:r w:rsidR="00083D9C" w:rsidRPr="00310226">
        <w:t>.</w:t>
      </w:r>
    </w:p>
    <w:p w:rsidR="006B0186" w:rsidRPr="00310226" w:rsidRDefault="006B0186" w:rsidP="00BA5CAB">
      <w:pPr>
        <w:rPr>
          <w:rFonts w:eastAsia="MS Mincho"/>
        </w:rPr>
      </w:pPr>
    </w:p>
    <w:p w:rsidR="00281C88" w:rsidRPr="00310226" w:rsidRDefault="00281C88" w:rsidP="003701DB">
      <w:pPr>
        <w:pStyle w:val="Heading4"/>
        <w:numPr>
          <w:ilvl w:val="3"/>
          <w:numId w:val="203"/>
        </w:numPr>
      </w:pPr>
      <w:bookmarkStart w:id="284" w:name="_Ref244094594"/>
      <w:bookmarkStart w:id="285" w:name="_Ref244095078"/>
      <w:bookmarkStart w:id="286" w:name="_Toc259716887"/>
      <w:r w:rsidRPr="00310226">
        <w:t>Sector sweep ACK (SS-ACK)</w:t>
      </w:r>
      <w:bookmarkEnd w:id="284"/>
      <w:bookmarkEnd w:id="285"/>
      <w:bookmarkEnd w:id="286"/>
    </w:p>
    <w:p w:rsidR="00281C88" w:rsidRPr="00310226" w:rsidRDefault="00281C88" w:rsidP="00BA5CAB">
      <w:pPr>
        <w:rPr>
          <w:rFonts w:eastAsia="MS Mincho"/>
        </w:rPr>
      </w:pPr>
    </w:p>
    <w:p w:rsidR="00AB77F3" w:rsidRPr="00310226" w:rsidRDefault="00AB77F3" w:rsidP="00AB77F3">
      <w:r w:rsidRPr="00310226">
        <w:t xml:space="preserve">The format of the SS-ACK frame is shown in </w:t>
      </w:r>
      <w:r w:rsidR="00BD151C" w:rsidRPr="00310226">
        <w:fldChar w:fldCharType="begin"/>
      </w:r>
      <w:r w:rsidRPr="00310226">
        <w:instrText xml:space="preserve"> REF _Ref241042908 \h </w:instrText>
      </w:r>
      <w:r w:rsidR="00BD151C" w:rsidRPr="00310226">
        <w:fldChar w:fldCharType="separate"/>
      </w:r>
      <w:r w:rsidR="003E4210" w:rsidRPr="00066F65">
        <w:t xml:space="preserve">Figure </w:t>
      </w:r>
      <w:r w:rsidR="003E4210">
        <w:rPr>
          <w:noProof/>
        </w:rPr>
        <w:t>11</w:t>
      </w:r>
      <w:r w:rsidR="00BD151C" w:rsidRPr="00310226">
        <w:fldChar w:fldCharType="end"/>
      </w:r>
      <w:r w:rsidRPr="00310226">
        <w:t>.</w:t>
      </w:r>
    </w:p>
    <w:p w:rsidR="00E7795B" w:rsidRPr="00066F65" w:rsidRDefault="00605931" w:rsidP="00E7795B">
      <w:pPr>
        <w:rPr>
          <w:b/>
          <w:i/>
          <w:color w:val="FF0000"/>
          <w:u w:val="single"/>
        </w:rPr>
      </w:pPr>
      <w:r w:rsidRPr="00066F65">
        <w:rPr>
          <w:b/>
          <w:i/>
          <w:color w:val="FF000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1136"/>
        <w:gridCol w:w="990"/>
        <w:gridCol w:w="764"/>
      </w:tblGrid>
      <w:tr w:rsidR="00E85A0D" w:rsidRPr="00066F65" w:rsidTr="00E85A0D">
        <w:trPr>
          <w:jc w:val="center"/>
        </w:trPr>
        <w:tc>
          <w:tcPr>
            <w:tcW w:w="1016" w:type="dxa"/>
          </w:tcPr>
          <w:p w:rsidR="00E85A0D" w:rsidRPr="00310226" w:rsidRDefault="00E85A0D" w:rsidP="00D0037C">
            <w:pPr>
              <w:jc w:val="both"/>
              <w:rPr>
                <w:rFonts w:eastAsia="SimSun"/>
              </w:rPr>
            </w:pPr>
          </w:p>
        </w:tc>
        <w:tc>
          <w:tcPr>
            <w:tcW w:w="1071" w:type="dxa"/>
          </w:tcPr>
          <w:p w:rsidR="00E85A0D" w:rsidRPr="00310226" w:rsidRDefault="00E85A0D" w:rsidP="005B4F79">
            <w:pPr>
              <w:jc w:val="both"/>
              <w:rPr>
                <w:rFonts w:eastAsia="SimSun"/>
              </w:rPr>
            </w:pPr>
            <w:r w:rsidRPr="00310226">
              <w:rPr>
                <w:rFonts w:eastAsia="SimSun"/>
              </w:rPr>
              <w:t>Frame</w:t>
            </w:r>
            <w:r w:rsidR="005B4F79" w:rsidRPr="00310226">
              <w:rPr>
                <w:rFonts w:eastAsia="SimSun"/>
              </w:rPr>
              <w:t xml:space="preserve"> </w:t>
            </w:r>
            <w:r w:rsidRPr="00310226">
              <w:rPr>
                <w:rFonts w:eastAsia="SimSun"/>
              </w:rPr>
              <w:t>Control</w:t>
            </w:r>
          </w:p>
        </w:tc>
        <w:tc>
          <w:tcPr>
            <w:tcW w:w="1188" w:type="dxa"/>
          </w:tcPr>
          <w:p w:rsidR="00E85A0D" w:rsidRPr="00310226" w:rsidRDefault="00E85A0D" w:rsidP="00D0037C">
            <w:pPr>
              <w:jc w:val="both"/>
              <w:rPr>
                <w:rFonts w:eastAsia="SimSun"/>
              </w:rPr>
            </w:pPr>
            <w:r w:rsidRPr="00310226">
              <w:rPr>
                <w:rFonts w:eastAsia="SimSun"/>
              </w:rPr>
              <w:t>Duration</w:t>
            </w:r>
          </w:p>
        </w:tc>
        <w:tc>
          <w:tcPr>
            <w:tcW w:w="670" w:type="dxa"/>
          </w:tcPr>
          <w:p w:rsidR="00E85A0D" w:rsidRPr="00310226" w:rsidRDefault="00E85A0D" w:rsidP="00D0037C">
            <w:pPr>
              <w:jc w:val="both"/>
              <w:rPr>
                <w:rFonts w:eastAsia="SimSun"/>
              </w:rPr>
            </w:pPr>
            <w:r w:rsidRPr="00310226">
              <w:rPr>
                <w:rFonts w:eastAsia="SimSun"/>
              </w:rPr>
              <w:t>RA</w:t>
            </w:r>
          </w:p>
        </w:tc>
        <w:tc>
          <w:tcPr>
            <w:tcW w:w="656" w:type="dxa"/>
          </w:tcPr>
          <w:p w:rsidR="00E85A0D" w:rsidRPr="00310226" w:rsidRDefault="00E85A0D" w:rsidP="00D0037C">
            <w:pPr>
              <w:jc w:val="both"/>
              <w:rPr>
                <w:rFonts w:eastAsia="SimSun"/>
              </w:rPr>
            </w:pPr>
            <w:r w:rsidRPr="00310226">
              <w:rPr>
                <w:rFonts w:eastAsia="SimSun"/>
              </w:rPr>
              <w:t>TA</w:t>
            </w:r>
          </w:p>
        </w:tc>
        <w:tc>
          <w:tcPr>
            <w:tcW w:w="764" w:type="dxa"/>
          </w:tcPr>
          <w:p w:rsidR="00E85A0D" w:rsidRPr="00310226" w:rsidRDefault="00E85A0D" w:rsidP="00D0037C">
            <w:pPr>
              <w:jc w:val="both"/>
              <w:rPr>
                <w:rFonts w:eastAsia="SimSun"/>
              </w:rPr>
            </w:pPr>
            <w:r w:rsidRPr="00310226">
              <w:rPr>
                <w:rFonts w:eastAsia="SimSun"/>
              </w:rPr>
              <w:t>SS</w:t>
            </w:r>
          </w:p>
        </w:tc>
        <w:tc>
          <w:tcPr>
            <w:tcW w:w="1136" w:type="dxa"/>
          </w:tcPr>
          <w:p w:rsidR="00E85A0D" w:rsidRPr="00310226" w:rsidRDefault="00E85A0D" w:rsidP="00D0037C">
            <w:pPr>
              <w:jc w:val="both"/>
              <w:rPr>
                <w:rFonts w:eastAsia="SimSun"/>
              </w:rPr>
            </w:pPr>
            <w:r w:rsidRPr="00310226">
              <w:rPr>
                <w:rFonts w:eastAsia="SimSun"/>
              </w:rPr>
              <w:t>SS Feedback</w:t>
            </w:r>
          </w:p>
        </w:tc>
        <w:tc>
          <w:tcPr>
            <w:tcW w:w="990" w:type="dxa"/>
          </w:tcPr>
          <w:p w:rsidR="00E85A0D" w:rsidRPr="00310226" w:rsidRDefault="00E85A0D" w:rsidP="00272C50">
            <w:pPr>
              <w:jc w:val="both"/>
              <w:rPr>
                <w:rFonts w:eastAsia="SimSun"/>
              </w:rPr>
            </w:pPr>
            <w:r w:rsidRPr="00310226">
              <w:rPr>
                <w:rFonts w:eastAsia="SimSun"/>
              </w:rPr>
              <w:t>BRP Request</w:t>
            </w:r>
          </w:p>
        </w:tc>
        <w:tc>
          <w:tcPr>
            <w:tcW w:w="764" w:type="dxa"/>
          </w:tcPr>
          <w:p w:rsidR="00E85A0D" w:rsidRPr="00310226" w:rsidRDefault="00E85A0D" w:rsidP="00D0037C">
            <w:pPr>
              <w:jc w:val="both"/>
              <w:rPr>
                <w:rFonts w:eastAsia="SimSun"/>
              </w:rPr>
            </w:pPr>
            <w:r w:rsidRPr="00310226">
              <w:rPr>
                <w:rFonts w:eastAsia="SimSun"/>
              </w:rPr>
              <w:t>FCS</w:t>
            </w:r>
          </w:p>
        </w:tc>
      </w:tr>
      <w:tr w:rsidR="00E85A0D" w:rsidRPr="00066F65" w:rsidTr="00E85A0D">
        <w:trPr>
          <w:jc w:val="center"/>
        </w:trPr>
        <w:tc>
          <w:tcPr>
            <w:tcW w:w="1016" w:type="dxa"/>
          </w:tcPr>
          <w:p w:rsidR="00E85A0D" w:rsidRPr="00310226" w:rsidRDefault="00E85A0D" w:rsidP="00D0037C">
            <w:pPr>
              <w:jc w:val="both"/>
              <w:rPr>
                <w:rFonts w:eastAsia="SimSun"/>
              </w:rPr>
            </w:pPr>
            <w:r w:rsidRPr="00310226">
              <w:rPr>
                <w:rFonts w:eastAsia="SimSun"/>
              </w:rPr>
              <w:t>Octets:</w:t>
            </w:r>
          </w:p>
        </w:tc>
        <w:tc>
          <w:tcPr>
            <w:tcW w:w="1071" w:type="dxa"/>
          </w:tcPr>
          <w:p w:rsidR="00E85A0D" w:rsidRPr="00310226" w:rsidRDefault="00E85A0D" w:rsidP="00D0037C">
            <w:pPr>
              <w:jc w:val="both"/>
              <w:rPr>
                <w:rFonts w:eastAsia="SimSun"/>
              </w:rPr>
            </w:pPr>
            <w:r w:rsidRPr="00310226">
              <w:rPr>
                <w:rFonts w:eastAsia="SimSun"/>
              </w:rPr>
              <w:t>2</w:t>
            </w:r>
          </w:p>
        </w:tc>
        <w:tc>
          <w:tcPr>
            <w:tcW w:w="1188" w:type="dxa"/>
          </w:tcPr>
          <w:p w:rsidR="00E85A0D" w:rsidRPr="00310226" w:rsidRDefault="00E85A0D" w:rsidP="00D0037C">
            <w:pPr>
              <w:jc w:val="both"/>
              <w:rPr>
                <w:rFonts w:eastAsia="SimSun"/>
              </w:rPr>
            </w:pPr>
            <w:r w:rsidRPr="00310226">
              <w:rPr>
                <w:rFonts w:eastAsia="SimSun"/>
              </w:rPr>
              <w:t>2</w:t>
            </w:r>
          </w:p>
        </w:tc>
        <w:tc>
          <w:tcPr>
            <w:tcW w:w="670" w:type="dxa"/>
          </w:tcPr>
          <w:p w:rsidR="00E85A0D" w:rsidRPr="00310226" w:rsidRDefault="00E85A0D" w:rsidP="00D0037C">
            <w:pPr>
              <w:jc w:val="both"/>
              <w:rPr>
                <w:rFonts w:eastAsia="SimSun"/>
              </w:rPr>
            </w:pPr>
            <w:r w:rsidRPr="00310226">
              <w:rPr>
                <w:rFonts w:eastAsia="SimSun"/>
              </w:rPr>
              <w:t>6</w:t>
            </w:r>
          </w:p>
        </w:tc>
        <w:tc>
          <w:tcPr>
            <w:tcW w:w="656" w:type="dxa"/>
          </w:tcPr>
          <w:p w:rsidR="00E85A0D" w:rsidRPr="00310226" w:rsidRDefault="00E85A0D" w:rsidP="00D0037C">
            <w:pPr>
              <w:jc w:val="both"/>
              <w:rPr>
                <w:rFonts w:eastAsia="SimSun"/>
              </w:rPr>
            </w:pPr>
            <w:r w:rsidRPr="00310226">
              <w:rPr>
                <w:rFonts w:eastAsia="SimSun"/>
              </w:rPr>
              <w:t>6</w:t>
            </w:r>
          </w:p>
        </w:tc>
        <w:tc>
          <w:tcPr>
            <w:tcW w:w="764" w:type="dxa"/>
          </w:tcPr>
          <w:p w:rsidR="00E85A0D" w:rsidRPr="00310226" w:rsidRDefault="00E407BC" w:rsidP="00D0037C">
            <w:pPr>
              <w:jc w:val="both"/>
              <w:rPr>
                <w:rFonts w:eastAsia="SimSun"/>
              </w:rPr>
            </w:pPr>
            <w:r w:rsidRPr="00310226">
              <w:rPr>
                <w:rFonts w:eastAsia="SimSun"/>
              </w:rPr>
              <w:t>3</w:t>
            </w:r>
          </w:p>
        </w:tc>
        <w:tc>
          <w:tcPr>
            <w:tcW w:w="1136" w:type="dxa"/>
          </w:tcPr>
          <w:p w:rsidR="00E85A0D" w:rsidRPr="00310226" w:rsidRDefault="002574EE" w:rsidP="00D0037C">
            <w:pPr>
              <w:keepNext/>
              <w:jc w:val="both"/>
              <w:rPr>
                <w:rFonts w:eastAsia="SimSun"/>
              </w:rPr>
            </w:pPr>
            <w:r>
              <w:rPr>
                <w:rFonts w:eastAsia="SimSun"/>
              </w:rPr>
              <w:t>3</w:t>
            </w:r>
          </w:p>
        </w:tc>
        <w:tc>
          <w:tcPr>
            <w:tcW w:w="990" w:type="dxa"/>
          </w:tcPr>
          <w:p w:rsidR="00E85A0D" w:rsidRPr="00310226" w:rsidRDefault="002D1F84" w:rsidP="00272C50">
            <w:pPr>
              <w:keepNext/>
              <w:jc w:val="both"/>
              <w:rPr>
                <w:rFonts w:eastAsia="SimSun"/>
              </w:rPr>
            </w:pPr>
            <w:r>
              <w:rPr>
                <w:rFonts w:eastAsia="SimSun"/>
              </w:rPr>
              <w:t>3</w:t>
            </w:r>
          </w:p>
        </w:tc>
        <w:tc>
          <w:tcPr>
            <w:tcW w:w="764" w:type="dxa"/>
          </w:tcPr>
          <w:p w:rsidR="00E85A0D" w:rsidRPr="00310226" w:rsidRDefault="00E85A0D" w:rsidP="00D0037C">
            <w:pPr>
              <w:keepNext/>
              <w:jc w:val="both"/>
              <w:rPr>
                <w:rFonts w:eastAsia="SimSun"/>
              </w:rPr>
            </w:pPr>
            <w:r w:rsidRPr="00310226">
              <w:rPr>
                <w:rFonts w:eastAsia="SimSun"/>
              </w:rPr>
              <w:t>4</w:t>
            </w:r>
          </w:p>
        </w:tc>
      </w:tr>
    </w:tbl>
    <w:p w:rsidR="00AB77F3" w:rsidRPr="00066F65" w:rsidRDefault="00AB77F3" w:rsidP="00BA5BC4">
      <w:pPr>
        <w:pStyle w:val="Caption"/>
      </w:pPr>
      <w:bookmarkStart w:id="287" w:name="_Ref241042908"/>
      <w:bookmarkStart w:id="288" w:name="_Toc259717443"/>
      <w:r w:rsidRPr="00066F65">
        <w:t xml:space="preserve">Figure </w:t>
      </w:r>
      <w:r w:rsidR="00BD151C">
        <w:fldChar w:fldCharType="begin"/>
      </w:r>
      <w:r w:rsidR="00801316">
        <w:instrText xml:space="preserve"> SEQ Figure \* ARABIC </w:instrText>
      </w:r>
      <w:r w:rsidR="00BD151C">
        <w:fldChar w:fldCharType="separate"/>
      </w:r>
      <w:r w:rsidR="003E4210">
        <w:rPr>
          <w:noProof/>
        </w:rPr>
        <w:t>11</w:t>
      </w:r>
      <w:r w:rsidR="00BD151C">
        <w:fldChar w:fldCharType="end"/>
      </w:r>
      <w:bookmarkEnd w:id="287"/>
      <w:r w:rsidRPr="00066F65">
        <w:t xml:space="preserve"> – SS-ACK frame</w:t>
      </w:r>
      <w:bookmarkEnd w:id="288"/>
      <w:r w:rsidR="00080054">
        <w:t xml:space="preserve"> </w:t>
      </w:r>
    </w:p>
    <w:p w:rsidR="00AB77F3" w:rsidRDefault="00AB77F3" w:rsidP="00AB77F3"/>
    <w:p w:rsidR="00C703A8" w:rsidRDefault="00C703A8" w:rsidP="00AB77F3">
      <w:r w:rsidRPr="00C703A8">
        <w:t>The Duration field is set to the value of the Duration within the immediatelly preceding SS-Feedback frame, minus SIFS, minus the time required to transmit the SS-ACK frame.</w:t>
      </w:r>
    </w:p>
    <w:p w:rsidR="00C703A8" w:rsidRPr="00310226" w:rsidRDefault="0053357F" w:rsidP="00AB77F3">
      <w:r>
        <w:t xml:space="preserve"> </w:t>
      </w:r>
    </w:p>
    <w:p w:rsidR="00AB77F3" w:rsidRPr="00310226" w:rsidRDefault="00AB77F3" w:rsidP="00AB77F3">
      <w:r w:rsidRPr="00310226">
        <w:t>The RA field contains the address of the STA that is the intended destination of the SS-ACK frame.</w:t>
      </w:r>
    </w:p>
    <w:p w:rsidR="00AB77F3" w:rsidRPr="00310226" w:rsidRDefault="00AB77F3" w:rsidP="00AB77F3"/>
    <w:p w:rsidR="00AB77F3" w:rsidRPr="00310226" w:rsidRDefault="00AB77F3" w:rsidP="00485100">
      <w:r w:rsidRPr="00310226">
        <w:t xml:space="preserve">The TA field contains the address </w:t>
      </w:r>
      <w:r w:rsidR="00485100" w:rsidRPr="00310226">
        <w:t>of the STA transmitting</w:t>
      </w:r>
      <w:r w:rsidRPr="00310226">
        <w:t xml:space="preserve"> the SS-ACK frame.</w:t>
      </w:r>
      <w:r w:rsidR="00485100" w:rsidRPr="00310226">
        <w:t xml:space="preserve"> </w:t>
      </w:r>
    </w:p>
    <w:p w:rsidR="00AB77F3" w:rsidRPr="00310226" w:rsidRDefault="00AB77F3" w:rsidP="00AB77F3"/>
    <w:p w:rsidR="00AB77F3" w:rsidRPr="00310226" w:rsidRDefault="00AB77F3" w:rsidP="00BD1721">
      <w:r w:rsidRPr="00310226">
        <w:t xml:space="preserve">The SS </w:t>
      </w:r>
      <w:r w:rsidR="00E07554" w:rsidRPr="00310226">
        <w:t>field</w:t>
      </w:r>
      <w:r w:rsidRPr="00310226">
        <w:t xml:space="preserve"> is defined in</w:t>
      </w:r>
      <w:r w:rsidR="009F4839">
        <w:t xml:space="preserve"> </w:t>
      </w:r>
      <w:r w:rsidR="00BD151C">
        <w:fldChar w:fldCharType="begin"/>
      </w:r>
      <w:r w:rsidR="009F4839">
        <w:instrText xml:space="preserve"> REF _Ref253745298 \h </w:instrText>
      </w:r>
      <w:r w:rsidR="00BD151C">
        <w:fldChar w:fldCharType="separate"/>
      </w:r>
      <w:r w:rsidR="003E4210">
        <w:t xml:space="preserve">7.3a.1 </w:t>
      </w:r>
      <w:r w:rsidR="003E4210" w:rsidRPr="00DF33B1">
        <w:t xml:space="preserve">Sector </w:t>
      </w:r>
      <w:r w:rsidR="003E4210">
        <w:t>S</w:t>
      </w:r>
      <w:r w:rsidR="003E4210" w:rsidRPr="00DF33B1">
        <w:t>weep field</w:t>
      </w:r>
      <w:r w:rsidR="00BD151C">
        <w:fldChar w:fldCharType="end"/>
      </w:r>
      <w:r w:rsidRPr="00310226">
        <w:t>.</w:t>
      </w:r>
    </w:p>
    <w:p w:rsidR="00281C88" w:rsidRPr="00310226" w:rsidRDefault="00281C88" w:rsidP="00BA5CAB">
      <w:pPr>
        <w:rPr>
          <w:rFonts w:eastAsia="MS Mincho"/>
        </w:rPr>
      </w:pPr>
    </w:p>
    <w:p w:rsidR="006B0186" w:rsidRPr="00310226" w:rsidRDefault="006B0186" w:rsidP="00083D9C">
      <w:r w:rsidRPr="00310226">
        <w:t>The SS Feedback field</w:t>
      </w:r>
      <w:r w:rsidR="00083D9C" w:rsidRPr="00310226">
        <w:t xml:space="preserve"> is defined in</w:t>
      </w:r>
      <w:r w:rsidR="009F4839">
        <w:t xml:space="preserve"> </w:t>
      </w:r>
      <w:r w:rsidR="00BD151C">
        <w:fldChar w:fldCharType="begin"/>
      </w:r>
      <w:r w:rsidR="009F4839">
        <w:instrText xml:space="preserve"> REF _Ref253745299 \h </w:instrText>
      </w:r>
      <w:r w:rsidR="00BD151C">
        <w:fldChar w:fldCharType="separate"/>
      </w:r>
      <w:r w:rsidR="003E4210">
        <w:t xml:space="preserve">7.3a.3 </w:t>
      </w:r>
      <w:r w:rsidR="003E4210" w:rsidRPr="009448FC">
        <w:t>Sector Sweep Feedback field</w:t>
      </w:r>
      <w:r w:rsidR="00BD151C">
        <w:fldChar w:fldCharType="end"/>
      </w:r>
      <w:r w:rsidRPr="00310226">
        <w:t>.</w:t>
      </w:r>
    </w:p>
    <w:p w:rsidR="00083D9C" w:rsidRPr="00310226" w:rsidRDefault="00083D9C" w:rsidP="006B0186"/>
    <w:p w:rsidR="00083D9C" w:rsidRPr="00310226" w:rsidRDefault="00633A5F" w:rsidP="00083D9C">
      <w:r>
        <w:t xml:space="preserve">The BRP </w:t>
      </w:r>
      <w:r w:rsidR="00083D9C" w:rsidRPr="00310226">
        <w:t>Request field is defined in</w:t>
      </w:r>
      <w:r w:rsidR="009F4839">
        <w:t xml:space="preserve"> </w:t>
      </w:r>
      <w:r w:rsidR="00BD151C">
        <w:fldChar w:fldCharType="begin"/>
      </w:r>
      <w:r w:rsidR="009F4839">
        <w:instrText xml:space="preserve"> REF _Ref253745300 \h </w:instrText>
      </w:r>
      <w:r w:rsidR="00BD151C">
        <w:fldChar w:fldCharType="separate"/>
      </w:r>
      <w:r w:rsidR="003E4210">
        <w:t xml:space="preserve">7.3a.4 </w:t>
      </w:r>
      <w:r w:rsidR="003E4210" w:rsidRPr="009448FC">
        <w:t xml:space="preserve">BRP Request </w:t>
      </w:r>
      <w:r w:rsidR="003E4210">
        <w:t>f</w:t>
      </w:r>
      <w:r w:rsidR="003E4210" w:rsidRPr="009448FC">
        <w:t>ield</w:t>
      </w:r>
      <w:r w:rsidR="00BD151C">
        <w:fldChar w:fldCharType="end"/>
      </w:r>
      <w:r w:rsidR="00083D9C" w:rsidRPr="00310226">
        <w:t>.</w:t>
      </w:r>
    </w:p>
    <w:p w:rsidR="006B0186" w:rsidRPr="00310226" w:rsidRDefault="006B0186" w:rsidP="00BA5CAB">
      <w:pPr>
        <w:rPr>
          <w:rFonts w:eastAsia="MS Mincho"/>
        </w:rPr>
      </w:pPr>
    </w:p>
    <w:p w:rsidR="008C36FC" w:rsidRDefault="008C36FC" w:rsidP="003701DB">
      <w:pPr>
        <w:pStyle w:val="Heading3"/>
        <w:numPr>
          <w:ilvl w:val="2"/>
          <w:numId w:val="203"/>
        </w:numPr>
      </w:pPr>
      <w:bookmarkStart w:id="289" w:name="_Toc235400231"/>
      <w:bookmarkStart w:id="290" w:name="_Toc259716888"/>
      <w:r w:rsidRPr="00310226">
        <w:lastRenderedPageBreak/>
        <w:t>Data frames</w:t>
      </w:r>
      <w:bookmarkEnd w:id="289"/>
      <w:bookmarkEnd w:id="290"/>
    </w:p>
    <w:p w:rsidR="002B25D7" w:rsidRDefault="002B25D7" w:rsidP="002B25D7"/>
    <w:p w:rsidR="002B25D7" w:rsidRPr="00441C50" w:rsidRDefault="002B25D7" w:rsidP="003701DB">
      <w:pPr>
        <w:pStyle w:val="Heading4"/>
        <w:numPr>
          <w:ilvl w:val="3"/>
          <w:numId w:val="54"/>
        </w:numPr>
      </w:pPr>
      <w:bookmarkStart w:id="291" w:name="_Toc235400232"/>
      <w:bookmarkStart w:id="292" w:name="_Toc259716889"/>
      <w:r w:rsidRPr="00441C50">
        <w:t>Data frame format</w:t>
      </w:r>
      <w:bookmarkEnd w:id="291"/>
      <w:bookmarkEnd w:id="292"/>
    </w:p>
    <w:p w:rsidR="004441DD" w:rsidRPr="00310226" w:rsidRDefault="004441DD" w:rsidP="004441DD">
      <w:pPr>
        <w:jc w:val="both"/>
      </w:pPr>
    </w:p>
    <w:p w:rsidR="00687D09" w:rsidRPr="00310226" w:rsidRDefault="002E5E4F" w:rsidP="006A7F0A">
      <w:pPr>
        <w:outlineLvl w:val="0"/>
        <w:rPr>
          <w:i/>
        </w:rPr>
      </w:pPr>
      <w:r w:rsidRPr="00310226">
        <w:rPr>
          <w:i/>
        </w:rPr>
        <w:t xml:space="preserve">.11 </w:t>
      </w:r>
      <w:r w:rsidR="004441DD" w:rsidRPr="00310226">
        <w:rPr>
          <w:i/>
        </w:rPr>
        <w:t>Editor Note: modify Table 7-7 as follows:</w:t>
      </w:r>
    </w:p>
    <w:p w:rsidR="002E5E4F" w:rsidRPr="00310226" w:rsidRDefault="002E5E4F" w:rsidP="004441DD">
      <w:pPr>
        <w:jc w:val="center"/>
        <w:outlineLvl w:val="0"/>
        <w:rPr>
          <w:b/>
        </w:rPr>
      </w:pPr>
    </w:p>
    <w:p w:rsidR="004441DD" w:rsidRPr="00310226" w:rsidRDefault="004441DD" w:rsidP="004441DD">
      <w:pPr>
        <w:jc w:val="center"/>
        <w:outlineLvl w:val="0"/>
        <w:rPr>
          <w:b/>
        </w:rPr>
      </w:pPr>
      <w:r w:rsidRPr="00310226">
        <w:rPr>
          <w:b/>
        </w:rPr>
        <w:t>Table 7-7</w:t>
      </w:r>
      <w:r w:rsidR="00FA3DF2" w:rsidRPr="00310226">
        <w:rPr>
          <w:b/>
        </w:rPr>
        <w:t xml:space="preserve"> – </w:t>
      </w:r>
      <w:r w:rsidRPr="00310226">
        <w:rPr>
          <w:b/>
        </w:rPr>
        <w:t>Address field contents</w:t>
      </w:r>
    </w:p>
    <w:p w:rsidR="004441DD" w:rsidRPr="00310226" w:rsidRDefault="004441DD" w:rsidP="004441DD">
      <w:pPr>
        <w:jc w:val="center"/>
        <w:rPr>
          <w:b/>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080"/>
        <w:gridCol w:w="1422"/>
        <w:gridCol w:w="1440"/>
        <w:gridCol w:w="1728"/>
        <w:gridCol w:w="1440"/>
        <w:gridCol w:w="1242"/>
        <w:gridCol w:w="1368"/>
      </w:tblGrid>
      <w:tr w:rsidR="00D0037C" w:rsidRPr="00066F65" w:rsidTr="00145811">
        <w:trPr>
          <w:cantSplit/>
        </w:trPr>
        <w:tc>
          <w:tcPr>
            <w:tcW w:w="720" w:type="dxa"/>
            <w:vMerge w:val="restart"/>
          </w:tcPr>
          <w:p w:rsidR="004441DD" w:rsidRPr="00310226" w:rsidRDefault="004441DD" w:rsidP="00D0037C">
            <w:pPr>
              <w:spacing w:before="60" w:after="60"/>
              <w:jc w:val="center"/>
              <w:rPr>
                <w:rFonts w:eastAsia="MS Mincho"/>
              </w:rPr>
            </w:pPr>
            <w:r w:rsidRPr="00310226">
              <w:rPr>
                <w:rFonts w:eastAsia="MS Mincho"/>
              </w:rPr>
              <w:t>To DS</w:t>
            </w:r>
          </w:p>
          <w:p w:rsidR="004441DD" w:rsidRPr="00310226" w:rsidRDefault="004441DD" w:rsidP="00D0037C">
            <w:pPr>
              <w:spacing w:before="60" w:after="60"/>
              <w:jc w:val="center"/>
              <w:rPr>
                <w:rFonts w:eastAsia="MS Mincho"/>
              </w:rPr>
            </w:pPr>
          </w:p>
        </w:tc>
        <w:tc>
          <w:tcPr>
            <w:tcW w:w="1080" w:type="dxa"/>
            <w:vMerge w:val="restart"/>
          </w:tcPr>
          <w:p w:rsidR="004441DD" w:rsidRPr="00310226" w:rsidRDefault="004441DD" w:rsidP="00D0037C">
            <w:pPr>
              <w:spacing w:before="60" w:after="60"/>
              <w:jc w:val="center"/>
              <w:rPr>
                <w:rFonts w:eastAsia="MS Mincho"/>
              </w:rPr>
            </w:pPr>
            <w:r w:rsidRPr="00310226">
              <w:rPr>
                <w:rFonts w:eastAsia="MS Mincho"/>
              </w:rPr>
              <w:t>From DS</w:t>
            </w:r>
          </w:p>
        </w:tc>
        <w:tc>
          <w:tcPr>
            <w:tcW w:w="1422" w:type="dxa"/>
            <w:vMerge w:val="restart"/>
          </w:tcPr>
          <w:p w:rsidR="004441DD" w:rsidRPr="00310226" w:rsidRDefault="004441DD" w:rsidP="00D0037C">
            <w:pPr>
              <w:spacing w:before="60" w:after="60"/>
              <w:jc w:val="center"/>
              <w:rPr>
                <w:rFonts w:eastAsia="MS Mincho"/>
              </w:rPr>
            </w:pPr>
            <w:r w:rsidRPr="00310226">
              <w:rPr>
                <w:rFonts w:eastAsia="MS Mincho"/>
              </w:rPr>
              <w:t>Address 1</w:t>
            </w:r>
          </w:p>
        </w:tc>
        <w:tc>
          <w:tcPr>
            <w:tcW w:w="1440" w:type="dxa"/>
            <w:vMerge w:val="restart"/>
          </w:tcPr>
          <w:p w:rsidR="004441DD" w:rsidRPr="00310226" w:rsidRDefault="004441DD" w:rsidP="00D0037C">
            <w:pPr>
              <w:spacing w:before="60" w:after="60"/>
              <w:jc w:val="center"/>
              <w:rPr>
                <w:rFonts w:eastAsia="MS Mincho"/>
              </w:rPr>
            </w:pPr>
            <w:r w:rsidRPr="00310226">
              <w:rPr>
                <w:rFonts w:eastAsia="MS Mincho"/>
              </w:rPr>
              <w:t>Address 2</w:t>
            </w:r>
          </w:p>
        </w:tc>
        <w:tc>
          <w:tcPr>
            <w:tcW w:w="3168" w:type="dxa"/>
            <w:gridSpan w:val="2"/>
          </w:tcPr>
          <w:p w:rsidR="004441DD" w:rsidRPr="00310226" w:rsidRDefault="004441DD" w:rsidP="00D0037C">
            <w:pPr>
              <w:spacing w:before="60" w:after="60"/>
              <w:jc w:val="center"/>
              <w:rPr>
                <w:rFonts w:eastAsia="MS Mincho"/>
              </w:rPr>
            </w:pPr>
            <w:r w:rsidRPr="00310226">
              <w:rPr>
                <w:rFonts w:eastAsia="MS Mincho"/>
              </w:rPr>
              <w:t>Address 3</w:t>
            </w:r>
          </w:p>
        </w:tc>
        <w:tc>
          <w:tcPr>
            <w:tcW w:w="2610" w:type="dxa"/>
            <w:gridSpan w:val="2"/>
          </w:tcPr>
          <w:p w:rsidR="004441DD" w:rsidRPr="00310226" w:rsidRDefault="004441DD" w:rsidP="00D0037C">
            <w:pPr>
              <w:spacing w:before="60" w:after="60"/>
              <w:jc w:val="center"/>
              <w:rPr>
                <w:rFonts w:eastAsia="MS Mincho"/>
              </w:rPr>
            </w:pPr>
            <w:r w:rsidRPr="00310226">
              <w:rPr>
                <w:rFonts w:eastAsia="MS Mincho"/>
              </w:rPr>
              <w:t>Address 4</w:t>
            </w:r>
          </w:p>
        </w:tc>
      </w:tr>
      <w:tr w:rsidR="00D0037C" w:rsidRPr="00066F65" w:rsidTr="00E91BEF">
        <w:trPr>
          <w:cantSplit/>
        </w:trPr>
        <w:tc>
          <w:tcPr>
            <w:tcW w:w="720" w:type="dxa"/>
            <w:vMerge/>
          </w:tcPr>
          <w:p w:rsidR="004441DD" w:rsidRPr="009448FC" w:rsidRDefault="004441DD" w:rsidP="00D0037C">
            <w:pPr>
              <w:spacing w:before="60" w:after="60"/>
              <w:jc w:val="center"/>
              <w:rPr>
                <w:rFonts w:eastAsia="MS Mincho"/>
              </w:rPr>
            </w:pPr>
          </w:p>
        </w:tc>
        <w:tc>
          <w:tcPr>
            <w:tcW w:w="1080" w:type="dxa"/>
            <w:vMerge/>
          </w:tcPr>
          <w:p w:rsidR="004441DD" w:rsidRPr="009448FC" w:rsidRDefault="004441DD" w:rsidP="00D0037C">
            <w:pPr>
              <w:spacing w:before="60" w:after="60"/>
              <w:jc w:val="center"/>
              <w:rPr>
                <w:rFonts w:eastAsia="MS Mincho"/>
              </w:rPr>
            </w:pPr>
          </w:p>
        </w:tc>
        <w:tc>
          <w:tcPr>
            <w:tcW w:w="1422" w:type="dxa"/>
            <w:vMerge/>
          </w:tcPr>
          <w:p w:rsidR="004441DD" w:rsidRPr="009448FC" w:rsidRDefault="004441DD" w:rsidP="00D0037C">
            <w:pPr>
              <w:spacing w:before="60" w:after="60"/>
              <w:jc w:val="center"/>
              <w:rPr>
                <w:rFonts w:eastAsia="MS Mincho"/>
              </w:rPr>
            </w:pPr>
          </w:p>
        </w:tc>
        <w:tc>
          <w:tcPr>
            <w:tcW w:w="1440" w:type="dxa"/>
            <w:vMerge/>
          </w:tcPr>
          <w:p w:rsidR="004441DD" w:rsidRPr="009448FC" w:rsidRDefault="004441DD" w:rsidP="00D0037C">
            <w:pPr>
              <w:spacing w:before="60" w:after="60"/>
              <w:jc w:val="center"/>
              <w:rPr>
                <w:rFonts w:eastAsia="MS Mincho"/>
              </w:rPr>
            </w:pPr>
          </w:p>
        </w:tc>
        <w:tc>
          <w:tcPr>
            <w:tcW w:w="1728" w:type="dxa"/>
          </w:tcPr>
          <w:p w:rsidR="00E91BEF" w:rsidRDefault="004441DD" w:rsidP="005B4F79">
            <w:pPr>
              <w:spacing w:before="60" w:after="60"/>
              <w:jc w:val="center"/>
              <w:rPr>
                <w:rFonts w:eastAsia="MS Mincho"/>
                <w:u w:val="single"/>
              </w:rPr>
            </w:pPr>
            <w:r w:rsidRPr="00066F65">
              <w:rPr>
                <w:rFonts w:eastAsia="MS Mincho"/>
                <w:u w:val="single"/>
              </w:rPr>
              <w:t xml:space="preserve">MSDU and </w:t>
            </w:r>
            <w:r w:rsidR="00F72317" w:rsidRPr="00066F65">
              <w:rPr>
                <w:rFonts w:eastAsia="MS Mincho"/>
                <w:u w:val="single"/>
              </w:rPr>
              <w:t xml:space="preserve">Short </w:t>
            </w:r>
          </w:p>
          <w:p w:rsidR="004441DD" w:rsidRPr="00066F65" w:rsidRDefault="004441DD" w:rsidP="005B4F79">
            <w:pPr>
              <w:spacing w:before="60" w:after="60"/>
              <w:jc w:val="center"/>
              <w:rPr>
                <w:rFonts w:eastAsia="MS Mincho"/>
                <w:u w:val="single"/>
              </w:rPr>
            </w:pPr>
            <w:r w:rsidRPr="00066F65">
              <w:rPr>
                <w:rFonts w:eastAsia="MS Mincho"/>
                <w:u w:val="single"/>
              </w:rPr>
              <w:t>A-MSDU case</w:t>
            </w:r>
            <w:r w:rsidR="00F72317" w:rsidRPr="00066F65">
              <w:rPr>
                <w:rFonts w:eastAsia="MS Mincho"/>
                <w:u w:val="single"/>
              </w:rPr>
              <w:t xml:space="preserve"> </w:t>
            </w:r>
          </w:p>
        </w:tc>
        <w:tc>
          <w:tcPr>
            <w:tcW w:w="1440" w:type="dxa"/>
          </w:tcPr>
          <w:p w:rsidR="004441DD" w:rsidRPr="00066F65" w:rsidRDefault="004441DD" w:rsidP="00340ABC">
            <w:pPr>
              <w:spacing w:before="60" w:after="60"/>
              <w:jc w:val="center"/>
              <w:rPr>
                <w:rFonts w:eastAsia="MS Mincho"/>
                <w:u w:val="single"/>
              </w:rPr>
            </w:pPr>
            <w:r w:rsidRPr="00066F65">
              <w:rPr>
                <w:rFonts w:eastAsia="MS Mincho"/>
                <w:u w:val="single"/>
              </w:rPr>
              <w:t>A-MSDU case</w:t>
            </w:r>
            <w:r w:rsidR="00340ABC" w:rsidRPr="00066F65">
              <w:rPr>
                <w:rFonts w:eastAsia="MS Mincho"/>
                <w:u w:val="single"/>
              </w:rPr>
              <w:t xml:space="preserve"> </w:t>
            </w:r>
          </w:p>
        </w:tc>
        <w:tc>
          <w:tcPr>
            <w:tcW w:w="1242" w:type="dxa"/>
          </w:tcPr>
          <w:p w:rsidR="004441DD" w:rsidRPr="00066F65" w:rsidRDefault="004441DD" w:rsidP="00F72317">
            <w:pPr>
              <w:spacing w:before="60" w:after="60"/>
              <w:jc w:val="center"/>
              <w:rPr>
                <w:rFonts w:eastAsia="MS Mincho"/>
                <w:u w:val="single"/>
              </w:rPr>
            </w:pPr>
            <w:r w:rsidRPr="00066F65">
              <w:rPr>
                <w:rFonts w:eastAsia="MS Mincho"/>
                <w:u w:val="single"/>
              </w:rPr>
              <w:t xml:space="preserve">MSDU and </w:t>
            </w:r>
            <w:r w:rsidR="00F72317" w:rsidRPr="00066F65">
              <w:rPr>
                <w:rFonts w:eastAsia="MS Mincho"/>
                <w:u w:val="single"/>
              </w:rPr>
              <w:t xml:space="preserve">Short </w:t>
            </w:r>
            <w:r w:rsidRPr="00066F65">
              <w:rPr>
                <w:rFonts w:eastAsia="MS Mincho"/>
                <w:u w:val="single"/>
              </w:rPr>
              <w:t>A-MSDU case</w:t>
            </w:r>
            <w:r w:rsidR="00F72317" w:rsidRPr="00066F65">
              <w:rPr>
                <w:rFonts w:eastAsia="MS Mincho"/>
                <w:u w:val="single"/>
              </w:rPr>
              <w:t xml:space="preserve"> </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A-MSDU case</w:t>
            </w:r>
          </w:p>
          <w:p w:rsidR="00340ABC" w:rsidRPr="00066F65" w:rsidRDefault="00340ABC" w:rsidP="00D0037C">
            <w:pPr>
              <w:spacing w:before="60" w:after="60"/>
              <w:jc w:val="center"/>
              <w:rPr>
                <w:rFonts w:eastAsia="MS Mincho"/>
                <w:u w:val="single"/>
              </w:rPr>
            </w:pPr>
          </w:p>
        </w:tc>
      </w:tr>
      <w:tr w:rsidR="00D0037C" w:rsidRPr="00066F65" w:rsidTr="00E91BEF">
        <w:tc>
          <w:tcPr>
            <w:tcW w:w="720" w:type="dxa"/>
          </w:tcPr>
          <w:p w:rsidR="004441DD" w:rsidRPr="00310226" w:rsidRDefault="004441DD" w:rsidP="00D0037C">
            <w:pPr>
              <w:spacing w:before="60" w:after="60"/>
              <w:jc w:val="center"/>
              <w:rPr>
                <w:rFonts w:eastAsia="MS Mincho"/>
              </w:rPr>
            </w:pPr>
            <w:r w:rsidRPr="00310226">
              <w:rPr>
                <w:rFonts w:eastAsia="MS Mincho"/>
              </w:rPr>
              <w:t>0</w:t>
            </w:r>
          </w:p>
        </w:tc>
        <w:tc>
          <w:tcPr>
            <w:tcW w:w="1080" w:type="dxa"/>
          </w:tcPr>
          <w:p w:rsidR="004441DD" w:rsidRPr="00310226" w:rsidRDefault="004441DD" w:rsidP="00D0037C">
            <w:pPr>
              <w:spacing w:before="60" w:after="60"/>
              <w:jc w:val="center"/>
              <w:rPr>
                <w:rFonts w:eastAsia="MS Mincho"/>
              </w:rPr>
            </w:pPr>
            <w:r w:rsidRPr="00310226">
              <w:rPr>
                <w:rFonts w:eastAsia="MS Mincho"/>
              </w:rPr>
              <w:t>0</w:t>
            </w:r>
          </w:p>
        </w:tc>
        <w:tc>
          <w:tcPr>
            <w:tcW w:w="1422" w:type="dxa"/>
          </w:tcPr>
          <w:p w:rsidR="004441DD" w:rsidRPr="00310226" w:rsidRDefault="004441DD" w:rsidP="00D0037C">
            <w:pPr>
              <w:spacing w:before="60" w:after="60"/>
              <w:jc w:val="center"/>
              <w:rPr>
                <w:rFonts w:eastAsia="MS Mincho"/>
              </w:rPr>
            </w:pPr>
            <w:r w:rsidRPr="00310226">
              <w:rPr>
                <w:rFonts w:eastAsia="MS Mincho"/>
              </w:rPr>
              <w:t>RA=DA</w:t>
            </w:r>
          </w:p>
        </w:tc>
        <w:tc>
          <w:tcPr>
            <w:tcW w:w="1440" w:type="dxa"/>
          </w:tcPr>
          <w:p w:rsidR="004441DD" w:rsidRPr="00310226" w:rsidRDefault="004441DD" w:rsidP="00D0037C">
            <w:pPr>
              <w:spacing w:before="60" w:after="60"/>
              <w:jc w:val="center"/>
              <w:rPr>
                <w:rFonts w:eastAsia="MS Mincho"/>
              </w:rPr>
            </w:pPr>
            <w:r w:rsidRPr="00310226">
              <w:rPr>
                <w:rFonts w:eastAsia="MS Mincho"/>
              </w:rPr>
              <w:t>TA=SA</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r>
      <w:tr w:rsidR="00D0037C" w:rsidRPr="00066F65" w:rsidTr="00E91BEF">
        <w:tc>
          <w:tcPr>
            <w:tcW w:w="720" w:type="dxa"/>
          </w:tcPr>
          <w:p w:rsidR="004441DD" w:rsidRPr="00441C50" w:rsidRDefault="004441DD" w:rsidP="00D0037C">
            <w:pPr>
              <w:spacing w:before="60" w:after="60"/>
              <w:jc w:val="center"/>
              <w:rPr>
                <w:rFonts w:eastAsia="MS Mincho"/>
              </w:rPr>
            </w:pPr>
            <w:r w:rsidRPr="00441C50">
              <w:rPr>
                <w:rFonts w:eastAsia="MS Mincho"/>
              </w:rPr>
              <w:t>0</w:t>
            </w:r>
          </w:p>
        </w:tc>
        <w:tc>
          <w:tcPr>
            <w:tcW w:w="1080" w:type="dxa"/>
          </w:tcPr>
          <w:p w:rsidR="004441DD" w:rsidRPr="00441C50" w:rsidRDefault="004441DD" w:rsidP="00D0037C">
            <w:pPr>
              <w:spacing w:before="60" w:after="60"/>
              <w:jc w:val="center"/>
              <w:rPr>
                <w:rFonts w:eastAsia="MS Mincho"/>
              </w:rPr>
            </w:pPr>
            <w:r w:rsidRPr="00441C50">
              <w:rPr>
                <w:rFonts w:eastAsia="MS Mincho"/>
              </w:rPr>
              <w:t>1</w:t>
            </w:r>
          </w:p>
        </w:tc>
        <w:tc>
          <w:tcPr>
            <w:tcW w:w="1422" w:type="dxa"/>
          </w:tcPr>
          <w:p w:rsidR="004441DD" w:rsidRPr="00441C50" w:rsidRDefault="004441DD" w:rsidP="00D0037C">
            <w:pPr>
              <w:spacing w:before="60" w:after="60"/>
              <w:jc w:val="center"/>
              <w:rPr>
                <w:rFonts w:eastAsia="MS Mincho"/>
              </w:rPr>
            </w:pPr>
            <w:r w:rsidRPr="00441C50">
              <w:rPr>
                <w:rFonts w:eastAsia="MS Mincho"/>
              </w:rPr>
              <w:t>RA=DA</w:t>
            </w:r>
          </w:p>
        </w:tc>
        <w:tc>
          <w:tcPr>
            <w:tcW w:w="1440" w:type="dxa"/>
          </w:tcPr>
          <w:p w:rsidR="004441DD" w:rsidRPr="00441C50" w:rsidRDefault="004441DD" w:rsidP="00D0037C">
            <w:pPr>
              <w:spacing w:before="60" w:after="60"/>
              <w:jc w:val="center"/>
              <w:rPr>
                <w:rFonts w:eastAsia="MS Mincho"/>
              </w:rPr>
            </w:pPr>
            <w:r w:rsidRPr="00441C50">
              <w:rPr>
                <w:rFonts w:eastAsia="MS Mincho"/>
              </w:rPr>
              <w:t>TA=BSSID</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SA</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r>
      <w:tr w:rsidR="00D0037C" w:rsidRPr="00066F65" w:rsidTr="00E91BEF">
        <w:trPr>
          <w:trHeight w:val="395"/>
        </w:trPr>
        <w:tc>
          <w:tcPr>
            <w:tcW w:w="720" w:type="dxa"/>
          </w:tcPr>
          <w:p w:rsidR="004441DD" w:rsidRPr="00441C50" w:rsidRDefault="004441DD" w:rsidP="00D0037C">
            <w:pPr>
              <w:spacing w:before="60" w:after="60"/>
              <w:jc w:val="center"/>
              <w:rPr>
                <w:rFonts w:eastAsia="MS Mincho"/>
              </w:rPr>
            </w:pPr>
            <w:r w:rsidRPr="00441C50">
              <w:rPr>
                <w:rFonts w:eastAsia="MS Mincho"/>
              </w:rPr>
              <w:t>1</w:t>
            </w:r>
          </w:p>
        </w:tc>
        <w:tc>
          <w:tcPr>
            <w:tcW w:w="1080" w:type="dxa"/>
          </w:tcPr>
          <w:p w:rsidR="004441DD" w:rsidRPr="00441C50" w:rsidRDefault="004441DD" w:rsidP="00D0037C">
            <w:pPr>
              <w:spacing w:before="60" w:after="60"/>
              <w:jc w:val="center"/>
              <w:rPr>
                <w:rFonts w:eastAsia="MS Mincho"/>
              </w:rPr>
            </w:pPr>
            <w:r w:rsidRPr="00441C50">
              <w:rPr>
                <w:rFonts w:eastAsia="MS Mincho"/>
              </w:rPr>
              <w:t>0</w:t>
            </w:r>
          </w:p>
        </w:tc>
        <w:tc>
          <w:tcPr>
            <w:tcW w:w="1422" w:type="dxa"/>
          </w:tcPr>
          <w:p w:rsidR="004441DD" w:rsidRPr="00441C50" w:rsidRDefault="004441DD" w:rsidP="00D0037C">
            <w:pPr>
              <w:spacing w:before="60" w:after="60"/>
              <w:jc w:val="center"/>
              <w:rPr>
                <w:rFonts w:eastAsia="MS Mincho"/>
              </w:rPr>
            </w:pPr>
            <w:r w:rsidRPr="00441C50">
              <w:rPr>
                <w:rFonts w:eastAsia="MS Mincho"/>
              </w:rPr>
              <w:t>RA=BSSID</w:t>
            </w:r>
          </w:p>
        </w:tc>
        <w:tc>
          <w:tcPr>
            <w:tcW w:w="1440" w:type="dxa"/>
          </w:tcPr>
          <w:p w:rsidR="004441DD" w:rsidRPr="00441C50" w:rsidRDefault="004441DD" w:rsidP="00D0037C">
            <w:pPr>
              <w:spacing w:before="60" w:after="60"/>
              <w:jc w:val="center"/>
              <w:rPr>
                <w:rFonts w:eastAsia="MS Mincho"/>
              </w:rPr>
            </w:pPr>
            <w:r w:rsidRPr="00441C50">
              <w:rPr>
                <w:rFonts w:eastAsia="MS Mincho"/>
              </w:rPr>
              <w:t>TA=SA</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DA</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r>
      <w:tr w:rsidR="00D0037C" w:rsidRPr="00066F65" w:rsidTr="00E91BEF">
        <w:tc>
          <w:tcPr>
            <w:tcW w:w="720" w:type="dxa"/>
          </w:tcPr>
          <w:p w:rsidR="004441DD" w:rsidRPr="00441C50" w:rsidRDefault="004441DD" w:rsidP="00D0037C">
            <w:pPr>
              <w:spacing w:before="60" w:after="60"/>
              <w:jc w:val="center"/>
              <w:rPr>
                <w:rFonts w:eastAsia="MS Mincho"/>
              </w:rPr>
            </w:pPr>
            <w:r w:rsidRPr="00441C50">
              <w:rPr>
                <w:rFonts w:eastAsia="MS Mincho"/>
              </w:rPr>
              <w:t>1</w:t>
            </w:r>
          </w:p>
        </w:tc>
        <w:tc>
          <w:tcPr>
            <w:tcW w:w="1080" w:type="dxa"/>
          </w:tcPr>
          <w:p w:rsidR="004441DD" w:rsidRPr="00441C50" w:rsidRDefault="004441DD" w:rsidP="00D0037C">
            <w:pPr>
              <w:spacing w:before="60" w:after="60"/>
              <w:jc w:val="center"/>
              <w:rPr>
                <w:rFonts w:eastAsia="MS Mincho"/>
              </w:rPr>
            </w:pPr>
            <w:r w:rsidRPr="00441C50">
              <w:rPr>
                <w:rFonts w:eastAsia="MS Mincho"/>
              </w:rPr>
              <w:t>1</w:t>
            </w:r>
          </w:p>
        </w:tc>
        <w:tc>
          <w:tcPr>
            <w:tcW w:w="1422" w:type="dxa"/>
          </w:tcPr>
          <w:p w:rsidR="004441DD" w:rsidRPr="00441C50" w:rsidRDefault="004441DD" w:rsidP="00D0037C">
            <w:pPr>
              <w:spacing w:before="60" w:after="60"/>
              <w:jc w:val="center"/>
              <w:rPr>
                <w:rFonts w:eastAsia="MS Mincho"/>
              </w:rPr>
            </w:pPr>
            <w:r w:rsidRPr="00441C50">
              <w:rPr>
                <w:rFonts w:eastAsia="MS Mincho"/>
              </w:rPr>
              <w:t>RA</w:t>
            </w:r>
          </w:p>
        </w:tc>
        <w:tc>
          <w:tcPr>
            <w:tcW w:w="1440" w:type="dxa"/>
          </w:tcPr>
          <w:p w:rsidR="004441DD" w:rsidRPr="00441C50" w:rsidRDefault="004441DD" w:rsidP="00D0037C">
            <w:pPr>
              <w:spacing w:before="60" w:after="60"/>
              <w:jc w:val="center"/>
              <w:rPr>
                <w:rFonts w:eastAsia="MS Mincho"/>
              </w:rPr>
            </w:pPr>
            <w:r w:rsidRPr="00441C50">
              <w:rPr>
                <w:rFonts w:eastAsia="MS Mincho"/>
              </w:rPr>
              <w:t>TA</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DA</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SA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r>
    </w:tbl>
    <w:p w:rsidR="0025140E" w:rsidRPr="00441C50" w:rsidRDefault="0025140E" w:rsidP="000D5944">
      <w:pPr>
        <w:rPr>
          <w:b/>
          <w:i/>
        </w:rPr>
      </w:pPr>
    </w:p>
    <w:p w:rsidR="0025140E" w:rsidRPr="00441C50" w:rsidRDefault="0025140E" w:rsidP="0025140E">
      <w:pPr>
        <w:autoSpaceDE w:val="0"/>
        <w:autoSpaceDN w:val="0"/>
        <w:adjustRightInd w:val="0"/>
        <w:rPr>
          <w:i/>
        </w:rPr>
      </w:pPr>
      <w:r w:rsidRPr="00441C50">
        <w:rPr>
          <w:i/>
        </w:rPr>
        <w:t xml:space="preserve">.11 Editor’s instructions: modify the </w:t>
      </w:r>
      <w:r w:rsidR="00FA3DF2" w:rsidRPr="00441C50">
        <w:rPr>
          <w:i/>
        </w:rPr>
        <w:t xml:space="preserve">indicated </w:t>
      </w:r>
      <w:r w:rsidRPr="00441C50">
        <w:rPr>
          <w:i/>
        </w:rPr>
        <w:t>text as follows:</w:t>
      </w:r>
    </w:p>
    <w:p w:rsidR="0025140E" w:rsidRPr="00441C50" w:rsidRDefault="0025140E" w:rsidP="0025140E">
      <w:pPr>
        <w:autoSpaceDE w:val="0"/>
        <w:autoSpaceDN w:val="0"/>
        <w:adjustRightInd w:val="0"/>
      </w:pPr>
      <w:r w:rsidRPr="00441C50">
        <w:t>b) If the STA is a member of an IBSS, the BSSID is the BSSID of the IBSS.</w:t>
      </w:r>
    </w:p>
    <w:p w:rsidR="004441DD" w:rsidRPr="00441C50" w:rsidRDefault="0025140E" w:rsidP="0025140E">
      <w:pPr>
        <w:autoSpaceDE w:val="0"/>
        <w:autoSpaceDN w:val="0"/>
        <w:adjustRightInd w:val="0"/>
      </w:pPr>
      <w:r w:rsidRPr="00066F65">
        <w:rPr>
          <w:iCs/>
          <w:u w:val="single"/>
        </w:rPr>
        <w:t xml:space="preserve">c) </w:t>
      </w:r>
      <w:r w:rsidR="000627CF" w:rsidRPr="00066F65">
        <w:rPr>
          <w:iCs/>
          <w:u w:val="single"/>
        </w:rPr>
        <w:t>If the STA participates in a PBSS, the BSSID is the address of the STA contained in the PCP of the PBSS</w:t>
      </w:r>
      <w:r w:rsidRPr="00066F65">
        <w:rPr>
          <w:iCs/>
          <w:u w:val="single"/>
        </w:rPr>
        <w:t>.</w:t>
      </w:r>
      <w:r w:rsidR="000627CF" w:rsidRPr="00066F65">
        <w:rPr>
          <w:iCs/>
          <w:u w:val="single"/>
        </w:rPr>
        <w:t xml:space="preserve"> </w:t>
      </w:r>
    </w:p>
    <w:p w:rsidR="0025140E" w:rsidRPr="00066F65" w:rsidRDefault="0025140E" w:rsidP="0025140E">
      <w:pPr>
        <w:autoSpaceDE w:val="0"/>
        <w:autoSpaceDN w:val="0"/>
        <w:adjustRightInd w:val="0"/>
        <w:rPr>
          <w:iCs/>
          <w:u w:val="single"/>
        </w:rPr>
      </w:pPr>
    </w:p>
    <w:p w:rsidR="002B25D7" w:rsidRPr="00441C50" w:rsidRDefault="002B25D7" w:rsidP="002B25D7">
      <w:pPr>
        <w:autoSpaceDE w:val="0"/>
        <w:autoSpaceDN w:val="0"/>
        <w:adjustRightInd w:val="0"/>
        <w:rPr>
          <w:i/>
        </w:rPr>
      </w:pPr>
      <w:r w:rsidRPr="00441C50">
        <w:rPr>
          <w:i/>
        </w:rPr>
        <w:t xml:space="preserve">.11 Editor’s instructions: </w:t>
      </w:r>
      <w:r>
        <w:rPr>
          <w:i/>
        </w:rPr>
        <w:t>add at end of the subcaluse</w:t>
      </w:r>
      <w:r w:rsidRPr="00441C50">
        <w:rPr>
          <w:i/>
        </w:rPr>
        <w:t>:</w:t>
      </w:r>
    </w:p>
    <w:p w:rsidR="008C36FC" w:rsidRPr="00441C50" w:rsidRDefault="008C36FC" w:rsidP="0004091F"/>
    <w:p w:rsidR="008C36FC" w:rsidRPr="00B8671C" w:rsidRDefault="008C36FC" w:rsidP="002B25D7">
      <w:r w:rsidRPr="00441C50">
        <w:t xml:space="preserve">The QoS Data and QoS Null subtypes are the </w:t>
      </w:r>
      <w:r w:rsidR="007D591E" w:rsidRPr="00441C50">
        <w:t xml:space="preserve">only </w:t>
      </w:r>
      <w:r w:rsidR="00272577" w:rsidRPr="00441C50">
        <w:t xml:space="preserve">Data </w:t>
      </w:r>
      <w:r w:rsidRPr="00441C50">
        <w:t>subtypes transmitted using the mmWave PHY (</w:t>
      </w:r>
      <w:r w:rsidR="006F7635" w:rsidRPr="00441C50">
        <w:t xml:space="preserve">Clause </w:t>
      </w:r>
      <w:fldSimple w:instr=" REF _Ref243724299 \r \h  \* MERGEFORMAT ">
        <w:r w:rsidR="003E4210" w:rsidRPr="003E4210">
          <w:rPr>
            <w:bCs/>
          </w:rPr>
          <w:t>21</w:t>
        </w:r>
      </w:fldSimple>
      <w:r w:rsidRPr="00441C50">
        <w:t>).</w:t>
      </w:r>
    </w:p>
    <w:p w:rsidR="00E613C4" w:rsidRDefault="00E613C4" w:rsidP="0004091F"/>
    <w:p w:rsidR="008C36FC" w:rsidRPr="00B8671C" w:rsidRDefault="008C36FC" w:rsidP="0004091F">
      <w:r w:rsidRPr="00B8671C">
        <w:t>The HT Control field is not present in frames transmitted using the mmWave PHY.</w:t>
      </w:r>
      <w:r w:rsidR="0053357F">
        <w:t xml:space="preserve"> </w:t>
      </w:r>
    </w:p>
    <w:p w:rsidR="008C36FC" w:rsidRPr="00B8671C" w:rsidRDefault="008C36FC" w:rsidP="0004091F"/>
    <w:p w:rsidR="008C36FC" w:rsidRPr="00B8671C" w:rsidRDefault="008C36FC" w:rsidP="003701DB">
      <w:pPr>
        <w:pStyle w:val="Heading4"/>
        <w:numPr>
          <w:ilvl w:val="3"/>
          <w:numId w:val="54"/>
        </w:numPr>
      </w:pPr>
      <w:bookmarkStart w:id="293" w:name="_Toc235400233"/>
      <w:bookmarkStart w:id="294" w:name="_Ref243725349"/>
      <w:bookmarkStart w:id="295" w:name="_Toc259716890"/>
      <w:r w:rsidRPr="00B8671C">
        <w:t>Aggregate MSDU format (A-MSDU)</w:t>
      </w:r>
      <w:bookmarkEnd w:id="293"/>
      <w:bookmarkEnd w:id="294"/>
      <w:bookmarkEnd w:id="295"/>
    </w:p>
    <w:p w:rsidR="00340ABC" w:rsidRDefault="00BE5866" w:rsidP="004B1780">
      <w:r>
        <w:t xml:space="preserve"> </w:t>
      </w:r>
    </w:p>
    <w:p w:rsidR="00353C65" w:rsidRPr="00B8671C" w:rsidRDefault="00353C65" w:rsidP="00353C65">
      <w:pPr>
        <w:rPr>
          <w:i/>
        </w:rPr>
      </w:pPr>
      <w:r w:rsidRPr="00B8671C">
        <w:rPr>
          <w:i/>
        </w:rPr>
        <w:t xml:space="preserve">.11 Editor: </w:t>
      </w:r>
      <w:r>
        <w:rPr>
          <w:i/>
        </w:rPr>
        <w:t>change the first</w:t>
      </w:r>
      <w:r w:rsidRPr="00B8671C">
        <w:rPr>
          <w:i/>
        </w:rPr>
        <w:t xml:space="preserve"> paragraph</w:t>
      </w:r>
      <w:r>
        <w:rPr>
          <w:i/>
        </w:rPr>
        <w:t xml:space="preserve"> as follows</w:t>
      </w:r>
      <w:r w:rsidRPr="00B8671C">
        <w:rPr>
          <w:i/>
        </w:rPr>
        <w:t>:</w:t>
      </w:r>
    </w:p>
    <w:p w:rsidR="00353C65" w:rsidRDefault="00353C65" w:rsidP="004B1780"/>
    <w:p w:rsidR="00353C65" w:rsidRDefault="00353C65" w:rsidP="00353C65">
      <w:r w:rsidRPr="00353C65">
        <w:t>An A-MSDU is a sequence of A-MSDU subframes as shown in Figure 7-17a. Each A-MSDU subframe consists</w:t>
      </w:r>
      <w:r>
        <w:t xml:space="preserve"> </w:t>
      </w:r>
      <w:r w:rsidRPr="00353C65">
        <w:t>of an A-MSDU subframe header followed by an MSDU and 0-3 octets of padding as shown in Figure</w:t>
      </w:r>
      <w:r>
        <w:t xml:space="preserve"> </w:t>
      </w:r>
      <w:r w:rsidRPr="00353C65">
        <w:t>7-17b</w:t>
      </w:r>
      <w:r w:rsidR="00476250">
        <w:t xml:space="preserve"> </w:t>
      </w:r>
      <w:r w:rsidR="00476250" w:rsidRPr="00476250">
        <w:rPr>
          <w:u w:val="single"/>
        </w:rPr>
        <w:t xml:space="preserve">and </w:t>
      </w:r>
      <w:fldSimple w:instr=" REF _Ref216156589 \h  \* MERGEFORMAT ">
        <w:r w:rsidR="003E4210" w:rsidRPr="003E4210">
          <w:rPr>
            <w:u w:val="single"/>
          </w:rPr>
          <w:t xml:space="preserve">Figure </w:t>
        </w:r>
        <w:r w:rsidR="003E4210" w:rsidRPr="003E4210">
          <w:rPr>
            <w:noProof/>
            <w:u w:val="single"/>
          </w:rPr>
          <w:t>12</w:t>
        </w:r>
      </w:fldSimple>
      <w:r w:rsidRPr="00353C65">
        <w:t>. Each A-MSDU subframe (except the last) is padded so that its length is a multiple of 4 octets. The last</w:t>
      </w:r>
      <w:r>
        <w:t xml:space="preserve"> </w:t>
      </w:r>
      <w:r w:rsidRPr="00353C65">
        <w:t>A-MSDU subframe has no padding.</w:t>
      </w:r>
    </w:p>
    <w:p w:rsidR="00353C65" w:rsidRDefault="00353C65" w:rsidP="004B1780"/>
    <w:p w:rsidR="00340ABC" w:rsidRPr="00B8671C" w:rsidRDefault="00340ABC" w:rsidP="00340ABC">
      <w:pPr>
        <w:rPr>
          <w:i/>
        </w:rPr>
      </w:pPr>
      <w:r w:rsidRPr="00B8671C">
        <w:rPr>
          <w:i/>
        </w:rPr>
        <w:t xml:space="preserve">.11 Editor: insert the following text as the new </w:t>
      </w:r>
      <w:r w:rsidR="00353C65">
        <w:rPr>
          <w:i/>
        </w:rPr>
        <w:t>second</w:t>
      </w:r>
      <w:r w:rsidRPr="00B8671C">
        <w:rPr>
          <w:i/>
        </w:rPr>
        <w:t xml:space="preserve"> paragraph:</w:t>
      </w:r>
    </w:p>
    <w:p w:rsidR="00340ABC" w:rsidRPr="00B8671C" w:rsidRDefault="00340ABC" w:rsidP="00340ABC"/>
    <w:p w:rsidR="00340ABC" w:rsidRPr="00B8671C" w:rsidRDefault="00340ABC" w:rsidP="00582F39">
      <w:r w:rsidRPr="00B8671C">
        <w:t xml:space="preserve">Two A-MSDU subframe formats are defined: the standard A-MSDU subframe described below and the Short A-MSDU subframe described in </w:t>
      </w:r>
      <w:r w:rsidR="00BD151C">
        <w:fldChar w:fldCharType="begin"/>
      </w:r>
      <w:r w:rsidR="00582F39">
        <w:instrText xml:space="preserve"> REF _Ref243725334 \r \h </w:instrText>
      </w:r>
      <w:r w:rsidR="00BD151C">
        <w:fldChar w:fldCharType="separate"/>
      </w:r>
      <w:r w:rsidR="003E4210">
        <w:t>7.2.2.2.1</w:t>
      </w:r>
      <w:r w:rsidR="00BD151C">
        <w:fldChar w:fldCharType="end"/>
      </w:r>
      <w:r w:rsidRPr="00B8671C">
        <w:t>.</w:t>
      </w:r>
    </w:p>
    <w:p w:rsidR="00340ABC" w:rsidRDefault="00340ABC" w:rsidP="00340ABC"/>
    <w:p w:rsidR="00340ABC" w:rsidRPr="00B8671C" w:rsidRDefault="00340ABC" w:rsidP="00340ABC">
      <w:pPr>
        <w:rPr>
          <w:i/>
        </w:rPr>
      </w:pPr>
      <w:r w:rsidRPr="00B8671C">
        <w:rPr>
          <w:i/>
        </w:rPr>
        <w:t xml:space="preserve">.11 Editor: change the length of the MSDU in (Figure 7-17b - A-MSDU subframe structure) to </w:t>
      </w:r>
      <w:r w:rsidR="006176E8" w:rsidRPr="00B8671C">
        <w:rPr>
          <w:i/>
        </w:rPr>
        <w:t>“</w:t>
      </w:r>
      <w:r w:rsidR="006176E8" w:rsidRPr="00B8671C">
        <w:t>0-2304 (non-</w:t>
      </w:r>
      <w:r w:rsidR="00B96FB9" w:rsidRPr="00B8671C">
        <w:t>mSTA</w:t>
      </w:r>
      <w:r w:rsidR="006176E8" w:rsidRPr="00B8671C">
        <w:t xml:space="preserve">) and </w:t>
      </w:r>
      <w:r w:rsidRPr="00B8671C">
        <w:t>0-9000</w:t>
      </w:r>
      <w:r w:rsidR="006176E8" w:rsidRPr="00B8671C">
        <w:t xml:space="preserve"> (</w:t>
      </w:r>
      <w:r w:rsidR="00B96FB9" w:rsidRPr="00B8671C">
        <w:t>mSTA</w:t>
      </w:r>
      <w:r w:rsidR="006176E8" w:rsidRPr="00B8671C">
        <w:t>)</w:t>
      </w:r>
      <w:r w:rsidR="006176E8" w:rsidRPr="00B8671C">
        <w:rPr>
          <w:i/>
        </w:rPr>
        <w:t>”</w:t>
      </w:r>
    </w:p>
    <w:p w:rsidR="00340ABC" w:rsidRPr="00B8671C" w:rsidRDefault="00340ABC" w:rsidP="00340ABC"/>
    <w:p w:rsidR="006176E8" w:rsidRPr="00B8671C" w:rsidRDefault="006176E8" w:rsidP="00340ABC">
      <w:pPr>
        <w:rPr>
          <w:i/>
        </w:rPr>
      </w:pPr>
      <w:r w:rsidRPr="00B8671C">
        <w:rPr>
          <w:i/>
        </w:rPr>
        <w:t xml:space="preserve">.11 Editor: modify NOTE 3 in this subclause to reflect the 0-9000 MSDU length for </w:t>
      </w:r>
      <w:r w:rsidR="00B96FB9" w:rsidRPr="00B8671C">
        <w:rPr>
          <w:i/>
        </w:rPr>
        <w:t>mSTA</w:t>
      </w:r>
      <w:r w:rsidRPr="00B8671C">
        <w:rPr>
          <w:i/>
        </w:rPr>
        <w:t>s</w:t>
      </w:r>
    </w:p>
    <w:p w:rsidR="008C36FC" w:rsidRPr="00B8671C" w:rsidRDefault="008C36FC" w:rsidP="0004091F"/>
    <w:p w:rsidR="008C36FC" w:rsidRPr="00B8671C" w:rsidRDefault="00F72317" w:rsidP="003701DB">
      <w:pPr>
        <w:pStyle w:val="Heading5"/>
        <w:numPr>
          <w:ilvl w:val="4"/>
          <w:numId w:val="202"/>
        </w:numPr>
      </w:pPr>
      <w:bookmarkStart w:id="296" w:name="_Toc235400235"/>
      <w:bookmarkStart w:id="297" w:name="_Ref243725334"/>
      <w:bookmarkStart w:id="298" w:name="_Toc259716891"/>
      <w:r w:rsidRPr="00B8671C">
        <w:t xml:space="preserve">Short </w:t>
      </w:r>
      <w:r w:rsidR="008C36FC" w:rsidRPr="00B8671C">
        <w:t>A-MSDU subframe format</w:t>
      </w:r>
      <w:bookmarkEnd w:id="296"/>
      <w:bookmarkEnd w:id="297"/>
      <w:bookmarkEnd w:id="298"/>
    </w:p>
    <w:p w:rsidR="008C36FC" w:rsidRPr="00B8671C" w:rsidRDefault="008C36FC" w:rsidP="00FF2AF5">
      <w:r w:rsidRPr="00B8671C">
        <w:t xml:space="preserve">The </w:t>
      </w:r>
      <w:r w:rsidR="00F72317" w:rsidRPr="00B8671C">
        <w:t xml:space="preserve">Short </w:t>
      </w:r>
      <w:r w:rsidRPr="00B8671C">
        <w:t xml:space="preserve">A-MSDU subframe </w:t>
      </w:r>
      <w:r w:rsidR="00476250">
        <w:t>is</w:t>
      </w:r>
      <w:r w:rsidRPr="00B8671C">
        <w:t xml:space="preserve"> shown in </w:t>
      </w:r>
      <w:r w:rsidR="00BD151C">
        <w:fldChar w:fldCharType="begin"/>
      </w:r>
      <w:r w:rsidR="00FF2AF5">
        <w:instrText xml:space="preserve"> REF _Ref216156589 \h </w:instrText>
      </w:r>
      <w:r w:rsidR="00BD151C">
        <w:fldChar w:fldCharType="separate"/>
      </w:r>
      <w:r w:rsidR="003E4210" w:rsidRPr="00066F65">
        <w:t xml:space="preserve">Figure </w:t>
      </w:r>
      <w:r w:rsidR="003E4210">
        <w:rPr>
          <w:noProof/>
        </w:rPr>
        <w:t>12</w:t>
      </w:r>
      <w:r w:rsidR="00BD151C">
        <w:fldChar w:fldCharType="end"/>
      </w:r>
      <w:r w:rsidRPr="00B8671C">
        <w:t>.</w:t>
      </w:r>
    </w:p>
    <w:p w:rsidR="008C36FC" w:rsidRPr="00B8671C" w:rsidRDefault="008C36FC" w:rsidP="0004091F"/>
    <w:p w:rsidR="008C36FC" w:rsidRPr="00B8671C" w:rsidRDefault="00BD151C" w:rsidP="0004091F">
      <w:pPr>
        <w:keepNext/>
        <w:jc w:val="center"/>
      </w:pPr>
      <w:r>
        <w:pict>
          <v:group id="_x0000_s1026" editas="canvas" style="width:213.05pt;height:67.5pt;mso-position-horizontal-relative:char;mso-position-vertical-relative:line" coordsize="4261,1350">
            <o:lock v:ext="edit" aspectratio="t"/>
            <v:shape id="_x0000_s1027" type="#_x0000_t75" style="position:absolute;width:4261;height:1350" o:preferrelative="f">
              <v:fill o:detectmouseclick="t"/>
              <v:path o:extrusionok="t" o:connecttype="none"/>
              <o:lock v:ext="edit" text="t"/>
            </v:shape>
            <v:rect id="_x0000_s1028" style="position:absolute;left:605;top:266;width:993;height:571" filled="f" strokeweight="1e-4mm">
              <v:stroke joinstyle="round" endcap="round"/>
            </v:rect>
            <v:rect id="_x0000_s1029" style="position:absolute;left:856;top:454;width:490;height:184;mso-wrap-style:none" filled="f" stroked="f">
              <v:textbox style="mso-next-textbox:#_x0000_s1029;mso-fit-shape-to-text:t" inset="0,0,0,0">
                <w:txbxContent>
                  <w:p w:rsidR="00DB6E8E" w:rsidRDefault="00DB6E8E" w:rsidP="00150AC3">
                    <w:r>
                      <w:rPr>
                        <w:rFonts w:ascii="Arial" w:hAnsi="Arial" w:cs="Arial"/>
                        <w:color w:val="000000"/>
                        <w:sz w:val="16"/>
                        <w:szCs w:val="16"/>
                      </w:rPr>
                      <w:t>Length</w:t>
                    </w:r>
                  </w:p>
                </w:txbxContent>
              </v:textbox>
            </v:rect>
            <v:rect id="_x0000_s1030" style="position:absolute;left:1066;top:46;width:89;height:184;mso-wrap-style:none" filled="f" stroked="f">
              <v:textbox style="mso-next-textbox:#_x0000_s1030;mso-fit-shape-to-text:t" inset="0,0,0,0">
                <w:txbxContent>
                  <w:p w:rsidR="00DB6E8E" w:rsidRDefault="00DB6E8E" w:rsidP="00150AC3">
                    <w:r>
                      <w:rPr>
                        <w:rFonts w:ascii="Arial" w:hAnsi="Arial" w:cs="Arial"/>
                        <w:color w:val="000000"/>
                        <w:sz w:val="16"/>
                        <w:szCs w:val="16"/>
                      </w:rPr>
                      <w:t>2</w:t>
                    </w:r>
                  </w:p>
                </w:txbxContent>
              </v:textbox>
            </v:rect>
            <v:rect id="_x0000_s1031" style="position:absolute;left:1598;top:266;width:1561;height:571" filled="f" strokeweight="1e-4mm">
              <v:stroke joinstyle="round" endcap="round"/>
            </v:rect>
            <v:rect id="_x0000_s1032" style="position:absolute;left:2147;top:454;width:472;height:184;mso-wrap-style:none" filled="f" stroked="f">
              <v:textbox style="mso-next-textbox:#_x0000_s1032;mso-fit-shape-to-text:t" inset="0,0,0,0">
                <w:txbxContent>
                  <w:p w:rsidR="00DB6E8E" w:rsidRDefault="00DB6E8E" w:rsidP="00150AC3">
                    <w:r>
                      <w:rPr>
                        <w:rFonts w:ascii="Arial" w:hAnsi="Arial" w:cs="Arial"/>
                        <w:color w:val="000000"/>
                        <w:sz w:val="16"/>
                        <w:szCs w:val="16"/>
                      </w:rPr>
                      <w:t>MSDU</w:t>
                    </w:r>
                  </w:p>
                </w:txbxContent>
              </v:textbox>
            </v:rect>
            <v:rect id="_x0000_s1033" style="position:absolute;left:2147;top:46;width:89;height:184;mso-wrap-style:none" filled="f" stroked="f">
              <v:textbox style="mso-next-textbox:#_x0000_s1033;mso-fit-shape-to-text:t" inset="0,0,0,0">
                <w:txbxContent>
                  <w:p w:rsidR="00DB6E8E" w:rsidRDefault="00DB6E8E" w:rsidP="00150AC3">
                    <w:r>
                      <w:rPr>
                        <w:rFonts w:ascii="Arial" w:hAnsi="Arial" w:cs="Arial"/>
                        <w:color w:val="000000"/>
                        <w:sz w:val="16"/>
                        <w:szCs w:val="16"/>
                      </w:rPr>
                      <w:t>0</w:t>
                    </w:r>
                  </w:p>
                </w:txbxContent>
              </v:textbox>
            </v:rect>
            <v:rect id="_x0000_s1034" style="position:absolute;left:2237;top:46;width:54;height:184;mso-wrap-style:none" filled="f" stroked="f">
              <v:textbox style="mso-next-textbox:#_x0000_s1034;mso-fit-shape-to-text:t" inset="0,0,0,0">
                <w:txbxContent>
                  <w:p w:rsidR="00DB6E8E" w:rsidRDefault="00DB6E8E" w:rsidP="00150AC3">
                    <w:r>
                      <w:rPr>
                        <w:rFonts w:ascii="Arial" w:hAnsi="Arial" w:cs="Arial"/>
                        <w:color w:val="000000"/>
                        <w:sz w:val="16"/>
                        <w:szCs w:val="16"/>
                      </w:rPr>
                      <w:t>-</w:t>
                    </w:r>
                  </w:p>
                </w:txbxContent>
              </v:textbox>
            </v:rect>
            <v:rect id="_x0000_s1035" style="position:absolute;left:2282;top:46;width:356;height:184;mso-wrap-style:none" filled="f" stroked="f">
              <v:textbox style="mso-next-textbox:#_x0000_s1035;mso-fit-shape-to-text:t" inset="0,0,0,0">
                <w:txbxContent>
                  <w:p w:rsidR="00DB6E8E" w:rsidRDefault="00DB6E8E" w:rsidP="00150AC3">
                    <w:r>
                      <w:rPr>
                        <w:rFonts w:ascii="Arial" w:hAnsi="Arial" w:cs="Arial"/>
                        <w:color w:val="000000"/>
                        <w:sz w:val="16"/>
                        <w:szCs w:val="16"/>
                      </w:rPr>
                      <w:t>9000</w:t>
                    </w:r>
                  </w:p>
                </w:txbxContent>
              </v:textbox>
            </v:rect>
            <v:rect id="_x0000_s1036" style="position:absolute;left:180;top:46;width:463;height:184;mso-wrap-style:none" filled="f" stroked="f">
              <v:textbox style="mso-next-textbox:#_x0000_s1036;mso-fit-shape-to-text:t" inset="0,0,0,0">
                <w:txbxContent>
                  <w:p w:rsidR="00DB6E8E" w:rsidRDefault="00DB6E8E" w:rsidP="00150AC3">
                    <w:r>
                      <w:rPr>
                        <w:rFonts w:ascii="Arial" w:hAnsi="Arial" w:cs="Arial"/>
                        <w:color w:val="000000"/>
                        <w:sz w:val="16"/>
                        <w:szCs w:val="16"/>
                      </w:rPr>
                      <w:t>Octets</w:t>
                    </w:r>
                  </w:p>
                </w:txbxContent>
              </v:textbox>
            </v:rect>
            <v:rect id="_x0000_s1037" style="position:absolute;left:646;top:46;width:45;height:184;mso-wrap-style:none" filled="f" stroked="f">
              <v:textbox style="mso-next-textbox:#_x0000_s1037;mso-fit-shape-to-text:t" inset="0,0,0,0">
                <w:txbxContent>
                  <w:p w:rsidR="00DB6E8E" w:rsidRDefault="00DB6E8E" w:rsidP="00150AC3">
                    <w:r>
                      <w:rPr>
                        <w:rFonts w:ascii="Arial" w:hAnsi="Arial" w:cs="Arial"/>
                        <w:color w:val="000000"/>
                        <w:sz w:val="16"/>
                        <w:szCs w:val="16"/>
                      </w:rPr>
                      <w:t>:</w:t>
                    </w:r>
                  </w:p>
                </w:txbxContent>
              </v:textbox>
            </v:rect>
            <v:line id="_x0000_s1038" style="position:absolute" from="756,981" to="1446,982" strokeweight="1e-4mm">
              <v:stroke endcap="round"/>
            </v:line>
            <v:shape id="_x0000_s1039" style="position:absolute;left:605;top:925;width:165;height:111" coordsize="165,111" path="m165,111l,56,165,r,111xe" fillcolor="black" stroked="f">
              <v:path arrowok="t"/>
            </v:shape>
            <v:shape id="_x0000_s1040" style="position:absolute;left:1432;top:925;width:166;height:111" coordsize="166,111" path="m,l166,56,,111,,xe" fillcolor="black" stroked="f">
              <v:path arrowok="t"/>
            </v:shape>
            <v:rect id="_x0000_s1041" style="position:absolute;left:150;top:1043;width:107;height:184;mso-wrap-style:none" filled="f" stroked="f">
              <v:textbox style="mso-next-textbox:#_x0000_s1041;mso-fit-shape-to-text:t" inset="0,0,0,0">
                <w:txbxContent>
                  <w:p w:rsidR="00DB6E8E" w:rsidRDefault="00DB6E8E" w:rsidP="00150AC3">
                    <w:r>
                      <w:rPr>
                        <w:rFonts w:ascii="Arial" w:hAnsi="Arial" w:cs="Arial"/>
                        <w:color w:val="000000"/>
                        <w:sz w:val="16"/>
                        <w:szCs w:val="16"/>
                      </w:rPr>
                      <w:t>A</w:t>
                    </w:r>
                  </w:p>
                </w:txbxContent>
              </v:textbox>
            </v:rect>
            <v:rect id="_x0000_s1042" style="position:absolute;left:255;top:1043;width:54;height:184;mso-wrap-style:none" filled="f" stroked="f">
              <v:textbox style="mso-next-textbox:#_x0000_s1042;mso-fit-shape-to-text:t" inset="0,0,0,0">
                <w:txbxContent>
                  <w:p w:rsidR="00DB6E8E" w:rsidRDefault="00DB6E8E" w:rsidP="00150AC3">
                    <w:r>
                      <w:rPr>
                        <w:rFonts w:ascii="Arial" w:hAnsi="Arial" w:cs="Arial"/>
                        <w:color w:val="000000"/>
                        <w:sz w:val="16"/>
                        <w:szCs w:val="16"/>
                      </w:rPr>
                      <w:t>-</w:t>
                    </w:r>
                  </w:p>
                </w:txbxContent>
              </v:textbox>
            </v:rect>
            <v:rect id="_x0000_s1043" style="position:absolute;left:315;top:1043;width:1726;height:184;mso-wrap-style:none" filled="f" stroked="f">
              <v:textbox style="mso-next-textbox:#_x0000_s1043;mso-fit-shape-to-text:t" inset="0,0,0,0">
                <w:txbxContent>
                  <w:p w:rsidR="00DB6E8E" w:rsidRDefault="00DB6E8E" w:rsidP="00150AC3">
                    <w:r>
                      <w:rPr>
                        <w:rFonts w:ascii="Arial" w:hAnsi="Arial" w:cs="Arial"/>
                        <w:color w:val="000000"/>
                        <w:sz w:val="16"/>
                        <w:szCs w:val="16"/>
                      </w:rPr>
                      <w:t>MSDU subframe header</w:t>
                    </w:r>
                  </w:p>
                </w:txbxContent>
              </v:textbox>
            </v:rect>
            <v:rect id="_x0000_s1044" style="position:absolute;left:3164;top:266;width:906;height:571" filled="f" strokeweight="1e-4mm">
              <v:stroke joinstyle="round" endcap="round"/>
            </v:rect>
            <v:rect id="_x0000_s1045" style="position:absolute;left:3302;top:454;width:588;height:184;mso-wrap-style:none" filled="f" stroked="f">
              <v:textbox style="mso-next-textbox:#_x0000_s1045;mso-fit-shape-to-text:t" inset="0,0,0,0">
                <w:txbxContent>
                  <w:p w:rsidR="00DB6E8E" w:rsidRPr="00150AC3" w:rsidRDefault="00DB6E8E" w:rsidP="00150AC3">
                    <w:r>
                      <w:rPr>
                        <w:rFonts w:ascii="Arial" w:hAnsi="Arial" w:cs="Arial"/>
                        <w:color w:val="000000"/>
                        <w:sz w:val="16"/>
                        <w:szCs w:val="16"/>
                      </w:rPr>
                      <w:t>Padding</w:t>
                    </w:r>
                  </w:p>
                </w:txbxContent>
              </v:textbox>
            </v:rect>
            <v:rect id="_x0000_s1046" style="position:absolute;left:3482;top:49;width:232;height:184;mso-wrap-style:none" filled="f" stroked="f">
              <v:textbox style="mso-next-textbox:#_x0000_s1046;mso-fit-shape-to-text:t" inset="0,0,0,0">
                <w:txbxContent>
                  <w:p w:rsidR="00DB6E8E" w:rsidRPr="00150AC3" w:rsidRDefault="00DB6E8E" w:rsidP="00150AC3">
                    <w:r>
                      <w:rPr>
                        <w:rFonts w:ascii="Arial" w:hAnsi="Arial" w:cs="Arial"/>
                        <w:color w:val="000000"/>
                        <w:sz w:val="16"/>
                        <w:szCs w:val="16"/>
                      </w:rPr>
                      <w:t>0-3</w:t>
                    </w:r>
                  </w:p>
                </w:txbxContent>
              </v:textbox>
            </v:rect>
            <w10:wrap type="none"/>
            <w10:anchorlock/>
          </v:group>
        </w:pict>
      </w:r>
    </w:p>
    <w:p w:rsidR="008C36FC" w:rsidRPr="00066F65" w:rsidRDefault="008C36FC" w:rsidP="00BA5BC4">
      <w:pPr>
        <w:pStyle w:val="Caption"/>
      </w:pPr>
      <w:bookmarkStart w:id="299" w:name="_Ref216156589"/>
      <w:bookmarkStart w:id="300" w:name="_Toc259717444"/>
      <w:r w:rsidRPr="00066F65">
        <w:t xml:space="preserve">Figure </w:t>
      </w:r>
      <w:r w:rsidR="00BD151C">
        <w:fldChar w:fldCharType="begin"/>
      </w:r>
      <w:r w:rsidR="00801316">
        <w:instrText xml:space="preserve"> SEQ Figure \* ARABIC </w:instrText>
      </w:r>
      <w:r w:rsidR="00BD151C">
        <w:fldChar w:fldCharType="separate"/>
      </w:r>
      <w:r w:rsidR="003E4210">
        <w:rPr>
          <w:noProof/>
        </w:rPr>
        <w:t>12</w:t>
      </w:r>
      <w:r w:rsidR="00BD151C">
        <w:fldChar w:fldCharType="end"/>
      </w:r>
      <w:bookmarkEnd w:id="299"/>
      <w:r w:rsidRPr="00066F65">
        <w:t xml:space="preserve"> </w:t>
      </w:r>
      <w:r w:rsidR="00F72317" w:rsidRPr="00066F65">
        <w:t xml:space="preserve">– Short </w:t>
      </w:r>
      <w:r w:rsidRPr="00066F65">
        <w:t>A-MSDU subframe structure</w:t>
      </w:r>
      <w:bookmarkEnd w:id="300"/>
    </w:p>
    <w:p w:rsidR="008C36FC" w:rsidRPr="00B8671C" w:rsidRDefault="008C36FC" w:rsidP="0004091F"/>
    <w:p w:rsidR="008C36FC" w:rsidRPr="00B8671C" w:rsidRDefault="008C36FC" w:rsidP="0004091F">
      <w:r w:rsidRPr="00B8671C">
        <w:t xml:space="preserve">The </w:t>
      </w:r>
      <w:r w:rsidR="00F72317" w:rsidRPr="00B8671C">
        <w:t xml:space="preserve">Short </w:t>
      </w:r>
      <w:r w:rsidRPr="00B8671C">
        <w:t>A-MSDU subframe header consists of a Length field that contains the length in octets of the MSDU.</w:t>
      </w:r>
    </w:p>
    <w:p w:rsidR="008C36FC" w:rsidRPr="00B8671C" w:rsidRDefault="008C36FC" w:rsidP="003701DB">
      <w:pPr>
        <w:pStyle w:val="Heading3"/>
        <w:numPr>
          <w:ilvl w:val="2"/>
          <w:numId w:val="203"/>
        </w:numPr>
      </w:pPr>
      <w:bookmarkStart w:id="301" w:name="_Toc235400236"/>
      <w:bookmarkStart w:id="302" w:name="_Toc259716892"/>
      <w:r w:rsidRPr="00B8671C">
        <w:t>Management frames</w:t>
      </w:r>
      <w:bookmarkEnd w:id="301"/>
      <w:bookmarkEnd w:id="302"/>
    </w:p>
    <w:p w:rsidR="002131A2" w:rsidRPr="002131A2" w:rsidRDefault="002131A2" w:rsidP="00231513">
      <w:pPr>
        <w:rPr>
          <w:i/>
          <w:iCs/>
        </w:rPr>
      </w:pPr>
      <w:r w:rsidRPr="002131A2">
        <w:rPr>
          <w:i/>
          <w:iCs/>
        </w:rPr>
        <w:t>.11 Editor note: add at end of the subclause</w:t>
      </w:r>
    </w:p>
    <w:p w:rsidR="002131A2" w:rsidRDefault="002131A2" w:rsidP="00231513"/>
    <w:p w:rsidR="008C36FC" w:rsidRPr="00B8671C" w:rsidRDefault="000627CF" w:rsidP="00231513">
      <w:r w:rsidRPr="00B8671C">
        <w:t>Within a PBSS, the BSSID field of a management frame is set to the MAC address in use by the STA contained in the PCP of the PBSS</w:t>
      </w:r>
      <w:r w:rsidR="008C36FC" w:rsidRPr="00B8671C">
        <w:t>.</w:t>
      </w:r>
      <w:r w:rsidR="00D11F2E">
        <w:t xml:space="preserve"> </w:t>
      </w:r>
    </w:p>
    <w:p w:rsidR="008C36FC" w:rsidRPr="00B8671C" w:rsidRDefault="008C36FC" w:rsidP="0004091F"/>
    <w:p w:rsidR="007D0765" w:rsidRPr="00B8671C" w:rsidRDefault="007D0765" w:rsidP="003701DB">
      <w:pPr>
        <w:pStyle w:val="Heading4"/>
        <w:numPr>
          <w:ilvl w:val="3"/>
          <w:numId w:val="198"/>
        </w:numPr>
      </w:pPr>
      <w:bookmarkStart w:id="303" w:name="_Ref243797135"/>
      <w:bookmarkStart w:id="304" w:name="_Toc259716893"/>
      <w:r w:rsidRPr="00B8671C">
        <w:t>Beacon frame format</w:t>
      </w:r>
      <w:bookmarkEnd w:id="303"/>
      <w:bookmarkEnd w:id="304"/>
    </w:p>
    <w:p w:rsidR="007D0765" w:rsidRPr="00B8671C" w:rsidRDefault="007D0765" w:rsidP="007D0765">
      <w:pPr>
        <w:jc w:val="both"/>
      </w:pPr>
    </w:p>
    <w:p w:rsidR="007D0765" w:rsidRPr="00B8671C" w:rsidRDefault="007D0765" w:rsidP="007D0765">
      <w:pPr>
        <w:jc w:val="both"/>
        <w:outlineLvl w:val="0"/>
        <w:rPr>
          <w:i/>
        </w:rPr>
      </w:pPr>
      <w:r w:rsidRPr="00B8671C">
        <w:rPr>
          <w:i/>
        </w:rPr>
        <w:t>.11 editor Note: Insert the following row in Table 7-8 “Beacon Frame Body”, renumbering as appropriate</w:t>
      </w:r>
    </w:p>
    <w:p w:rsidR="007D0765" w:rsidRPr="00B8671C"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B8671C" w:rsidRDefault="007D0765" w:rsidP="00F92D50">
            <w:pPr>
              <w:rPr>
                <w:rFonts w:eastAsia="SimSun"/>
                <w:b/>
              </w:rPr>
            </w:pPr>
            <w:r w:rsidRPr="00B8671C">
              <w:rPr>
                <w:rFonts w:eastAsia="SimSun"/>
                <w:b/>
              </w:rPr>
              <w:t>Order</w:t>
            </w:r>
          </w:p>
        </w:tc>
        <w:tc>
          <w:tcPr>
            <w:tcW w:w="2610" w:type="dxa"/>
          </w:tcPr>
          <w:p w:rsidR="007D0765" w:rsidRPr="00B8671C" w:rsidRDefault="007D0765" w:rsidP="00F92D50">
            <w:pPr>
              <w:rPr>
                <w:rFonts w:eastAsia="SimSun"/>
                <w:b/>
              </w:rPr>
            </w:pPr>
            <w:r w:rsidRPr="00B8671C">
              <w:rPr>
                <w:rFonts w:eastAsia="SimSun"/>
                <w:b/>
              </w:rPr>
              <w:t>Information</w:t>
            </w:r>
          </w:p>
        </w:tc>
        <w:tc>
          <w:tcPr>
            <w:tcW w:w="5688" w:type="dxa"/>
          </w:tcPr>
          <w:p w:rsidR="007D0765" w:rsidRPr="00B8671C" w:rsidRDefault="007D0765" w:rsidP="00F92D50">
            <w:pPr>
              <w:rPr>
                <w:rFonts w:eastAsia="SimSun"/>
                <w:b/>
              </w:rPr>
            </w:pPr>
            <w:r w:rsidRPr="00B8671C">
              <w:rPr>
                <w:rFonts w:eastAsia="SimSun"/>
                <w:b/>
              </w:rPr>
              <w:t>Notes</w:t>
            </w:r>
          </w:p>
        </w:tc>
      </w:tr>
      <w:tr w:rsidR="007D0765" w:rsidRPr="00066F65" w:rsidTr="00D0037C">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F92D50">
            <w:pPr>
              <w:rPr>
                <w:rFonts w:eastAsia="SimSun"/>
                <w:u w:val="single"/>
              </w:rPr>
            </w:pPr>
            <w:r w:rsidRPr="00066F65">
              <w:rPr>
                <w:rFonts w:eastAsia="SimSun"/>
                <w:u w:val="single"/>
              </w:rPr>
              <w:t>Multi-band</w:t>
            </w:r>
          </w:p>
        </w:tc>
        <w:tc>
          <w:tcPr>
            <w:tcW w:w="5688" w:type="dxa"/>
          </w:tcPr>
          <w:p w:rsidR="007D0765" w:rsidRPr="00066F65" w:rsidRDefault="007D0765" w:rsidP="00F92D50">
            <w:pPr>
              <w:rPr>
                <w:rFonts w:eastAsia="SimSun"/>
                <w:u w:val="single"/>
              </w:rPr>
            </w:pPr>
            <w:r w:rsidRPr="00066F65">
              <w:rPr>
                <w:rFonts w:eastAsia="SimSun"/>
                <w:u w:val="single"/>
              </w:rPr>
              <w:t>The Multi-band element is optionally present if dot11MultibandSupportEnabled is true.</w:t>
            </w:r>
          </w:p>
        </w:tc>
      </w:tr>
    </w:tbl>
    <w:p w:rsidR="007D0765" w:rsidRPr="00B8671C" w:rsidRDefault="007D0765" w:rsidP="00F92D50"/>
    <w:p w:rsidR="007D0765" w:rsidRPr="00B8671C" w:rsidRDefault="007D0765" w:rsidP="003701DB">
      <w:pPr>
        <w:pStyle w:val="Heading4"/>
        <w:numPr>
          <w:ilvl w:val="3"/>
          <w:numId w:val="107"/>
        </w:numPr>
      </w:pPr>
      <w:bookmarkStart w:id="305" w:name="_Toc259716894"/>
      <w:r w:rsidRPr="00B8671C">
        <w:t>Association Request frame format</w:t>
      </w:r>
      <w:bookmarkEnd w:id="305"/>
    </w:p>
    <w:p w:rsidR="007D0765" w:rsidRPr="00B8671C" w:rsidRDefault="007D0765" w:rsidP="00F92D50"/>
    <w:p w:rsidR="007D0765" w:rsidRPr="00B8671C" w:rsidRDefault="007D0765" w:rsidP="00F92D50">
      <w:pPr>
        <w:outlineLvl w:val="0"/>
        <w:rPr>
          <w:i/>
        </w:rPr>
      </w:pPr>
      <w:r w:rsidRPr="00B8671C">
        <w:rPr>
          <w:i/>
        </w:rPr>
        <w:t>.11 editor Note: Insert the following row in Table 7-10 “Association Request Frame Body”, renumbering as appropriate</w:t>
      </w:r>
    </w:p>
    <w:p w:rsidR="007D0765" w:rsidRPr="00B8671C" w:rsidRDefault="007D0765" w:rsidP="00F92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rPr>
          <w:cantSplit/>
        </w:trPr>
        <w:tc>
          <w:tcPr>
            <w:tcW w:w="1278" w:type="dxa"/>
          </w:tcPr>
          <w:p w:rsidR="007D0765" w:rsidRPr="00B8671C" w:rsidRDefault="007D0765" w:rsidP="00F92D50">
            <w:pPr>
              <w:rPr>
                <w:rFonts w:eastAsia="SimSun"/>
                <w:b/>
              </w:rPr>
            </w:pPr>
            <w:r w:rsidRPr="00B8671C">
              <w:rPr>
                <w:rFonts w:eastAsia="SimSun"/>
                <w:b/>
              </w:rPr>
              <w:t>Order</w:t>
            </w:r>
          </w:p>
        </w:tc>
        <w:tc>
          <w:tcPr>
            <w:tcW w:w="2610" w:type="dxa"/>
          </w:tcPr>
          <w:p w:rsidR="007D0765" w:rsidRPr="00B8671C" w:rsidRDefault="007D0765" w:rsidP="00F92D50">
            <w:pPr>
              <w:rPr>
                <w:rFonts w:eastAsia="SimSun"/>
                <w:b/>
              </w:rPr>
            </w:pPr>
            <w:r w:rsidRPr="00B8671C">
              <w:rPr>
                <w:rFonts w:eastAsia="SimSun"/>
                <w:b/>
              </w:rPr>
              <w:t>Information</w:t>
            </w:r>
          </w:p>
        </w:tc>
        <w:tc>
          <w:tcPr>
            <w:tcW w:w="5688" w:type="dxa"/>
          </w:tcPr>
          <w:p w:rsidR="007D0765" w:rsidRPr="00B8671C" w:rsidRDefault="007D0765" w:rsidP="00F92D50">
            <w:pPr>
              <w:rPr>
                <w:rFonts w:eastAsia="SimSun"/>
                <w:b/>
              </w:rPr>
            </w:pPr>
            <w:r w:rsidRPr="00B8671C">
              <w:rPr>
                <w:rFonts w:eastAsia="SimSun"/>
                <w:b/>
              </w:rPr>
              <w:t>Notes</w:t>
            </w:r>
          </w:p>
        </w:tc>
      </w:tr>
      <w:tr w:rsidR="007D0765" w:rsidRPr="00066F65" w:rsidTr="00D0037C">
        <w:trPr>
          <w:cantSplit/>
        </w:trPr>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F92D50">
            <w:pPr>
              <w:rPr>
                <w:rFonts w:eastAsia="SimSun"/>
                <w:u w:val="single"/>
              </w:rPr>
            </w:pPr>
            <w:r w:rsidRPr="00066F65">
              <w:rPr>
                <w:rFonts w:eastAsia="SimSun"/>
                <w:u w:val="single"/>
              </w:rPr>
              <w:t>Multi-band</w:t>
            </w:r>
          </w:p>
        </w:tc>
        <w:tc>
          <w:tcPr>
            <w:tcW w:w="5688" w:type="dxa"/>
          </w:tcPr>
          <w:p w:rsidR="007D0765" w:rsidRPr="00066F65" w:rsidRDefault="007D0765" w:rsidP="00F92D50">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rPr>
          <w:cantSplit/>
        </w:trPr>
        <w:tc>
          <w:tcPr>
            <w:tcW w:w="1278" w:type="dxa"/>
          </w:tcPr>
          <w:p w:rsidR="00746EA0" w:rsidRPr="00066F65" w:rsidRDefault="00120A30" w:rsidP="00D0037C">
            <w:pPr>
              <w:jc w:val="center"/>
              <w:rPr>
                <w:rFonts w:eastAsia="SimSun"/>
                <w:u w:val="single"/>
              </w:rPr>
            </w:pPr>
            <w:r w:rsidRPr="00066F65">
              <w:rPr>
                <w:rFonts w:eastAsia="SimSun"/>
                <w:u w:val="single"/>
              </w:rPr>
              <w:lastRenderedPageBreak/>
              <w:t>&lt;ANA&gt;</w:t>
            </w:r>
          </w:p>
        </w:tc>
        <w:tc>
          <w:tcPr>
            <w:tcW w:w="2610" w:type="dxa"/>
          </w:tcPr>
          <w:p w:rsidR="00746EA0" w:rsidRPr="00066F65" w:rsidRDefault="00B910DA" w:rsidP="00746EA0">
            <w:pPr>
              <w:rPr>
                <w:rFonts w:eastAsia="SimSun"/>
                <w:u w:val="single"/>
              </w:rPr>
            </w:pPr>
            <w:r w:rsidRPr="00066F65">
              <w:rPr>
                <w:rFonts w:eastAsia="SimSun"/>
                <w:u w:val="single"/>
              </w:rPr>
              <w:t>mmWave Capabilities</w:t>
            </w:r>
          </w:p>
        </w:tc>
        <w:tc>
          <w:tcPr>
            <w:tcW w:w="5688" w:type="dxa"/>
          </w:tcPr>
          <w:p w:rsidR="00746EA0" w:rsidRPr="00066F65" w:rsidRDefault="00B910DA" w:rsidP="00746EA0">
            <w:pPr>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bl>
    <w:p w:rsidR="007D0765" w:rsidRPr="00B8671C" w:rsidRDefault="007D0765" w:rsidP="00F92D50"/>
    <w:p w:rsidR="007D0765" w:rsidRPr="00B8671C" w:rsidRDefault="007D0765" w:rsidP="003701DB">
      <w:pPr>
        <w:pStyle w:val="Heading4"/>
        <w:numPr>
          <w:ilvl w:val="3"/>
          <w:numId w:val="199"/>
        </w:numPr>
      </w:pPr>
      <w:bookmarkStart w:id="306" w:name="_Toc259716895"/>
      <w:r w:rsidRPr="00B8671C">
        <w:t>Association Response frame format</w:t>
      </w:r>
      <w:bookmarkEnd w:id="306"/>
    </w:p>
    <w:p w:rsidR="007D0765" w:rsidRPr="00B8671C" w:rsidRDefault="007D0765" w:rsidP="00F92D50"/>
    <w:p w:rsidR="007D0765" w:rsidRPr="00B8671C" w:rsidRDefault="007D0765" w:rsidP="00F92D50">
      <w:pPr>
        <w:outlineLvl w:val="0"/>
        <w:rPr>
          <w:i/>
        </w:rPr>
      </w:pPr>
      <w:r w:rsidRPr="00B8671C">
        <w:rPr>
          <w:i/>
        </w:rPr>
        <w:t>.11 editor Note: Insert the following row in Table 7-11 “Association Response Frame Body”, renumbering as appropriate</w:t>
      </w:r>
    </w:p>
    <w:p w:rsidR="007D0765" w:rsidRPr="00B8671C" w:rsidRDefault="007D0765" w:rsidP="00F92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B8671C" w:rsidRDefault="007D0765" w:rsidP="00F92D50">
            <w:pPr>
              <w:rPr>
                <w:rFonts w:eastAsia="SimSun"/>
                <w:b/>
              </w:rPr>
            </w:pPr>
            <w:r w:rsidRPr="00B8671C">
              <w:rPr>
                <w:rFonts w:eastAsia="SimSun"/>
                <w:b/>
              </w:rPr>
              <w:t>Order</w:t>
            </w:r>
          </w:p>
        </w:tc>
        <w:tc>
          <w:tcPr>
            <w:tcW w:w="2610" w:type="dxa"/>
          </w:tcPr>
          <w:p w:rsidR="007D0765" w:rsidRPr="00B8671C" w:rsidRDefault="007D0765" w:rsidP="00F92D50">
            <w:pPr>
              <w:rPr>
                <w:rFonts w:eastAsia="SimSun"/>
                <w:b/>
              </w:rPr>
            </w:pPr>
            <w:r w:rsidRPr="00B8671C">
              <w:rPr>
                <w:rFonts w:eastAsia="SimSun"/>
                <w:b/>
              </w:rPr>
              <w:t>Information</w:t>
            </w:r>
          </w:p>
        </w:tc>
        <w:tc>
          <w:tcPr>
            <w:tcW w:w="5688" w:type="dxa"/>
          </w:tcPr>
          <w:p w:rsidR="007D0765" w:rsidRPr="00B8671C" w:rsidRDefault="007D0765" w:rsidP="00F92D50">
            <w:pPr>
              <w:rPr>
                <w:rFonts w:eastAsia="SimSun"/>
                <w:b/>
              </w:rPr>
            </w:pPr>
            <w:r w:rsidRPr="00B8671C">
              <w:rPr>
                <w:rFonts w:eastAsia="SimSun"/>
                <w:b/>
              </w:rPr>
              <w:t>Notes</w:t>
            </w:r>
          </w:p>
        </w:tc>
      </w:tr>
      <w:tr w:rsidR="007D0765" w:rsidRPr="00066F65" w:rsidTr="00D0037C">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F92D50">
            <w:pPr>
              <w:rPr>
                <w:rFonts w:eastAsia="SimSun"/>
                <w:u w:val="single"/>
              </w:rPr>
            </w:pPr>
            <w:r w:rsidRPr="00066F65">
              <w:rPr>
                <w:rFonts w:eastAsia="SimSun"/>
                <w:u w:val="single"/>
              </w:rPr>
              <w:t>Multi-band</w:t>
            </w:r>
          </w:p>
        </w:tc>
        <w:tc>
          <w:tcPr>
            <w:tcW w:w="5688" w:type="dxa"/>
          </w:tcPr>
          <w:p w:rsidR="007D0765" w:rsidRPr="00066F65" w:rsidRDefault="007D0765" w:rsidP="00F92D50">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c>
          <w:tcPr>
            <w:tcW w:w="1278" w:type="dxa"/>
          </w:tcPr>
          <w:p w:rsidR="00746EA0" w:rsidRPr="00066F65" w:rsidRDefault="00120A30"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746EA0">
            <w:pPr>
              <w:rPr>
                <w:rFonts w:eastAsia="SimSun"/>
                <w:u w:val="single"/>
              </w:rPr>
            </w:pPr>
            <w:r w:rsidRPr="00066F65">
              <w:rPr>
                <w:rFonts w:eastAsia="SimSun"/>
                <w:u w:val="single"/>
              </w:rPr>
              <w:t>mmWave Capabilities</w:t>
            </w:r>
          </w:p>
        </w:tc>
        <w:tc>
          <w:tcPr>
            <w:tcW w:w="5688" w:type="dxa"/>
          </w:tcPr>
          <w:p w:rsidR="00746EA0" w:rsidRPr="00066F65" w:rsidRDefault="00B910DA" w:rsidP="00746EA0">
            <w:pPr>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r w:rsidR="006A050E" w:rsidRPr="00066F65" w:rsidTr="00D0037C">
        <w:tc>
          <w:tcPr>
            <w:tcW w:w="1278" w:type="dxa"/>
          </w:tcPr>
          <w:p w:rsidR="006A050E" w:rsidRPr="00066F65" w:rsidRDefault="006A050E" w:rsidP="00D0037C">
            <w:pPr>
              <w:jc w:val="center"/>
              <w:rPr>
                <w:rFonts w:eastAsia="SimSun"/>
                <w:u w:val="single"/>
              </w:rPr>
            </w:pPr>
            <w:r w:rsidRPr="00066F65">
              <w:rPr>
                <w:rFonts w:eastAsia="SimSun"/>
                <w:u w:val="single"/>
              </w:rPr>
              <w:t>&lt;ANA&gt;</w:t>
            </w:r>
          </w:p>
        </w:tc>
        <w:tc>
          <w:tcPr>
            <w:tcW w:w="2610" w:type="dxa"/>
          </w:tcPr>
          <w:p w:rsidR="006A050E" w:rsidRPr="00066F65" w:rsidRDefault="006A050E" w:rsidP="00746EA0">
            <w:pPr>
              <w:rPr>
                <w:rFonts w:eastAsia="SimSun"/>
                <w:u w:val="single"/>
              </w:rPr>
            </w:pPr>
            <w:r w:rsidRPr="00066F65">
              <w:rPr>
                <w:rFonts w:eastAsia="SimSun"/>
                <w:u w:val="single"/>
              </w:rPr>
              <w:t>mmWave Operation</w:t>
            </w:r>
          </w:p>
        </w:tc>
        <w:tc>
          <w:tcPr>
            <w:tcW w:w="5688" w:type="dxa"/>
          </w:tcPr>
          <w:p w:rsidR="006A050E" w:rsidRPr="00066F65" w:rsidRDefault="006A050E" w:rsidP="006A050E">
            <w:pPr>
              <w:rPr>
                <w:rFonts w:eastAsia="SimSun"/>
                <w:u w:val="single"/>
              </w:rPr>
            </w:pPr>
            <w:r w:rsidRPr="00066F65">
              <w:rPr>
                <w:rFonts w:eastAsia="SimSun"/>
                <w:u w:val="single"/>
              </w:rPr>
              <w:t xml:space="preserve">The mmWave Operation element is present when dot11MmWaveCapable is set to TRUE. </w:t>
            </w:r>
          </w:p>
        </w:tc>
      </w:tr>
    </w:tbl>
    <w:p w:rsidR="007D0765" w:rsidRPr="00D547A9" w:rsidRDefault="007D0765" w:rsidP="007D0765">
      <w:pPr>
        <w:jc w:val="both"/>
      </w:pPr>
    </w:p>
    <w:p w:rsidR="007D0765" w:rsidRPr="00D547A9" w:rsidRDefault="007D0765" w:rsidP="003701DB">
      <w:pPr>
        <w:pStyle w:val="Heading4"/>
        <w:numPr>
          <w:ilvl w:val="3"/>
          <w:numId w:val="199"/>
        </w:numPr>
      </w:pPr>
      <w:bookmarkStart w:id="307" w:name="_Toc259716896"/>
      <w:r w:rsidRPr="00D547A9">
        <w:t>Reassociation Request frame format</w:t>
      </w:r>
      <w:bookmarkEnd w:id="307"/>
    </w:p>
    <w:p w:rsidR="007D0765" w:rsidRPr="00D547A9" w:rsidRDefault="007D0765" w:rsidP="007D0765">
      <w:pPr>
        <w:jc w:val="both"/>
      </w:pPr>
    </w:p>
    <w:p w:rsidR="007D0765" w:rsidRPr="00D547A9" w:rsidRDefault="007D0765" w:rsidP="007D0765">
      <w:pPr>
        <w:jc w:val="both"/>
        <w:outlineLvl w:val="0"/>
        <w:rPr>
          <w:i/>
        </w:rPr>
      </w:pPr>
      <w:r w:rsidRPr="00D547A9">
        <w:rPr>
          <w:i/>
        </w:rPr>
        <w:t>.11 editor Note: Insert the following row in Table 7-12 “Reassociation Request Frame Body”, renumbering as appropriate</w:t>
      </w:r>
    </w:p>
    <w:p w:rsidR="007D0765" w:rsidRPr="00D547A9"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D547A9" w:rsidRDefault="007D0765" w:rsidP="00D0037C">
            <w:pPr>
              <w:jc w:val="both"/>
              <w:rPr>
                <w:rFonts w:eastAsia="SimSun"/>
                <w:b/>
              </w:rPr>
            </w:pPr>
            <w:r w:rsidRPr="00D547A9">
              <w:rPr>
                <w:rFonts w:eastAsia="SimSun"/>
                <w:b/>
              </w:rPr>
              <w:t>Order</w:t>
            </w:r>
          </w:p>
        </w:tc>
        <w:tc>
          <w:tcPr>
            <w:tcW w:w="2610" w:type="dxa"/>
          </w:tcPr>
          <w:p w:rsidR="007D0765" w:rsidRPr="00D547A9" w:rsidRDefault="007D0765" w:rsidP="00D0037C">
            <w:pPr>
              <w:jc w:val="both"/>
              <w:rPr>
                <w:rFonts w:eastAsia="SimSun"/>
                <w:b/>
              </w:rPr>
            </w:pPr>
            <w:r w:rsidRPr="00D547A9">
              <w:rPr>
                <w:rFonts w:eastAsia="SimSun"/>
                <w:b/>
              </w:rPr>
              <w:t>Information</w:t>
            </w:r>
          </w:p>
        </w:tc>
        <w:tc>
          <w:tcPr>
            <w:tcW w:w="5688" w:type="dxa"/>
          </w:tcPr>
          <w:p w:rsidR="007D0765" w:rsidRPr="00D547A9" w:rsidRDefault="007D0765" w:rsidP="00D0037C">
            <w:pPr>
              <w:jc w:val="both"/>
              <w:rPr>
                <w:rFonts w:eastAsia="SimSun"/>
                <w:b/>
              </w:rPr>
            </w:pPr>
            <w:r w:rsidRPr="00D547A9">
              <w:rPr>
                <w:rFonts w:eastAsia="SimSun"/>
                <w:b/>
              </w:rPr>
              <w:t>Notes</w:t>
            </w:r>
          </w:p>
        </w:tc>
      </w:tr>
      <w:tr w:rsidR="007D0765" w:rsidRPr="00066F65" w:rsidTr="00D0037C">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c>
          <w:tcPr>
            <w:tcW w:w="1278" w:type="dxa"/>
          </w:tcPr>
          <w:p w:rsidR="00746EA0" w:rsidRPr="00066F65" w:rsidRDefault="00120A30"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bl>
    <w:p w:rsidR="007D0765" w:rsidRPr="00D547A9" w:rsidRDefault="007D0765" w:rsidP="007D0765">
      <w:pPr>
        <w:jc w:val="both"/>
      </w:pPr>
    </w:p>
    <w:p w:rsidR="007D0765" w:rsidRPr="00D547A9" w:rsidRDefault="007D0765" w:rsidP="003701DB">
      <w:pPr>
        <w:pStyle w:val="Heading4"/>
        <w:numPr>
          <w:ilvl w:val="3"/>
          <w:numId w:val="199"/>
        </w:numPr>
      </w:pPr>
      <w:bookmarkStart w:id="308" w:name="_Toc259716897"/>
      <w:r w:rsidRPr="00D547A9">
        <w:t>Reassociation Response frame format</w:t>
      </w:r>
      <w:bookmarkEnd w:id="308"/>
    </w:p>
    <w:p w:rsidR="007D0765" w:rsidRPr="00D547A9" w:rsidRDefault="007D0765" w:rsidP="007D0765">
      <w:pPr>
        <w:jc w:val="both"/>
        <w:outlineLvl w:val="0"/>
        <w:rPr>
          <w:i/>
        </w:rPr>
      </w:pPr>
      <w:r w:rsidRPr="00D547A9">
        <w:rPr>
          <w:i/>
        </w:rPr>
        <w:t>.11 editor Note: Insert the following row in Table 7-13 “Reassociation Response Frame Body”, renumbering as appropriate</w:t>
      </w:r>
    </w:p>
    <w:p w:rsidR="007D0765" w:rsidRPr="00D547A9"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2610"/>
        <w:gridCol w:w="5688"/>
      </w:tblGrid>
      <w:tr w:rsidR="007D0765" w:rsidRPr="00066F65" w:rsidTr="006A050E">
        <w:tc>
          <w:tcPr>
            <w:tcW w:w="1487" w:type="dxa"/>
          </w:tcPr>
          <w:p w:rsidR="007D0765" w:rsidRPr="00D547A9" w:rsidRDefault="007D0765" w:rsidP="00D0037C">
            <w:pPr>
              <w:jc w:val="both"/>
              <w:rPr>
                <w:rFonts w:eastAsia="SimSun"/>
                <w:b/>
              </w:rPr>
            </w:pPr>
            <w:r w:rsidRPr="00D547A9">
              <w:rPr>
                <w:rFonts w:eastAsia="SimSun"/>
                <w:b/>
              </w:rPr>
              <w:t>Order</w:t>
            </w:r>
          </w:p>
        </w:tc>
        <w:tc>
          <w:tcPr>
            <w:tcW w:w="2610" w:type="dxa"/>
          </w:tcPr>
          <w:p w:rsidR="007D0765" w:rsidRPr="00D547A9" w:rsidRDefault="007D0765" w:rsidP="00D0037C">
            <w:pPr>
              <w:jc w:val="both"/>
              <w:rPr>
                <w:rFonts w:eastAsia="SimSun"/>
                <w:b/>
              </w:rPr>
            </w:pPr>
            <w:r w:rsidRPr="00D547A9">
              <w:rPr>
                <w:rFonts w:eastAsia="SimSun"/>
                <w:b/>
              </w:rPr>
              <w:t>Information</w:t>
            </w:r>
          </w:p>
        </w:tc>
        <w:tc>
          <w:tcPr>
            <w:tcW w:w="5688" w:type="dxa"/>
          </w:tcPr>
          <w:p w:rsidR="007D0765" w:rsidRPr="00D547A9" w:rsidRDefault="007D0765" w:rsidP="00D0037C">
            <w:pPr>
              <w:jc w:val="both"/>
              <w:rPr>
                <w:rFonts w:eastAsia="SimSun"/>
                <w:b/>
              </w:rPr>
            </w:pPr>
            <w:r w:rsidRPr="00D547A9">
              <w:rPr>
                <w:rFonts w:eastAsia="SimSun"/>
                <w:b/>
              </w:rPr>
              <w:t>Notes</w:t>
            </w:r>
          </w:p>
        </w:tc>
      </w:tr>
      <w:tr w:rsidR="007D0765" w:rsidRPr="00066F65" w:rsidTr="006A050E">
        <w:tc>
          <w:tcPr>
            <w:tcW w:w="1487"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6A050E">
        <w:tc>
          <w:tcPr>
            <w:tcW w:w="1487" w:type="dxa"/>
          </w:tcPr>
          <w:p w:rsidR="00746EA0" w:rsidRPr="00066F65" w:rsidRDefault="00120A30"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r w:rsidR="006A050E" w:rsidRPr="00066F65" w:rsidTr="006A050E">
        <w:tc>
          <w:tcPr>
            <w:tcW w:w="1487" w:type="dxa"/>
          </w:tcPr>
          <w:p w:rsidR="006A050E" w:rsidRPr="00066F65" w:rsidRDefault="006A050E" w:rsidP="00D0037C">
            <w:pPr>
              <w:jc w:val="center"/>
              <w:rPr>
                <w:rFonts w:eastAsia="SimSun"/>
                <w:u w:val="single"/>
              </w:rPr>
            </w:pPr>
            <w:r w:rsidRPr="00066F65">
              <w:rPr>
                <w:rFonts w:eastAsia="SimSun"/>
                <w:u w:val="single"/>
              </w:rPr>
              <w:t>&lt;ANA&gt;</w:t>
            </w:r>
          </w:p>
        </w:tc>
        <w:tc>
          <w:tcPr>
            <w:tcW w:w="2610" w:type="dxa"/>
          </w:tcPr>
          <w:p w:rsidR="006A050E" w:rsidRPr="00066F65" w:rsidRDefault="006A050E" w:rsidP="00D0037C">
            <w:pPr>
              <w:jc w:val="both"/>
              <w:rPr>
                <w:rFonts w:eastAsia="SimSun"/>
                <w:u w:val="single"/>
              </w:rPr>
            </w:pPr>
            <w:r w:rsidRPr="00066F65">
              <w:rPr>
                <w:rFonts w:eastAsia="SimSun"/>
                <w:u w:val="single"/>
              </w:rPr>
              <w:t>mmWave Operation</w:t>
            </w:r>
          </w:p>
        </w:tc>
        <w:tc>
          <w:tcPr>
            <w:tcW w:w="5688" w:type="dxa"/>
          </w:tcPr>
          <w:p w:rsidR="006A050E" w:rsidRPr="00066F65" w:rsidRDefault="006A050E" w:rsidP="006A050E">
            <w:pPr>
              <w:jc w:val="both"/>
              <w:rPr>
                <w:rFonts w:eastAsia="SimSun"/>
                <w:u w:val="single"/>
              </w:rPr>
            </w:pPr>
            <w:r w:rsidRPr="00066F65">
              <w:rPr>
                <w:rFonts w:eastAsia="SimSun"/>
                <w:u w:val="single"/>
              </w:rPr>
              <w:t xml:space="preserve">The mmWave Operation element is present when dot11MmWaveCapable is set to TRUE. </w:t>
            </w:r>
          </w:p>
        </w:tc>
      </w:tr>
    </w:tbl>
    <w:p w:rsidR="007D0765" w:rsidRPr="00D547A9" w:rsidRDefault="007D0765" w:rsidP="007D0765">
      <w:pPr>
        <w:jc w:val="both"/>
      </w:pPr>
    </w:p>
    <w:p w:rsidR="007D0765" w:rsidRPr="00D547A9" w:rsidRDefault="007D0765" w:rsidP="003701DB">
      <w:pPr>
        <w:pStyle w:val="Heading4"/>
        <w:numPr>
          <w:ilvl w:val="3"/>
          <w:numId w:val="199"/>
        </w:numPr>
      </w:pPr>
      <w:bookmarkStart w:id="309" w:name="_Toc259716898"/>
      <w:r w:rsidRPr="00D547A9">
        <w:t>Probe Request frame format</w:t>
      </w:r>
      <w:bookmarkEnd w:id="309"/>
    </w:p>
    <w:p w:rsidR="007D0765" w:rsidRPr="00D547A9" w:rsidRDefault="007D0765" w:rsidP="007D0765">
      <w:pPr>
        <w:jc w:val="both"/>
        <w:outlineLvl w:val="0"/>
        <w:rPr>
          <w:i/>
        </w:rPr>
      </w:pPr>
      <w:r w:rsidRPr="00D547A9">
        <w:rPr>
          <w:i/>
        </w:rPr>
        <w:t>.11 editor Note: Insert the following row in Table 7-14 “Probe Request Frame Body”, renumbering as appropriate</w:t>
      </w:r>
    </w:p>
    <w:p w:rsidR="007D0765" w:rsidRPr="00D547A9"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D547A9" w:rsidRDefault="007D0765" w:rsidP="00D0037C">
            <w:pPr>
              <w:jc w:val="both"/>
              <w:rPr>
                <w:rFonts w:eastAsia="SimSun"/>
                <w:b/>
              </w:rPr>
            </w:pPr>
            <w:r w:rsidRPr="00D547A9">
              <w:rPr>
                <w:rFonts w:eastAsia="SimSun"/>
                <w:b/>
              </w:rPr>
              <w:lastRenderedPageBreak/>
              <w:t>Order</w:t>
            </w:r>
          </w:p>
        </w:tc>
        <w:tc>
          <w:tcPr>
            <w:tcW w:w="2610" w:type="dxa"/>
          </w:tcPr>
          <w:p w:rsidR="007D0765" w:rsidRPr="00D547A9" w:rsidRDefault="007D0765" w:rsidP="00D0037C">
            <w:pPr>
              <w:jc w:val="both"/>
              <w:rPr>
                <w:rFonts w:eastAsia="SimSun"/>
                <w:b/>
              </w:rPr>
            </w:pPr>
            <w:r w:rsidRPr="00D547A9">
              <w:rPr>
                <w:rFonts w:eastAsia="SimSun"/>
                <w:b/>
              </w:rPr>
              <w:t>Information</w:t>
            </w:r>
          </w:p>
        </w:tc>
        <w:tc>
          <w:tcPr>
            <w:tcW w:w="5688" w:type="dxa"/>
          </w:tcPr>
          <w:p w:rsidR="007D0765" w:rsidRPr="00D547A9" w:rsidRDefault="007D0765" w:rsidP="00D0037C">
            <w:pPr>
              <w:jc w:val="both"/>
              <w:rPr>
                <w:rFonts w:eastAsia="SimSun"/>
                <w:b/>
              </w:rPr>
            </w:pPr>
            <w:r w:rsidRPr="00D547A9">
              <w:rPr>
                <w:rFonts w:eastAsia="SimSun"/>
                <w:b/>
              </w:rPr>
              <w:t>Notes</w:t>
            </w:r>
          </w:p>
        </w:tc>
      </w:tr>
      <w:tr w:rsidR="007D0765" w:rsidRPr="00066F65" w:rsidTr="00D0037C">
        <w:tc>
          <w:tcPr>
            <w:tcW w:w="1278" w:type="dxa"/>
          </w:tcPr>
          <w:p w:rsidR="007D0765" w:rsidRPr="00066F65" w:rsidRDefault="00D53C38"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c>
          <w:tcPr>
            <w:tcW w:w="1278" w:type="dxa"/>
          </w:tcPr>
          <w:p w:rsidR="00746EA0" w:rsidRPr="00066F65" w:rsidRDefault="00D53C38"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bl>
    <w:p w:rsidR="007D0765" w:rsidRPr="008D3815" w:rsidRDefault="007D0765" w:rsidP="007D0765">
      <w:pPr>
        <w:jc w:val="both"/>
      </w:pPr>
    </w:p>
    <w:p w:rsidR="007D0765" w:rsidRPr="008D3815" w:rsidRDefault="007D0765" w:rsidP="003701DB">
      <w:pPr>
        <w:pStyle w:val="Heading4"/>
        <w:numPr>
          <w:ilvl w:val="3"/>
          <w:numId w:val="199"/>
        </w:numPr>
      </w:pPr>
      <w:bookmarkStart w:id="310" w:name="_Ref243797495"/>
      <w:bookmarkStart w:id="311" w:name="_Toc259716899"/>
      <w:r w:rsidRPr="008D3815">
        <w:t>Probe Response frame format</w:t>
      </w:r>
      <w:bookmarkEnd w:id="310"/>
      <w:bookmarkEnd w:id="311"/>
    </w:p>
    <w:p w:rsidR="007D0765" w:rsidRPr="008D3815" w:rsidRDefault="007D0765" w:rsidP="007D0765">
      <w:pPr>
        <w:jc w:val="both"/>
        <w:outlineLvl w:val="0"/>
        <w:rPr>
          <w:i/>
        </w:rPr>
      </w:pPr>
      <w:r w:rsidRPr="008D3815">
        <w:rPr>
          <w:i/>
        </w:rPr>
        <w:t>.11 editor Note: Insert the following row in Table 7-15 “Probe Response Frame Body”, renumbering as appropriate</w:t>
      </w:r>
    </w:p>
    <w:p w:rsidR="007D0765" w:rsidRPr="008D3815"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2610"/>
        <w:gridCol w:w="5688"/>
      </w:tblGrid>
      <w:tr w:rsidR="007D0765" w:rsidRPr="00066F65" w:rsidTr="006A050E">
        <w:tc>
          <w:tcPr>
            <w:tcW w:w="1487" w:type="dxa"/>
          </w:tcPr>
          <w:p w:rsidR="007D0765" w:rsidRPr="008D3815" w:rsidRDefault="007D0765" w:rsidP="00D0037C">
            <w:pPr>
              <w:jc w:val="both"/>
              <w:rPr>
                <w:rFonts w:eastAsia="SimSun"/>
                <w:b/>
              </w:rPr>
            </w:pPr>
            <w:r w:rsidRPr="008D3815">
              <w:rPr>
                <w:rFonts w:eastAsia="SimSun"/>
                <w:b/>
              </w:rPr>
              <w:t>Order</w:t>
            </w:r>
          </w:p>
        </w:tc>
        <w:tc>
          <w:tcPr>
            <w:tcW w:w="2610" w:type="dxa"/>
          </w:tcPr>
          <w:p w:rsidR="007D0765" w:rsidRPr="008D3815" w:rsidRDefault="007D0765" w:rsidP="00D0037C">
            <w:pPr>
              <w:jc w:val="both"/>
              <w:rPr>
                <w:rFonts w:eastAsia="SimSun"/>
                <w:b/>
              </w:rPr>
            </w:pPr>
            <w:r w:rsidRPr="008D3815">
              <w:rPr>
                <w:rFonts w:eastAsia="SimSun"/>
                <w:b/>
              </w:rPr>
              <w:t>Information</w:t>
            </w:r>
          </w:p>
        </w:tc>
        <w:tc>
          <w:tcPr>
            <w:tcW w:w="5688" w:type="dxa"/>
          </w:tcPr>
          <w:p w:rsidR="007D0765" w:rsidRPr="008D3815" w:rsidRDefault="007D0765" w:rsidP="00D0037C">
            <w:pPr>
              <w:jc w:val="both"/>
              <w:rPr>
                <w:rFonts w:eastAsia="SimSun"/>
                <w:b/>
              </w:rPr>
            </w:pPr>
            <w:r w:rsidRPr="008D3815">
              <w:rPr>
                <w:rFonts w:eastAsia="SimSun"/>
                <w:b/>
              </w:rPr>
              <w:t>Notes</w:t>
            </w:r>
          </w:p>
        </w:tc>
      </w:tr>
      <w:tr w:rsidR="007D0765" w:rsidRPr="00066F65" w:rsidTr="006A050E">
        <w:tc>
          <w:tcPr>
            <w:tcW w:w="1487" w:type="dxa"/>
          </w:tcPr>
          <w:p w:rsidR="007D0765" w:rsidRPr="00066F65" w:rsidRDefault="00D53C38"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6A050E">
        <w:tc>
          <w:tcPr>
            <w:tcW w:w="1487" w:type="dxa"/>
          </w:tcPr>
          <w:p w:rsidR="00746EA0" w:rsidRPr="00066F65" w:rsidRDefault="00D53C38"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r w:rsidR="006A050E" w:rsidRPr="00066F65" w:rsidTr="006A050E">
        <w:tc>
          <w:tcPr>
            <w:tcW w:w="1487" w:type="dxa"/>
          </w:tcPr>
          <w:p w:rsidR="006A050E" w:rsidRPr="00066F65" w:rsidRDefault="006A050E" w:rsidP="00D0037C">
            <w:pPr>
              <w:jc w:val="center"/>
              <w:rPr>
                <w:rFonts w:eastAsia="SimSun"/>
                <w:u w:val="single"/>
              </w:rPr>
            </w:pPr>
            <w:r w:rsidRPr="00066F65">
              <w:rPr>
                <w:rFonts w:eastAsia="SimSun"/>
                <w:u w:val="single"/>
              </w:rPr>
              <w:t>&lt;ANA&gt;</w:t>
            </w:r>
          </w:p>
        </w:tc>
        <w:tc>
          <w:tcPr>
            <w:tcW w:w="2610" w:type="dxa"/>
          </w:tcPr>
          <w:p w:rsidR="006A050E" w:rsidRPr="00066F65" w:rsidRDefault="006A050E" w:rsidP="00D0037C">
            <w:pPr>
              <w:jc w:val="both"/>
              <w:rPr>
                <w:rFonts w:eastAsia="SimSun"/>
                <w:u w:val="single"/>
              </w:rPr>
            </w:pPr>
            <w:r w:rsidRPr="00066F65">
              <w:rPr>
                <w:rFonts w:eastAsia="SimSun"/>
                <w:u w:val="single"/>
              </w:rPr>
              <w:t>mmWave Operation</w:t>
            </w:r>
          </w:p>
        </w:tc>
        <w:tc>
          <w:tcPr>
            <w:tcW w:w="5688" w:type="dxa"/>
          </w:tcPr>
          <w:p w:rsidR="006A050E" w:rsidRPr="00066F65" w:rsidRDefault="006A050E" w:rsidP="006A050E">
            <w:pPr>
              <w:jc w:val="both"/>
              <w:rPr>
                <w:rFonts w:eastAsia="SimSun"/>
                <w:u w:val="single"/>
              </w:rPr>
            </w:pPr>
            <w:r w:rsidRPr="00066F65">
              <w:rPr>
                <w:rFonts w:eastAsia="SimSun"/>
                <w:u w:val="single"/>
              </w:rPr>
              <w:t xml:space="preserve">The mmWave Operation element is present when dot11MmWaveCapable is set to TRUE. </w:t>
            </w:r>
          </w:p>
        </w:tc>
      </w:tr>
    </w:tbl>
    <w:p w:rsidR="007D0765" w:rsidRPr="008D3815" w:rsidRDefault="007D0765" w:rsidP="007D0765">
      <w:pPr>
        <w:jc w:val="both"/>
      </w:pPr>
    </w:p>
    <w:p w:rsidR="008C36FC" w:rsidRPr="008D3815" w:rsidRDefault="00CC4D8C" w:rsidP="0004091F">
      <w:pPr>
        <w:rPr>
          <w:i/>
        </w:rPr>
      </w:pPr>
      <w:r w:rsidRPr="008D3815">
        <w:rPr>
          <w:i/>
        </w:rPr>
        <w:t xml:space="preserve">.11 Editor Note: </w:t>
      </w:r>
      <w:r w:rsidR="008C36FC" w:rsidRPr="008D3815">
        <w:rPr>
          <w:i/>
        </w:rPr>
        <w:t>Insert the following after section 7.2.3:</w:t>
      </w:r>
    </w:p>
    <w:p w:rsidR="008C36FC" w:rsidRPr="008D3815" w:rsidRDefault="008C36FC" w:rsidP="003701DB">
      <w:pPr>
        <w:pStyle w:val="Heading3"/>
        <w:numPr>
          <w:ilvl w:val="2"/>
          <w:numId w:val="55"/>
        </w:numPr>
      </w:pPr>
      <w:bookmarkStart w:id="312" w:name="_Toc235400237"/>
      <w:bookmarkStart w:id="313" w:name="_Toc259716900"/>
      <w:r w:rsidRPr="008D3815">
        <w:t>Extension frames</w:t>
      </w:r>
      <w:bookmarkEnd w:id="312"/>
      <w:bookmarkEnd w:id="313"/>
    </w:p>
    <w:p w:rsidR="008C36FC" w:rsidRPr="008D3815" w:rsidRDefault="008C36FC" w:rsidP="0004091F"/>
    <w:p w:rsidR="008C36FC" w:rsidRPr="008D3815" w:rsidRDefault="00397C10" w:rsidP="003701DB">
      <w:pPr>
        <w:pStyle w:val="Heading4"/>
        <w:numPr>
          <w:ilvl w:val="3"/>
          <w:numId w:val="55"/>
        </w:numPr>
      </w:pPr>
      <w:bookmarkStart w:id="314" w:name="_Ref236726090"/>
      <w:bookmarkStart w:id="315" w:name="_Ref236726154"/>
      <w:bookmarkStart w:id="316" w:name="_Ref236726938"/>
      <w:bookmarkStart w:id="317" w:name="_Ref236727202"/>
      <w:bookmarkStart w:id="318" w:name="_Ref236727590"/>
      <w:bookmarkStart w:id="319" w:name="_Toc259716901"/>
      <w:r w:rsidRPr="008D3815">
        <w:t>mmWave</w:t>
      </w:r>
      <w:r w:rsidR="00604B66" w:rsidRPr="008D3815">
        <w:t xml:space="preserve"> Beacon</w:t>
      </w:r>
      <w:bookmarkEnd w:id="314"/>
      <w:bookmarkEnd w:id="315"/>
      <w:bookmarkEnd w:id="316"/>
      <w:bookmarkEnd w:id="317"/>
      <w:bookmarkEnd w:id="318"/>
      <w:bookmarkEnd w:id="319"/>
    </w:p>
    <w:p w:rsidR="008C36FC" w:rsidRPr="008D3815" w:rsidRDefault="008C36FC" w:rsidP="00231513">
      <w:r w:rsidRPr="008D3815">
        <w:t xml:space="preserve">The format of the </w:t>
      </w:r>
      <w:r w:rsidR="00397C10" w:rsidRPr="008D3815">
        <w:t>mmWave</w:t>
      </w:r>
      <w:r w:rsidR="00E07554" w:rsidRPr="008D3815">
        <w:t xml:space="preserve"> </w:t>
      </w:r>
      <w:r w:rsidR="00604B66" w:rsidRPr="008D3815">
        <w:t xml:space="preserve">Beacon </w:t>
      </w:r>
      <w:r w:rsidRPr="008D3815">
        <w:t xml:space="preserve">is shown in </w:t>
      </w:r>
      <w:fldSimple w:instr=" REF _Ref214848275 \h  \* MERGEFORMAT ">
        <w:r w:rsidR="003E4210" w:rsidRPr="003E4210">
          <w:t>Figure 13</w:t>
        </w:r>
      </w:fldSimple>
      <w:r w:rsidRPr="008D3815">
        <w:t>.</w:t>
      </w:r>
    </w:p>
    <w:p w:rsidR="008C36FC" w:rsidRPr="008D3815" w:rsidRDefault="008C36FC" w:rsidP="0004091F"/>
    <w:p w:rsidR="008C36FC" w:rsidRPr="008D3815" w:rsidRDefault="008C36FC" w:rsidP="00533BE7">
      <w:r w:rsidRPr="008D3815">
        <w:t xml:space="preserve">In addition to its function as a Beacon, the </w:t>
      </w:r>
      <w:r w:rsidR="00533BE7" w:rsidRPr="008D3815">
        <w:t xml:space="preserve">mmWave Beacon </w:t>
      </w:r>
      <w:r w:rsidRPr="008D3815">
        <w:t>frame may also be used as training frame for beamforming</w:t>
      </w:r>
      <w:r w:rsidR="00084976" w:rsidRPr="008D3815">
        <w:t xml:space="preserve"> (</w:t>
      </w:r>
      <w:r w:rsidR="00BD151C">
        <w:fldChar w:fldCharType="begin"/>
      </w:r>
      <w:r w:rsidR="00D844F6">
        <w:instrText xml:space="preserve"> REF _Ref244077085 \r \h </w:instrText>
      </w:r>
      <w:r w:rsidR="00BD151C">
        <w:fldChar w:fldCharType="separate"/>
      </w:r>
      <w:r w:rsidR="003E4210">
        <w:t>9.25</w:t>
      </w:r>
      <w:r w:rsidR="00BD151C">
        <w:fldChar w:fldCharType="end"/>
      </w:r>
      <w:r w:rsidR="00084976" w:rsidRPr="008D3815">
        <w:t>)</w:t>
      </w:r>
      <w:r w:rsidR="00655EA4" w:rsidRPr="008D3815">
        <w:t>.</w:t>
      </w:r>
    </w:p>
    <w:p w:rsidR="008C36FC" w:rsidRPr="008D3815"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623"/>
        <w:gridCol w:w="1070"/>
        <w:gridCol w:w="550"/>
        <w:gridCol w:w="1043"/>
        <w:gridCol w:w="644"/>
      </w:tblGrid>
      <w:tr w:rsidR="00D0037C" w:rsidRPr="00066F65" w:rsidTr="00D0037C">
        <w:trPr>
          <w:jc w:val="center"/>
        </w:trPr>
        <w:tc>
          <w:tcPr>
            <w:tcW w:w="0" w:type="auto"/>
            <w:tcBorders>
              <w:top w:val="nil"/>
              <w:left w:val="nil"/>
              <w:bottom w:val="nil"/>
              <w:right w:val="nil"/>
            </w:tcBorders>
          </w:tcPr>
          <w:p w:rsidR="00096039" w:rsidRPr="008D3815" w:rsidRDefault="00096039" w:rsidP="00D0037C">
            <w:pPr>
              <w:jc w:val="both"/>
              <w:rPr>
                <w:rFonts w:eastAsia="SimSun"/>
              </w:rPr>
            </w:pPr>
            <w:r w:rsidRPr="008D3815">
              <w:rPr>
                <w:rFonts w:eastAsia="SimSun"/>
              </w:rPr>
              <w:t>Octets:</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2</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2</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6</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Variable</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4</w:t>
            </w:r>
          </w:p>
        </w:tc>
      </w:tr>
      <w:tr w:rsidR="00D0037C" w:rsidRPr="00066F65" w:rsidTr="00D0037C">
        <w:trPr>
          <w:jc w:val="center"/>
        </w:trPr>
        <w:tc>
          <w:tcPr>
            <w:tcW w:w="0" w:type="auto"/>
            <w:tcBorders>
              <w:top w:val="nil"/>
              <w:left w:val="nil"/>
              <w:bottom w:val="nil"/>
            </w:tcBorders>
          </w:tcPr>
          <w:p w:rsidR="00096039" w:rsidRPr="008D3815" w:rsidRDefault="00096039" w:rsidP="00D0037C">
            <w:pPr>
              <w:jc w:val="both"/>
              <w:rPr>
                <w:rFonts w:eastAsia="SimSun"/>
              </w:rPr>
            </w:pPr>
          </w:p>
        </w:tc>
        <w:tc>
          <w:tcPr>
            <w:tcW w:w="0" w:type="auto"/>
          </w:tcPr>
          <w:p w:rsidR="00096039" w:rsidRPr="008D3815" w:rsidRDefault="00096039" w:rsidP="00D0037C">
            <w:pPr>
              <w:spacing w:before="120" w:after="120"/>
              <w:jc w:val="center"/>
              <w:rPr>
                <w:rFonts w:eastAsia="SimSun"/>
              </w:rPr>
            </w:pPr>
            <w:r w:rsidRPr="008D3815">
              <w:rPr>
                <w:rFonts w:eastAsia="SimSun"/>
              </w:rPr>
              <w:t>Frame Control</w:t>
            </w:r>
          </w:p>
        </w:tc>
        <w:tc>
          <w:tcPr>
            <w:tcW w:w="0" w:type="auto"/>
          </w:tcPr>
          <w:p w:rsidR="00096039" w:rsidRPr="008D3815" w:rsidRDefault="00096039" w:rsidP="00D0037C">
            <w:pPr>
              <w:spacing w:before="120" w:after="120"/>
              <w:jc w:val="center"/>
              <w:rPr>
                <w:rFonts w:eastAsia="SimSun"/>
              </w:rPr>
            </w:pPr>
            <w:r w:rsidRPr="008D3815">
              <w:rPr>
                <w:rFonts w:eastAsia="SimSun"/>
              </w:rPr>
              <w:t>Duration</w:t>
            </w:r>
          </w:p>
        </w:tc>
        <w:tc>
          <w:tcPr>
            <w:tcW w:w="0" w:type="auto"/>
          </w:tcPr>
          <w:p w:rsidR="00096039" w:rsidRPr="008D3815" w:rsidRDefault="00096039" w:rsidP="00D0037C">
            <w:pPr>
              <w:spacing w:before="120" w:after="120"/>
              <w:jc w:val="center"/>
              <w:rPr>
                <w:rFonts w:eastAsia="SimSun"/>
              </w:rPr>
            </w:pPr>
            <w:r w:rsidRPr="008D3815">
              <w:rPr>
                <w:rFonts w:eastAsia="SimSun"/>
              </w:rPr>
              <w:t>RA</w:t>
            </w:r>
          </w:p>
        </w:tc>
        <w:tc>
          <w:tcPr>
            <w:tcW w:w="0" w:type="auto"/>
          </w:tcPr>
          <w:p w:rsidR="00096039" w:rsidRPr="008D3815" w:rsidRDefault="00096039" w:rsidP="00D0037C">
            <w:pPr>
              <w:spacing w:before="120" w:after="120"/>
              <w:jc w:val="center"/>
              <w:rPr>
                <w:rFonts w:eastAsia="SimSun"/>
              </w:rPr>
            </w:pPr>
            <w:r w:rsidRPr="008D3815">
              <w:rPr>
                <w:rFonts w:eastAsia="SimSun"/>
              </w:rPr>
              <w:t>Body</w:t>
            </w:r>
          </w:p>
        </w:tc>
        <w:tc>
          <w:tcPr>
            <w:tcW w:w="0" w:type="auto"/>
          </w:tcPr>
          <w:p w:rsidR="00096039" w:rsidRPr="008D3815" w:rsidRDefault="00096039" w:rsidP="00D0037C">
            <w:pPr>
              <w:spacing w:before="120" w:after="120"/>
              <w:jc w:val="center"/>
              <w:rPr>
                <w:rFonts w:eastAsia="SimSun"/>
              </w:rPr>
            </w:pPr>
            <w:r w:rsidRPr="008D3815">
              <w:rPr>
                <w:rFonts w:eastAsia="SimSun"/>
              </w:rPr>
              <w:t>FCS</w:t>
            </w:r>
          </w:p>
        </w:tc>
      </w:tr>
    </w:tbl>
    <w:p w:rsidR="008C36FC" w:rsidRPr="00066F65" w:rsidRDefault="008C36FC" w:rsidP="00BA5BC4">
      <w:pPr>
        <w:pStyle w:val="Caption"/>
        <w:rPr>
          <w:lang w:val="fr-FR"/>
        </w:rPr>
      </w:pPr>
      <w:bookmarkStart w:id="320" w:name="_Ref214848275"/>
      <w:bookmarkStart w:id="321" w:name="_Ref214848271"/>
      <w:bookmarkStart w:id="322" w:name="_Toc259717445"/>
      <w:r w:rsidRPr="00066F65">
        <w:rPr>
          <w:lang w:val="fr-FR"/>
        </w:rPr>
        <w:t xml:space="preserve">Figure </w:t>
      </w:r>
      <w:r w:rsidR="00BD151C" w:rsidRPr="00066F65">
        <w:fldChar w:fldCharType="begin"/>
      </w:r>
      <w:r w:rsidRPr="00066F65">
        <w:rPr>
          <w:lang w:val="fr-FR"/>
        </w:rPr>
        <w:instrText xml:space="preserve"> SEQ Figure \* ARABIC </w:instrText>
      </w:r>
      <w:r w:rsidR="00BD151C" w:rsidRPr="00066F65">
        <w:fldChar w:fldCharType="separate"/>
      </w:r>
      <w:r w:rsidR="003E4210">
        <w:rPr>
          <w:noProof/>
          <w:lang w:val="fr-FR"/>
        </w:rPr>
        <w:t>13</w:t>
      </w:r>
      <w:r w:rsidR="00BD151C" w:rsidRPr="00066F65">
        <w:fldChar w:fldCharType="end"/>
      </w:r>
      <w:bookmarkEnd w:id="320"/>
      <w:r w:rsidRPr="00066F65">
        <w:rPr>
          <w:noProof/>
          <w:lang w:val="fr-FR"/>
        </w:rPr>
        <w:t xml:space="preserve"> </w:t>
      </w:r>
      <w:r w:rsidR="00CA5C16" w:rsidRPr="00066F65">
        <w:rPr>
          <w:noProof/>
          <w:lang w:val="fr-FR"/>
        </w:rPr>
        <w:t xml:space="preserve">– </w:t>
      </w:r>
      <w:r w:rsidR="00397C10" w:rsidRPr="00066F65">
        <w:rPr>
          <w:noProof/>
          <w:lang w:val="fr-FR"/>
        </w:rPr>
        <w:t>mmWave</w:t>
      </w:r>
      <w:r w:rsidR="00114176" w:rsidRPr="00066F65">
        <w:rPr>
          <w:noProof/>
          <w:lang w:val="fr-FR"/>
        </w:rPr>
        <w:t xml:space="preserve"> </w:t>
      </w:r>
      <w:r w:rsidR="00604B66" w:rsidRPr="00066F65">
        <w:rPr>
          <w:noProof/>
          <w:lang w:val="fr-FR"/>
        </w:rPr>
        <w:t>Beacon</w:t>
      </w:r>
      <w:r w:rsidR="00114176" w:rsidRPr="00066F65">
        <w:rPr>
          <w:noProof/>
          <w:lang w:val="fr-FR"/>
        </w:rPr>
        <w:t xml:space="preserve"> </w:t>
      </w:r>
      <w:r w:rsidRPr="00066F65">
        <w:rPr>
          <w:noProof/>
          <w:lang w:val="fr-FR"/>
        </w:rPr>
        <w:t>frame format</w:t>
      </w:r>
      <w:bookmarkEnd w:id="321"/>
      <w:bookmarkEnd w:id="322"/>
    </w:p>
    <w:p w:rsidR="008C36FC" w:rsidRPr="008D3815" w:rsidRDefault="008C36FC" w:rsidP="0004091F">
      <w:pPr>
        <w:rPr>
          <w:lang w:val="fr-FR"/>
        </w:rPr>
      </w:pPr>
    </w:p>
    <w:p w:rsidR="00231513" w:rsidRPr="008D3815" w:rsidRDefault="00231513" w:rsidP="00231513">
      <w:r w:rsidRPr="008D3815">
        <w:t xml:space="preserve">The Duration field is set to the time remaining until the end of the BT. </w:t>
      </w:r>
    </w:p>
    <w:p w:rsidR="00231513" w:rsidRPr="008D3815" w:rsidRDefault="00231513" w:rsidP="0004091F"/>
    <w:p w:rsidR="008C36FC" w:rsidRPr="008D3815" w:rsidRDefault="008C36FC" w:rsidP="0004091F">
      <w:r w:rsidRPr="008D3815">
        <w:t>The RA field contains the BSSID.</w:t>
      </w:r>
    </w:p>
    <w:p w:rsidR="00E647BF" w:rsidRPr="008D3815" w:rsidRDefault="00E647BF" w:rsidP="0004091F"/>
    <w:p w:rsidR="008C36FC" w:rsidRPr="008D3815" w:rsidRDefault="008C36FC" w:rsidP="00114176">
      <w:r w:rsidRPr="008D3815">
        <w:t xml:space="preserve">The body of the </w:t>
      </w:r>
      <w:r w:rsidR="00397C10" w:rsidRPr="008D3815">
        <w:t>mmWave</w:t>
      </w:r>
      <w:r w:rsidR="00114176" w:rsidRPr="008D3815">
        <w:t xml:space="preserve"> </w:t>
      </w:r>
      <w:r w:rsidR="00604B66" w:rsidRPr="008D3815">
        <w:t>Beacon</w:t>
      </w:r>
      <w:r w:rsidR="00114176" w:rsidRPr="008D3815">
        <w:t xml:space="preserve"> </w:t>
      </w:r>
      <w:r w:rsidRPr="008D3815">
        <w:t xml:space="preserve">frame contains the elements listed in </w:t>
      </w:r>
      <w:fldSimple w:instr=" REF _Ref214848361 \h  \* MERGEFORMAT ">
        <w:r w:rsidR="003E4210" w:rsidRPr="008D3815">
          <w:t xml:space="preserve">Table </w:t>
        </w:r>
        <w:r w:rsidR="003E4210">
          <w:t>3</w:t>
        </w:r>
      </w:fldSimple>
      <w:r w:rsidRPr="008D3815">
        <w:t>.</w:t>
      </w:r>
    </w:p>
    <w:p w:rsidR="008C36FC" w:rsidRPr="008D3815" w:rsidRDefault="008C36FC" w:rsidP="0004091F"/>
    <w:p w:rsidR="008C36FC" w:rsidRPr="008D3815" w:rsidRDefault="008C36FC" w:rsidP="00CF3DF8">
      <w:pPr>
        <w:pStyle w:val="Caption"/>
        <w:keepNext/>
      </w:pPr>
      <w:bookmarkStart w:id="323" w:name="_Ref214848361"/>
      <w:bookmarkStart w:id="324" w:name="_Toc225065767"/>
      <w:bookmarkStart w:id="325" w:name="_Toc250654406"/>
      <w:bookmarkStart w:id="326" w:name="_Toc259717581"/>
      <w:r w:rsidRPr="008D3815">
        <w:t xml:space="preserve">Table </w:t>
      </w:r>
      <w:r w:rsidR="00BD151C">
        <w:fldChar w:fldCharType="begin"/>
      </w:r>
      <w:r w:rsidR="00801316">
        <w:instrText xml:space="preserve"> SEQ Table \* ARABIC </w:instrText>
      </w:r>
      <w:r w:rsidR="00BD151C">
        <w:fldChar w:fldCharType="separate"/>
      </w:r>
      <w:r w:rsidR="003E4210">
        <w:rPr>
          <w:noProof/>
        </w:rPr>
        <w:t>3</w:t>
      </w:r>
      <w:r w:rsidR="00BD151C">
        <w:fldChar w:fldCharType="end"/>
      </w:r>
      <w:bookmarkEnd w:id="323"/>
      <w:r w:rsidRPr="008D3815">
        <w:t xml:space="preserve"> </w:t>
      </w:r>
      <w:r w:rsidR="00B85DC9" w:rsidRPr="008D3815">
        <w:t xml:space="preserve">– </w:t>
      </w:r>
      <w:r w:rsidR="00397C10" w:rsidRPr="008D3815">
        <w:t>mmWave</w:t>
      </w:r>
      <w:r w:rsidR="00121BB4" w:rsidRPr="008D3815">
        <w:t xml:space="preserve"> </w:t>
      </w:r>
      <w:r w:rsidR="00604B66" w:rsidRPr="008D3815">
        <w:t>Beacon</w:t>
      </w:r>
      <w:r w:rsidR="00121BB4" w:rsidRPr="008D3815">
        <w:t xml:space="preserve"> </w:t>
      </w:r>
      <w:r w:rsidRPr="008D3815">
        <w:t>frame body</w:t>
      </w:r>
      <w:bookmarkEnd w:id="324"/>
      <w:bookmarkEnd w:id="325"/>
      <w:bookmarkEnd w:id="3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6"/>
        <w:gridCol w:w="4469"/>
        <w:gridCol w:w="4781"/>
      </w:tblGrid>
      <w:tr w:rsidR="008C36FC" w:rsidRPr="008D3815" w:rsidTr="003C4898">
        <w:tc>
          <w:tcPr>
            <w:tcW w:w="0" w:type="auto"/>
          </w:tcPr>
          <w:p w:rsidR="008C36FC" w:rsidRPr="008D3815" w:rsidRDefault="008C36FC" w:rsidP="00D0037C">
            <w:pPr>
              <w:jc w:val="both"/>
              <w:rPr>
                <w:rFonts w:eastAsia="SimSun"/>
                <w:b/>
              </w:rPr>
            </w:pPr>
            <w:r w:rsidRPr="008D3815">
              <w:rPr>
                <w:rFonts w:eastAsia="SimSun"/>
                <w:b/>
              </w:rPr>
              <w:t>Order</w:t>
            </w:r>
          </w:p>
        </w:tc>
        <w:tc>
          <w:tcPr>
            <w:tcW w:w="0" w:type="auto"/>
          </w:tcPr>
          <w:p w:rsidR="008C36FC" w:rsidRPr="008D3815" w:rsidRDefault="008C36FC" w:rsidP="00D0037C">
            <w:pPr>
              <w:jc w:val="both"/>
              <w:rPr>
                <w:rFonts w:eastAsia="SimSun"/>
                <w:b/>
              </w:rPr>
            </w:pPr>
            <w:r w:rsidRPr="008D3815">
              <w:rPr>
                <w:rFonts w:eastAsia="SimSun"/>
                <w:b/>
              </w:rPr>
              <w:t>Information</w:t>
            </w:r>
          </w:p>
        </w:tc>
        <w:tc>
          <w:tcPr>
            <w:tcW w:w="0" w:type="auto"/>
          </w:tcPr>
          <w:p w:rsidR="008C36FC" w:rsidRPr="008D3815" w:rsidRDefault="008C36FC" w:rsidP="00D0037C">
            <w:pPr>
              <w:jc w:val="both"/>
              <w:rPr>
                <w:rFonts w:eastAsia="SimSun"/>
                <w:b/>
              </w:rPr>
            </w:pPr>
            <w:r w:rsidRPr="008D3815">
              <w:rPr>
                <w:rFonts w:eastAsia="SimSun"/>
                <w:b/>
              </w:rPr>
              <w:t>Notes</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1</w:t>
            </w:r>
          </w:p>
        </w:tc>
        <w:tc>
          <w:tcPr>
            <w:tcW w:w="0" w:type="auto"/>
          </w:tcPr>
          <w:p w:rsidR="00121BB4" w:rsidRPr="008D3815" w:rsidRDefault="00121BB4" w:rsidP="00D0037C">
            <w:pPr>
              <w:jc w:val="both"/>
              <w:rPr>
                <w:rFonts w:eastAsia="SimSun"/>
              </w:rPr>
            </w:pPr>
            <w:r w:rsidRPr="008D3815">
              <w:rPr>
                <w:rFonts w:eastAsia="SimSun"/>
              </w:rPr>
              <w:t>Sector sweep</w:t>
            </w:r>
          </w:p>
        </w:tc>
        <w:tc>
          <w:tcPr>
            <w:tcW w:w="0" w:type="auto"/>
          </w:tcPr>
          <w:p w:rsidR="00121BB4" w:rsidRPr="008D3815" w:rsidRDefault="00121BB4" w:rsidP="00BC5849">
            <w:pPr>
              <w:jc w:val="both"/>
              <w:rPr>
                <w:rFonts w:eastAsia="SimSun"/>
              </w:rPr>
            </w:pPr>
            <w:r w:rsidRPr="008D3815">
              <w:rPr>
                <w:rFonts w:eastAsia="SimSun"/>
              </w:rPr>
              <w:t xml:space="preserve">See </w:t>
            </w:r>
            <w:r w:rsidR="00BD151C">
              <w:fldChar w:fldCharType="begin"/>
            </w:r>
            <w:r w:rsidR="00BC5849">
              <w:instrText xml:space="preserve"> REF _Ref253745301 \h </w:instrText>
            </w:r>
            <w:r w:rsidR="00BD151C">
              <w:fldChar w:fldCharType="separate"/>
            </w:r>
            <w:r w:rsidR="003E4210">
              <w:t xml:space="preserve">7.3a.1 </w:t>
            </w:r>
            <w:r w:rsidR="003E4210" w:rsidRPr="00DF33B1">
              <w:t xml:space="preserve">Sector </w:t>
            </w:r>
            <w:r w:rsidR="003E4210">
              <w:t>S</w:t>
            </w:r>
            <w:r w:rsidR="003E4210" w:rsidRPr="00DF33B1">
              <w:t>weep field</w:t>
            </w:r>
            <w:r w:rsidR="00BD151C">
              <w:fldChar w:fldCharType="end"/>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2</w:t>
            </w:r>
          </w:p>
        </w:tc>
        <w:tc>
          <w:tcPr>
            <w:tcW w:w="0" w:type="auto"/>
          </w:tcPr>
          <w:p w:rsidR="00121BB4" w:rsidRPr="008D3815" w:rsidRDefault="00121BB4" w:rsidP="00D0037C">
            <w:pPr>
              <w:jc w:val="both"/>
              <w:rPr>
                <w:rFonts w:eastAsia="SimSun"/>
              </w:rPr>
            </w:pPr>
            <w:r w:rsidRPr="008D3815">
              <w:rPr>
                <w:rFonts w:eastAsia="SimSun"/>
              </w:rPr>
              <w:t>Timestamp</w:t>
            </w:r>
          </w:p>
        </w:tc>
        <w:tc>
          <w:tcPr>
            <w:tcW w:w="0" w:type="auto"/>
          </w:tcPr>
          <w:p w:rsidR="00121BB4" w:rsidRPr="008D3815" w:rsidRDefault="00121BB4" w:rsidP="008941FF">
            <w:pPr>
              <w:jc w:val="both"/>
              <w:rPr>
                <w:rFonts w:eastAsia="SimSun"/>
              </w:rPr>
            </w:pPr>
            <w:r w:rsidRPr="008D3815">
              <w:rPr>
                <w:rFonts w:eastAsia="SimSun"/>
              </w:rPr>
              <w:t>See</w:t>
            </w:r>
            <w:r w:rsidR="008941FF">
              <w:rPr>
                <w:rFonts w:eastAsia="SimSun"/>
              </w:rPr>
              <w:t xml:space="preserve"> </w:t>
            </w:r>
            <w:r w:rsidR="008941FF" w:rsidRPr="008941FF">
              <w:t>7.3.1.10</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lastRenderedPageBreak/>
              <w:t>3</w:t>
            </w:r>
          </w:p>
        </w:tc>
        <w:tc>
          <w:tcPr>
            <w:tcW w:w="0" w:type="auto"/>
          </w:tcPr>
          <w:p w:rsidR="00121BB4" w:rsidRPr="008D3815" w:rsidRDefault="00121BB4" w:rsidP="00D0037C">
            <w:pPr>
              <w:jc w:val="both"/>
              <w:rPr>
                <w:rFonts w:eastAsia="SimSun"/>
              </w:rPr>
            </w:pPr>
            <w:r w:rsidRPr="008D3815">
              <w:rPr>
                <w:rFonts w:eastAsia="SimSun"/>
              </w:rPr>
              <w:t>Beacon interval</w:t>
            </w:r>
          </w:p>
        </w:tc>
        <w:tc>
          <w:tcPr>
            <w:tcW w:w="0" w:type="auto"/>
          </w:tcPr>
          <w:p w:rsidR="00121BB4" w:rsidRPr="008D3815" w:rsidRDefault="00121BB4" w:rsidP="003B5932">
            <w:pPr>
              <w:rPr>
                <w:rFonts w:eastAsia="SimSun"/>
              </w:rPr>
            </w:pPr>
            <w:r w:rsidRPr="008D3815">
              <w:rPr>
                <w:rFonts w:eastAsia="SimSun"/>
              </w:rPr>
              <w:t xml:space="preserve">See </w:t>
            </w:r>
            <w:r w:rsidR="008941FF" w:rsidRPr="008941FF">
              <w:t>7.3.1.3</w:t>
            </w:r>
            <w:r w:rsidR="003B5932">
              <w:rPr>
                <w:rFonts w:eastAsia="SimSun"/>
              </w:rPr>
              <w:t xml:space="preserve"> </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4</w:t>
            </w:r>
          </w:p>
        </w:tc>
        <w:tc>
          <w:tcPr>
            <w:tcW w:w="0" w:type="auto"/>
          </w:tcPr>
          <w:p w:rsidR="00121BB4" w:rsidRPr="008D3815" w:rsidRDefault="00121BB4" w:rsidP="00D0037C">
            <w:pPr>
              <w:jc w:val="both"/>
              <w:rPr>
                <w:rFonts w:eastAsia="SimSun"/>
              </w:rPr>
            </w:pPr>
            <w:r w:rsidRPr="008D3815">
              <w:rPr>
                <w:rFonts w:eastAsia="SimSun"/>
              </w:rPr>
              <w:t>Beacon Interval Control</w:t>
            </w:r>
          </w:p>
        </w:tc>
        <w:tc>
          <w:tcPr>
            <w:tcW w:w="0" w:type="auto"/>
          </w:tcPr>
          <w:p w:rsidR="00121BB4" w:rsidRPr="008D3815" w:rsidRDefault="003D5C16" w:rsidP="00D0037C">
            <w:pPr>
              <w:jc w:val="both"/>
              <w:rPr>
                <w:rFonts w:eastAsia="SimSun"/>
              </w:rPr>
            </w:pPr>
            <w:r w:rsidRPr="008D3815">
              <w:rPr>
                <w:rFonts w:eastAsia="SimSun"/>
              </w:rPr>
              <w:t>See below</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5</w:t>
            </w:r>
          </w:p>
        </w:tc>
        <w:tc>
          <w:tcPr>
            <w:tcW w:w="0" w:type="auto"/>
          </w:tcPr>
          <w:p w:rsidR="00121BB4" w:rsidRPr="008D3815" w:rsidRDefault="00121BB4" w:rsidP="0095695F">
            <w:pPr>
              <w:rPr>
                <w:rFonts w:eastAsia="SimSun"/>
              </w:rPr>
            </w:pPr>
            <w:r w:rsidRPr="008D3815">
              <w:rPr>
                <w:rFonts w:eastAsia="SimSun"/>
              </w:rPr>
              <w:t xml:space="preserve">mmWave Capability </w:t>
            </w:r>
          </w:p>
        </w:tc>
        <w:tc>
          <w:tcPr>
            <w:tcW w:w="0" w:type="auto"/>
          </w:tcPr>
          <w:p w:rsidR="00121BB4" w:rsidRPr="008D3815" w:rsidRDefault="003D5C16" w:rsidP="00D0037C">
            <w:pPr>
              <w:jc w:val="both"/>
              <w:rPr>
                <w:rFonts w:eastAsia="SimSun"/>
              </w:rPr>
            </w:pPr>
            <w:r w:rsidRPr="008D3815">
              <w:rPr>
                <w:rFonts w:eastAsia="SimSun"/>
              </w:rPr>
              <w:t>See below</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6</w:t>
            </w:r>
          </w:p>
        </w:tc>
        <w:tc>
          <w:tcPr>
            <w:tcW w:w="0" w:type="auto"/>
          </w:tcPr>
          <w:p w:rsidR="00121BB4" w:rsidRPr="008D3815" w:rsidRDefault="00121BB4" w:rsidP="00034F7B">
            <w:pPr>
              <w:rPr>
                <w:rFonts w:eastAsia="SimSun"/>
              </w:rPr>
            </w:pPr>
            <w:r w:rsidRPr="008D3815">
              <w:rPr>
                <w:rFonts w:eastAsia="SimSun"/>
              </w:rPr>
              <w:t>PCP/AP Clustering Control</w:t>
            </w:r>
          </w:p>
        </w:tc>
        <w:tc>
          <w:tcPr>
            <w:tcW w:w="0" w:type="auto"/>
          </w:tcPr>
          <w:p w:rsidR="00121BB4" w:rsidRPr="008D3815" w:rsidRDefault="00030B67" w:rsidP="00503C6C">
            <w:pPr>
              <w:jc w:val="both"/>
              <w:rPr>
                <w:rFonts w:eastAsia="SimSun"/>
              </w:rPr>
            </w:pPr>
            <w:r w:rsidRPr="008D3815">
              <w:rPr>
                <w:rFonts w:eastAsia="SimSun"/>
              </w:rPr>
              <w:t>O</w:t>
            </w:r>
            <w:r w:rsidR="00503C6C">
              <w:rPr>
                <w:rFonts w:eastAsia="SimSun"/>
              </w:rPr>
              <w:t>ptional (s</w:t>
            </w:r>
            <w:r w:rsidR="003D5C16" w:rsidRPr="008D3815">
              <w:rPr>
                <w:rFonts w:eastAsia="SimSun"/>
              </w:rPr>
              <w:t>ee below</w:t>
            </w:r>
            <w:r w:rsidR="00503C6C">
              <w:rPr>
                <w:rFonts w:eastAsia="SimSun"/>
              </w:rPr>
              <w:t>)</w:t>
            </w:r>
          </w:p>
        </w:tc>
      </w:tr>
      <w:tr w:rsidR="003D5C16" w:rsidRPr="008D3815" w:rsidTr="003C4898">
        <w:tc>
          <w:tcPr>
            <w:tcW w:w="0" w:type="auto"/>
          </w:tcPr>
          <w:p w:rsidR="003D5C16" w:rsidRPr="008D3815" w:rsidRDefault="00503C6C" w:rsidP="003D5C16">
            <w:pPr>
              <w:jc w:val="center"/>
              <w:rPr>
                <w:rFonts w:eastAsia="SimSun"/>
              </w:rPr>
            </w:pPr>
            <w:r>
              <w:rPr>
                <w:rFonts w:eastAsia="SimSun"/>
              </w:rPr>
              <w:t>7</w:t>
            </w:r>
          </w:p>
        </w:tc>
        <w:tc>
          <w:tcPr>
            <w:tcW w:w="0" w:type="auto"/>
          </w:tcPr>
          <w:p w:rsidR="003D5C16" w:rsidRPr="008D3815" w:rsidRDefault="003D5C16" w:rsidP="00D0037C">
            <w:pPr>
              <w:jc w:val="both"/>
              <w:rPr>
                <w:rFonts w:eastAsia="SimSun"/>
              </w:rPr>
            </w:pPr>
            <w:r w:rsidRPr="008D3815">
              <w:rPr>
                <w:rFonts w:eastAsia="SimSun"/>
              </w:rPr>
              <w:t>RSN</w:t>
            </w:r>
          </w:p>
        </w:tc>
        <w:tc>
          <w:tcPr>
            <w:tcW w:w="0" w:type="auto"/>
          </w:tcPr>
          <w:p w:rsidR="003D5C16" w:rsidRPr="008D3815" w:rsidRDefault="003D5C16" w:rsidP="00D0037C">
            <w:pPr>
              <w:jc w:val="both"/>
              <w:rPr>
                <w:rFonts w:eastAsia="SimSun"/>
              </w:rPr>
            </w:pPr>
            <w:r w:rsidRPr="008D3815">
              <w:rPr>
                <w:rFonts w:eastAsia="SimSun"/>
              </w:rPr>
              <w:t xml:space="preserve">The RSN element is optionally present when dot11RSNAEnabled is set to TRUE. </w:t>
            </w:r>
          </w:p>
        </w:tc>
      </w:tr>
      <w:tr w:rsidR="003D5C16" w:rsidRPr="008D3815" w:rsidTr="003C4898">
        <w:tc>
          <w:tcPr>
            <w:tcW w:w="0" w:type="auto"/>
          </w:tcPr>
          <w:p w:rsidR="003D5C16" w:rsidRPr="008D3815" w:rsidRDefault="00503C6C" w:rsidP="003D5C16">
            <w:pPr>
              <w:jc w:val="center"/>
              <w:rPr>
                <w:rFonts w:eastAsia="SimSun"/>
              </w:rPr>
            </w:pPr>
            <w:r>
              <w:rPr>
                <w:rFonts w:eastAsia="SimSun"/>
              </w:rPr>
              <w:t>8</w:t>
            </w:r>
          </w:p>
        </w:tc>
        <w:tc>
          <w:tcPr>
            <w:tcW w:w="0" w:type="auto"/>
          </w:tcPr>
          <w:p w:rsidR="003D5C16" w:rsidRPr="008D3815" w:rsidRDefault="003D5C16" w:rsidP="00D0037C">
            <w:pPr>
              <w:jc w:val="both"/>
              <w:rPr>
                <w:rFonts w:eastAsia="SimSun"/>
              </w:rPr>
            </w:pPr>
            <w:r w:rsidRPr="008D3815">
              <w:rPr>
                <w:rFonts w:eastAsia="SimSun"/>
              </w:rPr>
              <w:t>Multiple BSSID</w:t>
            </w:r>
          </w:p>
        </w:tc>
        <w:tc>
          <w:tcPr>
            <w:tcW w:w="0" w:type="auto"/>
          </w:tcPr>
          <w:p w:rsidR="003D5C16" w:rsidRPr="008D3815" w:rsidRDefault="003D5C16" w:rsidP="003D5C16">
            <w:pPr>
              <w:jc w:val="both"/>
              <w:rPr>
                <w:rFonts w:eastAsia="SimSun"/>
              </w:rPr>
            </w:pPr>
            <w:r w:rsidRPr="008D3815">
              <w:rPr>
                <w:rFonts w:eastAsia="SimSun"/>
              </w:rPr>
              <w:t>One or more Multiple BSSID elements are optionally present if dot11MgmtOptionMultiBSSIDEnabled is set to TRUE.</w:t>
            </w:r>
          </w:p>
        </w:tc>
      </w:tr>
      <w:tr w:rsidR="00503C6C" w:rsidRPr="008D3815" w:rsidTr="003C4898">
        <w:tc>
          <w:tcPr>
            <w:tcW w:w="0" w:type="auto"/>
          </w:tcPr>
          <w:p w:rsidR="00503C6C" w:rsidRDefault="003C4898" w:rsidP="003C4898">
            <w:pPr>
              <w:jc w:val="center"/>
              <w:rPr>
                <w:rFonts w:eastAsia="SimSun"/>
              </w:rPr>
            </w:pPr>
            <w:r>
              <w:rPr>
                <w:rFonts w:eastAsia="SimSun"/>
              </w:rPr>
              <w:t>Last</w:t>
            </w:r>
            <w:r w:rsidR="00503C6C">
              <w:rPr>
                <w:rFonts w:eastAsia="SimSun"/>
              </w:rPr>
              <w:t xml:space="preserve"> </w:t>
            </w:r>
            <w:r>
              <w:rPr>
                <w:rFonts w:eastAsia="SimSun"/>
              </w:rPr>
              <w:t>-</w:t>
            </w:r>
            <w:r w:rsidR="00503C6C">
              <w:rPr>
                <w:rFonts w:eastAsia="SimSun"/>
              </w:rPr>
              <w:t xml:space="preserve"> 1</w:t>
            </w:r>
          </w:p>
        </w:tc>
        <w:tc>
          <w:tcPr>
            <w:tcW w:w="0" w:type="auto"/>
          </w:tcPr>
          <w:p w:rsidR="00503C6C" w:rsidRPr="008D3815" w:rsidRDefault="003C4898" w:rsidP="003C4898">
            <w:pPr>
              <w:jc w:val="both"/>
              <w:rPr>
                <w:rFonts w:eastAsia="SimSun"/>
              </w:rPr>
            </w:pPr>
            <w:r w:rsidRPr="00C3271C">
              <w:t xml:space="preserve">One or more </w:t>
            </w:r>
            <w:r w:rsidRPr="00D0037C">
              <w:rPr>
                <w:rFonts w:eastAsia="SimSun"/>
              </w:rPr>
              <w:t xml:space="preserve">resource and/or capability related </w:t>
            </w:r>
            <w:r w:rsidRPr="00C3271C">
              <w:t>information elements may appear in this frame. These information elements follow all other information elements that are not vendor-specific information elements and preced</w:t>
            </w:r>
            <w:r>
              <w:t>e</w:t>
            </w:r>
            <w:r w:rsidRPr="00C3271C">
              <w:t xml:space="preserve"> all other information elements that are vendor-specific information elements that are part of the Last field in the frame.</w:t>
            </w:r>
          </w:p>
        </w:tc>
        <w:tc>
          <w:tcPr>
            <w:tcW w:w="0" w:type="auto"/>
          </w:tcPr>
          <w:p w:rsidR="00503C6C" w:rsidRPr="008D3815" w:rsidRDefault="003C4898" w:rsidP="003D5C16">
            <w:pPr>
              <w:jc w:val="both"/>
              <w:rPr>
                <w:rFonts w:eastAsia="SimSun"/>
              </w:rPr>
            </w:pPr>
            <w:r>
              <w:rPr>
                <w:rFonts w:eastAsia="SimSun"/>
              </w:rPr>
              <w:t>Optional</w:t>
            </w:r>
          </w:p>
        </w:tc>
      </w:tr>
    </w:tbl>
    <w:p w:rsidR="008C36FC" w:rsidRPr="008D3815" w:rsidRDefault="0053357F" w:rsidP="0004091F">
      <w:r>
        <w:t xml:space="preserve"> </w:t>
      </w:r>
    </w:p>
    <w:p w:rsidR="0008174D" w:rsidRPr="008D3815" w:rsidRDefault="008C36FC" w:rsidP="00336281">
      <w:r w:rsidRPr="008D3815">
        <w:t>The format of the Beacon Interval Control field is shown in</w:t>
      </w:r>
      <w:r w:rsidR="00336281" w:rsidRPr="008D3815">
        <w:t xml:space="preserve"> </w:t>
      </w:r>
      <w:r w:rsidR="00BD151C" w:rsidRPr="008D3815">
        <w:fldChar w:fldCharType="begin"/>
      </w:r>
      <w:r w:rsidR="00336281" w:rsidRPr="008D3815">
        <w:instrText xml:space="preserve"> REF _Ref242671478 \h </w:instrText>
      </w:r>
      <w:r w:rsidR="00BD151C" w:rsidRPr="008D3815">
        <w:fldChar w:fldCharType="separate"/>
      </w:r>
      <w:r w:rsidR="003E4210" w:rsidRPr="008D3815">
        <w:t xml:space="preserve">Figure </w:t>
      </w:r>
      <w:r w:rsidR="003E4210">
        <w:rPr>
          <w:noProof/>
        </w:rPr>
        <w:t>14</w:t>
      </w:r>
      <w:r w:rsidR="00BD151C" w:rsidRPr="008D3815">
        <w:fldChar w:fldCharType="end"/>
      </w:r>
      <w:r w:rsidR="00336281" w:rsidRPr="008D3815">
        <w:t>.</w:t>
      </w:r>
    </w:p>
    <w:p w:rsidR="0008174D" w:rsidRPr="008D3815" w:rsidRDefault="0008174D"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910"/>
        <w:gridCol w:w="1582"/>
        <w:gridCol w:w="1365"/>
        <w:gridCol w:w="1134"/>
        <w:gridCol w:w="1124"/>
        <w:gridCol w:w="873"/>
        <w:gridCol w:w="1243"/>
      </w:tblGrid>
      <w:tr w:rsidR="00CE36B0" w:rsidRPr="008D3815" w:rsidTr="00AA2AB6">
        <w:trPr>
          <w:jc w:val="center"/>
        </w:trPr>
        <w:tc>
          <w:tcPr>
            <w:tcW w:w="670" w:type="dxa"/>
          </w:tcPr>
          <w:p w:rsidR="00CE36B0" w:rsidRPr="008D3815" w:rsidRDefault="00CE36B0" w:rsidP="00D0037C">
            <w:pPr>
              <w:jc w:val="both"/>
              <w:rPr>
                <w:rFonts w:eastAsia="SimSun"/>
              </w:rPr>
            </w:pPr>
          </w:p>
        </w:tc>
        <w:tc>
          <w:tcPr>
            <w:tcW w:w="910" w:type="dxa"/>
          </w:tcPr>
          <w:p w:rsidR="00CE36B0" w:rsidRPr="008D3815" w:rsidRDefault="00CE36B0" w:rsidP="00D0037C">
            <w:pPr>
              <w:jc w:val="both"/>
              <w:rPr>
                <w:rFonts w:eastAsia="SimSun"/>
              </w:rPr>
            </w:pPr>
            <w:r w:rsidRPr="008D3815">
              <w:rPr>
                <w:rFonts w:eastAsia="SimSun"/>
              </w:rPr>
              <w:t>CC present</w:t>
            </w:r>
          </w:p>
        </w:tc>
        <w:tc>
          <w:tcPr>
            <w:tcW w:w="1582" w:type="dxa"/>
          </w:tcPr>
          <w:p w:rsidR="00CE36B0" w:rsidRPr="008D3815" w:rsidRDefault="00CE36B0" w:rsidP="00D0037C">
            <w:pPr>
              <w:jc w:val="both"/>
              <w:rPr>
                <w:rFonts w:eastAsia="SimSun"/>
              </w:rPr>
            </w:pPr>
            <w:r w:rsidRPr="008D3815">
              <w:rPr>
                <w:rFonts w:eastAsia="SimSun"/>
              </w:rPr>
              <w:t>Discovery Mode</w:t>
            </w:r>
          </w:p>
        </w:tc>
        <w:tc>
          <w:tcPr>
            <w:tcW w:w="1365" w:type="dxa"/>
          </w:tcPr>
          <w:p w:rsidR="00CE36B0" w:rsidRPr="008D3815" w:rsidRDefault="00CE36B0" w:rsidP="00D0037C">
            <w:pPr>
              <w:jc w:val="both"/>
              <w:rPr>
                <w:rFonts w:eastAsia="SimSun"/>
              </w:rPr>
            </w:pPr>
            <w:r w:rsidRPr="008D3815">
              <w:rPr>
                <w:rFonts w:eastAsia="SimSun"/>
              </w:rPr>
              <w:t xml:space="preserve">Next Beacon </w:t>
            </w:r>
          </w:p>
        </w:tc>
        <w:tc>
          <w:tcPr>
            <w:tcW w:w="1134" w:type="dxa"/>
          </w:tcPr>
          <w:p w:rsidR="00CE36B0" w:rsidRPr="008D3815" w:rsidRDefault="00CE36B0" w:rsidP="00D0037C">
            <w:pPr>
              <w:jc w:val="both"/>
              <w:rPr>
                <w:rFonts w:eastAsia="SimSun"/>
              </w:rPr>
            </w:pPr>
            <w:r w:rsidRPr="008D3815">
              <w:rPr>
                <w:rFonts w:eastAsia="SimSun"/>
              </w:rPr>
              <w:t>AT Present</w:t>
            </w:r>
          </w:p>
        </w:tc>
        <w:tc>
          <w:tcPr>
            <w:tcW w:w="1124" w:type="dxa"/>
          </w:tcPr>
          <w:p w:rsidR="00CE36B0" w:rsidRPr="008D3815" w:rsidRDefault="00CE36B0" w:rsidP="00D0037C">
            <w:pPr>
              <w:jc w:val="both"/>
              <w:rPr>
                <w:rFonts w:eastAsia="SimSun"/>
              </w:rPr>
            </w:pPr>
            <w:r w:rsidRPr="008D3815">
              <w:rPr>
                <w:rFonts w:eastAsia="SimSun"/>
              </w:rPr>
              <w:t>A-BFT Length</w:t>
            </w:r>
          </w:p>
        </w:tc>
        <w:tc>
          <w:tcPr>
            <w:tcW w:w="873" w:type="dxa"/>
          </w:tcPr>
          <w:p w:rsidR="00CE36B0" w:rsidRPr="008D3815" w:rsidRDefault="00CE36B0" w:rsidP="00D0037C">
            <w:pPr>
              <w:jc w:val="both"/>
              <w:rPr>
                <w:rFonts w:eastAsia="SimSun"/>
              </w:rPr>
            </w:pPr>
            <w:r w:rsidRPr="008D3815">
              <w:rPr>
                <w:rFonts w:eastAsia="SimSun"/>
              </w:rPr>
              <w:t>FSS</w:t>
            </w:r>
          </w:p>
        </w:tc>
        <w:tc>
          <w:tcPr>
            <w:tcW w:w="1243" w:type="dxa"/>
          </w:tcPr>
          <w:p w:rsidR="00CE36B0" w:rsidRPr="008D3815" w:rsidRDefault="00CE36B0" w:rsidP="00D0037C">
            <w:pPr>
              <w:jc w:val="both"/>
              <w:rPr>
                <w:rFonts w:eastAsia="SimSun"/>
              </w:rPr>
            </w:pPr>
            <w:r w:rsidRPr="008D3815">
              <w:rPr>
                <w:rFonts w:eastAsia="SimSun"/>
              </w:rPr>
              <w:t>Responder T/RXSS</w:t>
            </w:r>
          </w:p>
        </w:tc>
      </w:tr>
      <w:tr w:rsidR="00CE36B0" w:rsidRPr="008D3815" w:rsidTr="00AA2AB6">
        <w:trPr>
          <w:jc w:val="center"/>
        </w:trPr>
        <w:tc>
          <w:tcPr>
            <w:tcW w:w="670" w:type="dxa"/>
          </w:tcPr>
          <w:p w:rsidR="00CE36B0" w:rsidRPr="008D3815" w:rsidRDefault="00CE36B0" w:rsidP="00D0037C">
            <w:pPr>
              <w:jc w:val="both"/>
              <w:rPr>
                <w:rFonts w:eastAsia="SimSun"/>
              </w:rPr>
            </w:pPr>
            <w:r w:rsidRPr="008D3815">
              <w:rPr>
                <w:rFonts w:eastAsia="SimSun"/>
              </w:rPr>
              <w:t>Bits:</w:t>
            </w:r>
          </w:p>
        </w:tc>
        <w:tc>
          <w:tcPr>
            <w:tcW w:w="910" w:type="dxa"/>
          </w:tcPr>
          <w:p w:rsidR="00CE36B0" w:rsidRPr="008D3815" w:rsidRDefault="00CE36B0" w:rsidP="00D0037C">
            <w:pPr>
              <w:jc w:val="both"/>
              <w:rPr>
                <w:rFonts w:eastAsia="SimSun"/>
              </w:rPr>
            </w:pPr>
            <w:r w:rsidRPr="008D3815">
              <w:rPr>
                <w:rFonts w:eastAsia="SimSun"/>
              </w:rPr>
              <w:t xml:space="preserve">B0 </w:t>
            </w:r>
          </w:p>
        </w:tc>
        <w:tc>
          <w:tcPr>
            <w:tcW w:w="1582" w:type="dxa"/>
          </w:tcPr>
          <w:p w:rsidR="00CE36B0" w:rsidRPr="008D3815" w:rsidRDefault="00CE36B0" w:rsidP="00C611A0">
            <w:pPr>
              <w:jc w:val="both"/>
              <w:rPr>
                <w:rFonts w:eastAsia="SimSun"/>
              </w:rPr>
            </w:pPr>
            <w:r>
              <w:rPr>
                <w:rFonts w:eastAsia="SimSun"/>
              </w:rPr>
              <w:t>B</w:t>
            </w:r>
            <w:r w:rsidR="00C611A0">
              <w:rPr>
                <w:rFonts w:eastAsia="SimSun"/>
              </w:rPr>
              <w:t>1</w:t>
            </w:r>
          </w:p>
        </w:tc>
        <w:tc>
          <w:tcPr>
            <w:tcW w:w="1365" w:type="dxa"/>
          </w:tcPr>
          <w:p w:rsidR="00CE36B0" w:rsidRPr="008D3815" w:rsidRDefault="00CE36B0" w:rsidP="00C611A0">
            <w:pPr>
              <w:jc w:val="both"/>
              <w:rPr>
                <w:rFonts w:eastAsia="SimSun"/>
              </w:rPr>
            </w:pPr>
            <w:r>
              <w:rPr>
                <w:rFonts w:eastAsia="SimSun"/>
              </w:rPr>
              <w:t>B</w:t>
            </w:r>
            <w:r w:rsidR="00C611A0">
              <w:rPr>
                <w:rFonts w:eastAsia="SimSun"/>
              </w:rPr>
              <w:t>2</w:t>
            </w:r>
            <w:r>
              <w:rPr>
                <w:rFonts w:eastAsia="SimSun"/>
              </w:rPr>
              <w:t>-B</w:t>
            </w:r>
            <w:r w:rsidR="00C611A0">
              <w:rPr>
                <w:rFonts w:eastAsia="SimSun"/>
              </w:rPr>
              <w:t>5</w:t>
            </w:r>
          </w:p>
        </w:tc>
        <w:tc>
          <w:tcPr>
            <w:tcW w:w="1134" w:type="dxa"/>
          </w:tcPr>
          <w:p w:rsidR="00CE36B0" w:rsidRPr="008D3815" w:rsidRDefault="00CE36B0" w:rsidP="00C611A0">
            <w:pPr>
              <w:jc w:val="both"/>
              <w:rPr>
                <w:rFonts w:eastAsia="SimSun"/>
              </w:rPr>
            </w:pPr>
            <w:r>
              <w:rPr>
                <w:rFonts w:eastAsia="SimSun"/>
              </w:rPr>
              <w:t>B</w:t>
            </w:r>
            <w:r w:rsidR="00C611A0">
              <w:rPr>
                <w:rFonts w:eastAsia="SimSun"/>
              </w:rPr>
              <w:t>6</w:t>
            </w:r>
          </w:p>
        </w:tc>
        <w:tc>
          <w:tcPr>
            <w:tcW w:w="1124" w:type="dxa"/>
          </w:tcPr>
          <w:p w:rsidR="00CE36B0" w:rsidRPr="008D3815" w:rsidRDefault="00CE36B0" w:rsidP="00D0037C">
            <w:pPr>
              <w:jc w:val="both"/>
              <w:rPr>
                <w:rFonts w:eastAsia="SimSun"/>
              </w:rPr>
            </w:pPr>
            <w:r w:rsidRPr="008D3815">
              <w:rPr>
                <w:rFonts w:eastAsia="SimSun"/>
              </w:rPr>
              <w:t>B7-B10</w:t>
            </w:r>
          </w:p>
        </w:tc>
        <w:tc>
          <w:tcPr>
            <w:tcW w:w="873" w:type="dxa"/>
          </w:tcPr>
          <w:p w:rsidR="00CE36B0" w:rsidRPr="008D3815" w:rsidRDefault="00CE36B0" w:rsidP="00D0037C">
            <w:pPr>
              <w:jc w:val="both"/>
              <w:rPr>
                <w:rFonts w:eastAsia="SimSun"/>
              </w:rPr>
            </w:pPr>
            <w:r w:rsidRPr="008D3815">
              <w:rPr>
                <w:rFonts w:eastAsia="SimSun"/>
              </w:rPr>
              <w:t>B11-B13</w:t>
            </w:r>
          </w:p>
        </w:tc>
        <w:tc>
          <w:tcPr>
            <w:tcW w:w="1243" w:type="dxa"/>
          </w:tcPr>
          <w:p w:rsidR="00CE36B0" w:rsidRPr="008D3815" w:rsidRDefault="00CE36B0" w:rsidP="00D0037C">
            <w:pPr>
              <w:jc w:val="both"/>
              <w:rPr>
                <w:rFonts w:eastAsia="SimSun"/>
              </w:rPr>
            </w:pPr>
            <w:r w:rsidRPr="008D3815">
              <w:rPr>
                <w:rFonts w:eastAsia="SimSun"/>
              </w:rPr>
              <w:t>B14</w:t>
            </w:r>
          </w:p>
        </w:tc>
      </w:tr>
    </w:tbl>
    <w:p w:rsidR="003445AC" w:rsidRPr="008D3815" w:rsidRDefault="003445AC" w:rsidP="00BA5BC4">
      <w:pPr>
        <w:pStyle w:val="Caption"/>
      </w:pPr>
      <w:bookmarkStart w:id="327" w:name="_Ref214853264"/>
      <w:bookmarkStart w:id="328" w:name="_Ref236392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930"/>
        <w:gridCol w:w="1136"/>
        <w:gridCol w:w="1252"/>
        <w:gridCol w:w="935"/>
        <w:gridCol w:w="1301"/>
        <w:gridCol w:w="870"/>
        <w:gridCol w:w="1515"/>
        <w:gridCol w:w="1507"/>
      </w:tblGrid>
      <w:tr w:rsidR="00EC6B7B" w:rsidRPr="008D3815" w:rsidTr="00EC6B7B">
        <w:trPr>
          <w:cantSplit/>
          <w:jc w:val="center"/>
        </w:trPr>
        <w:tc>
          <w:tcPr>
            <w:tcW w:w="331" w:type="pct"/>
          </w:tcPr>
          <w:p w:rsidR="00EC6B7B" w:rsidRPr="008D3815" w:rsidRDefault="00EC6B7B" w:rsidP="00D0037C">
            <w:pPr>
              <w:jc w:val="both"/>
              <w:rPr>
                <w:rFonts w:eastAsia="SimSun"/>
              </w:rPr>
            </w:pPr>
          </w:p>
        </w:tc>
        <w:tc>
          <w:tcPr>
            <w:tcW w:w="460" w:type="pct"/>
          </w:tcPr>
          <w:p w:rsidR="00EC6B7B" w:rsidRPr="008D3815" w:rsidRDefault="00EC6B7B" w:rsidP="00D0037C">
            <w:pPr>
              <w:jc w:val="both"/>
              <w:rPr>
                <w:rFonts w:eastAsia="SimSun"/>
              </w:rPr>
            </w:pPr>
            <w:r w:rsidRPr="008D3815">
              <w:rPr>
                <w:rFonts w:eastAsia="SimSun"/>
              </w:rPr>
              <w:t>Next A-BFT</w:t>
            </w:r>
          </w:p>
        </w:tc>
        <w:tc>
          <w:tcPr>
            <w:tcW w:w="561" w:type="pct"/>
          </w:tcPr>
          <w:p w:rsidR="00EC6B7B" w:rsidRPr="008D3815" w:rsidRDefault="00EC6B7B" w:rsidP="00D0037C">
            <w:pPr>
              <w:jc w:val="both"/>
              <w:rPr>
                <w:rFonts w:eastAsia="SimSun"/>
              </w:rPr>
            </w:pPr>
            <w:r w:rsidRPr="008D3815">
              <w:rPr>
                <w:rFonts w:eastAsia="SimSun"/>
              </w:rPr>
              <w:t>Fragment</w:t>
            </w:r>
          </w:p>
        </w:tc>
        <w:tc>
          <w:tcPr>
            <w:tcW w:w="619" w:type="pct"/>
          </w:tcPr>
          <w:p w:rsidR="00EC6B7B" w:rsidRPr="008D3815" w:rsidRDefault="00EC6B7B" w:rsidP="00D0037C">
            <w:pPr>
              <w:jc w:val="both"/>
              <w:rPr>
                <w:rFonts w:eastAsia="SimSun"/>
              </w:rPr>
            </w:pPr>
            <w:r w:rsidRPr="008D3815">
              <w:rPr>
                <w:rFonts w:eastAsia="SimSun"/>
              </w:rPr>
              <w:t>TXSS Span</w:t>
            </w:r>
          </w:p>
        </w:tc>
        <w:tc>
          <w:tcPr>
            <w:tcW w:w="462" w:type="pct"/>
          </w:tcPr>
          <w:p w:rsidR="00EC6B7B" w:rsidRPr="008D3815" w:rsidDel="0035095C" w:rsidRDefault="00EC6B7B" w:rsidP="00D0037C">
            <w:pPr>
              <w:jc w:val="both"/>
              <w:rPr>
                <w:rFonts w:eastAsia="SimSun"/>
              </w:rPr>
            </w:pPr>
            <w:r w:rsidRPr="008D3815">
              <w:rPr>
                <w:rFonts w:eastAsia="SimSun"/>
              </w:rPr>
              <w:t>N BIs A-BFT</w:t>
            </w:r>
          </w:p>
        </w:tc>
        <w:tc>
          <w:tcPr>
            <w:tcW w:w="643" w:type="pct"/>
          </w:tcPr>
          <w:p w:rsidR="00EC6B7B" w:rsidRPr="008D3815" w:rsidDel="0035095C" w:rsidRDefault="00EC6B7B" w:rsidP="00D0037C">
            <w:pPr>
              <w:jc w:val="both"/>
              <w:rPr>
                <w:rFonts w:eastAsia="SimSun"/>
              </w:rPr>
            </w:pPr>
            <w:r w:rsidRPr="008D3815">
              <w:rPr>
                <w:rFonts w:eastAsia="SimSun"/>
              </w:rPr>
              <w:t>A-BFT count</w:t>
            </w:r>
          </w:p>
        </w:tc>
        <w:tc>
          <w:tcPr>
            <w:tcW w:w="430" w:type="pct"/>
          </w:tcPr>
          <w:p w:rsidR="00EC6B7B" w:rsidRPr="008D3815" w:rsidDel="0035095C" w:rsidRDefault="00EC6B7B" w:rsidP="00B03B4E">
            <w:pPr>
              <w:jc w:val="both"/>
              <w:rPr>
                <w:rFonts w:eastAsia="SimSun"/>
              </w:rPr>
            </w:pPr>
            <w:r w:rsidRPr="008D3815">
              <w:rPr>
                <w:rFonts w:eastAsia="SimSun"/>
              </w:rPr>
              <w:t xml:space="preserve">N A-BFT in Ant </w:t>
            </w:r>
          </w:p>
        </w:tc>
        <w:tc>
          <w:tcPr>
            <w:tcW w:w="749" w:type="pct"/>
          </w:tcPr>
          <w:p w:rsidR="00EC6B7B" w:rsidRPr="008D3815" w:rsidRDefault="00EC6B7B" w:rsidP="00EC6B7B">
            <w:pPr>
              <w:jc w:val="both"/>
              <w:rPr>
                <w:rFonts w:eastAsia="SimSun"/>
              </w:rPr>
            </w:pPr>
            <w:r w:rsidRPr="008D3815">
              <w:rPr>
                <w:rFonts w:eastAsia="MS Mincho"/>
              </w:rPr>
              <w:t xml:space="preserve">PCP </w:t>
            </w:r>
            <w:r w:rsidRPr="008D3815">
              <w:rPr>
                <w:rFonts w:eastAsia="MS Mincho" w:hint="eastAsia"/>
              </w:rPr>
              <w:t>AssocReady</w:t>
            </w:r>
          </w:p>
        </w:tc>
        <w:tc>
          <w:tcPr>
            <w:tcW w:w="746" w:type="pct"/>
          </w:tcPr>
          <w:p w:rsidR="00EC6B7B" w:rsidRPr="008D3815" w:rsidRDefault="00EC6B7B" w:rsidP="00D0037C">
            <w:pPr>
              <w:jc w:val="both"/>
              <w:rPr>
                <w:rFonts w:eastAsia="SimSun"/>
              </w:rPr>
            </w:pPr>
            <w:r w:rsidRPr="008D3815">
              <w:rPr>
                <w:rFonts w:eastAsia="SimSun"/>
              </w:rPr>
              <w:t>Reserved</w:t>
            </w:r>
          </w:p>
        </w:tc>
      </w:tr>
      <w:tr w:rsidR="00EC6B7B" w:rsidRPr="008D3815" w:rsidTr="00EC6B7B">
        <w:trPr>
          <w:jc w:val="center"/>
        </w:trPr>
        <w:tc>
          <w:tcPr>
            <w:tcW w:w="331" w:type="pct"/>
          </w:tcPr>
          <w:p w:rsidR="00EC6B7B" w:rsidRPr="008D3815" w:rsidRDefault="00EC6B7B" w:rsidP="00D0037C">
            <w:pPr>
              <w:jc w:val="both"/>
              <w:rPr>
                <w:rFonts w:eastAsia="SimSun"/>
              </w:rPr>
            </w:pPr>
            <w:r w:rsidRPr="008D3815">
              <w:rPr>
                <w:rFonts w:eastAsia="SimSun"/>
              </w:rPr>
              <w:t>Bits:</w:t>
            </w:r>
          </w:p>
        </w:tc>
        <w:tc>
          <w:tcPr>
            <w:tcW w:w="460" w:type="pct"/>
          </w:tcPr>
          <w:p w:rsidR="00EC6B7B" w:rsidRPr="008D3815" w:rsidRDefault="00EC6B7B" w:rsidP="00D0037C">
            <w:pPr>
              <w:jc w:val="both"/>
              <w:rPr>
                <w:rFonts w:eastAsia="SimSun"/>
              </w:rPr>
            </w:pPr>
            <w:r w:rsidRPr="008D3815">
              <w:rPr>
                <w:rFonts w:eastAsia="SimSun"/>
              </w:rPr>
              <w:t>B15-B20</w:t>
            </w:r>
          </w:p>
        </w:tc>
        <w:tc>
          <w:tcPr>
            <w:tcW w:w="561" w:type="pct"/>
          </w:tcPr>
          <w:p w:rsidR="00EC6B7B" w:rsidRPr="008D3815" w:rsidRDefault="00EC6B7B" w:rsidP="00D0037C">
            <w:pPr>
              <w:jc w:val="both"/>
              <w:rPr>
                <w:rFonts w:eastAsia="SimSun"/>
              </w:rPr>
            </w:pPr>
            <w:r w:rsidRPr="008D3815">
              <w:rPr>
                <w:rFonts w:eastAsia="SimSun"/>
              </w:rPr>
              <w:t>B21</w:t>
            </w:r>
          </w:p>
        </w:tc>
        <w:tc>
          <w:tcPr>
            <w:tcW w:w="619" w:type="pct"/>
          </w:tcPr>
          <w:p w:rsidR="00EC6B7B" w:rsidRPr="008D3815" w:rsidRDefault="00EC6B7B" w:rsidP="00D0037C">
            <w:pPr>
              <w:jc w:val="both"/>
              <w:rPr>
                <w:rFonts w:eastAsia="SimSun"/>
              </w:rPr>
            </w:pPr>
            <w:r w:rsidRPr="008D3815">
              <w:rPr>
                <w:rFonts w:eastAsia="SimSun"/>
              </w:rPr>
              <w:t>B22-B28</w:t>
            </w:r>
          </w:p>
          <w:p w:rsidR="00EC6B7B" w:rsidRPr="008D3815" w:rsidRDefault="00EC6B7B" w:rsidP="00D0037C">
            <w:pPr>
              <w:jc w:val="both"/>
              <w:rPr>
                <w:rFonts w:eastAsia="SimSun"/>
              </w:rPr>
            </w:pPr>
          </w:p>
        </w:tc>
        <w:tc>
          <w:tcPr>
            <w:tcW w:w="462" w:type="pct"/>
          </w:tcPr>
          <w:p w:rsidR="00EC6B7B" w:rsidRPr="008D3815" w:rsidRDefault="00EC6B7B" w:rsidP="00D0037C">
            <w:pPr>
              <w:jc w:val="both"/>
              <w:rPr>
                <w:rFonts w:eastAsia="SimSun"/>
              </w:rPr>
            </w:pPr>
            <w:r w:rsidRPr="008D3815">
              <w:rPr>
                <w:rFonts w:eastAsia="SimSun"/>
              </w:rPr>
              <w:t>B29-B31</w:t>
            </w:r>
          </w:p>
        </w:tc>
        <w:tc>
          <w:tcPr>
            <w:tcW w:w="643" w:type="pct"/>
          </w:tcPr>
          <w:p w:rsidR="00EC6B7B" w:rsidRPr="008D3815" w:rsidRDefault="00EC6B7B" w:rsidP="00D0037C">
            <w:pPr>
              <w:jc w:val="both"/>
              <w:rPr>
                <w:rFonts w:eastAsia="SimSun"/>
              </w:rPr>
            </w:pPr>
            <w:r w:rsidRPr="008D3815">
              <w:rPr>
                <w:rFonts w:eastAsia="SimSun"/>
              </w:rPr>
              <w:t>B32-B37</w:t>
            </w:r>
          </w:p>
        </w:tc>
        <w:tc>
          <w:tcPr>
            <w:tcW w:w="430" w:type="pct"/>
          </w:tcPr>
          <w:p w:rsidR="00EC6B7B" w:rsidRPr="008D3815" w:rsidRDefault="00EC6B7B" w:rsidP="00D0037C">
            <w:pPr>
              <w:jc w:val="both"/>
              <w:rPr>
                <w:rFonts w:eastAsia="SimSun"/>
              </w:rPr>
            </w:pPr>
            <w:r w:rsidRPr="008D3815">
              <w:rPr>
                <w:rFonts w:eastAsia="SimSun"/>
              </w:rPr>
              <w:t>B38-B43</w:t>
            </w:r>
          </w:p>
        </w:tc>
        <w:tc>
          <w:tcPr>
            <w:tcW w:w="749" w:type="pct"/>
          </w:tcPr>
          <w:p w:rsidR="00EC6B7B" w:rsidRPr="008D3815" w:rsidRDefault="00EC6B7B" w:rsidP="00D0037C">
            <w:pPr>
              <w:jc w:val="both"/>
              <w:rPr>
                <w:rFonts w:eastAsia="SimSun"/>
              </w:rPr>
            </w:pPr>
            <w:r w:rsidRPr="008D3815">
              <w:rPr>
                <w:rFonts w:eastAsia="SimSun"/>
              </w:rPr>
              <w:t>B44</w:t>
            </w:r>
          </w:p>
        </w:tc>
        <w:tc>
          <w:tcPr>
            <w:tcW w:w="746" w:type="pct"/>
          </w:tcPr>
          <w:p w:rsidR="00EC6B7B" w:rsidRPr="008D3815" w:rsidRDefault="00EC6B7B" w:rsidP="00EC6B7B">
            <w:pPr>
              <w:jc w:val="both"/>
              <w:rPr>
                <w:rFonts w:eastAsia="SimSun"/>
              </w:rPr>
            </w:pPr>
            <w:r w:rsidRPr="008D3815">
              <w:rPr>
                <w:rFonts w:eastAsia="SimSun"/>
              </w:rPr>
              <w:t>B45-B47</w:t>
            </w:r>
          </w:p>
        </w:tc>
      </w:tr>
    </w:tbl>
    <w:p w:rsidR="008C36FC" w:rsidRPr="008D3815" w:rsidRDefault="008C36FC" w:rsidP="00BA5BC4">
      <w:pPr>
        <w:pStyle w:val="Caption"/>
        <w:rPr>
          <w:noProof/>
        </w:rPr>
      </w:pPr>
      <w:bookmarkStart w:id="329" w:name="_Ref242671478"/>
      <w:bookmarkStart w:id="330" w:name="_Toc259717446"/>
      <w:r w:rsidRPr="008D3815">
        <w:t xml:space="preserve">Figure </w:t>
      </w:r>
      <w:r w:rsidR="00BD151C">
        <w:fldChar w:fldCharType="begin"/>
      </w:r>
      <w:r w:rsidR="00801316">
        <w:instrText xml:space="preserve"> SEQ Figure \* ARABIC </w:instrText>
      </w:r>
      <w:r w:rsidR="00BD151C">
        <w:fldChar w:fldCharType="separate"/>
      </w:r>
      <w:r w:rsidR="003E4210">
        <w:rPr>
          <w:noProof/>
        </w:rPr>
        <w:t>14</w:t>
      </w:r>
      <w:r w:rsidR="00BD151C">
        <w:fldChar w:fldCharType="end"/>
      </w:r>
      <w:bookmarkEnd w:id="327"/>
      <w:bookmarkEnd w:id="329"/>
      <w:r w:rsidRPr="008D3815">
        <w:rPr>
          <w:noProof/>
        </w:rPr>
        <w:t xml:space="preserve"> </w:t>
      </w:r>
      <w:r w:rsidR="00CA5C16" w:rsidRPr="008D3815">
        <w:rPr>
          <w:noProof/>
        </w:rPr>
        <w:t xml:space="preserve">– </w:t>
      </w:r>
      <w:r w:rsidRPr="008D3815">
        <w:rPr>
          <w:noProof/>
        </w:rPr>
        <w:t>Beacon Interval Control</w:t>
      </w:r>
      <w:bookmarkEnd w:id="328"/>
      <w:bookmarkEnd w:id="330"/>
    </w:p>
    <w:p w:rsidR="00EC6B7B" w:rsidRPr="00066F65" w:rsidRDefault="00EC6B7B" w:rsidP="00EC6B7B">
      <w:pPr>
        <w:rPr>
          <w:b/>
          <w:i/>
          <w:color w:val="FF0000"/>
          <w:u w:val="single"/>
        </w:rPr>
      </w:pPr>
    </w:p>
    <w:p w:rsidR="00ED677F" w:rsidRPr="00CF3DF8" w:rsidRDefault="00ED677F" w:rsidP="00860F63">
      <w:r w:rsidRPr="00CF3DF8">
        <w:t xml:space="preserve">The </w:t>
      </w:r>
      <w:r w:rsidR="0035095C" w:rsidRPr="00CF3DF8">
        <w:t>CC</w:t>
      </w:r>
      <w:r w:rsidR="0008174D" w:rsidRPr="00CF3DF8">
        <w:t xml:space="preserve"> present</w:t>
      </w:r>
      <w:r w:rsidR="00281486" w:rsidRPr="00CF3DF8">
        <w:t xml:space="preserve"> </w:t>
      </w:r>
      <w:r w:rsidRPr="00CF3DF8">
        <w:t xml:space="preserve">field is set to one to indicate that the </w:t>
      </w:r>
      <w:r w:rsidR="003604B8" w:rsidRPr="00CF3DF8">
        <w:t>PCP/AP clustering</w:t>
      </w:r>
      <w:r w:rsidR="00860F63" w:rsidRPr="00CF3DF8">
        <w:t xml:space="preserve"> </w:t>
      </w:r>
      <w:r w:rsidRPr="00CF3DF8">
        <w:t xml:space="preserve">control field is present in the </w:t>
      </w:r>
      <w:r w:rsidR="00E07554" w:rsidRPr="00CF3DF8">
        <w:t xml:space="preserve">mmWave </w:t>
      </w:r>
      <w:r w:rsidRPr="00CF3DF8">
        <w:t xml:space="preserve">Beacon. The </w:t>
      </w:r>
      <w:r w:rsidR="003604B8" w:rsidRPr="00CF3DF8">
        <w:t>PCP/AP</w:t>
      </w:r>
      <w:r w:rsidR="00860F63" w:rsidRPr="00CF3DF8">
        <w:t xml:space="preserve"> </w:t>
      </w:r>
      <w:r w:rsidR="0035095C" w:rsidRPr="00CF3DF8">
        <w:t>clustering</w:t>
      </w:r>
      <w:r w:rsidRPr="00CF3DF8">
        <w:t xml:space="preserve"> control field is not present otherwise.</w:t>
      </w:r>
      <w:r w:rsidR="00281486" w:rsidRPr="00CF3DF8">
        <w:t xml:space="preserve"> </w:t>
      </w:r>
    </w:p>
    <w:p w:rsidR="00ED677F" w:rsidRDefault="00ED677F" w:rsidP="0004091F"/>
    <w:p w:rsidR="0082035A" w:rsidRDefault="0082035A" w:rsidP="0004091F">
      <w:r w:rsidRPr="0082035A">
        <w:t xml:space="preserve">The Discovery Mode field is set to one if the STA is generating the mmWave Beacon following the procedure described in </w:t>
      </w:r>
      <w:r w:rsidR="00BD151C">
        <w:fldChar w:fldCharType="begin"/>
      </w:r>
      <w:r>
        <w:instrText xml:space="preserve"> REF _Ref243984409 \h </w:instrText>
      </w:r>
      <w:r w:rsidR="00BD151C">
        <w:fldChar w:fldCharType="separate"/>
      </w:r>
      <w:r w:rsidR="003E4210" w:rsidRPr="009448FC">
        <w:t>11.1.2.1b Beacon ge</w:t>
      </w:r>
      <w:r w:rsidR="003E4210" w:rsidRPr="0082035A">
        <w:t>n</w:t>
      </w:r>
      <w:r w:rsidR="003E4210" w:rsidRPr="009448FC">
        <w:t>eration before network initialization</w:t>
      </w:r>
      <w:r w:rsidR="00BD151C">
        <w:fldChar w:fldCharType="end"/>
      </w:r>
      <w:r w:rsidRPr="0082035A">
        <w:t>. Otherwise, this field is set to zero.</w:t>
      </w:r>
    </w:p>
    <w:p w:rsidR="00336281" w:rsidRPr="00CF3DF8" w:rsidRDefault="00336281" w:rsidP="0004091F"/>
    <w:p w:rsidR="008C36FC" w:rsidRPr="00CF3DF8" w:rsidRDefault="008C36FC" w:rsidP="0004091F">
      <w:r w:rsidRPr="00CF3DF8">
        <w:t xml:space="preserve">The Next Beacon field indicates the number of beacon intervals following the current beacon interval during which the </w:t>
      </w:r>
      <w:r w:rsidR="00D844F6" w:rsidRPr="00CF3DF8">
        <w:t xml:space="preserve">mmWave </w:t>
      </w:r>
      <w:r w:rsidRPr="00CF3DF8">
        <w:t>Beacon will be not present.</w:t>
      </w:r>
    </w:p>
    <w:p w:rsidR="008C36FC" w:rsidRPr="00CF3DF8" w:rsidRDefault="00D926D0" w:rsidP="0004091F">
      <w:pPr>
        <w:rPr>
          <w:b/>
          <w:i/>
        </w:rPr>
      </w:pPr>
      <w:r w:rsidRPr="00CF3DF8">
        <w:rPr>
          <w:b/>
          <w:i/>
        </w:rPr>
        <w:t xml:space="preserve"> </w:t>
      </w:r>
    </w:p>
    <w:p w:rsidR="008C36FC" w:rsidRPr="00CF3DF8" w:rsidRDefault="008C36FC" w:rsidP="00A406F3">
      <w:r w:rsidRPr="00CF3DF8">
        <w:t xml:space="preserve">The AT present field </w:t>
      </w:r>
      <w:r w:rsidR="00A406F3" w:rsidRPr="00CF3DF8">
        <w:t xml:space="preserve">set to one </w:t>
      </w:r>
      <w:r w:rsidRPr="00CF3DF8">
        <w:t>indicates that the AT period is present in the current beacon interval.</w:t>
      </w:r>
      <w:r w:rsidR="00A406F3" w:rsidRPr="00CF3DF8">
        <w:t xml:space="preserve"> The AT period is not present otherwise.</w:t>
      </w:r>
    </w:p>
    <w:p w:rsidR="00A406F3" w:rsidRPr="00CF3DF8" w:rsidRDefault="00A406F3" w:rsidP="00A406F3"/>
    <w:p w:rsidR="00A406F3" w:rsidRPr="00CF3DF8" w:rsidRDefault="00A406F3" w:rsidP="003256EB">
      <w:r w:rsidRPr="00CF3DF8">
        <w:t>The A-BFT Length field specifies the size of the A-BFT following the BT, and is defined in units of a sector sweep slot (</w:t>
      </w:r>
      <w:r w:rsidR="00BD151C">
        <w:fldChar w:fldCharType="begin"/>
      </w:r>
      <w:r w:rsidR="009048F3">
        <w:instrText xml:space="preserve"> REF _Ref244078982 \r \h </w:instrText>
      </w:r>
      <w:r w:rsidR="00BD151C">
        <w:fldChar w:fldCharType="separate"/>
      </w:r>
      <w:r w:rsidR="003E4210">
        <w:t>9.25.4</w:t>
      </w:r>
      <w:r w:rsidR="00BD151C">
        <w:fldChar w:fldCharType="end"/>
      </w:r>
      <w:r w:rsidRPr="00CF3DF8">
        <w:t>).</w:t>
      </w:r>
    </w:p>
    <w:p w:rsidR="00A406F3" w:rsidRPr="00CF3DF8" w:rsidRDefault="00A406F3" w:rsidP="00A406F3"/>
    <w:p w:rsidR="00A406F3" w:rsidRPr="00CF3DF8" w:rsidRDefault="00A406F3" w:rsidP="00B07236">
      <w:r w:rsidRPr="00CF3DF8">
        <w:t xml:space="preserve">The FSS field specifies the number of </w:t>
      </w:r>
      <w:r w:rsidR="00417336" w:rsidRPr="00CF3DF8">
        <w:t>SS</w:t>
      </w:r>
      <w:r w:rsidRPr="00CF3DF8">
        <w:t xml:space="preserve"> frames allowed per each sector sweep slot (</w:t>
      </w:r>
      <w:r w:rsidR="00BD151C">
        <w:fldChar w:fldCharType="begin"/>
      </w:r>
      <w:r w:rsidR="00B07236">
        <w:instrText xml:space="preserve"> REF _Ref244079018 \r \h </w:instrText>
      </w:r>
      <w:r w:rsidR="00BD151C">
        <w:fldChar w:fldCharType="separate"/>
      </w:r>
      <w:r w:rsidR="003E4210">
        <w:t>9.25.4</w:t>
      </w:r>
      <w:r w:rsidR="00BD151C">
        <w:fldChar w:fldCharType="end"/>
      </w:r>
      <w:r w:rsidR="00777BC7" w:rsidRPr="00CF3DF8">
        <w:t>)</w:t>
      </w:r>
      <w:r w:rsidR="00D844F6" w:rsidRPr="00CF3DF8">
        <w:t>.</w:t>
      </w:r>
    </w:p>
    <w:p w:rsidR="00A406F3" w:rsidRPr="00CF3DF8" w:rsidRDefault="00A406F3" w:rsidP="00A406F3"/>
    <w:p w:rsidR="00A406F3" w:rsidRPr="00CF3DF8" w:rsidRDefault="00A406F3" w:rsidP="007D165F">
      <w:r w:rsidRPr="00CF3DF8">
        <w:t xml:space="preserve">The </w:t>
      </w:r>
      <w:r w:rsidR="007D58FB">
        <w:t>Respo</w:t>
      </w:r>
      <w:r w:rsidR="007D165F" w:rsidRPr="00CF3DF8">
        <w:t>n</w:t>
      </w:r>
      <w:r w:rsidR="007D58FB">
        <w:t>d</w:t>
      </w:r>
      <w:r w:rsidR="007D165F" w:rsidRPr="00CF3DF8">
        <w:t xml:space="preserve">er </w:t>
      </w:r>
      <w:r w:rsidRPr="00CF3DF8">
        <w:t xml:space="preserve">T/RXSS field is set to one to indicate the A-BFT following the BT is used for </w:t>
      </w:r>
      <w:r w:rsidR="007D165F" w:rsidRPr="00CF3DF8">
        <w:t>responder</w:t>
      </w:r>
      <w:r w:rsidR="00281486" w:rsidRPr="00CF3DF8">
        <w:t xml:space="preserve"> </w:t>
      </w:r>
      <w:r w:rsidRPr="00CF3DF8">
        <w:t xml:space="preserve">TXSS. This field is set to zero to indicate </w:t>
      </w:r>
      <w:r w:rsidR="007D165F" w:rsidRPr="00CF3DF8">
        <w:t xml:space="preserve">responder </w:t>
      </w:r>
      <w:r w:rsidRPr="00CF3DF8">
        <w:t>RXSS.</w:t>
      </w:r>
      <w:r w:rsidR="001C6432" w:rsidRPr="00CF3DF8">
        <w:t xml:space="preserve"> When this field is set to zero, the FSS field specifies the length of a complete RX sector sweep by the PCP/AP. </w:t>
      </w:r>
    </w:p>
    <w:p w:rsidR="00A406F3" w:rsidRPr="00CF3DF8" w:rsidRDefault="00A406F3" w:rsidP="00A406F3"/>
    <w:p w:rsidR="00A406F3" w:rsidRPr="00CF3DF8" w:rsidRDefault="00A406F3" w:rsidP="00A406F3">
      <w:r w:rsidRPr="00CF3DF8">
        <w:t xml:space="preserve">The Next A-BFT field </w:t>
      </w:r>
      <w:r w:rsidRPr="00CF3DF8">
        <w:rPr>
          <w:rFonts w:eastAsia="Batang"/>
          <w:sz w:val="23"/>
        </w:rPr>
        <w:t xml:space="preserve">indicates the number of </w:t>
      </w:r>
      <w:r w:rsidRPr="00CF3DF8">
        <w:t>beacon intervals during which the A-BFT will be not present. The value of zero in this field indicates that the A-BFT immediately follows this BT.</w:t>
      </w:r>
    </w:p>
    <w:p w:rsidR="00D7766A" w:rsidRPr="00CF3DF8" w:rsidRDefault="00D7766A" w:rsidP="0004091F">
      <w:pPr>
        <w:rPr>
          <w:b/>
          <w:i/>
        </w:rPr>
      </w:pPr>
    </w:p>
    <w:p w:rsidR="00E07554" w:rsidRPr="00CF3DF8" w:rsidRDefault="00E07554" w:rsidP="00E07554">
      <w:r w:rsidRPr="00CF3DF8">
        <w:t>The Fragment field is set to 1 to indicate the TXSS is a fragmented sweep, and is set to 0 to indicate the TXSS is a complete sweep.</w:t>
      </w:r>
    </w:p>
    <w:p w:rsidR="00E07554" w:rsidRPr="00CF3DF8" w:rsidRDefault="00E07554" w:rsidP="00E07554"/>
    <w:p w:rsidR="00E07554" w:rsidRPr="00CF3DF8" w:rsidRDefault="00E07554" w:rsidP="00E07554">
      <w:r w:rsidRPr="00CF3DF8">
        <w:t>The TXSS Span field indicates the number of BIs it takes for the PCP/AP to complete the TXSS phase.</w:t>
      </w:r>
    </w:p>
    <w:p w:rsidR="004D2A36" w:rsidRPr="00CF3DF8" w:rsidRDefault="004D2A36" w:rsidP="00E07554"/>
    <w:p w:rsidR="00C83008" w:rsidRPr="00CF3DF8" w:rsidRDefault="00431158" w:rsidP="004D2A36">
      <w:r w:rsidRPr="00CF3DF8">
        <w:t xml:space="preserve">The N BIs per A-BFT field indicates the </w:t>
      </w:r>
      <w:r w:rsidR="0017659A" w:rsidRPr="00CF3DF8">
        <w:t>frequency</w:t>
      </w:r>
      <w:r w:rsidR="00C83008" w:rsidRPr="00CF3DF8">
        <w:t>,</w:t>
      </w:r>
      <w:r w:rsidR="0017659A" w:rsidRPr="00CF3DF8">
        <w:t xml:space="preserve"> in number of </w:t>
      </w:r>
      <w:r w:rsidR="007563A3" w:rsidRPr="00CF3DF8">
        <w:t>BIs</w:t>
      </w:r>
      <w:r w:rsidR="00C83008" w:rsidRPr="00CF3DF8">
        <w:t>,</w:t>
      </w:r>
      <w:r w:rsidR="0017659A" w:rsidRPr="00CF3DF8">
        <w:t xml:space="preserve"> with which the </w:t>
      </w:r>
      <w:r w:rsidR="007563A3" w:rsidRPr="00CF3DF8">
        <w:t xml:space="preserve">PCP/AP </w:t>
      </w:r>
      <w:r w:rsidR="009062A7" w:rsidRPr="00CF3DF8">
        <w:t>allocates an A-BFT</w:t>
      </w:r>
      <w:r w:rsidR="0017659A" w:rsidRPr="00CF3DF8">
        <w:t>.</w:t>
      </w:r>
    </w:p>
    <w:p w:rsidR="00C83008" w:rsidRPr="00CF3DF8" w:rsidRDefault="00C83008" w:rsidP="004D2A36"/>
    <w:p w:rsidR="004D2A36" w:rsidRPr="00CF3DF8" w:rsidRDefault="00C83008" w:rsidP="00B03B4E">
      <w:r w:rsidRPr="00CF3DF8">
        <w:t xml:space="preserve">The </w:t>
      </w:r>
      <w:r w:rsidR="004D2A36" w:rsidRPr="00CF3DF8">
        <w:t xml:space="preserve">A-BFT count </w:t>
      </w:r>
      <w:r w:rsidRPr="00CF3DF8">
        <w:t xml:space="preserve">field </w:t>
      </w:r>
      <w:r w:rsidR="004D2A36" w:rsidRPr="00CF3DF8">
        <w:t>indicates the number of A-BFTs since the PCP/AP started transmitting from the current antenna.</w:t>
      </w:r>
    </w:p>
    <w:p w:rsidR="00BE3B4E" w:rsidRPr="00CF3DF8" w:rsidRDefault="00BE3B4E" w:rsidP="004D2A36"/>
    <w:p w:rsidR="004D2A36" w:rsidRPr="00CF3DF8" w:rsidRDefault="00C83008" w:rsidP="00B03B4E">
      <w:r w:rsidRPr="00CF3DF8">
        <w:t xml:space="preserve">The </w:t>
      </w:r>
      <w:r w:rsidR="004D2A36" w:rsidRPr="00CF3DF8">
        <w:t xml:space="preserve">N A-BFT in Ant </w:t>
      </w:r>
      <w:r w:rsidRPr="00CF3DF8">
        <w:t xml:space="preserve">field </w:t>
      </w:r>
      <w:r w:rsidR="004D2A36" w:rsidRPr="00CF3DF8">
        <w:t>indicates how many A-BFTs the PCP/AP receives from each antenna- in the antenna receive rotation.</w:t>
      </w:r>
    </w:p>
    <w:p w:rsidR="00BE3B4E" w:rsidRPr="00CF3DF8" w:rsidRDefault="00BE3B4E" w:rsidP="004D2A36"/>
    <w:p w:rsidR="00EC6B7B" w:rsidRPr="00CF3DF8" w:rsidRDefault="00EC6B7B" w:rsidP="004D2A36">
      <w:pPr>
        <w:rPr>
          <w:rFonts w:ascii="TimesNewRoman" w:eastAsia="MS Mincho" w:hAnsi="TimesNewRoman"/>
        </w:rPr>
      </w:pPr>
      <w:r w:rsidRPr="00CF3DF8">
        <w:rPr>
          <w:rFonts w:ascii="TimesNewRoman" w:eastAsia="MS Mincho" w:hAnsi="TimesNewRoman" w:hint="eastAsia"/>
        </w:rPr>
        <w:t xml:space="preserve">The </w:t>
      </w:r>
      <w:r w:rsidRPr="00CF3DF8">
        <w:rPr>
          <w:rFonts w:ascii="TimesNewRoman" w:eastAsia="MS Mincho" w:hAnsi="TimesNewRoman"/>
        </w:rPr>
        <w:t xml:space="preserve">PCP </w:t>
      </w:r>
      <w:r w:rsidRPr="00CF3DF8">
        <w:rPr>
          <w:rFonts w:ascii="TimesNewRoman" w:eastAsia="MS Mincho" w:hAnsi="TimesNewRoman" w:hint="eastAsia"/>
        </w:rPr>
        <w:t xml:space="preserve">AssocReady field is set to 1 to indicate that the PCP is ready </w:t>
      </w:r>
      <w:r w:rsidRPr="00CF3DF8">
        <w:rPr>
          <w:rFonts w:ascii="TimesNewRoman" w:eastAsia="MS Mincho" w:hAnsi="TimesNewRoman"/>
        </w:rPr>
        <w:t>to receive Association Request frames from non-PCP STAs</w:t>
      </w:r>
      <w:r w:rsidRPr="00CF3DF8">
        <w:rPr>
          <w:rFonts w:ascii="TimesNewRoman" w:eastAsia="MS Mincho" w:hAnsi="TimesNewRoman" w:hint="eastAsia"/>
        </w:rPr>
        <w:t xml:space="preserve">, and is set to 0 </w:t>
      </w:r>
      <w:r w:rsidRPr="00CF3DF8">
        <w:rPr>
          <w:rFonts w:ascii="TimesNewRoman" w:eastAsia="MS Mincho" w:hAnsi="TimesNewRoman"/>
        </w:rPr>
        <w:t>otherwise</w:t>
      </w:r>
      <w:r w:rsidRPr="00CF3DF8">
        <w:rPr>
          <w:rFonts w:ascii="TimesNewRoman" w:eastAsia="MS Mincho" w:hAnsi="TimesNewRoman" w:hint="eastAsia"/>
        </w:rPr>
        <w:t>.</w:t>
      </w:r>
      <w:r w:rsidR="00D06E8E" w:rsidRPr="00CF3DF8">
        <w:rPr>
          <w:rFonts w:ascii="TimesNewRoman" w:eastAsia="MS Mincho" w:hAnsi="TimesNewRoman"/>
        </w:rPr>
        <w:t xml:space="preserve"> This field is ignored when transmitted by </w:t>
      </w:r>
      <w:r w:rsidR="004075AD">
        <w:rPr>
          <w:rFonts w:ascii="TimesNewRoman" w:eastAsia="MS Mincho" w:hAnsi="TimesNewRoman"/>
        </w:rPr>
        <w:t>a non-PCP STA</w:t>
      </w:r>
      <w:r w:rsidR="00D06E8E" w:rsidRPr="00CF3DF8">
        <w:rPr>
          <w:rFonts w:ascii="TimesNewRoman" w:eastAsia="MS Mincho" w:hAnsi="TimesNewRoman"/>
        </w:rPr>
        <w:t>.</w:t>
      </w:r>
    </w:p>
    <w:p w:rsidR="00EC6B7B" w:rsidRPr="00066F65" w:rsidRDefault="0065447D" w:rsidP="004D2A36">
      <w:pPr>
        <w:rPr>
          <w:b/>
          <w:i/>
          <w:color w:val="FF0000"/>
          <w:u w:val="single"/>
        </w:rPr>
      </w:pPr>
      <w:r w:rsidRPr="00066F65">
        <w:rPr>
          <w:b/>
          <w:i/>
          <w:color w:val="FF0000"/>
          <w:u w:val="single"/>
        </w:rPr>
        <w:t xml:space="preserve"> </w:t>
      </w:r>
    </w:p>
    <w:p w:rsidR="00693C51" w:rsidRPr="00CF3DF8" w:rsidRDefault="00693C51" w:rsidP="0016071E">
      <w:r w:rsidRPr="00CF3DF8">
        <w:t xml:space="preserve">The format of the mmWave Capability </w:t>
      </w:r>
      <w:r w:rsidR="0008174D" w:rsidRPr="00CF3DF8">
        <w:t xml:space="preserve">field </w:t>
      </w:r>
      <w:r w:rsidRPr="00CF3DF8">
        <w:t xml:space="preserve">is shown </w:t>
      </w:r>
      <w:r w:rsidR="0016071E" w:rsidRPr="00CF3DF8">
        <w:t>in</w:t>
      </w:r>
      <w:r w:rsidR="00DE192B" w:rsidRPr="00CF3DF8">
        <w:t xml:space="preserve"> </w:t>
      </w:r>
      <w:r w:rsidR="00BD151C">
        <w:fldChar w:fldCharType="begin"/>
      </w:r>
      <w:r w:rsidR="00DE192B">
        <w:instrText xml:space="preserve"> REF _Ref236392814 \h </w:instrText>
      </w:r>
      <w:r w:rsidR="00BD151C">
        <w:fldChar w:fldCharType="separate"/>
      </w:r>
      <w:r w:rsidR="003E4210" w:rsidRPr="00066F65">
        <w:t xml:space="preserve">Figure </w:t>
      </w:r>
      <w:r w:rsidR="003E4210">
        <w:rPr>
          <w:noProof/>
        </w:rPr>
        <w:t>15</w:t>
      </w:r>
      <w:r w:rsidR="00BD151C">
        <w:fldChar w:fldCharType="end"/>
      </w:r>
      <w:r w:rsidRPr="00CF3DF8">
        <w:t>.</w:t>
      </w:r>
    </w:p>
    <w:p w:rsidR="00693C51" w:rsidRPr="00066F65" w:rsidRDefault="00605931" w:rsidP="0004091F">
      <w:pPr>
        <w:rPr>
          <w:b/>
          <w:i/>
          <w:color w:val="FF0000"/>
          <w:u w:val="single"/>
        </w:rPr>
      </w:pPr>
      <w:r w:rsidRPr="00066F65">
        <w:rPr>
          <w:b/>
          <w:i/>
          <w:color w:val="FF000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1640"/>
        <w:gridCol w:w="1640"/>
        <w:gridCol w:w="1791"/>
        <w:gridCol w:w="1791"/>
      </w:tblGrid>
      <w:tr w:rsidR="005739F2" w:rsidRPr="00066F65" w:rsidTr="00544787">
        <w:trPr>
          <w:jc w:val="center"/>
        </w:trPr>
        <w:tc>
          <w:tcPr>
            <w:tcW w:w="790" w:type="dxa"/>
          </w:tcPr>
          <w:p w:rsidR="005739F2" w:rsidRPr="00CF3DF8" w:rsidRDefault="005739F2" w:rsidP="00D0037C">
            <w:pPr>
              <w:jc w:val="both"/>
              <w:rPr>
                <w:rFonts w:eastAsia="SimSun"/>
              </w:rPr>
            </w:pPr>
          </w:p>
        </w:tc>
        <w:tc>
          <w:tcPr>
            <w:tcW w:w="1640" w:type="dxa"/>
          </w:tcPr>
          <w:p w:rsidR="005739F2" w:rsidRPr="00CF3DF8" w:rsidRDefault="005739F2" w:rsidP="00D0037C">
            <w:pPr>
              <w:jc w:val="both"/>
              <w:rPr>
                <w:rFonts w:eastAsia="SimSun"/>
              </w:rPr>
            </w:pPr>
            <w:r w:rsidRPr="00CF3DF8">
              <w:rPr>
                <w:rFonts w:eastAsia="SimSun"/>
              </w:rPr>
              <w:t>BSS type</w:t>
            </w:r>
            <w:r w:rsidRPr="00CF3DF8">
              <w:rPr>
                <w:rFonts w:eastAsia="SimSun"/>
                <w:b/>
                <w:i/>
              </w:rPr>
              <w:t xml:space="preserve"> </w:t>
            </w:r>
          </w:p>
        </w:tc>
        <w:tc>
          <w:tcPr>
            <w:tcW w:w="1640" w:type="dxa"/>
          </w:tcPr>
          <w:p w:rsidR="005739F2" w:rsidRPr="00CF3DF8" w:rsidRDefault="005739F2" w:rsidP="00D0037C">
            <w:pPr>
              <w:jc w:val="both"/>
              <w:rPr>
                <w:rFonts w:eastAsia="SimSun"/>
              </w:rPr>
            </w:pPr>
            <w:r w:rsidRPr="00CF3DF8">
              <w:rPr>
                <w:rFonts w:eastAsia="SimSun"/>
              </w:rPr>
              <w:t xml:space="preserve">CBP only </w:t>
            </w:r>
          </w:p>
        </w:tc>
        <w:tc>
          <w:tcPr>
            <w:tcW w:w="1791" w:type="dxa"/>
          </w:tcPr>
          <w:p w:rsidR="005739F2" w:rsidRPr="00CF3DF8" w:rsidRDefault="005739F2" w:rsidP="00D0037C">
            <w:pPr>
              <w:jc w:val="both"/>
              <w:rPr>
                <w:rFonts w:eastAsia="SimSun"/>
              </w:rPr>
            </w:pPr>
            <w:r w:rsidRPr="00CF3DF8">
              <w:rPr>
                <w:rFonts w:eastAsia="SimSun"/>
              </w:rPr>
              <w:t>mmWave Privacy</w:t>
            </w:r>
          </w:p>
        </w:tc>
        <w:tc>
          <w:tcPr>
            <w:tcW w:w="1791" w:type="dxa"/>
          </w:tcPr>
          <w:p w:rsidR="005739F2" w:rsidRPr="00CF3DF8" w:rsidRDefault="005739F2" w:rsidP="00D0037C">
            <w:pPr>
              <w:jc w:val="both"/>
              <w:rPr>
                <w:rFonts w:eastAsia="SimSun"/>
              </w:rPr>
            </w:pPr>
            <w:r w:rsidRPr="00CF3DF8">
              <w:rPr>
                <w:rFonts w:eastAsia="SimSun"/>
              </w:rPr>
              <w:t>Reserved</w:t>
            </w:r>
            <w:r w:rsidR="00281486" w:rsidRPr="00CF3DF8">
              <w:rPr>
                <w:rFonts w:eastAsia="SimSun"/>
              </w:rPr>
              <w:t xml:space="preserve"> </w:t>
            </w:r>
          </w:p>
        </w:tc>
      </w:tr>
      <w:tr w:rsidR="005739F2" w:rsidRPr="00066F65" w:rsidTr="00544787">
        <w:trPr>
          <w:jc w:val="center"/>
        </w:trPr>
        <w:tc>
          <w:tcPr>
            <w:tcW w:w="790" w:type="dxa"/>
          </w:tcPr>
          <w:p w:rsidR="005739F2" w:rsidRPr="00CF3DF8" w:rsidRDefault="005739F2" w:rsidP="00D0037C">
            <w:pPr>
              <w:jc w:val="both"/>
              <w:rPr>
                <w:rFonts w:eastAsia="SimSun"/>
              </w:rPr>
            </w:pPr>
            <w:r w:rsidRPr="00CF3DF8">
              <w:rPr>
                <w:rFonts w:eastAsia="SimSun"/>
              </w:rPr>
              <w:t>Bits:</w:t>
            </w:r>
          </w:p>
        </w:tc>
        <w:tc>
          <w:tcPr>
            <w:tcW w:w="1640" w:type="dxa"/>
          </w:tcPr>
          <w:p w:rsidR="005739F2" w:rsidRPr="00CF3DF8" w:rsidRDefault="005739F2" w:rsidP="00D0037C">
            <w:pPr>
              <w:jc w:val="both"/>
              <w:rPr>
                <w:rFonts w:eastAsia="SimSun"/>
              </w:rPr>
            </w:pPr>
            <w:r w:rsidRPr="00CF3DF8">
              <w:rPr>
                <w:rFonts w:eastAsia="SimSun"/>
              </w:rPr>
              <w:t>B0-B1</w:t>
            </w:r>
          </w:p>
        </w:tc>
        <w:tc>
          <w:tcPr>
            <w:tcW w:w="1640" w:type="dxa"/>
          </w:tcPr>
          <w:p w:rsidR="005739F2" w:rsidRPr="00CF3DF8" w:rsidRDefault="005739F2" w:rsidP="00D0037C">
            <w:pPr>
              <w:jc w:val="both"/>
              <w:rPr>
                <w:rFonts w:eastAsia="SimSun"/>
              </w:rPr>
            </w:pPr>
            <w:r w:rsidRPr="00CF3DF8">
              <w:rPr>
                <w:rFonts w:eastAsia="SimSun"/>
              </w:rPr>
              <w:t xml:space="preserve">B2 </w:t>
            </w:r>
          </w:p>
        </w:tc>
        <w:tc>
          <w:tcPr>
            <w:tcW w:w="1791" w:type="dxa"/>
          </w:tcPr>
          <w:p w:rsidR="005739F2" w:rsidRPr="00CF3DF8" w:rsidRDefault="005739F2" w:rsidP="00D0037C">
            <w:pPr>
              <w:jc w:val="both"/>
              <w:rPr>
                <w:rFonts w:eastAsia="SimSun"/>
              </w:rPr>
            </w:pPr>
            <w:r w:rsidRPr="00CF3DF8">
              <w:rPr>
                <w:rFonts w:eastAsia="SimSun"/>
              </w:rPr>
              <w:t>B3</w:t>
            </w:r>
          </w:p>
        </w:tc>
        <w:tc>
          <w:tcPr>
            <w:tcW w:w="1791" w:type="dxa"/>
          </w:tcPr>
          <w:p w:rsidR="005739F2" w:rsidRPr="00CF3DF8" w:rsidRDefault="005739F2" w:rsidP="005739F2">
            <w:pPr>
              <w:jc w:val="both"/>
              <w:rPr>
                <w:rFonts w:eastAsia="SimSun"/>
              </w:rPr>
            </w:pPr>
            <w:r w:rsidRPr="00CF3DF8">
              <w:rPr>
                <w:rFonts w:eastAsia="SimSun"/>
              </w:rPr>
              <w:t>B4-B7</w:t>
            </w:r>
          </w:p>
        </w:tc>
      </w:tr>
    </w:tbl>
    <w:p w:rsidR="00D7766A" w:rsidRPr="00066F65" w:rsidRDefault="00914A4B" w:rsidP="00BA5BC4">
      <w:pPr>
        <w:pStyle w:val="Caption"/>
      </w:pPr>
      <w:bookmarkStart w:id="331" w:name="_Ref236392814"/>
      <w:bookmarkStart w:id="332" w:name="_Toc228204094"/>
      <w:bookmarkStart w:id="333" w:name="_Toc259717447"/>
      <w:r w:rsidRPr="00066F65">
        <w:t xml:space="preserve">Figure </w:t>
      </w:r>
      <w:r w:rsidR="00BD151C">
        <w:fldChar w:fldCharType="begin"/>
      </w:r>
      <w:r w:rsidR="00801316">
        <w:instrText xml:space="preserve"> SEQ Figure \* ARABIC </w:instrText>
      </w:r>
      <w:r w:rsidR="00BD151C">
        <w:fldChar w:fldCharType="separate"/>
      </w:r>
      <w:r w:rsidR="003E4210">
        <w:rPr>
          <w:noProof/>
        </w:rPr>
        <w:t>15</w:t>
      </w:r>
      <w:r w:rsidR="00BD151C">
        <w:fldChar w:fldCharType="end"/>
      </w:r>
      <w:bookmarkEnd w:id="331"/>
      <w:r w:rsidR="00030B67" w:rsidRPr="00066F65">
        <w:t xml:space="preserve"> </w:t>
      </w:r>
      <w:r w:rsidR="00D7766A" w:rsidRPr="00066F65">
        <w:rPr>
          <w:noProof/>
        </w:rPr>
        <w:t xml:space="preserve">– </w:t>
      </w:r>
      <w:bookmarkEnd w:id="332"/>
      <w:r w:rsidR="00D7766A" w:rsidRPr="00066F65">
        <w:rPr>
          <w:noProof/>
        </w:rPr>
        <w:t>mmWave Capability</w:t>
      </w:r>
      <w:bookmarkEnd w:id="333"/>
    </w:p>
    <w:p w:rsidR="004F2855" w:rsidRPr="00CF3DF8" w:rsidRDefault="004F2855" w:rsidP="004F2855"/>
    <w:p w:rsidR="00D7766A" w:rsidRPr="00CF3DF8" w:rsidRDefault="004F2855" w:rsidP="004F2855">
      <w:r w:rsidRPr="00CF3DF8">
        <w:t xml:space="preserve">The BSS type field </w:t>
      </w:r>
      <w:r w:rsidR="00D7766A" w:rsidRPr="00CF3DF8">
        <w:t xml:space="preserve">indicates the </w:t>
      </w:r>
      <w:r w:rsidRPr="00CF3DF8">
        <w:t xml:space="preserve">type of </w:t>
      </w:r>
      <w:r w:rsidR="00D7766A" w:rsidRPr="00CF3DF8">
        <w:t xml:space="preserve">BSS </w:t>
      </w:r>
      <w:r w:rsidRPr="00CF3DF8">
        <w:t xml:space="preserve">established by the STA transmitting the mmWave Beacon </w:t>
      </w:r>
      <w:r w:rsidR="00D7766A" w:rsidRPr="00CF3DF8">
        <w:t>as follows:</w:t>
      </w:r>
    </w:p>
    <w:p w:rsidR="00D7766A" w:rsidRPr="00CF3DF8" w:rsidRDefault="00D7766A" w:rsidP="00D776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
        <w:gridCol w:w="497"/>
        <w:gridCol w:w="2009"/>
        <w:gridCol w:w="1967"/>
      </w:tblGrid>
      <w:tr w:rsidR="00794082" w:rsidRPr="00066F65" w:rsidTr="00794082">
        <w:trPr>
          <w:jc w:val="center"/>
        </w:trPr>
        <w:tc>
          <w:tcPr>
            <w:tcW w:w="0" w:type="auto"/>
          </w:tcPr>
          <w:p w:rsidR="00794082" w:rsidRPr="00CF3DF8" w:rsidRDefault="00794082" w:rsidP="00D0037C">
            <w:pPr>
              <w:jc w:val="both"/>
              <w:rPr>
                <w:rFonts w:eastAsia="SimSun"/>
                <w:b/>
              </w:rPr>
            </w:pPr>
            <w:r w:rsidRPr="00CF3DF8">
              <w:rPr>
                <w:rFonts w:eastAsia="SimSun"/>
                <w:b/>
              </w:rPr>
              <w:t xml:space="preserve">B0 </w:t>
            </w:r>
          </w:p>
        </w:tc>
        <w:tc>
          <w:tcPr>
            <w:tcW w:w="0" w:type="auto"/>
          </w:tcPr>
          <w:p w:rsidR="00794082" w:rsidRPr="00CF3DF8" w:rsidRDefault="00794082" w:rsidP="00D0037C">
            <w:pPr>
              <w:jc w:val="both"/>
              <w:rPr>
                <w:rFonts w:eastAsia="SimSun"/>
                <w:b/>
              </w:rPr>
            </w:pPr>
            <w:r w:rsidRPr="00CF3DF8">
              <w:rPr>
                <w:rFonts w:eastAsia="SimSun"/>
                <w:b/>
              </w:rPr>
              <w:t>B1</w:t>
            </w:r>
          </w:p>
        </w:tc>
        <w:tc>
          <w:tcPr>
            <w:tcW w:w="0" w:type="auto"/>
          </w:tcPr>
          <w:p w:rsidR="00794082" w:rsidRPr="00CF3DF8" w:rsidRDefault="00794082" w:rsidP="00D0037C">
            <w:pPr>
              <w:jc w:val="both"/>
              <w:rPr>
                <w:rFonts w:eastAsia="SimSun"/>
                <w:b/>
              </w:rPr>
            </w:pPr>
            <w:r w:rsidRPr="00CF3DF8">
              <w:rPr>
                <w:rFonts w:eastAsia="SimSun"/>
                <w:b/>
              </w:rPr>
              <w:t>BSS type</w:t>
            </w:r>
          </w:p>
        </w:tc>
        <w:tc>
          <w:tcPr>
            <w:tcW w:w="1967" w:type="dxa"/>
          </w:tcPr>
          <w:p w:rsidR="00794082" w:rsidRPr="00CF3DF8" w:rsidRDefault="00794082" w:rsidP="00794082">
            <w:pPr>
              <w:rPr>
                <w:rFonts w:eastAsia="SimSun"/>
                <w:b/>
              </w:rPr>
            </w:pPr>
            <w:r>
              <w:rPr>
                <w:rFonts w:eastAsia="SimSun"/>
                <w:b/>
              </w:rPr>
              <w:t>Transmitted by mSTA</w:t>
            </w:r>
            <w:r w:rsidR="00D11F2E">
              <w:rPr>
                <w:rFonts w:eastAsia="SimSun"/>
                <w:b/>
              </w:rPr>
              <w:t xml:space="preserve"> </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t xml:space="preserve">1 </w:t>
            </w:r>
          </w:p>
        </w:tc>
        <w:tc>
          <w:tcPr>
            <w:tcW w:w="0" w:type="auto"/>
          </w:tcPr>
          <w:p w:rsidR="00794082" w:rsidRPr="00CF3DF8" w:rsidRDefault="00794082" w:rsidP="00D0037C">
            <w:pPr>
              <w:jc w:val="both"/>
              <w:rPr>
                <w:rFonts w:eastAsia="SimSun"/>
              </w:rPr>
            </w:pPr>
            <w:r w:rsidRPr="00CF3DF8">
              <w:rPr>
                <w:rFonts w:eastAsia="SimSun"/>
              </w:rPr>
              <w:t>1</w:t>
            </w:r>
          </w:p>
        </w:tc>
        <w:tc>
          <w:tcPr>
            <w:tcW w:w="0" w:type="auto"/>
          </w:tcPr>
          <w:p w:rsidR="00794082" w:rsidRPr="00CF3DF8" w:rsidRDefault="00794082" w:rsidP="00D0037C">
            <w:pPr>
              <w:jc w:val="both"/>
              <w:rPr>
                <w:rFonts w:eastAsia="SimSun"/>
              </w:rPr>
            </w:pPr>
            <w:r w:rsidRPr="00CF3DF8">
              <w:rPr>
                <w:rFonts w:eastAsia="SimSun"/>
              </w:rPr>
              <w:t xml:space="preserve">Infrastructure BSS </w:t>
            </w:r>
          </w:p>
        </w:tc>
        <w:tc>
          <w:tcPr>
            <w:tcW w:w="1967" w:type="dxa"/>
          </w:tcPr>
          <w:p w:rsidR="00794082" w:rsidRPr="00CF3DF8" w:rsidRDefault="00794082" w:rsidP="00D0037C">
            <w:pPr>
              <w:jc w:val="both"/>
              <w:rPr>
                <w:rFonts w:eastAsia="SimSun"/>
              </w:rPr>
            </w:pPr>
            <w:r>
              <w:rPr>
                <w:rFonts w:eastAsia="SimSun"/>
              </w:rPr>
              <w:t>AP</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t xml:space="preserve">1 </w:t>
            </w:r>
          </w:p>
        </w:tc>
        <w:tc>
          <w:tcPr>
            <w:tcW w:w="0" w:type="auto"/>
          </w:tcPr>
          <w:p w:rsidR="00794082" w:rsidRPr="00CF3DF8" w:rsidRDefault="00794082" w:rsidP="00D0037C">
            <w:pPr>
              <w:jc w:val="both"/>
              <w:rPr>
                <w:rFonts w:eastAsia="SimSun"/>
              </w:rPr>
            </w:pPr>
            <w:r w:rsidRPr="00CF3DF8">
              <w:rPr>
                <w:rFonts w:eastAsia="SimSun"/>
              </w:rPr>
              <w:t>0</w:t>
            </w:r>
          </w:p>
        </w:tc>
        <w:tc>
          <w:tcPr>
            <w:tcW w:w="0" w:type="auto"/>
          </w:tcPr>
          <w:p w:rsidR="00794082" w:rsidRPr="00CF3DF8" w:rsidRDefault="00794082" w:rsidP="00D0037C">
            <w:pPr>
              <w:jc w:val="both"/>
              <w:rPr>
                <w:rFonts w:eastAsia="SimSun"/>
              </w:rPr>
            </w:pPr>
            <w:r w:rsidRPr="00CF3DF8">
              <w:rPr>
                <w:rFonts w:eastAsia="SimSun"/>
              </w:rPr>
              <w:t>PBSS</w:t>
            </w:r>
          </w:p>
        </w:tc>
        <w:tc>
          <w:tcPr>
            <w:tcW w:w="1967" w:type="dxa"/>
          </w:tcPr>
          <w:p w:rsidR="00794082" w:rsidRPr="00CF3DF8" w:rsidRDefault="00794082" w:rsidP="00D0037C">
            <w:pPr>
              <w:jc w:val="both"/>
              <w:rPr>
                <w:rFonts w:eastAsia="SimSun"/>
              </w:rPr>
            </w:pPr>
            <w:r>
              <w:rPr>
                <w:rFonts w:eastAsia="SimSun"/>
              </w:rPr>
              <w:t>PCP</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t xml:space="preserve">0 </w:t>
            </w:r>
          </w:p>
        </w:tc>
        <w:tc>
          <w:tcPr>
            <w:tcW w:w="0" w:type="auto"/>
          </w:tcPr>
          <w:p w:rsidR="00794082" w:rsidRPr="00CF3DF8" w:rsidRDefault="00794082" w:rsidP="00D0037C">
            <w:pPr>
              <w:jc w:val="both"/>
              <w:rPr>
                <w:rFonts w:eastAsia="SimSun"/>
              </w:rPr>
            </w:pPr>
            <w:r w:rsidRPr="00CF3DF8">
              <w:rPr>
                <w:rFonts w:eastAsia="SimSun"/>
              </w:rPr>
              <w:t>1</w:t>
            </w:r>
          </w:p>
        </w:tc>
        <w:tc>
          <w:tcPr>
            <w:tcW w:w="0" w:type="auto"/>
          </w:tcPr>
          <w:p w:rsidR="00794082" w:rsidRPr="00CF3DF8" w:rsidRDefault="00794082" w:rsidP="00D0037C">
            <w:pPr>
              <w:jc w:val="both"/>
              <w:rPr>
                <w:rFonts w:eastAsia="SimSun"/>
              </w:rPr>
            </w:pPr>
            <w:r w:rsidRPr="00CF3DF8">
              <w:rPr>
                <w:rFonts w:eastAsia="SimSun"/>
              </w:rPr>
              <w:t>IBSS</w:t>
            </w:r>
          </w:p>
        </w:tc>
        <w:tc>
          <w:tcPr>
            <w:tcW w:w="1967" w:type="dxa"/>
          </w:tcPr>
          <w:p w:rsidR="00794082" w:rsidRPr="00CF3DF8" w:rsidRDefault="00794082" w:rsidP="00D0037C">
            <w:pPr>
              <w:jc w:val="both"/>
              <w:rPr>
                <w:rFonts w:eastAsia="SimSun"/>
              </w:rPr>
            </w:pPr>
            <w:r>
              <w:rPr>
                <w:rFonts w:eastAsia="SimSun"/>
              </w:rPr>
              <w:t xml:space="preserve">Any non-AP and </w:t>
            </w:r>
            <w:r>
              <w:rPr>
                <w:rFonts w:eastAsia="SimSun"/>
              </w:rPr>
              <w:lastRenderedPageBreak/>
              <w:t>non-PCP mSTA</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lastRenderedPageBreak/>
              <w:t xml:space="preserve">0 </w:t>
            </w:r>
          </w:p>
        </w:tc>
        <w:tc>
          <w:tcPr>
            <w:tcW w:w="0" w:type="auto"/>
          </w:tcPr>
          <w:p w:rsidR="00794082" w:rsidRPr="00CF3DF8" w:rsidRDefault="00794082" w:rsidP="00D0037C">
            <w:pPr>
              <w:jc w:val="both"/>
              <w:rPr>
                <w:rFonts w:eastAsia="SimSun"/>
              </w:rPr>
            </w:pPr>
            <w:r w:rsidRPr="00CF3DF8">
              <w:rPr>
                <w:rFonts w:eastAsia="SimSun"/>
              </w:rPr>
              <w:t>0</w:t>
            </w:r>
          </w:p>
        </w:tc>
        <w:tc>
          <w:tcPr>
            <w:tcW w:w="0" w:type="auto"/>
          </w:tcPr>
          <w:p w:rsidR="00794082" w:rsidRPr="00CF3DF8" w:rsidRDefault="00794082" w:rsidP="00D0037C">
            <w:pPr>
              <w:jc w:val="both"/>
              <w:rPr>
                <w:rFonts w:eastAsia="SimSun"/>
              </w:rPr>
            </w:pPr>
            <w:r w:rsidRPr="00CF3DF8">
              <w:rPr>
                <w:rFonts w:eastAsia="SimSun"/>
              </w:rPr>
              <w:t>Reserved</w:t>
            </w:r>
          </w:p>
        </w:tc>
        <w:tc>
          <w:tcPr>
            <w:tcW w:w="1967" w:type="dxa"/>
          </w:tcPr>
          <w:p w:rsidR="00794082" w:rsidRPr="00CF3DF8" w:rsidRDefault="00794082" w:rsidP="00D0037C">
            <w:pPr>
              <w:jc w:val="both"/>
              <w:rPr>
                <w:rFonts w:eastAsia="SimSun"/>
              </w:rPr>
            </w:pPr>
          </w:p>
        </w:tc>
      </w:tr>
    </w:tbl>
    <w:p w:rsidR="00D7766A" w:rsidRDefault="00D7766A" w:rsidP="00D7766A"/>
    <w:p w:rsidR="00794082" w:rsidRPr="00CF3DF8" w:rsidRDefault="00794082" w:rsidP="00D7766A">
      <w:r>
        <w:t xml:space="preserve">The BSS type field is ignored if the </w:t>
      </w:r>
      <w:r w:rsidR="00A838EA">
        <w:t>t</w:t>
      </w:r>
      <w:r w:rsidRPr="00CF3DF8">
        <w:t>he Discovery Mode field is set to one</w:t>
      </w:r>
      <w:r w:rsidR="00901130">
        <w:t>.</w:t>
      </w:r>
      <w:r w:rsidR="00D11F2E">
        <w:t xml:space="preserve"> </w:t>
      </w:r>
    </w:p>
    <w:p w:rsidR="00A838EA" w:rsidRDefault="00A838EA" w:rsidP="00860F63">
      <w:pPr>
        <w:autoSpaceDE w:val="0"/>
        <w:autoSpaceDN w:val="0"/>
        <w:adjustRightInd w:val="0"/>
      </w:pPr>
    </w:p>
    <w:p w:rsidR="00D7766A" w:rsidRPr="00CF3DF8" w:rsidRDefault="004F2855" w:rsidP="00860F63">
      <w:pPr>
        <w:autoSpaceDE w:val="0"/>
        <w:autoSpaceDN w:val="0"/>
        <w:adjustRightInd w:val="0"/>
      </w:pPr>
      <w:r w:rsidRPr="00CF3DF8">
        <w:t>The CBP only field</w:t>
      </w:r>
      <w:r w:rsidR="00281486" w:rsidRPr="00CF3DF8">
        <w:t xml:space="preserve"> </w:t>
      </w:r>
      <w:r w:rsidR="00D7766A" w:rsidRPr="00CF3DF8">
        <w:t>indicates the type of link access provided by the PCP</w:t>
      </w:r>
      <w:r w:rsidR="00CE6864" w:rsidRPr="00CF3DF8">
        <w:t>/AP</w:t>
      </w:r>
      <w:r w:rsidR="00860F63" w:rsidRPr="00CF3DF8">
        <w:t xml:space="preserve"> </w:t>
      </w:r>
      <w:r w:rsidR="00D7766A" w:rsidRPr="00CF3DF8">
        <w:t>in the DTT of the BI. An AP/PCP</w:t>
      </w:r>
      <w:r w:rsidR="00860F63" w:rsidRPr="00CF3DF8">
        <w:t xml:space="preserve"> </w:t>
      </w:r>
      <w:r w:rsidR="00D7766A" w:rsidRPr="00CF3DF8">
        <w:t xml:space="preserve">sets the CBP only bit to 1 when the entirety of the DTT portion of the BI is allocated </w:t>
      </w:r>
      <w:r w:rsidRPr="00CF3DF8">
        <w:t>as a CBP</w:t>
      </w:r>
      <w:r w:rsidR="00281486" w:rsidRPr="00CF3DF8">
        <w:t xml:space="preserve"> </w:t>
      </w:r>
      <w:r w:rsidR="00D7766A" w:rsidRPr="00CF3DF8">
        <w:t>for random access. An AP/PCP</w:t>
      </w:r>
      <w:r w:rsidR="00281486" w:rsidRPr="00CF3DF8">
        <w:t xml:space="preserve"> </w:t>
      </w:r>
      <w:r w:rsidR="00D7766A" w:rsidRPr="00CF3DF8">
        <w:t xml:space="preserve">sets the CBP only bit to 0 when the allocation of the DTT portion of the BI is provided by the AP/PCP </w:t>
      </w:r>
      <w:r w:rsidRPr="00CF3DF8">
        <w:t xml:space="preserve">through </w:t>
      </w:r>
      <w:r w:rsidR="00D7766A" w:rsidRPr="00CF3DF8">
        <w:t xml:space="preserve">the </w:t>
      </w:r>
      <w:r w:rsidRPr="00CF3DF8">
        <w:t>Extended S</w:t>
      </w:r>
      <w:r w:rsidR="00D7766A" w:rsidRPr="00CF3DF8">
        <w:t>chedule</w:t>
      </w:r>
      <w:r w:rsidRPr="00CF3DF8">
        <w:t xml:space="preserve"> </w:t>
      </w:r>
      <w:r w:rsidR="00D7766A" w:rsidRPr="00CF3DF8">
        <w:t>element.</w:t>
      </w:r>
    </w:p>
    <w:p w:rsidR="00C32C15" w:rsidRPr="00CF3DF8" w:rsidRDefault="00C32C15" w:rsidP="0004091F"/>
    <w:p w:rsidR="005739F2" w:rsidRPr="00CF3DF8" w:rsidRDefault="005739F2" w:rsidP="0004091F">
      <w:pPr>
        <w:rPr>
          <w:i/>
        </w:rPr>
      </w:pPr>
      <w:r w:rsidRPr="00CF3DF8">
        <w:t>The mmWave Privacy subfield is set to 1 if dot11RSNAEnabled is true. Otherwise, this subfield is set to 0</w:t>
      </w:r>
      <w:r w:rsidRPr="00CF3DF8">
        <w:rPr>
          <w:i/>
        </w:rPr>
        <w:t>.</w:t>
      </w:r>
    </w:p>
    <w:p w:rsidR="005739F2" w:rsidRPr="00CF3DF8" w:rsidRDefault="005739F2" w:rsidP="0004091F"/>
    <w:p w:rsidR="008C36FC" w:rsidRPr="00DF33B1" w:rsidRDefault="008C36FC" w:rsidP="00860F63">
      <w:r w:rsidRPr="00CF3DF8">
        <w:t>The format of the PCP</w:t>
      </w:r>
      <w:r w:rsidR="00CE6864" w:rsidRPr="00CF3DF8">
        <w:t>/AP</w:t>
      </w:r>
      <w:r w:rsidR="00860F63" w:rsidRPr="00CF3DF8">
        <w:t xml:space="preserve"> </w:t>
      </w:r>
      <w:r w:rsidRPr="00CF3DF8">
        <w:t xml:space="preserve">Clustering Control field is shown in </w:t>
      </w:r>
      <w:r w:rsidR="00BD151C">
        <w:fldChar w:fldCharType="begin"/>
      </w:r>
      <w:r w:rsidR="003C224E">
        <w:instrText xml:space="preserve"> REF _Ref236392892 \h </w:instrText>
      </w:r>
      <w:r w:rsidR="00BD151C">
        <w:fldChar w:fldCharType="separate"/>
      </w:r>
      <w:r w:rsidR="003E4210" w:rsidRPr="00066F65">
        <w:t xml:space="preserve">Figure </w:t>
      </w:r>
      <w:r w:rsidR="003E4210">
        <w:rPr>
          <w:noProof/>
        </w:rPr>
        <w:t>16</w:t>
      </w:r>
      <w:r w:rsidR="00BD151C">
        <w:fldChar w:fldCharType="end"/>
      </w:r>
      <w:r w:rsidR="005B67E2" w:rsidRPr="00DF33B1">
        <w:t>.</w:t>
      </w:r>
    </w:p>
    <w:p w:rsidR="008C36FC" w:rsidRPr="00DF33B1" w:rsidRDefault="008C36FC" w:rsidP="000409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
        <w:gridCol w:w="1297"/>
        <w:gridCol w:w="2185"/>
        <w:gridCol w:w="1360"/>
        <w:gridCol w:w="2169"/>
        <w:gridCol w:w="2323"/>
      </w:tblGrid>
      <w:tr w:rsidR="00A4352C" w:rsidRPr="00066F65" w:rsidTr="00A4352C">
        <w:tc>
          <w:tcPr>
            <w:tcW w:w="387" w:type="pct"/>
          </w:tcPr>
          <w:p w:rsidR="00A4352C" w:rsidRPr="00DF33B1" w:rsidRDefault="00A4352C" w:rsidP="00D0037C">
            <w:pPr>
              <w:jc w:val="both"/>
              <w:rPr>
                <w:rFonts w:eastAsia="SimSun"/>
              </w:rPr>
            </w:pPr>
          </w:p>
        </w:tc>
        <w:tc>
          <w:tcPr>
            <w:tcW w:w="641" w:type="pct"/>
          </w:tcPr>
          <w:p w:rsidR="00A4352C" w:rsidRPr="00DF33B1" w:rsidRDefault="00A4352C" w:rsidP="00D0037C">
            <w:pPr>
              <w:jc w:val="both"/>
              <w:rPr>
                <w:rFonts w:eastAsia="SimSun"/>
              </w:rPr>
            </w:pPr>
            <w:r>
              <w:rPr>
                <w:rFonts w:eastAsia="SimSun"/>
              </w:rPr>
              <w:t>Reserved</w:t>
            </w:r>
          </w:p>
        </w:tc>
        <w:tc>
          <w:tcPr>
            <w:tcW w:w="1080" w:type="pct"/>
          </w:tcPr>
          <w:p w:rsidR="00A4352C" w:rsidRPr="00DF33B1" w:rsidRDefault="00A4352C" w:rsidP="00D0037C">
            <w:pPr>
              <w:jc w:val="both"/>
              <w:rPr>
                <w:rFonts w:eastAsia="SimSun"/>
              </w:rPr>
            </w:pPr>
            <w:r w:rsidRPr="00DF33B1">
              <w:rPr>
                <w:rFonts w:eastAsia="SimSun"/>
              </w:rPr>
              <w:t xml:space="preserve">ClusterMemRole </w:t>
            </w:r>
          </w:p>
        </w:tc>
        <w:tc>
          <w:tcPr>
            <w:tcW w:w="672" w:type="pct"/>
          </w:tcPr>
          <w:p w:rsidR="00A4352C" w:rsidRPr="00DF33B1" w:rsidRDefault="00A4352C" w:rsidP="00D0037C">
            <w:pPr>
              <w:jc w:val="both"/>
              <w:rPr>
                <w:rFonts w:eastAsia="SimSun"/>
              </w:rPr>
            </w:pPr>
            <w:r w:rsidRPr="00DF33B1">
              <w:rPr>
                <w:rFonts w:eastAsia="SimSun"/>
              </w:rPr>
              <w:t>ClusterID</w:t>
            </w:r>
          </w:p>
        </w:tc>
        <w:tc>
          <w:tcPr>
            <w:tcW w:w="1072" w:type="pct"/>
          </w:tcPr>
          <w:p w:rsidR="00A4352C" w:rsidRPr="00DF33B1" w:rsidRDefault="00A4352C" w:rsidP="00D0037C">
            <w:pPr>
              <w:jc w:val="both"/>
              <w:rPr>
                <w:rFonts w:eastAsia="SimSun"/>
              </w:rPr>
            </w:pPr>
            <w:r w:rsidRPr="00DF33B1">
              <w:rPr>
                <w:rFonts w:eastAsia="SimSun"/>
              </w:rPr>
              <w:t>ClusterMaxMem</w:t>
            </w:r>
          </w:p>
        </w:tc>
        <w:tc>
          <w:tcPr>
            <w:tcW w:w="1149" w:type="pct"/>
          </w:tcPr>
          <w:p w:rsidR="00A4352C" w:rsidRPr="00DF33B1" w:rsidRDefault="00A4352C" w:rsidP="00D0037C">
            <w:pPr>
              <w:jc w:val="both"/>
              <w:rPr>
                <w:rFonts w:eastAsia="SimSun"/>
              </w:rPr>
            </w:pPr>
            <w:r w:rsidRPr="00DF33B1">
              <w:rPr>
                <w:rFonts w:eastAsia="SimSun"/>
              </w:rPr>
              <w:t xml:space="preserve">ClusterTimeInterv </w:t>
            </w:r>
          </w:p>
        </w:tc>
      </w:tr>
      <w:tr w:rsidR="00A4352C" w:rsidRPr="00066F65" w:rsidTr="00A4352C">
        <w:tc>
          <w:tcPr>
            <w:tcW w:w="387" w:type="pct"/>
          </w:tcPr>
          <w:p w:rsidR="00A4352C" w:rsidRPr="00DF33B1" w:rsidRDefault="00A4352C" w:rsidP="00D0037C">
            <w:pPr>
              <w:jc w:val="both"/>
              <w:rPr>
                <w:rFonts w:eastAsia="SimSun"/>
              </w:rPr>
            </w:pPr>
            <w:r w:rsidRPr="00DF33B1">
              <w:rPr>
                <w:rFonts w:eastAsia="SimSun"/>
              </w:rPr>
              <w:t>Bits:</w:t>
            </w:r>
          </w:p>
        </w:tc>
        <w:tc>
          <w:tcPr>
            <w:tcW w:w="641" w:type="pct"/>
          </w:tcPr>
          <w:p w:rsidR="00A4352C" w:rsidRPr="00DF33B1" w:rsidRDefault="00A4352C" w:rsidP="00D0037C">
            <w:pPr>
              <w:jc w:val="both"/>
              <w:rPr>
                <w:rFonts w:eastAsia="SimSun"/>
              </w:rPr>
            </w:pPr>
            <w:r>
              <w:rPr>
                <w:rFonts w:eastAsia="SimSun"/>
              </w:rPr>
              <w:t>B0</w:t>
            </w:r>
          </w:p>
        </w:tc>
        <w:tc>
          <w:tcPr>
            <w:tcW w:w="1080" w:type="pct"/>
          </w:tcPr>
          <w:p w:rsidR="00A4352C" w:rsidRPr="00DF33B1" w:rsidRDefault="00A4352C" w:rsidP="00D0037C">
            <w:pPr>
              <w:jc w:val="both"/>
              <w:rPr>
                <w:rFonts w:eastAsia="SimSun"/>
              </w:rPr>
            </w:pPr>
            <w:r w:rsidRPr="00DF33B1">
              <w:rPr>
                <w:rFonts w:eastAsia="SimSun"/>
              </w:rPr>
              <w:t>B1-B2</w:t>
            </w:r>
          </w:p>
        </w:tc>
        <w:tc>
          <w:tcPr>
            <w:tcW w:w="672" w:type="pct"/>
          </w:tcPr>
          <w:p w:rsidR="00A4352C" w:rsidRPr="00DF33B1" w:rsidRDefault="00A4352C" w:rsidP="00D0037C">
            <w:pPr>
              <w:jc w:val="both"/>
              <w:rPr>
                <w:rFonts w:eastAsia="SimSun"/>
              </w:rPr>
            </w:pPr>
            <w:r w:rsidRPr="00DF33B1">
              <w:rPr>
                <w:rFonts w:eastAsia="SimSun"/>
              </w:rPr>
              <w:t>B3-B50</w:t>
            </w:r>
          </w:p>
        </w:tc>
        <w:tc>
          <w:tcPr>
            <w:tcW w:w="1072" w:type="pct"/>
          </w:tcPr>
          <w:p w:rsidR="00A4352C" w:rsidRPr="00DF33B1" w:rsidRDefault="00A4352C" w:rsidP="00D0037C">
            <w:pPr>
              <w:jc w:val="both"/>
              <w:rPr>
                <w:rFonts w:eastAsia="SimSun"/>
              </w:rPr>
            </w:pPr>
            <w:r w:rsidRPr="00DF33B1">
              <w:rPr>
                <w:rFonts w:eastAsia="SimSun"/>
              </w:rPr>
              <w:t>B51-B53</w:t>
            </w:r>
          </w:p>
        </w:tc>
        <w:tc>
          <w:tcPr>
            <w:tcW w:w="1149" w:type="pct"/>
          </w:tcPr>
          <w:p w:rsidR="00A4352C" w:rsidRPr="00DF33B1" w:rsidRDefault="00A4352C" w:rsidP="00D0037C">
            <w:pPr>
              <w:keepNext/>
              <w:jc w:val="both"/>
              <w:rPr>
                <w:rFonts w:eastAsia="SimSun"/>
              </w:rPr>
            </w:pPr>
            <w:r w:rsidRPr="00DF33B1">
              <w:rPr>
                <w:rFonts w:eastAsia="SimSun"/>
              </w:rPr>
              <w:t>B54-B63</w:t>
            </w:r>
          </w:p>
        </w:tc>
      </w:tr>
    </w:tbl>
    <w:p w:rsidR="008C36FC" w:rsidRPr="00066F65" w:rsidRDefault="003C224E" w:rsidP="00BA5BC4">
      <w:pPr>
        <w:pStyle w:val="Caption"/>
      </w:pPr>
      <w:bookmarkStart w:id="334" w:name="_Ref236392892"/>
      <w:bookmarkStart w:id="335" w:name="_Toc259717448"/>
      <w:r w:rsidRPr="00066F65">
        <w:t xml:space="preserve">Figure </w:t>
      </w:r>
      <w:r w:rsidR="00BD151C">
        <w:fldChar w:fldCharType="begin"/>
      </w:r>
      <w:r w:rsidR="00801316">
        <w:instrText xml:space="preserve"> SEQ Figure \* ARABIC </w:instrText>
      </w:r>
      <w:r w:rsidR="00BD151C">
        <w:fldChar w:fldCharType="separate"/>
      </w:r>
      <w:r w:rsidR="003E4210">
        <w:rPr>
          <w:noProof/>
        </w:rPr>
        <w:t>16</w:t>
      </w:r>
      <w:r w:rsidR="00BD151C">
        <w:fldChar w:fldCharType="end"/>
      </w:r>
      <w:bookmarkEnd w:id="334"/>
      <w:r w:rsidR="00560AB0" w:rsidRPr="00066F65">
        <w:t xml:space="preserve"> </w:t>
      </w:r>
      <w:r w:rsidR="00CE6864" w:rsidRPr="00066F65">
        <w:t>–</w:t>
      </w:r>
      <w:r w:rsidR="008C36FC" w:rsidRPr="00066F65">
        <w:t xml:space="preserve"> PCP</w:t>
      </w:r>
      <w:r w:rsidR="00CE6864" w:rsidRPr="00066F65">
        <w:t>/AP</w:t>
      </w:r>
      <w:r w:rsidR="008C36FC" w:rsidRPr="00066F65">
        <w:t xml:space="preserve"> clustering control field format</w:t>
      </w:r>
      <w:bookmarkEnd w:id="335"/>
      <w:r w:rsidR="00080054">
        <w:rPr>
          <w:rFonts w:eastAsia="SimSun"/>
        </w:rPr>
        <w:t xml:space="preserve"> </w:t>
      </w:r>
    </w:p>
    <w:p w:rsidR="00B3113A" w:rsidRPr="00DF33B1" w:rsidRDefault="00D926D0" w:rsidP="00B3113A">
      <w:r w:rsidRPr="00DF33B1">
        <w:rPr>
          <w:b/>
          <w:i/>
        </w:rPr>
        <w:t xml:space="preserve"> </w:t>
      </w:r>
    </w:p>
    <w:p w:rsidR="005860BD" w:rsidRPr="009448FC" w:rsidRDefault="005860BD" w:rsidP="00E25E90">
      <w:r w:rsidRPr="009448FC">
        <w:t xml:space="preserve">The ClusterMemRole field identifies the role that the transmitting STA takes within the cluster. A value of 0 means that the STA </w:t>
      </w:r>
      <w:r w:rsidR="00E25E90" w:rsidRPr="009448FC">
        <w:t>is currently not participating</w:t>
      </w:r>
      <w:r w:rsidR="00281486" w:rsidRPr="009448FC">
        <w:t xml:space="preserve"> </w:t>
      </w:r>
      <w:r w:rsidRPr="009448FC">
        <w:t xml:space="preserve">in clustering. A value of 1 means that the STA acts as the S-PCP/S-AP of the cluster. A value of 2 means that the STA participates in the cluster, but not as the S-PCP/S-AP. The value of 3 is reserved. </w:t>
      </w:r>
    </w:p>
    <w:p w:rsidR="005860BD" w:rsidRPr="009448FC" w:rsidRDefault="005860BD" w:rsidP="00B3113A"/>
    <w:p w:rsidR="00B3113A" w:rsidRPr="009448FC" w:rsidRDefault="00932A4C" w:rsidP="00A1061A">
      <w:r w:rsidRPr="009448FC">
        <w:t>The cluster to which the transmitter of the PCP/AP clustering control field belongs</w:t>
      </w:r>
      <w:r w:rsidR="00281486" w:rsidRPr="009448FC">
        <w:t xml:space="preserve"> </w:t>
      </w:r>
      <w:r w:rsidR="00B3113A" w:rsidRPr="009448FC">
        <w:t>is identified by the ClusterID field. The MAC address of the S-PCP</w:t>
      </w:r>
      <w:r w:rsidR="00A1061A" w:rsidRPr="009448FC">
        <w:t xml:space="preserve">/S-AP </w:t>
      </w:r>
      <w:r w:rsidR="00B3113A" w:rsidRPr="009448FC">
        <w:t>is the ClusterID of the cluster.</w:t>
      </w:r>
    </w:p>
    <w:p w:rsidR="00B3113A" w:rsidRPr="009448FC" w:rsidRDefault="00B3113A" w:rsidP="00B3113A"/>
    <w:p w:rsidR="00B3113A" w:rsidRPr="009448FC" w:rsidRDefault="00B3113A" w:rsidP="00860F63">
      <w:r w:rsidRPr="009448FC">
        <w:t xml:space="preserve">The ClusterMaxMem field defines maximum number of PCPs </w:t>
      </w:r>
      <w:r w:rsidR="00CE6864" w:rsidRPr="009448FC">
        <w:t>and/or APs</w:t>
      </w:r>
      <w:r w:rsidR="003604B8" w:rsidRPr="009448FC">
        <w:t xml:space="preserve"> </w:t>
      </w:r>
      <w:r w:rsidRPr="009448FC">
        <w:t xml:space="preserve">that participate in the cluster. </w:t>
      </w:r>
    </w:p>
    <w:p w:rsidR="00B3113A" w:rsidRPr="009448FC" w:rsidRDefault="00B3113A" w:rsidP="00B3113A"/>
    <w:p w:rsidR="00B3113A" w:rsidRPr="009448FC" w:rsidRDefault="00B3113A" w:rsidP="00BE3B4E">
      <w:r w:rsidRPr="009448FC">
        <w:t>The ClusterTimeInterv field defines the</w:t>
      </w:r>
      <w:r w:rsidR="00281486" w:rsidRPr="009448FC">
        <w:t xml:space="preserve"> </w:t>
      </w:r>
      <w:r w:rsidRPr="009448FC">
        <w:t>time interval</w:t>
      </w:r>
      <w:r w:rsidR="00560AB0" w:rsidRPr="009448FC">
        <w:t>, in units of 8 microseconds,</w:t>
      </w:r>
      <w:r w:rsidRPr="009448FC">
        <w:t xml:space="preserve"> between the start of Beacon </w:t>
      </w:r>
      <w:r w:rsidR="005860BD" w:rsidRPr="009448FC">
        <w:t xml:space="preserve">SPs </w:t>
      </w:r>
      <w:r w:rsidRPr="009448FC">
        <w:t xml:space="preserve">of PCPs </w:t>
      </w:r>
      <w:r w:rsidR="00CE6864" w:rsidRPr="009448FC">
        <w:t xml:space="preserve">and/or </w:t>
      </w:r>
      <w:r w:rsidR="00655EA4" w:rsidRPr="009448FC">
        <w:t>AP</w:t>
      </w:r>
      <w:r w:rsidR="005860BD" w:rsidRPr="009448FC">
        <w:t>s</w:t>
      </w:r>
      <w:r w:rsidR="00655EA4" w:rsidRPr="009448FC">
        <w:t xml:space="preserve"> </w:t>
      </w:r>
      <w:r w:rsidRPr="009448FC">
        <w:t xml:space="preserve">participating in </w:t>
      </w:r>
      <w:r w:rsidR="00BE3B4E" w:rsidRPr="009448FC">
        <w:t>the cluster of the transmitting STA</w:t>
      </w:r>
      <w:r w:rsidRPr="009448FC">
        <w:t>.</w:t>
      </w:r>
    </w:p>
    <w:p w:rsidR="00B3113A" w:rsidRPr="009448FC" w:rsidRDefault="00B3113A" w:rsidP="0004091F"/>
    <w:p w:rsidR="008C36FC" w:rsidRPr="00066F65" w:rsidRDefault="008C36FC" w:rsidP="003701DB">
      <w:pPr>
        <w:pStyle w:val="Heading2"/>
        <w:numPr>
          <w:ilvl w:val="1"/>
          <w:numId w:val="128"/>
        </w:numPr>
      </w:pPr>
      <w:bookmarkStart w:id="336" w:name="_Toc244136977"/>
      <w:bookmarkStart w:id="337" w:name="_Toc244136978"/>
      <w:bookmarkStart w:id="338" w:name="_Toc244136979"/>
      <w:bookmarkStart w:id="339" w:name="_Toc220224723"/>
      <w:bookmarkStart w:id="340" w:name="_Toc220250922"/>
      <w:bookmarkStart w:id="341" w:name="_Toc220251348"/>
      <w:bookmarkStart w:id="342" w:name="_Toc220251730"/>
      <w:bookmarkStart w:id="343" w:name="_Toc220252111"/>
      <w:bookmarkStart w:id="344" w:name="_Toc220324439"/>
      <w:bookmarkStart w:id="345" w:name="_Toc220325047"/>
      <w:bookmarkStart w:id="346" w:name="_Toc220331608"/>
      <w:bookmarkStart w:id="347" w:name="_Toc220332119"/>
      <w:bookmarkStart w:id="348" w:name="_Toc222659954"/>
      <w:bookmarkStart w:id="349" w:name="_Toc222660519"/>
      <w:bookmarkStart w:id="350" w:name="_Toc222806200"/>
      <w:bookmarkStart w:id="351" w:name="_Toc222806776"/>
      <w:bookmarkStart w:id="352" w:name="_Toc222807597"/>
      <w:bookmarkStart w:id="353" w:name="_Toc222809315"/>
      <w:bookmarkStart w:id="354" w:name="_Toc215554756"/>
      <w:bookmarkStart w:id="355" w:name="_Toc215582670"/>
      <w:bookmarkStart w:id="356" w:name="_Toc215554757"/>
      <w:bookmarkStart w:id="357" w:name="_Toc215582671"/>
      <w:bookmarkStart w:id="358" w:name="_Toc215554758"/>
      <w:bookmarkStart w:id="359" w:name="_Toc215555167"/>
      <w:bookmarkStart w:id="360" w:name="_Toc215582672"/>
      <w:bookmarkStart w:id="361" w:name="_Toc215583082"/>
      <w:bookmarkStart w:id="362" w:name="_Toc215554759"/>
      <w:bookmarkStart w:id="363" w:name="_Toc215582673"/>
      <w:bookmarkStart w:id="364" w:name="_Toc215554764"/>
      <w:bookmarkStart w:id="365" w:name="_Toc215582678"/>
      <w:bookmarkStart w:id="366" w:name="_Toc215554765"/>
      <w:bookmarkStart w:id="367" w:name="_Toc215582679"/>
      <w:bookmarkStart w:id="368" w:name="_Toc215554766"/>
      <w:bookmarkStart w:id="369" w:name="_Toc215582680"/>
      <w:bookmarkStart w:id="370" w:name="_Toc215554767"/>
      <w:bookmarkStart w:id="371" w:name="_Toc215582681"/>
      <w:bookmarkStart w:id="372" w:name="_Toc207098878"/>
      <w:bookmarkStart w:id="373" w:name="_Toc207099486"/>
      <w:bookmarkStart w:id="374" w:name="_Toc207100406"/>
      <w:bookmarkStart w:id="375" w:name="_Toc207348328"/>
      <w:bookmarkStart w:id="376" w:name="_Toc215582682"/>
      <w:bookmarkStart w:id="377" w:name="_Toc235400239"/>
      <w:bookmarkStart w:id="378" w:name="_Toc259716902"/>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066F65">
        <w:t xml:space="preserve">Management </w:t>
      </w:r>
      <w:r w:rsidR="00FD74E3" w:rsidRPr="00066F65">
        <w:t xml:space="preserve">and extension </w:t>
      </w:r>
      <w:r w:rsidRPr="00066F65">
        <w:t>frame</w:t>
      </w:r>
      <w:r w:rsidR="00FD74E3" w:rsidRPr="00066F65">
        <w:t>s</w:t>
      </w:r>
      <w:r w:rsidRPr="00066F65">
        <w:t xml:space="preserve"> body components</w:t>
      </w:r>
      <w:bookmarkEnd w:id="372"/>
      <w:bookmarkEnd w:id="373"/>
      <w:bookmarkEnd w:id="374"/>
      <w:bookmarkEnd w:id="375"/>
      <w:bookmarkEnd w:id="376"/>
      <w:bookmarkEnd w:id="377"/>
      <w:bookmarkEnd w:id="378"/>
    </w:p>
    <w:p w:rsidR="008C36FC" w:rsidRPr="00DF33B1" w:rsidRDefault="008C36FC" w:rsidP="003701DB">
      <w:pPr>
        <w:pStyle w:val="Heading3"/>
        <w:numPr>
          <w:ilvl w:val="2"/>
          <w:numId w:val="56"/>
        </w:numPr>
      </w:pPr>
      <w:bookmarkStart w:id="379" w:name="_Toc207098879"/>
      <w:bookmarkStart w:id="380" w:name="_Toc207099487"/>
      <w:bookmarkStart w:id="381" w:name="_Toc207100407"/>
      <w:bookmarkStart w:id="382" w:name="_Toc207348329"/>
      <w:bookmarkStart w:id="383" w:name="_Toc215582683"/>
      <w:bookmarkStart w:id="384" w:name="_Toc235400240"/>
      <w:bookmarkStart w:id="385" w:name="_Toc259716903"/>
      <w:r w:rsidRPr="00DF33B1">
        <w:t>Fields that are not information elements</w:t>
      </w:r>
      <w:bookmarkEnd w:id="379"/>
      <w:bookmarkEnd w:id="380"/>
      <w:bookmarkEnd w:id="381"/>
      <w:bookmarkEnd w:id="382"/>
      <w:bookmarkEnd w:id="383"/>
      <w:bookmarkEnd w:id="384"/>
      <w:bookmarkEnd w:id="385"/>
    </w:p>
    <w:p w:rsidR="008C36FC" w:rsidRPr="00DF33B1" w:rsidRDefault="008C36FC" w:rsidP="003701DB">
      <w:pPr>
        <w:pStyle w:val="Heading4"/>
        <w:numPr>
          <w:ilvl w:val="3"/>
          <w:numId w:val="200"/>
        </w:numPr>
      </w:pPr>
      <w:bookmarkStart w:id="386" w:name="_Toc235400243"/>
      <w:bookmarkStart w:id="387" w:name="_Toc259716904"/>
      <w:r w:rsidRPr="00DF33B1">
        <w:t>AID field</w:t>
      </w:r>
      <w:bookmarkEnd w:id="386"/>
      <w:bookmarkEnd w:id="387"/>
    </w:p>
    <w:p w:rsidR="00710830" w:rsidRDefault="00710830" w:rsidP="00DC6089">
      <w:pPr>
        <w:rPr>
          <w:i/>
          <w:iCs/>
        </w:rPr>
      </w:pPr>
      <w:r w:rsidRPr="00710830">
        <w:rPr>
          <w:i/>
          <w:iCs/>
        </w:rPr>
        <w:t>.11 Editor Note: add at end o</w:t>
      </w:r>
      <w:r w:rsidR="006860A2">
        <w:rPr>
          <w:i/>
          <w:iCs/>
        </w:rPr>
        <w:t>f</w:t>
      </w:r>
      <w:r w:rsidRPr="00710830">
        <w:rPr>
          <w:i/>
          <w:iCs/>
        </w:rPr>
        <w:t xml:space="preserve"> the subclause</w:t>
      </w:r>
      <w:r w:rsidR="0053357F">
        <w:rPr>
          <w:i/>
          <w:iCs/>
        </w:rPr>
        <w:t xml:space="preserve"> </w:t>
      </w:r>
    </w:p>
    <w:p w:rsidR="00710830" w:rsidRPr="00710830" w:rsidRDefault="00710830" w:rsidP="00DC6089">
      <w:pPr>
        <w:rPr>
          <w:i/>
          <w:iCs/>
        </w:rPr>
      </w:pPr>
    </w:p>
    <w:p w:rsidR="008C36FC" w:rsidRPr="00DF33B1" w:rsidRDefault="00084976" w:rsidP="00DC6089">
      <w:r w:rsidRPr="00DF33B1">
        <w:t xml:space="preserve">The value assigned for the AID field is in the range 1-254 </w:t>
      </w:r>
      <w:r w:rsidR="00626762" w:rsidRPr="00DF33B1">
        <w:t xml:space="preserve">and the value </w:t>
      </w:r>
      <w:r w:rsidR="000C4342" w:rsidRPr="00DF33B1">
        <w:t>0</w:t>
      </w:r>
      <w:r w:rsidR="00D1196A" w:rsidRPr="00DF33B1">
        <w:t xml:space="preserve"> </w:t>
      </w:r>
      <w:r w:rsidR="00626762" w:rsidRPr="00DF33B1">
        <w:t xml:space="preserve">is reserved as the broadcast AID </w:t>
      </w:r>
      <w:r w:rsidRPr="00DF33B1">
        <w:t xml:space="preserve">when the field is transmitted in a frame </w:t>
      </w:r>
      <w:r w:rsidR="00D1196A" w:rsidRPr="00DF33B1">
        <w:t xml:space="preserve">sent </w:t>
      </w:r>
      <w:r w:rsidRPr="00DF33B1">
        <w:t xml:space="preserve">using the mmWave PHY (clause </w:t>
      </w:r>
      <w:r w:rsidR="00BD151C">
        <w:fldChar w:fldCharType="begin"/>
      </w:r>
      <w:r w:rsidR="00DC6089">
        <w:instrText xml:space="preserve"> REF _Ref243723708 \r \h </w:instrText>
      </w:r>
      <w:r w:rsidR="00BD151C">
        <w:fldChar w:fldCharType="separate"/>
      </w:r>
      <w:r w:rsidR="003E4210">
        <w:t>21</w:t>
      </w:r>
      <w:r w:rsidR="00BD151C">
        <w:fldChar w:fldCharType="end"/>
      </w:r>
      <w:r w:rsidR="00193D73" w:rsidRPr="00DF33B1">
        <w:t>)</w:t>
      </w:r>
      <w:r w:rsidRPr="00DF33B1">
        <w:t>.</w:t>
      </w:r>
      <w:r w:rsidR="007D58FB">
        <w:t xml:space="preserve"> </w:t>
      </w:r>
      <w:r w:rsidR="007A4DC3" w:rsidRPr="00DF33B1">
        <w:t xml:space="preserve">The value </w:t>
      </w:r>
      <w:r w:rsidR="00D1196A" w:rsidRPr="00DF33B1">
        <w:t>255</w:t>
      </w:r>
      <w:r w:rsidR="007A4DC3" w:rsidRPr="00DF33B1">
        <w:t xml:space="preserve"> corresponds to the PCP/AP.</w:t>
      </w:r>
    </w:p>
    <w:p w:rsidR="008C36FC" w:rsidRPr="00DF33B1" w:rsidRDefault="00FF52EA" w:rsidP="003701DB">
      <w:pPr>
        <w:pStyle w:val="Heading4"/>
        <w:numPr>
          <w:ilvl w:val="3"/>
          <w:numId w:val="200"/>
        </w:numPr>
      </w:pPr>
      <w:bookmarkStart w:id="388" w:name="_Toc235400244"/>
      <w:bookmarkStart w:id="389" w:name="_Ref243729986"/>
      <w:bookmarkStart w:id="390" w:name="_Ref243985794"/>
      <w:bookmarkStart w:id="391" w:name="_Ref251929235"/>
      <w:bookmarkStart w:id="392" w:name="_Ref259708913"/>
      <w:bookmarkStart w:id="393" w:name="_Ref259712720"/>
      <w:bookmarkStart w:id="394" w:name="_Ref259714760"/>
      <w:bookmarkStart w:id="395" w:name="_Toc259716905"/>
      <w:r w:rsidRPr="00DF33B1">
        <w:t xml:space="preserve">Status Code </w:t>
      </w:r>
      <w:r w:rsidR="007A4BA6">
        <w:t>f</w:t>
      </w:r>
      <w:r w:rsidRPr="00DF33B1">
        <w:t>ield</w:t>
      </w:r>
      <w:bookmarkEnd w:id="388"/>
      <w:bookmarkEnd w:id="389"/>
      <w:bookmarkEnd w:id="390"/>
      <w:bookmarkEnd w:id="391"/>
      <w:bookmarkEnd w:id="392"/>
      <w:bookmarkEnd w:id="393"/>
      <w:bookmarkEnd w:id="394"/>
      <w:bookmarkEnd w:id="395"/>
    </w:p>
    <w:p w:rsidR="00D1196A" w:rsidRPr="00DF33B1" w:rsidRDefault="00D1196A" w:rsidP="00B91B21">
      <w:pPr>
        <w:autoSpaceDE w:val="0"/>
        <w:autoSpaceDN w:val="0"/>
        <w:adjustRightInd w:val="0"/>
        <w:rPr>
          <w:b/>
          <w:i/>
        </w:rPr>
      </w:pPr>
    </w:p>
    <w:p w:rsidR="00C15F20" w:rsidRPr="00DF33B1" w:rsidRDefault="00C15F20" w:rsidP="00C15F20">
      <w:pPr>
        <w:autoSpaceDE w:val="0"/>
        <w:autoSpaceDN w:val="0"/>
        <w:adjustRightInd w:val="0"/>
        <w:rPr>
          <w:i/>
        </w:rPr>
      </w:pPr>
      <w:r w:rsidRPr="00DF33B1">
        <w:rPr>
          <w:i/>
        </w:rPr>
        <w:lastRenderedPageBreak/>
        <w:t>.11 Editor: in Table 7-23 Status codes, replace all occurrences of “</w:t>
      </w:r>
      <w:r w:rsidRPr="00DF33B1">
        <w:t>AP</w:t>
      </w:r>
      <w:r w:rsidRPr="00DF33B1">
        <w:rPr>
          <w:i/>
        </w:rPr>
        <w:t>” by “</w:t>
      </w:r>
      <w:r w:rsidRPr="00DF33B1">
        <w:t>AP/PCP</w:t>
      </w:r>
      <w:r w:rsidRPr="00DF33B1">
        <w:rPr>
          <w:i/>
        </w:rPr>
        <w:t>”, “</w:t>
      </w:r>
      <w:r w:rsidRPr="00DF33B1">
        <w:t>HC</w:t>
      </w:r>
      <w:r w:rsidRPr="00DF33B1">
        <w:rPr>
          <w:i/>
        </w:rPr>
        <w:t>” by “</w:t>
      </w:r>
      <w:r w:rsidRPr="00DF33B1">
        <w:t>HC/PCP</w:t>
      </w:r>
      <w:r w:rsidRPr="00DF33B1">
        <w:rPr>
          <w:i/>
        </w:rPr>
        <w:t>”</w:t>
      </w:r>
    </w:p>
    <w:p w:rsidR="00C15F20" w:rsidRPr="00DF33B1" w:rsidRDefault="00C15F20" w:rsidP="00B91B21">
      <w:pPr>
        <w:autoSpaceDE w:val="0"/>
        <w:autoSpaceDN w:val="0"/>
        <w:adjustRightInd w:val="0"/>
        <w:rPr>
          <w:b/>
          <w:i/>
        </w:rPr>
      </w:pPr>
    </w:p>
    <w:p w:rsidR="008C36FC" w:rsidRPr="00DF33B1" w:rsidRDefault="00D1196A" w:rsidP="00F46160">
      <w:pPr>
        <w:autoSpaceDE w:val="0"/>
        <w:autoSpaceDN w:val="0"/>
        <w:adjustRightInd w:val="0"/>
        <w:rPr>
          <w:i/>
        </w:rPr>
      </w:pPr>
      <w:r w:rsidRPr="00DF33B1">
        <w:rPr>
          <w:i/>
        </w:rPr>
        <w:t>.11 Editor: Insert the following rows in Table 7-23 Status codes</w:t>
      </w:r>
      <w:r w:rsidR="00120A30" w:rsidRPr="00DF33B1">
        <w:rPr>
          <w:i/>
        </w:rPr>
        <w:t>, and change the last row as follows</w:t>
      </w:r>
      <w:r w:rsidRPr="00DF33B1">
        <w:rPr>
          <w:i/>
        </w:rPr>
        <w:t>:</w:t>
      </w:r>
    </w:p>
    <w:p w:rsidR="008C36FC" w:rsidRPr="00DF33B1" w:rsidRDefault="008C36FC" w:rsidP="0004091F">
      <w:pPr>
        <w:rPr>
          <w:b/>
          <w:sz w:val="32"/>
        </w:rPr>
      </w:pPr>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1476"/>
        <w:gridCol w:w="6129"/>
      </w:tblGrid>
      <w:tr w:rsidR="008C36FC" w:rsidRPr="00066F65" w:rsidTr="004075AD">
        <w:trPr>
          <w:jc w:val="center"/>
        </w:trPr>
        <w:tc>
          <w:tcPr>
            <w:tcW w:w="0" w:type="auto"/>
          </w:tcPr>
          <w:p w:rsidR="008C36FC" w:rsidRPr="00DF33B1" w:rsidRDefault="008C36FC" w:rsidP="00B91B21">
            <w:pPr>
              <w:pStyle w:val="Table-Contents"/>
              <w:snapToGrid w:val="0"/>
              <w:spacing w:before="0" w:after="0"/>
              <w:rPr>
                <w:rFonts w:ascii="Times New Roman" w:hAnsi="Times New Roman"/>
                <w:b/>
                <w:sz w:val="24"/>
              </w:rPr>
            </w:pPr>
            <w:r w:rsidRPr="00DF33B1">
              <w:rPr>
                <w:rFonts w:ascii="Times New Roman" w:hAnsi="Times New Roman"/>
                <w:b/>
                <w:sz w:val="24"/>
              </w:rPr>
              <w:t>Status Code</w:t>
            </w:r>
          </w:p>
        </w:tc>
        <w:tc>
          <w:tcPr>
            <w:tcW w:w="0" w:type="auto"/>
          </w:tcPr>
          <w:p w:rsidR="008C36FC" w:rsidRPr="00DF33B1" w:rsidRDefault="008C36FC" w:rsidP="00B91B21">
            <w:pPr>
              <w:pStyle w:val="Table-Contents"/>
              <w:snapToGrid w:val="0"/>
              <w:spacing w:before="0" w:after="0"/>
              <w:rPr>
                <w:rFonts w:ascii="Times New Roman" w:hAnsi="Times New Roman"/>
                <w:b/>
                <w:sz w:val="24"/>
              </w:rPr>
            </w:pPr>
            <w:r w:rsidRPr="00DF33B1">
              <w:rPr>
                <w:rFonts w:ascii="Times New Roman" w:hAnsi="Times New Roman"/>
                <w:b/>
                <w:sz w:val="24"/>
              </w:rPr>
              <w:t>Meaning</w:t>
            </w:r>
          </w:p>
        </w:tc>
      </w:tr>
      <w:tr w:rsidR="008C36FC" w:rsidRPr="00066F65" w:rsidTr="004075AD">
        <w:trPr>
          <w:jc w:val="center"/>
        </w:trPr>
        <w:tc>
          <w:tcPr>
            <w:tcW w:w="0" w:type="auto"/>
          </w:tcPr>
          <w:p w:rsidR="008C36FC" w:rsidRPr="00066F65" w:rsidRDefault="00120A30"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52</w:t>
            </w:r>
          </w:p>
        </w:tc>
        <w:tc>
          <w:tcPr>
            <w:tcW w:w="0" w:type="auto"/>
          </w:tcPr>
          <w:p w:rsidR="008C36FC" w:rsidRPr="00066F65" w:rsidRDefault="008C36FC"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Reject with recommended schedule</w:t>
            </w:r>
          </w:p>
        </w:tc>
      </w:tr>
      <w:tr w:rsidR="008C36FC" w:rsidRPr="00066F65" w:rsidTr="004075AD">
        <w:trPr>
          <w:jc w:val="center"/>
        </w:trPr>
        <w:tc>
          <w:tcPr>
            <w:tcW w:w="0" w:type="auto"/>
          </w:tcPr>
          <w:p w:rsidR="008C36FC" w:rsidRPr="00066F65" w:rsidRDefault="00120A30"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53</w:t>
            </w:r>
          </w:p>
        </w:tc>
        <w:tc>
          <w:tcPr>
            <w:tcW w:w="0" w:type="auto"/>
          </w:tcPr>
          <w:p w:rsidR="008C36FC" w:rsidRPr="00066F65" w:rsidRDefault="008C36FC"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Reject because no wakeup schedule specified</w:t>
            </w:r>
          </w:p>
        </w:tc>
      </w:tr>
      <w:tr w:rsidR="00F46160" w:rsidRPr="00066F65" w:rsidTr="004075AD">
        <w:trPr>
          <w:jc w:val="center"/>
        </w:trPr>
        <w:tc>
          <w:tcPr>
            <w:tcW w:w="0" w:type="auto"/>
          </w:tcPr>
          <w:p w:rsidR="00F46160" w:rsidRPr="00066F65" w:rsidDel="00120A30" w:rsidRDefault="00F46160"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54</w:t>
            </w:r>
          </w:p>
        </w:tc>
        <w:tc>
          <w:tcPr>
            <w:tcW w:w="0" w:type="auto"/>
          </w:tcPr>
          <w:p w:rsidR="00F46160" w:rsidRPr="00066F65" w:rsidRDefault="00F46160"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Success, the Destination STA is in power save mode</w:t>
            </w:r>
          </w:p>
        </w:tc>
      </w:tr>
      <w:tr w:rsidR="00AD071D" w:rsidRPr="00066F65" w:rsidTr="004075AD">
        <w:trPr>
          <w:jc w:val="center"/>
        </w:trPr>
        <w:tc>
          <w:tcPr>
            <w:tcW w:w="0" w:type="auto"/>
          </w:tcPr>
          <w:p w:rsidR="00AD071D" w:rsidRPr="00066F65" w:rsidRDefault="00AD071D"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55</w:t>
            </w:r>
          </w:p>
        </w:tc>
        <w:tc>
          <w:tcPr>
            <w:tcW w:w="0" w:type="auto"/>
          </w:tcPr>
          <w:p w:rsidR="00AD071D" w:rsidRPr="00066F65" w:rsidRDefault="00AD071D"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FST pending, in process of acquiring resources from AP/PCP</w:t>
            </w:r>
          </w:p>
        </w:tc>
      </w:tr>
      <w:tr w:rsidR="00AD071D" w:rsidRPr="00066F65" w:rsidTr="004075AD">
        <w:trPr>
          <w:jc w:val="center"/>
        </w:trPr>
        <w:tc>
          <w:tcPr>
            <w:tcW w:w="0" w:type="auto"/>
          </w:tcPr>
          <w:p w:rsidR="00AD071D" w:rsidRPr="00066F65" w:rsidRDefault="00AD071D"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56</w:t>
            </w:r>
          </w:p>
        </w:tc>
        <w:tc>
          <w:tcPr>
            <w:tcW w:w="0" w:type="auto"/>
          </w:tcPr>
          <w:p w:rsidR="00AD071D" w:rsidRPr="00066F65" w:rsidRDefault="00AD071D"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Performing FST now</w:t>
            </w:r>
          </w:p>
        </w:tc>
      </w:tr>
      <w:tr w:rsidR="005F4CF0" w:rsidRPr="00066F65" w:rsidTr="004075AD">
        <w:trPr>
          <w:jc w:val="center"/>
        </w:trPr>
        <w:tc>
          <w:tcPr>
            <w:tcW w:w="0" w:type="auto"/>
          </w:tcPr>
          <w:p w:rsidR="005F4CF0" w:rsidRPr="00066F65" w:rsidRDefault="005F4CF0" w:rsidP="00B91B21">
            <w:pPr>
              <w:pStyle w:val="Table-Contents"/>
              <w:snapToGrid w:val="0"/>
              <w:spacing w:before="0" w:after="0"/>
              <w:rPr>
                <w:rFonts w:ascii="Times New Roman" w:hAnsi="Times New Roman" w:cs="Times New Roman"/>
                <w:sz w:val="24"/>
                <w:szCs w:val="22"/>
                <w:u w:val="single"/>
              </w:rPr>
            </w:pPr>
            <w:r>
              <w:rPr>
                <w:rFonts w:ascii="Times New Roman" w:hAnsi="Times New Roman" w:cs="Times New Roman"/>
                <w:sz w:val="24"/>
                <w:szCs w:val="22"/>
                <w:u w:val="single"/>
              </w:rPr>
              <w:t>57</w:t>
            </w:r>
          </w:p>
        </w:tc>
        <w:tc>
          <w:tcPr>
            <w:tcW w:w="0" w:type="auto"/>
          </w:tcPr>
          <w:p w:rsidR="005F4CF0" w:rsidRPr="00066F65" w:rsidRDefault="005F4CF0" w:rsidP="005F4CF0">
            <w:pPr>
              <w:pStyle w:val="Table-Contents"/>
              <w:snapToGrid w:val="0"/>
              <w:spacing w:before="0" w:after="0"/>
              <w:jc w:val="left"/>
              <w:rPr>
                <w:rFonts w:ascii="Times New Roman" w:hAnsi="Times New Roman" w:cs="Times New Roman"/>
                <w:sz w:val="24"/>
                <w:szCs w:val="22"/>
                <w:u w:val="single"/>
              </w:rPr>
            </w:pPr>
            <w:r>
              <w:rPr>
                <w:rFonts w:ascii="Times New Roman" w:hAnsi="Times New Roman" w:cs="Times New Roman"/>
                <w:sz w:val="24"/>
                <w:szCs w:val="22"/>
                <w:u w:val="single"/>
              </w:rPr>
              <w:t>FST pending, gap(s) in Block Ack window</w:t>
            </w:r>
          </w:p>
        </w:tc>
      </w:tr>
      <w:tr w:rsidR="00120A30" w:rsidRPr="00066F65" w:rsidTr="004075AD">
        <w:trPr>
          <w:jc w:val="center"/>
        </w:trPr>
        <w:tc>
          <w:tcPr>
            <w:tcW w:w="0" w:type="auto"/>
          </w:tcPr>
          <w:p w:rsidR="00120A30" w:rsidRPr="00066F65" w:rsidDel="00120A30" w:rsidRDefault="00120A30" w:rsidP="00D909A4">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w:t>
            </w:r>
            <w:r w:rsidRPr="00066F65">
              <w:rPr>
                <w:rFonts w:ascii="Times New Roman" w:hAnsi="Times New Roman" w:cs="Times New Roman"/>
                <w:strike/>
                <w:sz w:val="24"/>
                <w:szCs w:val="22"/>
                <w:u w:val="single"/>
              </w:rPr>
              <w:t>2</w:t>
            </w:r>
            <w:r w:rsidR="00D909A4">
              <w:rPr>
                <w:rFonts w:ascii="Times New Roman" w:hAnsi="Times New Roman" w:cs="Times New Roman"/>
                <w:sz w:val="24"/>
                <w:szCs w:val="22"/>
                <w:u w:val="single"/>
              </w:rPr>
              <w:t>8</w:t>
            </w:r>
            <w:r w:rsidRPr="00066F65">
              <w:rPr>
                <w:rFonts w:ascii="Times New Roman" w:hAnsi="Times New Roman" w:cs="Times New Roman"/>
                <w:sz w:val="24"/>
                <w:szCs w:val="22"/>
                <w:u w:val="single"/>
              </w:rPr>
              <w:t xml:space="preserve"> – 65 535</w:t>
            </w:r>
          </w:p>
        </w:tc>
        <w:tc>
          <w:tcPr>
            <w:tcW w:w="0" w:type="auto"/>
          </w:tcPr>
          <w:p w:rsidR="00120A30" w:rsidRPr="00DF33B1" w:rsidRDefault="00120A30" w:rsidP="00B91B21">
            <w:pPr>
              <w:pStyle w:val="Table-Contents"/>
              <w:snapToGrid w:val="0"/>
              <w:spacing w:before="0" w:after="0"/>
              <w:jc w:val="left"/>
              <w:rPr>
                <w:rFonts w:ascii="Times New Roman" w:hAnsi="Times New Roman"/>
                <w:sz w:val="24"/>
              </w:rPr>
            </w:pPr>
            <w:r w:rsidRPr="00DF33B1">
              <w:rPr>
                <w:rFonts w:ascii="Times New Roman" w:hAnsi="Times New Roman"/>
                <w:sz w:val="24"/>
              </w:rPr>
              <w:t>Reserved</w:t>
            </w:r>
          </w:p>
        </w:tc>
      </w:tr>
    </w:tbl>
    <w:p w:rsidR="00CA5C16" w:rsidRPr="005F4CF0" w:rsidRDefault="00BE5866" w:rsidP="0004091F">
      <w:r>
        <w:t xml:space="preserve"> </w:t>
      </w:r>
    </w:p>
    <w:p w:rsidR="008C36FC" w:rsidRPr="00DF33B1" w:rsidRDefault="008C36FC" w:rsidP="003701DB">
      <w:pPr>
        <w:pStyle w:val="Heading4"/>
        <w:numPr>
          <w:ilvl w:val="3"/>
          <w:numId w:val="201"/>
        </w:numPr>
      </w:pPr>
      <w:bookmarkStart w:id="396" w:name="_Toc235400246"/>
      <w:bookmarkStart w:id="397" w:name="_Ref236725448"/>
      <w:bookmarkStart w:id="398" w:name="_Ref236725490"/>
      <w:bookmarkStart w:id="399" w:name="_Toc259716906"/>
      <w:r w:rsidRPr="00DF33B1">
        <w:t>Action field</w:t>
      </w:r>
      <w:bookmarkEnd w:id="396"/>
      <w:bookmarkEnd w:id="397"/>
      <w:bookmarkEnd w:id="398"/>
      <w:bookmarkEnd w:id="399"/>
    </w:p>
    <w:p w:rsidR="008C36FC" w:rsidRPr="00DF33B1" w:rsidRDefault="003451F1" w:rsidP="003451F1">
      <w:r>
        <w:t>.</w:t>
      </w:r>
      <w:r w:rsidRPr="003451F1">
        <w:rPr>
          <w:i/>
          <w:iCs/>
        </w:rPr>
        <w:t>11 Editor Note:</w:t>
      </w:r>
      <w:r w:rsidR="00D11F2E">
        <w:rPr>
          <w:i/>
          <w:iCs/>
        </w:rPr>
        <w:t xml:space="preserve"> </w:t>
      </w:r>
      <w:r w:rsidRPr="003451F1">
        <w:rPr>
          <w:i/>
          <w:iCs/>
        </w:rPr>
        <w:t xml:space="preserve">Modify </w:t>
      </w:r>
      <w:r w:rsidRPr="003A5A45">
        <w:rPr>
          <w:i/>
          <w:iCs/>
        </w:rPr>
        <w:t xml:space="preserve">Table 7-24 </w:t>
      </w:r>
      <w:r w:rsidR="008C36FC" w:rsidRPr="003451F1">
        <w:rPr>
          <w:i/>
          <w:iCs/>
        </w:rPr>
        <w:t xml:space="preserve">as </w:t>
      </w:r>
      <w:r w:rsidRPr="003451F1">
        <w:rPr>
          <w:i/>
          <w:iCs/>
        </w:rPr>
        <w:t xml:space="preserve">it is </w:t>
      </w:r>
      <w:r w:rsidR="008C36FC" w:rsidRPr="003451F1">
        <w:rPr>
          <w:i/>
          <w:iCs/>
        </w:rPr>
        <w:t xml:space="preserve">shown in </w:t>
      </w:r>
      <w:fldSimple w:instr=" REF _Ref214845837 \h  \* MERGEFORMAT ">
        <w:r w:rsidR="003E4210" w:rsidRPr="003E4210">
          <w:rPr>
            <w:i/>
            <w:iCs/>
          </w:rPr>
          <w:t xml:space="preserve">Table </w:t>
        </w:r>
        <w:r w:rsidR="003E4210" w:rsidRPr="003E4210">
          <w:rPr>
            <w:i/>
            <w:iCs/>
            <w:noProof/>
          </w:rPr>
          <w:t>4</w:t>
        </w:r>
      </w:fldSimple>
      <w:r w:rsidR="008C36FC" w:rsidRPr="003451F1">
        <w:rPr>
          <w:i/>
          <w:iCs/>
        </w:rPr>
        <w:t>.</w:t>
      </w:r>
      <w:r w:rsidR="0053357F">
        <w:rPr>
          <w:i/>
          <w:iCs/>
        </w:rPr>
        <w:t xml:space="preserve"> </w:t>
      </w:r>
    </w:p>
    <w:p w:rsidR="008C36FC" w:rsidRPr="00DF33B1" w:rsidRDefault="008C36FC" w:rsidP="00BA5BC4">
      <w:pPr>
        <w:pStyle w:val="Caption"/>
        <w:rPr>
          <w:b w:val="0"/>
        </w:rPr>
      </w:pPr>
      <w:bookmarkStart w:id="400" w:name="_Ref214845837"/>
      <w:bookmarkStart w:id="401" w:name="_Ref236377818"/>
      <w:bookmarkStart w:id="402" w:name="_Toc225065768"/>
      <w:bookmarkStart w:id="403" w:name="_Ref236377809"/>
      <w:bookmarkStart w:id="404" w:name="_Toc250654407"/>
      <w:bookmarkStart w:id="405" w:name="_Toc259717582"/>
      <w:r w:rsidRPr="00066F65">
        <w:t>Table</w:t>
      </w:r>
      <w:r w:rsidR="00F96758" w:rsidRPr="00066F65">
        <w:t xml:space="preserve"> </w:t>
      </w:r>
      <w:r w:rsidR="00BD151C">
        <w:fldChar w:fldCharType="begin"/>
      </w:r>
      <w:r w:rsidR="00801316">
        <w:instrText xml:space="preserve"> SEQ Table \* ARABIC </w:instrText>
      </w:r>
      <w:r w:rsidR="00BD151C">
        <w:fldChar w:fldCharType="separate"/>
      </w:r>
      <w:r w:rsidR="003E4210">
        <w:rPr>
          <w:noProof/>
        </w:rPr>
        <w:t>4</w:t>
      </w:r>
      <w:r w:rsidR="00BD151C">
        <w:fldChar w:fldCharType="end"/>
      </w:r>
      <w:bookmarkEnd w:id="400"/>
      <w:bookmarkEnd w:id="401"/>
      <w:r w:rsidRPr="00066F65">
        <w:t xml:space="preserve"> – Category Values</w:t>
      </w:r>
      <w:bookmarkEnd w:id="402"/>
      <w:bookmarkEnd w:id="403"/>
      <w:bookmarkEnd w:id="404"/>
      <w:bookmarkEnd w:id="405"/>
    </w:p>
    <w:tbl>
      <w:tblPr>
        <w:tblW w:w="10199" w:type="dxa"/>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gridCol w:w="3023"/>
        <w:gridCol w:w="3023"/>
      </w:tblGrid>
      <w:tr w:rsidR="00746EA0" w:rsidRPr="00066F65" w:rsidTr="00746EA0">
        <w:trPr>
          <w:jc w:val="center"/>
        </w:trPr>
        <w:tc>
          <w:tcPr>
            <w:tcW w:w="1130" w:type="dxa"/>
          </w:tcPr>
          <w:p w:rsidR="00746EA0" w:rsidRPr="00DF33B1" w:rsidRDefault="00746EA0" w:rsidP="00B91B21">
            <w:pPr>
              <w:pStyle w:val="Table-Header"/>
              <w:snapToGrid w:val="0"/>
              <w:spacing w:before="0" w:after="0" w:line="240" w:lineRule="auto"/>
              <w:rPr>
                <w:sz w:val="22"/>
              </w:rPr>
            </w:pPr>
            <w:r w:rsidRPr="00DF33B1">
              <w:rPr>
                <w:sz w:val="22"/>
              </w:rPr>
              <w:t>Code</w:t>
            </w:r>
          </w:p>
        </w:tc>
        <w:tc>
          <w:tcPr>
            <w:tcW w:w="3023" w:type="dxa"/>
          </w:tcPr>
          <w:p w:rsidR="00746EA0" w:rsidRPr="00DF33B1" w:rsidRDefault="00746EA0" w:rsidP="00B91B21">
            <w:pPr>
              <w:pStyle w:val="Table-Header"/>
              <w:snapToGrid w:val="0"/>
              <w:spacing w:before="0" w:after="0" w:line="240" w:lineRule="auto"/>
              <w:rPr>
                <w:sz w:val="22"/>
              </w:rPr>
            </w:pPr>
            <w:r w:rsidRPr="00DF33B1">
              <w:rPr>
                <w:sz w:val="22"/>
              </w:rPr>
              <w:t>Meaning</w:t>
            </w:r>
          </w:p>
        </w:tc>
        <w:tc>
          <w:tcPr>
            <w:tcW w:w="3023" w:type="dxa"/>
          </w:tcPr>
          <w:p w:rsidR="00746EA0" w:rsidRPr="00DF33B1" w:rsidRDefault="00746EA0" w:rsidP="00B91B21">
            <w:pPr>
              <w:pStyle w:val="Table-Header"/>
              <w:snapToGrid w:val="0"/>
              <w:spacing w:before="0" w:after="0" w:line="240" w:lineRule="auto"/>
              <w:rPr>
                <w:sz w:val="22"/>
              </w:rPr>
            </w:pPr>
            <w:r w:rsidRPr="00DF33B1">
              <w:rPr>
                <w:sz w:val="22"/>
              </w:rPr>
              <w:t>See subclause</w:t>
            </w:r>
          </w:p>
        </w:tc>
        <w:tc>
          <w:tcPr>
            <w:tcW w:w="3023" w:type="dxa"/>
          </w:tcPr>
          <w:p w:rsidR="00746EA0" w:rsidRPr="00DF33B1" w:rsidRDefault="00746EA0" w:rsidP="00B91B21">
            <w:pPr>
              <w:pStyle w:val="Table-Header"/>
              <w:snapToGrid w:val="0"/>
              <w:spacing w:before="0" w:after="0" w:line="240" w:lineRule="auto"/>
              <w:rPr>
                <w:sz w:val="22"/>
              </w:rPr>
            </w:pPr>
            <w:r w:rsidRPr="00DF33B1">
              <w:rPr>
                <w:sz w:val="22"/>
              </w:rPr>
              <w:t>Robust</w:t>
            </w:r>
          </w:p>
        </w:tc>
      </w:tr>
      <w:tr w:rsidR="00746EA0" w:rsidRPr="00066F65" w:rsidTr="00746EA0">
        <w:trPr>
          <w:jc w:val="center"/>
        </w:trPr>
        <w:tc>
          <w:tcPr>
            <w:tcW w:w="1130" w:type="dxa"/>
          </w:tcPr>
          <w:p w:rsidR="00746EA0" w:rsidRPr="00DF33B1" w:rsidRDefault="00BD1721" w:rsidP="00B91B21">
            <w:pPr>
              <w:pStyle w:val="Table-Contents"/>
              <w:snapToGrid w:val="0"/>
              <w:spacing w:before="0" w:after="0"/>
              <w:rPr>
                <w:rFonts w:ascii="Times New Roman" w:hAnsi="Times New Roman"/>
                <w:sz w:val="22"/>
              </w:rPr>
            </w:pPr>
            <w:r w:rsidRPr="00DF33B1">
              <w:rPr>
                <w:rFonts w:ascii="Times New Roman" w:hAnsi="Times New Roman"/>
                <w:sz w:val="22"/>
              </w:rPr>
              <w:t>&lt;ANA&gt;</w:t>
            </w:r>
          </w:p>
        </w:tc>
        <w:tc>
          <w:tcPr>
            <w:tcW w:w="3023" w:type="dxa"/>
          </w:tcPr>
          <w:p w:rsidR="00746EA0" w:rsidRPr="00066F65" w:rsidRDefault="00746EA0" w:rsidP="00B91B21">
            <w:pPr>
              <w:pStyle w:val="Table-Contents"/>
              <w:snapToGrid w:val="0"/>
              <w:spacing w:before="0" w:after="0"/>
              <w:jc w:val="left"/>
              <w:rPr>
                <w:rFonts w:ascii="Times New Roman" w:hAnsi="Times New Roman"/>
                <w:sz w:val="24"/>
                <w:szCs w:val="24"/>
                <w:u w:val="single"/>
              </w:rPr>
            </w:pPr>
            <w:r w:rsidRPr="00066F65">
              <w:rPr>
                <w:rFonts w:ascii="Times New Roman" w:hAnsi="Times New Roman"/>
                <w:sz w:val="24"/>
                <w:szCs w:val="24"/>
                <w:u w:val="single"/>
              </w:rPr>
              <w:t>mmWave</w:t>
            </w:r>
          </w:p>
        </w:tc>
        <w:tc>
          <w:tcPr>
            <w:tcW w:w="3023" w:type="dxa"/>
          </w:tcPr>
          <w:p w:rsidR="00746EA0" w:rsidRPr="00066F65" w:rsidRDefault="00BD151C" w:rsidP="00805AB7">
            <w:pPr>
              <w:pStyle w:val="Table-Contents"/>
              <w:snapToGrid w:val="0"/>
              <w:spacing w:before="0" w:after="0"/>
              <w:rPr>
                <w:rFonts w:ascii="Times New Roman" w:hAnsi="Times New Roman"/>
                <w:sz w:val="24"/>
                <w:szCs w:val="24"/>
                <w:u w:val="single"/>
              </w:rPr>
            </w:pPr>
            <w:fldSimple w:instr=" REF _Ref243795550 \r \h  \* MERGEFORMAT ">
              <w:r w:rsidR="003E4210" w:rsidRPr="003E4210">
                <w:rPr>
                  <w:rFonts w:ascii="Arial" w:hAnsi="Arial" w:cs="Arial"/>
                  <w:sz w:val="24"/>
                  <w:szCs w:val="24"/>
                  <w:u w:val="single"/>
                </w:rPr>
                <w:t>7.4.13</w:t>
              </w:r>
            </w:fldSimple>
          </w:p>
        </w:tc>
        <w:tc>
          <w:tcPr>
            <w:tcW w:w="3023" w:type="dxa"/>
          </w:tcPr>
          <w:p w:rsidR="00746EA0" w:rsidRPr="003A5A45" w:rsidRDefault="00746EA0" w:rsidP="00B91B21">
            <w:pPr>
              <w:pStyle w:val="Table-Contents"/>
              <w:snapToGrid w:val="0"/>
              <w:spacing w:before="0" w:after="0"/>
              <w:jc w:val="left"/>
              <w:rPr>
                <w:rFonts w:ascii="Times New Roman" w:hAnsi="Times New Roman"/>
                <w:sz w:val="24"/>
                <w:szCs w:val="24"/>
                <w:u w:val="single"/>
              </w:rPr>
            </w:pPr>
          </w:p>
        </w:tc>
      </w:tr>
      <w:tr w:rsidR="00746EA0" w:rsidRPr="00066F65" w:rsidTr="00746EA0">
        <w:trPr>
          <w:jc w:val="center"/>
        </w:trPr>
        <w:tc>
          <w:tcPr>
            <w:tcW w:w="1130" w:type="dxa"/>
          </w:tcPr>
          <w:p w:rsidR="00746EA0" w:rsidRPr="00DF33B1" w:rsidRDefault="00BD1721" w:rsidP="00B91B21">
            <w:pPr>
              <w:pStyle w:val="Table-Contents"/>
              <w:snapToGrid w:val="0"/>
              <w:spacing w:before="0" w:after="0"/>
              <w:rPr>
                <w:rFonts w:ascii="Times New Roman" w:hAnsi="Times New Roman"/>
                <w:sz w:val="24"/>
              </w:rPr>
            </w:pPr>
            <w:r w:rsidRPr="00DF33B1">
              <w:rPr>
                <w:rFonts w:ascii="Times New Roman" w:hAnsi="Times New Roman"/>
                <w:sz w:val="22"/>
              </w:rPr>
              <w:t>&lt;ANA&gt;</w:t>
            </w:r>
          </w:p>
        </w:tc>
        <w:tc>
          <w:tcPr>
            <w:tcW w:w="3023" w:type="dxa"/>
          </w:tcPr>
          <w:p w:rsidR="00746EA0" w:rsidRPr="00066F65" w:rsidRDefault="00746EA0" w:rsidP="00B91B21">
            <w:pPr>
              <w:pStyle w:val="Table-Contents"/>
              <w:snapToGrid w:val="0"/>
              <w:spacing w:before="0" w:after="0"/>
              <w:jc w:val="left"/>
              <w:rPr>
                <w:rFonts w:ascii="Times New Roman" w:hAnsi="Times New Roman"/>
                <w:sz w:val="24"/>
                <w:szCs w:val="24"/>
                <w:u w:val="single"/>
              </w:rPr>
            </w:pPr>
            <w:r w:rsidRPr="00066F65">
              <w:rPr>
                <w:rFonts w:ascii="Times New Roman" w:hAnsi="Times New Roman"/>
                <w:sz w:val="24"/>
                <w:szCs w:val="24"/>
                <w:u w:val="single"/>
              </w:rPr>
              <w:t>Fast session transfer</w:t>
            </w:r>
          </w:p>
        </w:tc>
        <w:tc>
          <w:tcPr>
            <w:tcW w:w="3023" w:type="dxa"/>
          </w:tcPr>
          <w:p w:rsidR="00746EA0" w:rsidRPr="00066F65" w:rsidRDefault="00BD151C" w:rsidP="00805AB7">
            <w:pPr>
              <w:pStyle w:val="Table-Contents"/>
              <w:snapToGrid w:val="0"/>
              <w:spacing w:before="0" w:after="0"/>
              <w:rPr>
                <w:rFonts w:ascii="Times New Roman" w:hAnsi="Times New Roman"/>
                <w:sz w:val="24"/>
                <w:szCs w:val="24"/>
                <w:u w:val="single"/>
              </w:rPr>
            </w:pPr>
            <w:fldSimple w:instr=" REF _Ref243795582 \r \h  \* MERGEFORMAT ">
              <w:r w:rsidR="003E4210" w:rsidRPr="003E4210">
                <w:rPr>
                  <w:rFonts w:ascii="Arial" w:hAnsi="Arial" w:cs="Arial"/>
                  <w:sz w:val="24"/>
                  <w:szCs w:val="24"/>
                  <w:u w:val="single"/>
                </w:rPr>
                <w:t>7.4.14</w:t>
              </w:r>
            </w:fldSimple>
          </w:p>
        </w:tc>
        <w:tc>
          <w:tcPr>
            <w:tcW w:w="3023" w:type="dxa"/>
          </w:tcPr>
          <w:p w:rsidR="00746EA0" w:rsidRPr="003A5A45" w:rsidRDefault="00746EA0" w:rsidP="00746EA0">
            <w:pPr>
              <w:pStyle w:val="Table-Contents"/>
              <w:snapToGrid w:val="0"/>
              <w:spacing w:before="0" w:after="0"/>
              <w:rPr>
                <w:rFonts w:ascii="Times New Roman" w:hAnsi="Times New Roman"/>
                <w:sz w:val="24"/>
                <w:szCs w:val="24"/>
                <w:u w:val="single"/>
              </w:rPr>
            </w:pPr>
            <w:r w:rsidRPr="003A5A45">
              <w:rPr>
                <w:rFonts w:ascii="Times New Roman" w:hAnsi="Times New Roman"/>
                <w:sz w:val="24"/>
                <w:szCs w:val="24"/>
                <w:u w:val="single"/>
              </w:rPr>
              <w:t>Yes</w:t>
            </w:r>
          </w:p>
        </w:tc>
      </w:tr>
    </w:tbl>
    <w:p w:rsidR="00FA7CA6" w:rsidRDefault="00FA7CA6" w:rsidP="00FA7CA6"/>
    <w:p w:rsidR="00DD150D" w:rsidRDefault="00DD150D" w:rsidP="00DD150D">
      <w:pPr>
        <w:pStyle w:val="Heading4"/>
      </w:pPr>
      <w:bookmarkStart w:id="406" w:name="_Ref259708937"/>
      <w:bookmarkStart w:id="407" w:name="_Toc259716907"/>
      <w:r>
        <w:t>7.3.1.51 Relay capable STA info field</w:t>
      </w:r>
      <w:bookmarkEnd w:id="406"/>
      <w:bookmarkEnd w:id="407"/>
    </w:p>
    <w:p w:rsidR="00DD150D" w:rsidRDefault="00DD150D" w:rsidP="00FA7CA6"/>
    <w:p w:rsidR="00DD150D" w:rsidRPr="00DD150D" w:rsidRDefault="00DD150D" w:rsidP="00DD150D">
      <w:pPr>
        <w:adjustRightInd w:val="0"/>
        <w:rPr>
          <w:lang w:eastAsia="ko-KR"/>
        </w:rPr>
      </w:pPr>
      <w:r w:rsidRPr="00DD150D">
        <w:t xml:space="preserve">The format of the Relay Capable STA Info field is defined in </w:t>
      </w:r>
      <w:fldSimple w:instr=" REF _Ref259708034 \h  \* MERGEFORMAT ">
        <w:r w:rsidR="003E4210">
          <w:t xml:space="preserve">Figure </w:t>
        </w:r>
        <w:r w:rsidR="003E4210">
          <w:rPr>
            <w:noProof/>
          </w:rPr>
          <w:t>17</w:t>
        </w:r>
      </w:fldSimple>
      <w:r w:rsidRPr="00DD150D">
        <w:t>.</w:t>
      </w:r>
    </w:p>
    <w:p w:rsidR="00DD150D" w:rsidRPr="00E55F0A" w:rsidRDefault="00DD150D" w:rsidP="00DD150D">
      <w:pPr>
        <w:adjustRightInd w:val="0"/>
        <w:rPr>
          <w:sz w:val="22"/>
          <w:szCs w:val="22"/>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803"/>
        <w:gridCol w:w="2803"/>
      </w:tblGrid>
      <w:tr w:rsidR="00DD150D" w:rsidRPr="001D7F82" w:rsidTr="00C94205">
        <w:trPr>
          <w:jc w:val="center"/>
        </w:trPr>
        <w:tc>
          <w:tcPr>
            <w:tcW w:w="0" w:type="auto"/>
          </w:tcPr>
          <w:p w:rsidR="00DD150D" w:rsidRPr="00DA36D4" w:rsidRDefault="00DD150D" w:rsidP="00C94205">
            <w:pPr>
              <w:rPr>
                <w:rFonts w:eastAsia="PMingLiU"/>
              </w:rPr>
            </w:pPr>
          </w:p>
        </w:tc>
        <w:tc>
          <w:tcPr>
            <w:tcW w:w="0" w:type="auto"/>
          </w:tcPr>
          <w:p w:rsidR="00DD150D" w:rsidRPr="00DA36D4" w:rsidRDefault="00DD150D" w:rsidP="00C94205">
            <w:pPr>
              <w:rPr>
                <w:rFonts w:eastAsia="PMingLiU"/>
              </w:rPr>
            </w:pPr>
            <w:r w:rsidRPr="00DA36D4">
              <w:rPr>
                <w:rFonts w:eastAsia="PMingLiU"/>
                <w:sz w:val="22"/>
                <w:szCs w:val="22"/>
              </w:rPr>
              <w:t>AID</w:t>
            </w:r>
          </w:p>
        </w:tc>
        <w:tc>
          <w:tcPr>
            <w:tcW w:w="2803" w:type="dxa"/>
          </w:tcPr>
          <w:p w:rsidR="00DD150D" w:rsidRPr="00DA36D4" w:rsidRDefault="00DD150D" w:rsidP="00C94205">
            <w:pPr>
              <w:rPr>
                <w:rFonts w:eastAsia="PMingLiU"/>
              </w:rPr>
            </w:pPr>
            <w:r w:rsidRPr="00DA36D4">
              <w:rPr>
                <w:rFonts w:eastAsia="PMingLiU"/>
                <w:sz w:val="22"/>
                <w:szCs w:val="22"/>
              </w:rPr>
              <w:t>Relay Capabilities Info</w:t>
            </w:r>
          </w:p>
        </w:tc>
      </w:tr>
      <w:tr w:rsidR="00DD150D" w:rsidRPr="001D7F82" w:rsidTr="00C94205">
        <w:trPr>
          <w:jc w:val="center"/>
        </w:trPr>
        <w:tc>
          <w:tcPr>
            <w:tcW w:w="0" w:type="auto"/>
          </w:tcPr>
          <w:p w:rsidR="00DD150D" w:rsidRPr="00DA36D4" w:rsidRDefault="00DD150D" w:rsidP="00C94205">
            <w:pPr>
              <w:rPr>
                <w:rFonts w:eastAsia="PMingLiU"/>
              </w:rPr>
            </w:pPr>
            <w:r w:rsidRPr="00DA36D4">
              <w:rPr>
                <w:rFonts w:eastAsia="PMingLiU"/>
                <w:sz w:val="22"/>
                <w:szCs w:val="22"/>
              </w:rPr>
              <w:t>Bits</w:t>
            </w:r>
            <w:r w:rsidRPr="00E55F0A">
              <w:rPr>
                <w:rFonts w:eastAsia="SimSun"/>
                <w:sz w:val="22"/>
                <w:szCs w:val="22"/>
              </w:rPr>
              <w:t>:</w:t>
            </w:r>
          </w:p>
        </w:tc>
        <w:tc>
          <w:tcPr>
            <w:tcW w:w="0" w:type="auto"/>
          </w:tcPr>
          <w:p w:rsidR="00DD150D" w:rsidRPr="00DA36D4" w:rsidRDefault="00DD150D" w:rsidP="00C94205">
            <w:pPr>
              <w:rPr>
                <w:rFonts w:eastAsia="PMingLiU"/>
              </w:rPr>
            </w:pPr>
            <w:r w:rsidRPr="00DA36D4">
              <w:rPr>
                <w:rFonts w:eastAsia="PMingLiU"/>
                <w:sz w:val="22"/>
                <w:szCs w:val="22"/>
              </w:rPr>
              <w:t>B0-B7</w:t>
            </w:r>
          </w:p>
        </w:tc>
        <w:tc>
          <w:tcPr>
            <w:tcW w:w="2803" w:type="dxa"/>
          </w:tcPr>
          <w:p w:rsidR="00DD150D" w:rsidRPr="00DA36D4" w:rsidRDefault="00DD150D" w:rsidP="00C94205">
            <w:pPr>
              <w:rPr>
                <w:rFonts w:eastAsia="PMingLiU"/>
              </w:rPr>
            </w:pPr>
            <w:r w:rsidRPr="00DA36D4">
              <w:rPr>
                <w:rFonts w:eastAsia="PMingLiU"/>
                <w:sz w:val="22"/>
                <w:szCs w:val="22"/>
              </w:rPr>
              <w:t>B8-B15</w:t>
            </w:r>
          </w:p>
        </w:tc>
      </w:tr>
    </w:tbl>
    <w:p w:rsidR="00DD150D" w:rsidRDefault="00DD150D" w:rsidP="00DD150D">
      <w:pPr>
        <w:pStyle w:val="Caption"/>
        <w:rPr>
          <w:rFonts w:ascii="Times New Roman" w:hAnsi="Times New Roman"/>
          <w:sz w:val="22"/>
          <w:szCs w:val="22"/>
        </w:rPr>
      </w:pPr>
      <w:bookmarkStart w:id="408" w:name="_Ref259708034"/>
      <w:bookmarkStart w:id="409" w:name="_Toc259717449"/>
      <w:r>
        <w:t xml:space="preserve">Figure </w:t>
      </w:r>
      <w:fldSimple w:instr=" SEQ Figure \* ARABIC ">
        <w:r w:rsidR="003E4210">
          <w:rPr>
            <w:noProof/>
          </w:rPr>
          <w:t>17</w:t>
        </w:r>
      </w:fldSimple>
      <w:bookmarkEnd w:id="408"/>
      <w:r>
        <w:t xml:space="preserve"> – Relay STA Info field</w:t>
      </w:r>
      <w:bookmarkEnd w:id="409"/>
    </w:p>
    <w:p w:rsidR="00DD150D" w:rsidRPr="00DD150D" w:rsidRDefault="00DD150D" w:rsidP="00DD150D">
      <w:pPr>
        <w:rPr>
          <w:lang w:eastAsia="ko-KR"/>
        </w:rPr>
      </w:pPr>
    </w:p>
    <w:p w:rsidR="00DD150D" w:rsidRPr="00DD150D" w:rsidRDefault="00DD150D" w:rsidP="00DD150D">
      <w:pPr>
        <w:adjustRightInd w:val="0"/>
      </w:pPr>
      <w:r w:rsidRPr="00DD150D">
        <w:t xml:space="preserve">The AID field contains the AID of the relay capable STA which is associated with </w:t>
      </w:r>
      <w:r w:rsidRPr="00DD150D">
        <w:rPr>
          <w:lang w:eastAsia="ko-KR"/>
        </w:rPr>
        <w:t>PCP/AP</w:t>
      </w:r>
      <w:r w:rsidRPr="00DD150D">
        <w:t>.</w:t>
      </w:r>
    </w:p>
    <w:p w:rsidR="00DD150D" w:rsidRPr="00DD150D" w:rsidRDefault="00DD150D" w:rsidP="00DD150D">
      <w:pPr>
        <w:adjustRightInd w:val="0"/>
      </w:pPr>
    </w:p>
    <w:p w:rsidR="00DD150D" w:rsidRDefault="00DD150D" w:rsidP="00DD150D">
      <w:pPr>
        <w:adjustRightInd w:val="0"/>
      </w:pPr>
      <w:r w:rsidRPr="00DD150D">
        <w:t xml:space="preserve">The Relay Capabilities Info field is defined in </w:t>
      </w:r>
      <w:r w:rsidR="00BD151C">
        <w:fldChar w:fldCharType="begin"/>
      </w:r>
      <w:r w:rsidR="007732FB">
        <w:instrText xml:space="preserve"> REF _Ref259712245 \r \h </w:instrText>
      </w:r>
      <w:r w:rsidR="00BD151C">
        <w:fldChar w:fldCharType="separate"/>
      </w:r>
      <w:r w:rsidR="003E4210">
        <w:t>7.3.2.110</w:t>
      </w:r>
      <w:r w:rsidR="00BD151C">
        <w:fldChar w:fldCharType="end"/>
      </w:r>
      <w:r w:rsidRPr="00DD150D">
        <w:t>.</w:t>
      </w:r>
    </w:p>
    <w:p w:rsidR="007732FB" w:rsidRPr="00DD150D" w:rsidRDefault="007732FB" w:rsidP="00DD150D">
      <w:pPr>
        <w:adjustRightInd w:val="0"/>
      </w:pPr>
    </w:p>
    <w:p w:rsidR="008C36FC" w:rsidRPr="00BC19BF" w:rsidRDefault="008C36FC" w:rsidP="003701DB">
      <w:pPr>
        <w:pStyle w:val="Heading3"/>
        <w:numPr>
          <w:ilvl w:val="2"/>
          <w:numId w:val="182"/>
        </w:numPr>
      </w:pPr>
      <w:bookmarkStart w:id="410" w:name="_Toc235400247"/>
      <w:bookmarkStart w:id="411" w:name="_Ref243729876"/>
      <w:bookmarkStart w:id="412" w:name="_Ref251929420"/>
      <w:bookmarkStart w:id="413" w:name="_Toc259716908"/>
      <w:r w:rsidRPr="00BC19BF">
        <w:t>Information elements</w:t>
      </w:r>
      <w:bookmarkEnd w:id="410"/>
      <w:bookmarkEnd w:id="411"/>
      <w:bookmarkEnd w:id="412"/>
      <w:bookmarkEnd w:id="413"/>
    </w:p>
    <w:p w:rsidR="006E04BC" w:rsidRDefault="006E04BC" w:rsidP="0004091F"/>
    <w:p w:rsidR="006E04BC" w:rsidRPr="006E04BC" w:rsidRDefault="006E04BC" w:rsidP="0004091F">
      <w:pPr>
        <w:rPr>
          <w:i/>
        </w:rPr>
      </w:pPr>
      <w:r w:rsidRPr="006E04BC">
        <w:rPr>
          <w:i/>
        </w:rPr>
        <w:t xml:space="preserve">.11 Editor Note: </w:t>
      </w:r>
      <w:r w:rsidR="00A5456A">
        <w:rPr>
          <w:i/>
        </w:rPr>
        <w:t>insert the following</w:t>
      </w:r>
      <w:r w:rsidRPr="006E04BC">
        <w:rPr>
          <w:i/>
        </w:rPr>
        <w:t xml:space="preserve"> rows in “Table 7-26 – Element IDs”</w:t>
      </w:r>
    </w:p>
    <w:p w:rsidR="008C36FC" w:rsidRPr="00BC19BF" w:rsidRDefault="008C36FC" w:rsidP="00CB5FA5"/>
    <w:p w:rsidR="008C36FC" w:rsidRPr="00066F65" w:rsidRDefault="008C36FC" w:rsidP="00BC19BF">
      <w:pPr>
        <w:pStyle w:val="Caption"/>
        <w:keepNext/>
      </w:pPr>
      <w:bookmarkStart w:id="414" w:name="_Ref218332986"/>
      <w:bookmarkStart w:id="415" w:name="_Toc225065769"/>
      <w:bookmarkStart w:id="416" w:name="_Toc250654408"/>
      <w:r w:rsidRPr="00066F65">
        <w:t>Table</w:t>
      </w:r>
      <w:r w:rsidR="00EE1100" w:rsidRPr="00066F65">
        <w:t xml:space="preserve"> </w:t>
      </w:r>
      <w:bookmarkEnd w:id="414"/>
      <w:r w:rsidR="00A5456A">
        <w:t>7-26</w:t>
      </w:r>
      <w:r w:rsidRPr="00066F65">
        <w:rPr>
          <w:noProof/>
        </w:rPr>
        <w:t xml:space="preserve"> </w:t>
      </w:r>
      <w:r w:rsidR="001A49FC" w:rsidRPr="00066F65">
        <w:rPr>
          <w:noProof/>
        </w:rPr>
        <w:t>–</w:t>
      </w:r>
      <w:r w:rsidR="00A5456A">
        <w:rPr>
          <w:noProof/>
        </w:rPr>
        <w:t xml:space="preserve"> </w:t>
      </w:r>
      <w:r w:rsidRPr="00066F65">
        <w:rPr>
          <w:noProof/>
        </w:rPr>
        <w:t>Element IDs</w:t>
      </w:r>
      <w:bookmarkEnd w:id="415"/>
      <w:bookmarkEnd w:id="416"/>
    </w:p>
    <w:tbl>
      <w:tblPr>
        <w:tblW w:w="0" w:type="auto"/>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8"/>
        <w:gridCol w:w="1443"/>
        <w:gridCol w:w="2033"/>
      </w:tblGrid>
      <w:tr w:rsidR="008C36FC" w:rsidRPr="00066F65" w:rsidTr="00D0037C">
        <w:trPr>
          <w:jc w:val="center"/>
        </w:trPr>
        <w:tc>
          <w:tcPr>
            <w:tcW w:w="3638" w:type="dxa"/>
          </w:tcPr>
          <w:p w:rsidR="008C36FC" w:rsidRPr="00BC19BF" w:rsidRDefault="008C36FC" w:rsidP="00D0037C">
            <w:pPr>
              <w:jc w:val="both"/>
              <w:rPr>
                <w:rFonts w:eastAsia="SimSun"/>
                <w:b/>
              </w:rPr>
            </w:pPr>
            <w:r w:rsidRPr="00BC19BF">
              <w:rPr>
                <w:rFonts w:eastAsia="SimSun"/>
                <w:b/>
              </w:rPr>
              <w:t>Information element</w:t>
            </w:r>
          </w:p>
        </w:tc>
        <w:tc>
          <w:tcPr>
            <w:tcW w:w="1443" w:type="dxa"/>
          </w:tcPr>
          <w:p w:rsidR="008C36FC" w:rsidRPr="00BC19BF" w:rsidRDefault="008C36FC" w:rsidP="00D0037C">
            <w:pPr>
              <w:jc w:val="both"/>
              <w:rPr>
                <w:rFonts w:eastAsia="SimSun"/>
                <w:b/>
              </w:rPr>
            </w:pPr>
            <w:r w:rsidRPr="00BC19BF">
              <w:rPr>
                <w:rFonts w:eastAsia="SimSun"/>
                <w:b/>
              </w:rPr>
              <w:t>Element ID</w:t>
            </w:r>
          </w:p>
        </w:tc>
        <w:tc>
          <w:tcPr>
            <w:tcW w:w="2033" w:type="dxa"/>
          </w:tcPr>
          <w:p w:rsidR="008C36FC" w:rsidRPr="00BC19BF" w:rsidRDefault="008C36FC" w:rsidP="00D0037C">
            <w:pPr>
              <w:jc w:val="both"/>
              <w:rPr>
                <w:rFonts w:eastAsia="SimSun"/>
                <w:b/>
              </w:rPr>
            </w:pPr>
            <w:r w:rsidRPr="00BC19BF">
              <w:rPr>
                <w:rFonts w:eastAsia="SimSun"/>
                <w:b/>
              </w:rPr>
              <w:t>Length (in octets)</w:t>
            </w:r>
          </w:p>
        </w:tc>
      </w:tr>
      <w:tr w:rsidR="008C36FC" w:rsidRPr="00066F65" w:rsidTr="00D0037C">
        <w:trPr>
          <w:jc w:val="center"/>
        </w:trPr>
        <w:tc>
          <w:tcPr>
            <w:tcW w:w="3638" w:type="dxa"/>
          </w:tcPr>
          <w:p w:rsidR="008C36FC" w:rsidRPr="00A5456A" w:rsidRDefault="008C36FC" w:rsidP="00D0037C">
            <w:pPr>
              <w:jc w:val="both"/>
              <w:rPr>
                <w:rFonts w:eastAsia="SimSun"/>
                <w:u w:val="single"/>
              </w:rPr>
            </w:pPr>
            <w:r w:rsidRPr="00A5456A">
              <w:rPr>
                <w:rFonts w:eastAsia="SimSun"/>
                <w:u w:val="single"/>
              </w:rPr>
              <w:t>Wakeup Schedule</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9404C4" w:rsidP="006C0AE5">
            <w:pPr>
              <w:jc w:val="center"/>
              <w:rPr>
                <w:rFonts w:eastAsia="SimSun"/>
                <w:u w:val="single"/>
              </w:rPr>
            </w:pPr>
            <w:r w:rsidRPr="00A5456A">
              <w:rPr>
                <w:rFonts w:eastAsia="SimSun"/>
                <w:u w:val="single"/>
              </w:rPr>
              <w:t>6</w:t>
            </w:r>
          </w:p>
        </w:tc>
      </w:tr>
      <w:tr w:rsidR="008C36FC" w:rsidRPr="00066F65" w:rsidTr="00D0037C">
        <w:trPr>
          <w:jc w:val="center"/>
        </w:trPr>
        <w:tc>
          <w:tcPr>
            <w:tcW w:w="3638" w:type="dxa"/>
          </w:tcPr>
          <w:p w:rsidR="008C36FC" w:rsidRPr="00A5456A" w:rsidRDefault="006A2966" w:rsidP="00D0037C">
            <w:pPr>
              <w:jc w:val="both"/>
              <w:rPr>
                <w:rFonts w:eastAsia="SimSun"/>
                <w:u w:val="single"/>
              </w:rPr>
            </w:pPr>
            <w:r w:rsidRPr="00A5456A">
              <w:rPr>
                <w:rFonts w:eastAsia="SimSun"/>
                <w:u w:val="single"/>
              </w:rPr>
              <w:t>Extended Schedule</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CB5FA5" w:rsidP="006C0AE5">
            <w:pPr>
              <w:jc w:val="center"/>
              <w:rPr>
                <w:rFonts w:eastAsia="SimSun"/>
                <w:u w:val="single"/>
              </w:rPr>
            </w:pPr>
            <w:r w:rsidRPr="00A5456A">
              <w:rPr>
                <w:rFonts w:eastAsia="SimSun"/>
                <w:u w:val="single"/>
              </w:rPr>
              <w:t>15</w:t>
            </w:r>
            <w:r w:rsidR="009404C4" w:rsidRPr="00A5456A">
              <w:rPr>
                <w:rFonts w:eastAsia="SimSun"/>
                <w:u w:val="single"/>
              </w:rPr>
              <w:t xml:space="preserve"> to 255</w:t>
            </w:r>
          </w:p>
        </w:tc>
      </w:tr>
      <w:tr w:rsidR="008C36FC" w:rsidRPr="00066F65" w:rsidTr="00D0037C">
        <w:trPr>
          <w:jc w:val="center"/>
        </w:trPr>
        <w:tc>
          <w:tcPr>
            <w:tcW w:w="3638" w:type="dxa"/>
          </w:tcPr>
          <w:p w:rsidR="008C36FC" w:rsidRPr="00A5456A" w:rsidRDefault="008C36FC" w:rsidP="00D0037C">
            <w:pPr>
              <w:jc w:val="both"/>
              <w:rPr>
                <w:rFonts w:eastAsia="SimSun"/>
                <w:u w:val="single"/>
              </w:rPr>
            </w:pPr>
            <w:r w:rsidRPr="00A5456A">
              <w:rPr>
                <w:rFonts w:eastAsia="SimSun"/>
                <w:u w:val="single"/>
              </w:rPr>
              <w:lastRenderedPageBreak/>
              <w:t>STA Availability</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9404C4" w:rsidP="006C0AE5">
            <w:pPr>
              <w:jc w:val="center"/>
              <w:rPr>
                <w:rFonts w:eastAsia="SimSun"/>
                <w:u w:val="single"/>
              </w:rPr>
            </w:pPr>
            <w:r w:rsidRPr="00A5456A">
              <w:rPr>
                <w:rFonts w:eastAsia="SimSun"/>
                <w:u w:val="single"/>
              </w:rPr>
              <w:t>2 to 25</w:t>
            </w:r>
            <w:r w:rsidR="00CB5FA5" w:rsidRPr="00A5456A">
              <w:rPr>
                <w:rFonts w:eastAsia="SimSun"/>
                <w:u w:val="single"/>
              </w:rPr>
              <w:t>6</w:t>
            </w:r>
          </w:p>
        </w:tc>
      </w:tr>
      <w:tr w:rsidR="008C36FC" w:rsidRPr="00066F65" w:rsidTr="00D0037C">
        <w:trPr>
          <w:jc w:val="center"/>
        </w:trPr>
        <w:tc>
          <w:tcPr>
            <w:tcW w:w="3638" w:type="dxa"/>
          </w:tcPr>
          <w:p w:rsidR="008C36FC" w:rsidRPr="00A5456A" w:rsidRDefault="00401CDB" w:rsidP="00C203BC">
            <w:pPr>
              <w:rPr>
                <w:rFonts w:eastAsia="SimSun"/>
                <w:u w:val="single"/>
              </w:rPr>
            </w:pPr>
            <w:r w:rsidRPr="00A5456A">
              <w:rPr>
                <w:rFonts w:eastAsia="SimSun"/>
                <w:u w:val="single"/>
              </w:rPr>
              <w:t>Extended mmWave TSPEC</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D543A7" w:rsidP="006C0AE5">
            <w:pPr>
              <w:jc w:val="center"/>
              <w:rPr>
                <w:rFonts w:eastAsia="SimSun"/>
                <w:u w:val="single"/>
              </w:rPr>
            </w:pPr>
            <w:r w:rsidRPr="00A5456A">
              <w:rPr>
                <w:rFonts w:eastAsia="SimSun"/>
                <w:u w:val="single"/>
              </w:rPr>
              <w:t>13</w:t>
            </w:r>
          </w:p>
        </w:tc>
      </w:tr>
      <w:tr w:rsidR="008C36FC" w:rsidRPr="00066F65" w:rsidTr="00D0037C">
        <w:trPr>
          <w:jc w:val="center"/>
        </w:trPr>
        <w:tc>
          <w:tcPr>
            <w:tcW w:w="3638" w:type="dxa"/>
          </w:tcPr>
          <w:p w:rsidR="008C36FC" w:rsidRPr="00A5456A" w:rsidRDefault="00403223" w:rsidP="00D0037C">
            <w:pPr>
              <w:jc w:val="both"/>
              <w:rPr>
                <w:rFonts w:eastAsia="SimSun"/>
                <w:u w:val="single"/>
              </w:rPr>
            </w:pPr>
            <w:r w:rsidRPr="00A5456A">
              <w:rPr>
                <w:rFonts w:eastAsia="SimSun"/>
                <w:u w:val="single"/>
              </w:rPr>
              <w:t>Next mmWave AT</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D543A7" w:rsidP="006C0AE5">
            <w:pPr>
              <w:jc w:val="center"/>
              <w:rPr>
                <w:rFonts w:eastAsia="SimSun"/>
                <w:u w:val="single"/>
              </w:rPr>
            </w:pPr>
            <w:r w:rsidRPr="00A5456A">
              <w:rPr>
                <w:rFonts w:eastAsia="SimSun"/>
                <w:u w:val="single"/>
              </w:rPr>
              <w:t>4</w:t>
            </w:r>
          </w:p>
        </w:tc>
      </w:tr>
      <w:tr w:rsidR="008C36FC" w:rsidRPr="00066F65" w:rsidTr="00D0037C">
        <w:trPr>
          <w:jc w:val="center"/>
        </w:trPr>
        <w:tc>
          <w:tcPr>
            <w:tcW w:w="3638" w:type="dxa"/>
          </w:tcPr>
          <w:p w:rsidR="008C36FC" w:rsidRPr="00A5456A" w:rsidRDefault="000F2789" w:rsidP="00C203BC">
            <w:pPr>
              <w:rPr>
                <w:rFonts w:eastAsia="SimSun"/>
                <w:u w:val="single"/>
              </w:rPr>
            </w:pPr>
            <w:r w:rsidRPr="00A5456A">
              <w:rPr>
                <w:rFonts w:eastAsia="SimSun"/>
                <w:u w:val="single"/>
              </w:rPr>
              <w:t>mmWave Capabili</w:t>
            </w:r>
            <w:r w:rsidR="00B910DA" w:rsidRPr="00A5456A">
              <w:rPr>
                <w:rFonts w:eastAsia="SimSun"/>
                <w:u w:val="single"/>
              </w:rPr>
              <w:t>ties</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2FB" w:rsidRDefault="00704922">
            <w:pPr>
              <w:jc w:val="center"/>
              <w:rPr>
                <w:rFonts w:eastAsia="SimSun"/>
                <w:u w:val="single"/>
              </w:rPr>
            </w:pPr>
            <w:r w:rsidRPr="00A5456A">
              <w:rPr>
                <w:rFonts w:eastAsia="SimSun"/>
                <w:u w:val="single"/>
              </w:rPr>
              <w:t>1</w:t>
            </w:r>
            <w:r>
              <w:rPr>
                <w:rFonts w:eastAsia="SimSun"/>
                <w:u w:val="single"/>
              </w:rPr>
              <w:t>7</w:t>
            </w:r>
          </w:p>
        </w:tc>
      </w:tr>
      <w:tr w:rsidR="000F2789" w:rsidRPr="00066F65" w:rsidTr="00D0037C">
        <w:trPr>
          <w:jc w:val="center"/>
        </w:trPr>
        <w:tc>
          <w:tcPr>
            <w:tcW w:w="3638" w:type="dxa"/>
          </w:tcPr>
          <w:p w:rsidR="000F2789" w:rsidRPr="00A5456A" w:rsidRDefault="000F2789" w:rsidP="00D0037C">
            <w:pPr>
              <w:jc w:val="both"/>
              <w:rPr>
                <w:rFonts w:eastAsia="SimSun"/>
                <w:u w:val="single"/>
              </w:rPr>
            </w:pPr>
            <w:r w:rsidRPr="00A5456A">
              <w:rPr>
                <w:rFonts w:eastAsia="SimSun"/>
                <w:u w:val="single"/>
              </w:rPr>
              <w:t>mmWave Operation</w:t>
            </w:r>
          </w:p>
        </w:tc>
        <w:tc>
          <w:tcPr>
            <w:tcW w:w="1443" w:type="dxa"/>
          </w:tcPr>
          <w:p w:rsidR="000F2789" w:rsidRPr="00A5456A" w:rsidRDefault="000D2976" w:rsidP="00D0037C">
            <w:pPr>
              <w:jc w:val="both"/>
              <w:rPr>
                <w:rFonts w:eastAsia="SimSun"/>
                <w:u w:val="single"/>
              </w:rPr>
            </w:pPr>
            <w:r w:rsidRPr="00A5456A">
              <w:rPr>
                <w:rFonts w:eastAsia="SimSun"/>
                <w:u w:val="single"/>
              </w:rPr>
              <w:t>&lt;ANA&gt;</w:t>
            </w:r>
          </w:p>
        </w:tc>
        <w:tc>
          <w:tcPr>
            <w:tcW w:w="2033" w:type="dxa"/>
          </w:tcPr>
          <w:p w:rsidR="000F2789" w:rsidRPr="00A5456A" w:rsidRDefault="00D716C8" w:rsidP="006C0AE5">
            <w:pPr>
              <w:jc w:val="center"/>
              <w:rPr>
                <w:rFonts w:eastAsia="SimSun"/>
                <w:u w:val="single"/>
              </w:rPr>
            </w:pPr>
            <w:r>
              <w:rPr>
                <w:rFonts w:eastAsia="SimSun"/>
                <w:u w:val="single"/>
              </w:rPr>
              <w:t>10</w:t>
            </w:r>
          </w:p>
        </w:tc>
      </w:tr>
      <w:tr w:rsidR="008C36FC" w:rsidRPr="00066F65" w:rsidTr="00D0037C">
        <w:trPr>
          <w:jc w:val="center"/>
        </w:trPr>
        <w:tc>
          <w:tcPr>
            <w:tcW w:w="3638" w:type="dxa"/>
          </w:tcPr>
          <w:p w:rsidR="008C36FC" w:rsidRPr="00A5456A" w:rsidRDefault="00397C10" w:rsidP="00C203BC">
            <w:pPr>
              <w:rPr>
                <w:rFonts w:eastAsia="SimSun"/>
                <w:u w:val="single"/>
              </w:rPr>
            </w:pPr>
            <w:r w:rsidRPr="00A5456A">
              <w:rPr>
                <w:rFonts w:eastAsia="SimSun"/>
                <w:u w:val="single"/>
              </w:rPr>
              <w:t>mmWave</w:t>
            </w:r>
            <w:r w:rsidR="000F7406" w:rsidRPr="00A5456A">
              <w:rPr>
                <w:rFonts w:eastAsia="SimSun"/>
                <w:u w:val="single"/>
              </w:rPr>
              <w:t xml:space="preserve"> BSS</w:t>
            </w:r>
            <w:r w:rsidR="006278CE" w:rsidRPr="00A5456A">
              <w:rPr>
                <w:rFonts w:eastAsia="SimSun"/>
                <w:u w:val="single"/>
              </w:rPr>
              <w:t xml:space="preserve"> Parameter Change</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D543A7" w:rsidP="006C0AE5">
            <w:pPr>
              <w:jc w:val="center"/>
              <w:rPr>
                <w:rFonts w:eastAsia="SimSun"/>
                <w:u w:val="single"/>
              </w:rPr>
            </w:pPr>
            <w:r w:rsidRPr="00A5456A">
              <w:rPr>
                <w:rFonts w:eastAsia="SimSun"/>
                <w:u w:val="single"/>
              </w:rPr>
              <w:t>7</w:t>
            </w:r>
          </w:p>
        </w:tc>
      </w:tr>
      <w:tr w:rsidR="00E4443F" w:rsidRPr="00066F65" w:rsidTr="00D0037C">
        <w:trPr>
          <w:jc w:val="center"/>
        </w:trPr>
        <w:tc>
          <w:tcPr>
            <w:tcW w:w="3638" w:type="dxa"/>
          </w:tcPr>
          <w:p w:rsidR="00E4443F" w:rsidRPr="00A5456A" w:rsidRDefault="00DD23AD" w:rsidP="00495E44">
            <w:pPr>
              <w:rPr>
                <w:rFonts w:eastAsia="SimSun"/>
                <w:u w:val="single"/>
              </w:rPr>
            </w:pPr>
            <w:r w:rsidRPr="00A5456A">
              <w:rPr>
                <w:rFonts w:eastAsia="SimSun"/>
                <w:u w:val="single"/>
              </w:rPr>
              <w:t xml:space="preserve">mmWave </w:t>
            </w:r>
            <w:r w:rsidR="00E4443F" w:rsidRPr="00A5456A">
              <w:rPr>
                <w:rFonts w:eastAsia="SimSun"/>
                <w:u w:val="single"/>
              </w:rPr>
              <w:t>Service</w:t>
            </w:r>
          </w:p>
        </w:tc>
        <w:tc>
          <w:tcPr>
            <w:tcW w:w="1443" w:type="dxa"/>
          </w:tcPr>
          <w:p w:rsidR="00E4443F" w:rsidRPr="00A5456A" w:rsidRDefault="000D2976" w:rsidP="00D0037C">
            <w:pPr>
              <w:jc w:val="both"/>
              <w:rPr>
                <w:rFonts w:eastAsia="SimSun"/>
                <w:u w:val="single"/>
              </w:rPr>
            </w:pPr>
            <w:r w:rsidRPr="00A5456A">
              <w:rPr>
                <w:rFonts w:eastAsia="SimSun"/>
                <w:u w:val="single"/>
              </w:rPr>
              <w:t>&lt;ANA&gt;</w:t>
            </w:r>
          </w:p>
        </w:tc>
        <w:tc>
          <w:tcPr>
            <w:tcW w:w="2033" w:type="dxa"/>
          </w:tcPr>
          <w:p w:rsidR="00E4443F" w:rsidRPr="00A5456A" w:rsidRDefault="00CB5FA5" w:rsidP="006C0AE5">
            <w:pPr>
              <w:jc w:val="center"/>
              <w:rPr>
                <w:rFonts w:eastAsia="SimSun"/>
                <w:u w:val="single"/>
              </w:rPr>
            </w:pPr>
            <w:r w:rsidRPr="00A5456A">
              <w:rPr>
                <w:rFonts w:eastAsia="SimSun"/>
                <w:u w:val="single"/>
              </w:rPr>
              <w:t>16 to 256</w:t>
            </w:r>
          </w:p>
        </w:tc>
      </w:tr>
      <w:tr w:rsidR="00586C27" w:rsidRPr="00066F65" w:rsidTr="00D0037C">
        <w:trPr>
          <w:jc w:val="center"/>
        </w:trPr>
        <w:tc>
          <w:tcPr>
            <w:tcW w:w="3638" w:type="dxa"/>
          </w:tcPr>
          <w:p w:rsidR="00586C27" w:rsidRPr="00A5456A" w:rsidRDefault="00586C27" w:rsidP="00D0037C">
            <w:pPr>
              <w:jc w:val="both"/>
              <w:rPr>
                <w:rFonts w:eastAsia="SimSun"/>
                <w:u w:val="single"/>
              </w:rPr>
            </w:pPr>
            <w:r w:rsidRPr="00A5456A">
              <w:rPr>
                <w:rFonts w:eastAsia="SimSun"/>
                <w:u w:val="single"/>
              </w:rPr>
              <w:t>mmWave Beam refinement</w:t>
            </w:r>
          </w:p>
        </w:tc>
        <w:tc>
          <w:tcPr>
            <w:tcW w:w="1443" w:type="dxa"/>
          </w:tcPr>
          <w:p w:rsidR="00586C27" w:rsidRPr="00A5456A" w:rsidRDefault="000D2976" w:rsidP="00D0037C">
            <w:pPr>
              <w:jc w:val="both"/>
              <w:rPr>
                <w:rFonts w:eastAsia="SimSun"/>
                <w:u w:val="single"/>
              </w:rPr>
            </w:pPr>
            <w:r w:rsidRPr="00A5456A">
              <w:rPr>
                <w:rFonts w:eastAsia="SimSun"/>
                <w:u w:val="single"/>
              </w:rPr>
              <w:t>&lt;ANA&gt;</w:t>
            </w:r>
          </w:p>
        </w:tc>
        <w:tc>
          <w:tcPr>
            <w:tcW w:w="2033" w:type="dxa"/>
          </w:tcPr>
          <w:p w:rsidR="00586C27" w:rsidRPr="00A5456A" w:rsidRDefault="00B333A0" w:rsidP="006C0AE5">
            <w:pPr>
              <w:jc w:val="center"/>
              <w:rPr>
                <w:rFonts w:eastAsia="SimSun"/>
                <w:u w:val="single"/>
              </w:rPr>
            </w:pPr>
            <w:r w:rsidRPr="00A5456A">
              <w:rPr>
                <w:rFonts w:eastAsia="SimSun"/>
                <w:u w:val="single"/>
              </w:rPr>
              <w:t>5</w:t>
            </w:r>
          </w:p>
        </w:tc>
      </w:tr>
      <w:tr w:rsidR="00586C27" w:rsidRPr="00066F65" w:rsidTr="00D0037C">
        <w:trPr>
          <w:jc w:val="center"/>
        </w:trPr>
        <w:tc>
          <w:tcPr>
            <w:tcW w:w="3638" w:type="dxa"/>
          </w:tcPr>
          <w:p w:rsidR="00586C27" w:rsidRPr="00A5456A" w:rsidRDefault="00586C27" w:rsidP="00D0037C">
            <w:pPr>
              <w:jc w:val="both"/>
              <w:rPr>
                <w:rFonts w:eastAsia="SimSun"/>
                <w:u w:val="single"/>
              </w:rPr>
            </w:pPr>
            <w:r w:rsidRPr="00A5456A">
              <w:rPr>
                <w:rFonts w:eastAsia="SimSun"/>
                <w:u w:val="single"/>
              </w:rPr>
              <w:t>Channel measurement feedback</w:t>
            </w:r>
          </w:p>
        </w:tc>
        <w:tc>
          <w:tcPr>
            <w:tcW w:w="1443" w:type="dxa"/>
          </w:tcPr>
          <w:p w:rsidR="00586C27" w:rsidRPr="00A5456A" w:rsidRDefault="000D2976" w:rsidP="00D0037C">
            <w:pPr>
              <w:jc w:val="both"/>
              <w:rPr>
                <w:rFonts w:eastAsia="SimSun"/>
                <w:u w:val="single"/>
              </w:rPr>
            </w:pPr>
            <w:r w:rsidRPr="00A5456A">
              <w:rPr>
                <w:rFonts w:eastAsia="SimSun"/>
                <w:u w:val="single"/>
              </w:rPr>
              <w:t>&lt;ANA&gt;</w:t>
            </w:r>
          </w:p>
        </w:tc>
        <w:tc>
          <w:tcPr>
            <w:tcW w:w="2033" w:type="dxa"/>
          </w:tcPr>
          <w:p w:rsidR="00586C27" w:rsidRPr="00A5456A" w:rsidRDefault="00CB5FA5" w:rsidP="006C0AE5">
            <w:pPr>
              <w:jc w:val="center"/>
              <w:rPr>
                <w:rFonts w:eastAsia="SimSun"/>
                <w:u w:val="single"/>
              </w:rPr>
            </w:pPr>
            <w:r w:rsidRPr="00A5456A">
              <w:rPr>
                <w:rFonts w:eastAsia="SimSun"/>
                <w:u w:val="single"/>
              </w:rPr>
              <w:t>4 to 256</w:t>
            </w:r>
          </w:p>
        </w:tc>
      </w:tr>
      <w:tr w:rsidR="00586C27" w:rsidRPr="00066F65" w:rsidTr="00D0037C">
        <w:trPr>
          <w:jc w:val="center"/>
        </w:trPr>
        <w:tc>
          <w:tcPr>
            <w:tcW w:w="3638" w:type="dxa"/>
          </w:tcPr>
          <w:p w:rsidR="00586C27" w:rsidRPr="00A5456A" w:rsidRDefault="00586C27" w:rsidP="00D0037C">
            <w:pPr>
              <w:jc w:val="both"/>
              <w:rPr>
                <w:rFonts w:eastAsia="SimSun"/>
                <w:u w:val="single"/>
              </w:rPr>
            </w:pPr>
            <w:r w:rsidRPr="00A5456A">
              <w:rPr>
                <w:rFonts w:eastAsia="SimSun"/>
                <w:u w:val="single"/>
              </w:rPr>
              <w:t>Awake Window</w:t>
            </w:r>
          </w:p>
        </w:tc>
        <w:tc>
          <w:tcPr>
            <w:tcW w:w="1443" w:type="dxa"/>
          </w:tcPr>
          <w:p w:rsidR="00586C27" w:rsidRPr="00A5456A" w:rsidRDefault="000D2976" w:rsidP="00D0037C">
            <w:pPr>
              <w:jc w:val="both"/>
              <w:rPr>
                <w:rFonts w:eastAsia="SimSun"/>
                <w:u w:val="single"/>
              </w:rPr>
            </w:pPr>
            <w:r w:rsidRPr="00A5456A">
              <w:rPr>
                <w:rFonts w:eastAsia="SimSun"/>
                <w:u w:val="single"/>
              </w:rPr>
              <w:t>&lt;ANA&gt;</w:t>
            </w:r>
          </w:p>
        </w:tc>
        <w:tc>
          <w:tcPr>
            <w:tcW w:w="2033" w:type="dxa"/>
          </w:tcPr>
          <w:p w:rsidR="00586C27" w:rsidRPr="00A5456A" w:rsidRDefault="00D543A7" w:rsidP="006C0AE5">
            <w:pPr>
              <w:jc w:val="center"/>
              <w:rPr>
                <w:rFonts w:eastAsia="SimSun"/>
                <w:u w:val="single"/>
              </w:rPr>
            </w:pPr>
            <w:r w:rsidRPr="00A5456A">
              <w:rPr>
                <w:rFonts w:eastAsia="SimSun"/>
                <w:u w:val="single"/>
              </w:rPr>
              <w:t>2</w:t>
            </w:r>
          </w:p>
        </w:tc>
      </w:tr>
      <w:tr w:rsidR="00B763BE" w:rsidRPr="00066F65" w:rsidTr="00D0037C">
        <w:trPr>
          <w:jc w:val="center"/>
        </w:trPr>
        <w:tc>
          <w:tcPr>
            <w:tcW w:w="3638" w:type="dxa"/>
          </w:tcPr>
          <w:p w:rsidR="00B763BE" w:rsidRPr="00A5456A" w:rsidRDefault="00B763BE" w:rsidP="00D0037C">
            <w:pPr>
              <w:jc w:val="both"/>
              <w:rPr>
                <w:rFonts w:eastAsia="SimSun"/>
                <w:u w:val="single"/>
              </w:rPr>
            </w:pPr>
            <w:r w:rsidRPr="00A5456A">
              <w:rPr>
                <w:rFonts w:eastAsia="SimSun"/>
                <w:u w:val="single"/>
              </w:rPr>
              <w:t>Multi-band</w:t>
            </w:r>
          </w:p>
        </w:tc>
        <w:tc>
          <w:tcPr>
            <w:tcW w:w="1443" w:type="dxa"/>
          </w:tcPr>
          <w:p w:rsidR="00B763BE" w:rsidRPr="00A5456A" w:rsidRDefault="000D2976" w:rsidP="00D0037C">
            <w:pPr>
              <w:jc w:val="both"/>
              <w:rPr>
                <w:rFonts w:eastAsia="SimSun"/>
                <w:u w:val="single"/>
              </w:rPr>
            </w:pPr>
            <w:r w:rsidRPr="00A5456A">
              <w:rPr>
                <w:rFonts w:eastAsia="SimSun"/>
                <w:u w:val="single"/>
              </w:rPr>
              <w:t>&lt;ANA&gt;</w:t>
            </w:r>
          </w:p>
        </w:tc>
        <w:tc>
          <w:tcPr>
            <w:tcW w:w="2033" w:type="dxa"/>
          </w:tcPr>
          <w:p w:rsidR="00B763BE" w:rsidRPr="00A5456A" w:rsidRDefault="00D757E8" w:rsidP="006C0AE5">
            <w:pPr>
              <w:jc w:val="center"/>
              <w:rPr>
                <w:rFonts w:eastAsia="SimSun"/>
                <w:u w:val="single"/>
              </w:rPr>
            </w:pPr>
            <w:r w:rsidRPr="00A5456A">
              <w:rPr>
                <w:rFonts w:eastAsia="SimSun"/>
                <w:u w:val="single"/>
              </w:rPr>
              <w:t>23</w:t>
            </w:r>
            <w:r w:rsidR="00D543A7" w:rsidRPr="00A5456A">
              <w:rPr>
                <w:rFonts w:eastAsia="SimSun"/>
                <w:u w:val="single"/>
              </w:rPr>
              <w:t xml:space="preserve"> to 25</w:t>
            </w:r>
            <w:r w:rsidRPr="00A5456A">
              <w:rPr>
                <w:rFonts w:eastAsia="SimSun"/>
                <w:u w:val="single"/>
              </w:rPr>
              <w:t>5</w:t>
            </w:r>
          </w:p>
        </w:tc>
      </w:tr>
      <w:tr w:rsidR="00336E35" w:rsidRPr="00066F65" w:rsidTr="00D0037C">
        <w:trPr>
          <w:jc w:val="center"/>
        </w:trPr>
        <w:tc>
          <w:tcPr>
            <w:tcW w:w="3638" w:type="dxa"/>
          </w:tcPr>
          <w:p w:rsidR="00336E35" w:rsidRPr="00A5456A" w:rsidRDefault="00336E35" w:rsidP="00D0037C">
            <w:pPr>
              <w:jc w:val="both"/>
              <w:rPr>
                <w:rFonts w:eastAsia="SimSun"/>
                <w:u w:val="single"/>
              </w:rPr>
            </w:pPr>
            <w:r w:rsidRPr="00A5456A">
              <w:rPr>
                <w:rFonts w:eastAsia="SimSun"/>
                <w:u w:val="single"/>
              </w:rPr>
              <w:t>ADDBA extension</w:t>
            </w:r>
          </w:p>
        </w:tc>
        <w:tc>
          <w:tcPr>
            <w:tcW w:w="1443" w:type="dxa"/>
          </w:tcPr>
          <w:p w:rsidR="00336E35" w:rsidRPr="00A5456A" w:rsidRDefault="000D2976" w:rsidP="00D0037C">
            <w:pPr>
              <w:jc w:val="both"/>
              <w:rPr>
                <w:rFonts w:eastAsia="SimSun"/>
                <w:u w:val="single"/>
              </w:rPr>
            </w:pPr>
            <w:r w:rsidRPr="00A5456A">
              <w:rPr>
                <w:rFonts w:eastAsia="SimSun"/>
                <w:u w:val="single"/>
              </w:rPr>
              <w:t>&lt;ANA&gt;</w:t>
            </w:r>
          </w:p>
        </w:tc>
        <w:tc>
          <w:tcPr>
            <w:tcW w:w="2033" w:type="dxa"/>
          </w:tcPr>
          <w:p w:rsidR="00336E35" w:rsidRPr="00A5456A" w:rsidRDefault="0044218F" w:rsidP="006C0AE5">
            <w:pPr>
              <w:jc w:val="center"/>
              <w:rPr>
                <w:rFonts w:eastAsia="SimSun"/>
                <w:u w:val="single"/>
              </w:rPr>
            </w:pPr>
            <w:r w:rsidRPr="00A5456A">
              <w:rPr>
                <w:rFonts w:eastAsia="SimSun"/>
                <w:u w:val="single"/>
              </w:rPr>
              <w:t>1</w:t>
            </w:r>
          </w:p>
        </w:tc>
      </w:tr>
      <w:tr w:rsidR="0044218F" w:rsidRPr="00066F65" w:rsidTr="00D0037C">
        <w:trPr>
          <w:jc w:val="center"/>
        </w:trPr>
        <w:tc>
          <w:tcPr>
            <w:tcW w:w="3638" w:type="dxa"/>
          </w:tcPr>
          <w:p w:rsidR="0044218F" w:rsidRPr="00A5456A" w:rsidRDefault="0044218F" w:rsidP="00D0037C">
            <w:pPr>
              <w:jc w:val="both"/>
              <w:rPr>
                <w:rFonts w:eastAsia="SimSun"/>
                <w:u w:val="single"/>
              </w:rPr>
            </w:pPr>
            <w:r w:rsidRPr="00A5456A">
              <w:rPr>
                <w:rFonts w:eastAsia="SimSun" w:hint="eastAsia"/>
                <w:u w:val="single"/>
              </w:rPr>
              <w:t>NextPCP List</w:t>
            </w:r>
          </w:p>
        </w:tc>
        <w:tc>
          <w:tcPr>
            <w:tcW w:w="1443" w:type="dxa"/>
          </w:tcPr>
          <w:p w:rsidR="0044218F" w:rsidRPr="00A5456A" w:rsidRDefault="000D2976" w:rsidP="00D0037C">
            <w:pPr>
              <w:jc w:val="both"/>
              <w:rPr>
                <w:rFonts w:eastAsia="SimSun"/>
                <w:u w:val="single"/>
              </w:rPr>
            </w:pPr>
            <w:r w:rsidRPr="00A5456A">
              <w:rPr>
                <w:rFonts w:eastAsia="SimSun"/>
                <w:u w:val="single"/>
              </w:rPr>
              <w:t>&lt;ANA&gt;</w:t>
            </w:r>
          </w:p>
        </w:tc>
        <w:tc>
          <w:tcPr>
            <w:tcW w:w="2033" w:type="dxa"/>
          </w:tcPr>
          <w:p w:rsidR="0044218F" w:rsidRPr="00A5456A" w:rsidRDefault="00D543A7" w:rsidP="006C0AE5">
            <w:pPr>
              <w:jc w:val="center"/>
              <w:rPr>
                <w:rFonts w:eastAsia="SimSun"/>
                <w:u w:val="single"/>
              </w:rPr>
            </w:pPr>
            <w:r w:rsidRPr="00A5456A">
              <w:rPr>
                <w:rFonts w:eastAsia="SimSun"/>
                <w:u w:val="single"/>
              </w:rPr>
              <w:t>2</w:t>
            </w:r>
            <w:r w:rsidR="00CB5FA5" w:rsidRPr="00A5456A">
              <w:rPr>
                <w:rFonts w:eastAsia="SimSun"/>
                <w:u w:val="single"/>
              </w:rPr>
              <w:t xml:space="preserve"> to 256</w:t>
            </w:r>
          </w:p>
        </w:tc>
      </w:tr>
      <w:tr w:rsidR="00561F80" w:rsidRPr="00066F65" w:rsidTr="00D0037C">
        <w:trPr>
          <w:jc w:val="center"/>
        </w:trPr>
        <w:tc>
          <w:tcPr>
            <w:tcW w:w="3638" w:type="dxa"/>
          </w:tcPr>
          <w:p w:rsidR="00561F80" w:rsidRPr="00A5456A" w:rsidRDefault="00561F80" w:rsidP="00D0037C">
            <w:pPr>
              <w:jc w:val="both"/>
              <w:rPr>
                <w:rFonts w:eastAsia="SimSun"/>
                <w:u w:val="single"/>
              </w:rPr>
            </w:pPr>
            <w:r w:rsidRPr="00A5456A">
              <w:rPr>
                <w:rFonts w:eastAsia="SimSun"/>
                <w:u w:val="single"/>
              </w:rPr>
              <w:t>PCP Handover</w:t>
            </w:r>
          </w:p>
        </w:tc>
        <w:tc>
          <w:tcPr>
            <w:tcW w:w="1443" w:type="dxa"/>
          </w:tcPr>
          <w:p w:rsidR="00561F80" w:rsidRPr="00A5456A" w:rsidRDefault="000D2976" w:rsidP="00D0037C">
            <w:pPr>
              <w:jc w:val="both"/>
              <w:rPr>
                <w:rFonts w:eastAsia="SimSun"/>
                <w:b/>
                <w:u w:val="single"/>
              </w:rPr>
            </w:pPr>
            <w:r w:rsidRPr="00A5456A">
              <w:rPr>
                <w:rFonts w:eastAsia="SimSun"/>
                <w:u w:val="single"/>
              </w:rPr>
              <w:t>&lt;ANA&gt;</w:t>
            </w:r>
          </w:p>
        </w:tc>
        <w:tc>
          <w:tcPr>
            <w:tcW w:w="2033" w:type="dxa"/>
          </w:tcPr>
          <w:p w:rsidR="00561F80" w:rsidRPr="00A5456A" w:rsidRDefault="00CB5FA5" w:rsidP="006C0AE5">
            <w:pPr>
              <w:jc w:val="center"/>
              <w:rPr>
                <w:rFonts w:eastAsia="SimSun"/>
                <w:b/>
                <w:u w:val="single"/>
              </w:rPr>
            </w:pPr>
            <w:r w:rsidRPr="00A5456A">
              <w:rPr>
                <w:rFonts w:eastAsia="SimSun"/>
                <w:u w:val="single"/>
              </w:rPr>
              <w:t>2</w:t>
            </w:r>
          </w:p>
        </w:tc>
      </w:tr>
      <w:tr w:rsidR="00495E44" w:rsidRPr="00066F65" w:rsidTr="00D0037C">
        <w:trPr>
          <w:jc w:val="center"/>
        </w:trPr>
        <w:tc>
          <w:tcPr>
            <w:tcW w:w="3638" w:type="dxa"/>
          </w:tcPr>
          <w:p w:rsidR="00495E44" w:rsidRPr="00A5456A" w:rsidRDefault="00495E44" w:rsidP="00D757E8">
            <w:pPr>
              <w:jc w:val="both"/>
              <w:rPr>
                <w:rFonts w:eastAsia="SimSun"/>
                <w:u w:val="single"/>
              </w:rPr>
            </w:pPr>
            <w:r w:rsidRPr="00A5456A">
              <w:rPr>
                <w:rFonts w:eastAsia="SimSun"/>
                <w:u w:val="single"/>
              </w:rPr>
              <w:t xml:space="preserve">Link </w:t>
            </w:r>
            <w:r w:rsidR="00D757E8" w:rsidRPr="00A5456A">
              <w:rPr>
                <w:rFonts w:eastAsia="SimSun"/>
                <w:u w:val="single"/>
              </w:rPr>
              <w:t>M</w:t>
            </w:r>
            <w:r w:rsidR="00A84959" w:rsidRPr="00A5456A">
              <w:rPr>
                <w:rFonts w:eastAsia="SimSun"/>
                <w:u w:val="single"/>
              </w:rPr>
              <w:t>argin</w:t>
            </w:r>
          </w:p>
        </w:tc>
        <w:tc>
          <w:tcPr>
            <w:tcW w:w="1443" w:type="dxa"/>
          </w:tcPr>
          <w:p w:rsidR="00495E44" w:rsidRPr="00A5456A" w:rsidRDefault="00495E44" w:rsidP="00D0037C">
            <w:pPr>
              <w:jc w:val="both"/>
              <w:rPr>
                <w:rFonts w:eastAsia="SimSun"/>
                <w:u w:val="single"/>
              </w:rPr>
            </w:pPr>
            <w:r w:rsidRPr="00A5456A">
              <w:rPr>
                <w:rFonts w:eastAsia="SimSun"/>
                <w:u w:val="single"/>
              </w:rPr>
              <w:t>&lt;ANA&gt;</w:t>
            </w:r>
          </w:p>
        </w:tc>
        <w:tc>
          <w:tcPr>
            <w:tcW w:w="2033" w:type="dxa"/>
          </w:tcPr>
          <w:p w:rsidR="00495E44" w:rsidRPr="00A5456A" w:rsidRDefault="00A84959" w:rsidP="006C0AE5">
            <w:pPr>
              <w:jc w:val="center"/>
              <w:rPr>
                <w:rFonts w:eastAsia="SimSun"/>
                <w:u w:val="single"/>
              </w:rPr>
            </w:pPr>
            <w:r w:rsidRPr="00A5456A">
              <w:rPr>
                <w:rFonts w:eastAsia="SimSun"/>
                <w:u w:val="single"/>
              </w:rPr>
              <w:t>8</w:t>
            </w:r>
          </w:p>
        </w:tc>
      </w:tr>
      <w:tr w:rsidR="00495E44" w:rsidRPr="00066F65" w:rsidTr="00D0037C">
        <w:trPr>
          <w:jc w:val="center"/>
        </w:trPr>
        <w:tc>
          <w:tcPr>
            <w:tcW w:w="3638" w:type="dxa"/>
          </w:tcPr>
          <w:p w:rsidR="00495E44" w:rsidRPr="00A5456A" w:rsidRDefault="00495E44" w:rsidP="00D757E8">
            <w:pPr>
              <w:jc w:val="both"/>
              <w:rPr>
                <w:rFonts w:eastAsia="SimSun"/>
                <w:u w:val="single"/>
              </w:rPr>
            </w:pPr>
            <w:r w:rsidRPr="00A5456A">
              <w:rPr>
                <w:rFonts w:eastAsia="SimSun"/>
                <w:u w:val="single"/>
              </w:rPr>
              <w:t xml:space="preserve">Switching </w:t>
            </w:r>
            <w:r w:rsidR="00D757E8" w:rsidRPr="00A5456A">
              <w:rPr>
                <w:rFonts w:eastAsia="SimSun"/>
                <w:u w:val="single"/>
              </w:rPr>
              <w:t>S</w:t>
            </w:r>
            <w:r w:rsidRPr="00A5456A">
              <w:rPr>
                <w:rFonts w:eastAsia="SimSun"/>
                <w:u w:val="single"/>
              </w:rPr>
              <w:t>tream</w:t>
            </w:r>
          </w:p>
        </w:tc>
        <w:tc>
          <w:tcPr>
            <w:tcW w:w="1443" w:type="dxa"/>
          </w:tcPr>
          <w:p w:rsidR="00495E44" w:rsidRPr="00A5456A" w:rsidRDefault="00495E44" w:rsidP="00D0037C">
            <w:pPr>
              <w:jc w:val="both"/>
              <w:rPr>
                <w:rFonts w:eastAsia="SimSun"/>
                <w:u w:val="single"/>
              </w:rPr>
            </w:pPr>
            <w:r w:rsidRPr="00A5456A">
              <w:rPr>
                <w:rFonts w:eastAsia="SimSun"/>
                <w:u w:val="single"/>
              </w:rPr>
              <w:t>&lt;ANA&gt;</w:t>
            </w:r>
          </w:p>
        </w:tc>
        <w:tc>
          <w:tcPr>
            <w:tcW w:w="2033" w:type="dxa"/>
          </w:tcPr>
          <w:p w:rsidR="00495E44" w:rsidRPr="00A5456A" w:rsidRDefault="00495E44" w:rsidP="006C0AE5">
            <w:pPr>
              <w:jc w:val="center"/>
              <w:rPr>
                <w:rFonts w:eastAsia="SimSun"/>
                <w:u w:val="single"/>
              </w:rPr>
            </w:pPr>
            <w:r w:rsidRPr="00A5456A">
              <w:rPr>
                <w:rFonts w:eastAsia="SimSun"/>
                <w:u w:val="single"/>
              </w:rPr>
              <w:t>4 to 256</w:t>
            </w:r>
          </w:p>
        </w:tc>
      </w:tr>
      <w:tr w:rsidR="00780E3F" w:rsidRPr="00066F65" w:rsidTr="00D0037C">
        <w:trPr>
          <w:jc w:val="center"/>
        </w:trPr>
        <w:tc>
          <w:tcPr>
            <w:tcW w:w="3638" w:type="dxa"/>
          </w:tcPr>
          <w:p w:rsidR="00780E3F" w:rsidRPr="00A5456A" w:rsidRDefault="00780E3F" w:rsidP="00066F65">
            <w:pPr>
              <w:jc w:val="both"/>
              <w:rPr>
                <w:rFonts w:eastAsia="SimSun"/>
                <w:u w:val="single"/>
              </w:rPr>
            </w:pPr>
            <w:r w:rsidRPr="00A5456A">
              <w:rPr>
                <w:rFonts w:eastAsia="SimSun"/>
                <w:u w:val="single"/>
              </w:rPr>
              <w:t>Session Transition</w:t>
            </w:r>
          </w:p>
        </w:tc>
        <w:tc>
          <w:tcPr>
            <w:tcW w:w="1443" w:type="dxa"/>
          </w:tcPr>
          <w:p w:rsidR="00780E3F" w:rsidRPr="00A5456A" w:rsidRDefault="00780E3F" w:rsidP="00066F65">
            <w:pPr>
              <w:jc w:val="both"/>
              <w:rPr>
                <w:rFonts w:eastAsia="SimSun"/>
                <w:u w:val="single"/>
              </w:rPr>
            </w:pPr>
            <w:r w:rsidRPr="00A5456A">
              <w:rPr>
                <w:rFonts w:eastAsia="SimSun"/>
                <w:u w:val="single"/>
              </w:rPr>
              <w:t>&lt;ANA&gt;</w:t>
            </w:r>
          </w:p>
        </w:tc>
        <w:tc>
          <w:tcPr>
            <w:tcW w:w="2033" w:type="dxa"/>
          </w:tcPr>
          <w:p w:rsidR="00780E3F" w:rsidRPr="00A5456A" w:rsidRDefault="00780E3F" w:rsidP="00685B61">
            <w:pPr>
              <w:jc w:val="center"/>
              <w:rPr>
                <w:rFonts w:eastAsia="SimSun"/>
                <w:u w:val="single"/>
              </w:rPr>
            </w:pPr>
            <w:r w:rsidRPr="00A5456A">
              <w:rPr>
                <w:rFonts w:eastAsia="SimSun"/>
                <w:u w:val="single"/>
              </w:rPr>
              <w:t>1</w:t>
            </w:r>
            <w:r w:rsidR="00685B61" w:rsidRPr="00A5456A">
              <w:rPr>
                <w:rFonts w:eastAsia="SimSun"/>
                <w:u w:val="single"/>
              </w:rPr>
              <w:t>1</w:t>
            </w:r>
            <w:r w:rsidR="00D11F2E">
              <w:rPr>
                <w:rFonts w:eastAsia="SimSun"/>
                <w:u w:val="single"/>
              </w:rPr>
              <w:t xml:space="preserve"> </w:t>
            </w:r>
          </w:p>
        </w:tc>
      </w:tr>
      <w:tr w:rsidR="00107F1A" w:rsidRPr="00066F65" w:rsidTr="00D0037C">
        <w:trPr>
          <w:jc w:val="center"/>
        </w:trPr>
        <w:tc>
          <w:tcPr>
            <w:tcW w:w="3638" w:type="dxa"/>
          </w:tcPr>
          <w:p w:rsidR="00107F1A" w:rsidRPr="00A5456A" w:rsidRDefault="00107F1A" w:rsidP="00066F65">
            <w:pPr>
              <w:jc w:val="both"/>
              <w:rPr>
                <w:rFonts w:eastAsia="SimSun"/>
                <w:u w:val="single"/>
              </w:rPr>
            </w:pPr>
            <w:r>
              <w:rPr>
                <w:rFonts w:eastAsia="SimSun"/>
                <w:u w:val="single"/>
              </w:rPr>
              <w:t>Dynamic Tone Pairing Report</w:t>
            </w:r>
          </w:p>
        </w:tc>
        <w:tc>
          <w:tcPr>
            <w:tcW w:w="1443" w:type="dxa"/>
          </w:tcPr>
          <w:p w:rsidR="00107F1A" w:rsidRPr="00A5456A" w:rsidRDefault="00107F1A" w:rsidP="00066F65">
            <w:pPr>
              <w:jc w:val="both"/>
              <w:rPr>
                <w:rFonts w:eastAsia="SimSun"/>
                <w:u w:val="single"/>
              </w:rPr>
            </w:pPr>
            <w:r>
              <w:rPr>
                <w:rFonts w:eastAsia="SimSun"/>
                <w:u w:val="single"/>
              </w:rPr>
              <w:t>&lt;ANA&gt;</w:t>
            </w:r>
          </w:p>
        </w:tc>
        <w:tc>
          <w:tcPr>
            <w:tcW w:w="2033" w:type="dxa"/>
          </w:tcPr>
          <w:p w:rsidR="00107F1A" w:rsidRPr="00A5456A" w:rsidRDefault="00107F1A" w:rsidP="00685B61">
            <w:pPr>
              <w:jc w:val="center"/>
              <w:rPr>
                <w:rFonts w:eastAsia="SimSun"/>
                <w:u w:val="single"/>
              </w:rPr>
            </w:pPr>
            <w:r>
              <w:rPr>
                <w:rFonts w:eastAsia="SimSun"/>
                <w:u w:val="single"/>
              </w:rPr>
              <w:t>32</w:t>
            </w:r>
          </w:p>
        </w:tc>
      </w:tr>
      <w:tr w:rsidR="00107F1A" w:rsidRPr="00066F65" w:rsidTr="00D0037C">
        <w:trPr>
          <w:jc w:val="center"/>
        </w:trPr>
        <w:tc>
          <w:tcPr>
            <w:tcW w:w="3638" w:type="dxa"/>
          </w:tcPr>
          <w:p w:rsidR="00107F1A" w:rsidRPr="00A5456A" w:rsidRDefault="00107F1A" w:rsidP="00066F65">
            <w:pPr>
              <w:jc w:val="both"/>
              <w:rPr>
                <w:rFonts w:eastAsia="SimSun"/>
                <w:u w:val="single"/>
              </w:rPr>
            </w:pPr>
            <w:r>
              <w:rPr>
                <w:rFonts w:eastAsia="SimSun"/>
                <w:u w:val="single"/>
              </w:rPr>
              <w:t>Cluster report</w:t>
            </w:r>
          </w:p>
        </w:tc>
        <w:tc>
          <w:tcPr>
            <w:tcW w:w="1443" w:type="dxa"/>
          </w:tcPr>
          <w:p w:rsidR="00107F1A" w:rsidRPr="00A5456A" w:rsidRDefault="00107F1A" w:rsidP="00066F65">
            <w:pPr>
              <w:jc w:val="both"/>
              <w:rPr>
                <w:rFonts w:eastAsia="SimSun"/>
                <w:u w:val="single"/>
              </w:rPr>
            </w:pPr>
            <w:r>
              <w:rPr>
                <w:rFonts w:eastAsia="SimSun"/>
                <w:u w:val="single"/>
              </w:rPr>
              <w:t>&lt;ANA&gt;</w:t>
            </w:r>
          </w:p>
        </w:tc>
        <w:tc>
          <w:tcPr>
            <w:tcW w:w="2033" w:type="dxa"/>
          </w:tcPr>
          <w:p w:rsidR="00107F1A" w:rsidRPr="00A5456A" w:rsidRDefault="00107F1A" w:rsidP="00685B61">
            <w:pPr>
              <w:jc w:val="center"/>
              <w:rPr>
                <w:rFonts w:eastAsia="SimSun"/>
                <w:u w:val="single"/>
              </w:rPr>
            </w:pPr>
            <w:r>
              <w:rPr>
                <w:rFonts w:eastAsia="SimSun"/>
                <w:u w:val="single"/>
              </w:rPr>
              <w:t>13 to 256</w:t>
            </w:r>
          </w:p>
        </w:tc>
      </w:tr>
      <w:tr w:rsidR="00DD150D" w:rsidRPr="00066F65" w:rsidTr="00D0037C">
        <w:trPr>
          <w:jc w:val="center"/>
        </w:trPr>
        <w:tc>
          <w:tcPr>
            <w:tcW w:w="3638" w:type="dxa"/>
          </w:tcPr>
          <w:p w:rsidR="00DD150D" w:rsidRDefault="00DD150D" w:rsidP="00066F65">
            <w:pPr>
              <w:jc w:val="both"/>
              <w:rPr>
                <w:rFonts w:eastAsia="SimSun"/>
                <w:u w:val="single"/>
              </w:rPr>
            </w:pPr>
            <w:r>
              <w:rPr>
                <w:rFonts w:eastAsia="SimSun"/>
                <w:u w:val="single"/>
              </w:rPr>
              <w:t>Relay capabilities</w:t>
            </w:r>
          </w:p>
        </w:tc>
        <w:tc>
          <w:tcPr>
            <w:tcW w:w="1443" w:type="dxa"/>
          </w:tcPr>
          <w:p w:rsidR="00DD150D" w:rsidRDefault="00DD150D" w:rsidP="00066F65">
            <w:pPr>
              <w:jc w:val="both"/>
              <w:rPr>
                <w:rFonts w:eastAsia="SimSun"/>
                <w:u w:val="single"/>
              </w:rPr>
            </w:pPr>
            <w:r>
              <w:rPr>
                <w:rFonts w:eastAsia="SimSun"/>
                <w:u w:val="single"/>
              </w:rPr>
              <w:t>&lt;ANA&gt;</w:t>
            </w:r>
          </w:p>
        </w:tc>
        <w:tc>
          <w:tcPr>
            <w:tcW w:w="2033" w:type="dxa"/>
          </w:tcPr>
          <w:p w:rsidR="00DD150D" w:rsidRDefault="00DD150D" w:rsidP="00685B61">
            <w:pPr>
              <w:jc w:val="center"/>
              <w:rPr>
                <w:rFonts w:eastAsia="SimSun"/>
                <w:u w:val="single"/>
              </w:rPr>
            </w:pPr>
            <w:r>
              <w:rPr>
                <w:rFonts w:eastAsia="SimSun"/>
                <w:u w:val="single"/>
              </w:rPr>
              <w:t>1</w:t>
            </w:r>
          </w:p>
        </w:tc>
      </w:tr>
      <w:tr w:rsidR="00DD150D" w:rsidRPr="00066F65" w:rsidTr="00D0037C">
        <w:trPr>
          <w:jc w:val="center"/>
        </w:trPr>
        <w:tc>
          <w:tcPr>
            <w:tcW w:w="3638" w:type="dxa"/>
          </w:tcPr>
          <w:p w:rsidR="00DD150D" w:rsidRDefault="00DD150D" w:rsidP="00066F65">
            <w:pPr>
              <w:jc w:val="both"/>
              <w:rPr>
                <w:rFonts w:eastAsia="SimSun"/>
                <w:u w:val="single"/>
              </w:rPr>
            </w:pPr>
            <w:r>
              <w:rPr>
                <w:rFonts w:eastAsia="SimSun"/>
                <w:u w:val="single"/>
              </w:rPr>
              <w:t>Relay transfer parameter set</w:t>
            </w:r>
          </w:p>
        </w:tc>
        <w:tc>
          <w:tcPr>
            <w:tcW w:w="1443" w:type="dxa"/>
          </w:tcPr>
          <w:p w:rsidR="00DD150D" w:rsidRDefault="00C94205" w:rsidP="00066F65">
            <w:pPr>
              <w:jc w:val="both"/>
              <w:rPr>
                <w:rFonts w:eastAsia="SimSun"/>
                <w:u w:val="single"/>
              </w:rPr>
            </w:pPr>
            <w:r>
              <w:rPr>
                <w:rFonts w:eastAsia="SimSun"/>
                <w:u w:val="single"/>
              </w:rPr>
              <w:t>&lt;ANA&gt;</w:t>
            </w:r>
          </w:p>
        </w:tc>
        <w:tc>
          <w:tcPr>
            <w:tcW w:w="2033" w:type="dxa"/>
          </w:tcPr>
          <w:p w:rsidR="00DD150D" w:rsidRDefault="00C94205" w:rsidP="00685B61">
            <w:pPr>
              <w:jc w:val="center"/>
              <w:rPr>
                <w:rFonts w:eastAsia="SimSun"/>
                <w:u w:val="single"/>
              </w:rPr>
            </w:pPr>
            <w:r>
              <w:rPr>
                <w:rFonts w:eastAsia="SimSun"/>
                <w:u w:val="single"/>
              </w:rPr>
              <w:t>8</w:t>
            </w:r>
          </w:p>
        </w:tc>
      </w:tr>
    </w:tbl>
    <w:p w:rsidR="008C36FC" w:rsidRPr="00BC19BF" w:rsidRDefault="008C36FC" w:rsidP="000D2976"/>
    <w:p w:rsidR="00352E20" w:rsidRPr="00BC19BF" w:rsidRDefault="00977EBA" w:rsidP="003701DB">
      <w:pPr>
        <w:pStyle w:val="Heading4"/>
        <w:numPr>
          <w:ilvl w:val="3"/>
          <w:numId w:val="149"/>
        </w:numPr>
      </w:pPr>
      <w:r w:rsidRPr="00BC19BF">
        <w:t xml:space="preserve"> </w:t>
      </w:r>
      <w:bookmarkStart w:id="417" w:name="_Toc259716909"/>
      <w:r w:rsidRPr="00BC19BF">
        <w:t>C</w:t>
      </w:r>
      <w:r w:rsidR="00352E20" w:rsidRPr="00BC19BF">
        <w:t>hannel Switch Announcement element</w:t>
      </w:r>
      <w:bookmarkEnd w:id="417"/>
    </w:p>
    <w:p w:rsidR="00352E20" w:rsidRPr="00BC19BF" w:rsidRDefault="00352E20" w:rsidP="00352E20">
      <w:pPr>
        <w:jc w:val="both"/>
        <w:outlineLvl w:val="0"/>
        <w:rPr>
          <w:i/>
        </w:rPr>
      </w:pPr>
      <w:r w:rsidRPr="00BC19BF">
        <w:rPr>
          <w:i/>
        </w:rPr>
        <w:t>.11 Editor Note: Change the first paragraph as follows:</w:t>
      </w:r>
    </w:p>
    <w:p w:rsidR="00352E20" w:rsidRPr="00BC19BF" w:rsidRDefault="00352E20" w:rsidP="00352E20">
      <w:pPr>
        <w:jc w:val="both"/>
      </w:pPr>
    </w:p>
    <w:p w:rsidR="00352E20" w:rsidRPr="009448FC" w:rsidRDefault="00352E20" w:rsidP="00352E20">
      <w:pPr>
        <w:jc w:val="both"/>
      </w:pPr>
      <w:r w:rsidRPr="00BC19BF">
        <w:t xml:space="preserve">The Channel Switch Announcement element is used by an AP in a BSS or a STA in an IBSS </w:t>
      </w:r>
      <w:r w:rsidRPr="00066F65">
        <w:rPr>
          <w:u w:val="single"/>
        </w:rPr>
        <w:t xml:space="preserve">or a </w:t>
      </w:r>
      <w:r w:rsidR="00F61539" w:rsidRPr="00066F65">
        <w:rPr>
          <w:u w:val="single"/>
        </w:rPr>
        <w:t xml:space="preserve">PCP </w:t>
      </w:r>
      <w:r w:rsidRPr="00066F65">
        <w:rPr>
          <w:u w:val="single"/>
        </w:rPr>
        <w:t>in a PBSS</w:t>
      </w:r>
      <w:r w:rsidR="00281486" w:rsidRPr="009448FC">
        <w:t xml:space="preserve"> </w:t>
      </w:r>
      <w:r w:rsidRPr="009448FC">
        <w:t>to advertise when it is changing to a new channel and the corresponding channel number of the new channel. The format of the Channel Switch Announcement element is shown in Figure 7-57.</w:t>
      </w:r>
    </w:p>
    <w:p w:rsidR="008C36FC" w:rsidRPr="009448FC" w:rsidRDefault="008313EE" w:rsidP="003701DB">
      <w:pPr>
        <w:pStyle w:val="Heading4"/>
        <w:numPr>
          <w:ilvl w:val="3"/>
          <w:numId w:val="149"/>
        </w:numPr>
      </w:pPr>
      <w:bookmarkStart w:id="418" w:name="_Toc241624295"/>
      <w:bookmarkStart w:id="419" w:name="_Toc243399499"/>
      <w:bookmarkStart w:id="420" w:name="_Toc243455463"/>
      <w:bookmarkStart w:id="421" w:name="_Toc243461330"/>
      <w:bookmarkStart w:id="422" w:name="_Toc243471461"/>
      <w:bookmarkStart w:id="423" w:name="_Toc243794765"/>
      <w:bookmarkStart w:id="424" w:name="_Toc241624296"/>
      <w:bookmarkStart w:id="425" w:name="_Toc243399500"/>
      <w:bookmarkStart w:id="426" w:name="_Toc243455464"/>
      <w:bookmarkStart w:id="427" w:name="_Toc243461331"/>
      <w:bookmarkStart w:id="428" w:name="_Toc243471462"/>
      <w:bookmarkStart w:id="429" w:name="_Toc243794766"/>
      <w:bookmarkStart w:id="430" w:name="_Toc215582691"/>
      <w:bookmarkStart w:id="431" w:name="_Toc235400249"/>
      <w:bookmarkStart w:id="432" w:name="_Toc259716910"/>
      <w:bookmarkEnd w:id="418"/>
      <w:bookmarkEnd w:id="419"/>
      <w:bookmarkEnd w:id="420"/>
      <w:bookmarkEnd w:id="421"/>
      <w:bookmarkEnd w:id="422"/>
      <w:bookmarkEnd w:id="423"/>
      <w:bookmarkEnd w:id="424"/>
      <w:bookmarkEnd w:id="425"/>
      <w:bookmarkEnd w:id="426"/>
      <w:bookmarkEnd w:id="427"/>
      <w:bookmarkEnd w:id="428"/>
      <w:bookmarkEnd w:id="429"/>
      <w:r w:rsidRPr="009448FC">
        <w:t>M</w:t>
      </w:r>
      <w:r w:rsidR="008C36FC" w:rsidRPr="009448FC">
        <w:t>easurement Request element</w:t>
      </w:r>
      <w:bookmarkEnd w:id="430"/>
      <w:bookmarkEnd w:id="431"/>
      <w:bookmarkEnd w:id="432"/>
    </w:p>
    <w:p w:rsidR="008C36FC" w:rsidRPr="009448FC" w:rsidRDefault="008C36FC" w:rsidP="00C41062"/>
    <w:p w:rsidR="008C36FC" w:rsidRPr="009448FC" w:rsidRDefault="008C36FC" w:rsidP="009448FC">
      <w:pPr>
        <w:pStyle w:val="Caption"/>
        <w:outlineLvl w:val="0"/>
        <w:rPr>
          <w:rFonts w:ascii="Times New Roman" w:hAnsi="Times New Roman"/>
        </w:rPr>
      </w:pPr>
      <w:r w:rsidRPr="009448FC">
        <w:rPr>
          <w:rFonts w:ascii="Times New Roman" w:hAnsi="Times New Roman"/>
        </w:rPr>
        <w:t>Table 7-29 – Measurement Type definitions for measurement requests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9"/>
        <w:gridCol w:w="1877"/>
        <w:gridCol w:w="3109"/>
      </w:tblGrid>
      <w:tr w:rsidR="008C36FC" w:rsidRPr="00066F65" w:rsidTr="00D0037C">
        <w:trPr>
          <w:jc w:val="center"/>
        </w:trPr>
        <w:tc>
          <w:tcPr>
            <w:tcW w:w="0" w:type="auto"/>
          </w:tcPr>
          <w:p w:rsidR="008C36FC" w:rsidRPr="009448FC" w:rsidRDefault="008C36FC" w:rsidP="00D0037C">
            <w:pPr>
              <w:pStyle w:val="BodyText"/>
              <w:spacing w:before="0" w:after="0"/>
              <w:jc w:val="center"/>
              <w:rPr>
                <w:rFonts w:ascii="Times New Roman" w:hAnsi="Times New Roman"/>
                <w:b/>
                <w:sz w:val="20"/>
              </w:rPr>
            </w:pPr>
            <w:r w:rsidRPr="009448FC">
              <w:rPr>
                <w:rFonts w:ascii="Times New Roman" w:hAnsi="Times New Roman"/>
                <w:b/>
                <w:sz w:val="20"/>
              </w:rPr>
              <w:t>Name</w:t>
            </w:r>
          </w:p>
        </w:tc>
        <w:tc>
          <w:tcPr>
            <w:tcW w:w="0" w:type="auto"/>
          </w:tcPr>
          <w:p w:rsidR="008C36FC" w:rsidRPr="009448FC" w:rsidRDefault="008C36FC" w:rsidP="00D0037C">
            <w:pPr>
              <w:pStyle w:val="BodyText"/>
              <w:spacing w:before="0" w:after="0"/>
              <w:jc w:val="center"/>
              <w:rPr>
                <w:rFonts w:ascii="Times New Roman" w:hAnsi="Times New Roman"/>
                <w:b/>
                <w:sz w:val="20"/>
              </w:rPr>
            </w:pPr>
            <w:r w:rsidRPr="009448FC">
              <w:rPr>
                <w:rFonts w:ascii="Times New Roman" w:hAnsi="Times New Roman"/>
                <w:b/>
                <w:sz w:val="20"/>
              </w:rPr>
              <w:t>Measurement Type</w:t>
            </w:r>
          </w:p>
        </w:tc>
        <w:tc>
          <w:tcPr>
            <w:tcW w:w="0" w:type="auto"/>
          </w:tcPr>
          <w:p w:rsidR="008C36FC" w:rsidRPr="009448FC" w:rsidRDefault="008C36FC" w:rsidP="00D0037C">
            <w:pPr>
              <w:pStyle w:val="BodyText"/>
              <w:spacing w:before="0" w:after="0"/>
              <w:jc w:val="center"/>
              <w:rPr>
                <w:rFonts w:ascii="Times New Roman" w:hAnsi="Times New Roman"/>
                <w:b/>
                <w:sz w:val="20"/>
              </w:rPr>
            </w:pPr>
            <w:r w:rsidRPr="009448FC">
              <w:rPr>
                <w:rFonts w:ascii="Times New Roman" w:hAnsi="Times New Roman"/>
                <w:b/>
                <w:sz w:val="20"/>
              </w:rPr>
              <w:t>Measurement Use</w:t>
            </w:r>
          </w:p>
        </w:tc>
      </w:tr>
      <w:tr w:rsidR="00587B49" w:rsidRPr="00066F65" w:rsidTr="00D0037C">
        <w:trPr>
          <w:jc w:val="center"/>
        </w:trPr>
        <w:tc>
          <w:tcPr>
            <w:tcW w:w="0" w:type="auto"/>
          </w:tcPr>
          <w:p w:rsidR="00587B49" w:rsidRPr="00066F65" w:rsidRDefault="00587B49" w:rsidP="00D0037C">
            <w:pPr>
              <w:pStyle w:val="BodyText"/>
              <w:spacing w:before="0" w:after="0"/>
              <w:rPr>
                <w:rFonts w:ascii="Times New Roman" w:hAnsi="Times New Roman"/>
                <w:szCs w:val="24"/>
                <w:u w:val="single"/>
              </w:rPr>
            </w:pPr>
            <w:r w:rsidRPr="00066F65">
              <w:rPr>
                <w:rFonts w:ascii="Times New Roman" w:hAnsi="Times New Roman"/>
                <w:szCs w:val="24"/>
                <w:u w:val="single"/>
              </w:rPr>
              <w:t>Directional Channel Quality request</w:t>
            </w:r>
          </w:p>
        </w:tc>
        <w:tc>
          <w:tcPr>
            <w:tcW w:w="0" w:type="auto"/>
          </w:tcPr>
          <w:p w:rsidR="00587B49" w:rsidRPr="00066F65" w:rsidRDefault="00587B49" w:rsidP="00D0037C">
            <w:pPr>
              <w:pStyle w:val="BodyText"/>
              <w:spacing w:before="0" w:after="0"/>
              <w:rPr>
                <w:rFonts w:ascii="Times New Roman" w:hAnsi="Times New Roman"/>
                <w:szCs w:val="24"/>
                <w:u w:val="single"/>
              </w:rPr>
            </w:pPr>
            <w:r w:rsidRPr="00066F65">
              <w:rPr>
                <w:rFonts w:ascii="Times New Roman" w:hAnsi="Times New Roman"/>
                <w:szCs w:val="24"/>
                <w:u w:val="single"/>
              </w:rPr>
              <w:t>10</w:t>
            </w:r>
          </w:p>
        </w:tc>
        <w:tc>
          <w:tcPr>
            <w:tcW w:w="0" w:type="auto"/>
          </w:tcPr>
          <w:p w:rsidR="00587B49" w:rsidRPr="00066F65" w:rsidRDefault="00587B49" w:rsidP="00D0037C">
            <w:pPr>
              <w:pStyle w:val="BodyText"/>
              <w:spacing w:before="0" w:after="0"/>
              <w:rPr>
                <w:rFonts w:ascii="Times New Roman" w:hAnsi="Times New Roman"/>
                <w:szCs w:val="24"/>
                <w:u w:val="single"/>
              </w:rPr>
            </w:pPr>
            <w:r w:rsidRPr="00066F65">
              <w:rPr>
                <w:rFonts w:ascii="Times New Roman" w:hAnsi="Times New Roman"/>
                <w:szCs w:val="24"/>
                <w:u w:val="single"/>
              </w:rPr>
              <w:t>Radio Resource Measurement</w:t>
            </w:r>
          </w:p>
        </w:tc>
      </w:tr>
      <w:tr w:rsidR="00587B49" w:rsidRPr="00066F65" w:rsidTr="00D0037C">
        <w:trPr>
          <w:jc w:val="center"/>
        </w:trPr>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Directional Measurement request</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11</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 xml:space="preserve">Radio Resource Measurement </w:t>
            </w:r>
          </w:p>
        </w:tc>
      </w:tr>
      <w:tr w:rsidR="00587B49" w:rsidRPr="00066F65" w:rsidTr="00D0037C">
        <w:trPr>
          <w:jc w:val="center"/>
        </w:trPr>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 xml:space="preserve">Directional Statistics request </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12</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 xml:space="preserve">Radio Resource Measurement </w:t>
            </w:r>
          </w:p>
        </w:tc>
      </w:tr>
      <w:tr w:rsidR="008C36FC" w:rsidRPr="00066F65" w:rsidTr="00D0037C">
        <w:trPr>
          <w:jc w:val="center"/>
        </w:trPr>
        <w:tc>
          <w:tcPr>
            <w:tcW w:w="0" w:type="auto"/>
          </w:tcPr>
          <w:p w:rsidR="008C36FC" w:rsidRPr="00066F65" w:rsidRDefault="008C36FC" w:rsidP="00D0037C">
            <w:pPr>
              <w:jc w:val="both"/>
              <w:rPr>
                <w:rFonts w:eastAsia="SimSun"/>
                <w:u w:val="single"/>
              </w:rPr>
            </w:pPr>
            <w:r w:rsidRPr="00066F65">
              <w:rPr>
                <w:rFonts w:eastAsia="SimSun"/>
                <w:u w:val="single"/>
              </w:rPr>
              <w:t>Reserved</w:t>
            </w:r>
          </w:p>
        </w:tc>
        <w:tc>
          <w:tcPr>
            <w:tcW w:w="0" w:type="auto"/>
          </w:tcPr>
          <w:p w:rsidR="008C36FC" w:rsidRPr="00066F65" w:rsidRDefault="00587B49" w:rsidP="00D0037C">
            <w:pPr>
              <w:jc w:val="both"/>
              <w:rPr>
                <w:rFonts w:eastAsia="SimSun"/>
                <w:u w:val="single"/>
              </w:rPr>
            </w:pPr>
            <w:r w:rsidRPr="00066F65">
              <w:rPr>
                <w:rFonts w:eastAsia="SimSun"/>
                <w:u w:val="single"/>
              </w:rPr>
              <w:t>13</w:t>
            </w:r>
            <w:r w:rsidR="008C36FC" w:rsidRPr="00066F65">
              <w:rPr>
                <w:rFonts w:eastAsia="SimSun"/>
                <w:u w:val="single"/>
              </w:rPr>
              <w:t>-254</w:t>
            </w:r>
          </w:p>
        </w:tc>
        <w:tc>
          <w:tcPr>
            <w:tcW w:w="0" w:type="auto"/>
          </w:tcPr>
          <w:p w:rsidR="008C36FC" w:rsidRPr="00066F65" w:rsidRDefault="008C36FC" w:rsidP="00D0037C">
            <w:pPr>
              <w:jc w:val="both"/>
              <w:rPr>
                <w:rFonts w:eastAsia="SimSun"/>
                <w:u w:val="single"/>
              </w:rPr>
            </w:pPr>
            <w:r w:rsidRPr="00066F65">
              <w:rPr>
                <w:rFonts w:eastAsia="SimSun"/>
                <w:u w:val="single"/>
              </w:rPr>
              <w:t>N/A</w:t>
            </w:r>
          </w:p>
        </w:tc>
      </w:tr>
    </w:tbl>
    <w:p w:rsidR="008C36FC" w:rsidRPr="009448FC" w:rsidRDefault="008C36FC" w:rsidP="000C52DF">
      <w:pPr>
        <w:pStyle w:val="BodyText"/>
        <w:rPr>
          <w:rFonts w:ascii="Times New Roman" w:hAnsi="Times New Roman"/>
        </w:rPr>
      </w:pPr>
    </w:p>
    <w:p w:rsidR="00067173" w:rsidRPr="009448FC" w:rsidRDefault="00067173" w:rsidP="00067173">
      <w:pPr>
        <w:jc w:val="center"/>
        <w:rPr>
          <w:rFonts w:ascii="Arial" w:eastAsia="SimSun" w:hAnsi="Arial"/>
          <w:b/>
        </w:rPr>
      </w:pPr>
      <w:r w:rsidRPr="009448FC">
        <w:rPr>
          <w:rFonts w:ascii="Arial" w:eastAsia="SimSun" w:hAnsi="Arial"/>
          <w:b/>
        </w:rPr>
        <w:t xml:space="preserve">Table 7-30 – Measurement Type definitions for measurement reports </w:t>
      </w: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04"/>
        <w:gridCol w:w="3384"/>
      </w:tblGrid>
      <w:tr w:rsidR="00067173" w:rsidRPr="00066F65" w:rsidTr="00D0037C">
        <w:tc>
          <w:tcPr>
            <w:tcW w:w="4428" w:type="dxa"/>
          </w:tcPr>
          <w:p w:rsidR="00067173" w:rsidRPr="009448FC" w:rsidRDefault="00067173" w:rsidP="00D0037C">
            <w:pPr>
              <w:jc w:val="both"/>
              <w:rPr>
                <w:rFonts w:eastAsia="SimSun"/>
                <w:b/>
              </w:rPr>
            </w:pPr>
            <w:r w:rsidRPr="009448FC">
              <w:rPr>
                <w:rFonts w:eastAsia="SimSun"/>
                <w:b/>
              </w:rPr>
              <w:t>Name</w:t>
            </w:r>
          </w:p>
        </w:tc>
        <w:tc>
          <w:tcPr>
            <w:tcW w:w="2304" w:type="dxa"/>
          </w:tcPr>
          <w:p w:rsidR="00067173" w:rsidRPr="009448FC" w:rsidRDefault="00067173" w:rsidP="00D0037C">
            <w:pPr>
              <w:jc w:val="both"/>
              <w:rPr>
                <w:rFonts w:eastAsia="SimSun"/>
                <w:b/>
              </w:rPr>
            </w:pPr>
            <w:r w:rsidRPr="009448FC">
              <w:rPr>
                <w:rFonts w:eastAsia="SimSun"/>
                <w:b/>
              </w:rPr>
              <w:t>Measurement Type</w:t>
            </w:r>
          </w:p>
        </w:tc>
        <w:tc>
          <w:tcPr>
            <w:tcW w:w="3384" w:type="dxa"/>
          </w:tcPr>
          <w:p w:rsidR="00067173" w:rsidRPr="009448FC" w:rsidRDefault="00067173" w:rsidP="00D0037C">
            <w:pPr>
              <w:jc w:val="both"/>
              <w:rPr>
                <w:rFonts w:eastAsia="SimSun"/>
                <w:b/>
              </w:rPr>
            </w:pPr>
            <w:r w:rsidRPr="009448FC">
              <w:rPr>
                <w:rFonts w:eastAsia="SimSun"/>
                <w:b/>
              </w:rPr>
              <w:t>Measurement Use</w:t>
            </w:r>
          </w:p>
        </w:tc>
      </w:tr>
      <w:tr w:rsidR="00067173" w:rsidRPr="00066F65" w:rsidTr="00D0037C">
        <w:trPr>
          <w:trHeight w:val="365"/>
        </w:trPr>
        <w:tc>
          <w:tcPr>
            <w:tcW w:w="4428" w:type="dxa"/>
          </w:tcPr>
          <w:p w:rsidR="00067173" w:rsidRPr="00066F65" w:rsidRDefault="00067173" w:rsidP="00D0037C">
            <w:pPr>
              <w:jc w:val="both"/>
              <w:rPr>
                <w:rFonts w:eastAsia="SimSun"/>
                <w:u w:val="single"/>
              </w:rPr>
            </w:pPr>
            <w:r w:rsidRPr="00066F65">
              <w:rPr>
                <w:rFonts w:eastAsia="SimSun"/>
                <w:u w:val="single"/>
              </w:rPr>
              <w:t xml:space="preserve">Directional Channel Quality report </w:t>
            </w:r>
          </w:p>
        </w:tc>
        <w:tc>
          <w:tcPr>
            <w:tcW w:w="2304" w:type="dxa"/>
          </w:tcPr>
          <w:p w:rsidR="00067173" w:rsidRPr="00066F65" w:rsidRDefault="00067173" w:rsidP="00D0037C">
            <w:pPr>
              <w:jc w:val="both"/>
              <w:rPr>
                <w:rFonts w:eastAsia="SimSun"/>
                <w:u w:val="single"/>
              </w:rPr>
            </w:pPr>
            <w:r w:rsidRPr="00066F65">
              <w:rPr>
                <w:rFonts w:eastAsia="SimSun"/>
                <w:u w:val="single"/>
              </w:rPr>
              <w:t>10</w:t>
            </w:r>
          </w:p>
        </w:tc>
        <w:tc>
          <w:tcPr>
            <w:tcW w:w="3384" w:type="dxa"/>
          </w:tcPr>
          <w:p w:rsidR="00067173" w:rsidRPr="00066F65" w:rsidRDefault="00067173" w:rsidP="00D0037C">
            <w:pPr>
              <w:jc w:val="both"/>
              <w:rPr>
                <w:rFonts w:eastAsia="SimSun"/>
                <w:u w:val="single"/>
              </w:rPr>
            </w:pPr>
            <w:r w:rsidRPr="00066F65">
              <w:rPr>
                <w:rFonts w:eastAsia="SimSun"/>
                <w:u w:val="single"/>
              </w:rPr>
              <w:t>Radio Resource Measurement</w:t>
            </w:r>
          </w:p>
        </w:tc>
      </w:tr>
      <w:tr w:rsidR="00067173" w:rsidRPr="00066F65" w:rsidTr="00D0037C">
        <w:trPr>
          <w:trHeight w:val="125"/>
        </w:trPr>
        <w:tc>
          <w:tcPr>
            <w:tcW w:w="4428" w:type="dxa"/>
          </w:tcPr>
          <w:p w:rsidR="00067173" w:rsidRPr="00066F65" w:rsidRDefault="00067173" w:rsidP="00D0037C">
            <w:pPr>
              <w:jc w:val="both"/>
              <w:rPr>
                <w:rFonts w:eastAsia="SimSun"/>
                <w:u w:val="single"/>
              </w:rPr>
            </w:pPr>
            <w:r w:rsidRPr="00066F65">
              <w:rPr>
                <w:rFonts w:eastAsia="SimSun"/>
                <w:u w:val="single"/>
              </w:rPr>
              <w:t xml:space="preserve">Directional Measurement report </w:t>
            </w:r>
          </w:p>
        </w:tc>
        <w:tc>
          <w:tcPr>
            <w:tcW w:w="2304" w:type="dxa"/>
          </w:tcPr>
          <w:p w:rsidR="00067173" w:rsidRPr="00066F65" w:rsidRDefault="00067173" w:rsidP="00D0037C">
            <w:pPr>
              <w:jc w:val="both"/>
              <w:rPr>
                <w:rFonts w:eastAsia="SimSun"/>
                <w:u w:val="single"/>
              </w:rPr>
            </w:pPr>
            <w:r w:rsidRPr="00066F65">
              <w:rPr>
                <w:rFonts w:eastAsia="SimSun"/>
                <w:u w:val="single"/>
              </w:rPr>
              <w:t>11</w:t>
            </w:r>
          </w:p>
        </w:tc>
        <w:tc>
          <w:tcPr>
            <w:tcW w:w="3384" w:type="dxa"/>
          </w:tcPr>
          <w:p w:rsidR="00067173" w:rsidRPr="00066F65" w:rsidRDefault="00067173" w:rsidP="00D0037C">
            <w:pPr>
              <w:jc w:val="both"/>
              <w:rPr>
                <w:rFonts w:eastAsia="SimSun"/>
                <w:u w:val="single"/>
              </w:rPr>
            </w:pPr>
            <w:r w:rsidRPr="00066F65">
              <w:rPr>
                <w:rFonts w:eastAsia="SimSun"/>
                <w:u w:val="single"/>
              </w:rPr>
              <w:t>Radio Resource Measurement</w:t>
            </w:r>
          </w:p>
        </w:tc>
      </w:tr>
      <w:tr w:rsidR="00067173" w:rsidRPr="00066F65" w:rsidTr="00D0037C">
        <w:tc>
          <w:tcPr>
            <w:tcW w:w="4428" w:type="dxa"/>
          </w:tcPr>
          <w:p w:rsidR="00067173" w:rsidRPr="00066F65" w:rsidRDefault="00067173" w:rsidP="00D0037C">
            <w:pPr>
              <w:jc w:val="both"/>
              <w:rPr>
                <w:rFonts w:eastAsia="SimSun"/>
                <w:u w:val="single"/>
              </w:rPr>
            </w:pPr>
            <w:r w:rsidRPr="00066F65">
              <w:rPr>
                <w:rFonts w:eastAsia="SimSun"/>
                <w:u w:val="single"/>
              </w:rPr>
              <w:t>Directional Statistics report</w:t>
            </w:r>
          </w:p>
        </w:tc>
        <w:tc>
          <w:tcPr>
            <w:tcW w:w="2304" w:type="dxa"/>
          </w:tcPr>
          <w:p w:rsidR="00067173" w:rsidRPr="00066F65" w:rsidRDefault="00067173" w:rsidP="00D0037C">
            <w:pPr>
              <w:jc w:val="both"/>
              <w:rPr>
                <w:rFonts w:eastAsia="SimSun"/>
                <w:u w:val="single"/>
              </w:rPr>
            </w:pPr>
            <w:r w:rsidRPr="00066F65">
              <w:rPr>
                <w:rFonts w:eastAsia="SimSun"/>
                <w:u w:val="single"/>
              </w:rPr>
              <w:t>12</w:t>
            </w:r>
          </w:p>
        </w:tc>
        <w:tc>
          <w:tcPr>
            <w:tcW w:w="3384" w:type="dxa"/>
          </w:tcPr>
          <w:p w:rsidR="00067173" w:rsidRPr="00066F65" w:rsidRDefault="00067173" w:rsidP="00D0037C">
            <w:pPr>
              <w:jc w:val="both"/>
              <w:rPr>
                <w:rFonts w:eastAsia="SimSun"/>
                <w:u w:val="single"/>
              </w:rPr>
            </w:pPr>
            <w:r w:rsidRPr="00066F65">
              <w:rPr>
                <w:rFonts w:eastAsia="SimSun"/>
                <w:u w:val="single"/>
              </w:rPr>
              <w:t>Radio Resource Measurement</w:t>
            </w:r>
          </w:p>
        </w:tc>
      </w:tr>
      <w:tr w:rsidR="00067173" w:rsidRPr="00066F65" w:rsidTr="00D0037C">
        <w:tc>
          <w:tcPr>
            <w:tcW w:w="4428" w:type="dxa"/>
          </w:tcPr>
          <w:p w:rsidR="00067173" w:rsidRPr="009448FC" w:rsidRDefault="00067173" w:rsidP="00D0037C">
            <w:pPr>
              <w:jc w:val="both"/>
              <w:rPr>
                <w:rFonts w:eastAsia="SimSun"/>
              </w:rPr>
            </w:pPr>
            <w:r w:rsidRPr="009448FC">
              <w:rPr>
                <w:rFonts w:eastAsia="SimSun"/>
              </w:rPr>
              <w:lastRenderedPageBreak/>
              <w:t>Reserved</w:t>
            </w:r>
          </w:p>
        </w:tc>
        <w:tc>
          <w:tcPr>
            <w:tcW w:w="2304" w:type="dxa"/>
          </w:tcPr>
          <w:p w:rsidR="00067173" w:rsidRPr="00066F65" w:rsidRDefault="00067173" w:rsidP="00D0037C">
            <w:pPr>
              <w:jc w:val="both"/>
              <w:rPr>
                <w:rFonts w:eastAsia="SimSun"/>
                <w:u w:val="single"/>
              </w:rPr>
            </w:pPr>
            <w:r w:rsidRPr="00066F65">
              <w:rPr>
                <w:rFonts w:eastAsia="SimSun"/>
                <w:u w:val="single"/>
              </w:rPr>
              <w:t>13-254</w:t>
            </w:r>
          </w:p>
        </w:tc>
        <w:tc>
          <w:tcPr>
            <w:tcW w:w="3384" w:type="dxa"/>
          </w:tcPr>
          <w:p w:rsidR="00067173" w:rsidRPr="00066F65" w:rsidRDefault="00067173" w:rsidP="00D0037C">
            <w:pPr>
              <w:jc w:val="both"/>
              <w:rPr>
                <w:rFonts w:eastAsia="SimSun"/>
                <w:u w:val="single"/>
              </w:rPr>
            </w:pPr>
            <w:r w:rsidRPr="00066F65">
              <w:rPr>
                <w:rFonts w:eastAsia="SimSun"/>
                <w:u w:val="single"/>
              </w:rPr>
              <w:t>N/A</w:t>
            </w:r>
          </w:p>
        </w:tc>
      </w:tr>
    </w:tbl>
    <w:p w:rsidR="008C36FC" w:rsidRDefault="008C36FC" w:rsidP="000C52DF">
      <w:pPr>
        <w:pStyle w:val="BodyText"/>
        <w:rPr>
          <w:rFonts w:ascii="Times New Roman" w:hAnsi="Times New Roman"/>
        </w:rPr>
      </w:pPr>
    </w:p>
    <w:p w:rsidR="000610CF" w:rsidRPr="000610CF" w:rsidRDefault="000610CF" w:rsidP="000610CF">
      <w:pPr>
        <w:rPr>
          <w:i/>
          <w:lang w:bidi="ar-SA"/>
        </w:rPr>
      </w:pPr>
      <w:r w:rsidRPr="000610CF">
        <w:rPr>
          <w:i/>
          <w:lang w:bidi="ar-SA"/>
        </w:rPr>
        <w:t>.11 Editor Note: insert the following subclauses</w:t>
      </w:r>
    </w:p>
    <w:p w:rsidR="001475A5" w:rsidRPr="009448FC" w:rsidRDefault="001475A5" w:rsidP="003701DB">
      <w:pPr>
        <w:pStyle w:val="Heading5"/>
        <w:numPr>
          <w:ilvl w:val="4"/>
          <w:numId w:val="156"/>
        </w:numPr>
      </w:pPr>
      <w:bookmarkStart w:id="433" w:name="_Ref244252933"/>
      <w:bookmarkStart w:id="434" w:name="_Ref244253126"/>
      <w:bookmarkStart w:id="435" w:name="_Ref244259228"/>
      <w:bookmarkStart w:id="436" w:name="_Toc259716911"/>
      <w:r w:rsidRPr="009448FC">
        <w:t>Directional Channel Quality request</w:t>
      </w:r>
      <w:bookmarkEnd w:id="433"/>
      <w:bookmarkEnd w:id="434"/>
      <w:bookmarkEnd w:id="435"/>
      <w:bookmarkEnd w:id="436"/>
    </w:p>
    <w:p w:rsidR="008C36FC" w:rsidRPr="009448FC" w:rsidRDefault="008C36FC" w:rsidP="004A43A2">
      <w:pPr>
        <w:pStyle w:val="BodyText"/>
        <w:rPr>
          <w:rFonts w:ascii="Times New Roman" w:hAnsi="Times New Roman"/>
        </w:rPr>
      </w:pPr>
      <w:r w:rsidRPr="009448FC">
        <w:rPr>
          <w:rFonts w:ascii="Times New Roman" w:hAnsi="Times New Roman"/>
        </w:rPr>
        <w:t xml:space="preserve">The Measurement Request field corresponding to a Directional Channel Quality request is shown in </w:t>
      </w:r>
      <w:r w:rsidR="00BD151C" w:rsidRPr="009448FC">
        <w:rPr>
          <w:rFonts w:ascii="Times New Roman" w:hAnsi="Times New Roman"/>
        </w:rPr>
        <w:fldChar w:fldCharType="begin"/>
      </w:r>
      <w:r w:rsidR="004A43A2" w:rsidRPr="009448FC">
        <w:rPr>
          <w:rFonts w:ascii="Times New Roman" w:hAnsi="Times New Roman"/>
        </w:rPr>
        <w:instrText xml:space="preserve"> REF _Ref236557603 \h </w:instrText>
      </w:r>
      <w:r w:rsidR="00BD151C" w:rsidRPr="009448FC">
        <w:rPr>
          <w:rFonts w:ascii="Times New Roman" w:hAnsi="Times New Roman"/>
        </w:rPr>
      </w:r>
      <w:r w:rsidR="00BD151C" w:rsidRPr="009448FC">
        <w:rPr>
          <w:rFonts w:ascii="Times New Roman" w:hAnsi="Times New Roman"/>
        </w:rPr>
        <w:fldChar w:fldCharType="separate"/>
      </w:r>
      <w:r w:rsidR="003E4210" w:rsidRPr="009448FC">
        <w:rPr>
          <w:rFonts w:ascii="Times New Roman" w:hAnsi="Times New Roman"/>
        </w:rPr>
        <w:t xml:space="preserve">Figure </w:t>
      </w:r>
      <w:r w:rsidR="003E4210">
        <w:rPr>
          <w:rFonts w:ascii="Times New Roman" w:hAnsi="Times New Roman"/>
          <w:noProof/>
        </w:rPr>
        <w:t>18</w:t>
      </w:r>
      <w:r w:rsidR="00BD151C" w:rsidRPr="009448FC">
        <w:rPr>
          <w:rFonts w:ascii="Times New Roman" w:hAnsi="Times New Roman"/>
        </w:rPr>
        <w:fldChar w:fldCharType="end"/>
      </w:r>
      <w:r w:rsidRPr="009448FC">
        <w:rPr>
          <w:rFonts w:ascii="Times New Roman" w:hAnsi="Times New Roman"/>
        </w:rPr>
        <w:t>. This Measurement Request is transmitted from a Requesting STA to a Requested STA to perform measurements towards a Target STA.</w:t>
      </w:r>
    </w:p>
    <w:p w:rsidR="008C36FC" w:rsidRDefault="008C36FC" w:rsidP="000C52DF">
      <w:pPr>
        <w:pStyle w:val="BodyText"/>
        <w:rPr>
          <w:rFonts w:ascii="Times New Roman" w:hAnsi="Times New Roman"/>
        </w:rPr>
      </w:pPr>
    </w:p>
    <w:tbl>
      <w:tblPr>
        <w:tblW w:w="0" w:type="auto"/>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726"/>
        <w:gridCol w:w="1726"/>
        <w:gridCol w:w="608"/>
        <w:gridCol w:w="1035"/>
        <w:gridCol w:w="2153"/>
      </w:tblGrid>
      <w:tr w:rsidR="00DE2AB2" w:rsidRPr="000610CF" w:rsidTr="00DE2AB2">
        <w:trPr>
          <w:jc w:val="center"/>
        </w:trPr>
        <w:tc>
          <w:tcPr>
            <w:tcW w:w="0" w:type="auto"/>
            <w:tcBorders>
              <w:top w:val="nil"/>
              <w:left w:val="nil"/>
              <w:bottom w:val="nil"/>
            </w:tcBorders>
          </w:tcPr>
          <w:p w:rsidR="00DE2AB2" w:rsidRPr="000610CF" w:rsidRDefault="00DE2AB2" w:rsidP="00794082">
            <w:pPr>
              <w:pStyle w:val="BodyText"/>
              <w:rPr>
                <w:rFonts w:ascii="Times New Roman" w:hAnsi="Times New Roman"/>
                <w:sz w:val="22"/>
              </w:rPr>
            </w:pP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Regulatory Class</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Channel Number</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 xml:space="preserve">AID </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Reserved</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Measurement Method</w:t>
            </w:r>
          </w:p>
        </w:tc>
      </w:tr>
      <w:tr w:rsidR="00DE2AB2" w:rsidRPr="000610CF" w:rsidTr="00DE2AB2">
        <w:trPr>
          <w:jc w:val="center"/>
        </w:trPr>
        <w:tc>
          <w:tcPr>
            <w:tcW w:w="0" w:type="auto"/>
            <w:tcBorders>
              <w:top w:val="nil"/>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Octets:</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r>
    </w:tbl>
    <w:p w:rsidR="00DE2AB2" w:rsidRPr="000610CF" w:rsidRDefault="00DE2AB2" w:rsidP="000C52DF">
      <w:pPr>
        <w:pStyle w:val="BodyText"/>
        <w:rPr>
          <w:rFonts w:ascii="Times New Roman" w:hAnsi="Times New Roman"/>
          <w:sz w:val="28"/>
        </w:rPr>
      </w:pPr>
    </w:p>
    <w:tbl>
      <w:tblPr>
        <w:tblW w:w="0" w:type="auto"/>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2144"/>
        <w:gridCol w:w="2031"/>
        <w:gridCol w:w="1987"/>
        <w:gridCol w:w="1949"/>
      </w:tblGrid>
      <w:tr w:rsidR="00DE2AB2" w:rsidRPr="000610CF" w:rsidTr="00DE2AB2">
        <w:trPr>
          <w:jc w:val="center"/>
        </w:trPr>
        <w:tc>
          <w:tcPr>
            <w:tcW w:w="0" w:type="auto"/>
            <w:tcBorders>
              <w:top w:val="nil"/>
              <w:left w:val="nil"/>
              <w:bottom w:val="nil"/>
            </w:tcBorders>
          </w:tcPr>
          <w:p w:rsidR="00DE2AB2" w:rsidRPr="000610CF" w:rsidRDefault="00DE2AB2" w:rsidP="00781C94">
            <w:pPr>
              <w:pStyle w:val="BodyText"/>
              <w:rPr>
                <w:rFonts w:ascii="Times New Roman" w:hAnsi="Times New Roman"/>
                <w:sz w:val="22"/>
              </w:rPr>
            </w:pP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Measurement Start Time</w:t>
            </w: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Measurement Duration</w:t>
            </w: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Number of Time Blocks</w:t>
            </w: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Optional Subelements</w:t>
            </w:r>
          </w:p>
        </w:tc>
      </w:tr>
      <w:tr w:rsidR="00DE2AB2" w:rsidRPr="000610CF" w:rsidTr="00DE2AB2">
        <w:trPr>
          <w:jc w:val="center"/>
        </w:trPr>
        <w:tc>
          <w:tcPr>
            <w:tcW w:w="0" w:type="auto"/>
            <w:tcBorders>
              <w:top w:val="nil"/>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Octets:</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8</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2</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Variable</w:t>
            </w:r>
          </w:p>
        </w:tc>
      </w:tr>
    </w:tbl>
    <w:p w:rsidR="008C36FC" w:rsidRPr="00066F65" w:rsidRDefault="00865C95" w:rsidP="00BA5BC4">
      <w:pPr>
        <w:pStyle w:val="Caption"/>
      </w:pPr>
      <w:bookmarkStart w:id="437" w:name="_Ref236557603"/>
      <w:bookmarkStart w:id="438" w:name="_Toc259717450"/>
      <w:r w:rsidRPr="009448FC">
        <w:rPr>
          <w:rFonts w:ascii="Times New Roman" w:hAnsi="Times New Roman"/>
        </w:rPr>
        <w:t xml:space="preserve">Figure </w:t>
      </w:r>
      <w:r w:rsidR="00BD151C" w:rsidRPr="009448FC">
        <w:rPr>
          <w:rFonts w:ascii="Times New Roman" w:hAnsi="Times New Roman"/>
        </w:rPr>
        <w:fldChar w:fldCharType="begin"/>
      </w:r>
      <w:r w:rsidRPr="009448FC">
        <w:rPr>
          <w:rFonts w:ascii="Times New Roman" w:hAnsi="Times New Roman"/>
        </w:rPr>
        <w:instrText xml:space="preserve"> SEQ Figure \* ARABIC </w:instrText>
      </w:r>
      <w:r w:rsidR="00BD151C" w:rsidRPr="009448FC">
        <w:rPr>
          <w:rFonts w:ascii="Times New Roman" w:hAnsi="Times New Roman"/>
        </w:rPr>
        <w:fldChar w:fldCharType="separate"/>
      </w:r>
      <w:r w:rsidR="003E4210">
        <w:rPr>
          <w:rFonts w:ascii="Times New Roman" w:hAnsi="Times New Roman"/>
          <w:noProof/>
        </w:rPr>
        <w:t>18</w:t>
      </w:r>
      <w:r w:rsidR="00BD151C" w:rsidRPr="009448FC">
        <w:rPr>
          <w:rFonts w:ascii="Times New Roman" w:hAnsi="Times New Roman"/>
        </w:rPr>
        <w:fldChar w:fldCharType="end"/>
      </w:r>
      <w:bookmarkEnd w:id="437"/>
      <w:r w:rsidR="0016071E" w:rsidRPr="00066F65">
        <w:t xml:space="preserve"> </w:t>
      </w:r>
      <w:r w:rsidR="008C36FC" w:rsidRPr="009448FC">
        <w:rPr>
          <w:rFonts w:ascii="Times New Roman" w:hAnsi="Times New Roman"/>
        </w:rPr>
        <w:t>– Measurement request field format for Directional Channel Quality Request</w:t>
      </w:r>
      <w:bookmarkEnd w:id="438"/>
    </w:p>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Regulatory Class indicates the channel set for which the measurement request applies. Country, Regulatory Class, and Channel Number together specify the channel frequency and spacing for which the measurement request applies. Valid values of Regulatory Class are shown in Annex J.</w:t>
      </w:r>
    </w:p>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Channel Number indicates the channel number for which the measurement request applies. Channel Number is defined within a Regulatory Class as shown in Annex J.</w:t>
      </w:r>
    </w:p>
    <w:p w:rsidR="008C36FC" w:rsidRPr="009448FC" w:rsidRDefault="008C36FC" w:rsidP="000C52DF">
      <w:pPr>
        <w:pStyle w:val="BodyText"/>
        <w:rPr>
          <w:rFonts w:ascii="Times New Roman" w:hAnsi="Times New Roman"/>
        </w:rPr>
      </w:pPr>
    </w:p>
    <w:p w:rsidR="008C36FC" w:rsidRPr="009448FC" w:rsidRDefault="008C36FC" w:rsidP="00DA0521">
      <w:pPr>
        <w:pStyle w:val="BodyText"/>
        <w:rPr>
          <w:rFonts w:ascii="Times New Roman" w:hAnsi="Times New Roman"/>
        </w:rPr>
      </w:pPr>
      <w:r w:rsidRPr="009448FC">
        <w:rPr>
          <w:rFonts w:ascii="Times New Roman" w:hAnsi="Times New Roman"/>
        </w:rPr>
        <w:t>The AID</w:t>
      </w:r>
      <w:r w:rsidR="00281486" w:rsidRPr="009448FC">
        <w:rPr>
          <w:rFonts w:ascii="Times New Roman" w:hAnsi="Times New Roman"/>
        </w:rPr>
        <w:t xml:space="preserve"> </w:t>
      </w:r>
      <w:r w:rsidRPr="009448FC">
        <w:rPr>
          <w:rFonts w:ascii="Times New Roman" w:hAnsi="Times New Roman"/>
        </w:rPr>
        <w:t xml:space="preserve">indicates the Target STA. If the Requested STA is already beamformed with the Target STA, then the measurement shall be carried out </w:t>
      </w:r>
      <w:r w:rsidR="00C644E7" w:rsidRPr="009448FC">
        <w:rPr>
          <w:rFonts w:ascii="Times New Roman" w:hAnsi="Times New Roman"/>
        </w:rPr>
        <w:t xml:space="preserve">employing the same </w:t>
      </w:r>
      <w:r w:rsidR="001A49FC" w:rsidRPr="009448FC">
        <w:rPr>
          <w:rFonts w:ascii="Times New Roman" w:hAnsi="Times New Roman"/>
        </w:rPr>
        <w:t>receive antenna configuration</w:t>
      </w:r>
      <w:r w:rsidR="00C644E7" w:rsidRPr="009448FC">
        <w:rPr>
          <w:rFonts w:ascii="Times New Roman" w:hAnsi="Times New Roman"/>
        </w:rPr>
        <w:t xml:space="preserve"> as is used </w:t>
      </w:r>
      <w:r w:rsidR="00200905" w:rsidRPr="009448FC">
        <w:rPr>
          <w:rFonts w:ascii="Times New Roman" w:hAnsi="Times New Roman"/>
        </w:rPr>
        <w:t>when receiving frames from the T</w:t>
      </w:r>
      <w:r w:rsidR="00C644E7" w:rsidRPr="009448FC">
        <w:rPr>
          <w:rFonts w:ascii="Times New Roman" w:hAnsi="Times New Roman"/>
        </w:rPr>
        <w:t>arget STA</w:t>
      </w:r>
      <w:r w:rsidR="00655EA4" w:rsidRPr="009448FC">
        <w:rPr>
          <w:rFonts w:ascii="Times New Roman" w:hAnsi="Times New Roman"/>
        </w:rPr>
        <w:t>.</w:t>
      </w:r>
      <w:r w:rsidRPr="009448FC">
        <w:rPr>
          <w:rFonts w:ascii="Times New Roman" w:hAnsi="Times New Roman"/>
        </w:rPr>
        <w:t xml:space="preserve"> If the AID</w:t>
      </w:r>
      <w:r w:rsidR="00281486" w:rsidRPr="009448FC">
        <w:rPr>
          <w:rFonts w:ascii="Times New Roman" w:hAnsi="Times New Roman"/>
        </w:rPr>
        <w:t xml:space="preserve"> </w:t>
      </w:r>
      <w:r w:rsidRPr="009448FC">
        <w:rPr>
          <w:rFonts w:ascii="Times New Roman" w:hAnsi="Times New Roman"/>
        </w:rPr>
        <w:t>is set to the BcastID or an unknown AID</w:t>
      </w:r>
      <w:r w:rsidR="00655EA4" w:rsidRPr="009448FC">
        <w:rPr>
          <w:rFonts w:ascii="Times New Roman" w:hAnsi="Times New Roman"/>
        </w:rPr>
        <w:t>,</w:t>
      </w:r>
      <w:r w:rsidRPr="009448FC">
        <w:rPr>
          <w:rFonts w:ascii="Times New Roman" w:hAnsi="Times New Roman"/>
        </w:rPr>
        <w:t xml:space="preserve"> then the Requested STA shall perform the measurements using an </w:t>
      </w:r>
      <w:r w:rsidR="00DA0521" w:rsidRPr="009448FC">
        <w:rPr>
          <w:rFonts w:ascii="Times New Roman" w:hAnsi="Times New Roman"/>
        </w:rPr>
        <w:t xml:space="preserve">quasi-omni </w:t>
      </w:r>
      <w:r w:rsidR="00F021A8" w:rsidRPr="009448FC">
        <w:rPr>
          <w:rFonts w:ascii="Times New Roman" w:hAnsi="Times New Roman"/>
        </w:rPr>
        <w:t>antenna</w:t>
      </w:r>
      <w:r w:rsidR="00281486" w:rsidRPr="009448FC">
        <w:rPr>
          <w:rFonts w:ascii="Times New Roman" w:hAnsi="Times New Roman"/>
        </w:rPr>
        <w:t xml:space="preserve"> </w:t>
      </w:r>
      <w:r w:rsidRPr="009448FC">
        <w:rPr>
          <w:rFonts w:ascii="Times New Roman" w:hAnsi="Times New Roman"/>
        </w:rPr>
        <w:t xml:space="preserve">pattern. </w:t>
      </w:r>
    </w:p>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 xml:space="preserve">The Measurement Method indicates the method that is to be used by the Requested STA to carry out this measurement request and report back in the measurement report. If this field is set to zero (0) it indicates ANIPI. If this field is set to one (1), it indicates RSNI. Other values are reserved. </w:t>
      </w:r>
    </w:p>
    <w:p w:rsidR="008C36FC" w:rsidRPr="009448FC" w:rsidRDefault="008C36FC" w:rsidP="000C52DF">
      <w:pPr>
        <w:pStyle w:val="BodyText"/>
        <w:rPr>
          <w:rFonts w:ascii="Times New Roman" w:hAnsi="Times New Roman"/>
        </w:rPr>
      </w:pPr>
    </w:p>
    <w:p w:rsidR="008C36FC" w:rsidRPr="009448FC" w:rsidRDefault="008C36FC" w:rsidP="00120A30">
      <w:pPr>
        <w:pStyle w:val="BodyText"/>
        <w:rPr>
          <w:rFonts w:ascii="Times New Roman" w:hAnsi="Times New Roman"/>
        </w:rPr>
      </w:pPr>
      <w:r w:rsidRPr="009448FC">
        <w:rPr>
          <w:rFonts w:ascii="Times New Roman" w:hAnsi="Times New Roman"/>
        </w:rPr>
        <w:t>The Measurement Start Time field is set to the TSF timer at the time at which the requested measurement</w:t>
      </w:r>
      <w:r w:rsidR="00EE1100" w:rsidRPr="009448FC">
        <w:rPr>
          <w:rFonts w:ascii="Times New Roman" w:hAnsi="Times New Roman"/>
        </w:rPr>
        <w:t xml:space="preserve"> </w:t>
      </w:r>
      <w:r w:rsidRPr="009448FC">
        <w:rPr>
          <w:rFonts w:ascii="Times New Roman" w:hAnsi="Times New Roman"/>
        </w:rPr>
        <w:t>shall start. A value of 0 indicate</w:t>
      </w:r>
      <w:r w:rsidR="00D34E5B" w:rsidRPr="009448FC">
        <w:rPr>
          <w:rFonts w:ascii="Times New Roman" w:hAnsi="Times New Roman"/>
        </w:rPr>
        <w:t>s</w:t>
      </w:r>
      <w:r w:rsidRPr="009448FC">
        <w:rPr>
          <w:rFonts w:ascii="Times New Roman" w:hAnsi="Times New Roman"/>
        </w:rPr>
        <w:t xml:space="preserve"> </w:t>
      </w:r>
      <w:r w:rsidR="00D34E5B" w:rsidRPr="009448FC">
        <w:rPr>
          <w:rFonts w:ascii="Times New Roman" w:hAnsi="Times New Roman"/>
        </w:rPr>
        <w:t xml:space="preserve">that the measurement </w:t>
      </w:r>
      <w:r w:rsidRPr="009448FC">
        <w:rPr>
          <w:rFonts w:ascii="Times New Roman" w:hAnsi="Times New Roman"/>
        </w:rPr>
        <w:t>start</w:t>
      </w:r>
      <w:r w:rsidR="00D34E5B" w:rsidRPr="009448FC">
        <w:rPr>
          <w:rFonts w:ascii="Times New Roman" w:hAnsi="Times New Roman"/>
        </w:rPr>
        <w:t>s</w:t>
      </w:r>
      <w:r w:rsidR="00EE1100" w:rsidRPr="009448FC">
        <w:rPr>
          <w:rFonts w:ascii="Times New Roman" w:hAnsi="Times New Roman"/>
        </w:rPr>
        <w:t xml:space="preserve"> </w:t>
      </w:r>
      <w:r w:rsidRPr="009448FC">
        <w:rPr>
          <w:rFonts w:ascii="Times New Roman" w:hAnsi="Times New Roman"/>
        </w:rPr>
        <w:t>immediately.</w:t>
      </w:r>
    </w:p>
    <w:p w:rsidR="008C36FC" w:rsidRPr="009448FC" w:rsidRDefault="008C36FC" w:rsidP="000C52DF">
      <w:pPr>
        <w:pStyle w:val="BodyText"/>
        <w:rPr>
          <w:rFonts w:ascii="Times New Roman" w:hAnsi="Times New Roman"/>
        </w:rPr>
      </w:pPr>
    </w:p>
    <w:p w:rsidR="008C36FC" w:rsidRPr="009448FC" w:rsidRDefault="008C36FC" w:rsidP="00A443FB">
      <w:pPr>
        <w:pStyle w:val="BodyText"/>
        <w:rPr>
          <w:rFonts w:ascii="Times New Roman" w:hAnsi="Times New Roman"/>
        </w:rPr>
      </w:pPr>
      <w:r w:rsidRPr="009448FC">
        <w:rPr>
          <w:rFonts w:ascii="Times New Roman" w:hAnsi="Times New Roman"/>
        </w:rPr>
        <w:t>The Measurement Duration field is set to the preferred or mandatory duration of the requested measurement, expressed in units of</w:t>
      </w:r>
      <w:r w:rsidR="000E2470" w:rsidRPr="009448FC">
        <w:rPr>
          <w:rFonts w:ascii="Times New Roman" w:hAnsi="Times New Roman"/>
        </w:rPr>
        <w:t xml:space="preserve"> TUs. See 11.10.3</w:t>
      </w:r>
      <w:r w:rsidR="006C0AE5" w:rsidRPr="009448FC">
        <w:rPr>
          <w:rFonts w:ascii="Times New Roman" w:hAnsi="Times New Roman"/>
        </w:rPr>
        <w:t>.</w:t>
      </w:r>
    </w:p>
    <w:p w:rsidR="006C0AE5" w:rsidRPr="009448FC" w:rsidRDefault="006C0AE5" w:rsidP="00A443FB">
      <w:pPr>
        <w:pStyle w:val="BodyText"/>
        <w:rPr>
          <w:rFonts w:ascii="Times New Roman" w:hAnsi="Times New Roman"/>
        </w:rPr>
      </w:pPr>
    </w:p>
    <w:p w:rsidR="008C36FC" w:rsidRPr="009448FC" w:rsidRDefault="008C36FC" w:rsidP="00A443FB">
      <w:pPr>
        <w:pStyle w:val="BodyText"/>
        <w:rPr>
          <w:rFonts w:ascii="Times New Roman" w:hAnsi="Times New Roman"/>
        </w:rPr>
      </w:pPr>
      <w:r w:rsidRPr="009448FC">
        <w:rPr>
          <w:rFonts w:ascii="Times New Roman" w:hAnsi="Times New Roman"/>
        </w:rPr>
        <w:lastRenderedPageBreak/>
        <w:t>The Number of Time Blocks indicates the number of time blocks within the Measurement Duration. The ratio (Measurement Duration / Number of Time Blocks) provides the duration of an individual measurement unit.</w:t>
      </w:r>
    </w:p>
    <w:p w:rsidR="006C0AE5" w:rsidRPr="009448FC" w:rsidRDefault="006C0AE5" w:rsidP="00A443FB">
      <w:pPr>
        <w:pStyle w:val="BodyText"/>
        <w:rPr>
          <w:rFonts w:ascii="Times New Roman" w:hAnsi="Times New Roman"/>
        </w:rPr>
      </w:pPr>
    </w:p>
    <w:p w:rsidR="008C36FC" w:rsidRPr="009448FC" w:rsidRDefault="008C36FC" w:rsidP="00A443FB">
      <w:pPr>
        <w:pStyle w:val="BodyText"/>
        <w:rPr>
          <w:rFonts w:ascii="Times New Roman" w:hAnsi="Times New Roman"/>
        </w:rPr>
      </w:pPr>
      <w:r w:rsidRPr="009448FC">
        <w:rPr>
          <w:rFonts w:ascii="Times New Roman" w:hAnsi="Times New Roman"/>
        </w:rPr>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A443FB" w:rsidRPr="009448FC" w:rsidRDefault="00A443FB" w:rsidP="00A443FB">
      <w:pPr>
        <w:pStyle w:val="BodyText"/>
        <w:rPr>
          <w:rFonts w:ascii="Times New Roman" w:hAnsi="Times New Roman"/>
        </w:rPr>
      </w:pPr>
    </w:p>
    <w:p w:rsidR="008C36FC" w:rsidRPr="009448FC" w:rsidRDefault="008C36FC" w:rsidP="00866013">
      <w:pPr>
        <w:pStyle w:val="BodyText"/>
        <w:rPr>
          <w:rFonts w:ascii="Times New Roman" w:hAnsi="Times New Roman"/>
        </w:rPr>
      </w:pPr>
      <w:r w:rsidRPr="009448FC">
        <w:rPr>
          <w:rFonts w:ascii="Times New Roman" w:hAnsi="Times New Roman"/>
        </w:rPr>
        <w:t>The Subelement ID field values for the defined optional subelements are shown in</w:t>
      </w:r>
      <w:r w:rsidR="0093560A" w:rsidRPr="009448FC">
        <w:rPr>
          <w:rFonts w:ascii="Times New Roman" w:hAnsi="Times New Roman"/>
        </w:rPr>
        <w:t xml:space="preserve"> </w:t>
      </w:r>
      <w:r w:rsidR="00BD151C" w:rsidRPr="009448FC">
        <w:rPr>
          <w:rFonts w:ascii="Times New Roman" w:hAnsi="Times New Roman"/>
        </w:rPr>
        <w:fldChar w:fldCharType="begin"/>
      </w:r>
      <w:r w:rsidR="00D93FDC" w:rsidRPr="009448FC">
        <w:rPr>
          <w:rFonts w:ascii="Times New Roman" w:hAnsi="Times New Roman"/>
        </w:rPr>
        <w:instrText xml:space="preserve"> REF _Ref243795773 \h </w:instrText>
      </w:r>
      <w:r w:rsidR="00BD151C" w:rsidRPr="009448FC">
        <w:rPr>
          <w:rFonts w:ascii="Times New Roman" w:hAnsi="Times New Roman"/>
        </w:rPr>
      </w:r>
      <w:r w:rsidR="00BD151C" w:rsidRPr="009448FC">
        <w:rPr>
          <w:rFonts w:ascii="Times New Roman" w:hAnsi="Times New Roman"/>
        </w:rPr>
        <w:fldChar w:fldCharType="separate"/>
      </w:r>
      <w:r w:rsidR="003E4210" w:rsidRPr="009448FC">
        <w:rPr>
          <w:rFonts w:ascii="Times New Roman" w:hAnsi="Times New Roman"/>
        </w:rPr>
        <w:t xml:space="preserve">Table </w:t>
      </w:r>
      <w:r w:rsidR="003E4210">
        <w:rPr>
          <w:rFonts w:ascii="Times New Roman" w:hAnsi="Times New Roman"/>
          <w:noProof/>
        </w:rPr>
        <w:t>5</w:t>
      </w:r>
      <w:r w:rsidR="00BD151C" w:rsidRPr="009448FC">
        <w:rPr>
          <w:rFonts w:ascii="Times New Roman" w:hAnsi="Times New Roman"/>
        </w:rPr>
        <w:fldChar w:fldCharType="end"/>
      </w:r>
      <w:r w:rsidRPr="009448FC">
        <w:rPr>
          <w:rFonts w:ascii="Times New Roman" w:hAnsi="Times New Roman"/>
        </w:rPr>
        <w:t xml:space="preserve">. A Yes in the Extensible column of a subelement listed in </w:t>
      </w:r>
      <w:r w:rsidR="00BD151C" w:rsidRPr="009448FC">
        <w:rPr>
          <w:rFonts w:ascii="Times New Roman" w:hAnsi="Times New Roman"/>
        </w:rPr>
        <w:fldChar w:fldCharType="begin"/>
      </w:r>
      <w:r w:rsidR="00D93FDC" w:rsidRPr="009448FC">
        <w:rPr>
          <w:rFonts w:ascii="Times New Roman" w:hAnsi="Times New Roman"/>
        </w:rPr>
        <w:instrText xml:space="preserve"> REF _Ref243795773 \h </w:instrText>
      </w:r>
      <w:r w:rsidR="00BD151C" w:rsidRPr="009448FC">
        <w:rPr>
          <w:rFonts w:ascii="Times New Roman" w:hAnsi="Times New Roman"/>
        </w:rPr>
      </w:r>
      <w:r w:rsidR="00BD151C" w:rsidRPr="009448FC">
        <w:rPr>
          <w:rFonts w:ascii="Times New Roman" w:hAnsi="Times New Roman"/>
        </w:rPr>
        <w:fldChar w:fldCharType="separate"/>
      </w:r>
      <w:r w:rsidR="003E4210" w:rsidRPr="009448FC">
        <w:rPr>
          <w:rFonts w:ascii="Times New Roman" w:hAnsi="Times New Roman"/>
        </w:rPr>
        <w:t xml:space="preserve">Table </w:t>
      </w:r>
      <w:r w:rsidR="003E4210">
        <w:rPr>
          <w:rFonts w:ascii="Times New Roman" w:hAnsi="Times New Roman"/>
          <w:noProof/>
        </w:rPr>
        <w:t>5</w:t>
      </w:r>
      <w:r w:rsidR="00BD151C" w:rsidRPr="009448FC">
        <w:rPr>
          <w:rFonts w:ascii="Times New Roman" w:hAnsi="Times New Roman"/>
        </w:rPr>
        <w:fldChar w:fldCharType="end"/>
      </w:r>
      <w:r w:rsidR="0093560A" w:rsidRPr="009448FC">
        <w:rPr>
          <w:rFonts w:ascii="Times New Roman" w:hAnsi="Times New Roman"/>
        </w:rPr>
        <w:t xml:space="preserve">. </w:t>
      </w:r>
      <w:r w:rsidRPr="009448FC">
        <w:rPr>
          <w:rFonts w:ascii="Times New Roman" w:hAnsi="Times New Roman"/>
        </w:rPr>
        <w:t xml:space="preserve">indicates that the Length of the subelement might be extended in future revisions or amendments of this </w:t>
      </w:r>
      <w:r w:rsidR="00FF0730" w:rsidRPr="009448FC">
        <w:rPr>
          <w:rFonts w:ascii="Times New Roman" w:hAnsi="Times New Roman"/>
        </w:rPr>
        <w:t>speci</w:t>
      </w:r>
      <w:r w:rsidR="00281486" w:rsidRPr="009448FC">
        <w:rPr>
          <w:rFonts w:ascii="Times New Roman" w:hAnsi="Times New Roman"/>
        </w:rPr>
        <w:t>fication</w:t>
      </w:r>
      <w:r w:rsidRPr="009448FC">
        <w:rPr>
          <w:rFonts w:ascii="Times New Roman" w:hAnsi="Times New Roman"/>
        </w:rPr>
        <w:t xml:space="preserve">. When the Extensible column of an element is set to Subelements, then the subelement might be extended in future revisions or amendments of this </w:t>
      </w:r>
      <w:r w:rsidR="00FF0730" w:rsidRPr="009448FC">
        <w:rPr>
          <w:rFonts w:ascii="Times New Roman" w:hAnsi="Times New Roman"/>
        </w:rPr>
        <w:t xml:space="preserve">specification </w:t>
      </w:r>
      <w:r w:rsidRPr="009448FC">
        <w:rPr>
          <w:rFonts w:ascii="Times New Roman" w:hAnsi="Times New Roman"/>
        </w:rPr>
        <w:t xml:space="preserve">by defining additional subelements within the subelement. </w:t>
      </w:r>
      <w:r w:rsidR="00866013" w:rsidRPr="009448FC">
        <w:rPr>
          <w:rFonts w:ascii="Times New Roman" w:hAnsi="Times New Roman"/>
        </w:rPr>
        <w:t>See 9.14.2</w:t>
      </w:r>
      <w:r w:rsidR="00015517">
        <w:rPr>
          <w:rFonts w:ascii="Times New Roman" w:hAnsi="Times New Roman"/>
        </w:rPr>
        <w:t>.</w:t>
      </w:r>
    </w:p>
    <w:p w:rsidR="008C36FC" w:rsidRPr="009448FC" w:rsidRDefault="00A94F2F" w:rsidP="00BA5BC4">
      <w:pPr>
        <w:pStyle w:val="Caption"/>
        <w:rPr>
          <w:rFonts w:ascii="Times New Roman" w:hAnsi="Times New Roman"/>
        </w:rPr>
      </w:pPr>
      <w:bookmarkStart w:id="439" w:name="_Ref243795773"/>
      <w:bookmarkStart w:id="440" w:name="_Toc225065770"/>
      <w:bookmarkStart w:id="441" w:name="_Toc250654409"/>
      <w:bookmarkStart w:id="442" w:name="_Toc259717583"/>
      <w:r w:rsidRPr="009448FC">
        <w:rPr>
          <w:rFonts w:ascii="Times New Roman" w:hAnsi="Times New Roman"/>
        </w:rPr>
        <w:t>Table</w:t>
      </w:r>
      <w:r w:rsidR="00114176" w:rsidRPr="009448FC">
        <w:rPr>
          <w:rFonts w:ascii="Times New Roman" w:hAnsi="Times New Roman"/>
        </w:rPr>
        <w:t xml:space="preserve"> </w:t>
      </w:r>
      <w:r w:rsidR="00BD151C" w:rsidRPr="009448FC">
        <w:rPr>
          <w:rFonts w:ascii="Times New Roman" w:hAnsi="Times New Roman"/>
        </w:rPr>
        <w:fldChar w:fldCharType="begin"/>
      </w:r>
      <w:r w:rsidRPr="009448FC">
        <w:rPr>
          <w:rFonts w:ascii="Times New Roman" w:hAnsi="Times New Roman"/>
        </w:rPr>
        <w:instrText xml:space="preserve"> SEQ Table \* ARABIC </w:instrText>
      </w:r>
      <w:r w:rsidR="00BD151C" w:rsidRPr="009448FC">
        <w:rPr>
          <w:rFonts w:ascii="Times New Roman" w:hAnsi="Times New Roman"/>
        </w:rPr>
        <w:fldChar w:fldCharType="separate"/>
      </w:r>
      <w:r w:rsidR="003E4210">
        <w:rPr>
          <w:rFonts w:ascii="Times New Roman" w:hAnsi="Times New Roman"/>
          <w:noProof/>
        </w:rPr>
        <w:t>5</w:t>
      </w:r>
      <w:r w:rsidR="00BD151C" w:rsidRPr="009448FC">
        <w:rPr>
          <w:rFonts w:ascii="Times New Roman" w:hAnsi="Times New Roman"/>
        </w:rPr>
        <w:fldChar w:fldCharType="end"/>
      </w:r>
      <w:bookmarkEnd w:id="439"/>
      <w:r w:rsidR="008C36FC" w:rsidRPr="009448FC">
        <w:rPr>
          <w:rFonts w:ascii="Times New Roman" w:hAnsi="Times New Roman"/>
        </w:rPr>
        <w:t xml:space="preserve"> – Optional Subelement IDs for Directional Channel Quality Request</w:t>
      </w:r>
      <w:bookmarkEnd w:id="440"/>
      <w:bookmarkEnd w:id="441"/>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6"/>
        <w:gridCol w:w="4750"/>
        <w:gridCol w:w="2098"/>
        <w:gridCol w:w="1194"/>
      </w:tblGrid>
      <w:tr w:rsidR="008C36FC" w:rsidRPr="00015517" w:rsidTr="00D0037C">
        <w:trPr>
          <w:jc w:val="center"/>
        </w:trPr>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Subelement ID</w:t>
            </w:r>
          </w:p>
        </w:tc>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Name</w:t>
            </w:r>
          </w:p>
        </w:tc>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Length field (octets)</w:t>
            </w:r>
          </w:p>
        </w:tc>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Extensible</w:t>
            </w: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0</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Reserved</w:t>
            </w:r>
          </w:p>
        </w:tc>
        <w:tc>
          <w:tcPr>
            <w:tcW w:w="0" w:type="auto"/>
          </w:tcPr>
          <w:p w:rsidR="008C36FC" w:rsidRPr="00015517" w:rsidRDefault="008C36FC" w:rsidP="00781C94">
            <w:pPr>
              <w:pStyle w:val="BodyText"/>
              <w:rPr>
                <w:rFonts w:ascii="Times New Roman" w:hAnsi="Times New Roman"/>
                <w:sz w:val="22"/>
              </w:rPr>
            </w:pPr>
          </w:p>
        </w:tc>
        <w:tc>
          <w:tcPr>
            <w:tcW w:w="0" w:type="auto"/>
          </w:tcPr>
          <w:p w:rsidR="008C36FC" w:rsidRPr="00015517" w:rsidRDefault="008C36FC" w:rsidP="00781C94">
            <w:pPr>
              <w:pStyle w:val="BodyText"/>
              <w:rPr>
                <w:rFonts w:ascii="Times New Roman" w:hAnsi="Times New Roman"/>
                <w:sz w:val="22"/>
              </w:rPr>
            </w:pP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1</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Directional Channel Quality Reporting Information</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Yes</w:t>
            </w: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2-220</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Reserved</w:t>
            </w:r>
          </w:p>
        </w:tc>
        <w:tc>
          <w:tcPr>
            <w:tcW w:w="0" w:type="auto"/>
          </w:tcPr>
          <w:p w:rsidR="008C36FC" w:rsidRPr="00015517" w:rsidRDefault="008C36FC" w:rsidP="00781C94">
            <w:pPr>
              <w:pStyle w:val="BodyText"/>
              <w:rPr>
                <w:rFonts w:ascii="Times New Roman" w:hAnsi="Times New Roman"/>
                <w:sz w:val="22"/>
              </w:rPr>
            </w:pPr>
          </w:p>
        </w:tc>
        <w:tc>
          <w:tcPr>
            <w:tcW w:w="0" w:type="auto"/>
          </w:tcPr>
          <w:p w:rsidR="008C36FC" w:rsidRPr="00015517" w:rsidRDefault="008C36FC" w:rsidP="00781C94">
            <w:pPr>
              <w:pStyle w:val="BodyText"/>
              <w:rPr>
                <w:rFonts w:ascii="Times New Roman" w:hAnsi="Times New Roman"/>
                <w:sz w:val="22"/>
              </w:rPr>
            </w:pP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221</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Vendor Specific</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1 to 244</w:t>
            </w:r>
          </w:p>
        </w:tc>
        <w:tc>
          <w:tcPr>
            <w:tcW w:w="0" w:type="auto"/>
          </w:tcPr>
          <w:p w:rsidR="008C36FC" w:rsidRPr="00015517" w:rsidRDefault="008C36FC" w:rsidP="00781C94">
            <w:pPr>
              <w:pStyle w:val="BodyText"/>
              <w:rPr>
                <w:rFonts w:ascii="Times New Roman" w:hAnsi="Times New Roman"/>
                <w:sz w:val="22"/>
              </w:rPr>
            </w:pP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222-225</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Reserved</w:t>
            </w:r>
          </w:p>
        </w:tc>
        <w:tc>
          <w:tcPr>
            <w:tcW w:w="0" w:type="auto"/>
          </w:tcPr>
          <w:p w:rsidR="008C36FC" w:rsidRPr="00015517" w:rsidRDefault="008C36FC" w:rsidP="00781C94">
            <w:pPr>
              <w:pStyle w:val="BodyText"/>
              <w:rPr>
                <w:rFonts w:ascii="Times New Roman" w:hAnsi="Times New Roman"/>
                <w:sz w:val="22"/>
              </w:rPr>
            </w:pPr>
          </w:p>
        </w:tc>
        <w:tc>
          <w:tcPr>
            <w:tcW w:w="0" w:type="auto"/>
          </w:tcPr>
          <w:p w:rsidR="008C36FC" w:rsidRPr="00015517" w:rsidRDefault="008C36FC" w:rsidP="00781C94">
            <w:pPr>
              <w:pStyle w:val="BodyText"/>
              <w:rPr>
                <w:rFonts w:ascii="Times New Roman" w:hAnsi="Times New Roman"/>
                <w:sz w:val="22"/>
              </w:rPr>
            </w:pPr>
          </w:p>
        </w:tc>
      </w:tr>
    </w:tbl>
    <w:p w:rsidR="008C36FC" w:rsidRPr="009448FC" w:rsidRDefault="008C36FC" w:rsidP="000C52DF">
      <w:pPr>
        <w:pStyle w:val="BodyText"/>
        <w:rPr>
          <w:rFonts w:ascii="Times New Roman" w:hAnsi="Times New Roman"/>
        </w:rPr>
      </w:pPr>
    </w:p>
    <w:p w:rsidR="008C36FC" w:rsidRPr="009448FC" w:rsidRDefault="008C36FC" w:rsidP="00120A30">
      <w:pPr>
        <w:pStyle w:val="BodyText"/>
        <w:rPr>
          <w:rFonts w:ascii="Times New Roman" w:hAnsi="Times New Roman"/>
        </w:rPr>
      </w:pPr>
      <w:r w:rsidRPr="009448FC">
        <w:rPr>
          <w:rFonts w:ascii="Times New Roman" w:hAnsi="Times New Roman"/>
        </w:rPr>
        <w:t xml:space="preserve">The Directional Channel Quality Reporting Information subelement indicates the condition for issuing a Directional Channel Quality Report. Directional Channel Quality Reporting Information subelement data field format is shown in </w:t>
      </w:r>
      <w:fldSimple w:instr=" REF _Ref207517337 \h  \* MERGEFORMAT ">
        <w:r w:rsidR="003E4210" w:rsidRPr="009448FC">
          <w:rPr>
            <w:rFonts w:ascii="Times New Roman" w:hAnsi="Times New Roman"/>
          </w:rPr>
          <w:t xml:space="preserve">Figure </w:t>
        </w:r>
        <w:r w:rsidR="003E4210">
          <w:rPr>
            <w:rFonts w:ascii="Times New Roman" w:hAnsi="Times New Roman"/>
          </w:rPr>
          <w:t>19</w:t>
        </w:r>
      </w:fldSimple>
      <w:r w:rsidRPr="009448FC">
        <w:rPr>
          <w:rFonts w:ascii="Times New Roman" w:hAnsi="Times New Roman"/>
        </w:rPr>
        <w:t xml:space="preserve"> and contains a 1-octet Reporting Condition subfield and a 1-octet Directional Channel Quality Reference Value subfield. The Reporting Condition is described in </w:t>
      </w:r>
      <w:fldSimple w:instr=" REF _Ref207517364 \h  \* MERGEFORMAT ">
        <w:r w:rsidR="003E4210" w:rsidRPr="009448FC">
          <w:rPr>
            <w:rFonts w:ascii="Times New Roman" w:hAnsi="Times New Roman"/>
          </w:rPr>
          <w:t xml:space="preserve">Table </w:t>
        </w:r>
        <w:r w:rsidR="003E4210">
          <w:rPr>
            <w:rFonts w:ascii="Times New Roman" w:hAnsi="Times New Roman"/>
          </w:rPr>
          <w:t>6</w:t>
        </w:r>
      </w:fldSimple>
      <w:r w:rsidRPr="009448FC">
        <w:rPr>
          <w:rFonts w:ascii="Times New Roman" w:hAnsi="Times New Roman"/>
        </w:rPr>
        <w:t>. The Directional Channel Quality Reference value is a Directional Channel Quality value and is the reference value for the indicated Reporting Condition.</w:t>
      </w:r>
    </w:p>
    <w:p w:rsidR="008C36FC" w:rsidRPr="009448FC" w:rsidRDefault="008C36FC" w:rsidP="000C52DF">
      <w:pPr>
        <w:pStyle w:val="BodyText"/>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2196"/>
        <w:gridCol w:w="4601"/>
      </w:tblGrid>
      <w:tr w:rsidR="008C36FC" w:rsidRPr="00066F65" w:rsidTr="00D0037C">
        <w:trPr>
          <w:jc w:val="center"/>
        </w:trPr>
        <w:tc>
          <w:tcPr>
            <w:tcW w:w="0" w:type="auto"/>
            <w:tcBorders>
              <w:top w:val="nil"/>
              <w:left w:val="nil"/>
              <w:bottom w:val="nil"/>
            </w:tcBorders>
          </w:tcPr>
          <w:p w:rsidR="008C36FC" w:rsidRPr="009448FC" w:rsidRDefault="008C36FC" w:rsidP="00781C94">
            <w:pPr>
              <w:pStyle w:val="BodyText"/>
              <w:rPr>
                <w:rFonts w:ascii="Times New Roman" w:hAnsi="Times New Roman"/>
              </w:rPr>
            </w:pPr>
          </w:p>
        </w:tc>
        <w:tc>
          <w:tcPr>
            <w:tcW w:w="0" w:type="auto"/>
            <w:tcBorders>
              <w:top w:val="single" w:sz="4" w:space="0" w:color="auto"/>
              <w:bottom w:val="single" w:sz="4" w:space="0" w:color="auto"/>
            </w:tcBorders>
          </w:tcPr>
          <w:p w:rsidR="008C36FC" w:rsidRPr="009448FC" w:rsidRDefault="008C36FC" w:rsidP="00781C94">
            <w:pPr>
              <w:pStyle w:val="BodyText"/>
              <w:rPr>
                <w:rFonts w:ascii="Times New Roman" w:hAnsi="Times New Roman"/>
              </w:rPr>
            </w:pPr>
            <w:r w:rsidRPr="009448FC">
              <w:rPr>
                <w:rFonts w:ascii="Times New Roman" w:hAnsi="Times New Roman"/>
              </w:rPr>
              <w:t>Reporting Condition</w:t>
            </w:r>
          </w:p>
        </w:tc>
        <w:tc>
          <w:tcPr>
            <w:tcW w:w="0" w:type="auto"/>
            <w:tcBorders>
              <w:top w:val="single" w:sz="4" w:space="0" w:color="auto"/>
              <w:bottom w:val="single" w:sz="4" w:space="0" w:color="auto"/>
            </w:tcBorders>
          </w:tcPr>
          <w:p w:rsidR="008C36FC" w:rsidRPr="009448FC" w:rsidRDefault="008C36FC" w:rsidP="00781C94">
            <w:pPr>
              <w:pStyle w:val="BodyText"/>
              <w:rPr>
                <w:rFonts w:ascii="Times New Roman" w:hAnsi="Times New Roman"/>
              </w:rPr>
            </w:pPr>
            <w:r w:rsidRPr="009448FC">
              <w:rPr>
                <w:rFonts w:ascii="Times New Roman" w:hAnsi="Times New Roman"/>
              </w:rPr>
              <w:t>Directional Channel Quality Reference Value</w:t>
            </w:r>
          </w:p>
        </w:tc>
      </w:tr>
      <w:tr w:rsidR="008C36FC" w:rsidRPr="00066F65" w:rsidTr="00D0037C">
        <w:trPr>
          <w:jc w:val="center"/>
        </w:trPr>
        <w:tc>
          <w:tcPr>
            <w:tcW w:w="0" w:type="auto"/>
            <w:tcBorders>
              <w:top w:val="nil"/>
              <w:left w:val="nil"/>
              <w:bottom w:val="nil"/>
              <w:right w:val="nil"/>
            </w:tcBorders>
          </w:tcPr>
          <w:p w:rsidR="008C36FC" w:rsidRPr="009448FC" w:rsidRDefault="008C36FC" w:rsidP="00D0037C">
            <w:pPr>
              <w:pStyle w:val="BodyText"/>
              <w:jc w:val="center"/>
              <w:rPr>
                <w:rFonts w:ascii="Times New Roman" w:hAnsi="Times New Roman"/>
              </w:rPr>
            </w:pPr>
            <w:r w:rsidRPr="009448FC">
              <w:rPr>
                <w:rFonts w:ascii="Times New Roman" w:hAnsi="Times New Roman"/>
              </w:rPr>
              <w:t>Octets:</w:t>
            </w:r>
          </w:p>
        </w:tc>
        <w:tc>
          <w:tcPr>
            <w:tcW w:w="0" w:type="auto"/>
            <w:tcBorders>
              <w:top w:val="single" w:sz="4" w:space="0" w:color="auto"/>
              <w:left w:val="nil"/>
              <w:bottom w:val="nil"/>
              <w:right w:val="nil"/>
            </w:tcBorders>
          </w:tcPr>
          <w:p w:rsidR="008C36FC" w:rsidRPr="009448FC" w:rsidRDefault="008C36FC" w:rsidP="00D0037C">
            <w:pPr>
              <w:pStyle w:val="BodyText"/>
              <w:jc w:val="center"/>
              <w:rPr>
                <w:rFonts w:ascii="Times New Roman" w:hAnsi="Times New Roman"/>
              </w:rPr>
            </w:pPr>
            <w:r w:rsidRPr="009448FC">
              <w:rPr>
                <w:rFonts w:ascii="Times New Roman" w:hAnsi="Times New Roman"/>
              </w:rPr>
              <w:t>1</w:t>
            </w:r>
          </w:p>
        </w:tc>
        <w:tc>
          <w:tcPr>
            <w:tcW w:w="0" w:type="auto"/>
            <w:tcBorders>
              <w:top w:val="single" w:sz="4" w:space="0" w:color="auto"/>
              <w:left w:val="nil"/>
              <w:bottom w:val="nil"/>
              <w:right w:val="nil"/>
            </w:tcBorders>
          </w:tcPr>
          <w:p w:rsidR="008C36FC" w:rsidRPr="009448FC" w:rsidRDefault="008C36FC" w:rsidP="00D0037C">
            <w:pPr>
              <w:pStyle w:val="BodyText"/>
              <w:jc w:val="center"/>
              <w:rPr>
                <w:rFonts w:ascii="Times New Roman" w:hAnsi="Times New Roman"/>
              </w:rPr>
            </w:pPr>
            <w:r w:rsidRPr="009448FC">
              <w:rPr>
                <w:rFonts w:ascii="Times New Roman" w:hAnsi="Times New Roman"/>
              </w:rPr>
              <w:t>1</w:t>
            </w:r>
          </w:p>
        </w:tc>
      </w:tr>
    </w:tbl>
    <w:p w:rsidR="008C36FC" w:rsidRPr="009448FC" w:rsidRDefault="008C36FC" w:rsidP="00BA5BC4">
      <w:pPr>
        <w:pStyle w:val="Caption"/>
        <w:rPr>
          <w:rFonts w:ascii="Times New Roman" w:hAnsi="Times New Roman"/>
        </w:rPr>
      </w:pPr>
      <w:bookmarkStart w:id="443" w:name="_Ref207517337"/>
      <w:bookmarkStart w:id="444" w:name="_Ref207514133"/>
      <w:bookmarkStart w:id="445" w:name="_Toc259717451"/>
      <w:r w:rsidRPr="009448FC">
        <w:rPr>
          <w:rFonts w:ascii="Times New Roman" w:hAnsi="Times New Roman"/>
        </w:rPr>
        <w:t xml:space="preserve">Figure </w:t>
      </w:r>
      <w:r w:rsidR="00BD151C" w:rsidRPr="009448FC">
        <w:rPr>
          <w:rFonts w:ascii="Times New Roman" w:hAnsi="Times New Roman"/>
        </w:rPr>
        <w:fldChar w:fldCharType="begin"/>
      </w:r>
      <w:r w:rsidRPr="009448FC">
        <w:rPr>
          <w:rFonts w:ascii="Times New Roman" w:hAnsi="Times New Roman"/>
        </w:rPr>
        <w:instrText xml:space="preserve"> SEQ Figure \* ARABIC </w:instrText>
      </w:r>
      <w:r w:rsidR="00BD151C" w:rsidRPr="009448FC">
        <w:rPr>
          <w:rFonts w:ascii="Times New Roman" w:hAnsi="Times New Roman"/>
        </w:rPr>
        <w:fldChar w:fldCharType="separate"/>
      </w:r>
      <w:r w:rsidR="003E4210">
        <w:rPr>
          <w:rFonts w:ascii="Times New Roman" w:hAnsi="Times New Roman"/>
          <w:noProof/>
        </w:rPr>
        <w:t>19</w:t>
      </w:r>
      <w:r w:rsidR="00BD151C" w:rsidRPr="009448FC">
        <w:rPr>
          <w:rFonts w:ascii="Times New Roman" w:hAnsi="Times New Roman"/>
        </w:rPr>
        <w:fldChar w:fldCharType="end"/>
      </w:r>
      <w:bookmarkEnd w:id="443"/>
      <w:r w:rsidRPr="009448FC">
        <w:rPr>
          <w:rFonts w:ascii="Times New Roman" w:hAnsi="Times New Roman"/>
        </w:rPr>
        <w:t xml:space="preserve"> –</w:t>
      </w:r>
      <w:r w:rsidR="00E93430" w:rsidRPr="009448FC">
        <w:rPr>
          <w:rFonts w:ascii="Times New Roman" w:hAnsi="Times New Roman"/>
        </w:rPr>
        <w:t xml:space="preserve"> </w:t>
      </w:r>
      <w:r w:rsidRPr="009448FC">
        <w:rPr>
          <w:rFonts w:ascii="Times New Roman" w:hAnsi="Times New Roman"/>
        </w:rPr>
        <w:t>Directional Channel Quality Reporting Information data field format</w:t>
      </w:r>
      <w:bookmarkEnd w:id="444"/>
      <w:bookmarkEnd w:id="445"/>
    </w:p>
    <w:p w:rsidR="008C36FC" w:rsidRPr="009448FC" w:rsidRDefault="008C36FC" w:rsidP="000C52DF">
      <w:pPr>
        <w:pStyle w:val="BodyText"/>
        <w:rPr>
          <w:rFonts w:ascii="Times New Roman" w:hAnsi="Times New Roman"/>
        </w:rPr>
      </w:pPr>
    </w:p>
    <w:p w:rsidR="008C36FC" w:rsidRPr="009448FC" w:rsidRDefault="008C36FC" w:rsidP="009448FC">
      <w:pPr>
        <w:pStyle w:val="Caption"/>
        <w:outlineLvl w:val="0"/>
        <w:rPr>
          <w:rFonts w:ascii="Times New Roman" w:hAnsi="Times New Roman"/>
        </w:rPr>
      </w:pPr>
      <w:bookmarkStart w:id="446" w:name="_Ref207517364"/>
      <w:bookmarkStart w:id="447" w:name="_Toc225065771"/>
      <w:bookmarkStart w:id="448" w:name="_Toc250654410"/>
      <w:bookmarkStart w:id="449" w:name="_Toc259717584"/>
      <w:r w:rsidRPr="009448FC">
        <w:rPr>
          <w:rFonts w:ascii="Times New Roman" w:hAnsi="Times New Roman"/>
        </w:rPr>
        <w:t>Table</w:t>
      </w:r>
      <w:r w:rsidR="00114176" w:rsidRPr="009448FC">
        <w:rPr>
          <w:rFonts w:ascii="Times New Roman" w:hAnsi="Times New Roman"/>
        </w:rPr>
        <w:t xml:space="preserve"> </w:t>
      </w:r>
      <w:r w:rsidR="00BD151C" w:rsidRPr="009448FC">
        <w:rPr>
          <w:rFonts w:ascii="Times New Roman" w:hAnsi="Times New Roman"/>
        </w:rPr>
        <w:fldChar w:fldCharType="begin"/>
      </w:r>
      <w:r w:rsidRPr="009448FC">
        <w:rPr>
          <w:rFonts w:ascii="Times New Roman" w:hAnsi="Times New Roman"/>
        </w:rPr>
        <w:instrText xml:space="preserve"> SEQ Table \* ARABIC </w:instrText>
      </w:r>
      <w:r w:rsidR="00BD151C" w:rsidRPr="009448FC">
        <w:rPr>
          <w:rFonts w:ascii="Times New Roman" w:hAnsi="Times New Roman"/>
        </w:rPr>
        <w:fldChar w:fldCharType="separate"/>
      </w:r>
      <w:r w:rsidR="003E4210">
        <w:rPr>
          <w:rFonts w:ascii="Times New Roman" w:hAnsi="Times New Roman"/>
          <w:noProof/>
        </w:rPr>
        <w:t>6</w:t>
      </w:r>
      <w:r w:rsidR="00BD151C" w:rsidRPr="009448FC">
        <w:rPr>
          <w:rFonts w:ascii="Times New Roman" w:hAnsi="Times New Roman"/>
        </w:rPr>
        <w:fldChar w:fldCharType="end"/>
      </w:r>
      <w:bookmarkEnd w:id="446"/>
      <w:r w:rsidRPr="009448FC">
        <w:rPr>
          <w:rFonts w:ascii="Times New Roman" w:hAnsi="Times New Roman"/>
        </w:rPr>
        <w:t xml:space="preserve"> – Reporting Condition for Directional Channel Quality Report</w:t>
      </w:r>
      <w:bookmarkEnd w:id="447"/>
      <w:bookmarkEnd w:id="448"/>
      <w:bookmarkEnd w:id="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4"/>
        <w:gridCol w:w="1712"/>
      </w:tblGrid>
      <w:tr w:rsidR="008C36FC" w:rsidRPr="00066F65" w:rsidTr="00D0037C">
        <w:trPr>
          <w:jc w:val="center"/>
        </w:trPr>
        <w:tc>
          <w:tcPr>
            <w:tcW w:w="0" w:type="auto"/>
          </w:tcPr>
          <w:p w:rsidR="008C36FC" w:rsidRPr="009448FC" w:rsidRDefault="008C36FC" w:rsidP="00D0037C">
            <w:pPr>
              <w:pStyle w:val="BodyText"/>
              <w:jc w:val="center"/>
              <w:rPr>
                <w:rFonts w:ascii="Times New Roman" w:hAnsi="Times New Roman"/>
                <w:b/>
              </w:rPr>
            </w:pPr>
            <w:r w:rsidRPr="009448FC">
              <w:rPr>
                <w:rFonts w:ascii="Times New Roman" w:hAnsi="Times New Roman"/>
                <w:b/>
              </w:rPr>
              <w:t>Condition for report to be issued</w:t>
            </w:r>
          </w:p>
        </w:tc>
        <w:tc>
          <w:tcPr>
            <w:tcW w:w="0" w:type="auto"/>
          </w:tcPr>
          <w:p w:rsidR="008C36FC" w:rsidRPr="009448FC" w:rsidRDefault="008C36FC" w:rsidP="00D0037C">
            <w:pPr>
              <w:pStyle w:val="BodyText"/>
              <w:jc w:val="center"/>
              <w:rPr>
                <w:rFonts w:ascii="Times New Roman" w:hAnsi="Times New Roman"/>
                <w:b/>
              </w:rPr>
            </w:pPr>
            <w:r w:rsidRPr="009448FC">
              <w:rPr>
                <w:rFonts w:ascii="Times New Roman" w:hAnsi="Times New Roman"/>
                <w:b/>
              </w:rPr>
              <w:t>Reporting Condition</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Report to be issued after each measurement (default, used when Directional Channel Quality Reporting Information subelement is not included in Directional Channel Quality Request).</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0</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lastRenderedPageBreak/>
              <w:t>Report to be issued when measured ANIPI or RSNI is equal to or greater than the reference value.</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1</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Report to be issued when measured ANIPI or RSNI is equal to or less than the reference value.</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2</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Reserved</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3-255</w:t>
            </w:r>
          </w:p>
        </w:tc>
      </w:tr>
    </w:tbl>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The Vendor Specific subelements have the same format as their corresponding elements (see 7.3.2.26). Multiple Vendor Specific subelements can be included in the list of Optional Subelements.</w:t>
      </w:r>
    </w:p>
    <w:p w:rsidR="00BC5DA8" w:rsidRPr="009448FC" w:rsidRDefault="00BC5DA8" w:rsidP="003701DB">
      <w:pPr>
        <w:pStyle w:val="Heading5"/>
        <w:numPr>
          <w:ilvl w:val="4"/>
          <w:numId w:val="23"/>
        </w:numPr>
      </w:pPr>
      <w:bookmarkStart w:id="450" w:name="_Toc235400251"/>
      <w:bookmarkStart w:id="451" w:name="_Ref243987698"/>
      <w:bookmarkStart w:id="452" w:name="_Toc259716912"/>
      <w:r w:rsidRPr="009448FC">
        <w:t>Directional Measurement</w:t>
      </w:r>
      <w:r w:rsidR="00281486" w:rsidRPr="009448FC">
        <w:t xml:space="preserve"> </w:t>
      </w:r>
      <w:r w:rsidR="000F5A0E">
        <w:t>r</w:t>
      </w:r>
      <w:r w:rsidRPr="009448FC">
        <w:t>equest</w:t>
      </w:r>
      <w:bookmarkEnd w:id="450"/>
      <w:bookmarkEnd w:id="451"/>
      <w:bookmarkEnd w:id="452"/>
      <w:r w:rsidRPr="009448FC">
        <w:t xml:space="preserve"> </w:t>
      </w:r>
    </w:p>
    <w:p w:rsidR="00BC5DA8" w:rsidRPr="009448FC" w:rsidRDefault="00BC5DA8" w:rsidP="004C18DC">
      <w:pPr>
        <w:jc w:val="both"/>
      </w:pPr>
      <w:r w:rsidRPr="009448FC">
        <w:t>The Measurement Request field corresponding to a Directional Measurement request is shown in</w:t>
      </w:r>
      <w:r w:rsidRPr="00066F65">
        <w:rPr>
          <w:bCs/>
          <w:iCs/>
          <w:u w:val="single"/>
        </w:rPr>
        <w:t xml:space="preserve"> </w:t>
      </w:r>
      <w:r w:rsidR="00BD151C" w:rsidRPr="00066F65">
        <w:rPr>
          <w:bCs/>
          <w:iCs/>
          <w:u w:val="single"/>
        </w:rPr>
        <w:fldChar w:fldCharType="begin"/>
      </w:r>
      <w:r w:rsidR="000F57D1" w:rsidRPr="00066F65">
        <w:rPr>
          <w:bCs/>
          <w:iCs/>
          <w:u w:val="single"/>
        </w:rPr>
        <w:instrText xml:space="preserve"> REF _Ref232759924 \h </w:instrText>
      </w:r>
      <w:r w:rsidR="00BD151C" w:rsidRPr="00066F65">
        <w:rPr>
          <w:bCs/>
          <w:iCs/>
          <w:u w:val="single"/>
        </w:rPr>
      </w:r>
      <w:r w:rsidR="00BD151C" w:rsidRPr="00066F65">
        <w:rPr>
          <w:bCs/>
          <w:iCs/>
          <w:u w:val="single"/>
        </w:rPr>
        <w:fldChar w:fldCharType="separate"/>
      </w:r>
      <w:r w:rsidR="003E4210" w:rsidRPr="00066F65">
        <w:t xml:space="preserve">Figure </w:t>
      </w:r>
      <w:r w:rsidR="003E4210">
        <w:rPr>
          <w:noProof/>
        </w:rPr>
        <w:t>20</w:t>
      </w:r>
      <w:r w:rsidR="00BD151C" w:rsidRPr="00066F65">
        <w:rPr>
          <w:bCs/>
          <w:iCs/>
          <w:u w:val="single"/>
        </w:rPr>
        <w:fldChar w:fldCharType="end"/>
      </w:r>
      <w:r w:rsidRPr="009448FC">
        <w:t>. This Measurement Request is transmitted from a Requesting STA to a Requested STA to perform directional channel measurements in all sectored receiving directions.</w:t>
      </w:r>
    </w:p>
    <w:p w:rsidR="00F45427" w:rsidRPr="009448FC" w:rsidRDefault="00F45427" w:rsidP="00BC5DA8">
      <w:pPr>
        <w:jc w:val="center"/>
        <w:rPr>
          <w:rFonts w:eastAsia="SimSun"/>
          <w:b/>
          <w:sz w:val="23"/>
        </w:rPr>
      </w:pPr>
    </w:p>
    <w:tbl>
      <w:tblPr>
        <w:tblW w:w="9764"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5"/>
        <w:gridCol w:w="1367"/>
        <w:gridCol w:w="1080"/>
        <w:gridCol w:w="1539"/>
        <w:gridCol w:w="1624"/>
        <w:gridCol w:w="1532"/>
        <w:gridCol w:w="1577"/>
      </w:tblGrid>
      <w:tr w:rsidR="00D0037C" w:rsidRPr="00066F65" w:rsidTr="00D0037C">
        <w:trPr>
          <w:jc w:val="center"/>
        </w:trPr>
        <w:tc>
          <w:tcPr>
            <w:tcW w:w="1045" w:type="dxa"/>
          </w:tcPr>
          <w:p w:rsidR="00F45427" w:rsidRPr="009448FC" w:rsidRDefault="00F45427" w:rsidP="00FA0C19">
            <w:pPr>
              <w:rPr>
                <w:rFonts w:eastAsia="SimSun"/>
              </w:rPr>
            </w:pPr>
          </w:p>
        </w:tc>
        <w:tc>
          <w:tcPr>
            <w:tcW w:w="1367" w:type="dxa"/>
          </w:tcPr>
          <w:p w:rsidR="00F45427" w:rsidRPr="009448FC" w:rsidRDefault="00F45427" w:rsidP="00FA0C19">
            <w:pPr>
              <w:rPr>
                <w:rFonts w:eastAsia="SimSun"/>
              </w:rPr>
            </w:pPr>
            <w:r w:rsidRPr="009448FC">
              <w:rPr>
                <w:rFonts w:eastAsia="SimSun"/>
              </w:rPr>
              <w:t>Regulatory Class</w:t>
            </w:r>
          </w:p>
        </w:tc>
        <w:tc>
          <w:tcPr>
            <w:tcW w:w="1080" w:type="dxa"/>
          </w:tcPr>
          <w:p w:rsidR="00F45427" w:rsidRPr="009448FC" w:rsidRDefault="00F45427" w:rsidP="00FA0C19">
            <w:pPr>
              <w:rPr>
                <w:rFonts w:eastAsia="SimSun"/>
              </w:rPr>
            </w:pPr>
            <w:r w:rsidRPr="009448FC">
              <w:rPr>
                <w:rFonts w:eastAsia="SimSun"/>
              </w:rPr>
              <w:t>Channel Number</w:t>
            </w:r>
          </w:p>
        </w:tc>
        <w:tc>
          <w:tcPr>
            <w:tcW w:w="1539" w:type="dxa"/>
          </w:tcPr>
          <w:p w:rsidR="00F45427" w:rsidRPr="009448FC" w:rsidRDefault="00F45427" w:rsidP="00FA0C19">
            <w:pPr>
              <w:rPr>
                <w:rFonts w:eastAsia="SimSun"/>
              </w:rPr>
            </w:pPr>
            <w:r w:rsidRPr="009448FC">
              <w:rPr>
                <w:rFonts w:eastAsia="SimSun"/>
              </w:rPr>
              <w:t>Measurement Start Time</w:t>
            </w:r>
          </w:p>
        </w:tc>
        <w:tc>
          <w:tcPr>
            <w:tcW w:w="1624" w:type="dxa"/>
          </w:tcPr>
          <w:p w:rsidR="00F45427" w:rsidRPr="009448FC" w:rsidRDefault="00F45427" w:rsidP="00FA0C19">
            <w:pPr>
              <w:rPr>
                <w:rFonts w:eastAsia="SimSun"/>
              </w:rPr>
            </w:pPr>
            <w:r w:rsidRPr="009448FC">
              <w:rPr>
                <w:rFonts w:eastAsia="SimSun"/>
              </w:rPr>
              <w:t>Measurement Duration per Direction</w:t>
            </w:r>
          </w:p>
        </w:tc>
        <w:tc>
          <w:tcPr>
            <w:tcW w:w="1532" w:type="dxa"/>
          </w:tcPr>
          <w:p w:rsidR="00F45427" w:rsidRPr="009448FC" w:rsidRDefault="00F45427" w:rsidP="00FA0C19">
            <w:pPr>
              <w:rPr>
                <w:rFonts w:eastAsia="SimSun"/>
              </w:rPr>
            </w:pPr>
            <w:r w:rsidRPr="009448FC">
              <w:rPr>
                <w:rFonts w:eastAsia="SimSun"/>
              </w:rPr>
              <w:t>Measurement Method</w:t>
            </w:r>
          </w:p>
        </w:tc>
        <w:tc>
          <w:tcPr>
            <w:tcW w:w="1577" w:type="dxa"/>
          </w:tcPr>
          <w:p w:rsidR="00F45427" w:rsidRPr="009448FC" w:rsidRDefault="00F45427" w:rsidP="00FA0C19">
            <w:pPr>
              <w:rPr>
                <w:rFonts w:eastAsia="SimSun"/>
              </w:rPr>
            </w:pPr>
            <w:r w:rsidRPr="009448FC">
              <w:rPr>
                <w:rFonts w:eastAsia="SimSun"/>
              </w:rPr>
              <w:t>Optional Subelements</w:t>
            </w:r>
          </w:p>
        </w:tc>
      </w:tr>
      <w:tr w:rsidR="00D0037C" w:rsidRPr="00066F65" w:rsidTr="00D0037C">
        <w:trPr>
          <w:jc w:val="center"/>
        </w:trPr>
        <w:tc>
          <w:tcPr>
            <w:tcW w:w="1045" w:type="dxa"/>
          </w:tcPr>
          <w:p w:rsidR="00F45427" w:rsidRPr="009448FC" w:rsidRDefault="00F45427" w:rsidP="00D0037C">
            <w:pPr>
              <w:jc w:val="center"/>
              <w:rPr>
                <w:rFonts w:eastAsia="SimSun"/>
              </w:rPr>
            </w:pPr>
            <w:r w:rsidRPr="009448FC">
              <w:rPr>
                <w:rFonts w:eastAsia="SimSun"/>
              </w:rPr>
              <w:t>Octets</w:t>
            </w:r>
          </w:p>
        </w:tc>
        <w:tc>
          <w:tcPr>
            <w:tcW w:w="1367" w:type="dxa"/>
          </w:tcPr>
          <w:p w:rsidR="00F45427" w:rsidRPr="009448FC" w:rsidRDefault="00F45427" w:rsidP="00D0037C">
            <w:pPr>
              <w:jc w:val="center"/>
              <w:rPr>
                <w:rFonts w:eastAsia="SimSun"/>
              </w:rPr>
            </w:pPr>
            <w:r w:rsidRPr="009448FC">
              <w:rPr>
                <w:rFonts w:eastAsia="SimSun"/>
              </w:rPr>
              <w:t>1</w:t>
            </w:r>
          </w:p>
        </w:tc>
        <w:tc>
          <w:tcPr>
            <w:tcW w:w="1080" w:type="dxa"/>
          </w:tcPr>
          <w:p w:rsidR="00F45427" w:rsidRPr="009448FC" w:rsidRDefault="00F45427" w:rsidP="00D0037C">
            <w:pPr>
              <w:jc w:val="center"/>
              <w:rPr>
                <w:rFonts w:eastAsia="SimSun"/>
              </w:rPr>
            </w:pPr>
            <w:r w:rsidRPr="009448FC">
              <w:rPr>
                <w:rFonts w:eastAsia="SimSun"/>
              </w:rPr>
              <w:t>1</w:t>
            </w:r>
          </w:p>
        </w:tc>
        <w:tc>
          <w:tcPr>
            <w:tcW w:w="1539" w:type="dxa"/>
          </w:tcPr>
          <w:p w:rsidR="00F45427" w:rsidRPr="009448FC" w:rsidRDefault="00F45427" w:rsidP="00D0037C">
            <w:pPr>
              <w:jc w:val="center"/>
              <w:rPr>
                <w:rFonts w:eastAsia="SimSun"/>
              </w:rPr>
            </w:pPr>
            <w:r w:rsidRPr="009448FC">
              <w:rPr>
                <w:rFonts w:eastAsia="SimSun"/>
              </w:rPr>
              <w:t>8</w:t>
            </w:r>
          </w:p>
        </w:tc>
        <w:tc>
          <w:tcPr>
            <w:tcW w:w="1624" w:type="dxa"/>
          </w:tcPr>
          <w:p w:rsidR="00F45427" w:rsidRPr="009448FC" w:rsidRDefault="00F45427" w:rsidP="00D0037C">
            <w:pPr>
              <w:jc w:val="center"/>
              <w:rPr>
                <w:rFonts w:eastAsia="SimSun"/>
              </w:rPr>
            </w:pPr>
            <w:r w:rsidRPr="009448FC">
              <w:rPr>
                <w:rFonts w:eastAsia="SimSun"/>
              </w:rPr>
              <w:t>2</w:t>
            </w:r>
          </w:p>
        </w:tc>
        <w:tc>
          <w:tcPr>
            <w:tcW w:w="1532" w:type="dxa"/>
          </w:tcPr>
          <w:p w:rsidR="00F45427" w:rsidRPr="009448FC" w:rsidRDefault="00F45427" w:rsidP="00D0037C">
            <w:pPr>
              <w:jc w:val="center"/>
              <w:rPr>
                <w:rFonts w:eastAsia="SimSun"/>
              </w:rPr>
            </w:pPr>
            <w:r w:rsidRPr="009448FC">
              <w:rPr>
                <w:rFonts w:eastAsia="SimSun"/>
              </w:rPr>
              <w:t>1</w:t>
            </w:r>
          </w:p>
        </w:tc>
        <w:tc>
          <w:tcPr>
            <w:tcW w:w="1577" w:type="dxa"/>
          </w:tcPr>
          <w:p w:rsidR="00F45427" w:rsidRPr="009448FC" w:rsidRDefault="00F45427" w:rsidP="00D0037C">
            <w:pPr>
              <w:jc w:val="center"/>
              <w:rPr>
                <w:rFonts w:eastAsia="SimSun"/>
              </w:rPr>
            </w:pPr>
            <w:r w:rsidRPr="009448FC">
              <w:rPr>
                <w:rFonts w:eastAsia="SimSun"/>
              </w:rPr>
              <w:t>Variable</w:t>
            </w:r>
          </w:p>
        </w:tc>
      </w:tr>
    </w:tbl>
    <w:p w:rsidR="00BC5DA8" w:rsidRPr="00066F65" w:rsidRDefault="000353E1" w:rsidP="00BA5BC4">
      <w:pPr>
        <w:pStyle w:val="Caption"/>
      </w:pPr>
      <w:bookmarkStart w:id="453" w:name="_Ref232759924"/>
      <w:bookmarkStart w:id="454" w:name="_Toc259717452"/>
      <w:r w:rsidRPr="00066F65">
        <w:t xml:space="preserve">Figure </w:t>
      </w:r>
      <w:r w:rsidR="00BD151C">
        <w:fldChar w:fldCharType="begin"/>
      </w:r>
      <w:r w:rsidR="00801316">
        <w:instrText xml:space="preserve"> SEQ Figure \* ARABIC </w:instrText>
      </w:r>
      <w:r w:rsidR="00BD151C">
        <w:fldChar w:fldCharType="separate"/>
      </w:r>
      <w:r w:rsidR="003E4210">
        <w:rPr>
          <w:noProof/>
        </w:rPr>
        <w:t>20</w:t>
      </w:r>
      <w:r w:rsidR="00BD151C">
        <w:fldChar w:fldCharType="end"/>
      </w:r>
      <w:bookmarkEnd w:id="453"/>
      <w:r w:rsidR="005557DE" w:rsidRPr="00066F65">
        <w:t xml:space="preserve"> </w:t>
      </w:r>
      <w:r w:rsidR="004D3860" w:rsidRPr="00066F65">
        <w:t xml:space="preserve">– </w:t>
      </w:r>
      <w:r w:rsidR="00BC5DA8" w:rsidRPr="00066F65">
        <w:rPr>
          <w:rFonts w:eastAsia="SimSun"/>
          <w:sz w:val="23"/>
          <w:szCs w:val="23"/>
          <w:lang w:eastAsia="zh-CN"/>
        </w:rPr>
        <w:t>Directional Measurement Request</w:t>
      </w:r>
      <w:bookmarkEnd w:id="454"/>
    </w:p>
    <w:p w:rsidR="00BC5DA8" w:rsidRPr="00066F65" w:rsidRDefault="00BC5DA8" w:rsidP="00031E7D">
      <w:pPr>
        <w:autoSpaceDE w:val="0"/>
        <w:autoSpaceDN w:val="0"/>
        <w:adjustRightInd w:val="0"/>
        <w:rPr>
          <w:rFonts w:eastAsia="SimSun"/>
          <w:u w:val="single"/>
          <w:lang w:eastAsia="zh-CN" w:bidi="ar-SA"/>
        </w:rPr>
      </w:pPr>
      <w:r w:rsidRPr="009448FC">
        <w:rPr>
          <w:rFonts w:eastAsia="SimSun"/>
        </w:rPr>
        <w:t>Regulatory Class indicates the channel set for which the measurement request applies. Country, Regulatory Class, and Channel Number together specify the channel frequency and spacing for which the measurement request applies. Valid values of Regulatory Class are shown in Annex J.</w:t>
      </w:r>
    </w:p>
    <w:p w:rsidR="00BC5DA8" w:rsidRPr="00066F65" w:rsidRDefault="00BC5DA8" w:rsidP="00BC5DA8">
      <w:pPr>
        <w:autoSpaceDE w:val="0"/>
        <w:autoSpaceDN w:val="0"/>
        <w:adjustRightInd w:val="0"/>
        <w:jc w:val="both"/>
        <w:rPr>
          <w:rFonts w:eastAsia="SimSun"/>
          <w:u w:val="single"/>
          <w:lang w:eastAsia="zh-CN" w:bidi="ar-SA"/>
        </w:rPr>
      </w:pPr>
    </w:p>
    <w:p w:rsidR="00BC5DA8" w:rsidRPr="009448FC" w:rsidRDefault="00BC5DA8" w:rsidP="00BC5DA8">
      <w:pPr>
        <w:autoSpaceDE w:val="0"/>
        <w:autoSpaceDN w:val="0"/>
        <w:adjustRightInd w:val="0"/>
        <w:jc w:val="both"/>
        <w:rPr>
          <w:b/>
        </w:rPr>
      </w:pPr>
      <w:r w:rsidRPr="009448FC">
        <w:rPr>
          <w:rFonts w:eastAsia="SimSun"/>
        </w:rPr>
        <w:t>Channel Number indicates the channel number for which the measurement request applies. Channel Number is defined within a Regulatory Class as shown in Annex J.</w:t>
      </w:r>
    </w:p>
    <w:p w:rsidR="00BC5DA8" w:rsidRPr="009448FC" w:rsidRDefault="00BC5DA8" w:rsidP="00BC5DA8">
      <w:pPr>
        <w:autoSpaceDE w:val="0"/>
        <w:autoSpaceDN w:val="0"/>
        <w:adjustRightInd w:val="0"/>
        <w:jc w:val="both"/>
        <w:rPr>
          <w:rFonts w:eastAsia="SimSun"/>
        </w:rPr>
      </w:pPr>
    </w:p>
    <w:p w:rsidR="00BC5DA8" w:rsidRPr="009448FC" w:rsidRDefault="00BC5DA8" w:rsidP="00120A30">
      <w:pPr>
        <w:autoSpaceDE w:val="0"/>
        <w:autoSpaceDN w:val="0"/>
        <w:adjustRightInd w:val="0"/>
        <w:jc w:val="both"/>
        <w:rPr>
          <w:rFonts w:eastAsia="SimSun"/>
        </w:rPr>
      </w:pPr>
      <w:r w:rsidRPr="009448FC">
        <w:rPr>
          <w:rFonts w:eastAsia="SimSun"/>
        </w:rPr>
        <w:t>The Measurement Start Time field is set to the TSF timer at the time at which the requested measurement shall start. A value of 0 indicates that the measurement starts immediately.</w:t>
      </w:r>
    </w:p>
    <w:p w:rsidR="00BC5DA8" w:rsidRPr="009448FC" w:rsidRDefault="00BC5DA8" w:rsidP="00BC5DA8">
      <w:pPr>
        <w:autoSpaceDE w:val="0"/>
        <w:autoSpaceDN w:val="0"/>
        <w:adjustRightInd w:val="0"/>
        <w:jc w:val="both"/>
        <w:rPr>
          <w:rFonts w:eastAsia="SimSun"/>
        </w:rPr>
      </w:pPr>
    </w:p>
    <w:p w:rsidR="00BC5DA8" w:rsidRPr="009448FC" w:rsidRDefault="00BC5DA8" w:rsidP="00BC5DA8">
      <w:pPr>
        <w:autoSpaceDE w:val="0"/>
        <w:autoSpaceDN w:val="0"/>
        <w:adjustRightInd w:val="0"/>
        <w:jc w:val="both"/>
        <w:rPr>
          <w:rFonts w:eastAsia="SimSun"/>
        </w:rPr>
      </w:pPr>
      <w:r w:rsidRPr="009448FC">
        <w:rPr>
          <w:rFonts w:eastAsia="SimSun"/>
        </w:rPr>
        <w:t xml:space="preserve">The Measurement Duration per Direction field is set to the preferred or mandatory duration of the requested measurement in each receiving direction, expressed in units of TUs. </w:t>
      </w:r>
    </w:p>
    <w:p w:rsidR="00BC5DA8" w:rsidRPr="009448FC" w:rsidRDefault="00BC5DA8" w:rsidP="00BC5DA8">
      <w:pPr>
        <w:autoSpaceDE w:val="0"/>
        <w:autoSpaceDN w:val="0"/>
        <w:adjustRightInd w:val="0"/>
        <w:jc w:val="both"/>
        <w:rPr>
          <w:rFonts w:eastAsia="SimSun"/>
        </w:rPr>
      </w:pPr>
    </w:p>
    <w:p w:rsidR="00BC5DA8" w:rsidRPr="009448FC" w:rsidRDefault="00BC5DA8" w:rsidP="00BC5DA8">
      <w:pPr>
        <w:autoSpaceDE w:val="0"/>
        <w:autoSpaceDN w:val="0"/>
        <w:adjustRightInd w:val="0"/>
        <w:jc w:val="both"/>
        <w:rPr>
          <w:rFonts w:eastAsia="SimSun"/>
        </w:rPr>
      </w:pPr>
      <w:r w:rsidRPr="009448FC">
        <w:rPr>
          <w:rFonts w:eastAsia="SimSun"/>
        </w:rPr>
        <w:t>The Measurement Method indicates the method that is to be used by the Requested STA to carry out this measurement request and report back in the measurement report. If this field is set to zero (0) it indicates ANIPI. If this field is set to one (1), it indicates RCPI. If the field is set to two (2), it indicates Channel Load. Other values are reserved.</w:t>
      </w:r>
    </w:p>
    <w:p w:rsidR="00BC5DA8" w:rsidRPr="009448FC" w:rsidRDefault="00BC5DA8" w:rsidP="00BC5DA8">
      <w:pPr>
        <w:autoSpaceDE w:val="0"/>
        <w:autoSpaceDN w:val="0"/>
        <w:adjustRightInd w:val="0"/>
        <w:jc w:val="both"/>
        <w:rPr>
          <w:rFonts w:eastAsia="SimSun"/>
        </w:rPr>
      </w:pPr>
    </w:p>
    <w:p w:rsidR="00BC5DA8" w:rsidRPr="00066F65" w:rsidRDefault="00BC5DA8" w:rsidP="00880006">
      <w:pPr>
        <w:autoSpaceDE w:val="0"/>
        <w:autoSpaceDN w:val="0"/>
        <w:adjustRightInd w:val="0"/>
        <w:jc w:val="both"/>
        <w:rPr>
          <w:rFonts w:eastAsia="SimSun"/>
          <w:u w:val="single"/>
          <w:lang w:eastAsia="zh-CN" w:bidi="ar-SA"/>
        </w:rPr>
      </w:pPr>
      <w:r w:rsidRPr="009448FC">
        <w:rPr>
          <w:rFonts w:eastAsia="SimSun"/>
        </w:rPr>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5602F3" w:rsidRPr="009448FC" w:rsidRDefault="00123091" w:rsidP="003701DB">
      <w:pPr>
        <w:pStyle w:val="Heading5"/>
        <w:numPr>
          <w:ilvl w:val="4"/>
          <w:numId w:val="23"/>
        </w:numPr>
      </w:pPr>
      <w:bookmarkStart w:id="455" w:name="_Toc235400252"/>
      <w:bookmarkStart w:id="456" w:name="_Ref236723847"/>
      <w:bookmarkStart w:id="457" w:name="_Toc259716913"/>
      <w:r w:rsidRPr="009448FC">
        <w:t xml:space="preserve">Directional </w:t>
      </w:r>
      <w:r w:rsidR="005602F3" w:rsidRPr="009448FC">
        <w:t>Statistics</w:t>
      </w:r>
      <w:r w:rsidR="00EE1100" w:rsidRPr="009448FC">
        <w:t xml:space="preserve"> </w:t>
      </w:r>
      <w:r w:rsidR="000F5A0E">
        <w:t>r</w:t>
      </w:r>
      <w:r w:rsidRPr="009448FC">
        <w:t>equest</w:t>
      </w:r>
      <w:bookmarkEnd w:id="455"/>
      <w:bookmarkEnd w:id="456"/>
      <w:bookmarkEnd w:id="457"/>
      <w:r w:rsidRPr="009448FC">
        <w:t xml:space="preserve"> </w:t>
      </w:r>
    </w:p>
    <w:p w:rsidR="005602F3" w:rsidRPr="009448FC" w:rsidRDefault="005602F3" w:rsidP="000F57D1">
      <w:pPr>
        <w:jc w:val="both"/>
      </w:pPr>
      <w:r w:rsidRPr="009448FC">
        <w:t xml:space="preserve">The Measurement Request field corresponding to a Directional Statistics request is shown in </w:t>
      </w:r>
      <w:fldSimple w:instr=" REF _Ref232759967 \h  \* MERGEFORMAT ">
        <w:r w:rsidR="003E4210" w:rsidRPr="00066F65">
          <w:t xml:space="preserve">Figure </w:t>
        </w:r>
        <w:r w:rsidR="003E4210">
          <w:t>21</w:t>
        </w:r>
      </w:fldSimple>
      <w:r w:rsidRPr="009448FC">
        <w:t>. This Measurement Request is transmitted from a Requesting STA to a Requested STA to perform directional channel measurements in all sectored receiving directions.</w:t>
      </w:r>
    </w:p>
    <w:p w:rsidR="000E66A8" w:rsidRPr="009448FC" w:rsidRDefault="000E66A8" w:rsidP="000F57D1">
      <w:pPr>
        <w:jc w:val="both"/>
      </w:pPr>
    </w:p>
    <w:tbl>
      <w:tblPr>
        <w:tblW w:w="10069"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1241"/>
        <w:gridCol w:w="972"/>
        <w:gridCol w:w="1436"/>
        <w:gridCol w:w="1440"/>
        <w:gridCol w:w="1440"/>
        <w:gridCol w:w="1273"/>
        <w:gridCol w:w="1438"/>
      </w:tblGrid>
      <w:tr w:rsidR="00D0037C" w:rsidRPr="00066F65" w:rsidTr="00D0037C">
        <w:trPr>
          <w:jc w:val="center"/>
        </w:trPr>
        <w:tc>
          <w:tcPr>
            <w:tcW w:w="829" w:type="dxa"/>
          </w:tcPr>
          <w:p w:rsidR="00527D48" w:rsidRPr="009448FC" w:rsidRDefault="00527D48" w:rsidP="00D0037C">
            <w:pPr>
              <w:jc w:val="both"/>
              <w:rPr>
                <w:rFonts w:eastAsia="SimSun"/>
                <w:sz w:val="22"/>
              </w:rPr>
            </w:pPr>
          </w:p>
        </w:tc>
        <w:tc>
          <w:tcPr>
            <w:tcW w:w="1241" w:type="dxa"/>
          </w:tcPr>
          <w:p w:rsidR="00527D48" w:rsidRPr="009448FC" w:rsidRDefault="00527D48" w:rsidP="00D0037C">
            <w:pPr>
              <w:jc w:val="both"/>
              <w:rPr>
                <w:rFonts w:eastAsia="SimSun"/>
                <w:sz w:val="22"/>
              </w:rPr>
            </w:pPr>
            <w:r w:rsidRPr="009448FC">
              <w:rPr>
                <w:rFonts w:eastAsia="SimSun"/>
                <w:sz w:val="22"/>
              </w:rPr>
              <w:t>Regulatory class</w:t>
            </w:r>
          </w:p>
        </w:tc>
        <w:tc>
          <w:tcPr>
            <w:tcW w:w="972" w:type="dxa"/>
          </w:tcPr>
          <w:p w:rsidR="00527D48" w:rsidRPr="009448FC" w:rsidRDefault="00527D48" w:rsidP="00D0037C">
            <w:pPr>
              <w:jc w:val="both"/>
              <w:rPr>
                <w:rFonts w:eastAsia="SimSun"/>
                <w:sz w:val="22"/>
              </w:rPr>
            </w:pPr>
            <w:r w:rsidRPr="009448FC">
              <w:rPr>
                <w:rFonts w:eastAsia="SimSun"/>
                <w:sz w:val="22"/>
              </w:rPr>
              <w:t>Channel number</w:t>
            </w:r>
          </w:p>
        </w:tc>
        <w:tc>
          <w:tcPr>
            <w:tcW w:w="1436" w:type="dxa"/>
          </w:tcPr>
          <w:p w:rsidR="00527D48" w:rsidRPr="009448FC" w:rsidRDefault="00527D48" w:rsidP="00D07A74">
            <w:pPr>
              <w:rPr>
                <w:rFonts w:eastAsia="SimSun"/>
                <w:sz w:val="22"/>
              </w:rPr>
            </w:pPr>
            <w:r w:rsidRPr="009448FC">
              <w:rPr>
                <w:rFonts w:eastAsia="SimSun"/>
                <w:sz w:val="22"/>
              </w:rPr>
              <w:t>Measurement Start Time</w:t>
            </w:r>
          </w:p>
        </w:tc>
        <w:tc>
          <w:tcPr>
            <w:tcW w:w="1440" w:type="dxa"/>
          </w:tcPr>
          <w:p w:rsidR="00527D48" w:rsidRPr="009448FC" w:rsidRDefault="00527D48" w:rsidP="00D07A74">
            <w:pPr>
              <w:rPr>
                <w:rFonts w:eastAsia="SimSun"/>
                <w:sz w:val="22"/>
              </w:rPr>
            </w:pPr>
            <w:r w:rsidRPr="009448FC">
              <w:rPr>
                <w:rFonts w:eastAsia="SimSun"/>
                <w:sz w:val="22"/>
              </w:rPr>
              <w:t>Measurement Duration per Direction</w:t>
            </w:r>
          </w:p>
        </w:tc>
        <w:tc>
          <w:tcPr>
            <w:tcW w:w="1440" w:type="dxa"/>
          </w:tcPr>
          <w:p w:rsidR="00527D48" w:rsidRPr="009448FC" w:rsidRDefault="00527D48" w:rsidP="00D0037C">
            <w:pPr>
              <w:jc w:val="both"/>
              <w:rPr>
                <w:rFonts w:eastAsia="SimSun"/>
                <w:sz w:val="22"/>
              </w:rPr>
            </w:pPr>
            <w:r w:rsidRPr="009448FC">
              <w:rPr>
                <w:rFonts w:eastAsia="SimSun"/>
                <w:sz w:val="22"/>
              </w:rPr>
              <w:t>Measurement Method</w:t>
            </w:r>
          </w:p>
        </w:tc>
        <w:tc>
          <w:tcPr>
            <w:tcW w:w="1273" w:type="dxa"/>
          </w:tcPr>
          <w:p w:rsidR="00527D48" w:rsidRPr="009448FC" w:rsidRDefault="00527D48" w:rsidP="00D0037C">
            <w:pPr>
              <w:jc w:val="both"/>
              <w:rPr>
                <w:rFonts w:eastAsia="SimSun"/>
                <w:sz w:val="22"/>
              </w:rPr>
            </w:pPr>
            <w:r w:rsidRPr="009448FC">
              <w:rPr>
                <w:rFonts w:eastAsia="SimSun"/>
                <w:sz w:val="22"/>
              </w:rPr>
              <w:t>Directional Statistics Bitmap</w:t>
            </w:r>
          </w:p>
        </w:tc>
        <w:tc>
          <w:tcPr>
            <w:tcW w:w="1438" w:type="dxa"/>
          </w:tcPr>
          <w:p w:rsidR="00527D48" w:rsidRPr="009448FC" w:rsidRDefault="00527D48" w:rsidP="00D0037C">
            <w:pPr>
              <w:jc w:val="both"/>
              <w:rPr>
                <w:rFonts w:eastAsia="SimSun"/>
                <w:sz w:val="22"/>
              </w:rPr>
            </w:pPr>
            <w:r w:rsidRPr="009448FC">
              <w:rPr>
                <w:rFonts w:eastAsia="SimSun"/>
                <w:sz w:val="22"/>
              </w:rPr>
              <w:t xml:space="preserve">Optional Subelements </w:t>
            </w:r>
          </w:p>
        </w:tc>
      </w:tr>
      <w:tr w:rsidR="00D0037C" w:rsidRPr="00066F65" w:rsidTr="00D0037C">
        <w:trPr>
          <w:jc w:val="center"/>
        </w:trPr>
        <w:tc>
          <w:tcPr>
            <w:tcW w:w="829" w:type="dxa"/>
          </w:tcPr>
          <w:p w:rsidR="00527D48" w:rsidRPr="009448FC" w:rsidRDefault="00527D48" w:rsidP="00D0037C">
            <w:pPr>
              <w:jc w:val="center"/>
              <w:rPr>
                <w:rFonts w:eastAsia="SimSun"/>
                <w:sz w:val="22"/>
              </w:rPr>
            </w:pPr>
            <w:r w:rsidRPr="009448FC">
              <w:rPr>
                <w:rFonts w:eastAsia="SimSun"/>
                <w:sz w:val="22"/>
              </w:rPr>
              <w:t>Octets</w:t>
            </w:r>
          </w:p>
        </w:tc>
        <w:tc>
          <w:tcPr>
            <w:tcW w:w="1241" w:type="dxa"/>
          </w:tcPr>
          <w:p w:rsidR="00527D48" w:rsidRPr="009448FC" w:rsidRDefault="00527D48" w:rsidP="00D0037C">
            <w:pPr>
              <w:jc w:val="center"/>
              <w:rPr>
                <w:rFonts w:eastAsia="SimSun"/>
                <w:sz w:val="22"/>
              </w:rPr>
            </w:pPr>
            <w:r w:rsidRPr="009448FC">
              <w:rPr>
                <w:rFonts w:eastAsia="SimSun"/>
                <w:sz w:val="22"/>
              </w:rPr>
              <w:t>1</w:t>
            </w:r>
          </w:p>
        </w:tc>
        <w:tc>
          <w:tcPr>
            <w:tcW w:w="972" w:type="dxa"/>
          </w:tcPr>
          <w:p w:rsidR="00527D48" w:rsidRPr="009448FC" w:rsidRDefault="00527D48" w:rsidP="00D0037C">
            <w:pPr>
              <w:jc w:val="center"/>
              <w:rPr>
                <w:rFonts w:eastAsia="SimSun"/>
                <w:sz w:val="22"/>
              </w:rPr>
            </w:pPr>
            <w:r w:rsidRPr="009448FC">
              <w:rPr>
                <w:rFonts w:eastAsia="SimSun"/>
                <w:sz w:val="22"/>
              </w:rPr>
              <w:t>1</w:t>
            </w:r>
          </w:p>
        </w:tc>
        <w:tc>
          <w:tcPr>
            <w:tcW w:w="1436" w:type="dxa"/>
          </w:tcPr>
          <w:p w:rsidR="00527D48" w:rsidRPr="009448FC" w:rsidRDefault="00527D48" w:rsidP="00D0037C">
            <w:pPr>
              <w:jc w:val="center"/>
              <w:rPr>
                <w:rFonts w:eastAsia="SimSun"/>
                <w:sz w:val="22"/>
              </w:rPr>
            </w:pPr>
            <w:r w:rsidRPr="009448FC">
              <w:rPr>
                <w:rFonts w:eastAsia="SimSun"/>
                <w:sz w:val="22"/>
              </w:rPr>
              <w:t>8</w:t>
            </w:r>
          </w:p>
        </w:tc>
        <w:tc>
          <w:tcPr>
            <w:tcW w:w="1440" w:type="dxa"/>
          </w:tcPr>
          <w:p w:rsidR="00527D48" w:rsidRPr="009448FC" w:rsidRDefault="00527D48" w:rsidP="00D0037C">
            <w:pPr>
              <w:jc w:val="center"/>
              <w:rPr>
                <w:rFonts w:eastAsia="SimSun"/>
                <w:sz w:val="22"/>
              </w:rPr>
            </w:pPr>
            <w:r w:rsidRPr="009448FC">
              <w:rPr>
                <w:rFonts w:eastAsia="SimSun"/>
                <w:sz w:val="22"/>
              </w:rPr>
              <w:t>2</w:t>
            </w:r>
          </w:p>
        </w:tc>
        <w:tc>
          <w:tcPr>
            <w:tcW w:w="1440" w:type="dxa"/>
          </w:tcPr>
          <w:p w:rsidR="00527D48" w:rsidRPr="009448FC" w:rsidRDefault="00527D48" w:rsidP="00D0037C">
            <w:pPr>
              <w:jc w:val="center"/>
              <w:rPr>
                <w:rFonts w:eastAsia="SimSun"/>
                <w:sz w:val="22"/>
              </w:rPr>
            </w:pPr>
            <w:r w:rsidRPr="009448FC">
              <w:rPr>
                <w:rFonts w:eastAsia="SimSun"/>
                <w:sz w:val="22"/>
              </w:rPr>
              <w:t>1</w:t>
            </w:r>
          </w:p>
        </w:tc>
        <w:tc>
          <w:tcPr>
            <w:tcW w:w="1273" w:type="dxa"/>
          </w:tcPr>
          <w:p w:rsidR="00527D48" w:rsidRPr="009448FC" w:rsidRDefault="00527D48" w:rsidP="00D0037C">
            <w:pPr>
              <w:jc w:val="center"/>
              <w:rPr>
                <w:rFonts w:eastAsia="SimSun"/>
                <w:sz w:val="22"/>
              </w:rPr>
            </w:pPr>
            <w:r w:rsidRPr="009448FC">
              <w:rPr>
                <w:rFonts w:eastAsia="SimSun"/>
                <w:sz w:val="22"/>
              </w:rPr>
              <w:t>1</w:t>
            </w:r>
          </w:p>
        </w:tc>
        <w:tc>
          <w:tcPr>
            <w:tcW w:w="1438" w:type="dxa"/>
          </w:tcPr>
          <w:p w:rsidR="00527D48" w:rsidRPr="009448FC" w:rsidRDefault="00527D48" w:rsidP="00D0037C">
            <w:pPr>
              <w:jc w:val="center"/>
              <w:rPr>
                <w:rFonts w:eastAsia="SimSun"/>
                <w:sz w:val="22"/>
              </w:rPr>
            </w:pPr>
            <w:r w:rsidRPr="009448FC">
              <w:rPr>
                <w:rFonts w:eastAsia="SimSun"/>
                <w:sz w:val="22"/>
              </w:rPr>
              <w:t>Variable</w:t>
            </w:r>
          </w:p>
        </w:tc>
      </w:tr>
    </w:tbl>
    <w:p w:rsidR="005602F3" w:rsidRPr="00066F65" w:rsidRDefault="005602F3" w:rsidP="00BA5BC4">
      <w:pPr>
        <w:pStyle w:val="Caption"/>
      </w:pPr>
      <w:bookmarkStart w:id="458" w:name="_Ref232759967"/>
      <w:bookmarkStart w:id="459" w:name="_Toc259717453"/>
      <w:r w:rsidRPr="00066F65">
        <w:t xml:space="preserve">Figure </w:t>
      </w:r>
      <w:r w:rsidR="00BD151C">
        <w:fldChar w:fldCharType="begin"/>
      </w:r>
      <w:r w:rsidR="00801316">
        <w:instrText xml:space="preserve"> SEQ Figure \* ARABIC </w:instrText>
      </w:r>
      <w:r w:rsidR="00BD151C">
        <w:fldChar w:fldCharType="separate"/>
      </w:r>
      <w:r w:rsidR="003E4210">
        <w:rPr>
          <w:noProof/>
        </w:rPr>
        <w:t>21</w:t>
      </w:r>
      <w:r w:rsidR="00BD151C">
        <w:fldChar w:fldCharType="end"/>
      </w:r>
      <w:bookmarkEnd w:id="458"/>
      <w:r w:rsidR="004D3860" w:rsidRPr="00066F65">
        <w:t xml:space="preserve"> </w:t>
      </w:r>
      <w:r w:rsidRPr="00066F65">
        <w:rPr>
          <w:rFonts w:eastAsia="SimSun"/>
          <w:bCs/>
          <w:sz w:val="23"/>
          <w:szCs w:val="23"/>
          <w:lang w:eastAsia="zh-CN"/>
        </w:rPr>
        <w:t>– Directional Statistics Request</w:t>
      </w:r>
      <w:bookmarkEnd w:id="459"/>
    </w:p>
    <w:p w:rsidR="005602F3" w:rsidRPr="009448FC" w:rsidRDefault="005602F3" w:rsidP="005602F3">
      <w:pPr>
        <w:rPr>
          <w:b/>
        </w:rPr>
      </w:pPr>
    </w:p>
    <w:p w:rsidR="005602F3" w:rsidRPr="009448FC" w:rsidRDefault="005602F3" w:rsidP="005602F3">
      <w:pPr>
        <w:autoSpaceDE w:val="0"/>
        <w:autoSpaceDN w:val="0"/>
        <w:adjustRightInd w:val="0"/>
        <w:jc w:val="both"/>
        <w:rPr>
          <w:rFonts w:eastAsia="SimSun"/>
        </w:rPr>
      </w:pPr>
      <w:r w:rsidRPr="009448FC">
        <w:rPr>
          <w:rFonts w:eastAsia="SimSun"/>
        </w:rPr>
        <w:t>Regulatory Class indicates the channel set for which the measurement request applies. Country, Regulatory Class, and Channel Number together specify the channel frequency and spacing for which the measurement request applies. Valid values of Regulatory Class are shown in Annex J.</w:t>
      </w:r>
    </w:p>
    <w:p w:rsidR="005602F3" w:rsidRPr="009448FC" w:rsidRDefault="005602F3" w:rsidP="005602F3">
      <w:pPr>
        <w:autoSpaceDE w:val="0"/>
        <w:autoSpaceDN w:val="0"/>
        <w:adjustRightInd w:val="0"/>
        <w:jc w:val="both"/>
        <w:rPr>
          <w:rFonts w:eastAsia="SimSun"/>
        </w:rPr>
      </w:pPr>
    </w:p>
    <w:p w:rsidR="005602F3" w:rsidRPr="009448FC" w:rsidRDefault="005602F3" w:rsidP="005602F3">
      <w:pPr>
        <w:autoSpaceDE w:val="0"/>
        <w:autoSpaceDN w:val="0"/>
        <w:adjustRightInd w:val="0"/>
        <w:jc w:val="both"/>
        <w:rPr>
          <w:b/>
        </w:rPr>
      </w:pPr>
      <w:r w:rsidRPr="009448FC">
        <w:rPr>
          <w:rFonts w:eastAsia="SimSun"/>
        </w:rPr>
        <w:t>Channel Number indicates the channel number for which the measurement request applies. Channel Number is defined within a Regulatory Class as shown in Annex J.</w:t>
      </w:r>
    </w:p>
    <w:p w:rsidR="005602F3" w:rsidRPr="009448FC" w:rsidRDefault="005602F3" w:rsidP="005602F3">
      <w:pPr>
        <w:autoSpaceDE w:val="0"/>
        <w:autoSpaceDN w:val="0"/>
        <w:adjustRightInd w:val="0"/>
        <w:jc w:val="both"/>
        <w:rPr>
          <w:rFonts w:eastAsia="SimSun"/>
        </w:rPr>
      </w:pPr>
    </w:p>
    <w:p w:rsidR="005602F3" w:rsidRPr="009448FC" w:rsidRDefault="005602F3" w:rsidP="00120A30">
      <w:pPr>
        <w:autoSpaceDE w:val="0"/>
        <w:autoSpaceDN w:val="0"/>
        <w:adjustRightInd w:val="0"/>
        <w:jc w:val="both"/>
        <w:rPr>
          <w:rFonts w:eastAsia="SimSun"/>
        </w:rPr>
      </w:pPr>
      <w:r w:rsidRPr="009448FC">
        <w:rPr>
          <w:rFonts w:eastAsia="SimSun"/>
        </w:rPr>
        <w:t>The Measurement Start Time field is set to the TSF timer at the time at which the requested measurement shall start. A value of 0 indicates that the measurement starts immediately.</w:t>
      </w:r>
    </w:p>
    <w:p w:rsidR="005602F3" w:rsidRPr="009448FC" w:rsidRDefault="005602F3" w:rsidP="005602F3">
      <w:pPr>
        <w:autoSpaceDE w:val="0"/>
        <w:autoSpaceDN w:val="0"/>
        <w:adjustRightInd w:val="0"/>
        <w:jc w:val="both"/>
        <w:rPr>
          <w:rFonts w:eastAsia="SimSun"/>
        </w:rPr>
      </w:pPr>
    </w:p>
    <w:p w:rsidR="005602F3" w:rsidRPr="009448FC" w:rsidRDefault="005602F3" w:rsidP="005602F3">
      <w:pPr>
        <w:autoSpaceDE w:val="0"/>
        <w:autoSpaceDN w:val="0"/>
        <w:adjustRightInd w:val="0"/>
        <w:jc w:val="both"/>
        <w:rPr>
          <w:rFonts w:eastAsia="SimSun"/>
        </w:rPr>
      </w:pPr>
      <w:r w:rsidRPr="009448FC">
        <w:rPr>
          <w:rFonts w:eastAsia="SimSun"/>
        </w:rPr>
        <w:t xml:space="preserve">The Measurement Duration per Direction field is set to the preferred or mandatory duration of the requested measurement in each receiving direction, expressed in units of TUs. </w:t>
      </w:r>
    </w:p>
    <w:p w:rsidR="005602F3" w:rsidRPr="009448FC" w:rsidRDefault="005602F3" w:rsidP="005602F3">
      <w:pPr>
        <w:autoSpaceDE w:val="0"/>
        <w:autoSpaceDN w:val="0"/>
        <w:adjustRightInd w:val="0"/>
        <w:jc w:val="both"/>
        <w:rPr>
          <w:rFonts w:eastAsia="SimSun"/>
        </w:rPr>
      </w:pPr>
    </w:p>
    <w:p w:rsidR="005602F3" w:rsidRPr="009448FC" w:rsidRDefault="005602F3" w:rsidP="005602F3">
      <w:pPr>
        <w:autoSpaceDE w:val="0"/>
        <w:autoSpaceDN w:val="0"/>
        <w:adjustRightInd w:val="0"/>
        <w:jc w:val="both"/>
        <w:rPr>
          <w:rFonts w:eastAsia="SimSun"/>
        </w:rPr>
      </w:pPr>
      <w:r w:rsidRPr="009448FC">
        <w:rPr>
          <w:rFonts w:eastAsia="SimSun"/>
        </w:rPr>
        <w:t>The Measurement Method indicates the method that is to be used by the Requested STA to carry out this measurement request and report back in the measurement report. If this field is set to zero (0) it indicates ANIPI. If this field is set to one (1), it indicates RCPI. If the field is set to two (2), it indicates Channel Load. Other values are reserved.</w:t>
      </w:r>
    </w:p>
    <w:p w:rsidR="005602F3" w:rsidRPr="009448FC" w:rsidRDefault="005602F3" w:rsidP="005602F3">
      <w:pPr>
        <w:autoSpaceDE w:val="0"/>
        <w:autoSpaceDN w:val="0"/>
        <w:adjustRightInd w:val="0"/>
        <w:jc w:val="both"/>
        <w:rPr>
          <w:rFonts w:eastAsia="SimSun"/>
          <w:sz w:val="23"/>
        </w:rPr>
      </w:pPr>
    </w:p>
    <w:p w:rsidR="005602F3" w:rsidRPr="00066F65" w:rsidRDefault="005602F3" w:rsidP="00D31467">
      <w:pPr>
        <w:autoSpaceDE w:val="0"/>
        <w:autoSpaceDN w:val="0"/>
        <w:adjustRightInd w:val="0"/>
        <w:rPr>
          <w:rFonts w:eastAsia="SimSun"/>
          <w:u w:val="single"/>
          <w:lang w:eastAsia="zh-CN" w:bidi="ar-SA"/>
        </w:rPr>
      </w:pPr>
      <w:r w:rsidRPr="009448FC">
        <w:rPr>
          <w:rFonts w:eastAsia="SimSun"/>
        </w:rPr>
        <w:t>The Directional Statistics Bitmap field format is shown in</w:t>
      </w:r>
      <w:r w:rsidR="00E407BC" w:rsidRPr="009448FC">
        <w:rPr>
          <w:rFonts w:eastAsia="SimSun"/>
        </w:rPr>
        <w:t xml:space="preserve"> </w:t>
      </w:r>
      <w:r w:rsidR="00BD151C" w:rsidRPr="009448FC">
        <w:rPr>
          <w:rFonts w:eastAsia="SimSun"/>
        </w:rPr>
        <w:fldChar w:fldCharType="begin"/>
      </w:r>
      <w:r w:rsidR="00E407BC" w:rsidRPr="009448FC">
        <w:rPr>
          <w:rFonts w:eastAsia="SimSun"/>
        </w:rPr>
        <w:instrText xml:space="preserve"> REF _Ref246307497 \h </w:instrText>
      </w:r>
      <w:r w:rsidR="00BD151C" w:rsidRPr="009448FC">
        <w:rPr>
          <w:rFonts w:eastAsia="SimSun"/>
        </w:rPr>
      </w:r>
      <w:r w:rsidR="00BD151C" w:rsidRPr="009448FC">
        <w:rPr>
          <w:rFonts w:eastAsia="SimSun"/>
        </w:rPr>
        <w:fldChar w:fldCharType="separate"/>
      </w:r>
      <w:r w:rsidR="003E4210" w:rsidRPr="00066F65">
        <w:t xml:space="preserve">Figure </w:t>
      </w:r>
      <w:r w:rsidR="003E4210">
        <w:rPr>
          <w:noProof/>
        </w:rPr>
        <w:t>22</w:t>
      </w:r>
      <w:r w:rsidR="00BD151C" w:rsidRPr="009448FC">
        <w:rPr>
          <w:rFonts w:eastAsia="SimSun"/>
        </w:rPr>
        <w:fldChar w:fldCharType="end"/>
      </w:r>
      <w:r w:rsidRPr="009448FC">
        <w:rPr>
          <w:rFonts w:eastAsia="SimSun"/>
        </w:rPr>
        <w:t>.</w:t>
      </w:r>
      <w:r w:rsidR="00D31467" w:rsidRPr="009448FC">
        <w:rPr>
          <w:rFonts w:eastAsia="SimSun"/>
        </w:rPr>
        <w:t xml:space="preserve"> </w:t>
      </w:r>
      <w:r w:rsidRPr="009448FC">
        <w:rPr>
          <w:rFonts w:eastAsia="SimSun"/>
        </w:rPr>
        <w:t>The Maximum field indicates that</w:t>
      </w:r>
      <w:r w:rsidR="00281486" w:rsidRPr="009448FC">
        <w:rPr>
          <w:rFonts w:eastAsia="SimSun"/>
        </w:rPr>
        <w:t xml:space="preserve"> </w:t>
      </w:r>
      <w:r w:rsidRPr="009448FC">
        <w:rPr>
          <w:rFonts w:eastAsia="SimSun"/>
        </w:rPr>
        <w:t>the maximum measurement result among all directions is expected in the measurement report. The Minimum field indicates that</w:t>
      </w:r>
      <w:r w:rsidR="00281486" w:rsidRPr="009448FC">
        <w:rPr>
          <w:rFonts w:eastAsia="SimSun"/>
        </w:rPr>
        <w:t xml:space="preserve"> </w:t>
      </w:r>
      <w:r w:rsidRPr="009448FC">
        <w:rPr>
          <w:rFonts w:eastAsia="SimSun"/>
        </w:rPr>
        <w:t>the minimum measurement result among all directions is expected in the measurement report. The Average field indicates that</w:t>
      </w:r>
      <w:r w:rsidR="00281486" w:rsidRPr="009448FC">
        <w:rPr>
          <w:rFonts w:eastAsia="SimSun"/>
        </w:rPr>
        <w:t xml:space="preserve"> </w:t>
      </w:r>
      <w:r w:rsidRPr="009448FC">
        <w:rPr>
          <w:rFonts w:eastAsia="SimSun"/>
        </w:rPr>
        <w:t>the average measurement result among all directions is expected in the measurement report. The Variance field indicates that the variance of measurement results among all directions is expected in the measurement report. Others are reserved</w:t>
      </w:r>
      <w:r w:rsidR="00D31467" w:rsidRPr="009448FC">
        <w:rPr>
          <w:rFonts w:eastAsia="SimSun"/>
        </w:rPr>
        <w:t>.</w:t>
      </w:r>
    </w:p>
    <w:p w:rsidR="005602F3" w:rsidRPr="00066F65" w:rsidRDefault="005602F3" w:rsidP="005602F3">
      <w:pPr>
        <w:autoSpaceDE w:val="0"/>
        <w:autoSpaceDN w:val="0"/>
        <w:adjustRightInd w:val="0"/>
        <w:jc w:val="both"/>
        <w:rPr>
          <w:rFonts w:eastAsia="SimSun"/>
          <w:sz w:val="23"/>
          <w:szCs w:val="23"/>
          <w:u w:val="single"/>
          <w:lang w:eastAsia="zh-CN" w:bidi="ar-SA"/>
        </w:rPr>
      </w:pP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1296"/>
        <w:gridCol w:w="1440"/>
        <w:gridCol w:w="1296"/>
        <w:gridCol w:w="1584"/>
        <w:gridCol w:w="1152"/>
      </w:tblGrid>
      <w:tr w:rsidR="00D0037C" w:rsidRPr="00066F65" w:rsidTr="00D0037C">
        <w:trPr>
          <w:trHeight w:val="275"/>
        </w:trPr>
        <w:tc>
          <w:tcPr>
            <w:tcW w:w="684" w:type="dxa"/>
          </w:tcPr>
          <w:p w:rsidR="005602F3" w:rsidRPr="009448FC" w:rsidRDefault="005602F3" w:rsidP="00D0037C">
            <w:pPr>
              <w:autoSpaceDE w:val="0"/>
              <w:autoSpaceDN w:val="0"/>
              <w:adjustRightInd w:val="0"/>
              <w:jc w:val="center"/>
              <w:rPr>
                <w:rFonts w:eastAsia="SimSun"/>
                <w:sz w:val="23"/>
              </w:rPr>
            </w:pP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Maximum</w:t>
            </w:r>
          </w:p>
        </w:tc>
        <w:tc>
          <w:tcPr>
            <w:tcW w:w="1440"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Minimum</w:t>
            </w: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 xml:space="preserve">Average </w:t>
            </w:r>
          </w:p>
        </w:tc>
        <w:tc>
          <w:tcPr>
            <w:tcW w:w="1584"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 xml:space="preserve">Variance </w:t>
            </w:r>
          </w:p>
        </w:tc>
        <w:tc>
          <w:tcPr>
            <w:tcW w:w="1152"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Reserved</w:t>
            </w:r>
          </w:p>
        </w:tc>
      </w:tr>
      <w:tr w:rsidR="00D0037C" w:rsidRPr="00066F65" w:rsidTr="00D0037C">
        <w:tc>
          <w:tcPr>
            <w:tcW w:w="684"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Bits:</w:t>
            </w: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440"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584"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152"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4</w:t>
            </w:r>
          </w:p>
        </w:tc>
      </w:tr>
    </w:tbl>
    <w:p w:rsidR="005602F3" w:rsidRPr="009448FC" w:rsidRDefault="005602F3" w:rsidP="005602F3">
      <w:pPr>
        <w:autoSpaceDE w:val="0"/>
        <w:autoSpaceDN w:val="0"/>
        <w:adjustRightInd w:val="0"/>
        <w:jc w:val="both"/>
        <w:rPr>
          <w:rFonts w:eastAsia="SimSun"/>
          <w:sz w:val="23"/>
        </w:rPr>
      </w:pPr>
    </w:p>
    <w:p w:rsidR="005602F3" w:rsidRPr="00066F65" w:rsidRDefault="005602F3" w:rsidP="005602F3">
      <w:pPr>
        <w:autoSpaceDE w:val="0"/>
        <w:autoSpaceDN w:val="0"/>
        <w:adjustRightInd w:val="0"/>
        <w:jc w:val="both"/>
        <w:rPr>
          <w:rFonts w:eastAsia="SimSun"/>
          <w:sz w:val="23"/>
          <w:szCs w:val="23"/>
          <w:u w:val="single"/>
          <w:lang w:eastAsia="zh-CN" w:bidi="ar-SA"/>
        </w:rPr>
      </w:pPr>
    </w:p>
    <w:p w:rsidR="00274384" w:rsidRPr="00066F65" w:rsidRDefault="00274384" w:rsidP="00BA5BC4">
      <w:pPr>
        <w:pStyle w:val="Caption"/>
      </w:pPr>
      <w:bookmarkStart w:id="460" w:name="_Ref232760006"/>
      <w:r w:rsidRPr="00066F65">
        <w:t xml:space="preserve"> </w:t>
      </w:r>
    </w:p>
    <w:p w:rsidR="005602F3" w:rsidRPr="00066F65" w:rsidRDefault="007264DB" w:rsidP="00BA5BC4">
      <w:pPr>
        <w:pStyle w:val="Caption"/>
      </w:pPr>
      <w:bookmarkStart w:id="461" w:name="_Ref246307497"/>
      <w:bookmarkStart w:id="462" w:name="_Toc259717454"/>
      <w:r w:rsidRPr="00066F65">
        <w:t xml:space="preserve">Figure </w:t>
      </w:r>
      <w:r w:rsidR="00BD151C">
        <w:fldChar w:fldCharType="begin"/>
      </w:r>
      <w:r w:rsidR="00801316">
        <w:instrText xml:space="preserve"> SEQ Figure \* ARABIC </w:instrText>
      </w:r>
      <w:r w:rsidR="00BD151C">
        <w:fldChar w:fldCharType="separate"/>
      </w:r>
      <w:r w:rsidR="003E4210">
        <w:rPr>
          <w:noProof/>
        </w:rPr>
        <w:t>22</w:t>
      </w:r>
      <w:r w:rsidR="00BD151C">
        <w:fldChar w:fldCharType="end"/>
      </w:r>
      <w:bookmarkEnd w:id="460"/>
      <w:bookmarkEnd w:id="461"/>
      <w:r w:rsidR="0073283A" w:rsidRPr="00066F65">
        <w:t xml:space="preserve"> </w:t>
      </w:r>
      <w:r w:rsidR="005602F3" w:rsidRPr="00066F65">
        <w:rPr>
          <w:lang w:eastAsia="zh-CN"/>
        </w:rPr>
        <w:t>– Directional Statistics Bitmap field format</w:t>
      </w:r>
      <w:bookmarkEnd w:id="462"/>
    </w:p>
    <w:p w:rsidR="005602F3" w:rsidRPr="009448FC" w:rsidRDefault="005602F3" w:rsidP="005602F3">
      <w:pPr>
        <w:autoSpaceDE w:val="0"/>
        <w:autoSpaceDN w:val="0"/>
        <w:adjustRightInd w:val="0"/>
        <w:rPr>
          <w:rFonts w:eastAsia="SimSun"/>
          <w:sz w:val="23"/>
        </w:rPr>
      </w:pPr>
    </w:p>
    <w:p w:rsidR="005602F3" w:rsidRPr="009448FC" w:rsidRDefault="005602F3" w:rsidP="005602F3">
      <w:pPr>
        <w:autoSpaceDE w:val="0"/>
        <w:autoSpaceDN w:val="0"/>
        <w:adjustRightInd w:val="0"/>
        <w:jc w:val="both"/>
        <w:rPr>
          <w:rFonts w:eastAsia="SimSun"/>
        </w:rPr>
      </w:pPr>
      <w:r w:rsidRPr="009448FC">
        <w:rPr>
          <w:rFonts w:eastAsia="SimSun"/>
        </w:rPr>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424762" w:rsidRPr="009448FC" w:rsidRDefault="00424762" w:rsidP="005602F3">
      <w:pPr>
        <w:autoSpaceDE w:val="0"/>
        <w:autoSpaceDN w:val="0"/>
        <w:adjustRightInd w:val="0"/>
        <w:jc w:val="both"/>
        <w:rPr>
          <w:rFonts w:eastAsia="SimSun"/>
          <w:sz w:val="23"/>
        </w:rPr>
      </w:pPr>
    </w:p>
    <w:p w:rsidR="00424762" w:rsidRDefault="00021710" w:rsidP="003701DB">
      <w:pPr>
        <w:pStyle w:val="Heading4"/>
        <w:numPr>
          <w:ilvl w:val="3"/>
          <w:numId w:val="24"/>
        </w:numPr>
      </w:pPr>
      <w:bookmarkStart w:id="463" w:name="_Toc235400253"/>
      <w:bookmarkStart w:id="464" w:name="_Ref243987999"/>
      <w:bookmarkStart w:id="465" w:name="_Toc259716914"/>
      <w:r w:rsidRPr="009448FC">
        <w:t>M</w:t>
      </w:r>
      <w:r w:rsidR="00424762" w:rsidRPr="009448FC">
        <w:t>easurement Report element</w:t>
      </w:r>
      <w:bookmarkEnd w:id="463"/>
      <w:bookmarkEnd w:id="464"/>
      <w:bookmarkEnd w:id="465"/>
    </w:p>
    <w:p w:rsidR="000610CF" w:rsidRPr="000610CF" w:rsidRDefault="000610CF" w:rsidP="000610CF">
      <w:pPr>
        <w:rPr>
          <w:i/>
          <w:lang w:bidi="ar-SA"/>
        </w:rPr>
      </w:pPr>
      <w:r w:rsidRPr="000610CF">
        <w:rPr>
          <w:i/>
          <w:lang w:bidi="ar-SA"/>
        </w:rPr>
        <w:t>.11 Editor Note: insert the following subclauses</w:t>
      </w:r>
    </w:p>
    <w:p w:rsidR="008C36FC" w:rsidRPr="009448FC" w:rsidRDefault="008C36FC" w:rsidP="003701DB">
      <w:pPr>
        <w:pStyle w:val="Heading5"/>
        <w:numPr>
          <w:ilvl w:val="4"/>
          <w:numId w:val="24"/>
        </w:numPr>
      </w:pPr>
      <w:bookmarkStart w:id="466" w:name="_Toc215582694"/>
      <w:bookmarkStart w:id="467" w:name="_Toc235400254"/>
      <w:bookmarkStart w:id="468" w:name="_Ref243987896"/>
      <w:bookmarkStart w:id="469" w:name="_Ref244253048"/>
      <w:bookmarkStart w:id="470" w:name="_Ref244259275"/>
      <w:bookmarkStart w:id="471" w:name="_Toc259716915"/>
      <w:r w:rsidRPr="009448FC">
        <w:lastRenderedPageBreak/>
        <w:t>Directional Channel Quality report</w:t>
      </w:r>
      <w:bookmarkEnd w:id="466"/>
      <w:bookmarkEnd w:id="467"/>
      <w:bookmarkEnd w:id="468"/>
      <w:bookmarkEnd w:id="469"/>
      <w:bookmarkEnd w:id="470"/>
      <w:bookmarkEnd w:id="471"/>
    </w:p>
    <w:p w:rsidR="008C36FC" w:rsidRPr="009448FC" w:rsidRDefault="008C36FC" w:rsidP="002A7C20">
      <w:pPr>
        <w:pStyle w:val="BodyText"/>
        <w:rPr>
          <w:rFonts w:ascii="Times New Roman" w:hAnsi="Times New Roman"/>
        </w:rPr>
      </w:pPr>
      <w:r w:rsidRPr="009448FC">
        <w:rPr>
          <w:rFonts w:ascii="Times New Roman" w:hAnsi="Times New Roman"/>
        </w:rPr>
        <w:t xml:space="preserve">The format of the Measurement Report field of a Directional Channel Quality Report is shown in </w:t>
      </w:r>
      <w:r w:rsidR="00BD151C">
        <w:rPr>
          <w:rFonts w:ascii="Times New Roman" w:hAnsi="Times New Roman"/>
        </w:rPr>
        <w:fldChar w:fldCharType="begin"/>
      </w:r>
      <w:r w:rsidR="002A7C20">
        <w:rPr>
          <w:rFonts w:ascii="Times New Roman" w:hAnsi="Times New Roman"/>
        </w:rPr>
        <w:instrText xml:space="preserve"> REF _Ref207520962 \h </w:instrText>
      </w:r>
      <w:r w:rsidR="00BD151C">
        <w:rPr>
          <w:rFonts w:ascii="Times New Roman" w:hAnsi="Times New Roman"/>
        </w:rPr>
      </w:r>
      <w:r w:rsidR="00BD151C">
        <w:rPr>
          <w:rFonts w:ascii="Times New Roman" w:hAnsi="Times New Roman"/>
        </w:rPr>
        <w:fldChar w:fldCharType="separate"/>
      </w:r>
      <w:r w:rsidR="003E4210" w:rsidRPr="009448FC">
        <w:rPr>
          <w:rFonts w:ascii="Times New Roman" w:hAnsi="Times New Roman"/>
        </w:rPr>
        <w:t xml:space="preserve">Figure </w:t>
      </w:r>
      <w:r w:rsidR="003E4210">
        <w:rPr>
          <w:rFonts w:ascii="Times New Roman" w:hAnsi="Times New Roman"/>
          <w:noProof/>
        </w:rPr>
        <w:t>23</w:t>
      </w:r>
      <w:r w:rsidR="00BD151C">
        <w:rPr>
          <w:rFonts w:ascii="Times New Roman" w:hAnsi="Times New Roman"/>
        </w:rPr>
        <w:fldChar w:fldCharType="end"/>
      </w:r>
      <w:r w:rsidRPr="009448FC">
        <w:rPr>
          <w:rFonts w:ascii="Times New Roman" w:hAnsi="Times New Roman"/>
        </w:rPr>
        <w:t>.</w:t>
      </w:r>
    </w:p>
    <w:p w:rsidR="006013C1" w:rsidRPr="009448FC" w:rsidRDefault="006013C1" w:rsidP="005134E3">
      <w:pPr>
        <w:pStyle w:val="BodyText"/>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630"/>
        <w:gridCol w:w="1984"/>
        <w:gridCol w:w="1035"/>
        <w:gridCol w:w="2004"/>
        <w:gridCol w:w="1762"/>
      </w:tblGrid>
      <w:tr w:rsidR="006013C1" w:rsidRPr="00066F65" w:rsidTr="00DE2AB2">
        <w:trPr>
          <w:trHeight w:val="710"/>
          <w:jc w:val="center"/>
        </w:trPr>
        <w:tc>
          <w:tcPr>
            <w:tcW w:w="844"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Regulatory Class</w:t>
            </w:r>
          </w:p>
        </w:tc>
        <w:tc>
          <w:tcPr>
            <w:tcW w:w="809" w:type="pct"/>
            <w:tcBorders>
              <w:top w:val="single" w:sz="4" w:space="0" w:color="auto"/>
              <w:bottom w:val="single" w:sz="4" w:space="0" w:color="auto"/>
            </w:tcBorders>
          </w:tcPr>
          <w:p w:rsidR="006013C1" w:rsidRPr="009448FC" w:rsidRDefault="006013C1" w:rsidP="00DE2AB2">
            <w:pPr>
              <w:pStyle w:val="BodyText"/>
              <w:rPr>
                <w:rFonts w:ascii="Times New Roman" w:hAnsi="Times New Roman"/>
                <w:sz w:val="22"/>
              </w:rPr>
            </w:pPr>
            <w:r w:rsidRPr="009448FC">
              <w:rPr>
                <w:rFonts w:ascii="Times New Roman" w:hAnsi="Times New Roman"/>
                <w:sz w:val="22"/>
              </w:rPr>
              <w:t>Channel</w:t>
            </w:r>
            <w:r w:rsidR="00DE2AB2">
              <w:rPr>
                <w:rFonts w:ascii="Times New Roman" w:hAnsi="Times New Roman"/>
                <w:sz w:val="22"/>
              </w:rPr>
              <w:t xml:space="preserve"> </w:t>
            </w:r>
            <w:r w:rsidRPr="009448FC">
              <w:rPr>
                <w:rFonts w:ascii="Times New Roman" w:hAnsi="Times New Roman"/>
                <w:sz w:val="22"/>
              </w:rPr>
              <w:t>Number</w:t>
            </w:r>
          </w:p>
        </w:tc>
        <w:tc>
          <w:tcPr>
            <w:tcW w:w="984"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 xml:space="preserve">AID </w:t>
            </w:r>
          </w:p>
        </w:tc>
        <w:tc>
          <w:tcPr>
            <w:tcW w:w="495"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Reserved</w:t>
            </w:r>
          </w:p>
        </w:tc>
        <w:tc>
          <w:tcPr>
            <w:tcW w:w="994"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Measurement Method</w:t>
            </w:r>
          </w:p>
        </w:tc>
        <w:tc>
          <w:tcPr>
            <w:tcW w:w="874" w:type="pct"/>
            <w:tcBorders>
              <w:top w:val="single" w:sz="4" w:space="0" w:color="auto"/>
              <w:bottom w:val="single" w:sz="4" w:space="0" w:color="auto"/>
            </w:tcBorders>
          </w:tcPr>
          <w:p w:rsidR="006013C1" w:rsidRPr="009448FC" w:rsidRDefault="006013C1" w:rsidP="00D0037C">
            <w:pPr>
              <w:pStyle w:val="BodyText"/>
              <w:jc w:val="left"/>
              <w:rPr>
                <w:rFonts w:ascii="Times New Roman" w:hAnsi="Times New Roman"/>
                <w:sz w:val="22"/>
              </w:rPr>
            </w:pPr>
            <w:r w:rsidRPr="009448FC">
              <w:rPr>
                <w:rFonts w:ascii="Times New Roman" w:hAnsi="Times New Roman"/>
                <w:sz w:val="22"/>
              </w:rPr>
              <w:t>Measurement Start Time</w:t>
            </w:r>
          </w:p>
        </w:tc>
      </w:tr>
      <w:tr w:rsidR="006013C1" w:rsidRPr="00066F65" w:rsidTr="00DE2AB2">
        <w:trPr>
          <w:trHeight w:val="413"/>
          <w:jc w:val="center"/>
        </w:trPr>
        <w:tc>
          <w:tcPr>
            <w:tcW w:w="844" w:type="pct"/>
            <w:tcBorders>
              <w:top w:val="single" w:sz="4" w:space="0" w:color="auto"/>
              <w:left w:val="nil"/>
              <w:bottom w:val="single" w:sz="4" w:space="0" w:color="auto"/>
              <w:right w:val="nil"/>
            </w:tcBorders>
          </w:tcPr>
          <w:p w:rsidR="006013C1" w:rsidRPr="009448FC" w:rsidRDefault="006013C1" w:rsidP="00D0037C">
            <w:pPr>
              <w:pStyle w:val="BodyText"/>
              <w:jc w:val="left"/>
              <w:rPr>
                <w:rFonts w:ascii="Times New Roman" w:hAnsi="Times New Roman"/>
                <w:sz w:val="22"/>
              </w:rPr>
            </w:pPr>
            <w:r w:rsidRPr="009448FC">
              <w:rPr>
                <w:rFonts w:ascii="Times New Roman" w:hAnsi="Times New Roman"/>
                <w:sz w:val="22"/>
              </w:rPr>
              <w:t>Octets</w:t>
            </w:r>
            <w:r>
              <w:rPr>
                <w:rFonts w:ascii="Times New Roman" w:hAnsi="Times New Roman"/>
                <w:sz w:val="22"/>
              </w:rPr>
              <w:t>:</w:t>
            </w:r>
            <w:r w:rsidRPr="009448FC">
              <w:rPr>
                <w:rFonts w:ascii="Times New Roman" w:hAnsi="Times New Roman"/>
                <w:sz w:val="22"/>
              </w:rPr>
              <w:t xml:space="preserve"> 1</w:t>
            </w:r>
          </w:p>
        </w:tc>
        <w:tc>
          <w:tcPr>
            <w:tcW w:w="809"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984"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495"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994"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874"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8</w:t>
            </w:r>
          </w:p>
        </w:tc>
      </w:tr>
      <w:tr w:rsidR="006013C1" w:rsidRPr="00066F65" w:rsidTr="00DE2AB2">
        <w:trPr>
          <w:trHeight w:val="413"/>
          <w:jc w:val="center"/>
        </w:trPr>
        <w:tc>
          <w:tcPr>
            <w:tcW w:w="84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Pr>
                <w:rFonts w:ascii="Times New Roman" w:hAnsi="Times New Roman"/>
                <w:sz w:val="22"/>
              </w:rPr>
              <w:t>Measu</w:t>
            </w:r>
            <w:r w:rsidRPr="009448FC">
              <w:rPr>
                <w:rFonts w:ascii="Times New Roman" w:hAnsi="Times New Roman"/>
                <w:sz w:val="22"/>
              </w:rPr>
              <w:t>rement Duration</w:t>
            </w:r>
          </w:p>
        </w:tc>
        <w:tc>
          <w:tcPr>
            <w:tcW w:w="809" w:type="pct"/>
            <w:tcBorders>
              <w:top w:val="single" w:sz="4" w:space="0" w:color="auto"/>
              <w:left w:val="single" w:sz="4" w:space="0" w:color="auto"/>
              <w:bottom w:val="single" w:sz="4" w:space="0" w:color="auto"/>
              <w:right w:val="single" w:sz="4" w:space="0" w:color="auto"/>
            </w:tcBorders>
          </w:tcPr>
          <w:p w:rsidR="006013C1" w:rsidRPr="009448FC" w:rsidRDefault="006013C1" w:rsidP="006013C1">
            <w:pPr>
              <w:pStyle w:val="BodyText"/>
              <w:jc w:val="left"/>
              <w:rPr>
                <w:rFonts w:ascii="Times New Roman" w:hAnsi="Times New Roman"/>
                <w:sz w:val="22"/>
              </w:rPr>
            </w:pPr>
            <w:r w:rsidRPr="009448FC">
              <w:rPr>
                <w:rFonts w:ascii="Times New Roman" w:hAnsi="Times New Roman"/>
                <w:sz w:val="22"/>
              </w:rPr>
              <w:t>Number of</w:t>
            </w:r>
            <w:r>
              <w:rPr>
                <w:rFonts w:ascii="Times New Roman" w:hAnsi="Times New Roman"/>
                <w:sz w:val="22"/>
              </w:rPr>
              <w:t xml:space="preserve"> </w:t>
            </w:r>
            <w:r w:rsidRPr="009448FC">
              <w:rPr>
                <w:rFonts w:ascii="Times New Roman" w:hAnsi="Times New Roman"/>
                <w:sz w:val="22"/>
              </w:rPr>
              <w:t>Time Blocks</w:t>
            </w:r>
            <w:r>
              <w:rPr>
                <w:rFonts w:ascii="Times New Roman" w:hAnsi="Times New Roman"/>
                <w:sz w:val="22"/>
              </w:rPr>
              <w:t xml:space="preserve"> </w:t>
            </w:r>
            <w:r w:rsidRPr="009448FC">
              <w:rPr>
                <w:rFonts w:ascii="Times New Roman" w:hAnsi="Times New Roman"/>
                <w:sz w:val="22"/>
              </w:rPr>
              <w:t>(N)</w:t>
            </w:r>
          </w:p>
        </w:tc>
        <w:tc>
          <w:tcPr>
            <w:tcW w:w="98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Pr>
                <w:rFonts w:ascii="Times New Roman" w:hAnsi="Times New Roman"/>
                <w:sz w:val="22"/>
              </w:rPr>
              <w:t>Measu</w:t>
            </w:r>
            <w:r w:rsidRPr="009448FC">
              <w:rPr>
                <w:rFonts w:ascii="Times New Roman" w:hAnsi="Times New Roman"/>
                <w:sz w:val="22"/>
              </w:rPr>
              <w:t>rement for Time block 1</w:t>
            </w:r>
          </w:p>
        </w:tc>
        <w:tc>
          <w:tcPr>
            <w:tcW w:w="495"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sidRPr="009448FC">
              <w:rPr>
                <w:rFonts w:ascii="Times New Roman" w:hAnsi="Times New Roman"/>
                <w:sz w:val="22"/>
              </w:rPr>
              <w:t>…</w:t>
            </w:r>
          </w:p>
        </w:tc>
        <w:tc>
          <w:tcPr>
            <w:tcW w:w="99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jc w:val="left"/>
              <w:rPr>
                <w:rFonts w:ascii="Times New Roman" w:hAnsi="Times New Roman"/>
                <w:sz w:val="22"/>
              </w:rPr>
            </w:pPr>
            <w:r w:rsidRPr="009448FC">
              <w:rPr>
                <w:rFonts w:ascii="Times New Roman" w:hAnsi="Times New Roman"/>
                <w:sz w:val="22"/>
              </w:rPr>
              <w:t>Measurement for Time block N</w:t>
            </w:r>
          </w:p>
        </w:tc>
        <w:tc>
          <w:tcPr>
            <w:tcW w:w="87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sidRPr="009448FC">
              <w:rPr>
                <w:rFonts w:ascii="Times New Roman" w:hAnsi="Times New Roman"/>
                <w:sz w:val="22"/>
              </w:rPr>
              <w:t>Optional subelements</w:t>
            </w:r>
          </w:p>
        </w:tc>
      </w:tr>
      <w:tr w:rsidR="006013C1" w:rsidRPr="00066F65" w:rsidTr="00DE2AB2">
        <w:trPr>
          <w:trHeight w:val="413"/>
          <w:jc w:val="center"/>
        </w:trPr>
        <w:tc>
          <w:tcPr>
            <w:tcW w:w="84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Pr>
                <w:rFonts w:ascii="Times New Roman" w:hAnsi="Times New Roman"/>
                <w:sz w:val="22"/>
              </w:rPr>
              <w:t xml:space="preserve">Octets: </w:t>
            </w:r>
            <w:r w:rsidRPr="009448FC">
              <w:rPr>
                <w:rFonts w:ascii="Times New Roman" w:hAnsi="Times New Roman"/>
                <w:sz w:val="22"/>
              </w:rPr>
              <w:t>2</w:t>
            </w:r>
          </w:p>
        </w:tc>
        <w:tc>
          <w:tcPr>
            <w:tcW w:w="809"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1</w:t>
            </w:r>
          </w:p>
        </w:tc>
        <w:tc>
          <w:tcPr>
            <w:tcW w:w="98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1</w:t>
            </w:r>
          </w:p>
        </w:tc>
        <w:tc>
          <w:tcPr>
            <w:tcW w:w="495"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p>
        </w:tc>
        <w:tc>
          <w:tcPr>
            <w:tcW w:w="99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1</w:t>
            </w:r>
          </w:p>
        </w:tc>
        <w:tc>
          <w:tcPr>
            <w:tcW w:w="87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Variable</w:t>
            </w:r>
          </w:p>
        </w:tc>
      </w:tr>
    </w:tbl>
    <w:p w:rsidR="008C36FC" w:rsidRPr="009448FC" w:rsidRDefault="008C36FC" w:rsidP="00BA5BC4">
      <w:pPr>
        <w:pStyle w:val="Caption"/>
        <w:rPr>
          <w:rFonts w:ascii="Times New Roman" w:hAnsi="Times New Roman"/>
        </w:rPr>
      </w:pPr>
      <w:bookmarkStart w:id="472" w:name="_Ref207520962"/>
      <w:bookmarkStart w:id="473" w:name="_Toc259717455"/>
      <w:r w:rsidRPr="009448FC">
        <w:rPr>
          <w:rFonts w:ascii="Times New Roman" w:hAnsi="Times New Roman"/>
        </w:rPr>
        <w:t xml:space="preserve">Figure </w:t>
      </w:r>
      <w:r w:rsidR="00BD151C" w:rsidRPr="009448FC">
        <w:rPr>
          <w:rFonts w:ascii="Times New Roman" w:hAnsi="Times New Roman"/>
        </w:rPr>
        <w:fldChar w:fldCharType="begin"/>
      </w:r>
      <w:r w:rsidRPr="009448FC">
        <w:rPr>
          <w:rFonts w:ascii="Times New Roman" w:hAnsi="Times New Roman"/>
        </w:rPr>
        <w:instrText xml:space="preserve"> SEQ Figure \* ARABIC </w:instrText>
      </w:r>
      <w:r w:rsidR="00BD151C" w:rsidRPr="009448FC">
        <w:rPr>
          <w:rFonts w:ascii="Times New Roman" w:hAnsi="Times New Roman"/>
        </w:rPr>
        <w:fldChar w:fldCharType="separate"/>
      </w:r>
      <w:r w:rsidR="003E4210">
        <w:rPr>
          <w:rFonts w:ascii="Times New Roman" w:hAnsi="Times New Roman"/>
          <w:noProof/>
        </w:rPr>
        <w:t>23</w:t>
      </w:r>
      <w:r w:rsidR="00BD151C" w:rsidRPr="009448FC">
        <w:rPr>
          <w:rFonts w:ascii="Times New Roman" w:hAnsi="Times New Roman"/>
        </w:rPr>
        <w:fldChar w:fldCharType="end"/>
      </w:r>
      <w:bookmarkEnd w:id="472"/>
      <w:r w:rsidRPr="009448FC">
        <w:rPr>
          <w:rFonts w:ascii="Times New Roman" w:hAnsi="Times New Roman"/>
        </w:rPr>
        <w:t xml:space="preserve"> – Measurement report field format for Directional Channel Quality Report</w:t>
      </w:r>
      <w:bookmarkEnd w:id="473"/>
    </w:p>
    <w:p w:rsidR="008C36FC" w:rsidRPr="009448FC" w:rsidRDefault="0053357F" w:rsidP="005134E3">
      <w:pPr>
        <w:pStyle w:val="BodyText"/>
        <w:rPr>
          <w:rFonts w:ascii="Times New Roman" w:hAnsi="Times New Roman"/>
        </w:rPr>
      </w:pPr>
      <w:r>
        <w:rPr>
          <w:rFonts w:ascii="Times New Roman" w:hAnsi="Times New Roman"/>
        </w:rPr>
        <w:t xml:space="preserve"> </w:t>
      </w:r>
    </w:p>
    <w:p w:rsidR="008C36FC" w:rsidRPr="009448FC" w:rsidRDefault="008C36FC" w:rsidP="00861E37">
      <w:pPr>
        <w:pStyle w:val="BodyText"/>
        <w:jc w:val="left"/>
        <w:rPr>
          <w:rFonts w:ascii="Times New Roman" w:hAnsi="Times New Roman"/>
        </w:rPr>
      </w:pPr>
      <w:r w:rsidRPr="009448FC">
        <w:rPr>
          <w:rFonts w:ascii="Times New Roman" w:hAnsi="Times New Roman"/>
        </w:rPr>
        <w:t>Regulatory Class indicates the channel set for which the measurement report applies. Country, Regulatory Class, and Channel Number together specify the channel frequency and spacing for which the measurement report applies. Valid values of Regulatory Class are shown in Annex J.</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Channel Number indicates the channel number for which the measurement report applies. Channel Number is defined within a Regulatory Class as shown in Annex J.</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outlineLvl w:val="0"/>
        <w:rPr>
          <w:rFonts w:ascii="Times New Roman" w:hAnsi="Times New Roman"/>
        </w:rPr>
      </w:pPr>
      <w:r w:rsidRPr="009448FC">
        <w:rPr>
          <w:rFonts w:ascii="Times New Roman" w:hAnsi="Times New Roman"/>
        </w:rPr>
        <w:t>The AID</w:t>
      </w:r>
      <w:r w:rsidR="00EE1100" w:rsidRPr="009448FC">
        <w:rPr>
          <w:rFonts w:ascii="Times New Roman" w:hAnsi="Times New Roman"/>
        </w:rPr>
        <w:t xml:space="preserve"> </w:t>
      </w:r>
      <w:r w:rsidRPr="009448FC">
        <w:rPr>
          <w:rFonts w:ascii="Times New Roman" w:hAnsi="Times New Roman"/>
        </w:rPr>
        <w:t>indicates the Target STA.</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 xml:space="preserve">The Measurement Method indicates the method used by the STA to carry out this measurement request and the format of the Measurement for Time Block field(s). If this field is set to zero (0) it indicates that the Measurement for Time Block fields are expressed in ANIPI. If this field is set to one (1), it indicates that the Measurement for Time Block fields are expressed in RSNI. Other values are reserved. </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Measurement Start Time is set to the value of the measuring STA’s TSF timer at the time the measurement started.</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The Measurement Duration field is set to the duration of the measurement, expressed in units of TUs.</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The Number of Time Blocks indicates the number of time blocks within the Measurement Duration. The ratio (Measurement Duration / Number of Time Blocks) provides the duration of an individual measurement unit.</w:t>
      </w:r>
    </w:p>
    <w:p w:rsidR="008C36FC" w:rsidRPr="009448FC" w:rsidRDefault="008C36FC" w:rsidP="00861E37">
      <w:pPr>
        <w:pStyle w:val="BodyText"/>
        <w:jc w:val="left"/>
        <w:rPr>
          <w:rFonts w:ascii="Times New Roman" w:hAnsi="Times New Roman"/>
        </w:rPr>
      </w:pPr>
    </w:p>
    <w:p w:rsidR="008C36FC" w:rsidRPr="009448FC" w:rsidRDefault="008C36FC" w:rsidP="00120A30">
      <w:pPr>
        <w:pStyle w:val="BodyText"/>
        <w:jc w:val="left"/>
        <w:rPr>
          <w:rFonts w:ascii="Times New Roman" w:hAnsi="Times New Roman"/>
        </w:rPr>
      </w:pPr>
      <w:r w:rsidRPr="009448FC">
        <w:rPr>
          <w:rFonts w:ascii="Times New Roman" w:hAnsi="Times New Roman"/>
        </w:rPr>
        <w:t>The Measurement for Time Block fields are set to the ANIPI or average RSNI value measured during each (Measurement Duration / Number of Time Blocks) measurement units. The measurement units are set in the report in increasing order of start times.</w:t>
      </w:r>
    </w:p>
    <w:p w:rsidR="008C36FC" w:rsidRPr="009448FC" w:rsidRDefault="008C36FC" w:rsidP="005134E3">
      <w:pPr>
        <w:pStyle w:val="BodyText"/>
        <w:rPr>
          <w:rFonts w:ascii="Times New Roman" w:hAnsi="Times New Roman"/>
        </w:rPr>
      </w:pPr>
    </w:p>
    <w:p w:rsidR="008C36FC" w:rsidRPr="009448FC" w:rsidRDefault="008C36FC" w:rsidP="005134E3">
      <w:pPr>
        <w:pStyle w:val="BodyText"/>
        <w:rPr>
          <w:rFonts w:ascii="Times New Roman" w:hAnsi="Times New Roman"/>
        </w:rPr>
      </w:pPr>
      <w:r w:rsidRPr="009448FC">
        <w:rPr>
          <w:rFonts w:ascii="Times New Roman" w:hAnsi="Times New Roman"/>
        </w:rPr>
        <w:lastRenderedPageBreak/>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8C36FC" w:rsidRPr="009448FC" w:rsidRDefault="008C36FC" w:rsidP="005134E3">
      <w:pPr>
        <w:pStyle w:val="BodyText"/>
        <w:rPr>
          <w:rFonts w:ascii="Times New Roman" w:hAnsi="Times New Roman"/>
        </w:rPr>
      </w:pPr>
    </w:p>
    <w:p w:rsidR="008C36FC" w:rsidRPr="009448FC" w:rsidRDefault="008C36FC" w:rsidP="00FF0730">
      <w:pPr>
        <w:pStyle w:val="BodyText"/>
        <w:jc w:val="left"/>
        <w:rPr>
          <w:rFonts w:ascii="Times New Roman" w:hAnsi="Times New Roman"/>
        </w:rPr>
      </w:pPr>
      <w:r w:rsidRPr="009448FC">
        <w:rPr>
          <w:rFonts w:ascii="Times New Roman" w:hAnsi="Times New Roman"/>
        </w:rPr>
        <w:t xml:space="preserve">The Subelement ID field values for the defined optional subelements are shown in </w:t>
      </w:r>
      <w:fldSimple w:instr=" REF _Ref236557730 \h  \* MERGEFORMAT ">
        <w:r w:rsidR="003E4210" w:rsidRPr="003E4210">
          <w:rPr>
            <w:rFonts w:ascii="Times New Roman" w:eastAsia="Times New Roman" w:hAnsi="Times New Roman"/>
            <w:szCs w:val="24"/>
            <w:lang w:bidi="he-IL"/>
          </w:rPr>
          <w:t>Table 7</w:t>
        </w:r>
      </w:fldSimple>
      <w:r w:rsidRPr="009448FC">
        <w:rPr>
          <w:rFonts w:ascii="Times New Roman" w:hAnsi="Times New Roman"/>
        </w:rPr>
        <w:t xml:space="preserve">. A Yes in the Extensible column of a subelement listed in </w:t>
      </w:r>
      <w:fldSimple w:instr=" REF _Ref236557730 \h  \* MERGEFORMAT ">
        <w:r w:rsidR="003E4210" w:rsidRPr="003E4210">
          <w:rPr>
            <w:rFonts w:ascii="Times New Roman" w:eastAsia="Times New Roman" w:hAnsi="Times New Roman"/>
            <w:szCs w:val="24"/>
            <w:lang w:bidi="he-IL"/>
          </w:rPr>
          <w:t>Table 7</w:t>
        </w:r>
      </w:fldSimple>
      <w:r w:rsidRPr="009448FC">
        <w:rPr>
          <w:rFonts w:ascii="Times New Roman" w:hAnsi="Times New Roman"/>
        </w:rPr>
        <w:t xml:space="preserve"> indicates that the Length of the subelement might be extended in future revisions or amendments of this </w:t>
      </w:r>
      <w:r w:rsidR="00281486" w:rsidRPr="009448FC">
        <w:rPr>
          <w:rFonts w:ascii="Times New Roman" w:hAnsi="Times New Roman"/>
        </w:rPr>
        <w:t>specification</w:t>
      </w:r>
      <w:r w:rsidRPr="009448FC">
        <w:rPr>
          <w:rFonts w:ascii="Times New Roman" w:hAnsi="Times New Roman"/>
        </w:rPr>
        <w:t xml:space="preserve">. When the Extensible column of an element is set to Subelements, then the subelement might be extended in future revisions or amendments of this </w:t>
      </w:r>
      <w:r w:rsidR="00FF0730" w:rsidRPr="009448FC">
        <w:rPr>
          <w:rFonts w:ascii="Times New Roman" w:hAnsi="Times New Roman"/>
        </w:rPr>
        <w:t xml:space="preserve">specification </w:t>
      </w:r>
      <w:r w:rsidRPr="009448FC">
        <w:rPr>
          <w:rFonts w:ascii="Times New Roman" w:hAnsi="Times New Roman"/>
        </w:rPr>
        <w:t>by defining additional subelements within the subelement. See 9.14.2.</w:t>
      </w:r>
    </w:p>
    <w:p w:rsidR="008C36FC" w:rsidRPr="009448FC" w:rsidRDefault="008C36FC" w:rsidP="005134E3">
      <w:pPr>
        <w:pStyle w:val="BodyText"/>
        <w:rPr>
          <w:rFonts w:ascii="Times New Roman" w:hAnsi="Times New Roman"/>
        </w:rPr>
      </w:pPr>
    </w:p>
    <w:p w:rsidR="008C36FC" w:rsidRPr="009448FC" w:rsidRDefault="0032035E" w:rsidP="00BA5BC4">
      <w:pPr>
        <w:pStyle w:val="Caption"/>
        <w:rPr>
          <w:rFonts w:ascii="Times New Roman" w:hAnsi="Times New Roman"/>
        </w:rPr>
      </w:pPr>
      <w:bookmarkStart w:id="474" w:name="_Ref236557730"/>
      <w:bookmarkStart w:id="475" w:name="_Toc225065772"/>
      <w:bookmarkStart w:id="476" w:name="_Toc250654411"/>
      <w:bookmarkStart w:id="477" w:name="_Toc259717585"/>
      <w:r w:rsidRPr="00066F65">
        <w:t xml:space="preserve">Table </w:t>
      </w:r>
      <w:r w:rsidR="00BD151C">
        <w:fldChar w:fldCharType="begin"/>
      </w:r>
      <w:r w:rsidR="00801316">
        <w:instrText xml:space="preserve"> SEQ Table \* ARABIC </w:instrText>
      </w:r>
      <w:r w:rsidR="00BD151C">
        <w:fldChar w:fldCharType="separate"/>
      </w:r>
      <w:r w:rsidR="003E4210">
        <w:rPr>
          <w:noProof/>
        </w:rPr>
        <w:t>7</w:t>
      </w:r>
      <w:r w:rsidR="00BD151C">
        <w:fldChar w:fldCharType="end"/>
      </w:r>
      <w:bookmarkEnd w:id="474"/>
      <w:r w:rsidR="008C36FC" w:rsidRPr="009448FC">
        <w:rPr>
          <w:rFonts w:ascii="Times New Roman" w:hAnsi="Times New Roman"/>
        </w:rPr>
        <w:t xml:space="preserve"> – Optional Subelement IDs for Directional Channel Quality Report</w:t>
      </w:r>
      <w:bookmarkEnd w:id="475"/>
      <w:bookmarkEnd w:id="476"/>
      <w:bookmarkEnd w:id="4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9"/>
        <w:gridCol w:w="1522"/>
        <w:gridCol w:w="1927"/>
        <w:gridCol w:w="1105"/>
      </w:tblGrid>
      <w:tr w:rsidR="008C36FC" w:rsidRPr="00066F65" w:rsidTr="00D0037C">
        <w:trPr>
          <w:jc w:val="center"/>
        </w:trPr>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Subelement ID</w:t>
            </w:r>
          </w:p>
        </w:tc>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Name</w:t>
            </w:r>
          </w:p>
        </w:tc>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Length field (octets)</w:t>
            </w:r>
          </w:p>
        </w:tc>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Extensible</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0-220</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Reserved</w:t>
            </w:r>
          </w:p>
        </w:tc>
        <w:tc>
          <w:tcPr>
            <w:tcW w:w="0" w:type="auto"/>
          </w:tcPr>
          <w:p w:rsidR="008C36FC" w:rsidRPr="009448FC" w:rsidRDefault="008C36FC" w:rsidP="00781C94">
            <w:pPr>
              <w:pStyle w:val="BodyText"/>
              <w:rPr>
                <w:rFonts w:ascii="Times New Roman" w:hAnsi="Times New Roman"/>
                <w:sz w:val="20"/>
              </w:rPr>
            </w:pPr>
          </w:p>
        </w:tc>
        <w:tc>
          <w:tcPr>
            <w:tcW w:w="0" w:type="auto"/>
          </w:tcPr>
          <w:p w:rsidR="008C36FC" w:rsidRPr="009448FC" w:rsidRDefault="008C36FC" w:rsidP="00781C94">
            <w:pPr>
              <w:pStyle w:val="BodyText"/>
              <w:rPr>
                <w:rFonts w:ascii="Times New Roman" w:hAnsi="Times New Roman"/>
                <w:sz w:val="20"/>
              </w:rPr>
            </w:pP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221</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Vendor Specific</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1 to 255</w:t>
            </w:r>
          </w:p>
        </w:tc>
        <w:tc>
          <w:tcPr>
            <w:tcW w:w="0" w:type="auto"/>
          </w:tcPr>
          <w:p w:rsidR="008C36FC" w:rsidRPr="009448FC" w:rsidRDefault="008C36FC" w:rsidP="00781C94">
            <w:pPr>
              <w:pStyle w:val="BodyText"/>
              <w:rPr>
                <w:rFonts w:ascii="Times New Roman" w:hAnsi="Times New Roman"/>
                <w:sz w:val="20"/>
              </w:rPr>
            </w:pP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222-255</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Reserved</w:t>
            </w:r>
          </w:p>
        </w:tc>
        <w:tc>
          <w:tcPr>
            <w:tcW w:w="0" w:type="auto"/>
          </w:tcPr>
          <w:p w:rsidR="008C36FC" w:rsidRPr="009448FC" w:rsidRDefault="008C36FC" w:rsidP="00781C94">
            <w:pPr>
              <w:pStyle w:val="BodyText"/>
              <w:rPr>
                <w:rFonts w:ascii="Times New Roman" w:hAnsi="Times New Roman"/>
                <w:sz w:val="20"/>
              </w:rPr>
            </w:pPr>
          </w:p>
        </w:tc>
        <w:tc>
          <w:tcPr>
            <w:tcW w:w="0" w:type="auto"/>
          </w:tcPr>
          <w:p w:rsidR="008C36FC" w:rsidRPr="009448FC" w:rsidRDefault="008C36FC" w:rsidP="00781C94">
            <w:pPr>
              <w:pStyle w:val="BodyText"/>
              <w:rPr>
                <w:rFonts w:ascii="Times New Roman" w:hAnsi="Times New Roman"/>
                <w:sz w:val="20"/>
              </w:rPr>
            </w:pPr>
          </w:p>
        </w:tc>
      </w:tr>
    </w:tbl>
    <w:p w:rsidR="008C36FC" w:rsidRPr="009448FC" w:rsidRDefault="008C36FC" w:rsidP="005134E3">
      <w:pPr>
        <w:pStyle w:val="BodyText"/>
        <w:rPr>
          <w:rFonts w:ascii="Times New Roman" w:hAnsi="Times New Roman"/>
        </w:rPr>
      </w:pPr>
    </w:p>
    <w:p w:rsidR="00610EFF" w:rsidRPr="009448FC" w:rsidRDefault="008C36FC" w:rsidP="00610EFF">
      <w:pPr>
        <w:pStyle w:val="BodyText"/>
        <w:rPr>
          <w:rFonts w:ascii="Times New Roman" w:hAnsi="Times New Roman"/>
        </w:rPr>
      </w:pPr>
      <w:r w:rsidRPr="009448FC">
        <w:rPr>
          <w:rFonts w:ascii="Times New Roman" w:hAnsi="Times New Roman"/>
        </w:rPr>
        <w:t>The Vendor Specific subelements have the same format as their corresponding elements (see 7.3.2.26). Multiple Vendor Specific subelements can be included in the list of Optional Subelements.</w:t>
      </w:r>
    </w:p>
    <w:p w:rsidR="000F57D1" w:rsidRPr="009448FC" w:rsidRDefault="000F57D1" w:rsidP="000F57D1">
      <w:pPr>
        <w:rPr>
          <w:b/>
          <w:i/>
        </w:rPr>
      </w:pPr>
    </w:p>
    <w:p w:rsidR="000F57D1" w:rsidRPr="009448FC" w:rsidRDefault="000F57D1" w:rsidP="003701DB">
      <w:pPr>
        <w:pStyle w:val="Heading5"/>
        <w:numPr>
          <w:ilvl w:val="4"/>
          <w:numId w:val="24"/>
        </w:numPr>
      </w:pPr>
      <w:bookmarkStart w:id="478" w:name="_Toc235400255"/>
      <w:bookmarkStart w:id="479" w:name="_Toc259716916"/>
      <w:r w:rsidRPr="009448FC">
        <w:t>Directional Measurement report</w:t>
      </w:r>
      <w:bookmarkEnd w:id="478"/>
      <w:bookmarkEnd w:id="479"/>
    </w:p>
    <w:p w:rsidR="000F57D1" w:rsidRPr="009448FC" w:rsidRDefault="000F57D1" w:rsidP="009448FC">
      <w:pPr>
        <w:pStyle w:val="Caption"/>
        <w:jc w:val="left"/>
        <w:rPr>
          <w:rFonts w:ascii="Times New Roman" w:hAnsi="Times New Roman"/>
          <w:b w:val="0"/>
        </w:rPr>
      </w:pPr>
      <w:r w:rsidRPr="009448FC">
        <w:rPr>
          <w:rFonts w:ascii="Times New Roman" w:hAnsi="Times New Roman"/>
          <w:b w:val="0"/>
        </w:rPr>
        <w:t xml:space="preserve">The format of the Measurement Report field of a Directional Measurement report is shown in </w:t>
      </w:r>
      <w:fldSimple w:instr=" REF _Ref232760079 \h  \* MERGEFORMAT ">
        <w:r w:rsidR="003E4210" w:rsidRPr="003E4210">
          <w:rPr>
            <w:rFonts w:ascii="Times New Roman" w:eastAsia="Times New Roman" w:hAnsi="Times New Roman"/>
            <w:b w:val="0"/>
            <w:szCs w:val="24"/>
            <w:lang w:bidi="he-IL"/>
          </w:rPr>
          <w:t>Figure 24</w:t>
        </w:r>
      </w:fldSimple>
      <w:r w:rsidRPr="009448FC">
        <w:rPr>
          <w:rFonts w:ascii="Times New Roman" w:hAnsi="Times New Roman"/>
          <w:b w:val="0"/>
        </w:rPr>
        <w:t>.</w:t>
      </w:r>
      <w:r w:rsidRPr="009448FC">
        <w:rPr>
          <w:rFonts w:ascii="Times New Roman" w:hAnsi="Times New Roman"/>
          <w:b w:val="0"/>
          <w:u w:val="single"/>
        </w:rPr>
        <w:t xml:space="preserve"> </w:t>
      </w:r>
    </w:p>
    <w:tbl>
      <w:tblPr>
        <w:tblW w:w="1018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260"/>
        <w:gridCol w:w="1080"/>
        <w:gridCol w:w="1440"/>
        <w:gridCol w:w="1440"/>
        <w:gridCol w:w="1440"/>
        <w:gridCol w:w="1442"/>
        <w:gridCol w:w="1258"/>
      </w:tblGrid>
      <w:tr w:rsidR="00D0037C" w:rsidRPr="00066F65" w:rsidTr="00D0037C">
        <w:trPr>
          <w:jc w:val="center"/>
        </w:trPr>
        <w:tc>
          <w:tcPr>
            <w:tcW w:w="828" w:type="dxa"/>
          </w:tcPr>
          <w:p w:rsidR="00B4545C" w:rsidRPr="009448FC" w:rsidRDefault="00B4545C" w:rsidP="00FA0C19">
            <w:pPr>
              <w:rPr>
                <w:rFonts w:eastAsia="SimSun"/>
                <w:sz w:val="20"/>
              </w:rPr>
            </w:pPr>
          </w:p>
        </w:tc>
        <w:tc>
          <w:tcPr>
            <w:tcW w:w="1260" w:type="dxa"/>
          </w:tcPr>
          <w:p w:rsidR="00B4545C" w:rsidRPr="009448FC" w:rsidRDefault="00B4545C" w:rsidP="00FA0C19">
            <w:pPr>
              <w:rPr>
                <w:rFonts w:eastAsia="SimSun"/>
                <w:sz w:val="20"/>
              </w:rPr>
            </w:pPr>
            <w:r w:rsidRPr="009448FC">
              <w:rPr>
                <w:rFonts w:eastAsia="SimSun"/>
                <w:sz w:val="20"/>
              </w:rPr>
              <w:t>Regulatory Class</w:t>
            </w:r>
          </w:p>
        </w:tc>
        <w:tc>
          <w:tcPr>
            <w:tcW w:w="1080" w:type="dxa"/>
          </w:tcPr>
          <w:p w:rsidR="00B4545C" w:rsidRPr="009448FC" w:rsidRDefault="00B4545C" w:rsidP="00FA0C19">
            <w:pPr>
              <w:rPr>
                <w:rFonts w:eastAsia="SimSun"/>
                <w:sz w:val="20"/>
              </w:rPr>
            </w:pPr>
            <w:r w:rsidRPr="009448FC">
              <w:rPr>
                <w:rFonts w:eastAsia="SimSun"/>
                <w:sz w:val="20"/>
              </w:rPr>
              <w:t>Channel Number</w:t>
            </w:r>
          </w:p>
        </w:tc>
        <w:tc>
          <w:tcPr>
            <w:tcW w:w="1440" w:type="dxa"/>
          </w:tcPr>
          <w:p w:rsidR="00B4545C" w:rsidRPr="009448FC" w:rsidRDefault="00B4545C" w:rsidP="00FA0C19">
            <w:pPr>
              <w:rPr>
                <w:rFonts w:eastAsia="SimSun"/>
                <w:sz w:val="20"/>
              </w:rPr>
            </w:pPr>
            <w:r w:rsidRPr="009448FC">
              <w:rPr>
                <w:rFonts w:eastAsia="SimSun"/>
                <w:sz w:val="20"/>
              </w:rPr>
              <w:t>Measurement Start Time</w:t>
            </w:r>
          </w:p>
        </w:tc>
        <w:tc>
          <w:tcPr>
            <w:tcW w:w="1440" w:type="dxa"/>
          </w:tcPr>
          <w:p w:rsidR="00B4545C" w:rsidRPr="009448FC" w:rsidRDefault="00B4545C" w:rsidP="00FA0C19">
            <w:pPr>
              <w:rPr>
                <w:rFonts w:eastAsia="SimSun"/>
                <w:sz w:val="20"/>
              </w:rPr>
            </w:pPr>
            <w:r w:rsidRPr="009448FC">
              <w:rPr>
                <w:rFonts w:eastAsia="SimSun"/>
                <w:sz w:val="20"/>
              </w:rPr>
              <w:t>Measurement Duration per Direction</w:t>
            </w:r>
          </w:p>
        </w:tc>
        <w:tc>
          <w:tcPr>
            <w:tcW w:w="1440" w:type="dxa"/>
          </w:tcPr>
          <w:p w:rsidR="00B4545C" w:rsidRPr="009448FC" w:rsidRDefault="00B4545C" w:rsidP="00FA0C19">
            <w:pPr>
              <w:rPr>
                <w:rFonts w:eastAsia="SimSun"/>
                <w:sz w:val="20"/>
              </w:rPr>
            </w:pPr>
            <w:r w:rsidRPr="009448FC">
              <w:rPr>
                <w:rFonts w:eastAsia="SimSun"/>
                <w:sz w:val="20"/>
              </w:rPr>
              <w:t>Measurement Method</w:t>
            </w:r>
          </w:p>
        </w:tc>
        <w:tc>
          <w:tcPr>
            <w:tcW w:w="1442" w:type="dxa"/>
          </w:tcPr>
          <w:p w:rsidR="00B4545C" w:rsidRPr="009448FC" w:rsidRDefault="00B4545C" w:rsidP="00FA0C19">
            <w:pPr>
              <w:rPr>
                <w:rFonts w:eastAsia="SimSun"/>
                <w:sz w:val="20"/>
              </w:rPr>
            </w:pPr>
            <w:r w:rsidRPr="009448FC">
              <w:rPr>
                <w:rFonts w:eastAsia="SimSun"/>
                <w:sz w:val="20"/>
              </w:rPr>
              <w:t>Measurement Results</w:t>
            </w:r>
          </w:p>
        </w:tc>
        <w:tc>
          <w:tcPr>
            <w:tcW w:w="1258" w:type="dxa"/>
          </w:tcPr>
          <w:p w:rsidR="00B4545C" w:rsidRPr="009448FC" w:rsidRDefault="00B4545C" w:rsidP="00FA0C19">
            <w:pPr>
              <w:rPr>
                <w:rFonts w:eastAsia="SimSun"/>
                <w:sz w:val="20"/>
              </w:rPr>
            </w:pPr>
            <w:r w:rsidRPr="009448FC">
              <w:rPr>
                <w:rFonts w:eastAsia="SimSun"/>
                <w:sz w:val="20"/>
              </w:rPr>
              <w:t>Optional Subelements</w:t>
            </w:r>
          </w:p>
        </w:tc>
      </w:tr>
      <w:tr w:rsidR="00D0037C" w:rsidRPr="00066F65" w:rsidTr="00D0037C">
        <w:trPr>
          <w:jc w:val="center"/>
        </w:trPr>
        <w:tc>
          <w:tcPr>
            <w:tcW w:w="828" w:type="dxa"/>
          </w:tcPr>
          <w:p w:rsidR="00B4545C" w:rsidRPr="009448FC" w:rsidRDefault="00B4545C" w:rsidP="00D0037C">
            <w:pPr>
              <w:jc w:val="center"/>
              <w:rPr>
                <w:rFonts w:eastAsia="SimSun"/>
                <w:sz w:val="20"/>
              </w:rPr>
            </w:pPr>
            <w:r w:rsidRPr="009448FC">
              <w:rPr>
                <w:rFonts w:eastAsia="SimSun"/>
                <w:sz w:val="20"/>
              </w:rPr>
              <w:t>Octets</w:t>
            </w:r>
          </w:p>
        </w:tc>
        <w:tc>
          <w:tcPr>
            <w:tcW w:w="1260" w:type="dxa"/>
          </w:tcPr>
          <w:p w:rsidR="00B4545C" w:rsidRPr="009448FC" w:rsidRDefault="00B4545C" w:rsidP="00D0037C">
            <w:pPr>
              <w:jc w:val="center"/>
              <w:rPr>
                <w:rFonts w:eastAsia="SimSun"/>
                <w:sz w:val="20"/>
              </w:rPr>
            </w:pPr>
            <w:r w:rsidRPr="009448FC">
              <w:rPr>
                <w:rFonts w:eastAsia="SimSun"/>
                <w:sz w:val="20"/>
              </w:rPr>
              <w:t>1</w:t>
            </w:r>
          </w:p>
        </w:tc>
        <w:tc>
          <w:tcPr>
            <w:tcW w:w="1080" w:type="dxa"/>
          </w:tcPr>
          <w:p w:rsidR="00B4545C" w:rsidRPr="009448FC" w:rsidRDefault="00B4545C" w:rsidP="00D0037C">
            <w:pPr>
              <w:jc w:val="center"/>
              <w:rPr>
                <w:rFonts w:eastAsia="SimSun"/>
                <w:sz w:val="20"/>
              </w:rPr>
            </w:pPr>
            <w:r w:rsidRPr="009448FC">
              <w:rPr>
                <w:rFonts w:eastAsia="SimSun"/>
                <w:sz w:val="20"/>
              </w:rPr>
              <w:t>1</w:t>
            </w:r>
          </w:p>
        </w:tc>
        <w:tc>
          <w:tcPr>
            <w:tcW w:w="1440" w:type="dxa"/>
          </w:tcPr>
          <w:p w:rsidR="00B4545C" w:rsidRPr="009448FC" w:rsidRDefault="00B4545C" w:rsidP="00D0037C">
            <w:pPr>
              <w:jc w:val="center"/>
              <w:rPr>
                <w:rFonts w:eastAsia="SimSun"/>
                <w:sz w:val="20"/>
              </w:rPr>
            </w:pPr>
            <w:r w:rsidRPr="009448FC">
              <w:rPr>
                <w:rFonts w:eastAsia="SimSun"/>
                <w:sz w:val="20"/>
              </w:rPr>
              <w:t>8</w:t>
            </w:r>
          </w:p>
        </w:tc>
        <w:tc>
          <w:tcPr>
            <w:tcW w:w="1440" w:type="dxa"/>
          </w:tcPr>
          <w:p w:rsidR="00B4545C" w:rsidRPr="009448FC" w:rsidRDefault="00B4545C" w:rsidP="00D0037C">
            <w:pPr>
              <w:jc w:val="center"/>
              <w:rPr>
                <w:rFonts w:eastAsia="SimSun"/>
                <w:sz w:val="20"/>
              </w:rPr>
            </w:pPr>
            <w:r w:rsidRPr="009448FC">
              <w:rPr>
                <w:rFonts w:eastAsia="SimSun"/>
                <w:sz w:val="20"/>
              </w:rPr>
              <w:t>2</w:t>
            </w:r>
          </w:p>
        </w:tc>
        <w:tc>
          <w:tcPr>
            <w:tcW w:w="1440" w:type="dxa"/>
          </w:tcPr>
          <w:p w:rsidR="00B4545C" w:rsidRPr="009448FC" w:rsidRDefault="00B4545C" w:rsidP="00D0037C">
            <w:pPr>
              <w:jc w:val="center"/>
              <w:rPr>
                <w:rFonts w:eastAsia="SimSun"/>
                <w:sz w:val="20"/>
              </w:rPr>
            </w:pPr>
            <w:r w:rsidRPr="009448FC">
              <w:rPr>
                <w:rFonts w:eastAsia="SimSun"/>
                <w:sz w:val="20"/>
              </w:rPr>
              <w:t>1</w:t>
            </w:r>
          </w:p>
        </w:tc>
        <w:tc>
          <w:tcPr>
            <w:tcW w:w="1442" w:type="dxa"/>
          </w:tcPr>
          <w:p w:rsidR="00B4545C" w:rsidRPr="009448FC" w:rsidRDefault="00B4545C" w:rsidP="00D0037C">
            <w:pPr>
              <w:jc w:val="center"/>
              <w:rPr>
                <w:rFonts w:eastAsia="SimSun"/>
                <w:sz w:val="20"/>
              </w:rPr>
            </w:pPr>
            <w:r w:rsidRPr="009448FC">
              <w:rPr>
                <w:rFonts w:eastAsia="SimSun"/>
                <w:sz w:val="20"/>
              </w:rPr>
              <w:t>Variable</w:t>
            </w:r>
          </w:p>
        </w:tc>
        <w:tc>
          <w:tcPr>
            <w:tcW w:w="1258" w:type="dxa"/>
          </w:tcPr>
          <w:p w:rsidR="00B4545C" w:rsidRPr="009448FC" w:rsidRDefault="00B4545C" w:rsidP="00D0037C">
            <w:pPr>
              <w:jc w:val="center"/>
              <w:rPr>
                <w:rFonts w:eastAsia="SimSun"/>
                <w:sz w:val="20"/>
              </w:rPr>
            </w:pPr>
            <w:r w:rsidRPr="009448FC">
              <w:rPr>
                <w:rFonts w:eastAsia="SimSun"/>
                <w:sz w:val="20"/>
              </w:rPr>
              <w:t>Variable</w:t>
            </w:r>
          </w:p>
        </w:tc>
      </w:tr>
    </w:tbl>
    <w:p w:rsidR="000F57D1" w:rsidRPr="00066F65" w:rsidRDefault="000F57D1" w:rsidP="00BA5BC4">
      <w:pPr>
        <w:pStyle w:val="Caption"/>
      </w:pPr>
      <w:bookmarkStart w:id="480" w:name="_Ref232760079"/>
      <w:bookmarkStart w:id="481" w:name="_Toc259717456"/>
      <w:r w:rsidRPr="00066F65">
        <w:t xml:space="preserve">Figure </w:t>
      </w:r>
      <w:r w:rsidR="00BD151C">
        <w:fldChar w:fldCharType="begin"/>
      </w:r>
      <w:r w:rsidR="00801316">
        <w:instrText xml:space="preserve"> SEQ Figure \* ARABIC </w:instrText>
      </w:r>
      <w:r w:rsidR="00BD151C">
        <w:fldChar w:fldCharType="separate"/>
      </w:r>
      <w:r w:rsidR="003E4210">
        <w:rPr>
          <w:noProof/>
        </w:rPr>
        <w:t>24</w:t>
      </w:r>
      <w:r w:rsidR="00BD151C">
        <w:fldChar w:fldCharType="end"/>
      </w:r>
      <w:bookmarkEnd w:id="480"/>
      <w:r w:rsidR="0073283A" w:rsidRPr="00066F65">
        <w:t xml:space="preserve"> </w:t>
      </w:r>
      <w:r w:rsidRPr="00066F65">
        <w:rPr>
          <w:rFonts w:eastAsia="SimSun"/>
          <w:bCs/>
          <w:sz w:val="23"/>
          <w:szCs w:val="23"/>
          <w:lang w:eastAsia="zh-CN"/>
        </w:rPr>
        <w:t>– Directional Measurement Report</w:t>
      </w:r>
      <w:bookmarkEnd w:id="481"/>
    </w:p>
    <w:p w:rsidR="000F57D1" w:rsidRPr="00066F65" w:rsidRDefault="000F57D1" w:rsidP="000F57D1">
      <w:pPr>
        <w:autoSpaceDE w:val="0"/>
        <w:autoSpaceDN w:val="0"/>
        <w:adjustRightInd w:val="0"/>
        <w:jc w:val="both"/>
        <w:rPr>
          <w:rFonts w:eastAsia="SimSun"/>
          <w:sz w:val="23"/>
          <w:szCs w:val="23"/>
          <w:u w:val="single"/>
          <w:lang w:eastAsia="zh-CN" w:bidi="ar-SA"/>
        </w:rPr>
      </w:pPr>
    </w:p>
    <w:p w:rsidR="000F57D1" w:rsidRPr="009448FC" w:rsidRDefault="000F57D1" w:rsidP="000F57D1">
      <w:pPr>
        <w:autoSpaceDE w:val="0"/>
        <w:autoSpaceDN w:val="0"/>
        <w:adjustRightInd w:val="0"/>
        <w:jc w:val="both"/>
        <w:rPr>
          <w:rFonts w:eastAsia="SimSun"/>
        </w:rPr>
      </w:pPr>
      <w:r w:rsidRPr="009448FC">
        <w:rPr>
          <w:rFonts w:eastAsia="SimSun"/>
        </w:rPr>
        <w:t>Regulatory Class indicates the channel set for which the measurement report applies. Country, Regulatory Class, and Channel Number together specify the channel frequency and spacing for which the measurement report applies. Valid values of Regulatory Class are shown in Annex J.</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b/>
        </w:rPr>
      </w:pPr>
      <w:r w:rsidRPr="009448FC">
        <w:rPr>
          <w:rFonts w:eastAsia="SimSun"/>
        </w:rPr>
        <w:t>Channel Number indicates the channel number for which the measurement report applies. Channel Number is defined within a Regulatory Class as shown in Annex J.</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rFonts w:eastAsia="SimSun"/>
        </w:rPr>
      </w:pPr>
      <w:r w:rsidRPr="009448FC">
        <w:rPr>
          <w:rFonts w:eastAsia="SimSun"/>
        </w:rPr>
        <w:t>The Measurement Start Time field is set to the value of the measuring STA’s TSF timer at the time the measurement started.</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rFonts w:eastAsia="SimSun"/>
        </w:rPr>
      </w:pPr>
      <w:r w:rsidRPr="009448FC">
        <w:rPr>
          <w:rFonts w:eastAsia="SimSun"/>
        </w:rPr>
        <w:t xml:space="preserve">The Measurement Duration per Direction field is set to the duration of the measurement in each receiving direction, expressed in units of TUs. </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rFonts w:eastAsia="SimSun"/>
        </w:rPr>
      </w:pPr>
      <w:r w:rsidRPr="009448FC">
        <w:rPr>
          <w:rFonts w:eastAsia="SimSun"/>
        </w:rPr>
        <w:lastRenderedPageBreak/>
        <w:t>The Measurement Method indicates the method used by the STA to carry out the measurement request and the format of values in the Measurement for Direction fields. If this field is set to zero (0) it indicates that the values in the Measurement for Direction fields are expressed in ANIPI. If this field is set to one (1), it indicates</w:t>
      </w:r>
      <w:r w:rsidR="00EE1100" w:rsidRPr="009448FC">
        <w:rPr>
          <w:rFonts w:eastAsia="SimSun"/>
        </w:rPr>
        <w:t xml:space="preserve"> </w:t>
      </w:r>
      <w:r w:rsidRPr="009448FC">
        <w:rPr>
          <w:rFonts w:eastAsia="SimSun"/>
        </w:rPr>
        <w:t>that the values in the Measurement for Direction fields are expressed in RCPI. If this field is set to two (2), it indicates that the values in the Measurement for Direction fields are expressed in Channel Load. Other values are reserved.</w:t>
      </w:r>
    </w:p>
    <w:p w:rsidR="00B87280" w:rsidRPr="009448FC" w:rsidRDefault="00B87280" w:rsidP="000F57D1">
      <w:pPr>
        <w:autoSpaceDE w:val="0"/>
        <w:autoSpaceDN w:val="0"/>
        <w:adjustRightInd w:val="0"/>
        <w:jc w:val="both"/>
        <w:rPr>
          <w:rFonts w:eastAsia="SimSun"/>
        </w:rPr>
      </w:pPr>
    </w:p>
    <w:p w:rsidR="000F57D1" w:rsidRPr="009448FC" w:rsidRDefault="000F57D1" w:rsidP="00B87280">
      <w:pPr>
        <w:autoSpaceDE w:val="0"/>
        <w:autoSpaceDN w:val="0"/>
        <w:adjustRightInd w:val="0"/>
        <w:jc w:val="both"/>
        <w:rPr>
          <w:rFonts w:eastAsia="SimSun"/>
        </w:rPr>
      </w:pPr>
      <w:r w:rsidRPr="009448FC">
        <w:rPr>
          <w:rFonts w:eastAsia="SimSun"/>
        </w:rPr>
        <w:t xml:space="preserve">The format of the Measurement Results field is shown in </w:t>
      </w:r>
      <w:fldSimple w:instr=" REF _Ref236393177 \h  \* MERGEFORMAT ">
        <w:r w:rsidR="003E4210" w:rsidRPr="003E4210">
          <w:rPr>
            <w:rFonts w:eastAsia="SimSun"/>
          </w:rPr>
          <w:t>Figure 25</w:t>
        </w:r>
      </w:fldSimple>
      <w:r w:rsidR="000A090A" w:rsidRPr="009448FC">
        <w:rPr>
          <w:rFonts w:eastAsia="SimSun"/>
        </w:rPr>
        <w:t xml:space="preserve">. </w:t>
      </w:r>
      <w:r w:rsidRPr="009448FC">
        <w:rPr>
          <w:rFonts w:eastAsia="SimSun"/>
        </w:rPr>
        <w:t>The Measurement for Direction fields are set to the format of values specified in the Measurement Method field.</w:t>
      </w:r>
    </w:p>
    <w:p w:rsidR="00B87280" w:rsidRPr="009448FC" w:rsidRDefault="00B87280" w:rsidP="00B87280">
      <w:pPr>
        <w:autoSpaceDE w:val="0"/>
        <w:autoSpaceDN w:val="0"/>
        <w:adjustRightInd w:val="0"/>
        <w:jc w:val="both"/>
        <w:rPr>
          <w:rFonts w:eastAsia="SimSun"/>
        </w:rPr>
      </w:pPr>
    </w:p>
    <w:tbl>
      <w:tblPr>
        <w:tblpPr w:leftFromText="180" w:rightFromText="180" w:vertAnchor="text" w:horzAnchor="margin" w:tblpXSpec="center" w:tblpY="185"/>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552"/>
        <w:gridCol w:w="1649"/>
        <w:gridCol w:w="1650"/>
        <w:gridCol w:w="685"/>
        <w:gridCol w:w="2112"/>
      </w:tblGrid>
      <w:tr w:rsidR="00D0037C" w:rsidRPr="00066F65" w:rsidTr="00D0037C">
        <w:tc>
          <w:tcPr>
            <w:tcW w:w="896" w:type="dxa"/>
            <w:vAlign w:val="center"/>
          </w:tcPr>
          <w:p w:rsidR="00D73A2B" w:rsidRPr="009448FC" w:rsidRDefault="00D73A2B" w:rsidP="00D0037C">
            <w:pPr>
              <w:autoSpaceDE w:val="0"/>
              <w:autoSpaceDN w:val="0"/>
              <w:adjustRightInd w:val="0"/>
              <w:jc w:val="center"/>
              <w:rPr>
                <w:rFonts w:eastAsia="SimSun"/>
              </w:rPr>
            </w:pPr>
          </w:p>
        </w:tc>
        <w:tc>
          <w:tcPr>
            <w:tcW w:w="155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Number of Directions</w:t>
            </w:r>
          </w:p>
        </w:tc>
        <w:tc>
          <w:tcPr>
            <w:tcW w:w="1649"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Measurement for Direction 1</w:t>
            </w:r>
          </w:p>
        </w:tc>
        <w:tc>
          <w:tcPr>
            <w:tcW w:w="1650"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Measurement for Direction 2</w:t>
            </w:r>
          </w:p>
        </w:tc>
        <w:tc>
          <w:tcPr>
            <w:tcW w:w="685"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w:t>
            </w:r>
          </w:p>
        </w:tc>
        <w:tc>
          <w:tcPr>
            <w:tcW w:w="211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Measurement for Direction N</w:t>
            </w:r>
          </w:p>
        </w:tc>
      </w:tr>
      <w:tr w:rsidR="00D0037C" w:rsidRPr="00066F65" w:rsidTr="00D0037C">
        <w:tc>
          <w:tcPr>
            <w:tcW w:w="896"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Octets:</w:t>
            </w:r>
          </w:p>
        </w:tc>
        <w:tc>
          <w:tcPr>
            <w:tcW w:w="155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1</w:t>
            </w:r>
          </w:p>
        </w:tc>
        <w:tc>
          <w:tcPr>
            <w:tcW w:w="1649"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Variable</w:t>
            </w:r>
          </w:p>
        </w:tc>
        <w:tc>
          <w:tcPr>
            <w:tcW w:w="1650"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Variable</w:t>
            </w:r>
          </w:p>
        </w:tc>
        <w:tc>
          <w:tcPr>
            <w:tcW w:w="685"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w:t>
            </w:r>
          </w:p>
        </w:tc>
        <w:tc>
          <w:tcPr>
            <w:tcW w:w="211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Variable</w:t>
            </w:r>
          </w:p>
        </w:tc>
      </w:tr>
    </w:tbl>
    <w:p w:rsidR="000F57D1" w:rsidRPr="009448FC" w:rsidRDefault="000F57D1" w:rsidP="000F57D1">
      <w:pPr>
        <w:jc w:val="both"/>
        <w:rPr>
          <w:rFonts w:eastAsia="SimSun"/>
        </w:rPr>
      </w:pPr>
    </w:p>
    <w:p w:rsidR="004D4783" w:rsidRPr="00066F65" w:rsidRDefault="004D4783" w:rsidP="009448FC">
      <w:pPr>
        <w:pStyle w:val="Caption"/>
        <w:jc w:val="left"/>
      </w:pPr>
      <w:bookmarkStart w:id="482" w:name="_Ref232760153"/>
    </w:p>
    <w:p w:rsidR="000F57D1" w:rsidRPr="00066F65" w:rsidRDefault="00591BA8" w:rsidP="00BA5BC4">
      <w:pPr>
        <w:pStyle w:val="Caption"/>
        <w:rPr>
          <w:rFonts w:cs="Arial"/>
        </w:rPr>
      </w:pPr>
      <w:bookmarkStart w:id="483" w:name="_Ref236393177"/>
      <w:bookmarkStart w:id="484" w:name="_Toc259717457"/>
      <w:r w:rsidRPr="00066F65">
        <w:t xml:space="preserve">Figure </w:t>
      </w:r>
      <w:r w:rsidR="00BD151C">
        <w:fldChar w:fldCharType="begin"/>
      </w:r>
      <w:r w:rsidR="00801316">
        <w:instrText xml:space="preserve"> SEQ Figure \* ARABIC </w:instrText>
      </w:r>
      <w:r w:rsidR="00BD151C">
        <w:fldChar w:fldCharType="separate"/>
      </w:r>
      <w:r w:rsidR="003E4210">
        <w:rPr>
          <w:noProof/>
        </w:rPr>
        <w:t>25</w:t>
      </w:r>
      <w:r w:rsidR="00BD151C">
        <w:fldChar w:fldCharType="end"/>
      </w:r>
      <w:bookmarkEnd w:id="482"/>
      <w:bookmarkEnd w:id="483"/>
      <w:r w:rsidR="00B45D74" w:rsidRPr="00066F65">
        <w:t xml:space="preserve"> –</w:t>
      </w:r>
      <w:r w:rsidR="00B45D74" w:rsidRPr="00066F65">
        <w:rPr>
          <w:rFonts w:eastAsia="SimSun" w:cs="Arial"/>
          <w:lang w:eastAsia="zh-CN"/>
        </w:rPr>
        <w:t xml:space="preserve"> </w:t>
      </w:r>
      <w:r w:rsidR="000F57D1" w:rsidRPr="00066F65">
        <w:rPr>
          <w:rFonts w:eastAsia="SimSun" w:cs="Arial"/>
          <w:lang w:eastAsia="zh-CN"/>
        </w:rPr>
        <w:t>Measurement Results field format</w:t>
      </w:r>
      <w:bookmarkEnd w:id="484"/>
    </w:p>
    <w:p w:rsidR="000F57D1" w:rsidRPr="009448FC" w:rsidRDefault="000F57D1" w:rsidP="000F57D1">
      <w:pPr>
        <w:autoSpaceDE w:val="0"/>
        <w:autoSpaceDN w:val="0"/>
        <w:adjustRightInd w:val="0"/>
        <w:jc w:val="both"/>
        <w:rPr>
          <w:rFonts w:eastAsia="SimSun"/>
        </w:rPr>
      </w:pPr>
      <w:r w:rsidRPr="009448FC">
        <w:rPr>
          <w:rFonts w:eastAsia="SimSun"/>
        </w:rPr>
        <w:t>The Optional Subelements field format contains zero or more Subelements, each consisting of a 1-octet Subelement ID field, a 1-octet Length field, and a variable length Data field, as shown in Figure 7-95p. Any optional subelements ar</w:t>
      </w:r>
      <w:r w:rsidR="00452CE8" w:rsidRPr="009448FC">
        <w:rPr>
          <w:rFonts w:eastAsia="SimSun"/>
        </w:rPr>
        <w:t xml:space="preserve">e ordered by non-decreasing </w:t>
      </w:r>
      <w:r w:rsidR="00147AA8" w:rsidRPr="009448FC">
        <w:rPr>
          <w:rFonts w:eastAsia="SimSun"/>
        </w:rPr>
        <w:t>Subelement</w:t>
      </w:r>
      <w:r w:rsidRPr="009448FC">
        <w:rPr>
          <w:rFonts w:eastAsia="SimSun"/>
        </w:rPr>
        <w:t>ID.</w:t>
      </w:r>
    </w:p>
    <w:p w:rsidR="000F57D1" w:rsidRPr="009448FC" w:rsidRDefault="000F57D1" w:rsidP="000F57D1">
      <w:pPr>
        <w:autoSpaceDE w:val="0"/>
        <w:autoSpaceDN w:val="0"/>
        <w:adjustRightInd w:val="0"/>
        <w:jc w:val="both"/>
        <w:rPr>
          <w:rFonts w:eastAsia="SimSun"/>
          <w:sz w:val="23"/>
        </w:rPr>
      </w:pPr>
    </w:p>
    <w:p w:rsidR="00572C2F" w:rsidRPr="009448FC" w:rsidRDefault="00572C2F" w:rsidP="003701DB">
      <w:pPr>
        <w:pStyle w:val="Heading5"/>
        <w:numPr>
          <w:ilvl w:val="4"/>
          <w:numId w:val="24"/>
        </w:numPr>
      </w:pPr>
      <w:bookmarkStart w:id="485" w:name="_Toc235400256"/>
      <w:bookmarkStart w:id="486" w:name="_Toc259716917"/>
      <w:r w:rsidRPr="009448FC">
        <w:t>Directional Statistics report</w:t>
      </w:r>
      <w:bookmarkEnd w:id="485"/>
      <w:bookmarkEnd w:id="486"/>
    </w:p>
    <w:p w:rsidR="00866CDA" w:rsidRPr="009448FC" w:rsidRDefault="00572C2F" w:rsidP="009448FC">
      <w:pPr>
        <w:pStyle w:val="Caption"/>
        <w:jc w:val="left"/>
        <w:rPr>
          <w:rFonts w:ascii="Times New Roman" w:hAnsi="Times New Roman"/>
          <w:b w:val="0"/>
        </w:rPr>
      </w:pPr>
      <w:r w:rsidRPr="009448FC">
        <w:rPr>
          <w:rFonts w:ascii="Times New Roman" w:hAnsi="Times New Roman"/>
          <w:b w:val="0"/>
        </w:rPr>
        <w:t xml:space="preserve">The format of the Measurement Report field of a Directional Statistics report is shown in </w:t>
      </w:r>
      <w:fldSimple w:instr=" REF _Ref232760649 \h  \* MERGEFORMAT ">
        <w:r w:rsidR="003E4210" w:rsidRPr="003E4210">
          <w:rPr>
            <w:rFonts w:ascii="Times New Roman" w:eastAsia="Times New Roman" w:hAnsi="Times New Roman"/>
            <w:b w:val="0"/>
            <w:szCs w:val="24"/>
            <w:lang w:bidi="he-IL"/>
          </w:rPr>
          <w:t>Figure 26</w:t>
        </w:r>
      </w:fldSimple>
      <w:r w:rsidRPr="009448FC">
        <w:rPr>
          <w:rFonts w:ascii="Times New Roman" w:hAnsi="Times New Roman"/>
          <w:b w:val="0"/>
        </w:rPr>
        <w:t>.</w:t>
      </w:r>
    </w:p>
    <w:p w:rsidR="009C7B46" w:rsidRPr="009448FC" w:rsidRDefault="009C7B46" w:rsidP="003F0EC8">
      <w:pPr>
        <w:autoSpaceDE w:val="0"/>
        <w:autoSpaceDN w:val="0"/>
        <w:adjustRightInd w:val="0"/>
        <w:rPr>
          <w:rFonts w:eastAsia="SimSun"/>
          <w:sz w:val="22"/>
        </w:rPr>
      </w:pP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1170"/>
        <w:gridCol w:w="900"/>
        <w:gridCol w:w="990"/>
        <w:gridCol w:w="1729"/>
        <w:gridCol w:w="1061"/>
        <w:gridCol w:w="1183"/>
        <w:gridCol w:w="1067"/>
        <w:gridCol w:w="1260"/>
      </w:tblGrid>
      <w:tr w:rsidR="002E299C" w:rsidRPr="00066F65" w:rsidTr="002E299C">
        <w:tc>
          <w:tcPr>
            <w:tcW w:w="810" w:type="dxa"/>
          </w:tcPr>
          <w:p w:rsidR="009C7B46" w:rsidRPr="009448FC" w:rsidRDefault="009C7B46" w:rsidP="00D0037C">
            <w:pPr>
              <w:jc w:val="both"/>
              <w:rPr>
                <w:rFonts w:eastAsia="SimSun"/>
                <w:sz w:val="20"/>
              </w:rPr>
            </w:pPr>
          </w:p>
        </w:tc>
        <w:tc>
          <w:tcPr>
            <w:tcW w:w="1170" w:type="dxa"/>
          </w:tcPr>
          <w:p w:rsidR="009C7B46" w:rsidRPr="009448FC" w:rsidRDefault="009C7B46" w:rsidP="00D0037C">
            <w:pPr>
              <w:jc w:val="both"/>
              <w:rPr>
                <w:rFonts w:eastAsia="SimSun"/>
                <w:sz w:val="20"/>
              </w:rPr>
            </w:pPr>
            <w:r w:rsidRPr="009448FC">
              <w:rPr>
                <w:rFonts w:eastAsia="SimSun"/>
                <w:sz w:val="20"/>
              </w:rPr>
              <w:t>Regulatory class</w:t>
            </w:r>
          </w:p>
        </w:tc>
        <w:tc>
          <w:tcPr>
            <w:tcW w:w="900" w:type="dxa"/>
          </w:tcPr>
          <w:p w:rsidR="009C7B46" w:rsidRPr="009448FC" w:rsidRDefault="009C7B46" w:rsidP="00D0037C">
            <w:pPr>
              <w:jc w:val="both"/>
              <w:rPr>
                <w:rFonts w:eastAsia="SimSun"/>
                <w:sz w:val="20"/>
              </w:rPr>
            </w:pPr>
            <w:r w:rsidRPr="009448FC">
              <w:rPr>
                <w:rFonts w:eastAsia="SimSun"/>
                <w:sz w:val="20"/>
              </w:rPr>
              <w:t>Channel number</w:t>
            </w:r>
          </w:p>
        </w:tc>
        <w:tc>
          <w:tcPr>
            <w:tcW w:w="990" w:type="dxa"/>
          </w:tcPr>
          <w:p w:rsidR="009C7B46" w:rsidRPr="009448FC" w:rsidRDefault="009C7B46" w:rsidP="00D07A74">
            <w:pPr>
              <w:rPr>
                <w:rFonts w:eastAsia="SimSun"/>
                <w:sz w:val="20"/>
              </w:rPr>
            </w:pPr>
            <w:r w:rsidRPr="009448FC">
              <w:rPr>
                <w:rFonts w:eastAsia="SimSun"/>
                <w:sz w:val="20"/>
              </w:rPr>
              <w:t>Measure</w:t>
            </w:r>
            <w:r w:rsidR="002E299C">
              <w:rPr>
                <w:rFonts w:eastAsia="SimSun"/>
                <w:sz w:val="20"/>
              </w:rPr>
              <w:t>-</w:t>
            </w:r>
            <w:r w:rsidRPr="009448FC">
              <w:rPr>
                <w:rFonts w:eastAsia="SimSun"/>
                <w:sz w:val="20"/>
              </w:rPr>
              <w:t>ment Start Time</w:t>
            </w:r>
          </w:p>
        </w:tc>
        <w:tc>
          <w:tcPr>
            <w:tcW w:w="1729" w:type="dxa"/>
          </w:tcPr>
          <w:p w:rsidR="009C7B46" w:rsidRPr="009448FC" w:rsidRDefault="009C7B46" w:rsidP="00D07A74">
            <w:pPr>
              <w:rPr>
                <w:rFonts w:eastAsia="SimSun"/>
                <w:sz w:val="20"/>
              </w:rPr>
            </w:pPr>
            <w:r w:rsidRPr="009448FC">
              <w:rPr>
                <w:rFonts w:eastAsia="SimSun"/>
                <w:sz w:val="20"/>
              </w:rPr>
              <w:t>Measurement Duration per Direction</w:t>
            </w:r>
          </w:p>
        </w:tc>
        <w:tc>
          <w:tcPr>
            <w:tcW w:w="1061" w:type="dxa"/>
          </w:tcPr>
          <w:p w:rsidR="009C7B46" w:rsidRPr="009448FC" w:rsidRDefault="009C7B46" w:rsidP="00D0037C">
            <w:pPr>
              <w:jc w:val="both"/>
              <w:rPr>
                <w:rFonts w:eastAsia="SimSun"/>
                <w:sz w:val="20"/>
              </w:rPr>
            </w:pPr>
            <w:r w:rsidRPr="009448FC">
              <w:rPr>
                <w:rFonts w:eastAsia="SimSun"/>
                <w:sz w:val="20"/>
              </w:rPr>
              <w:t>Measure</w:t>
            </w:r>
            <w:r w:rsidR="002E299C">
              <w:rPr>
                <w:rFonts w:eastAsia="SimSun"/>
                <w:sz w:val="20"/>
              </w:rPr>
              <w:t>-</w:t>
            </w:r>
            <w:r w:rsidRPr="009448FC">
              <w:rPr>
                <w:rFonts w:eastAsia="SimSun"/>
                <w:sz w:val="20"/>
              </w:rPr>
              <w:t>ment Method</w:t>
            </w:r>
          </w:p>
        </w:tc>
        <w:tc>
          <w:tcPr>
            <w:tcW w:w="1183" w:type="dxa"/>
          </w:tcPr>
          <w:p w:rsidR="009C7B46" w:rsidRPr="009448FC" w:rsidRDefault="009C7B46" w:rsidP="00D0037C">
            <w:pPr>
              <w:jc w:val="both"/>
              <w:rPr>
                <w:rFonts w:eastAsia="SimSun"/>
                <w:sz w:val="20"/>
              </w:rPr>
            </w:pPr>
            <w:r w:rsidRPr="009448FC">
              <w:rPr>
                <w:rFonts w:eastAsia="SimSun"/>
                <w:sz w:val="20"/>
              </w:rPr>
              <w:t>Directional Statistics Bitmap</w:t>
            </w:r>
          </w:p>
        </w:tc>
        <w:tc>
          <w:tcPr>
            <w:tcW w:w="1067" w:type="dxa"/>
          </w:tcPr>
          <w:p w:rsidR="009C7B46" w:rsidRPr="009448FC" w:rsidRDefault="009C7B46" w:rsidP="00D0037C">
            <w:pPr>
              <w:jc w:val="both"/>
              <w:rPr>
                <w:rFonts w:eastAsia="SimSun"/>
                <w:sz w:val="20"/>
              </w:rPr>
            </w:pPr>
            <w:r w:rsidRPr="009448FC">
              <w:rPr>
                <w:rFonts w:eastAsia="SimSun"/>
                <w:sz w:val="20"/>
              </w:rPr>
              <w:t>Measure</w:t>
            </w:r>
            <w:r w:rsidR="00B87280" w:rsidRPr="009448FC">
              <w:rPr>
                <w:rFonts w:eastAsia="SimSun"/>
                <w:sz w:val="20"/>
              </w:rPr>
              <w:t>-</w:t>
            </w:r>
            <w:r w:rsidRPr="009448FC">
              <w:rPr>
                <w:rFonts w:eastAsia="SimSun"/>
                <w:sz w:val="20"/>
              </w:rPr>
              <w:t>ment Results</w:t>
            </w:r>
          </w:p>
        </w:tc>
        <w:tc>
          <w:tcPr>
            <w:tcW w:w="1260" w:type="dxa"/>
          </w:tcPr>
          <w:p w:rsidR="009C7B46" w:rsidRPr="009448FC" w:rsidRDefault="009C7B46" w:rsidP="00D0037C">
            <w:pPr>
              <w:jc w:val="both"/>
              <w:rPr>
                <w:rFonts w:eastAsia="SimSun"/>
                <w:sz w:val="20"/>
              </w:rPr>
            </w:pPr>
            <w:r w:rsidRPr="009448FC">
              <w:rPr>
                <w:rFonts w:eastAsia="SimSun"/>
                <w:sz w:val="20"/>
              </w:rPr>
              <w:t xml:space="preserve">Optional Subelements </w:t>
            </w:r>
          </w:p>
        </w:tc>
      </w:tr>
      <w:tr w:rsidR="002E299C" w:rsidRPr="00066F65" w:rsidTr="002E299C">
        <w:tc>
          <w:tcPr>
            <w:tcW w:w="810" w:type="dxa"/>
          </w:tcPr>
          <w:p w:rsidR="009C7B46" w:rsidRPr="009448FC" w:rsidRDefault="009C7B46" w:rsidP="00D0037C">
            <w:pPr>
              <w:jc w:val="center"/>
              <w:rPr>
                <w:rFonts w:eastAsia="SimSun"/>
                <w:sz w:val="20"/>
              </w:rPr>
            </w:pPr>
            <w:r w:rsidRPr="009448FC">
              <w:rPr>
                <w:rFonts w:eastAsia="SimSun"/>
                <w:sz w:val="20"/>
              </w:rPr>
              <w:t>Octets</w:t>
            </w:r>
          </w:p>
        </w:tc>
        <w:tc>
          <w:tcPr>
            <w:tcW w:w="1170" w:type="dxa"/>
          </w:tcPr>
          <w:p w:rsidR="009C7B46" w:rsidRPr="009448FC" w:rsidRDefault="009C7B46" w:rsidP="00D0037C">
            <w:pPr>
              <w:jc w:val="center"/>
              <w:rPr>
                <w:rFonts w:eastAsia="SimSun"/>
                <w:sz w:val="20"/>
              </w:rPr>
            </w:pPr>
            <w:r w:rsidRPr="009448FC">
              <w:rPr>
                <w:rFonts w:eastAsia="SimSun"/>
                <w:sz w:val="20"/>
              </w:rPr>
              <w:t>1</w:t>
            </w:r>
          </w:p>
        </w:tc>
        <w:tc>
          <w:tcPr>
            <w:tcW w:w="900" w:type="dxa"/>
          </w:tcPr>
          <w:p w:rsidR="009C7B46" w:rsidRPr="009448FC" w:rsidRDefault="009C7B46" w:rsidP="00D0037C">
            <w:pPr>
              <w:jc w:val="center"/>
              <w:rPr>
                <w:rFonts w:eastAsia="SimSun"/>
                <w:sz w:val="20"/>
              </w:rPr>
            </w:pPr>
            <w:r w:rsidRPr="009448FC">
              <w:rPr>
                <w:rFonts w:eastAsia="SimSun"/>
                <w:sz w:val="20"/>
              </w:rPr>
              <w:t>1</w:t>
            </w:r>
          </w:p>
        </w:tc>
        <w:tc>
          <w:tcPr>
            <w:tcW w:w="990" w:type="dxa"/>
          </w:tcPr>
          <w:p w:rsidR="009C7B46" w:rsidRPr="009448FC" w:rsidRDefault="009C7B46" w:rsidP="00D0037C">
            <w:pPr>
              <w:jc w:val="center"/>
              <w:rPr>
                <w:rFonts w:eastAsia="SimSun"/>
                <w:sz w:val="20"/>
              </w:rPr>
            </w:pPr>
            <w:r w:rsidRPr="009448FC">
              <w:rPr>
                <w:rFonts w:eastAsia="SimSun"/>
                <w:sz w:val="20"/>
              </w:rPr>
              <w:t>8</w:t>
            </w:r>
          </w:p>
        </w:tc>
        <w:tc>
          <w:tcPr>
            <w:tcW w:w="1729" w:type="dxa"/>
          </w:tcPr>
          <w:p w:rsidR="009C7B46" w:rsidRPr="009448FC" w:rsidRDefault="009C7B46" w:rsidP="00D0037C">
            <w:pPr>
              <w:jc w:val="center"/>
              <w:rPr>
                <w:rFonts w:eastAsia="SimSun"/>
                <w:sz w:val="20"/>
              </w:rPr>
            </w:pPr>
            <w:r w:rsidRPr="009448FC">
              <w:rPr>
                <w:rFonts w:eastAsia="SimSun"/>
                <w:sz w:val="20"/>
              </w:rPr>
              <w:t>2</w:t>
            </w:r>
          </w:p>
        </w:tc>
        <w:tc>
          <w:tcPr>
            <w:tcW w:w="1061" w:type="dxa"/>
          </w:tcPr>
          <w:p w:rsidR="009C7B46" w:rsidRPr="009448FC" w:rsidRDefault="009C7B46" w:rsidP="00D0037C">
            <w:pPr>
              <w:jc w:val="center"/>
              <w:rPr>
                <w:rFonts w:eastAsia="SimSun"/>
                <w:sz w:val="20"/>
              </w:rPr>
            </w:pPr>
            <w:r w:rsidRPr="009448FC">
              <w:rPr>
                <w:rFonts w:eastAsia="SimSun"/>
                <w:sz w:val="20"/>
              </w:rPr>
              <w:t>1</w:t>
            </w:r>
          </w:p>
        </w:tc>
        <w:tc>
          <w:tcPr>
            <w:tcW w:w="1183" w:type="dxa"/>
          </w:tcPr>
          <w:p w:rsidR="009C7B46" w:rsidRPr="009448FC" w:rsidRDefault="009C7B46" w:rsidP="00D0037C">
            <w:pPr>
              <w:jc w:val="center"/>
              <w:rPr>
                <w:rFonts w:eastAsia="SimSun"/>
                <w:sz w:val="20"/>
              </w:rPr>
            </w:pPr>
            <w:r w:rsidRPr="009448FC">
              <w:rPr>
                <w:rFonts w:eastAsia="SimSun"/>
                <w:sz w:val="20"/>
              </w:rPr>
              <w:t>1</w:t>
            </w:r>
          </w:p>
        </w:tc>
        <w:tc>
          <w:tcPr>
            <w:tcW w:w="1067" w:type="dxa"/>
          </w:tcPr>
          <w:p w:rsidR="009C7B46" w:rsidRPr="009448FC" w:rsidRDefault="009C7B46" w:rsidP="00D0037C">
            <w:pPr>
              <w:jc w:val="center"/>
              <w:rPr>
                <w:rFonts w:eastAsia="SimSun"/>
                <w:sz w:val="20"/>
              </w:rPr>
            </w:pPr>
            <w:r w:rsidRPr="009448FC">
              <w:rPr>
                <w:rFonts w:eastAsia="SimSun"/>
                <w:sz w:val="20"/>
              </w:rPr>
              <w:t>Variable</w:t>
            </w:r>
          </w:p>
        </w:tc>
        <w:tc>
          <w:tcPr>
            <w:tcW w:w="1260" w:type="dxa"/>
          </w:tcPr>
          <w:p w:rsidR="009C7B46" w:rsidRPr="009448FC" w:rsidRDefault="009C7B46" w:rsidP="00D0037C">
            <w:pPr>
              <w:jc w:val="center"/>
              <w:rPr>
                <w:rFonts w:eastAsia="SimSun"/>
                <w:sz w:val="20"/>
              </w:rPr>
            </w:pPr>
            <w:r w:rsidRPr="009448FC">
              <w:rPr>
                <w:rFonts w:eastAsia="SimSun"/>
                <w:sz w:val="20"/>
              </w:rPr>
              <w:t>Variable</w:t>
            </w:r>
          </w:p>
        </w:tc>
      </w:tr>
    </w:tbl>
    <w:p w:rsidR="009C7B46" w:rsidRPr="009448FC" w:rsidRDefault="009C7B46" w:rsidP="003F0EC8">
      <w:pPr>
        <w:autoSpaceDE w:val="0"/>
        <w:autoSpaceDN w:val="0"/>
        <w:adjustRightInd w:val="0"/>
        <w:rPr>
          <w:rFonts w:eastAsia="SimSun"/>
          <w:sz w:val="22"/>
        </w:rPr>
      </w:pPr>
    </w:p>
    <w:p w:rsidR="00572C2F" w:rsidRPr="00066F65" w:rsidRDefault="00A44AE3" w:rsidP="00BA5BC4">
      <w:pPr>
        <w:pStyle w:val="Caption"/>
      </w:pPr>
      <w:bookmarkStart w:id="487" w:name="_Ref232760649"/>
      <w:bookmarkStart w:id="488" w:name="_Toc259717458"/>
      <w:r w:rsidRPr="00066F65">
        <w:t xml:space="preserve">Figure </w:t>
      </w:r>
      <w:r w:rsidR="00BD151C">
        <w:fldChar w:fldCharType="begin"/>
      </w:r>
      <w:r w:rsidR="00801316">
        <w:instrText xml:space="preserve"> SEQ Figure \* ARABIC </w:instrText>
      </w:r>
      <w:r w:rsidR="00BD151C">
        <w:fldChar w:fldCharType="separate"/>
      </w:r>
      <w:r w:rsidR="003E4210">
        <w:rPr>
          <w:noProof/>
        </w:rPr>
        <w:t>26</w:t>
      </w:r>
      <w:r w:rsidR="00BD151C">
        <w:fldChar w:fldCharType="end"/>
      </w:r>
      <w:bookmarkEnd w:id="487"/>
      <w:r w:rsidR="00B45D74" w:rsidRPr="00066F65">
        <w:t xml:space="preserve"> </w:t>
      </w:r>
      <w:r w:rsidR="00572C2F" w:rsidRPr="00066F65">
        <w:rPr>
          <w:rFonts w:eastAsia="SimSun"/>
          <w:bCs/>
          <w:sz w:val="23"/>
          <w:szCs w:val="23"/>
          <w:lang w:eastAsia="zh-CN"/>
        </w:rPr>
        <w:t>– Directional Statistics Report</w:t>
      </w:r>
      <w:bookmarkEnd w:id="488"/>
    </w:p>
    <w:p w:rsidR="00572C2F" w:rsidRPr="00066F65" w:rsidRDefault="00572C2F" w:rsidP="00572C2F">
      <w:pPr>
        <w:autoSpaceDE w:val="0"/>
        <w:autoSpaceDN w:val="0"/>
        <w:adjustRightInd w:val="0"/>
        <w:jc w:val="both"/>
        <w:rPr>
          <w:rFonts w:eastAsia="SimSun"/>
          <w:sz w:val="23"/>
          <w:szCs w:val="23"/>
          <w:u w:val="single"/>
          <w:lang w:eastAsia="zh-CN" w:bidi="ar-SA"/>
        </w:rPr>
      </w:pPr>
    </w:p>
    <w:p w:rsidR="00572C2F" w:rsidRPr="009448FC" w:rsidRDefault="00572C2F" w:rsidP="00BB4999">
      <w:pPr>
        <w:autoSpaceDE w:val="0"/>
        <w:autoSpaceDN w:val="0"/>
        <w:adjustRightInd w:val="0"/>
        <w:rPr>
          <w:rFonts w:eastAsia="SimSun"/>
        </w:rPr>
      </w:pPr>
      <w:r w:rsidRPr="009448FC">
        <w:rPr>
          <w:rFonts w:eastAsia="SimSun"/>
        </w:rPr>
        <w:t>Regulatory Class indicates the channel set for which the measurement report applies. Country, Regulatory Class, and Channel Number together specify the channel frequency and spacing for which the measurement report applies. Valid values of Regulatory Class are shown in Annex J.</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b/>
        </w:rPr>
      </w:pPr>
      <w:r w:rsidRPr="009448FC">
        <w:rPr>
          <w:rFonts w:eastAsia="SimSun"/>
        </w:rPr>
        <w:t>Channel Number indicates the channel number for which the measurement report applies. Channel Number is defined within a Regulatory Class as shown in Annex J.</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The Measurement Start Time field is set to the value of the measuring STA’s TSF timer at the time the measurement started.</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 xml:space="preserve">The Measurement Duration per Direction field is set to the duration of the measurement in each receiving direction, expressed in units of TUs. </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 xml:space="preserve">The Measurement Method indicates the method used by the STA to carry out the measurement request and the format of values in the Measurement Results field. If this field is set to zero (0) it indicates that the values in the Measurement Results field are expressed in ANIPI. If this field is set to one (1), it </w:t>
      </w:r>
      <w:r w:rsidRPr="009448FC">
        <w:rPr>
          <w:rFonts w:eastAsia="SimSun"/>
        </w:rPr>
        <w:lastRenderedPageBreak/>
        <w:t>indicates</w:t>
      </w:r>
      <w:r w:rsidR="00281486" w:rsidRPr="009448FC">
        <w:rPr>
          <w:rFonts w:eastAsia="SimSun"/>
        </w:rPr>
        <w:t xml:space="preserve"> </w:t>
      </w:r>
      <w:r w:rsidRPr="009448FC">
        <w:rPr>
          <w:rFonts w:eastAsia="SimSun"/>
        </w:rPr>
        <w:t>that the values in the Measurement Results field are expressed in RCPI. If this field is set to two (2), it indicates that the values in the Measurement Results field are expressed in Channel Load. Other values are reserved.</w:t>
      </w:r>
    </w:p>
    <w:p w:rsidR="00572C2F" w:rsidRPr="009448FC" w:rsidRDefault="00572C2F" w:rsidP="00BB4999">
      <w:pPr>
        <w:autoSpaceDE w:val="0"/>
        <w:autoSpaceDN w:val="0"/>
        <w:adjustRightInd w:val="0"/>
        <w:rPr>
          <w:rFonts w:eastAsia="SimSun"/>
        </w:rPr>
      </w:pPr>
    </w:p>
    <w:p w:rsidR="00572C2F" w:rsidRPr="009448FC" w:rsidRDefault="00572C2F" w:rsidP="00E30175">
      <w:pPr>
        <w:autoSpaceDE w:val="0"/>
        <w:autoSpaceDN w:val="0"/>
        <w:adjustRightInd w:val="0"/>
        <w:rPr>
          <w:rFonts w:eastAsia="SimSun"/>
        </w:rPr>
      </w:pPr>
      <w:r w:rsidRPr="009448FC">
        <w:rPr>
          <w:rFonts w:eastAsia="SimSun"/>
        </w:rPr>
        <w:t xml:space="preserve">The Directional Statistics Bitmap field format is </w:t>
      </w:r>
      <w:r w:rsidR="00B87280" w:rsidRPr="009448FC">
        <w:rPr>
          <w:rFonts w:eastAsia="SimSun"/>
        </w:rPr>
        <w:t xml:space="preserve">described </w:t>
      </w:r>
      <w:r w:rsidRPr="009448FC">
        <w:rPr>
          <w:rFonts w:eastAsia="SimSun"/>
        </w:rPr>
        <w:t xml:space="preserve">in section </w:t>
      </w:r>
      <w:r w:rsidR="00BD151C" w:rsidRPr="009448FC">
        <w:rPr>
          <w:rFonts w:eastAsia="SimSun"/>
        </w:rPr>
        <w:fldChar w:fldCharType="begin"/>
      </w:r>
      <w:r w:rsidR="00E30175" w:rsidRPr="009448FC">
        <w:rPr>
          <w:rFonts w:eastAsia="SimSun"/>
        </w:rPr>
        <w:instrText xml:space="preserve"> REF _Ref236723847 \r \h </w:instrText>
      </w:r>
      <w:r w:rsidR="00BD151C" w:rsidRPr="009448FC">
        <w:rPr>
          <w:rFonts w:eastAsia="SimSun"/>
        </w:rPr>
      </w:r>
      <w:r w:rsidR="00BD151C" w:rsidRPr="009448FC">
        <w:rPr>
          <w:rFonts w:eastAsia="SimSun"/>
        </w:rPr>
        <w:fldChar w:fldCharType="separate"/>
      </w:r>
      <w:r w:rsidR="003E4210">
        <w:rPr>
          <w:rFonts w:eastAsia="SimSun"/>
        </w:rPr>
        <w:t>7.3.2.21.14</w:t>
      </w:r>
      <w:r w:rsidR="00BD151C" w:rsidRPr="009448FC">
        <w:rPr>
          <w:rFonts w:eastAsia="SimSun"/>
        </w:rPr>
        <w:fldChar w:fldCharType="end"/>
      </w:r>
      <w:r w:rsidRPr="009448FC">
        <w:rPr>
          <w:rFonts w:eastAsia="SimSun"/>
        </w:rPr>
        <w:t>. When the Maximum field is set, it indicates that</w:t>
      </w:r>
      <w:r w:rsidR="00281486" w:rsidRPr="009448FC">
        <w:rPr>
          <w:rFonts w:eastAsia="SimSun"/>
        </w:rPr>
        <w:t xml:space="preserve"> </w:t>
      </w:r>
      <w:r w:rsidRPr="009448FC">
        <w:rPr>
          <w:rFonts w:eastAsia="SimSun"/>
        </w:rPr>
        <w:t>the maximum measurement result among all directions is included in the Measurement Results field. When the Minimum field is set, it indicates that</w:t>
      </w:r>
      <w:r w:rsidR="00281486" w:rsidRPr="009448FC">
        <w:rPr>
          <w:rFonts w:eastAsia="SimSun"/>
        </w:rPr>
        <w:t xml:space="preserve"> </w:t>
      </w:r>
      <w:r w:rsidRPr="009448FC">
        <w:rPr>
          <w:rFonts w:eastAsia="SimSun"/>
        </w:rPr>
        <w:t>the minimum measurement result among all directions is included in the Measurement Results field. If the Average field is set, it indicates that</w:t>
      </w:r>
      <w:r w:rsidR="00281486" w:rsidRPr="009448FC">
        <w:rPr>
          <w:rFonts w:eastAsia="SimSun"/>
        </w:rPr>
        <w:t xml:space="preserve"> </w:t>
      </w:r>
      <w:r w:rsidRPr="009448FC">
        <w:rPr>
          <w:rFonts w:eastAsia="SimSun"/>
        </w:rPr>
        <w:t>the average measurement result among all directions is included in the Measurement Results field. If the Variance field is set, it indicates that the variance of measurement results among all directions is included in the Measurement Results field. Others are reserved.</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The Measurement Results field is set based on the values in the Measurement Method field and the Directional Statistics Bitmap field. If two or more subfields in the Directional Statistics Bitmap are set to one, the corresponding measurement results should be included in the Measurement Results field in the same sequence as they present in the Directional Statistics Bitmap field.</w:t>
      </w:r>
    </w:p>
    <w:p w:rsidR="00572C2F" w:rsidRPr="009448FC" w:rsidRDefault="00572C2F" w:rsidP="00BB4999">
      <w:pPr>
        <w:autoSpaceDE w:val="0"/>
        <w:autoSpaceDN w:val="0"/>
        <w:adjustRightInd w:val="0"/>
        <w:rPr>
          <w:rFonts w:eastAsia="SimSun"/>
        </w:rPr>
      </w:pPr>
    </w:p>
    <w:p w:rsidR="000F57D1" w:rsidRPr="009448FC" w:rsidRDefault="00147AA8" w:rsidP="00BB4999">
      <w:pPr>
        <w:autoSpaceDE w:val="0"/>
        <w:autoSpaceDN w:val="0"/>
        <w:adjustRightInd w:val="0"/>
        <w:rPr>
          <w:rFonts w:eastAsia="SimSun"/>
        </w:rPr>
      </w:pPr>
      <w:r w:rsidRPr="009448FC">
        <w:rPr>
          <w:rFonts w:eastAsia="SimSun"/>
        </w:rPr>
        <w:t xml:space="preserve">The Optional Subelements </w:t>
      </w:r>
      <w:r w:rsidR="00572C2F" w:rsidRPr="009448FC">
        <w:rPr>
          <w:rFonts w:eastAsia="SimSun"/>
        </w:rPr>
        <w:t>field f</w:t>
      </w:r>
      <w:r w:rsidR="007572C5" w:rsidRPr="009448FC">
        <w:rPr>
          <w:rFonts w:eastAsia="SimSun"/>
        </w:rPr>
        <w:t>ormat contains zero or more Su</w:t>
      </w:r>
      <w:r w:rsidR="00DE02A4" w:rsidRPr="009448FC">
        <w:rPr>
          <w:rFonts w:eastAsia="SimSun"/>
        </w:rPr>
        <w:t>be</w:t>
      </w:r>
      <w:r w:rsidR="00572C2F" w:rsidRPr="009448FC">
        <w:rPr>
          <w:rFonts w:eastAsia="SimSun"/>
        </w:rPr>
        <w:t>lements, each consisting of a 1-octet Subelement ID field, a 1-octet Length field, and a variable length Data field, as shown in Figure 7-95p. Any optional subelements are ordered by non-decre</w:t>
      </w:r>
      <w:r w:rsidR="007572C5" w:rsidRPr="009448FC">
        <w:rPr>
          <w:rFonts w:eastAsia="SimSun"/>
        </w:rPr>
        <w:t xml:space="preserve">asing </w:t>
      </w:r>
      <w:r w:rsidRPr="009448FC">
        <w:rPr>
          <w:rFonts w:eastAsia="SimSun"/>
        </w:rPr>
        <w:t>Subelement</w:t>
      </w:r>
      <w:r w:rsidR="00D47A9E">
        <w:rPr>
          <w:rFonts w:eastAsia="SimSun"/>
        </w:rPr>
        <w:t xml:space="preserve"> </w:t>
      </w:r>
      <w:r w:rsidR="00572C2F" w:rsidRPr="009448FC">
        <w:rPr>
          <w:rFonts w:eastAsia="SimSun"/>
        </w:rPr>
        <w:t>ID.</w:t>
      </w:r>
    </w:p>
    <w:p w:rsidR="001144ED" w:rsidRPr="009448FC" w:rsidRDefault="001144ED" w:rsidP="00BB4999">
      <w:pPr>
        <w:autoSpaceDE w:val="0"/>
        <w:autoSpaceDN w:val="0"/>
        <w:adjustRightInd w:val="0"/>
        <w:rPr>
          <w:rFonts w:eastAsia="SimSun"/>
        </w:rPr>
      </w:pPr>
    </w:p>
    <w:p w:rsidR="001144ED" w:rsidRPr="009448FC" w:rsidRDefault="00FA5C02" w:rsidP="003701DB">
      <w:pPr>
        <w:pStyle w:val="Heading4"/>
        <w:numPr>
          <w:ilvl w:val="3"/>
          <w:numId w:val="74"/>
        </w:numPr>
      </w:pPr>
      <w:bookmarkStart w:id="489" w:name="_Toc259716918"/>
      <w:r w:rsidRPr="009448FC">
        <w:t xml:space="preserve">RSN </w:t>
      </w:r>
      <w:r w:rsidR="00C73B46" w:rsidRPr="009448FC">
        <w:t xml:space="preserve">information </w:t>
      </w:r>
      <w:r w:rsidRPr="009448FC">
        <w:t>element</w:t>
      </w:r>
      <w:bookmarkEnd w:id="489"/>
      <w:r w:rsidRPr="009448FC">
        <w:t xml:space="preserve"> </w:t>
      </w:r>
    </w:p>
    <w:p w:rsidR="00C04196" w:rsidRPr="009448FC" w:rsidRDefault="00C04196" w:rsidP="00C73B46">
      <w:pPr>
        <w:rPr>
          <w:rFonts w:eastAsia="SimSun"/>
        </w:rPr>
      </w:pPr>
      <w:r w:rsidRPr="009448FC">
        <w:rPr>
          <w:i/>
        </w:rPr>
        <w:t>.11 Editor Note: include a “</w:t>
      </w:r>
      <w:r w:rsidRPr="009448FC">
        <w:rPr>
          <w:rFonts w:eastAsia="SimSun"/>
        </w:rPr>
        <w:t>Joint Multi-band RSNA</w:t>
      </w:r>
      <w:r w:rsidRPr="009448FC">
        <w:rPr>
          <w:i/>
        </w:rPr>
        <w:t>” subfield with a length of 1 bit in RSN Capabilities field and define it as follows: “</w:t>
      </w:r>
      <w:r w:rsidRPr="009448FC">
        <w:t xml:space="preserve">A STA sets the </w:t>
      </w:r>
      <w:r w:rsidRPr="009448FC">
        <w:rPr>
          <w:rFonts w:eastAsia="SimSun"/>
        </w:rPr>
        <w:t>Joint Multi-band RSNA subfield to 1 to indicate that it supports the Joint Multi-band RSNA (</w:t>
      </w:r>
      <w:r w:rsidR="00BD151C" w:rsidRPr="009448FC">
        <w:rPr>
          <w:rFonts w:eastAsia="SimSun"/>
        </w:rPr>
        <w:fldChar w:fldCharType="begin"/>
      </w:r>
      <w:r w:rsidR="00B2110C" w:rsidRPr="009448FC">
        <w:rPr>
          <w:rFonts w:eastAsia="SimSun"/>
        </w:rPr>
        <w:instrText xml:space="preserve"> REF _Ref246121609 \r \h </w:instrText>
      </w:r>
      <w:r w:rsidR="00BD151C" w:rsidRPr="009448FC">
        <w:rPr>
          <w:rFonts w:eastAsia="SimSun"/>
        </w:rPr>
      </w:r>
      <w:r w:rsidR="00BD151C" w:rsidRPr="009448FC">
        <w:rPr>
          <w:rFonts w:eastAsia="SimSun"/>
        </w:rPr>
        <w:fldChar w:fldCharType="separate"/>
      </w:r>
      <w:r w:rsidR="003E4210">
        <w:rPr>
          <w:rFonts w:eastAsia="SimSun"/>
        </w:rPr>
        <w:t>8.4.12</w:t>
      </w:r>
      <w:r w:rsidR="00BD151C" w:rsidRPr="009448FC">
        <w:rPr>
          <w:rFonts w:eastAsia="SimSun"/>
        </w:rPr>
        <w:fldChar w:fldCharType="end"/>
      </w:r>
      <w:r w:rsidRPr="009448FC">
        <w:rPr>
          <w:rFonts w:eastAsia="SimSun"/>
        </w:rPr>
        <w:t>). Otherwise, the subfield is set to 0.”</w:t>
      </w:r>
    </w:p>
    <w:p w:rsidR="00C04196" w:rsidRPr="009448FC" w:rsidRDefault="00C04196" w:rsidP="00C73B46">
      <w:pPr>
        <w:rPr>
          <w:rFonts w:eastAsia="SimSun"/>
        </w:rPr>
      </w:pPr>
    </w:p>
    <w:p w:rsidR="001144ED" w:rsidRPr="009448FC" w:rsidRDefault="00951DD2" w:rsidP="003701DB">
      <w:pPr>
        <w:pStyle w:val="Heading5"/>
        <w:numPr>
          <w:ilvl w:val="4"/>
          <w:numId w:val="161"/>
        </w:numPr>
      </w:pPr>
      <w:bookmarkStart w:id="490" w:name="_Toc259716919"/>
      <w:r w:rsidRPr="009448FC">
        <w:t>Cipher suites</w:t>
      </w:r>
      <w:bookmarkEnd w:id="490"/>
    </w:p>
    <w:p w:rsidR="00D76A4F" w:rsidRPr="009448FC" w:rsidRDefault="00C04196" w:rsidP="00D76A4F">
      <w:pPr>
        <w:pStyle w:val="Editinginstruction"/>
        <w:rPr>
          <w:b w:val="0"/>
        </w:rPr>
      </w:pPr>
      <w:r w:rsidRPr="009448FC">
        <w:rPr>
          <w:b w:val="0"/>
        </w:rPr>
        <w:t xml:space="preserve">.11 Editor Note: </w:t>
      </w:r>
      <w:r w:rsidR="00D76A4F" w:rsidRPr="009448FC">
        <w:rPr>
          <w:b w:val="0"/>
        </w:rPr>
        <w:t>Edit Table 7-32 to include suite type for GCMP:</w:t>
      </w:r>
    </w:p>
    <w:p w:rsidR="00D76A4F" w:rsidRPr="009448FC" w:rsidRDefault="00D76A4F" w:rsidP="00D76A4F"/>
    <w:p w:rsidR="00D76A4F" w:rsidRPr="009448FC" w:rsidRDefault="00D76A4F" w:rsidP="00D76A4F">
      <w:pPr>
        <w:jc w:val="center"/>
        <w:rPr>
          <w:b/>
        </w:rPr>
      </w:pPr>
      <w:r w:rsidRPr="009448FC">
        <w:rPr>
          <w:b/>
        </w:rPr>
        <w:t>Table 7-32 – Cipher suite selectors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1296"/>
        <w:gridCol w:w="3192"/>
      </w:tblGrid>
      <w:tr w:rsidR="00D76A4F" w:rsidRPr="00066F65" w:rsidTr="00D0037C">
        <w:trPr>
          <w:jc w:val="center"/>
        </w:trPr>
        <w:tc>
          <w:tcPr>
            <w:tcW w:w="1320" w:type="dxa"/>
          </w:tcPr>
          <w:p w:rsidR="00D76A4F" w:rsidRPr="009448FC" w:rsidRDefault="00D76A4F" w:rsidP="00D0037C">
            <w:pPr>
              <w:jc w:val="both"/>
              <w:rPr>
                <w:rFonts w:eastAsia="SimSun"/>
                <w:b/>
              </w:rPr>
            </w:pPr>
            <w:r w:rsidRPr="009448FC">
              <w:rPr>
                <w:rFonts w:eastAsia="SimSun"/>
                <w:b/>
              </w:rPr>
              <w:t>OUI</w:t>
            </w:r>
          </w:p>
        </w:tc>
        <w:tc>
          <w:tcPr>
            <w:tcW w:w="1296" w:type="dxa"/>
          </w:tcPr>
          <w:p w:rsidR="00D76A4F" w:rsidRPr="009448FC" w:rsidRDefault="00D76A4F" w:rsidP="00D0037C">
            <w:pPr>
              <w:jc w:val="both"/>
              <w:rPr>
                <w:rFonts w:eastAsia="SimSun"/>
                <w:b/>
              </w:rPr>
            </w:pPr>
            <w:r w:rsidRPr="009448FC">
              <w:rPr>
                <w:rFonts w:eastAsia="SimSun"/>
                <w:b/>
              </w:rPr>
              <w:t>Suite type</w:t>
            </w:r>
          </w:p>
        </w:tc>
        <w:tc>
          <w:tcPr>
            <w:tcW w:w="3192" w:type="dxa"/>
          </w:tcPr>
          <w:p w:rsidR="00D76A4F" w:rsidRPr="009448FC" w:rsidRDefault="00D76A4F" w:rsidP="00D0037C">
            <w:pPr>
              <w:jc w:val="both"/>
              <w:rPr>
                <w:rFonts w:eastAsia="SimSun"/>
                <w:b/>
              </w:rPr>
            </w:pPr>
            <w:r w:rsidRPr="009448FC">
              <w:rPr>
                <w:rFonts w:eastAsia="SimSun"/>
                <w:b/>
              </w:rPr>
              <w:t>Meaning</w:t>
            </w:r>
          </w:p>
        </w:tc>
      </w:tr>
      <w:tr w:rsidR="00D76A4F" w:rsidRPr="00066F65" w:rsidTr="00D0037C">
        <w:trPr>
          <w:jc w:val="center"/>
        </w:trPr>
        <w:tc>
          <w:tcPr>
            <w:tcW w:w="1320" w:type="dxa"/>
          </w:tcPr>
          <w:p w:rsidR="00D76A4F" w:rsidRPr="00066F65" w:rsidRDefault="00D76A4F" w:rsidP="00D0037C">
            <w:pPr>
              <w:jc w:val="both"/>
              <w:rPr>
                <w:rFonts w:eastAsia="SimSun"/>
                <w:u w:val="single"/>
              </w:rPr>
            </w:pPr>
            <w:r w:rsidRPr="00066F65">
              <w:rPr>
                <w:rFonts w:eastAsia="SimSun"/>
                <w:u w:val="single"/>
              </w:rPr>
              <w:t>00-0F-AC</w:t>
            </w:r>
          </w:p>
        </w:tc>
        <w:tc>
          <w:tcPr>
            <w:tcW w:w="1296" w:type="dxa"/>
          </w:tcPr>
          <w:p w:rsidR="00D76A4F" w:rsidRPr="00066F65" w:rsidRDefault="00D76A4F" w:rsidP="00D0037C">
            <w:pPr>
              <w:jc w:val="both"/>
              <w:rPr>
                <w:rFonts w:eastAsia="SimSun"/>
                <w:u w:val="single"/>
              </w:rPr>
            </w:pPr>
            <w:r w:rsidRPr="00066F65">
              <w:rPr>
                <w:rFonts w:eastAsia="SimSun"/>
                <w:u w:val="single"/>
              </w:rPr>
              <w:t>&lt;ANA&gt;</w:t>
            </w:r>
          </w:p>
        </w:tc>
        <w:tc>
          <w:tcPr>
            <w:tcW w:w="3192" w:type="dxa"/>
          </w:tcPr>
          <w:p w:rsidR="00D76A4F" w:rsidRPr="00066F65" w:rsidRDefault="00D76A4F" w:rsidP="00D0037C">
            <w:pPr>
              <w:jc w:val="both"/>
              <w:rPr>
                <w:rFonts w:eastAsia="SimSun"/>
                <w:u w:val="single"/>
              </w:rPr>
            </w:pPr>
            <w:r w:rsidRPr="00066F65">
              <w:rPr>
                <w:rFonts w:eastAsia="SimSun"/>
                <w:u w:val="single"/>
              </w:rPr>
              <w:t>GCMP – default for an RSNA when operating in the 60 GHz band</w:t>
            </w:r>
          </w:p>
        </w:tc>
      </w:tr>
    </w:tbl>
    <w:p w:rsidR="00D76A4F" w:rsidRPr="00066F65" w:rsidRDefault="00D76A4F" w:rsidP="00D76A4F">
      <w:pPr>
        <w:rPr>
          <w:u w:val="single"/>
        </w:rPr>
      </w:pPr>
    </w:p>
    <w:p w:rsidR="00D76A4F" w:rsidRDefault="00D76A4F" w:rsidP="00D76A4F">
      <w:pPr>
        <w:rPr>
          <w:u w:val="single"/>
        </w:rPr>
      </w:pPr>
      <w:r w:rsidRPr="00066F65">
        <w:rPr>
          <w:u w:val="single"/>
        </w:rPr>
        <w:t>The cipher suite selector 00-0F-AC:&lt;ANA&gt; (GCMP) shall be the only cipher suite value for a</w:t>
      </w:r>
      <w:r w:rsidR="002F0A96" w:rsidRPr="00066F65">
        <w:rPr>
          <w:u w:val="single"/>
        </w:rPr>
        <w:t>n</w:t>
      </w:r>
      <w:r w:rsidRPr="00066F65">
        <w:rPr>
          <w:u w:val="single"/>
        </w:rPr>
        <w:t xml:space="preserve"> </w:t>
      </w:r>
      <w:r w:rsidR="00B96FB9" w:rsidRPr="00066F65">
        <w:rPr>
          <w:u w:val="single"/>
        </w:rPr>
        <w:t>mSTA</w:t>
      </w:r>
      <w:r w:rsidR="009D4018">
        <w:rPr>
          <w:u w:val="single"/>
        </w:rPr>
        <w:t xml:space="preserve"> </w:t>
      </w:r>
      <w:r w:rsidR="009D4018">
        <w:rPr>
          <w:rFonts w:ascii="TimesNewRomanPSMT" w:hAnsi="TimesNewRomanPSMT"/>
          <w:u w:val="single"/>
        </w:rPr>
        <w:t>operating in UB</w:t>
      </w:r>
      <w:r w:rsidRPr="00066F65">
        <w:rPr>
          <w:u w:val="single"/>
        </w:rPr>
        <w:t>.</w:t>
      </w:r>
      <w:r w:rsidR="0053357F">
        <w:rPr>
          <w:u w:val="single"/>
        </w:rPr>
        <w:t xml:space="preserve"> </w:t>
      </w:r>
    </w:p>
    <w:p w:rsidR="00A046B4" w:rsidRDefault="00A046B4" w:rsidP="00D76A4F">
      <w:pPr>
        <w:rPr>
          <w:u w:val="single"/>
        </w:rPr>
      </w:pPr>
    </w:p>
    <w:p w:rsidR="00C43581" w:rsidRPr="00533F95" w:rsidRDefault="00C43581" w:rsidP="00C43581">
      <w:pPr>
        <w:autoSpaceDE w:val="0"/>
        <w:autoSpaceDN w:val="0"/>
        <w:adjustRightInd w:val="0"/>
        <w:jc w:val="both"/>
        <w:rPr>
          <w:rFonts w:eastAsia="Arial Unicode MS"/>
          <w:bCs/>
          <w:iCs/>
          <w:u w:val="single"/>
          <w:lang w:eastAsia="ar-SA" w:bidi="ar-SA"/>
        </w:rPr>
      </w:pPr>
      <w:r w:rsidRPr="00533F95">
        <w:rPr>
          <w:rFonts w:eastAsia="Arial Unicode MS"/>
          <w:bCs/>
          <w:iCs/>
          <w:u w:val="single"/>
          <w:lang w:eastAsia="ar-SA" w:bidi="ar-SA"/>
        </w:rPr>
        <w:t xml:space="preserve">If a </w:t>
      </w:r>
      <w:r w:rsidR="00A046B4">
        <w:rPr>
          <w:rFonts w:eastAsia="Arial Unicode MS"/>
          <w:bCs/>
          <w:iCs/>
          <w:u w:val="single"/>
          <w:lang w:eastAsia="ar-SA" w:bidi="ar-SA"/>
        </w:rPr>
        <w:t xml:space="preserve">pair of </w:t>
      </w:r>
      <w:r w:rsidRPr="00533F95">
        <w:rPr>
          <w:rFonts w:eastAsia="Arial Unicode MS"/>
          <w:bCs/>
          <w:iCs/>
          <w:u w:val="single"/>
          <w:lang w:eastAsia="ar-SA" w:bidi="ar-SA"/>
        </w:rPr>
        <w:t>multi-band capable mSTA</w:t>
      </w:r>
      <w:r w:rsidR="00A046B4">
        <w:rPr>
          <w:rFonts w:eastAsia="Arial Unicode MS"/>
          <w:bCs/>
          <w:iCs/>
          <w:u w:val="single"/>
          <w:lang w:eastAsia="ar-SA" w:bidi="ar-SA"/>
        </w:rPr>
        <w:t>s</w:t>
      </w:r>
      <w:r w:rsidRPr="00533F95">
        <w:rPr>
          <w:rFonts w:eastAsia="Arial Unicode MS"/>
          <w:bCs/>
          <w:iCs/>
          <w:u w:val="single"/>
          <w:lang w:eastAsia="ar-SA" w:bidi="ar-SA"/>
        </w:rPr>
        <w:t xml:space="preserve"> </w:t>
      </w:r>
      <w:r w:rsidR="00A046B4">
        <w:rPr>
          <w:rFonts w:eastAsia="Arial Unicode MS"/>
          <w:bCs/>
          <w:iCs/>
          <w:u w:val="single"/>
          <w:lang w:eastAsia="ar-SA" w:bidi="ar-SA"/>
        </w:rPr>
        <w:t>support</w:t>
      </w:r>
      <w:r w:rsidRPr="00533F95">
        <w:rPr>
          <w:rFonts w:eastAsia="Arial Unicode MS"/>
          <w:bCs/>
          <w:iCs/>
          <w:u w:val="single"/>
          <w:lang w:eastAsia="ar-SA" w:bidi="ar-SA"/>
        </w:rPr>
        <w:t xml:space="preserve"> GCMP in a band other than the UB, GCMP shall be the only valid option for the</w:t>
      </w:r>
      <w:r w:rsidR="00A046B4">
        <w:rPr>
          <w:rFonts w:eastAsia="Arial Unicode MS"/>
          <w:bCs/>
          <w:iCs/>
          <w:u w:val="single"/>
          <w:lang w:eastAsia="ar-SA" w:bidi="ar-SA"/>
        </w:rPr>
        <w:t xml:space="preserve"> mSTA pair in that</w:t>
      </w:r>
      <w:r w:rsidRPr="00533F95">
        <w:rPr>
          <w:rFonts w:eastAsia="Arial Unicode MS"/>
          <w:bCs/>
          <w:iCs/>
          <w:u w:val="single"/>
          <w:lang w:eastAsia="ar-SA" w:bidi="ar-SA"/>
        </w:rPr>
        <w:t xml:space="preserve"> band.</w:t>
      </w:r>
      <w:r w:rsidR="00D11F2E">
        <w:rPr>
          <w:rFonts w:eastAsia="Arial Unicode MS"/>
          <w:bCs/>
          <w:iCs/>
          <w:u w:val="single"/>
          <w:lang w:eastAsia="ar-SA" w:bidi="ar-SA"/>
        </w:rPr>
        <w:t xml:space="preserve"> </w:t>
      </w:r>
    </w:p>
    <w:p w:rsidR="00C43581" w:rsidRPr="00066F65" w:rsidRDefault="00C43581" w:rsidP="00D76A4F">
      <w:pPr>
        <w:rPr>
          <w:u w:val="single"/>
        </w:rPr>
      </w:pPr>
    </w:p>
    <w:p w:rsidR="00276E77" w:rsidRPr="00066F65" w:rsidRDefault="00276E77" w:rsidP="00D76A4F">
      <w:pPr>
        <w:rPr>
          <w:u w:val="single"/>
        </w:rPr>
      </w:pPr>
    </w:p>
    <w:p w:rsidR="00217E09" w:rsidRPr="009448FC" w:rsidRDefault="00217E09" w:rsidP="00217E09">
      <w:pPr>
        <w:pStyle w:val="Editinginstruction"/>
        <w:rPr>
          <w:b w:val="0"/>
        </w:rPr>
      </w:pPr>
      <w:r w:rsidRPr="009448FC">
        <w:rPr>
          <w:b w:val="0"/>
        </w:rPr>
        <w:t>.11 Editor - Add a row at the end of Table 7-33 for the GCMP cipher suite selector:</w:t>
      </w:r>
    </w:p>
    <w:p w:rsidR="00217E09" w:rsidRPr="009448FC" w:rsidRDefault="00217E09" w:rsidP="00217E09"/>
    <w:p w:rsidR="00217E09" w:rsidRPr="009448FC" w:rsidRDefault="00217E09" w:rsidP="00217E09">
      <w:pPr>
        <w:jc w:val="center"/>
        <w:rPr>
          <w:b/>
        </w:rPr>
      </w:pPr>
      <w:r w:rsidRPr="009448FC">
        <w:rPr>
          <w:b/>
        </w:rPr>
        <w:t>Table 7-33 – Cipher suite usage</w:t>
      </w:r>
    </w:p>
    <w:tbl>
      <w:tblPr>
        <w:tblW w:w="849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439"/>
        <w:gridCol w:w="1829"/>
        <w:gridCol w:w="2070"/>
        <w:gridCol w:w="2160"/>
      </w:tblGrid>
      <w:tr w:rsidR="00D0037C" w:rsidRPr="00066F65" w:rsidTr="00A0017B">
        <w:trPr>
          <w:jc w:val="center"/>
        </w:trPr>
        <w:tc>
          <w:tcPr>
            <w:tcW w:w="2439" w:type="dxa"/>
          </w:tcPr>
          <w:p w:rsidR="00217E09" w:rsidRPr="009448FC" w:rsidRDefault="00217E09" w:rsidP="00D0037C">
            <w:pPr>
              <w:pBdr>
                <w:top w:val="single" w:sz="6" w:space="1" w:color="auto"/>
              </w:pBdr>
              <w:tabs>
                <w:tab w:val="center" w:pos="6480"/>
                <w:tab w:val="right" w:pos="12960"/>
              </w:tabs>
              <w:jc w:val="center"/>
              <w:rPr>
                <w:b/>
              </w:rPr>
            </w:pPr>
            <w:r w:rsidRPr="009448FC">
              <w:rPr>
                <w:b/>
              </w:rPr>
              <w:lastRenderedPageBreak/>
              <w:t>Cipher suite selector</w:t>
            </w:r>
          </w:p>
        </w:tc>
        <w:tc>
          <w:tcPr>
            <w:tcW w:w="1829" w:type="dxa"/>
          </w:tcPr>
          <w:p w:rsidR="00217E09" w:rsidRPr="009448FC" w:rsidRDefault="00217E09" w:rsidP="00D0037C">
            <w:pPr>
              <w:pBdr>
                <w:top w:val="single" w:sz="6" w:space="1" w:color="auto"/>
              </w:pBdr>
              <w:tabs>
                <w:tab w:val="center" w:pos="6480"/>
                <w:tab w:val="right" w:pos="12960"/>
              </w:tabs>
              <w:jc w:val="center"/>
              <w:rPr>
                <w:b/>
              </w:rPr>
            </w:pPr>
            <w:r w:rsidRPr="009448FC">
              <w:rPr>
                <w:b/>
              </w:rPr>
              <w:t>GTK</w:t>
            </w:r>
          </w:p>
        </w:tc>
        <w:tc>
          <w:tcPr>
            <w:tcW w:w="2070" w:type="dxa"/>
          </w:tcPr>
          <w:p w:rsidR="00217E09" w:rsidRPr="009448FC" w:rsidRDefault="00217E09" w:rsidP="00D0037C">
            <w:pPr>
              <w:pBdr>
                <w:top w:val="single" w:sz="6" w:space="1" w:color="auto"/>
              </w:pBdr>
              <w:tabs>
                <w:tab w:val="center" w:pos="6480"/>
                <w:tab w:val="right" w:pos="12960"/>
              </w:tabs>
              <w:jc w:val="center"/>
              <w:rPr>
                <w:b/>
              </w:rPr>
            </w:pPr>
            <w:r w:rsidRPr="009448FC">
              <w:rPr>
                <w:b/>
              </w:rPr>
              <w:t>PTK</w:t>
            </w:r>
          </w:p>
        </w:tc>
        <w:tc>
          <w:tcPr>
            <w:tcW w:w="2160" w:type="dxa"/>
          </w:tcPr>
          <w:p w:rsidR="00217E09" w:rsidRPr="009448FC" w:rsidRDefault="00217E09" w:rsidP="00D0037C">
            <w:pPr>
              <w:pBdr>
                <w:top w:val="single" w:sz="6" w:space="1" w:color="auto"/>
              </w:pBdr>
              <w:tabs>
                <w:tab w:val="center" w:pos="6480"/>
                <w:tab w:val="right" w:pos="12960"/>
              </w:tabs>
              <w:jc w:val="center"/>
              <w:rPr>
                <w:b/>
              </w:rPr>
            </w:pPr>
            <w:r w:rsidRPr="009448FC">
              <w:rPr>
                <w:b/>
              </w:rPr>
              <w:t>IGTK</w:t>
            </w:r>
          </w:p>
        </w:tc>
      </w:tr>
      <w:tr w:rsidR="00D0037C" w:rsidRPr="00066F65" w:rsidTr="00A0017B">
        <w:trPr>
          <w:jc w:val="center"/>
        </w:trPr>
        <w:tc>
          <w:tcPr>
            <w:tcW w:w="2439"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GCMP</w:t>
            </w:r>
          </w:p>
        </w:tc>
        <w:tc>
          <w:tcPr>
            <w:tcW w:w="1829"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Yes</w:t>
            </w:r>
          </w:p>
        </w:tc>
        <w:tc>
          <w:tcPr>
            <w:tcW w:w="2070"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Yes</w:t>
            </w:r>
          </w:p>
        </w:tc>
        <w:tc>
          <w:tcPr>
            <w:tcW w:w="2160"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No</w:t>
            </w:r>
          </w:p>
        </w:tc>
      </w:tr>
    </w:tbl>
    <w:p w:rsidR="006A5868" w:rsidRPr="00066F65" w:rsidRDefault="006A5868" w:rsidP="00217E09">
      <w:pPr>
        <w:jc w:val="both"/>
        <w:rPr>
          <w:u w:val="single"/>
        </w:rPr>
      </w:pPr>
    </w:p>
    <w:p w:rsidR="006A5868" w:rsidRPr="009448FC" w:rsidRDefault="00D96495" w:rsidP="003701DB">
      <w:pPr>
        <w:pStyle w:val="Heading5"/>
        <w:numPr>
          <w:ilvl w:val="4"/>
          <w:numId w:val="162"/>
        </w:numPr>
      </w:pPr>
      <w:bookmarkStart w:id="491" w:name="_Toc259716920"/>
      <w:r w:rsidRPr="009448FC">
        <w:t>RSNA capabilities</w:t>
      </w:r>
      <w:bookmarkEnd w:id="491"/>
      <w:r w:rsidRPr="009448FC">
        <w:t xml:space="preserve"> </w:t>
      </w:r>
    </w:p>
    <w:p w:rsidR="00A05419" w:rsidRPr="009448FC" w:rsidRDefault="00A05419" w:rsidP="00A05419">
      <w:pPr>
        <w:pStyle w:val="Editinginstruction"/>
        <w:rPr>
          <w:b w:val="0"/>
        </w:rPr>
      </w:pPr>
      <w:r w:rsidRPr="009448FC">
        <w:rPr>
          <w:b w:val="0"/>
        </w:rPr>
        <w:t>.11 Editor – Edit Figure 7-74 to include an “</w:t>
      </w:r>
      <w:r w:rsidRPr="009448FC">
        <w:rPr>
          <w:b w:val="0"/>
          <w:i w:val="0"/>
        </w:rPr>
        <w:t>Extended KeyID for Unicast</w:t>
      </w:r>
      <w:r w:rsidRPr="009448FC">
        <w:rPr>
          <w:b w:val="0"/>
        </w:rPr>
        <w:t>” subfield</w:t>
      </w:r>
      <w:r w:rsidR="00281486" w:rsidRPr="009448FC">
        <w:rPr>
          <w:b w:val="0"/>
        </w:rPr>
        <w:t xml:space="preserve"> </w:t>
      </w:r>
    </w:p>
    <w:p w:rsidR="00A05419" w:rsidRPr="009448FC" w:rsidRDefault="00A05419" w:rsidP="00A05419"/>
    <w:p w:rsidR="006A5868" w:rsidRPr="00066F65" w:rsidRDefault="00EC2646" w:rsidP="002466D4">
      <w:pPr>
        <w:jc w:val="both"/>
        <w:rPr>
          <w:u w:val="single"/>
        </w:rPr>
      </w:pPr>
      <w:r w:rsidRPr="00066F65">
        <w:rPr>
          <w:u w:val="single"/>
        </w:rPr>
        <w:t>Bit 10: Extended Key ID for Unicast. This subfield is set to 1 to indicate that the STA supports Key ID values in the range 0 through 1 for a PTKSA and STKSA when the cipher suite is GCMP. A value of 0 indicates that the STA only supports Key ID 0 for a PTKSA and STKSA.</w:t>
      </w:r>
      <w:r w:rsidR="00964A34" w:rsidRPr="00066F65">
        <w:rPr>
          <w:b/>
          <w:bCs/>
          <w:i/>
          <w:iCs/>
          <w:color w:val="FF0000"/>
          <w:u w:val="single"/>
        </w:rPr>
        <w:t xml:space="preserve"> </w:t>
      </w:r>
    </w:p>
    <w:p w:rsidR="00D76A4F" w:rsidRPr="009448FC" w:rsidRDefault="00D76A4F" w:rsidP="00BB4999">
      <w:pPr>
        <w:autoSpaceDE w:val="0"/>
        <w:autoSpaceDN w:val="0"/>
        <w:adjustRightInd w:val="0"/>
        <w:rPr>
          <w:rFonts w:eastAsia="SimSun"/>
          <w:b/>
        </w:rPr>
      </w:pPr>
    </w:p>
    <w:p w:rsidR="00610EFF" w:rsidRPr="009448FC" w:rsidRDefault="00E75286" w:rsidP="003701DB">
      <w:pPr>
        <w:pStyle w:val="Heading4"/>
        <w:numPr>
          <w:ilvl w:val="3"/>
          <w:numId w:val="150"/>
        </w:numPr>
      </w:pPr>
      <w:bookmarkStart w:id="492" w:name="_Toc235400257"/>
      <w:bookmarkStart w:id="493" w:name="_Ref236674108"/>
      <w:bookmarkStart w:id="494" w:name="_Ref236725223"/>
      <w:bookmarkStart w:id="495" w:name="_Ref236725288"/>
      <w:bookmarkStart w:id="496" w:name="_Ref243383546"/>
      <w:bookmarkStart w:id="497" w:name="_Ref243726337"/>
      <w:bookmarkStart w:id="498" w:name="_Ref243730273"/>
      <w:bookmarkStart w:id="499" w:name="_Ref244146312"/>
      <w:bookmarkStart w:id="500" w:name="_Toc259716921"/>
      <w:r w:rsidRPr="009448FC">
        <w:t>T</w:t>
      </w:r>
      <w:r w:rsidR="00610EFF" w:rsidRPr="009448FC">
        <w:t>SPEC element</w:t>
      </w:r>
      <w:bookmarkEnd w:id="492"/>
      <w:bookmarkEnd w:id="493"/>
      <w:bookmarkEnd w:id="494"/>
      <w:bookmarkEnd w:id="495"/>
      <w:bookmarkEnd w:id="496"/>
      <w:bookmarkEnd w:id="497"/>
      <w:bookmarkEnd w:id="498"/>
      <w:bookmarkEnd w:id="499"/>
      <w:bookmarkEnd w:id="500"/>
      <w:r w:rsidR="00610EFF" w:rsidRPr="009448FC">
        <w:t xml:space="preserve"> </w:t>
      </w:r>
    </w:p>
    <w:p w:rsidR="00610EFF" w:rsidRPr="009448FC" w:rsidRDefault="00610EFF" w:rsidP="00610EFF">
      <w:pPr>
        <w:autoSpaceDE w:val="0"/>
        <w:autoSpaceDN w:val="0"/>
        <w:adjustRightInd w:val="0"/>
        <w:rPr>
          <w:b/>
          <w:i/>
        </w:rPr>
      </w:pPr>
    </w:p>
    <w:p w:rsidR="00610EFF" w:rsidRPr="009448FC" w:rsidRDefault="00610EFF" w:rsidP="00610EFF">
      <w:pPr>
        <w:autoSpaceDE w:val="0"/>
        <w:autoSpaceDN w:val="0"/>
        <w:adjustRightInd w:val="0"/>
        <w:rPr>
          <w:b/>
        </w:rPr>
      </w:pPr>
      <w:r w:rsidRPr="009448FC">
        <w:rPr>
          <w:i/>
        </w:rPr>
        <w:t>.11 Editor’s instructions: add the following sentence after “</w:t>
      </w:r>
      <w:r w:rsidRPr="009448FC">
        <w:t>The element information format comprises the items as defined in this subclause, and the structure is defined in Figure 7-82.</w:t>
      </w:r>
      <w:r w:rsidRPr="009448FC">
        <w:rPr>
          <w:i/>
        </w:rPr>
        <w:t>”</w:t>
      </w:r>
    </w:p>
    <w:p w:rsidR="00A0017B" w:rsidRPr="00066F65" w:rsidRDefault="00A0017B" w:rsidP="00610EFF">
      <w:pPr>
        <w:autoSpaceDE w:val="0"/>
        <w:autoSpaceDN w:val="0"/>
        <w:adjustRightInd w:val="0"/>
        <w:rPr>
          <w:bCs/>
          <w:u w:val="single"/>
        </w:rPr>
      </w:pPr>
    </w:p>
    <w:p w:rsidR="00073145" w:rsidRPr="00073145" w:rsidRDefault="00073145" w:rsidP="00073145">
      <w:pPr>
        <w:rPr>
          <w:b/>
          <w:bCs/>
          <w:i/>
          <w:iCs/>
        </w:rPr>
      </w:pPr>
      <w:r>
        <w:rPr>
          <w:rFonts w:ascii="TimesNewRomanPSMT" w:hAnsi="TimesNewRomanPSMT" w:cs="TimesNewRomanPSMT"/>
          <w:u w:val="single"/>
        </w:rPr>
        <w:t>Note that a PTP TSPEC is a TSPEC exchanged between two non-AP STAs in UB. The</w:t>
      </w:r>
      <w:r w:rsidRPr="00B86520">
        <w:rPr>
          <w:rFonts w:ascii="TimesNewRomanPSMT" w:hAnsi="TimesNewRomanPSMT" w:cs="TimesNewRomanPSMT"/>
          <w:u w:val="single"/>
        </w:rPr>
        <w:t xml:space="preserve"> element format </w:t>
      </w:r>
      <w:r>
        <w:rPr>
          <w:rFonts w:ascii="TimesNewRomanPSMT" w:hAnsi="TimesNewRomanPSMT" w:cs="TimesNewRomanPSMT"/>
          <w:u w:val="single"/>
        </w:rPr>
        <w:t xml:space="preserve">described in this subclause </w:t>
      </w:r>
      <w:r w:rsidRPr="00B86520">
        <w:rPr>
          <w:rFonts w:ascii="TimesNewRomanPSMT" w:hAnsi="TimesNewRomanPSMT" w:cs="TimesNewRomanPSMT"/>
          <w:u w:val="single"/>
        </w:rPr>
        <w:t>applies to the PTP TSPEC unless stated otherwise.</w:t>
      </w:r>
      <w:r w:rsidR="00D11F2E">
        <w:rPr>
          <w:b/>
          <w:bCs/>
          <w:i/>
          <w:iCs/>
        </w:rPr>
        <w:t xml:space="preserve"> </w:t>
      </w:r>
    </w:p>
    <w:p w:rsidR="00610EFF" w:rsidRPr="009448FC" w:rsidRDefault="00610EFF" w:rsidP="00610EFF">
      <w:pPr>
        <w:autoSpaceDE w:val="0"/>
        <w:autoSpaceDN w:val="0"/>
        <w:adjustRightInd w:val="0"/>
        <w:rPr>
          <w:b/>
          <w:sz w:val="28"/>
        </w:rPr>
      </w:pPr>
    </w:p>
    <w:p w:rsidR="00610EFF" w:rsidRPr="009448FC" w:rsidRDefault="00610EFF" w:rsidP="00610EFF">
      <w:pPr>
        <w:autoSpaceDE w:val="0"/>
        <w:autoSpaceDN w:val="0"/>
        <w:adjustRightInd w:val="0"/>
        <w:rPr>
          <w:i/>
        </w:rPr>
      </w:pPr>
      <w:r w:rsidRPr="009448FC">
        <w:rPr>
          <w:i/>
        </w:rPr>
        <w:t>.11 Editor’s instructions: modify the sentence as follows:</w:t>
      </w:r>
    </w:p>
    <w:p w:rsidR="00610EFF" w:rsidRPr="009448FC" w:rsidRDefault="00610EFF" w:rsidP="00610EFF">
      <w:pPr>
        <w:autoSpaceDE w:val="0"/>
        <w:autoSpaceDN w:val="0"/>
        <w:adjustRightInd w:val="0"/>
        <w:rPr>
          <w:i/>
          <w:sz w:val="28"/>
        </w:rPr>
      </w:pPr>
      <w:r w:rsidRPr="009448FC">
        <w:rPr>
          <w:i/>
          <w:sz w:val="28"/>
        </w:rPr>
        <w:t xml:space="preserve"> </w:t>
      </w:r>
    </w:p>
    <w:p w:rsidR="00610EFF" w:rsidRPr="009448FC" w:rsidRDefault="00610EFF" w:rsidP="00610EFF">
      <w:pPr>
        <w:autoSpaceDE w:val="0"/>
        <w:autoSpaceDN w:val="0"/>
        <w:adjustRightInd w:val="0"/>
        <w:rPr>
          <w:rFonts w:eastAsia="MS Mincho"/>
        </w:rPr>
      </w:pPr>
      <w:r w:rsidRPr="009448FC">
        <w:rPr>
          <w:rFonts w:eastAsia="MS Mincho"/>
        </w:rPr>
        <w:t>The HC</w:t>
      </w:r>
      <w:r w:rsidRPr="00066F65">
        <w:rPr>
          <w:rFonts w:eastAsia="MS Mincho"/>
          <w:bCs/>
          <w:u w:val="single"/>
        </w:rPr>
        <w:t>/non-AP</w:t>
      </w:r>
      <w:r w:rsidRPr="009448FC">
        <w:rPr>
          <w:rFonts w:eastAsia="MS Mincho"/>
        </w:rPr>
        <w:t xml:space="preserve"> </w:t>
      </w:r>
      <w:r w:rsidRPr="00066F65">
        <w:rPr>
          <w:rFonts w:eastAsia="MS Mincho"/>
          <w:bCs/>
          <w:u w:val="single"/>
        </w:rPr>
        <w:t>STA that responds with an ADDTS response frame</w:t>
      </w:r>
      <w:r w:rsidRPr="009448FC">
        <w:rPr>
          <w:rFonts w:eastAsia="MS Mincho"/>
        </w:rPr>
        <w:t xml:space="preserve"> may change the value of parameters that have been set unspecified by the STA to any value that it deems appropriate, including leaving them unspecified.</w:t>
      </w:r>
    </w:p>
    <w:p w:rsidR="00610EFF" w:rsidRPr="009448FC" w:rsidRDefault="00610EFF" w:rsidP="00610EFF">
      <w:pPr>
        <w:autoSpaceDE w:val="0"/>
        <w:autoSpaceDN w:val="0"/>
        <w:adjustRightInd w:val="0"/>
        <w:rPr>
          <w:rFonts w:ascii="Arial" w:eastAsia="MS Mincho" w:hAnsi="Arial"/>
          <w:sz w:val="20"/>
        </w:rPr>
      </w:pPr>
    </w:p>
    <w:p w:rsidR="00610EFF" w:rsidRPr="009448FC" w:rsidRDefault="00610EFF" w:rsidP="00610EFF">
      <w:pPr>
        <w:autoSpaceDE w:val="0"/>
        <w:autoSpaceDN w:val="0"/>
        <w:adjustRightInd w:val="0"/>
        <w:rPr>
          <w:i/>
        </w:rPr>
      </w:pPr>
      <w:r w:rsidRPr="009448FC">
        <w:rPr>
          <w:i/>
        </w:rPr>
        <w:t xml:space="preserve">.11 Editor’s instructions: modify </w:t>
      </w:r>
      <w:r w:rsidR="00731AF2" w:rsidRPr="009448FC">
        <w:rPr>
          <w:i/>
        </w:rPr>
        <w:t>(</w:t>
      </w:r>
      <w:r w:rsidRPr="009448FC">
        <w:rPr>
          <w:i/>
        </w:rPr>
        <w:t>Figure 7-83—TS Info field</w:t>
      </w:r>
      <w:r w:rsidR="00731AF2" w:rsidRPr="009448FC">
        <w:rPr>
          <w:i/>
        </w:rPr>
        <w:t>)</w:t>
      </w:r>
      <w:r w:rsidRPr="009448FC">
        <w:rPr>
          <w:i/>
        </w:rPr>
        <w:t xml:space="preserve"> to replace the reserved subfield (B17-B23) as follows</w:t>
      </w:r>
    </w:p>
    <w:p w:rsidR="00610EFF" w:rsidRPr="009448FC" w:rsidRDefault="00610EFF" w:rsidP="00610EFF">
      <w:pPr>
        <w:autoSpaceDE w:val="0"/>
        <w:autoSpaceDN w:val="0"/>
        <w:adjustRightInd w:val="0"/>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3246"/>
        <w:gridCol w:w="3084"/>
      </w:tblGrid>
      <w:tr w:rsidR="00610EFF" w:rsidRPr="00066F65" w:rsidTr="00D0037C">
        <w:tc>
          <w:tcPr>
            <w:tcW w:w="3246"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B17</w:t>
            </w:r>
            <w:r w:rsidR="00281486" w:rsidRPr="00066F65">
              <w:rPr>
                <w:rFonts w:eastAsia="MS Mincho"/>
                <w:iCs/>
                <w:u w:val="single"/>
              </w:rPr>
              <w:t xml:space="preserve"> </w:t>
            </w:r>
            <w:r w:rsidR="00EE1100" w:rsidRPr="00066F65">
              <w:rPr>
                <w:rFonts w:eastAsia="MS Mincho"/>
                <w:iCs/>
                <w:u w:val="single"/>
              </w:rPr>
              <w:t xml:space="preserve"> </w:t>
            </w:r>
            <w:r w:rsidRPr="00066F65">
              <w:rPr>
                <w:rFonts w:eastAsia="MS Mincho"/>
                <w:iCs/>
                <w:u w:val="single"/>
              </w:rPr>
              <w:t>B18</w:t>
            </w:r>
          </w:p>
        </w:tc>
        <w:tc>
          <w:tcPr>
            <w:tcW w:w="3246"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B19</w:t>
            </w:r>
          </w:p>
        </w:tc>
        <w:tc>
          <w:tcPr>
            <w:tcW w:w="3084"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B20</w:t>
            </w:r>
            <w:r w:rsidR="00281486" w:rsidRPr="00066F65">
              <w:rPr>
                <w:rFonts w:eastAsia="MS Mincho"/>
                <w:iCs/>
                <w:u w:val="single"/>
              </w:rPr>
              <w:t xml:space="preserve"> </w:t>
            </w:r>
            <w:r w:rsidR="00EE1100" w:rsidRPr="00066F65">
              <w:rPr>
                <w:rFonts w:eastAsia="MS Mincho"/>
                <w:iCs/>
                <w:u w:val="single"/>
              </w:rPr>
              <w:t xml:space="preserve"> </w:t>
            </w:r>
            <w:r w:rsidRPr="00066F65">
              <w:rPr>
                <w:rFonts w:eastAsia="MS Mincho"/>
                <w:iCs/>
                <w:u w:val="single"/>
              </w:rPr>
              <w:t>B23</w:t>
            </w:r>
          </w:p>
        </w:tc>
      </w:tr>
      <w:tr w:rsidR="00610EFF" w:rsidRPr="00066F65" w:rsidTr="00D0037C">
        <w:tc>
          <w:tcPr>
            <w:tcW w:w="3246"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Reliability</w:t>
            </w:r>
          </w:p>
        </w:tc>
        <w:tc>
          <w:tcPr>
            <w:tcW w:w="3246"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 xml:space="preserve"> A-MSDU subframe </w:t>
            </w:r>
          </w:p>
        </w:tc>
        <w:tc>
          <w:tcPr>
            <w:tcW w:w="3084"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SP TSID</w:t>
            </w:r>
          </w:p>
        </w:tc>
      </w:tr>
    </w:tbl>
    <w:p w:rsidR="00610EFF" w:rsidRPr="009448FC" w:rsidRDefault="00610EFF" w:rsidP="00610EFF">
      <w:pPr>
        <w:autoSpaceDE w:val="0"/>
        <w:autoSpaceDN w:val="0"/>
        <w:adjustRightInd w:val="0"/>
        <w:rPr>
          <w:rFonts w:eastAsia="MS Mincho"/>
          <w:i/>
          <w:sz w:val="28"/>
        </w:rPr>
      </w:pPr>
    </w:p>
    <w:p w:rsidR="00610EFF" w:rsidRPr="009448FC" w:rsidRDefault="00610EFF" w:rsidP="00610EFF">
      <w:pPr>
        <w:autoSpaceDE w:val="0"/>
        <w:autoSpaceDN w:val="0"/>
        <w:adjustRightInd w:val="0"/>
        <w:rPr>
          <w:rFonts w:eastAsia="MS Mincho"/>
          <w:i/>
        </w:rPr>
      </w:pPr>
      <w:r w:rsidRPr="009448FC">
        <w:rPr>
          <w:rFonts w:eastAsia="MS Mincho"/>
          <w:i/>
        </w:rPr>
        <w:t>.11 Editor add the following new paragraph after the paragraph ending with</w:t>
      </w:r>
      <w:r w:rsidR="00281486" w:rsidRPr="009448FC">
        <w:rPr>
          <w:rFonts w:eastAsia="MS Mincho"/>
          <w:i/>
        </w:rPr>
        <w:t xml:space="preserve"> </w:t>
      </w:r>
      <w:r w:rsidRPr="009448FC">
        <w:rPr>
          <w:rFonts w:eastAsia="MS Mincho"/>
          <w:i/>
        </w:rPr>
        <w:t>“</w:t>
      </w:r>
      <w:r w:rsidRPr="009448FC">
        <w:rPr>
          <w:rFonts w:eastAsia="MS Mincho"/>
        </w:rPr>
        <w:t>A bidirectional link request is equivalent to a downlink TS and an uplink TS, each with the same TSID and parameters.</w:t>
      </w:r>
      <w:r w:rsidRPr="009448FC">
        <w:rPr>
          <w:rFonts w:eastAsia="MS Mincho"/>
          <w:i/>
        </w:rPr>
        <w:t>”</w:t>
      </w:r>
    </w:p>
    <w:p w:rsidR="00610EFF" w:rsidRPr="009448FC" w:rsidRDefault="00610EFF" w:rsidP="00610EFF">
      <w:pPr>
        <w:autoSpaceDE w:val="0"/>
        <w:autoSpaceDN w:val="0"/>
        <w:adjustRightInd w:val="0"/>
        <w:rPr>
          <w:rFonts w:eastAsia="MS Mincho"/>
          <w:i/>
          <w:sz w:val="28"/>
        </w:rPr>
      </w:pPr>
    </w:p>
    <w:p w:rsidR="00610EFF" w:rsidRPr="00066F65" w:rsidRDefault="00610EFF" w:rsidP="00610EFF">
      <w:pPr>
        <w:autoSpaceDE w:val="0"/>
        <w:autoSpaceDN w:val="0"/>
        <w:adjustRightInd w:val="0"/>
        <w:rPr>
          <w:rFonts w:eastAsia="MS Mincho"/>
          <w:iCs/>
          <w:u w:val="single"/>
        </w:rPr>
      </w:pPr>
      <w:r w:rsidRPr="00066F65">
        <w:rPr>
          <w:rFonts w:eastAsia="MS Mincho"/>
          <w:iCs/>
          <w:u w:val="single"/>
        </w:rPr>
        <w:t>In a PTP TSPEC the TSID subfield is 4 bits in length and contains a value that is a TSID. The combination of the TSID, Source STA AID, Destination STA AID and Direction subfields identify the TS, in the context of the non-AP STA, to which the TSPEC applies. A non-AP Source STA may use the TSID subfield value for an uplink PTP TSPEC and a non-AP Destination STA may use the same TSID subfield value for a downlink PTP TSPEC at the same time. A bidirectional link request is equivalent to a downlink TS and an uplink TS, each with the same TSID and parameters.</w:t>
      </w:r>
    </w:p>
    <w:p w:rsidR="00610EFF" w:rsidRPr="00066F65" w:rsidRDefault="00610EFF" w:rsidP="00610EFF">
      <w:pPr>
        <w:autoSpaceDE w:val="0"/>
        <w:autoSpaceDN w:val="0"/>
        <w:adjustRightInd w:val="0"/>
        <w:rPr>
          <w:rFonts w:eastAsia="MS Mincho"/>
          <w:iCs/>
          <w:u w:val="single"/>
        </w:rPr>
      </w:pPr>
    </w:p>
    <w:p w:rsidR="00610EFF" w:rsidRPr="009448FC" w:rsidRDefault="00655EA4" w:rsidP="00610EFF">
      <w:pPr>
        <w:autoSpaceDE w:val="0"/>
        <w:autoSpaceDN w:val="0"/>
        <w:adjustRightInd w:val="0"/>
        <w:rPr>
          <w:rFonts w:eastAsia="MS Mincho"/>
          <w:i/>
        </w:rPr>
      </w:pPr>
      <w:r w:rsidRPr="009448FC">
        <w:rPr>
          <w:rFonts w:eastAsia="MS Mincho"/>
        </w:rPr>
        <w:t>.</w:t>
      </w:r>
      <w:r w:rsidR="00610EFF" w:rsidRPr="009448FC">
        <w:rPr>
          <w:i/>
        </w:rPr>
        <w:t xml:space="preserve">11 Editor’s instructions: modify Table 7-38—Direction subfield encoding as follows: </w:t>
      </w:r>
    </w:p>
    <w:p w:rsidR="00610EFF" w:rsidRPr="00066F65" w:rsidRDefault="00610EFF" w:rsidP="00610EFF">
      <w:pPr>
        <w:autoSpaceDE w:val="0"/>
        <w:autoSpaceDN w:val="0"/>
        <w:adjustRightInd w:val="0"/>
        <w:rPr>
          <w:rFonts w:eastAsia="MS Mincho"/>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710"/>
        <w:gridCol w:w="6678"/>
      </w:tblGrid>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t>Bit 5</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Bit 6</w:t>
            </w:r>
          </w:p>
        </w:tc>
        <w:tc>
          <w:tcPr>
            <w:tcW w:w="6678" w:type="dxa"/>
          </w:tcPr>
          <w:p w:rsidR="00610EFF" w:rsidRPr="009448FC" w:rsidRDefault="00610EFF" w:rsidP="00D0037C">
            <w:pPr>
              <w:autoSpaceDE w:val="0"/>
              <w:autoSpaceDN w:val="0"/>
              <w:adjustRightInd w:val="0"/>
              <w:jc w:val="center"/>
              <w:rPr>
                <w:rFonts w:eastAsia="MS Mincho"/>
              </w:rPr>
            </w:pPr>
            <w:r w:rsidRPr="009448FC">
              <w:rPr>
                <w:rFonts w:eastAsia="MS Mincho"/>
              </w:rPr>
              <w:t>Usage</w:t>
            </w:r>
          </w:p>
        </w:tc>
      </w:tr>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6678" w:type="dxa"/>
          </w:tcPr>
          <w:p w:rsidR="00610EFF" w:rsidRPr="00066F65" w:rsidRDefault="00610EFF" w:rsidP="00D0037C">
            <w:pPr>
              <w:autoSpaceDE w:val="0"/>
              <w:autoSpaceDN w:val="0"/>
              <w:adjustRightInd w:val="0"/>
              <w:jc w:val="both"/>
              <w:rPr>
                <w:rFonts w:eastAsia="MS Mincho"/>
                <w:iCs/>
                <w:u w:val="single"/>
              </w:rPr>
            </w:pPr>
            <w:r w:rsidRPr="009448FC">
              <w:rPr>
                <w:rFonts w:eastAsia="MS Mincho"/>
              </w:rPr>
              <w:t>Uplink (MSDUs are sent from the non-AP STA to HC</w:t>
            </w:r>
            <w:r w:rsidR="007164E2" w:rsidRPr="009448FC">
              <w:rPr>
                <w:rFonts w:eastAsia="MS Mincho"/>
              </w:rPr>
              <w:t>)</w:t>
            </w:r>
            <w:r w:rsidRPr="009448FC">
              <w:rPr>
                <w:rFonts w:eastAsia="MS Mincho"/>
              </w:rPr>
              <w:t xml:space="preserve"> </w:t>
            </w:r>
            <w:r w:rsidRPr="00066F65">
              <w:rPr>
                <w:rFonts w:eastAsia="MS Mincho"/>
                <w:iCs/>
                <w:u w:val="single"/>
              </w:rPr>
              <w:t xml:space="preserve">and used in a PTP TSPEC when the ADDTS request frame is sent by the </w:t>
            </w:r>
            <w:r w:rsidRPr="00066F65">
              <w:rPr>
                <w:rFonts w:eastAsia="MS Mincho"/>
                <w:iCs/>
                <w:u w:val="single"/>
              </w:rPr>
              <w:lastRenderedPageBreak/>
              <w:t xml:space="preserve">non-AP Source STA) </w:t>
            </w:r>
          </w:p>
        </w:tc>
      </w:tr>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lastRenderedPageBreak/>
              <w:t>1</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6678" w:type="dxa"/>
          </w:tcPr>
          <w:p w:rsidR="00610EFF" w:rsidRPr="009448FC" w:rsidRDefault="00610EFF" w:rsidP="00D0037C">
            <w:pPr>
              <w:autoSpaceDE w:val="0"/>
              <w:autoSpaceDN w:val="0"/>
              <w:adjustRightInd w:val="0"/>
              <w:jc w:val="both"/>
              <w:rPr>
                <w:rFonts w:eastAsia="MS Mincho"/>
              </w:rPr>
            </w:pPr>
            <w:r w:rsidRPr="009448FC">
              <w:rPr>
                <w:rFonts w:eastAsia="MS Mincho"/>
              </w:rPr>
              <w:t>Downlink (MSDUs are sent from the HC to the non-AP STA</w:t>
            </w:r>
            <w:r w:rsidR="00D90CC7" w:rsidRPr="009448FC">
              <w:rPr>
                <w:rFonts w:eastAsia="MS Mincho"/>
              </w:rPr>
              <w:t xml:space="preserve"> </w:t>
            </w:r>
            <w:r w:rsidRPr="00066F65">
              <w:rPr>
                <w:rFonts w:eastAsia="MS Mincho"/>
                <w:iCs/>
                <w:u w:val="single"/>
              </w:rPr>
              <w:t>and used in a PTP TSPEC when the ADDTS request frame is sent by the non-AP Destination STA)</w:t>
            </w:r>
          </w:p>
        </w:tc>
      </w:tr>
    </w:tbl>
    <w:p w:rsidR="00610EFF" w:rsidRPr="00066F65" w:rsidRDefault="00610EFF" w:rsidP="00610EFF">
      <w:pPr>
        <w:autoSpaceDE w:val="0"/>
        <w:autoSpaceDN w:val="0"/>
        <w:adjustRightInd w:val="0"/>
        <w:rPr>
          <w:rFonts w:eastAsia="MS Mincho"/>
          <w:iCs/>
          <w:u w:val="single"/>
        </w:rPr>
      </w:pPr>
    </w:p>
    <w:p w:rsidR="00610EFF" w:rsidRPr="009448FC" w:rsidRDefault="00610EFF" w:rsidP="00610EFF">
      <w:pPr>
        <w:autoSpaceDE w:val="0"/>
        <w:autoSpaceDN w:val="0"/>
        <w:adjustRightInd w:val="0"/>
        <w:rPr>
          <w:i/>
        </w:rPr>
      </w:pPr>
      <w:r w:rsidRPr="009448FC">
        <w:rPr>
          <w:i/>
        </w:rPr>
        <w:t>.11 Editor’s instructions: in the Table 7-39—Access Policy subfield replace “</w:t>
      </w:r>
      <w:r w:rsidRPr="009448FC">
        <w:t>Reserved</w:t>
      </w:r>
      <w:r w:rsidRPr="009448FC">
        <w:rPr>
          <w:i/>
        </w:rPr>
        <w:t>” by “</w:t>
      </w:r>
      <w:r w:rsidRPr="00066F65">
        <w:rPr>
          <w:u w:val="single"/>
        </w:rPr>
        <w:t>mmWave PBSS</w:t>
      </w:r>
      <w:r w:rsidRPr="009448FC">
        <w:rPr>
          <w:i/>
        </w:rPr>
        <w:t>”</w:t>
      </w:r>
    </w:p>
    <w:p w:rsidR="00610EFF" w:rsidRPr="009448FC" w:rsidRDefault="00610EFF" w:rsidP="00610EFF">
      <w:pPr>
        <w:autoSpaceDE w:val="0"/>
        <w:autoSpaceDN w:val="0"/>
        <w:adjustRightInd w:val="0"/>
        <w:rPr>
          <w:i/>
          <w:sz w:val="28"/>
        </w:rPr>
      </w:pPr>
    </w:p>
    <w:p w:rsidR="00610EFF" w:rsidRPr="009448FC" w:rsidRDefault="00610EFF" w:rsidP="00610EFF">
      <w:pPr>
        <w:autoSpaceDE w:val="0"/>
        <w:autoSpaceDN w:val="0"/>
        <w:adjustRightInd w:val="0"/>
        <w:rPr>
          <w:i/>
        </w:rPr>
      </w:pPr>
      <w:r w:rsidRPr="009448FC">
        <w:rPr>
          <w:i/>
        </w:rPr>
        <w:t xml:space="preserve">.11 Editor’s instructions: modify the paragraph as follows </w:t>
      </w:r>
    </w:p>
    <w:p w:rsidR="00610EFF" w:rsidRPr="009448FC" w:rsidRDefault="00610EFF" w:rsidP="00610EFF">
      <w:pPr>
        <w:autoSpaceDE w:val="0"/>
        <w:autoSpaceDN w:val="0"/>
        <w:adjustRightInd w:val="0"/>
        <w:rPr>
          <w:i/>
          <w:sz w:val="28"/>
        </w:rPr>
      </w:pPr>
    </w:p>
    <w:p w:rsidR="00610EFF" w:rsidRPr="009448FC" w:rsidRDefault="00610EFF" w:rsidP="00BB4999">
      <w:pPr>
        <w:autoSpaceDE w:val="0"/>
        <w:autoSpaceDN w:val="0"/>
        <w:adjustRightInd w:val="0"/>
      </w:pPr>
      <w:r w:rsidRPr="009448FC">
        <w:t xml:space="preserve">The Aggregation subfield is 1 bit in length. The Aggregation subfield is valid only when access method is HCCA </w:t>
      </w:r>
      <w:r w:rsidRPr="00066F65">
        <w:rPr>
          <w:iCs/>
          <w:u w:val="single"/>
        </w:rPr>
        <w:t>or when the source and destination of the flow are members of a mmWave PBSS</w:t>
      </w:r>
      <w:r w:rsidR="00BB4999" w:rsidRPr="00066F65">
        <w:rPr>
          <w:iCs/>
          <w:u w:val="single"/>
        </w:rPr>
        <w:t>/</w:t>
      </w:r>
      <w:r w:rsidR="00030887" w:rsidRPr="009448FC">
        <w:t>infrastructure</w:t>
      </w:r>
      <w:r w:rsidR="00030887" w:rsidRPr="00066F65">
        <w:rPr>
          <w:iCs/>
          <w:u w:val="single"/>
        </w:rPr>
        <w:t xml:space="preserve"> </w:t>
      </w:r>
      <w:r w:rsidR="00BB4999" w:rsidRPr="00066F65">
        <w:rPr>
          <w:iCs/>
          <w:u w:val="single"/>
        </w:rPr>
        <w:t>BSS</w:t>
      </w:r>
      <w:r w:rsidRPr="009448FC">
        <w:t xml:space="preserve"> or when the access method is EDCA and the Schedule subfield is set to 1. </w:t>
      </w:r>
      <w:r w:rsidRPr="00066F65">
        <w:rPr>
          <w:iCs/>
          <w:u w:val="single"/>
        </w:rPr>
        <w:t>When the access method is HCCA or when the access method is EDCA and the Schedule subfield is set to 1</w:t>
      </w:r>
      <w:r w:rsidR="00BB4999" w:rsidRPr="009448FC">
        <w:t xml:space="preserve"> </w:t>
      </w:r>
      <w:r w:rsidRPr="009448FC">
        <w:t xml:space="preserve">the Aggregation subfield is set to 1 by a non-AP STA to indicate that an aggregate schedule is required. It is set to 1 by the AP if an aggregate schedule is being provided to the non-AP STA. </w:t>
      </w:r>
      <w:r w:rsidRPr="00066F65">
        <w:rPr>
          <w:iCs/>
          <w:u w:val="single"/>
        </w:rPr>
        <w:t>It is set to 1 if the source and destination of the flow are members of a mmWave PBSS</w:t>
      </w:r>
      <w:r w:rsidR="00BB4999" w:rsidRPr="00066F65">
        <w:rPr>
          <w:iCs/>
          <w:u w:val="single"/>
        </w:rPr>
        <w:t>/</w:t>
      </w:r>
      <w:r w:rsidR="00030887" w:rsidRPr="009448FC">
        <w:t>infrastructure</w:t>
      </w:r>
      <w:r w:rsidR="00030887" w:rsidRPr="00066F65">
        <w:rPr>
          <w:iCs/>
          <w:u w:val="single"/>
        </w:rPr>
        <w:t xml:space="preserve"> </w:t>
      </w:r>
      <w:r w:rsidR="00BB4999" w:rsidRPr="00066F65">
        <w:rPr>
          <w:iCs/>
          <w:u w:val="single"/>
        </w:rPr>
        <w:t>BSS</w:t>
      </w:r>
      <w:r w:rsidRPr="00066F65">
        <w:rPr>
          <w:iCs/>
          <w:u w:val="single"/>
        </w:rPr>
        <w:t xml:space="preserve"> and the</w:t>
      </w:r>
      <w:r w:rsidR="00BB4999" w:rsidRPr="00066F65">
        <w:rPr>
          <w:iCs/>
          <w:u w:val="single"/>
        </w:rPr>
        <w:t xml:space="preserve"> non</w:t>
      </w:r>
      <w:r w:rsidR="0025019A">
        <w:rPr>
          <w:iCs/>
          <w:u w:val="single"/>
        </w:rPr>
        <w:t>-</w:t>
      </w:r>
      <w:r w:rsidR="00BB4999" w:rsidRPr="00066F65">
        <w:rPr>
          <w:iCs/>
          <w:u w:val="single"/>
        </w:rPr>
        <w:t>AP/non</w:t>
      </w:r>
      <w:r w:rsidR="0025019A">
        <w:rPr>
          <w:iCs/>
          <w:u w:val="single"/>
        </w:rPr>
        <w:t>-</w:t>
      </w:r>
      <w:r w:rsidR="00BB4999" w:rsidRPr="00066F65">
        <w:rPr>
          <w:iCs/>
          <w:u w:val="single"/>
        </w:rPr>
        <w:t>PCP STA</w:t>
      </w:r>
      <w:r w:rsidRPr="00066F65">
        <w:rPr>
          <w:iCs/>
          <w:u w:val="single"/>
        </w:rPr>
        <w:t xml:space="preserve"> transmitting the ADDTS request that contains the PTP TSPEC element requests an aggregation of a new PTP TS to an existing scheduled SP whose SP TSID value matches the SP TSID of the PTP TSPEC in the ADDTS request</w:t>
      </w:r>
      <w:r w:rsidRPr="009448FC">
        <w:t>.</w:t>
      </w:r>
      <w:r w:rsidR="00281486" w:rsidRPr="009448FC">
        <w:t xml:space="preserve"> </w:t>
      </w:r>
      <w:r w:rsidRPr="00066F65">
        <w:rPr>
          <w:iCs/>
          <w:u w:val="single"/>
        </w:rPr>
        <w:t>It is set to 1 if the source and destination of the flow are members of a mmWave PBSS</w:t>
      </w:r>
      <w:r w:rsidR="00BB4999" w:rsidRPr="00066F65">
        <w:rPr>
          <w:iCs/>
          <w:u w:val="single"/>
        </w:rPr>
        <w:t>/</w:t>
      </w:r>
      <w:r w:rsidR="00030887" w:rsidRPr="009448FC">
        <w:t>infrastructure</w:t>
      </w:r>
      <w:r w:rsidR="00030887" w:rsidRPr="00066F65">
        <w:rPr>
          <w:iCs/>
          <w:u w:val="single"/>
        </w:rPr>
        <w:t xml:space="preserve"> </w:t>
      </w:r>
      <w:r w:rsidR="00BB4999" w:rsidRPr="00066F65">
        <w:rPr>
          <w:iCs/>
          <w:u w:val="single"/>
        </w:rPr>
        <w:t>BSS</w:t>
      </w:r>
      <w:r w:rsidRPr="00066F65">
        <w:rPr>
          <w:iCs/>
          <w:u w:val="single"/>
        </w:rPr>
        <w:t xml:space="preserve"> and the non-AP</w:t>
      </w:r>
      <w:r w:rsidR="00BB4999" w:rsidRPr="00066F65">
        <w:rPr>
          <w:iCs/>
          <w:u w:val="single"/>
        </w:rPr>
        <w:t>/non-PCP</w:t>
      </w:r>
      <w:r w:rsidRPr="00066F65">
        <w:rPr>
          <w:iCs/>
          <w:u w:val="single"/>
        </w:rPr>
        <w:t xml:space="preserve"> STA transmitting the ADDTS response that contains the PTP TSPEC element has accepted an aggregation of a new PTP TS to an existing scheduled SP whose SP TSID value matches the SP TSID of the PTP TSPEC in the ADDTS response</w:t>
      </w:r>
      <w:r w:rsidRPr="009448FC">
        <w:t>.</w:t>
      </w:r>
      <w:r w:rsidR="00281486" w:rsidRPr="009448FC">
        <w:t xml:space="preserve"> </w:t>
      </w:r>
      <w:r w:rsidRPr="009448FC">
        <w:t xml:space="preserve">It is set to 0 otherwise. In all other cases, the Aggregation subfield is reserved. </w:t>
      </w:r>
    </w:p>
    <w:p w:rsidR="00610EFF" w:rsidRPr="00066F65" w:rsidRDefault="00610EFF" w:rsidP="00610EFF">
      <w:pPr>
        <w:tabs>
          <w:tab w:val="left" w:pos="1485"/>
        </w:tabs>
        <w:autoSpaceDE w:val="0"/>
        <w:autoSpaceDN w:val="0"/>
        <w:adjustRightInd w:val="0"/>
        <w:rPr>
          <w:rFonts w:eastAsia="MS Mincho"/>
          <w:iCs/>
          <w:u w:val="single"/>
        </w:rPr>
      </w:pPr>
    </w:p>
    <w:p w:rsidR="00610EFF" w:rsidRPr="00066F65" w:rsidRDefault="00610EFF" w:rsidP="00610EFF">
      <w:pPr>
        <w:autoSpaceDE w:val="0"/>
        <w:autoSpaceDN w:val="0"/>
        <w:adjustRightInd w:val="0"/>
        <w:rPr>
          <w:rFonts w:eastAsia="MS Mincho"/>
          <w:i/>
          <w:szCs w:val="28"/>
          <w:u w:val="single"/>
        </w:rPr>
      </w:pPr>
      <w:r w:rsidRPr="009448FC">
        <w:rPr>
          <w:i/>
        </w:rPr>
        <w:t xml:space="preserve">.11 Editor’s instructions: add </w:t>
      </w:r>
      <w:r w:rsidR="00731AF2" w:rsidRPr="009448FC">
        <w:rPr>
          <w:i/>
        </w:rPr>
        <w:t xml:space="preserve">the following </w:t>
      </w:r>
      <w:r w:rsidRPr="009448FC">
        <w:rPr>
          <w:i/>
        </w:rPr>
        <w:t xml:space="preserve">text after </w:t>
      </w:r>
      <w:r w:rsidR="00731AF2" w:rsidRPr="009448FC">
        <w:rPr>
          <w:i/>
        </w:rPr>
        <w:t xml:space="preserve">the </w:t>
      </w:r>
      <w:r w:rsidRPr="009448FC">
        <w:rPr>
          <w:i/>
        </w:rPr>
        <w:t>sentence “</w:t>
      </w:r>
      <w:r w:rsidRPr="009448FC">
        <w:rPr>
          <w:rFonts w:eastAsia="MS Mincho"/>
        </w:rPr>
        <w:t>The configuration of APSD=0, Schedule=1 is reserved.</w:t>
      </w:r>
      <w:r w:rsidRPr="009448FC">
        <w:rPr>
          <w:rFonts w:eastAsia="MS Mincho"/>
          <w:i/>
        </w:rPr>
        <w:t>”</w:t>
      </w:r>
    </w:p>
    <w:p w:rsidR="00610EFF" w:rsidRPr="009448FC" w:rsidRDefault="0053357F" w:rsidP="00610EFF">
      <w:pPr>
        <w:autoSpaceDE w:val="0"/>
        <w:autoSpaceDN w:val="0"/>
        <w:adjustRightInd w:val="0"/>
        <w:rPr>
          <w:rFonts w:eastAsia="MS Mincho"/>
        </w:rPr>
      </w:pPr>
      <w:r>
        <w:rPr>
          <w:rFonts w:eastAsia="MS Mincho"/>
        </w:rPr>
        <w:t xml:space="preserve"> </w:t>
      </w:r>
    </w:p>
    <w:p w:rsidR="00610EFF" w:rsidRPr="00213158" w:rsidRDefault="007A3DFA" w:rsidP="00213158">
      <w:pPr>
        <w:autoSpaceDE w:val="0"/>
        <w:autoSpaceDN w:val="0"/>
        <w:adjustRightInd w:val="0"/>
        <w:rPr>
          <w:iCs/>
          <w:u w:val="single"/>
        </w:rPr>
      </w:pPr>
      <w:r w:rsidRPr="00213158">
        <w:rPr>
          <w:u w:val="single"/>
        </w:rPr>
        <w:t xml:space="preserve">The reliability field is 2 bits in length and contains </w:t>
      </w:r>
      <w:r w:rsidR="00213158" w:rsidRPr="00213158">
        <w:rPr>
          <w:u w:val="single"/>
        </w:rPr>
        <w:t xml:space="preserve">a </w:t>
      </w:r>
      <w:r w:rsidR="000E6347">
        <w:rPr>
          <w:u w:val="single"/>
        </w:rPr>
        <w:t>PER</w:t>
      </w:r>
      <w:r w:rsidR="00213158" w:rsidRPr="00213158">
        <w:rPr>
          <w:u w:val="single"/>
        </w:rPr>
        <w:t xml:space="preserve"> </w:t>
      </w:r>
      <w:r w:rsidR="00CA4752" w:rsidRPr="00213158">
        <w:rPr>
          <w:u w:val="single"/>
        </w:rPr>
        <w:t xml:space="preserve">of the PHY. The encoding of the </w:t>
      </w:r>
      <w:r w:rsidRPr="00213158">
        <w:rPr>
          <w:u w:val="single"/>
        </w:rPr>
        <w:t>PER is shown in</w:t>
      </w:r>
      <w:r w:rsidR="00DC562A" w:rsidRPr="00213158">
        <w:rPr>
          <w:iCs/>
          <w:u w:val="single"/>
        </w:rPr>
        <w:t xml:space="preserve"> </w:t>
      </w:r>
      <w:fldSimple w:instr=" REF _Ref245987402 \h  \* MERGEFORMAT ">
        <w:r w:rsidR="003E4210" w:rsidRPr="003E4210">
          <w:rPr>
            <w:u w:val="single"/>
          </w:rPr>
          <w:t xml:space="preserve">Table </w:t>
        </w:r>
        <w:r w:rsidR="003E4210" w:rsidRPr="003E4210">
          <w:rPr>
            <w:noProof/>
            <w:u w:val="single"/>
          </w:rPr>
          <w:t>8</w:t>
        </w:r>
      </w:fldSimple>
      <w:r w:rsidR="00EA0AE0" w:rsidRPr="00213158">
        <w:rPr>
          <w:iCs/>
          <w:u w:val="single"/>
        </w:rPr>
        <w:t>.</w:t>
      </w:r>
      <w:r w:rsidR="00D11F2E">
        <w:rPr>
          <w:iCs/>
          <w:u w:val="single"/>
        </w:rPr>
        <w:t xml:space="preserve"> </w:t>
      </w:r>
    </w:p>
    <w:p w:rsidR="00745C91" w:rsidRPr="00066F65" w:rsidRDefault="00745C91" w:rsidP="00610EFF">
      <w:pPr>
        <w:autoSpaceDE w:val="0"/>
        <w:autoSpaceDN w:val="0"/>
        <w:adjustRightInd w:val="0"/>
        <w:rPr>
          <w:iCs/>
          <w:u w:val="single"/>
        </w:rPr>
      </w:pPr>
    </w:p>
    <w:p w:rsidR="00745C91" w:rsidRPr="009448FC" w:rsidRDefault="00745C91" w:rsidP="00BA5BC4">
      <w:pPr>
        <w:pStyle w:val="Caption"/>
        <w:rPr>
          <w:u w:val="single"/>
        </w:rPr>
      </w:pPr>
      <w:bookmarkStart w:id="501" w:name="_Ref245987402"/>
      <w:bookmarkStart w:id="502" w:name="_Toc250654412"/>
      <w:bookmarkStart w:id="503" w:name="_Toc259717586"/>
      <w:r w:rsidRPr="00066F65">
        <w:t xml:space="preserve">Table </w:t>
      </w:r>
      <w:r w:rsidR="00BD151C">
        <w:fldChar w:fldCharType="begin"/>
      </w:r>
      <w:r w:rsidR="00801316">
        <w:instrText xml:space="preserve"> SEQ Table \* ARABIC </w:instrText>
      </w:r>
      <w:r w:rsidR="00BD151C">
        <w:fldChar w:fldCharType="separate"/>
      </w:r>
      <w:r w:rsidR="003E4210">
        <w:rPr>
          <w:noProof/>
        </w:rPr>
        <w:t>8</w:t>
      </w:r>
      <w:r w:rsidR="00BD151C">
        <w:fldChar w:fldCharType="end"/>
      </w:r>
      <w:bookmarkEnd w:id="501"/>
      <w:r w:rsidRPr="00066F65">
        <w:t xml:space="preserve"> </w:t>
      </w:r>
      <w:r w:rsidR="00380352" w:rsidRPr="00066F65">
        <w:t xml:space="preserve">– </w:t>
      </w:r>
      <w:r w:rsidR="007A3DFA" w:rsidRPr="00066F65">
        <w:t>R</w:t>
      </w:r>
      <w:r w:rsidRPr="00066F65">
        <w:t>eliability</w:t>
      </w:r>
      <w:bookmarkEnd w:id="502"/>
      <w:bookmarkEnd w:id="503"/>
    </w:p>
    <w:tbl>
      <w:tblPr>
        <w:tblW w:w="0" w:type="auto"/>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3"/>
        <w:gridCol w:w="1503"/>
      </w:tblGrid>
      <w:tr w:rsidR="00745C91" w:rsidRPr="00066F65" w:rsidTr="00331C84">
        <w:trPr>
          <w:jc w:val="center"/>
        </w:trPr>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R</w:t>
            </w:r>
            <w:r w:rsidR="00745C91" w:rsidRPr="009448FC">
              <w:rPr>
                <w:rFonts w:eastAsia="SimSun"/>
              </w:rPr>
              <w:t>eliability index</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PER</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0</w:t>
            </w:r>
          </w:p>
        </w:tc>
        <w:tc>
          <w:tcPr>
            <w:tcW w:w="0" w:type="auto"/>
          </w:tcPr>
          <w:p w:rsidR="00745C91" w:rsidRPr="009448FC" w:rsidRDefault="00745C91" w:rsidP="00331C84">
            <w:pPr>
              <w:autoSpaceDE w:val="0"/>
              <w:autoSpaceDN w:val="0"/>
              <w:adjustRightInd w:val="0"/>
              <w:jc w:val="both"/>
              <w:rPr>
                <w:rFonts w:eastAsia="SimSun"/>
              </w:rPr>
            </w:pPr>
            <w:r w:rsidRPr="009448FC">
              <w:rPr>
                <w:rFonts w:eastAsia="SimSun"/>
              </w:rPr>
              <w:t>Not specified</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1</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10E-2</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2</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10E-4</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3</w:t>
            </w:r>
          </w:p>
        </w:tc>
        <w:tc>
          <w:tcPr>
            <w:tcW w:w="0" w:type="auto"/>
          </w:tcPr>
          <w:p w:rsidR="00745C91" w:rsidRPr="009448FC" w:rsidRDefault="007A3DFA" w:rsidP="007A3DFA">
            <w:pPr>
              <w:autoSpaceDE w:val="0"/>
              <w:autoSpaceDN w:val="0"/>
              <w:adjustRightInd w:val="0"/>
              <w:jc w:val="both"/>
              <w:rPr>
                <w:rFonts w:eastAsia="SimSun"/>
              </w:rPr>
            </w:pPr>
            <w:r w:rsidRPr="009448FC">
              <w:rPr>
                <w:rFonts w:eastAsia="SimSun"/>
              </w:rPr>
              <w:t>10E-5</w:t>
            </w:r>
          </w:p>
        </w:tc>
      </w:tr>
    </w:tbl>
    <w:p w:rsidR="00DC562A" w:rsidRPr="00066F65" w:rsidRDefault="00DC562A" w:rsidP="00610EFF">
      <w:pPr>
        <w:autoSpaceDE w:val="0"/>
        <w:autoSpaceDN w:val="0"/>
        <w:adjustRightInd w:val="0"/>
        <w:rPr>
          <w:rFonts w:eastAsia="MS Mincho"/>
          <w:u w:val="single"/>
        </w:rPr>
      </w:pPr>
    </w:p>
    <w:p w:rsidR="00213158" w:rsidRPr="0047068F" w:rsidRDefault="00213158" w:rsidP="0047068F">
      <w:pPr>
        <w:autoSpaceDE w:val="0"/>
        <w:autoSpaceDN w:val="0"/>
        <w:adjustRightInd w:val="0"/>
        <w:rPr>
          <w:rFonts w:eastAsia="MS Mincho"/>
        </w:rPr>
      </w:pPr>
      <w:r w:rsidRPr="00213158">
        <w:rPr>
          <w:u w:val="single"/>
        </w:rPr>
        <w:t>When this field is included in the ADDTS request frame and the direction is set to downlink and when this field is included in the ADDTS response frame and the direction field is set to uplink then value in this field represents the receiver expectation of the PER</w:t>
      </w:r>
      <w:r w:rsidRPr="00213158">
        <w:rPr>
          <w:b/>
          <w:bCs/>
          <w:i/>
          <w:iCs/>
          <w:color w:val="800080"/>
          <w:u w:val="single"/>
        </w:rPr>
        <w:t xml:space="preserve"> </w:t>
      </w:r>
      <w:r w:rsidRPr="00213158">
        <w:rPr>
          <w:u w:val="single"/>
        </w:rPr>
        <w:t>per specific TSID.</w:t>
      </w:r>
      <w:r w:rsidR="00D11F2E">
        <w:rPr>
          <w:u w:val="single"/>
        </w:rPr>
        <w:t xml:space="preserve"> </w:t>
      </w:r>
      <w:r w:rsidRPr="00213158">
        <w:rPr>
          <w:u w:val="single"/>
        </w:rPr>
        <w:t xml:space="preserve">This information is provided by </w:t>
      </w:r>
      <w:r w:rsidR="003924DD">
        <w:rPr>
          <w:u w:val="single"/>
        </w:rPr>
        <w:t xml:space="preserve">the </w:t>
      </w:r>
      <w:r w:rsidRPr="00213158">
        <w:rPr>
          <w:u w:val="single"/>
        </w:rPr>
        <w:t>SME using the MLME-ADDTS.request primitive and MLME-ADDTS.response primitive</w:t>
      </w:r>
      <w:r w:rsidR="003924DD">
        <w:rPr>
          <w:u w:val="single"/>
        </w:rPr>
        <w:t>s</w:t>
      </w:r>
      <w:r w:rsidRPr="00213158">
        <w:rPr>
          <w:u w:val="single"/>
        </w:rPr>
        <w:t xml:space="preserve">. Together with the Link Margin </w:t>
      </w:r>
      <w:r w:rsidR="00A046B4">
        <w:rPr>
          <w:u w:val="single"/>
        </w:rPr>
        <w:t>(</w:t>
      </w:r>
      <w:r w:rsidR="00BD151C">
        <w:rPr>
          <w:u w:val="single"/>
        </w:rPr>
        <w:fldChar w:fldCharType="begin"/>
      </w:r>
      <w:r w:rsidR="00A046B4">
        <w:rPr>
          <w:u w:val="single"/>
        </w:rPr>
        <w:instrText xml:space="preserve"> REF _Ref251927203 \r \h </w:instrText>
      </w:r>
      <w:r w:rsidR="00BD151C">
        <w:rPr>
          <w:u w:val="single"/>
        </w:rPr>
      </w:r>
      <w:r w:rsidR="00BD151C">
        <w:rPr>
          <w:u w:val="single"/>
        </w:rPr>
        <w:fldChar w:fldCharType="separate"/>
      </w:r>
      <w:r w:rsidR="003E4210">
        <w:rPr>
          <w:u w:val="single"/>
        </w:rPr>
        <w:t>9.27</w:t>
      </w:r>
      <w:r w:rsidR="00BD151C">
        <w:rPr>
          <w:u w:val="single"/>
        </w:rPr>
        <w:fldChar w:fldCharType="end"/>
      </w:r>
      <w:r w:rsidR="00A046B4">
        <w:rPr>
          <w:u w:val="single"/>
        </w:rPr>
        <w:t xml:space="preserve">) </w:t>
      </w:r>
      <w:r w:rsidRPr="00213158">
        <w:rPr>
          <w:u w:val="single"/>
        </w:rPr>
        <w:t>and other implementation specific information</w:t>
      </w:r>
      <w:r w:rsidR="003924DD">
        <w:rPr>
          <w:u w:val="single"/>
        </w:rPr>
        <w:t>,</w:t>
      </w:r>
      <w:r w:rsidRPr="00213158">
        <w:rPr>
          <w:u w:val="single"/>
        </w:rPr>
        <w:t xml:space="preserve"> the value may be used by the transmitter to estimate </w:t>
      </w:r>
      <w:r w:rsidR="003924DD">
        <w:rPr>
          <w:u w:val="single"/>
        </w:rPr>
        <w:t xml:space="preserve">the </w:t>
      </w:r>
      <w:r w:rsidRPr="00213158">
        <w:rPr>
          <w:u w:val="single"/>
        </w:rPr>
        <w:t>MCS to be used for this particular TS.</w:t>
      </w:r>
      <w:r w:rsidR="0047068F" w:rsidRPr="0047068F">
        <w:rPr>
          <w:rFonts w:eastAsia="MS Mincho"/>
        </w:rPr>
        <w:t xml:space="preserve"> </w:t>
      </w:r>
    </w:p>
    <w:p w:rsidR="007A3DFA" w:rsidRPr="00066F65" w:rsidRDefault="007A3DFA" w:rsidP="00610EFF">
      <w:pPr>
        <w:autoSpaceDE w:val="0"/>
        <w:autoSpaceDN w:val="0"/>
        <w:adjustRightInd w:val="0"/>
        <w:rPr>
          <w:rFonts w:eastAsia="MS Mincho"/>
          <w:u w:val="single"/>
        </w:rPr>
      </w:pPr>
    </w:p>
    <w:p w:rsidR="00610EFF" w:rsidRPr="00066F65" w:rsidRDefault="00610EFF" w:rsidP="00610EFF">
      <w:pPr>
        <w:autoSpaceDE w:val="0"/>
        <w:autoSpaceDN w:val="0"/>
        <w:adjustRightInd w:val="0"/>
        <w:rPr>
          <w:rFonts w:eastAsia="MS Mincho"/>
          <w:iCs/>
          <w:u w:val="single"/>
        </w:rPr>
      </w:pPr>
      <w:r w:rsidRPr="00066F65">
        <w:rPr>
          <w:rFonts w:eastAsia="MS Mincho"/>
          <w:u w:val="single"/>
        </w:rPr>
        <w:lastRenderedPageBreak/>
        <w:t xml:space="preserve">The </w:t>
      </w:r>
      <w:r w:rsidRPr="00066F65">
        <w:rPr>
          <w:rFonts w:eastAsia="MS Mincho"/>
          <w:iCs/>
          <w:u w:val="single"/>
        </w:rPr>
        <w:t xml:space="preserve">A-MSDU subframe field is 1 bit in length and contains a value that is a A-MSDU subframe structure. The A-MSDU subframe field is set to 0 to indicate the A-MSDU subframe structure and set to 1 to indicate the </w:t>
      </w:r>
      <w:r w:rsidR="00F72317" w:rsidRPr="00066F65">
        <w:rPr>
          <w:rFonts w:eastAsia="MS Mincho"/>
          <w:iCs/>
          <w:u w:val="single"/>
        </w:rPr>
        <w:t xml:space="preserve">Short </w:t>
      </w:r>
      <w:r w:rsidRPr="00066F65">
        <w:rPr>
          <w:rFonts w:eastAsia="MS Mincho"/>
          <w:iCs/>
          <w:u w:val="single"/>
        </w:rPr>
        <w:t>A-MSDU subframe structure.</w:t>
      </w:r>
      <w:r w:rsidR="00F72317" w:rsidRPr="00066F65">
        <w:rPr>
          <w:rFonts w:eastAsia="MS Mincho"/>
          <w:iCs/>
          <w:u w:val="single"/>
        </w:rPr>
        <w:t xml:space="preserve"> </w:t>
      </w:r>
    </w:p>
    <w:p w:rsidR="00610EFF" w:rsidRPr="00066F65" w:rsidRDefault="00610EFF" w:rsidP="00610EFF">
      <w:pPr>
        <w:autoSpaceDE w:val="0"/>
        <w:autoSpaceDN w:val="0"/>
        <w:adjustRightInd w:val="0"/>
        <w:rPr>
          <w:rFonts w:eastAsia="MS Mincho"/>
          <w:u w:val="single"/>
        </w:rPr>
      </w:pPr>
    </w:p>
    <w:p w:rsidR="00610EFF" w:rsidRPr="00066F65" w:rsidRDefault="00610EFF" w:rsidP="006240AB">
      <w:pPr>
        <w:autoSpaceDE w:val="0"/>
        <w:autoSpaceDN w:val="0"/>
        <w:adjustRightInd w:val="0"/>
        <w:rPr>
          <w:rFonts w:eastAsia="MS Mincho"/>
          <w:u w:val="single"/>
        </w:rPr>
      </w:pPr>
      <w:r w:rsidRPr="00066F65">
        <w:rPr>
          <w:rFonts w:eastAsia="MS Mincho"/>
          <w:u w:val="single"/>
        </w:rPr>
        <w:t xml:space="preserve">The </w:t>
      </w:r>
      <w:r w:rsidRPr="00066F65">
        <w:rPr>
          <w:rFonts w:eastAsia="MS Mincho"/>
          <w:iCs/>
          <w:u w:val="single"/>
        </w:rPr>
        <w:t>SP TSID</w:t>
      </w:r>
      <w:r w:rsidRPr="00066F65">
        <w:rPr>
          <w:rFonts w:eastAsia="MS Mincho"/>
          <w:u w:val="single"/>
        </w:rPr>
        <w:t xml:space="preserve"> subfield is 4 bits in length and contains a value that is the TSID of the </w:t>
      </w:r>
      <w:r w:rsidR="006240AB" w:rsidRPr="00066F65">
        <w:rPr>
          <w:rFonts w:eastAsia="MS Mincho"/>
          <w:u w:val="single"/>
        </w:rPr>
        <w:t>SP</w:t>
      </w:r>
      <w:r w:rsidRPr="00066F65">
        <w:rPr>
          <w:rFonts w:eastAsia="MS Mincho"/>
          <w:u w:val="single"/>
        </w:rPr>
        <w:t xml:space="preserve"> for this PTP TSPEC. Different PTP TSPECs that share the same source STA and destination STA can share a single SP TSID through TSPEC aggregation. When the Aggregation subfield is set to 0, the SP TSID subfield is reserved.</w:t>
      </w:r>
    </w:p>
    <w:p w:rsidR="00610EFF" w:rsidRDefault="00610EFF" w:rsidP="00610EFF">
      <w:pPr>
        <w:rPr>
          <w:rFonts w:eastAsia="MS Mincho"/>
        </w:rPr>
      </w:pPr>
    </w:p>
    <w:p w:rsidR="004A49C3" w:rsidRPr="009448FC" w:rsidRDefault="004A49C3" w:rsidP="003701DB">
      <w:pPr>
        <w:pStyle w:val="Heading4"/>
        <w:numPr>
          <w:ilvl w:val="3"/>
          <w:numId w:val="150"/>
        </w:numPr>
      </w:pPr>
      <w:bookmarkStart w:id="504" w:name="_Toc259716922"/>
      <w:r>
        <w:t>TCLAS</w:t>
      </w:r>
      <w:r w:rsidRPr="009448FC">
        <w:t xml:space="preserve"> element</w:t>
      </w:r>
      <w:bookmarkEnd w:id="504"/>
    </w:p>
    <w:p w:rsidR="00610EFF" w:rsidRPr="009448FC" w:rsidRDefault="00610EFF" w:rsidP="00610EFF">
      <w:pPr>
        <w:rPr>
          <w:rFonts w:eastAsia="MS Mincho"/>
          <w:b/>
        </w:rPr>
      </w:pPr>
    </w:p>
    <w:p w:rsidR="00610EFF" w:rsidRPr="009448FC" w:rsidRDefault="00610EFF" w:rsidP="00610EFF">
      <w:pPr>
        <w:rPr>
          <w:i/>
        </w:rPr>
      </w:pPr>
      <w:r w:rsidRPr="009448FC">
        <w:rPr>
          <w:i/>
        </w:rPr>
        <w:t xml:space="preserve">.11 Editor’s instructions: modify the </w:t>
      </w:r>
      <w:r w:rsidR="00731AF2" w:rsidRPr="009448FC">
        <w:rPr>
          <w:i/>
        </w:rPr>
        <w:t>paragraph as follows</w:t>
      </w:r>
    </w:p>
    <w:p w:rsidR="00610EFF" w:rsidRPr="009448FC" w:rsidRDefault="00610EFF" w:rsidP="00610EFF">
      <w:pPr>
        <w:rPr>
          <w:rFonts w:eastAsia="MS Mincho"/>
          <w:b/>
        </w:rPr>
      </w:pPr>
    </w:p>
    <w:p w:rsidR="00610EFF" w:rsidRPr="009448FC" w:rsidRDefault="00610EFF" w:rsidP="006C0963">
      <w:pPr>
        <w:rPr>
          <w:rFonts w:eastAsia="MS Mincho"/>
        </w:rPr>
      </w:pPr>
      <w:r w:rsidRPr="009448FC">
        <w:rPr>
          <w:rFonts w:eastAsia="MS Mincho"/>
        </w:rPr>
        <w:t>TCLAS element need not be provided for the uplink or direct-link transmissions</w:t>
      </w:r>
      <w:r w:rsidR="0027356E" w:rsidRPr="009448FC">
        <w:rPr>
          <w:rFonts w:eastAsia="MS Mincho"/>
        </w:rPr>
        <w:t>.</w:t>
      </w:r>
      <w:r w:rsidR="00281486" w:rsidRPr="009448FC">
        <w:rPr>
          <w:rFonts w:eastAsia="MS Mincho"/>
        </w:rPr>
        <w:t xml:space="preserve"> </w:t>
      </w:r>
      <w:r w:rsidRPr="00066F65">
        <w:rPr>
          <w:rFonts w:eastAsia="MS Mincho"/>
          <w:u w:val="single"/>
        </w:rPr>
        <w:t xml:space="preserve">The TCLAS element </w:t>
      </w:r>
      <w:r w:rsidR="006C0963">
        <w:rPr>
          <w:rFonts w:eastAsia="MS Mincho"/>
          <w:u w:val="single"/>
        </w:rPr>
        <w:t>is</w:t>
      </w:r>
      <w:r w:rsidR="00D11F2E">
        <w:rPr>
          <w:rFonts w:eastAsia="MS Mincho"/>
          <w:u w:val="single"/>
        </w:rPr>
        <w:t xml:space="preserve"> </w:t>
      </w:r>
      <w:r w:rsidRPr="00066F65">
        <w:rPr>
          <w:rFonts w:eastAsia="MS Mincho"/>
          <w:u w:val="single"/>
        </w:rPr>
        <w:t xml:space="preserve">provided in the case the PTP TSPEC is transmitted to the peer STA (destination or source respectively) via </w:t>
      </w:r>
      <w:r w:rsidR="00D90CC7" w:rsidRPr="00066F65">
        <w:rPr>
          <w:rFonts w:eastAsia="MS Mincho"/>
          <w:u w:val="single"/>
        </w:rPr>
        <w:t xml:space="preserve">a </w:t>
      </w:r>
      <w:r w:rsidRPr="00066F65">
        <w:rPr>
          <w:rFonts w:eastAsia="MS Mincho"/>
          <w:u w:val="single"/>
        </w:rPr>
        <w:t>PCP</w:t>
      </w:r>
      <w:r w:rsidR="00AB001B" w:rsidRPr="00066F65">
        <w:rPr>
          <w:rFonts w:eastAsia="MS Mincho"/>
          <w:u w:val="single"/>
        </w:rPr>
        <w:t>/AP</w:t>
      </w:r>
      <w:r w:rsidR="00F909A7" w:rsidRPr="009448FC">
        <w:rPr>
          <w:rFonts w:eastAsia="MS Mincho"/>
        </w:rPr>
        <w:t>.</w:t>
      </w:r>
    </w:p>
    <w:p w:rsidR="008E23E0" w:rsidRPr="009448FC" w:rsidRDefault="008E23E0" w:rsidP="008E23E0">
      <w:pPr>
        <w:rPr>
          <w:rFonts w:eastAsia="MS Mincho"/>
          <w:b/>
        </w:rPr>
      </w:pPr>
    </w:p>
    <w:p w:rsidR="008E23E0" w:rsidRPr="009448FC" w:rsidRDefault="00547619" w:rsidP="003701DB">
      <w:pPr>
        <w:pStyle w:val="Heading4"/>
        <w:numPr>
          <w:ilvl w:val="3"/>
          <w:numId w:val="153"/>
        </w:numPr>
      </w:pPr>
      <w:r w:rsidRPr="009448FC">
        <w:t xml:space="preserve"> </w:t>
      </w:r>
      <w:bookmarkStart w:id="505" w:name="_Toc259716923"/>
      <w:r w:rsidR="00716CC0" w:rsidRPr="009448FC">
        <w:t>M</w:t>
      </w:r>
      <w:r w:rsidR="008E23E0" w:rsidRPr="009448FC">
        <w:t xml:space="preserve">ultiple BSSID </w:t>
      </w:r>
      <w:r w:rsidR="00C73B46" w:rsidRPr="009448FC">
        <w:t>e</w:t>
      </w:r>
      <w:r w:rsidR="008E23E0" w:rsidRPr="009448FC">
        <w:t>lement</w:t>
      </w:r>
      <w:bookmarkEnd w:id="505"/>
    </w:p>
    <w:p w:rsidR="008E23E0" w:rsidRPr="009448FC" w:rsidRDefault="008E23E0" w:rsidP="00610EFF">
      <w:pPr>
        <w:rPr>
          <w:rFonts w:eastAsia="MS Mincho"/>
        </w:rPr>
      </w:pPr>
    </w:p>
    <w:p w:rsidR="008E23E0" w:rsidRPr="009448FC" w:rsidRDefault="008E23E0" w:rsidP="008E23E0">
      <w:pPr>
        <w:jc w:val="both"/>
        <w:outlineLvl w:val="0"/>
        <w:rPr>
          <w:i/>
        </w:rPr>
      </w:pPr>
      <w:r w:rsidRPr="009448FC">
        <w:rPr>
          <w:i/>
        </w:rPr>
        <w:t>.11 Editor Instruction: change the 7</w:t>
      </w:r>
      <w:r w:rsidRPr="009448FC">
        <w:rPr>
          <w:i/>
          <w:vertAlign w:val="superscript"/>
        </w:rPr>
        <w:t>th</w:t>
      </w:r>
      <w:r w:rsidRPr="009448FC">
        <w:rPr>
          <w:i/>
        </w:rPr>
        <w:t xml:space="preserve"> paragraph of 802.11-2007+802.11v D6.01 as follows:</w:t>
      </w:r>
    </w:p>
    <w:p w:rsidR="008E23E0" w:rsidRPr="009448FC" w:rsidRDefault="008E23E0" w:rsidP="008E23E0">
      <w:pPr>
        <w:jc w:val="both"/>
        <w:outlineLvl w:val="0"/>
      </w:pPr>
    </w:p>
    <w:p w:rsidR="008E23E0" w:rsidRPr="009448FC" w:rsidRDefault="008E23E0" w:rsidP="008E23E0">
      <w:pPr>
        <w:jc w:val="both"/>
        <w:outlineLvl w:val="0"/>
      </w:pPr>
      <w:r w:rsidRPr="009448FC">
        <w:t>When the Multiple BSSID element is transmitted in a Beacon</w:t>
      </w:r>
      <w:r w:rsidRPr="00066F65">
        <w:rPr>
          <w:iCs/>
          <w:u w:val="single"/>
        </w:rPr>
        <w:t>, mmWave Beacon,</w:t>
      </w:r>
      <w:r w:rsidRPr="009448FC">
        <w:t xml:space="preserve"> or Probe Response frame, the reference BSSID is the BSSID of the frame. More than one Multiple BSSID element may be included in a Beacon </w:t>
      </w:r>
      <w:r w:rsidRPr="00066F65">
        <w:rPr>
          <w:iCs/>
          <w:u w:val="single"/>
        </w:rPr>
        <w:t>or mmWave Beacon</w:t>
      </w:r>
      <w:r w:rsidRPr="009448FC">
        <w:t xml:space="preserve"> frame</w:t>
      </w:r>
      <w:r w:rsidRPr="00066F65">
        <w:rPr>
          <w:iCs/>
          <w:u w:val="single"/>
        </w:rPr>
        <w:t>s</w:t>
      </w:r>
      <w:r w:rsidRPr="009448FC">
        <w:t>. The AP</w:t>
      </w:r>
      <w:r w:rsidRPr="00066F65">
        <w:rPr>
          <w:iCs/>
          <w:u w:val="single"/>
        </w:rPr>
        <w:t>/</w:t>
      </w:r>
      <w:r w:rsidR="00B96FB9" w:rsidRPr="00066F65">
        <w:rPr>
          <w:iCs/>
          <w:u w:val="single"/>
        </w:rPr>
        <w:t>mSTA</w:t>
      </w:r>
      <w:r w:rsidRPr="009448FC">
        <w:t xml:space="preserve"> determines the number of Multiple BSSID elements. The AP</w:t>
      </w:r>
      <w:r w:rsidRPr="00066F65">
        <w:rPr>
          <w:iCs/>
          <w:u w:val="single"/>
        </w:rPr>
        <w:t>/</w:t>
      </w:r>
      <w:r w:rsidR="00B96FB9" w:rsidRPr="00066F65">
        <w:rPr>
          <w:iCs/>
          <w:u w:val="single"/>
        </w:rPr>
        <w:t>mSTA</w:t>
      </w:r>
      <w:r w:rsidRPr="009448FC">
        <w:t xml:space="preserve"> does not fragment a non-transmitted BSSID profile subelement for a single BSSID across two Multiple BSSID elements unless the length of the non-transmitted BSSID profile subelement exceeds 255 octets. When the Multiple BSSID element is transmitted as a subelement in a Neighbor Report element, the reference BSSID is the BSSID field in the Neighbor Report element.</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change the 10</w:t>
      </w:r>
      <w:r w:rsidRPr="009448FC">
        <w:rPr>
          <w:i/>
          <w:vertAlign w:val="superscript"/>
        </w:rPr>
        <w:t>th</w:t>
      </w:r>
      <w:r w:rsidRPr="009448FC">
        <w:rPr>
          <w:i/>
        </w:rPr>
        <w:t xml:space="preserve"> paragraph of 802.11-2007+802.11v D6.01 as follows:</w:t>
      </w:r>
    </w:p>
    <w:p w:rsidR="008E23E0" w:rsidRPr="009448FC" w:rsidRDefault="008E23E0" w:rsidP="008E23E0">
      <w:pPr>
        <w:jc w:val="both"/>
      </w:pPr>
    </w:p>
    <w:p w:rsidR="008E23E0" w:rsidRPr="009448FC" w:rsidRDefault="008E23E0" w:rsidP="008E23E0">
      <w:pPr>
        <w:jc w:val="both"/>
        <w:outlineLvl w:val="0"/>
      </w:pPr>
      <w:r w:rsidRPr="009448FC">
        <w:t>The Non-Transmitted BSSID Profile subelement contains a list of elements for one or more APs</w:t>
      </w:r>
      <w:r w:rsidRPr="00066F65">
        <w:rPr>
          <w:iCs/>
          <w:u w:val="single"/>
        </w:rPr>
        <w:t>/</w:t>
      </w:r>
      <w:r w:rsidR="00B96FB9" w:rsidRPr="00066F65">
        <w:rPr>
          <w:iCs/>
          <w:u w:val="single"/>
        </w:rPr>
        <w:t>mSTA</w:t>
      </w:r>
      <w:r w:rsidRPr="00066F65">
        <w:rPr>
          <w:iCs/>
          <w:u w:val="single"/>
        </w:rPr>
        <w:t>s</w:t>
      </w:r>
      <w:r w:rsidRPr="009448FC">
        <w:t xml:space="preserve"> which have non-transmitted BSSIDs, and is defined as follows:</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change the 12</w:t>
      </w:r>
      <w:r w:rsidRPr="009448FC">
        <w:rPr>
          <w:i/>
          <w:vertAlign w:val="superscript"/>
        </w:rPr>
        <w:t>th</w:t>
      </w:r>
      <w:r w:rsidRPr="009448FC">
        <w:rPr>
          <w:i/>
        </w:rPr>
        <w:t xml:space="preserve"> paragraph of 802.11-2007+802.11v D6.01 as follows:</w:t>
      </w:r>
    </w:p>
    <w:p w:rsidR="008E23E0" w:rsidRPr="009448FC" w:rsidRDefault="008E23E0" w:rsidP="008E23E0">
      <w:pPr>
        <w:jc w:val="both"/>
      </w:pPr>
    </w:p>
    <w:p w:rsidR="00F46CF9" w:rsidRPr="009448FC" w:rsidRDefault="008E23E0" w:rsidP="00427266">
      <w:pPr>
        <w:jc w:val="both"/>
        <w:outlineLvl w:val="0"/>
      </w:pPr>
      <w:r w:rsidRPr="009448FC">
        <w:t xml:space="preserve">The Multiple BSSID element is included in Beacon frames, as described in </w:t>
      </w:r>
      <w:r w:rsidR="00BD151C" w:rsidRPr="009448FC">
        <w:fldChar w:fldCharType="begin"/>
      </w:r>
      <w:r w:rsidR="009326D4" w:rsidRPr="009448FC">
        <w:instrText xml:space="preserve"> REF _Ref243797135 \r \h </w:instrText>
      </w:r>
      <w:r w:rsidR="00BD151C" w:rsidRPr="009448FC">
        <w:fldChar w:fldCharType="separate"/>
      </w:r>
      <w:r w:rsidR="003E4210">
        <w:t>7.2.3.1</w:t>
      </w:r>
      <w:r w:rsidR="00BD151C" w:rsidRPr="009448FC">
        <w:fldChar w:fldCharType="end"/>
      </w:r>
      <w:r w:rsidRPr="009448FC">
        <w:t xml:space="preserve">, </w:t>
      </w:r>
      <w:r w:rsidRPr="00066F65">
        <w:rPr>
          <w:iCs/>
          <w:u w:val="single"/>
        </w:rPr>
        <w:t xml:space="preserve">in mmWave Beacon frames, as described in </w:t>
      </w:r>
      <w:r w:rsidR="00BD151C" w:rsidRPr="00066F65">
        <w:rPr>
          <w:iCs/>
          <w:u w:val="single"/>
        </w:rPr>
        <w:fldChar w:fldCharType="begin"/>
      </w:r>
      <w:r w:rsidR="00AE713B" w:rsidRPr="00066F65">
        <w:rPr>
          <w:iCs/>
          <w:u w:val="single"/>
        </w:rPr>
        <w:instrText xml:space="preserve"> REF _Ref236726090 \r \h </w:instrText>
      </w:r>
      <w:r w:rsidR="00BD151C" w:rsidRPr="00066F65">
        <w:rPr>
          <w:iCs/>
          <w:u w:val="single"/>
        </w:rPr>
      </w:r>
      <w:r w:rsidR="00BD151C" w:rsidRPr="00066F65">
        <w:rPr>
          <w:iCs/>
          <w:u w:val="single"/>
        </w:rPr>
        <w:fldChar w:fldCharType="separate"/>
      </w:r>
      <w:r w:rsidR="003E4210">
        <w:rPr>
          <w:iCs/>
          <w:u w:val="single"/>
        </w:rPr>
        <w:t>7.2.4.1</w:t>
      </w:r>
      <w:r w:rsidR="00BD151C" w:rsidRPr="00066F65">
        <w:rPr>
          <w:iCs/>
          <w:u w:val="single"/>
        </w:rPr>
        <w:fldChar w:fldCharType="end"/>
      </w:r>
      <w:r w:rsidRPr="00066F65">
        <w:rPr>
          <w:iCs/>
          <w:u w:val="single"/>
        </w:rPr>
        <w:t>,</w:t>
      </w:r>
      <w:r w:rsidRPr="009448FC">
        <w:t xml:space="preserve"> and Probe Response frames, as described in </w:t>
      </w:r>
      <w:r w:rsidR="00BD151C" w:rsidRPr="009448FC">
        <w:fldChar w:fldCharType="begin"/>
      </w:r>
      <w:r w:rsidR="000944BE" w:rsidRPr="009448FC">
        <w:instrText xml:space="preserve"> REF _Ref243797495 \r \h </w:instrText>
      </w:r>
      <w:r w:rsidR="00BD151C" w:rsidRPr="009448FC">
        <w:fldChar w:fldCharType="separate"/>
      </w:r>
      <w:r w:rsidR="003E4210">
        <w:t>7.2.3.9</w:t>
      </w:r>
      <w:r w:rsidR="00BD151C" w:rsidRPr="009448FC">
        <w:fldChar w:fldCharType="end"/>
      </w:r>
      <w:r w:rsidRPr="009448FC">
        <w:t xml:space="preserve">. The use of the Multiple BSSID element is described </w:t>
      </w:r>
      <w:r w:rsidR="00BD151C" w:rsidRPr="009448FC">
        <w:fldChar w:fldCharType="begin"/>
      </w:r>
      <w:r w:rsidR="007B70F1" w:rsidRPr="009448FC">
        <w:instrText xml:space="preserve"> REF _Ref243797559 \r \h </w:instrText>
      </w:r>
      <w:r w:rsidR="00BD151C" w:rsidRPr="009448FC">
        <w:fldChar w:fldCharType="separate"/>
      </w:r>
      <w:r w:rsidR="003E4210">
        <w:t>11.10.1</w:t>
      </w:r>
      <w:r w:rsidR="00BD151C" w:rsidRPr="009448FC">
        <w:fldChar w:fldCharType="end"/>
      </w:r>
      <w:r w:rsidRPr="009448FC">
        <w:t xml:space="preserve">. Non-transmitted BSSID Advertisement procedures are described in </w:t>
      </w:r>
      <w:r w:rsidR="00BD151C" w:rsidRPr="009448FC">
        <w:fldChar w:fldCharType="begin"/>
      </w:r>
      <w:r w:rsidR="00427266" w:rsidRPr="009448FC">
        <w:instrText xml:space="preserve"> REF _Ref243797626 \h </w:instrText>
      </w:r>
      <w:r w:rsidR="00BD151C" w:rsidRPr="009448FC">
        <w:fldChar w:fldCharType="separate"/>
      </w:r>
      <w:r w:rsidR="003E4210" w:rsidRPr="009448FC">
        <w:t>11.1.2.3a Multiple BSSID procedures</w:t>
      </w:r>
      <w:r w:rsidR="00BD151C" w:rsidRPr="009448FC">
        <w:fldChar w:fldCharType="end"/>
      </w:r>
      <w:r w:rsidRPr="009448FC">
        <w:t>.</w:t>
      </w:r>
      <w:bookmarkStart w:id="506" w:name="_Toc232842645"/>
      <w:bookmarkStart w:id="507" w:name="_Toc235390601"/>
      <w:bookmarkStart w:id="508" w:name="_Toc235392800"/>
      <w:bookmarkStart w:id="509" w:name="_Toc235394012"/>
      <w:bookmarkStart w:id="510" w:name="_Toc235400259"/>
      <w:bookmarkEnd w:id="506"/>
      <w:bookmarkEnd w:id="507"/>
      <w:bookmarkEnd w:id="508"/>
      <w:bookmarkEnd w:id="509"/>
      <w:bookmarkEnd w:id="510"/>
    </w:p>
    <w:p w:rsidR="00700A07" w:rsidRPr="009448FC" w:rsidRDefault="00700A07" w:rsidP="00700A07">
      <w:pPr>
        <w:autoSpaceDE w:val="0"/>
        <w:autoSpaceDN w:val="0"/>
        <w:adjustRightInd w:val="0"/>
        <w:outlineLvl w:val="0"/>
        <w:rPr>
          <w:b/>
          <w:i/>
        </w:rPr>
      </w:pPr>
    </w:p>
    <w:p w:rsidR="000A1419" w:rsidRPr="009448FC" w:rsidRDefault="000A1419" w:rsidP="003701DB">
      <w:pPr>
        <w:pStyle w:val="Heading4"/>
        <w:numPr>
          <w:ilvl w:val="3"/>
          <w:numId w:val="151"/>
        </w:numPr>
      </w:pPr>
      <w:bookmarkStart w:id="511" w:name="_Toc259716924"/>
      <w:r w:rsidRPr="009448FC">
        <w:lastRenderedPageBreak/>
        <w:t>Non-transmitted BSSID Capability element</w:t>
      </w:r>
      <w:bookmarkEnd w:id="511"/>
    </w:p>
    <w:p w:rsidR="00700A07" w:rsidRPr="009448FC" w:rsidRDefault="00700A07" w:rsidP="00700A07">
      <w:pPr>
        <w:jc w:val="both"/>
        <w:outlineLvl w:val="0"/>
        <w:rPr>
          <w:i/>
        </w:rPr>
      </w:pPr>
      <w:r w:rsidRPr="009448FC">
        <w:rPr>
          <w:i/>
        </w:rPr>
        <w:t>.11 Editor Instruction: change Figure 7-101bp (Non-transmitted B</w:t>
      </w:r>
      <w:r w:rsidR="00AB7CDB" w:rsidRPr="009448FC">
        <w:rPr>
          <w:i/>
        </w:rPr>
        <w:t>SSID Capability element format)</w:t>
      </w:r>
      <w:r w:rsidRPr="009448FC">
        <w:rPr>
          <w:i/>
        </w:rPr>
        <w:t xml:space="preserve"> of 802.11-2007+802.11v D6.01 as follows:</w:t>
      </w:r>
    </w:p>
    <w:p w:rsidR="00700A07" w:rsidRPr="009448FC" w:rsidRDefault="00700A07" w:rsidP="00700A0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11"/>
        <w:gridCol w:w="896"/>
        <w:gridCol w:w="2207"/>
        <w:gridCol w:w="2449"/>
        <w:gridCol w:w="2357"/>
      </w:tblGrid>
      <w:tr w:rsidR="002914EA" w:rsidRPr="00066F65" w:rsidTr="006B15C3">
        <w:tc>
          <w:tcPr>
            <w:tcW w:w="0" w:type="auto"/>
          </w:tcPr>
          <w:p w:rsidR="002914EA" w:rsidRPr="009448FC" w:rsidRDefault="002914EA" w:rsidP="002444B2">
            <w:pPr>
              <w:jc w:val="center"/>
              <w:rPr>
                <w:rFonts w:eastAsia="SimSun"/>
              </w:rPr>
            </w:pPr>
          </w:p>
        </w:tc>
        <w:tc>
          <w:tcPr>
            <w:tcW w:w="0" w:type="auto"/>
          </w:tcPr>
          <w:p w:rsidR="002914EA" w:rsidRPr="009448FC" w:rsidRDefault="002914EA" w:rsidP="002444B2">
            <w:pPr>
              <w:jc w:val="center"/>
              <w:rPr>
                <w:rFonts w:eastAsia="SimSun"/>
              </w:rPr>
            </w:pPr>
            <w:r w:rsidRPr="009448FC">
              <w:rPr>
                <w:rFonts w:eastAsia="SimSun"/>
              </w:rPr>
              <w:t>Element ID</w:t>
            </w:r>
          </w:p>
        </w:tc>
        <w:tc>
          <w:tcPr>
            <w:tcW w:w="0" w:type="auto"/>
          </w:tcPr>
          <w:p w:rsidR="002914EA" w:rsidRPr="009448FC" w:rsidRDefault="002914EA" w:rsidP="002444B2">
            <w:pPr>
              <w:jc w:val="center"/>
              <w:rPr>
                <w:rFonts w:eastAsia="SimSun"/>
              </w:rPr>
            </w:pPr>
            <w:r w:rsidRPr="009448FC">
              <w:rPr>
                <w:rFonts w:eastAsia="SimSun"/>
              </w:rPr>
              <w:t>Length</w:t>
            </w:r>
          </w:p>
        </w:tc>
        <w:tc>
          <w:tcPr>
            <w:tcW w:w="2207" w:type="dxa"/>
          </w:tcPr>
          <w:p w:rsidR="002914EA" w:rsidRPr="009448FC" w:rsidRDefault="002914EA" w:rsidP="002444B2">
            <w:pPr>
              <w:jc w:val="center"/>
              <w:rPr>
                <w:rFonts w:eastAsia="SimSun"/>
              </w:rPr>
            </w:pPr>
            <w:r w:rsidRPr="009448FC">
              <w:rPr>
                <w:rFonts w:eastAsia="SimSun"/>
              </w:rPr>
              <w:t>Non-transmitted BSSID Capability</w:t>
            </w:r>
          </w:p>
        </w:tc>
        <w:tc>
          <w:tcPr>
            <w:tcW w:w="2449" w:type="dxa"/>
          </w:tcPr>
          <w:p w:rsidR="002914EA" w:rsidRPr="00066F65" w:rsidRDefault="002914EA" w:rsidP="002444B2">
            <w:pPr>
              <w:jc w:val="center"/>
              <w:rPr>
                <w:rFonts w:eastAsia="SimSun"/>
                <w:u w:val="single"/>
              </w:rPr>
            </w:pPr>
            <w:r w:rsidRPr="00066F65">
              <w:rPr>
                <w:rFonts w:eastAsia="SimSun"/>
                <w:u w:val="single"/>
              </w:rPr>
              <w:t>Non-transmitted BSSID mmWave Capability element</w:t>
            </w:r>
          </w:p>
        </w:tc>
        <w:tc>
          <w:tcPr>
            <w:tcW w:w="0" w:type="auto"/>
          </w:tcPr>
          <w:p w:rsidR="002914EA" w:rsidRPr="00E448C8" w:rsidRDefault="009D537D" w:rsidP="002444B2">
            <w:pPr>
              <w:jc w:val="center"/>
              <w:rPr>
                <w:u w:val="single"/>
              </w:rPr>
            </w:pPr>
            <w:r w:rsidRPr="009D537D">
              <w:rPr>
                <w:u w:val="single"/>
              </w:rPr>
              <w:t>mmWave BSS Control</w:t>
            </w:r>
          </w:p>
          <w:p w:rsidR="002914EA" w:rsidRPr="006C4A49" w:rsidRDefault="002914EA" w:rsidP="002444B2">
            <w:pPr>
              <w:jc w:val="center"/>
              <w:rPr>
                <w:rFonts w:eastAsia="SimSun"/>
                <w:u w:val="single"/>
              </w:rPr>
            </w:pPr>
          </w:p>
        </w:tc>
      </w:tr>
      <w:tr w:rsidR="006B15C3" w:rsidRPr="00066F65" w:rsidTr="006B15C3">
        <w:tc>
          <w:tcPr>
            <w:tcW w:w="0" w:type="auto"/>
          </w:tcPr>
          <w:p w:rsidR="006B15C3" w:rsidRPr="009448FC" w:rsidRDefault="006B15C3" w:rsidP="002444B2">
            <w:pPr>
              <w:jc w:val="center"/>
              <w:rPr>
                <w:rFonts w:eastAsia="SimSun"/>
              </w:rPr>
            </w:pPr>
            <w:r w:rsidRPr="009448FC">
              <w:rPr>
                <w:rFonts w:eastAsia="SimSun"/>
              </w:rPr>
              <w:t>Octets:</w:t>
            </w:r>
          </w:p>
        </w:tc>
        <w:tc>
          <w:tcPr>
            <w:tcW w:w="0" w:type="auto"/>
          </w:tcPr>
          <w:p w:rsidR="006B15C3" w:rsidRPr="009448FC" w:rsidRDefault="006B15C3" w:rsidP="002444B2">
            <w:pPr>
              <w:jc w:val="center"/>
              <w:rPr>
                <w:rFonts w:eastAsia="SimSun"/>
              </w:rPr>
            </w:pPr>
            <w:r w:rsidRPr="009448FC">
              <w:rPr>
                <w:rFonts w:eastAsia="SimSun"/>
              </w:rPr>
              <w:t>1</w:t>
            </w:r>
          </w:p>
        </w:tc>
        <w:tc>
          <w:tcPr>
            <w:tcW w:w="0" w:type="auto"/>
          </w:tcPr>
          <w:p w:rsidR="006B15C3" w:rsidRPr="009448FC" w:rsidRDefault="006B15C3" w:rsidP="002444B2">
            <w:pPr>
              <w:jc w:val="center"/>
              <w:rPr>
                <w:rFonts w:eastAsia="SimSun"/>
              </w:rPr>
            </w:pPr>
            <w:r w:rsidRPr="009448FC">
              <w:rPr>
                <w:rFonts w:eastAsia="SimSun"/>
              </w:rPr>
              <w:t>1</w:t>
            </w:r>
          </w:p>
        </w:tc>
        <w:tc>
          <w:tcPr>
            <w:tcW w:w="2207" w:type="dxa"/>
          </w:tcPr>
          <w:p w:rsidR="006B15C3" w:rsidRPr="009448FC" w:rsidRDefault="006B15C3" w:rsidP="002444B2">
            <w:pPr>
              <w:jc w:val="center"/>
              <w:rPr>
                <w:rFonts w:eastAsia="SimSun"/>
              </w:rPr>
            </w:pPr>
            <w:r w:rsidRPr="009448FC">
              <w:rPr>
                <w:rFonts w:eastAsia="SimSun"/>
              </w:rPr>
              <w:t>2</w:t>
            </w:r>
          </w:p>
        </w:tc>
        <w:tc>
          <w:tcPr>
            <w:tcW w:w="2449" w:type="dxa"/>
          </w:tcPr>
          <w:p w:rsidR="006B15C3" w:rsidRPr="00066F65" w:rsidRDefault="006B15C3" w:rsidP="002444B2">
            <w:pPr>
              <w:jc w:val="center"/>
              <w:rPr>
                <w:rFonts w:eastAsia="SimSun"/>
                <w:u w:val="single"/>
              </w:rPr>
            </w:pPr>
            <w:r w:rsidRPr="00066F65">
              <w:rPr>
                <w:rFonts w:eastAsia="SimSun"/>
                <w:u w:val="single"/>
              </w:rPr>
              <w:t>13</w:t>
            </w:r>
          </w:p>
        </w:tc>
        <w:tc>
          <w:tcPr>
            <w:tcW w:w="0" w:type="auto"/>
          </w:tcPr>
          <w:p w:rsidR="006B15C3" w:rsidRPr="006C4A49" w:rsidRDefault="002914EA" w:rsidP="002444B2">
            <w:pPr>
              <w:jc w:val="center"/>
              <w:rPr>
                <w:rFonts w:eastAsia="SimSun"/>
                <w:u w:val="single"/>
              </w:rPr>
            </w:pPr>
            <w:r w:rsidRPr="006C4A49">
              <w:rPr>
                <w:rFonts w:eastAsia="SimSun"/>
                <w:u w:val="single"/>
              </w:rPr>
              <w:t>1</w:t>
            </w:r>
          </w:p>
        </w:tc>
      </w:tr>
    </w:tbl>
    <w:p w:rsidR="00700A07" w:rsidRPr="009448FC" w:rsidRDefault="00700A07" w:rsidP="00700A07">
      <w:pPr>
        <w:jc w:val="both"/>
      </w:pPr>
    </w:p>
    <w:p w:rsidR="00700A07" w:rsidRPr="009448FC" w:rsidRDefault="00700A07" w:rsidP="00700A07">
      <w:pPr>
        <w:jc w:val="both"/>
        <w:outlineLvl w:val="0"/>
        <w:rPr>
          <w:i/>
        </w:rPr>
      </w:pPr>
      <w:r w:rsidRPr="009448FC">
        <w:rPr>
          <w:i/>
        </w:rPr>
        <w:t>.11 Editor Instruction: change the 3</w:t>
      </w:r>
      <w:r w:rsidRPr="009448FC">
        <w:rPr>
          <w:i/>
          <w:vertAlign w:val="superscript"/>
        </w:rPr>
        <w:t>rd</w:t>
      </w:r>
      <w:r w:rsidRPr="009448FC">
        <w:rPr>
          <w:i/>
        </w:rPr>
        <w:t xml:space="preserve"> and 4</w:t>
      </w:r>
      <w:r w:rsidRPr="009448FC">
        <w:rPr>
          <w:i/>
          <w:vertAlign w:val="superscript"/>
        </w:rPr>
        <w:t>th</w:t>
      </w:r>
      <w:r w:rsidRPr="009448FC">
        <w:rPr>
          <w:i/>
        </w:rPr>
        <w:t xml:space="preserve"> paragraphs of 802.11-2007+802.11v D6.01 as follows:</w:t>
      </w:r>
    </w:p>
    <w:p w:rsidR="00700A07" w:rsidRPr="009448FC" w:rsidRDefault="00700A07" w:rsidP="00700A07">
      <w:pPr>
        <w:jc w:val="both"/>
      </w:pPr>
    </w:p>
    <w:p w:rsidR="00700A07" w:rsidRPr="009448FC" w:rsidRDefault="00700A07" w:rsidP="00A25B74">
      <w:pPr>
        <w:jc w:val="both"/>
        <w:outlineLvl w:val="0"/>
      </w:pPr>
      <w:r w:rsidRPr="009448FC">
        <w:t xml:space="preserve">The value of Length field is </w:t>
      </w:r>
      <w:r w:rsidR="00A25B74" w:rsidRPr="009448FC">
        <w:rPr>
          <w:strike/>
        </w:rPr>
        <w:t>2</w:t>
      </w:r>
      <w:r w:rsidR="00A25B74">
        <w:rPr>
          <w:iCs/>
          <w:u w:val="single"/>
        </w:rPr>
        <w:t>16</w:t>
      </w:r>
      <w:r w:rsidRPr="009448FC">
        <w:t>.</w:t>
      </w:r>
    </w:p>
    <w:p w:rsidR="00700A07" w:rsidRPr="009448FC" w:rsidRDefault="00700A07" w:rsidP="00700A07">
      <w:pPr>
        <w:jc w:val="both"/>
        <w:outlineLvl w:val="0"/>
      </w:pPr>
    </w:p>
    <w:p w:rsidR="00700A07" w:rsidRDefault="00700A07" w:rsidP="00700A07">
      <w:pPr>
        <w:jc w:val="both"/>
        <w:outlineLvl w:val="0"/>
      </w:pPr>
      <w:r w:rsidRPr="009448FC">
        <w:t xml:space="preserve">The Non-transmitted BSSID Capability field contains the Capability information field of the BSS </w:t>
      </w:r>
      <w:r w:rsidRPr="00066F65">
        <w:rPr>
          <w:iCs/>
          <w:u w:val="single"/>
        </w:rPr>
        <w:t xml:space="preserve">in the LB </w:t>
      </w:r>
      <w:r w:rsidR="00B910DA" w:rsidRPr="00066F65">
        <w:rPr>
          <w:iCs/>
          <w:u w:val="single"/>
        </w:rPr>
        <w:t>or HB, and the mmWave Capabilities</w:t>
      </w:r>
      <w:r w:rsidRPr="00066F65">
        <w:rPr>
          <w:iCs/>
          <w:u w:val="single"/>
        </w:rPr>
        <w:t xml:space="preserve"> </w:t>
      </w:r>
      <w:r w:rsidR="00F264C8" w:rsidRPr="00066F65">
        <w:rPr>
          <w:iCs/>
          <w:u w:val="single"/>
        </w:rPr>
        <w:t>element</w:t>
      </w:r>
      <w:r w:rsidRPr="00066F65">
        <w:rPr>
          <w:iCs/>
          <w:u w:val="single"/>
        </w:rPr>
        <w:t xml:space="preserve"> </w:t>
      </w:r>
      <w:r w:rsidR="00A25B74">
        <w:rPr>
          <w:iCs/>
          <w:u w:val="single"/>
        </w:rPr>
        <w:t xml:space="preserve">and the mmWave BSS </w:t>
      </w:r>
      <w:r w:rsidR="00E448C8">
        <w:rPr>
          <w:iCs/>
          <w:u w:val="single"/>
        </w:rPr>
        <w:t>C</w:t>
      </w:r>
      <w:r w:rsidR="00A25B74">
        <w:rPr>
          <w:iCs/>
          <w:u w:val="single"/>
        </w:rPr>
        <w:t xml:space="preserve">ontrol </w:t>
      </w:r>
      <w:r w:rsidR="00E448C8">
        <w:rPr>
          <w:iCs/>
          <w:u w:val="single"/>
        </w:rPr>
        <w:t xml:space="preserve">field </w:t>
      </w:r>
      <w:r w:rsidRPr="00066F65">
        <w:rPr>
          <w:iCs/>
          <w:u w:val="single"/>
        </w:rPr>
        <w:t>of the mSTA in the UB</w:t>
      </w:r>
      <w:r w:rsidRPr="009448FC">
        <w:t>.</w:t>
      </w:r>
    </w:p>
    <w:p w:rsidR="00E22E7E" w:rsidRDefault="00E22E7E" w:rsidP="00700A07">
      <w:pPr>
        <w:jc w:val="both"/>
        <w:outlineLvl w:val="0"/>
      </w:pPr>
    </w:p>
    <w:p w:rsidR="00DB6F91" w:rsidRPr="00DB6F91" w:rsidRDefault="009D537D" w:rsidP="00700A07">
      <w:pPr>
        <w:jc w:val="both"/>
        <w:outlineLvl w:val="0"/>
        <w:rPr>
          <w:i/>
        </w:rPr>
      </w:pPr>
      <w:r w:rsidRPr="009D537D">
        <w:rPr>
          <w:i/>
        </w:rPr>
        <w:t>.11 Editor Instruction: insert the following text</w:t>
      </w:r>
    </w:p>
    <w:p w:rsidR="00DB6F91" w:rsidRDefault="00DB6F91" w:rsidP="00700A07">
      <w:pPr>
        <w:jc w:val="both"/>
        <w:outlineLvl w:val="0"/>
      </w:pPr>
    </w:p>
    <w:p w:rsidR="00E22E7E" w:rsidRDefault="009D537D" w:rsidP="00FF21D9">
      <w:pPr>
        <w:autoSpaceDE w:val="0"/>
        <w:autoSpaceDN w:val="0"/>
        <w:adjustRightInd w:val="0"/>
        <w:rPr>
          <w:u w:val="single"/>
        </w:rPr>
      </w:pPr>
      <w:r w:rsidRPr="009D537D">
        <w:rPr>
          <w:u w:val="single"/>
        </w:rPr>
        <w:t xml:space="preserve">The </w:t>
      </w:r>
      <w:r w:rsidR="004E4D86">
        <w:rPr>
          <w:u w:val="single"/>
        </w:rPr>
        <w:t xml:space="preserve">mmWave </w:t>
      </w:r>
      <w:r w:rsidRPr="009D537D">
        <w:rPr>
          <w:u w:val="single"/>
        </w:rPr>
        <w:t xml:space="preserve">BSS Control field is defined in </w:t>
      </w:r>
      <w:fldSimple w:instr=" REF _Ref256209867 \h  \* MERGEFORMAT ">
        <w:r w:rsidR="003E4210" w:rsidRPr="003E4210">
          <w:rPr>
            <w:u w:val="single"/>
          </w:rPr>
          <w:t xml:space="preserve">Table </w:t>
        </w:r>
        <w:r w:rsidR="003E4210" w:rsidRPr="003E4210">
          <w:rPr>
            <w:noProof/>
            <w:u w:val="single"/>
          </w:rPr>
          <w:t>9</w:t>
        </w:r>
      </w:fldSimple>
      <w:r w:rsidRPr="009D537D">
        <w:rPr>
          <w:u w:val="single"/>
        </w:rPr>
        <w:t>.</w:t>
      </w:r>
      <w:r w:rsidR="00080054">
        <w:rPr>
          <w:u w:val="single"/>
        </w:rPr>
        <w:t xml:space="preserve"> </w:t>
      </w:r>
    </w:p>
    <w:p w:rsidR="005949FA" w:rsidRPr="00E448C8" w:rsidRDefault="005949FA" w:rsidP="00FF21D9">
      <w:pPr>
        <w:autoSpaceDE w:val="0"/>
        <w:autoSpaceDN w:val="0"/>
        <w:adjustRightInd w:val="0"/>
        <w:rPr>
          <w:u w:val="single"/>
        </w:rPr>
      </w:pPr>
    </w:p>
    <w:p w:rsidR="00E22E7E" w:rsidRPr="00000C5F" w:rsidRDefault="009D537D" w:rsidP="000966C9">
      <w:pPr>
        <w:pStyle w:val="Caption"/>
        <w:keepNext/>
        <w:rPr>
          <w:bCs/>
          <w:u w:val="single"/>
        </w:rPr>
      </w:pPr>
      <w:bookmarkStart w:id="512" w:name="_Ref256209867"/>
      <w:bookmarkStart w:id="513" w:name="_Toc259717587"/>
      <w:r w:rsidRPr="00000C5F">
        <w:rPr>
          <w:rFonts w:ascii="Times New Roman" w:eastAsia="Times New Roman" w:hAnsi="Times New Roman"/>
          <w:bCs/>
          <w:szCs w:val="24"/>
          <w:lang w:bidi="he-IL"/>
        </w:rPr>
        <w:t xml:space="preserve">Table </w:t>
      </w:r>
      <w:r w:rsidR="00BD151C" w:rsidRPr="00000C5F">
        <w:rPr>
          <w:rFonts w:ascii="Times New Roman" w:eastAsia="Times New Roman" w:hAnsi="Times New Roman"/>
          <w:bCs/>
          <w:szCs w:val="24"/>
          <w:lang w:bidi="he-IL"/>
        </w:rPr>
        <w:fldChar w:fldCharType="begin"/>
      </w:r>
      <w:r w:rsidRPr="00000C5F">
        <w:rPr>
          <w:rFonts w:ascii="Times New Roman" w:eastAsia="Times New Roman" w:hAnsi="Times New Roman"/>
          <w:bCs/>
          <w:szCs w:val="24"/>
          <w:lang w:bidi="he-IL"/>
        </w:rPr>
        <w:instrText xml:space="preserve"> SEQ Table \* ARABIC </w:instrText>
      </w:r>
      <w:r w:rsidR="00BD151C" w:rsidRPr="00000C5F">
        <w:rPr>
          <w:rFonts w:ascii="Times New Roman" w:eastAsia="Times New Roman" w:hAnsi="Times New Roman"/>
          <w:bCs/>
          <w:szCs w:val="24"/>
          <w:lang w:bidi="he-IL"/>
        </w:rPr>
        <w:fldChar w:fldCharType="separate"/>
      </w:r>
      <w:r w:rsidR="003E4210">
        <w:rPr>
          <w:rFonts w:ascii="Times New Roman" w:eastAsia="Times New Roman" w:hAnsi="Times New Roman"/>
          <w:bCs/>
          <w:noProof/>
          <w:szCs w:val="24"/>
          <w:lang w:bidi="he-IL"/>
        </w:rPr>
        <w:t>9</w:t>
      </w:r>
      <w:r w:rsidR="00BD151C" w:rsidRPr="00000C5F">
        <w:rPr>
          <w:rFonts w:ascii="Times New Roman" w:eastAsia="Times New Roman" w:hAnsi="Times New Roman"/>
          <w:bCs/>
          <w:szCs w:val="24"/>
          <w:lang w:bidi="he-IL"/>
        </w:rPr>
        <w:fldChar w:fldCharType="end"/>
      </w:r>
      <w:bookmarkEnd w:id="512"/>
      <w:r w:rsidR="00DB6F91" w:rsidRPr="004E4D86">
        <w:rPr>
          <w:bCs/>
        </w:rPr>
        <w:t xml:space="preserve"> </w:t>
      </w:r>
      <w:r w:rsidRPr="00000C5F">
        <w:rPr>
          <w:rFonts w:ascii="Times New Roman" w:eastAsia="Times New Roman" w:hAnsi="Times New Roman"/>
          <w:bCs/>
          <w:sz w:val="28"/>
          <w:szCs w:val="24"/>
          <w:lang w:bidi="he-IL"/>
        </w:rPr>
        <w:t>–</w:t>
      </w:r>
      <w:r w:rsidRPr="004E4D86">
        <w:rPr>
          <w:rFonts w:ascii="Times New Roman" w:eastAsia="Times New Roman" w:hAnsi="Times New Roman"/>
          <w:bCs/>
          <w:szCs w:val="24"/>
          <w:lang w:bidi="he-IL"/>
        </w:rPr>
        <w:t xml:space="preserve"> </w:t>
      </w:r>
      <w:r w:rsidR="004E4D86" w:rsidRPr="004E4D86">
        <w:rPr>
          <w:rFonts w:ascii="Times New Roman" w:eastAsia="Times New Roman" w:hAnsi="Times New Roman"/>
          <w:bCs/>
          <w:szCs w:val="24"/>
          <w:lang w:bidi="he-IL"/>
        </w:rPr>
        <w:t xml:space="preserve">mmWave </w:t>
      </w:r>
      <w:r w:rsidRPr="004E4D86">
        <w:rPr>
          <w:rFonts w:ascii="Times New Roman" w:eastAsia="Times New Roman" w:hAnsi="Times New Roman"/>
          <w:bCs/>
          <w:szCs w:val="24"/>
          <w:lang w:bidi="he-IL"/>
        </w:rPr>
        <w:t>BSS Control</w:t>
      </w:r>
      <w:r w:rsidRPr="00000C5F">
        <w:rPr>
          <w:rFonts w:ascii="Times New Roman" w:eastAsia="Times New Roman" w:hAnsi="Times New Roman"/>
          <w:bCs/>
          <w:szCs w:val="24"/>
          <w:lang w:bidi="he-IL"/>
        </w:rPr>
        <w:t xml:space="preserve"> field format</w:t>
      </w:r>
      <w:bookmarkEnd w:id="5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5"/>
        <w:gridCol w:w="1903"/>
        <w:gridCol w:w="2070"/>
      </w:tblGrid>
      <w:tr w:rsidR="00E22E7E" w:rsidRPr="00E448C8" w:rsidTr="000966C9">
        <w:trPr>
          <w:jc w:val="center"/>
        </w:trPr>
        <w:tc>
          <w:tcPr>
            <w:tcW w:w="1355" w:type="dxa"/>
          </w:tcPr>
          <w:p w:rsidR="00E22E7E" w:rsidRPr="00E448C8" w:rsidRDefault="00E22E7E" w:rsidP="004E4D86">
            <w:pPr>
              <w:keepNext/>
              <w:keepLines/>
              <w:autoSpaceDE w:val="0"/>
              <w:autoSpaceDN w:val="0"/>
              <w:adjustRightInd w:val="0"/>
              <w:outlineLvl w:val="0"/>
              <w:rPr>
                <w:u w:val="single"/>
              </w:rPr>
            </w:pPr>
          </w:p>
        </w:tc>
        <w:tc>
          <w:tcPr>
            <w:tcW w:w="1903" w:type="dxa"/>
          </w:tcPr>
          <w:p w:rsidR="00E22E7E" w:rsidRPr="00E448C8" w:rsidRDefault="009D537D" w:rsidP="004E4D86">
            <w:pPr>
              <w:autoSpaceDE w:val="0"/>
              <w:autoSpaceDN w:val="0"/>
              <w:adjustRightInd w:val="0"/>
              <w:rPr>
                <w:u w:val="single"/>
              </w:rPr>
            </w:pPr>
            <w:r w:rsidRPr="009D537D">
              <w:rPr>
                <w:u w:val="single"/>
              </w:rPr>
              <w:t>BSS Type</w:t>
            </w:r>
          </w:p>
        </w:tc>
        <w:tc>
          <w:tcPr>
            <w:tcW w:w="2070" w:type="dxa"/>
          </w:tcPr>
          <w:p w:rsidR="00E22E7E" w:rsidRPr="00E448C8" w:rsidRDefault="009D537D" w:rsidP="004E4D86">
            <w:pPr>
              <w:autoSpaceDE w:val="0"/>
              <w:autoSpaceDN w:val="0"/>
              <w:adjustRightInd w:val="0"/>
              <w:rPr>
                <w:u w:val="single"/>
              </w:rPr>
            </w:pPr>
            <w:r w:rsidRPr="009D537D">
              <w:rPr>
                <w:u w:val="single"/>
              </w:rPr>
              <w:t>Reserved</w:t>
            </w:r>
          </w:p>
        </w:tc>
      </w:tr>
      <w:tr w:rsidR="00E22E7E" w:rsidRPr="00E448C8" w:rsidTr="000966C9">
        <w:trPr>
          <w:jc w:val="center"/>
        </w:trPr>
        <w:tc>
          <w:tcPr>
            <w:tcW w:w="1355" w:type="dxa"/>
          </w:tcPr>
          <w:p w:rsidR="00E22E7E" w:rsidRPr="00E448C8" w:rsidRDefault="009D537D" w:rsidP="004E4D86">
            <w:pPr>
              <w:autoSpaceDE w:val="0"/>
              <w:autoSpaceDN w:val="0"/>
              <w:adjustRightInd w:val="0"/>
              <w:rPr>
                <w:u w:val="single"/>
              </w:rPr>
            </w:pPr>
            <w:r w:rsidRPr="009D537D">
              <w:rPr>
                <w:u w:val="single"/>
              </w:rPr>
              <w:t>Bits:</w:t>
            </w:r>
          </w:p>
        </w:tc>
        <w:tc>
          <w:tcPr>
            <w:tcW w:w="1903" w:type="dxa"/>
          </w:tcPr>
          <w:p w:rsidR="00E22E7E" w:rsidRPr="00E448C8" w:rsidRDefault="009D537D" w:rsidP="004E4D86">
            <w:pPr>
              <w:autoSpaceDE w:val="0"/>
              <w:autoSpaceDN w:val="0"/>
              <w:adjustRightInd w:val="0"/>
              <w:rPr>
                <w:u w:val="single"/>
              </w:rPr>
            </w:pPr>
            <w:r w:rsidRPr="009D537D">
              <w:rPr>
                <w:u w:val="single"/>
              </w:rPr>
              <w:t>2 bits</w:t>
            </w:r>
          </w:p>
        </w:tc>
        <w:tc>
          <w:tcPr>
            <w:tcW w:w="2070" w:type="dxa"/>
          </w:tcPr>
          <w:p w:rsidR="00E22E7E" w:rsidRPr="00E448C8" w:rsidRDefault="009D537D" w:rsidP="004E4D86">
            <w:pPr>
              <w:autoSpaceDE w:val="0"/>
              <w:autoSpaceDN w:val="0"/>
              <w:adjustRightInd w:val="0"/>
              <w:rPr>
                <w:u w:val="single"/>
              </w:rPr>
            </w:pPr>
            <w:r w:rsidRPr="009D537D">
              <w:rPr>
                <w:u w:val="single"/>
              </w:rPr>
              <w:t>6 bits</w:t>
            </w:r>
          </w:p>
        </w:tc>
      </w:tr>
    </w:tbl>
    <w:p w:rsidR="00E448C8" w:rsidRPr="00E448C8" w:rsidRDefault="00E448C8" w:rsidP="00E22E7E">
      <w:pPr>
        <w:autoSpaceDE w:val="0"/>
        <w:autoSpaceDN w:val="0"/>
        <w:adjustRightInd w:val="0"/>
        <w:rPr>
          <w:b/>
          <w:sz w:val="28"/>
          <w:u w:val="single"/>
        </w:rPr>
      </w:pPr>
    </w:p>
    <w:p w:rsidR="00E22E7E" w:rsidRPr="004E1E7C" w:rsidRDefault="009D537D" w:rsidP="000966C9">
      <w:pPr>
        <w:jc w:val="both"/>
        <w:outlineLvl w:val="0"/>
      </w:pPr>
      <w:r w:rsidRPr="004E1E7C">
        <w:rPr>
          <w:rFonts w:eastAsia="Batang"/>
          <w:bCs/>
          <w:szCs w:val="20"/>
          <w:lang w:eastAsia="ko-KR" w:bidi="ar-SA"/>
        </w:rPr>
        <w:t xml:space="preserve">The BSS Type field is as defined in </w:t>
      </w:r>
      <w:fldSimple w:instr=" REF _Ref236726090 \r \h  \* MERGEFORMAT ">
        <w:r w:rsidR="003E4210" w:rsidRPr="003E4210">
          <w:rPr>
            <w:rFonts w:eastAsia="Batang"/>
            <w:bCs/>
            <w:u w:val="single"/>
            <w:lang w:eastAsia="ko-KR"/>
          </w:rPr>
          <w:t>7.2.4.1</w:t>
        </w:r>
      </w:fldSimple>
      <w:r w:rsidRPr="004E1E7C">
        <w:rPr>
          <w:rFonts w:eastAsia="Batang"/>
          <w:bCs/>
          <w:szCs w:val="20"/>
          <w:lang w:eastAsia="ko-KR" w:bidi="ar-SA"/>
        </w:rPr>
        <w:t>.</w:t>
      </w:r>
      <w:r w:rsidR="00080054">
        <w:rPr>
          <w:rFonts w:eastAsia="MS Mincho"/>
          <w:bCs/>
          <w:szCs w:val="20"/>
          <w:lang w:bidi="ar-SA"/>
        </w:rPr>
        <w:t xml:space="preserve"> </w:t>
      </w:r>
    </w:p>
    <w:p w:rsidR="00700A07" w:rsidRDefault="00700A07" w:rsidP="00F46CF9">
      <w:pPr>
        <w:jc w:val="both"/>
        <w:outlineLvl w:val="0"/>
      </w:pPr>
    </w:p>
    <w:p w:rsidR="00015517" w:rsidRPr="00015517" w:rsidRDefault="00015517" w:rsidP="00F46CF9">
      <w:pPr>
        <w:jc w:val="both"/>
        <w:outlineLvl w:val="0"/>
        <w:rPr>
          <w:i/>
        </w:rPr>
      </w:pPr>
      <w:r w:rsidRPr="00015517">
        <w:rPr>
          <w:i/>
        </w:rPr>
        <w:t>.11 Editor Note: insert the following subclauses</w:t>
      </w:r>
    </w:p>
    <w:p w:rsidR="00015517" w:rsidRPr="009448FC" w:rsidRDefault="00015517" w:rsidP="00F46CF9">
      <w:pPr>
        <w:jc w:val="both"/>
        <w:outlineLvl w:val="0"/>
      </w:pPr>
    </w:p>
    <w:p w:rsidR="00AD00A2" w:rsidRPr="009448FC" w:rsidRDefault="00011BE3" w:rsidP="003701DB">
      <w:pPr>
        <w:pStyle w:val="Heading4"/>
        <w:numPr>
          <w:ilvl w:val="3"/>
          <w:numId w:val="152"/>
        </w:numPr>
      </w:pPr>
      <w:bookmarkStart w:id="514" w:name="_Ref244236970"/>
      <w:bookmarkStart w:id="515" w:name="_Ref244236971"/>
      <w:r w:rsidRPr="009448FC">
        <w:t xml:space="preserve"> </w:t>
      </w:r>
      <w:bookmarkStart w:id="516" w:name="_Ref244241386"/>
      <w:bookmarkStart w:id="517" w:name="_Ref244241433"/>
      <w:bookmarkStart w:id="518" w:name="_Toc259716925"/>
      <w:r w:rsidRPr="009448FC">
        <w:t>m</w:t>
      </w:r>
      <w:r w:rsidR="00AD00A2" w:rsidRPr="009448FC">
        <w:t>mWave BSS P</w:t>
      </w:r>
      <w:r w:rsidR="000F40B1">
        <w:t>a</w:t>
      </w:r>
      <w:r w:rsidR="00AD00A2" w:rsidRPr="009448FC">
        <w:t>rameter Change element</w:t>
      </w:r>
      <w:bookmarkEnd w:id="514"/>
      <w:bookmarkEnd w:id="515"/>
      <w:bookmarkEnd w:id="516"/>
      <w:bookmarkEnd w:id="517"/>
      <w:bookmarkEnd w:id="518"/>
    </w:p>
    <w:p w:rsidR="008C36FC" w:rsidRPr="009448FC" w:rsidRDefault="008C36FC" w:rsidP="000F7406">
      <w:r w:rsidRPr="009448FC">
        <w:t xml:space="preserve">The </w:t>
      </w:r>
      <w:r w:rsidR="00397C10" w:rsidRPr="009448FC">
        <w:t>mmWave</w:t>
      </w:r>
      <w:r w:rsidR="000F7406" w:rsidRPr="009448FC">
        <w:t xml:space="preserve"> BSS </w:t>
      </w:r>
      <w:r w:rsidR="006278CE" w:rsidRPr="009448FC">
        <w:t>Parameter Change</w:t>
      </w:r>
      <w:r w:rsidR="000F7406" w:rsidRPr="009448FC">
        <w:t xml:space="preserve"> </w:t>
      </w:r>
      <w:r w:rsidRPr="009448FC">
        <w:t>element is formatted as illustrated in</w:t>
      </w:r>
      <w:r w:rsidR="0067021E" w:rsidRPr="009448FC">
        <w:t xml:space="preserve"> </w:t>
      </w:r>
      <w:r w:rsidR="00BD151C">
        <w:fldChar w:fldCharType="begin"/>
      </w:r>
      <w:r w:rsidR="00ED3B8A">
        <w:instrText xml:space="preserve"> REF _Ref233013726 \h </w:instrText>
      </w:r>
      <w:r w:rsidR="00BD151C">
        <w:fldChar w:fldCharType="separate"/>
      </w:r>
      <w:r w:rsidR="003E4210" w:rsidRPr="00066F65">
        <w:t xml:space="preserve">Figure </w:t>
      </w:r>
      <w:r w:rsidR="003E4210">
        <w:rPr>
          <w:noProof/>
        </w:rPr>
        <w:t>27</w:t>
      </w:r>
      <w:r w:rsidR="00BD151C">
        <w:fldChar w:fldCharType="end"/>
      </w:r>
      <w:r w:rsidRPr="009448FC">
        <w:t>.</w:t>
      </w:r>
    </w:p>
    <w:p w:rsidR="008C36FC" w:rsidRPr="009448FC" w:rsidRDefault="008C36FC" w:rsidP="0004091F"/>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
        <w:gridCol w:w="1329"/>
        <w:gridCol w:w="896"/>
        <w:gridCol w:w="2149"/>
        <w:gridCol w:w="1423"/>
        <w:gridCol w:w="1658"/>
      </w:tblGrid>
      <w:tr w:rsidR="00D0037C" w:rsidRPr="00066F65" w:rsidTr="00D0037C">
        <w:trPr>
          <w:jc w:val="center"/>
        </w:trPr>
        <w:tc>
          <w:tcPr>
            <w:tcW w:w="961" w:type="dxa"/>
          </w:tcPr>
          <w:p w:rsidR="008C36FC" w:rsidRPr="009448FC" w:rsidRDefault="008C36FC" w:rsidP="00D0037C">
            <w:pPr>
              <w:jc w:val="both"/>
              <w:rPr>
                <w:rFonts w:eastAsia="SimSun"/>
              </w:rPr>
            </w:pPr>
          </w:p>
        </w:tc>
        <w:tc>
          <w:tcPr>
            <w:tcW w:w="0" w:type="auto"/>
          </w:tcPr>
          <w:p w:rsidR="008C36FC" w:rsidRPr="009448FC" w:rsidRDefault="008C36FC" w:rsidP="00D0037C">
            <w:pPr>
              <w:jc w:val="both"/>
              <w:rPr>
                <w:rFonts w:eastAsia="SimSun"/>
              </w:rPr>
            </w:pPr>
            <w:r w:rsidRPr="009448FC">
              <w:rPr>
                <w:rFonts w:eastAsia="SimSun"/>
              </w:rPr>
              <w:t>Element ID</w:t>
            </w:r>
          </w:p>
        </w:tc>
        <w:tc>
          <w:tcPr>
            <w:tcW w:w="0" w:type="auto"/>
          </w:tcPr>
          <w:p w:rsidR="008C36FC" w:rsidRPr="009448FC" w:rsidRDefault="008C36FC" w:rsidP="00D0037C">
            <w:pPr>
              <w:jc w:val="both"/>
              <w:rPr>
                <w:rFonts w:eastAsia="SimSun"/>
              </w:rPr>
            </w:pPr>
            <w:r w:rsidRPr="009448FC">
              <w:rPr>
                <w:rFonts w:eastAsia="SimSun"/>
              </w:rPr>
              <w:t>Length</w:t>
            </w:r>
          </w:p>
        </w:tc>
        <w:tc>
          <w:tcPr>
            <w:tcW w:w="0" w:type="auto"/>
          </w:tcPr>
          <w:p w:rsidR="008C36FC" w:rsidRPr="009448FC" w:rsidRDefault="008C36FC" w:rsidP="00D0037C">
            <w:pPr>
              <w:jc w:val="both"/>
              <w:rPr>
                <w:rFonts w:eastAsia="SimSun"/>
              </w:rPr>
            </w:pPr>
            <w:r w:rsidRPr="009448FC">
              <w:rPr>
                <w:rFonts w:eastAsia="SimSun"/>
              </w:rPr>
              <w:t>Change type bitmap</w:t>
            </w:r>
          </w:p>
        </w:tc>
        <w:tc>
          <w:tcPr>
            <w:tcW w:w="0" w:type="auto"/>
          </w:tcPr>
          <w:p w:rsidR="008C36FC" w:rsidRPr="009448FC" w:rsidRDefault="008C36FC" w:rsidP="00D0037C">
            <w:pPr>
              <w:jc w:val="both"/>
              <w:rPr>
                <w:rFonts w:eastAsia="SimSun"/>
              </w:rPr>
            </w:pPr>
            <w:r w:rsidRPr="009448FC">
              <w:rPr>
                <w:rFonts w:eastAsia="SimSun"/>
              </w:rPr>
              <w:t>Beacon time</w:t>
            </w:r>
          </w:p>
        </w:tc>
        <w:tc>
          <w:tcPr>
            <w:tcW w:w="1658" w:type="dxa"/>
          </w:tcPr>
          <w:p w:rsidR="008C36FC" w:rsidRPr="009448FC" w:rsidRDefault="008C36FC" w:rsidP="00D0037C">
            <w:pPr>
              <w:jc w:val="center"/>
              <w:rPr>
                <w:rFonts w:eastAsia="SimSun"/>
              </w:rPr>
            </w:pPr>
            <w:r w:rsidRPr="009448FC">
              <w:rPr>
                <w:rFonts w:eastAsia="SimSun"/>
              </w:rPr>
              <w:t>BI duration</w:t>
            </w:r>
          </w:p>
        </w:tc>
      </w:tr>
      <w:tr w:rsidR="00D0037C" w:rsidRPr="00066F65" w:rsidTr="00D0037C">
        <w:trPr>
          <w:jc w:val="center"/>
        </w:trPr>
        <w:tc>
          <w:tcPr>
            <w:tcW w:w="961" w:type="dxa"/>
          </w:tcPr>
          <w:p w:rsidR="008C36FC" w:rsidRPr="009448FC" w:rsidRDefault="008C36FC" w:rsidP="00D0037C">
            <w:pPr>
              <w:jc w:val="both"/>
              <w:rPr>
                <w:rFonts w:eastAsia="SimSun"/>
              </w:rPr>
            </w:pPr>
            <w:r w:rsidRPr="009448FC">
              <w:rPr>
                <w:rFonts w:eastAsia="SimSun"/>
              </w:rPr>
              <w:t>Octets:</w:t>
            </w:r>
          </w:p>
        </w:tc>
        <w:tc>
          <w:tcPr>
            <w:tcW w:w="0" w:type="auto"/>
          </w:tcPr>
          <w:p w:rsidR="008C36FC" w:rsidRPr="009448FC" w:rsidRDefault="008C36FC" w:rsidP="00B333A0">
            <w:pPr>
              <w:jc w:val="center"/>
              <w:rPr>
                <w:rFonts w:eastAsia="SimSun"/>
              </w:rPr>
            </w:pPr>
            <w:r w:rsidRPr="009448FC">
              <w:rPr>
                <w:rFonts w:eastAsia="SimSun"/>
              </w:rPr>
              <w:t>1</w:t>
            </w:r>
          </w:p>
        </w:tc>
        <w:tc>
          <w:tcPr>
            <w:tcW w:w="0" w:type="auto"/>
          </w:tcPr>
          <w:p w:rsidR="008C36FC" w:rsidRPr="009448FC" w:rsidRDefault="008C36FC" w:rsidP="00B333A0">
            <w:pPr>
              <w:jc w:val="center"/>
              <w:rPr>
                <w:rFonts w:eastAsia="SimSun"/>
              </w:rPr>
            </w:pPr>
            <w:r w:rsidRPr="009448FC">
              <w:rPr>
                <w:rFonts w:eastAsia="SimSun"/>
              </w:rPr>
              <w:t>1</w:t>
            </w:r>
          </w:p>
        </w:tc>
        <w:tc>
          <w:tcPr>
            <w:tcW w:w="0" w:type="auto"/>
          </w:tcPr>
          <w:p w:rsidR="008C36FC" w:rsidRPr="009448FC" w:rsidRDefault="008C36FC" w:rsidP="00B333A0">
            <w:pPr>
              <w:jc w:val="center"/>
              <w:rPr>
                <w:rFonts w:eastAsia="SimSun"/>
              </w:rPr>
            </w:pPr>
            <w:r w:rsidRPr="009448FC">
              <w:rPr>
                <w:rFonts w:eastAsia="SimSun"/>
              </w:rPr>
              <w:t>1</w:t>
            </w:r>
          </w:p>
        </w:tc>
        <w:tc>
          <w:tcPr>
            <w:tcW w:w="0" w:type="auto"/>
          </w:tcPr>
          <w:p w:rsidR="008C36FC" w:rsidRPr="009448FC" w:rsidRDefault="008C36FC" w:rsidP="00B333A0">
            <w:pPr>
              <w:jc w:val="center"/>
              <w:rPr>
                <w:rFonts w:eastAsia="SimSun"/>
              </w:rPr>
            </w:pPr>
            <w:r w:rsidRPr="009448FC">
              <w:rPr>
                <w:rFonts w:eastAsia="SimSun"/>
              </w:rPr>
              <w:t>4</w:t>
            </w:r>
          </w:p>
        </w:tc>
        <w:tc>
          <w:tcPr>
            <w:tcW w:w="1658" w:type="dxa"/>
          </w:tcPr>
          <w:p w:rsidR="008C36FC" w:rsidRPr="009448FC" w:rsidRDefault="008C36FC" w:rsidP="00D0037C">
            <w:pPr>
              <w:jc w:val="center"/>
              <w:rPr>
                <w:rFonts w:eastAsia="SimSun"/>
              </w:rPr>
            </w:pPr>
            <w:r w:rsidRPr="009448FC">
              <w:rPr>
                <w:rFonts w:eastAsia="SimSun"/>
              </w:rPr>
              <w:t>2</w:t>
            </w:r>
          </w:p>
        </w:tc>
      </w:tr>
    </w:tbl>
    <w:p w:rsidR="008C36FC" w:rsidRPr="00066F65" w:rsidRDefault="00714EE2" w:rsidP="00BA5BC4">
      <w:pPr>
        <w:pStyle w:val="Caption"/>
      </w:pPr>
      <w:bookmarkStart w:id="519" w:name="_Ref233013726"/>
      <w:bookmarkStart w:id="520" w:name="_Toc259717459"/>
      <w:r w:rsidRPr="00066F65">
        <w:t xml:space="preserve">Figure </w:t>
      </w:r>
      <w:r w:rsidR="00BD151C">
        <w:fldChar w:fldCharType="begin"/>
      </w:r>
      <w:r w:rsidR="00801316">
        <w:instrText xml:space="preserve"> SEQ Figure \* ARABIC </w:instrText>
      </w:r>
      <w:r w:rsidR="00BD151C">
        <w:fldChar w:fldCharType="separate"/>
      </w:r>
      <w:r w:rsidR="003E4210">
        <w:rPr>
          <w:noProof/>
        </w:rPr>
        <w:t>27</w:t>
      </w:r>
      <w:r w:rsidR="00BD151C">
        <w:fldChar w:fldCharType="end"/>
      </w:r>
      <w:bookmarkEnd w:id="519"/>
      <w:r w:rsidR="008C36FC" w:rsidRPr="00066F65">
        <w:t xml:space="preserve"> – </w:t>
      </w:r>
      <w:r w:rsidR="00397C10" w:rsidRPr="00066F65">
        <w:t>mmWave</w:t>
      </w:r>
      <w:r w:rsidR="000F7406" w:rsidRPr="00066F65">
        <w:t xml:space="preserve"> BSS </w:t>
      </w:r>
      <w:r w:rsidR="006278CE" w:rsidRPr="00066F65">
        <w:t>Parameter Change</w:t>
      </w:r>
      <w:r w:rsidR="000F7406" w:rsidRPr="00066F65">
        <w:t xml:space="preserve"> </w:t>
      </w:r>
      <w:r w:rsidR="008C36FC" w:rsidRPr="00066F65">
        <w:t>element format</w:t>
      </w:r>
      <w:bookmarkEnd w:id="520"/>
    </w:p>
    <w:p w:rsidR="008C36FC" w:rsidRPr="009448FC" w:rsidRDefault="008C36FC" w:rsidP="0004091F"/>
    <w:p w:rsidR="008C36FC" w:rsidRPr="009448FC" w:rsidRDefault="008C36FC" w:rsidP="000F7406">
      <w:r w:rsidRPr="009448FC">
        <w:t xml:space="preserve">The Change Type Bitmap field indicates the type of the parameter change to the </w:t>
      </w:r>
      <w:r w:rsidR="00784C7D" w:rsidRPr="009448FC">
        <w:t>BSS</w:t>
      </w:r>
      <w:r w:rsidR="00655EA4" w:rsidRPr="009448FC">
        <w:t>.</w:t>
      </w:r>
      <w:r w:rsidRPr="009448FC">
        <w:t xml:space="preserve"> This field is defined in </w:t>
      </w:r>
      <w:r w:rsidR="00BD151C" w:rsidRPr="009448FC">
        <w:fldChar w:fldCharType="begin"/>
      </w:r>
      <w:r w:rsidRPr="009448FC">
        <w:instrText xml:space="preserve"> REF _Ref217360168 \h </w:instrText>
      </w:r>
      <w:r w:rsidR="00BD151C" w:rsidRPr="009448FC">
        <w:fldChar w:fldCharType="separate"/>
      </w:r>
      <w:r w:rsidR="003E4210" w:rsidRPr="00066F65">
        <w:t xml:space="preserve">Figure </w:t>
      </w:r>
      <w:r w:rsidR="003E4210">
        <w:rPr>
          <w:noProof/>
        </w:rPr>
        <w:t>28</w:t>
      </w:r>
      <w:r w:rsidR="00BD151C" w:rsidRPr="009448FC">
        <w:fldChar w:fldCharType="end"/>
      </w:r>
      <w:r w:rsidRPr="009448FC">
        <w:t xml:space="preserve">. </w:t>
      </w:r>
    </w:p>
    <w:p w:rsidR="008C36FC" w:rsidRPr="009448FC" w:rsidRDefault="008C36FC" w:rsidP="0004091F"/>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
        <w:gridCol w:w="776"/>
        <w:gridCol w:w="630"/>
        <w:gridCol w:w="1109"/>
      </w:tblGrid>
      <w:tr w:rsidR="008C36FC" w:rsidRPr="00066F65" w:rsidTr="00D0037C">
        <w:trPr>
          <w:jc w:val="center"/>
        </w:trPr>
        <w:tc>
          <w:tcPr>
            <w:tcW w:w="961" w:type="dxa"/>
          </w:tcPr>
          <w:p w:rsidR="008C36FC" w:rsidRPr="009448FC" w:rsidRDefault="008C36FC" w:rsidP="00D0037C">
            <w:pPr>
              <w:jc w:val="both"/>
              <w:rPr>
                <w:rFonts w:eastAsia="SimSun"/>
              </w:rPr>
            </w:pPr>
          </w:p>
        </w:tc>
        <w:tc>
          <w:tcPr>
            <w:tcW w:w="0" w:type="auto"/>
          </w:tcPr>
          <w:p w:rsidR="008C36FC" w:rsidRPr="009448FC" w:rsidRDefault="008C36FC" w:rsidP="00D0037C">
            <w:pPr>
              <w:jc w:val="both"/>
              <w:rPr>
                <w:rFonts w:eastAsia="SimSun"/>
              </w:rPr>
            </w:pPr>
            <w:r w:rsidRPr="009448FC">
              <w:rPr>
                <w:rFonts w:eastAsia="SimSun"/>
              </w:rPr>
              <w:t>Move</w:t>
            </w:r>
          </w:p>
        </w:tc>
        <w:tc>
          <w:tcPr>
            <w:tcW w:w="0" w:type="auto"/>
          </w:tcPr>
          <w:p w:rsidR="008C36FC" w:rsidRPr="009448FC" w:rsidRDefault="008C36FC" w:rsidP="00D0037C">
            <w:pPr>
              <w:jc w:val="both"/>
              <w:rPr>
                <w:rFonts w:eastAsia="SimSun"/>
              </w:rPr>
            </w:pPr>
            <w:r w:rsidRPr="009448FC">
              <w:rPr>
                <w:rFonts w:eastAsia="SimSun"/>
              </w:rPr>
              <w:t>Size</w:t>
            </w:r>
          </w:p>
        </w:tc>
        <w:tc>
          <w:tcPr>
            <w:tcW w:w="0" w:type="auto"/>
          </w:tcPr>
          <w:p w:rsidR="008C36FC" w:rsidRPr="009448FC" w:rsidRDefault="008C36FC" w:rsidP="00D0037C">
            <w:pPr>
              <w:jc w:val="both"/>
              <w:rPr>
                <w:rFonts w:eastAsia="SimSun"/>
              </w:rPr>
            </w:pPr>
            <w:r w:rsidRPr="009448FC">
              <w:rPr>
                <w:rFonts w:eastAsia="SimSun"/>
              </w:rPr>
              <w:t>Reserved</w:t>
            </w:r>
          </w:p>
        </w:tc>
      </w:tr>
      <w:tr w:rsidR="008C36FC" w:rsidRPr="00066F65" w:rsidTr="00D0037C">
        <w:trPr>
          <w:jc w:val="center"/>
        </w:trPr>
        <w:tc>
          <w:tcPr>
            <w:tcW w:w="961" w:type="dxa"/>
          </w:tcPr>
          <w:p w:rsidR="008C36FC" w:rsidRPr="009448FC" w:rsidRDefault="008C36FC" w:rsidP="00D0037C">
            <w:pPr>
              <w:jc w:val="both"/>
              <w:rPr>
                <w:rFonts w:eastAsia="SimSun"/>
              </w:rPr>
            </w:pPr>
            <w:r w:rsidRPr="009448FC">
              <w:rPr>
                <w:rFonts w:eastAsia="SimSun"/>
              </w:rPr>
              <w:t>Bits:</w:t>
            </w:r>
          </w:p>
        </w:tc>
        <w:tc>
          <w:tcPr>
            <w:tcW w:w="0" w:type="auto"/>
          </w:tcPr>
          <w:p w:rsidR="008C36FC" w:rsidRPr="009448FC" w:rsidRDefault="008C36FC" w:rsidP="00D0037C">
            <w:pPr>
              <w:jc w:val="both"/>
              <w:rPr>
                <w:rFonts w:eastAsia="SimSun"/>
              </w:rPr>
            </w:pPr>
            <w:r w:rsidRPr="009448FC">
              <w:rPr>
                <w:rFonts w:eastAsia="SimSun"/>
              </w:rPr>
              <w:t>B0</w:t>
            </w:r>
          </w:p>
        </w:tc>
        <w:tc>
          <w:tcPr>
            <w:tcW w:w="0" w:type="auto"/>
          </w:tcPr>
          <w:p w:rsidR="008C36FC" w:rsidRPr="009448FC" w:rsidRDefault="008C36FC" w:rsidP="00D0037C">
            <w:pPr>
              <w:jc w:val="both"/>
              <w:rPr>
                <w:rFonts w:eastAsia="SimSun"/>
              </w:rPr>
            </w:pPr>
            <w:r w:rsidRPr="009448FC">
              <w:rPr>
                <w:rFonts w:eastAsia="SimSun"/>
              </w:rPr>
              <w:t>B1</w:t>
            </w:r>
          </w:p>
        </w:tc>
        <w:tc>
          <w:tcPr>
            <w:tcW w:w="0" w:type="auto"/>
          </w:tcPr>
          <w:p w:rsidR="008C36FC" w:rsidRPr="009448FC" w:rsidRDefault="008C36FC" w:rsidP="00D0037C">
            <w:pPr>
              <w:jc w:val="both"/>
              <w:rPr>
                <w:rFonts w:eastAsia="SimSun"/>
              </w:rPr>
            </w:pPr>
            <w:r w:rsidRPr="009448FC">
              <w:rPr>
                <w:rFonts w:eastAsia="SimSun"/>
              </w:rPr>
              <w:t>B2-B7</w:t>
            </w:r>
          </w:p>
        </w:tc>
      </w:tr>
    </w:tbl>
    <w:p w:rsidR="008C36FC" w:rsidRPr="00066F65" w:rsidRDefault="008C36FC" w:rsidP="00BA5BC4">
      <w:pPr>
        <w:pStyle w:val="Caption"/>
      </w:pPr>
      <w:bookmarkStart w:id="521" w:name="_Ref217360168"/>
      <w:bookmarkStart w:id="522" w:name="_Toc259717460"/>
      <w:r w:rsidRPr="00066F65">
        <w:t xml:space="preserve">Figure </w:t>
      </w:r>
      <w:r w:rsidR="00BD151C">
        <w:fldChar w:fldCharType="begin"/>
      </w:r>
      <w:r w:rsidR="00801316">
        <w:instrText xml:space="preserve"> SEQ Figure \* ARABIC </w:instrText>
      </w:r>
      <w:r w:rsidR="00BD151C">
        <w:fldChar w:fldCharType="separate"/>
      </w:r>
      <w:r w:rsidR="003E4210">
        <w:rPr>
          <w:noProof/>
        </w:rPr>
        <w:t>28</w:t>
      </w:r>
      <w:r w:rsidR="00BD151C">
        <w:fldChar w:fldCharType="end"/>
      </w:r>
      <w:bookmarkEnd w:id="521"/>
      <w:r w:rsidRPr="00066F65">
        <w:t xml:space="preserve"> – Change Type Bitmap field format</w:t>
      </w:r>
      <w:bookmarkEnd w:id="522"/>
    </w:p>
    <w:p w:rsidR="008C36FC" w:rsidRPr="009448FC" w:rsidRDefault="008C36FC" w:rsidP="0004091F"/>
    <w:p w:rsidR="008C36FC" w:rsidRPr="009448FC" w:rsidRDefault="008C36FC" w:rsidP="000F7406">
      <w:r w:rsidRPr="009448FC">
        <w:lastRenderedPageBreak/>
        <w:t xml:space="preserve">If the Move field is set to one, it indicates a change in the TBTT of the </w:t>
      </w:r>
      <w:r w:rsidR="0043358F" w:rsidRPr="009448FC">
        <w:t>BSS</w:t>
      </w:r>
      <w:r w:rsidRPr="009448FC">
        <w:t>. The TBTT is not changed if the Move field is set to zero. If the Size field is set to one, it indicates a change in the BI duration. The BI duration is not changed if the Size field is set to zero.</w:t>
      </w:r>
    </w:p>
    <w:p w:rsidR="008C36FC" w:rsidRPr="009448FC" w:rsidRDefault="008C36FC" w:rsidP="0004091F"/>
    <w:p w:rsidR="008C36FC" w:rsidRPr="009448FC" w:rsidRDefault="008C36FC" w:rsidP="000F7406">
      <w:r w:rsidRPr="009448FC">
        <w:t xml:space="preserve">The Beacon Time field indicates the anticipated transmission time, expressed in microseconds, of the </w:t>
      </w:r>
      <w:r w:rsidR="000F7406" w:rsidRPr="009448FC">
        <w:t xml:space="preserve">mmWave </w:t>
      </w:r>
      <w:r w:rsidRPr="009448FC">
        <w:t xml:space="preserve">Beacon following the indicated </w:t>
      </w:r>
      <w:r w:rsidR="00397C10" w:rsidRPr="009448FC">
        <w:t>mmWave</w:t>
      </w:r>
      <w:r w:rsidR="000F7406" w:rsidRPr="009448FC">
        <w:t xml:space="preserve"> BSS </w:t>
      </w:r>
      <w:r w:rsidR="006278CE" w:rsidRPr="009448FC">
        <w:t>Parameter Change</w:t>
      </w:r>
      <w:r w:rsidR="00655EA4" w:rsidRPr="009448FC">
        <w:t>.</w:t>
      </w:r>
      <w:r w:rsidR="000F7406" w:rsidRPr="009448FC">
        <w:t xml:space="preserve"> </w:t>
      </w:r>
      <w:r w:rsidRPr="009448FC">
        <w:t xml:space="preserve">The value of the Beacon Time field represents the lower order 4 octets of the TSF timer value at the start of the </w:t>
      </w:r>
      <w:r w:rsidR="000F7406" w:rsidRPr="009448FC">
        <w:t xml:space="preserve">mmWave </w:t>
      </w:r>
      <w:r w:rsidRPr="009448FC">
        <w:t>Beacon transmission.</w:t>
      </w:r>
    </w:p>
    <w:p w:rsidR="008C36FC" w:rsidRPr="009448FC" w:rsidRDefault="008C36FC" w:rsidP="0004091F"/>
    <w:p w:rsidR="008C36FC" w:rsidRPr="009448FC" w:rsidRDefault="008C36FC" w:rsidP="000F7406">
      <w:r w:rsidRPr="009448FC">
        <w:t xml:space="preserve">The BI Duration field indicates the beacon interval duration, expressed in TUs, following the indicated </w:t>
      </w:r>
      <w:r w:rsidR="00397C10" w:rsidRPr="009448FC">
        <w:t>mmWave</w:t>
      </w:r>
      <w:r w:rsidR="000F7406" w:rsidRPr="009448FC">
        <w:t xml:space="preserve"> BSS </w:t>
      </w:r>
      <w:r w:rsidR="0043358F" w:rsidRPr="009448FC">
        <w:t>Parameter Change</w:t>
      </w:r>
      <w:r w:rsidRPr="009448FC">
        <w:t>. The BI Duration field is reserved if the Size bit of the Change Type Bitmap field is set to zero.</w:t>
      </w:r>
    </w:p>
    <w:p w:rsidR="00C24549" w:rsidRPr="009448FC" w:rsidRDefault="00C24549" w:rsidP="00ED4CB6">
      <w:bookmarkStart w:id="523" w:name="_Toc241624308"/>
      <w:bookmarkStart w:id="524" w:name="_Toc243399515"/>
      <w:bookmarkStart w:id="525" w:name="_Toc243455479"/>
      <w:bookmarkStart w:id="526" w:name="_Toc243461346"/>
      <w:bookmarkStart w:id="527" w:name="_Toc243471477"/>
      <w:bookmarkStart w:id="528" w:name="_Toc243794781"/>
      <w:bookmarkStart w:id="529" w:name="_Toc241624309"/>
      <w:bookmarkStart w:id="530" w:name="_Toc243399516"/>
      <w:bookmarkStart w:id="531" w:name="_Toc243455480"/>
      <w:bookmarkStart w:id="532" w:name="_Toc243461347"/>
      <w:bookmarkStart w:id="533" w:name="_Toc243471478"/>
      <w:bookmarkStart w:id="534" w:name="_Toc243794782"/>
      <w:bookmarkEnd w:id="523"/>
      <w:bookmarkEnd w:id="524"/>
      <w:bookmarkEnd w:id="525"/>
      <w:bookmarkEnd w:id="526"/>
      <w:bookmarkEnd w:id="527"/>
      <w:bookmarkEnd w:id="528"/>
      <w:bookmarkEnd w:id="529"/>
      <w:bookmarkEnd w:id="530"/>
      <w:bookmarkEnd w:id="531"/>
      <w:bookmarkEnd w:id="532"/>
      <w:bookmarkEnd w:id="533"/>
      <w:bookmarkEnd w:id="534"/>
    </w:p>
    <w:p w:rsidR="00C24549" w:rsidRPr="009448FC" w:rsidRDefault="00C24549" w:rsidP="003701DB">
      <w:pPr>
        <w:pStyle w:val="Heading4"/>
        <w:numPr>
          <w:ilvl w:val="3"/>
          <w:numId w:val="152"/>
        </w:numPr>
      </w:pPr>
      <w:bookmarkStart w:id="535" w:name="_Ref244244226"/>
      <w:bookmarkStart w:id="536" w:name="_Ref244244227"/>
      <w:bookmarkStart w:id="537" w:name="_Ref244246774"/>
      <w:bookmarkStart w:id="538" w:name="_Ref244246813"/>
      <w:bookmarkStart w:id="539" w:name="_Toc259716926"/>
      <w:r w:rsidRPr="009448FC">
        <w:t>mmWave Capabilities element</w:t>
      </w:r>
      <w:bookmarkEnd w:id="535"/>
      <w:bookmarkEnd w:id="536"/>
      <w:bookmarkEnd w:id="537"/>
      <w:bookmarkEnd w:id="538"/>
      <w:bookmarkEnd w:id="539"/>
    </w:p>
    <w:p w:rsidR="008C36FC" w:rsidRPr="009448FC" w:rsidRDefault="0095695F" w:rsidP="00ED4CB6">
      <w:r w:rsidRPr="009448FC">
        <w:t>The mmWave Capabilities element contains a STA identifier and several fields that are used to advertise the support of optional mmWave capabilities of a</w:t>
      </w:r>
      <w:r w:rsidR="002F0A96" w:rsidRPr="009448FC">
        <w:t>n</w:t>
      </w:r>
      <w:r w:rsidRPr="009448FC">
        <w:t xml:space="preserve"> </w:t>
      </w:r>
      <w:r w:rsidR="00B96FB9" w:rsidRPr="009448FC">
        <w:t>mSTA</w:t>
      </w:r>
      <w:r w:rsidRPr="009448FC">
        <w:t>.</w:t>
      </w:r>
      <w:r w:rsidR="00ED4CB6" w:rsidRPr="009448FC">
        <w:t xml:space="preserve"> </w:t>
      </w:r>
      <w:r w:rsidRPr="009448FC">
        <w:t xml:space="preserve">The element is present in Association Request, Association Response, Reassociation Request, Reassociation Response, Probe Request and Probe Response frames and may be present in </w:t>
      </w:r>
      <w:r w:rsidR="00ED4CB6" w:rsidRPr="009448FC">
        <w:t xml:space="preserve">mmWave </w:t>
      </w:r>
      <w:r w:rsidRPr="009448FC">
        <w:t>Beacon and Information request and response frames</w:t>
      </w:r>
      <w:r w:rsidR="008C36FC" w:rsidRPr="009448FC">
        <w:t>. The</w:t>
      </w:r>
      <w:r w:rsidR="001653FE" w:rsidRPr="009448FC">
        <w:t xml:space="preserve"> </w:t>
      </w:r>
      <w:r w:rsidRPr="009448FC">
        <w:t xml:space="preserve">mmWave </w:t>
      </w:r>
      <w:r w:rsidR="00B910DA" w:rsidRPr="009448FC">
        <w:t>Capabilities</w:t>
      </w:r>
      <w:r w:rsidR="008C36FC" w:rsidRPr="009448FC">
        <w:t xml:space="preserve"> element is formatted as illustrated in</w:t>
      </w:r>
      <w:r w:rsidR="000E3DB7" w:rsidRPr="009448FC">
        <w:t xml:space="preserve"> </w:t>
      </w:r>
      <w:r w:rsidR="00BD151C">
        <w:fldChar w:fldCharType="begin"/>
      </w:r>
      <w:r w:rsidR="000E3DB7">
        <w:instrText xml:space="preserve"> REF _Ref236543568 \h </w:instrText>
      </w:r>
      <w:r w:rsidR="00BD151C">
        <w:fldChar w:fldCharType="separate"/>
      </w:r>
      <w:r w:rsidR="003E4210" w:rsidRPr="00066F65">
        <w:t xml:space="preserve">Figure </w:t>
      </w:r>
      <w:r w:rsidR="003E4210">
        <w:rPr>
          <w:noProof/>
        </w:rPr>
        <w:t>29</w:t>
      </w:r>
      <w:r w:rsidR="00BD151C">
        <w:fldChar w:fldCharType="end"/>
      </w:r>
      <w:r w:rsidR="008C36FC" w:rsidRPr="009448FC">
        <w:t>.</w:t>
      </w:r>
    </w:p>
    <w:p w:rsidR="00327E0F" w:rsidRPr="00066F65" w:rsidRDefault="00080054" w:rsidP="00327E0F">
      <w:pPr>
        <w:rPr>
          <w:b/>
          <w:i/>
          <w:color w:val="FF0000"/>
          <w:u w:val="single"/>
        </w:rPr>
      </w:pPr>
      <w:r>
        <w:rPr>
          <w:b/>
          <w:i/>
          <w:color w:val="FF0000"/>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7"/>
        <w:gridCol w:w="1206"/>
        <w:gridCol w:w="1064"/>
        <w:gridCol w:w="1111"/>
        <w:gridCol w:w="763"/>
        <w:gridCol w:w="2561"/>
        <w:gridCol w:w="2414"/>
      </w:tblGrid>
      <w:tr w:rsidR="00D0037C" w:rsidRPr="00066F65" w:rsidTr="00327E0F">
        <w:trPr>
          <w:jc w:val="center"/>
        </w:trPr>
        <w:tc>
          <w:tcPr>
            <w:tcW w:w="493" w:type="pct"/>
          </w:tcPr>
          <w:p w:rsidR="007E1750" w:rsidRPr="009448FC" w:rsidRDefault="007E1750" w:rsidP="00D0037C">
            <w:pPr>
              <w:jc w:val="both"/>
              <w:rPr>
                <w:rFonts w:eastAsia="SimSun"/>
                <w:sz w:val="22"/>
              </w:rPr>
            </w:pPr>
            <w:bookmarkStart w:id="540" w:name="_Ref216493502"/>
          </w:p>
        </w:tc>
        <w:tc>
          <w:tcPr>
            <w:tcW w:w="596" w:type="pct"/>
          </w:tcPr>
          <w:p w:rsidR="007E1750" w:rsidRPr="009448FC" w:rsidRDefault="007E1750" w:rsidP="00D0037C">
            <w:pPr>
              <w:jc w:val="both"/>
              <w:rPr>
                <w:rFonts w:eastAsia="SimSun"/>
              </w:rPr>
            </w:pPr>
            <w:r w:rsidRPr="009448FC">
              <w:rPr>
                <w:rFonts w:eastAsia="SimSun"/>
              </w:rPr>
              <w:t>Element ID</w:t>
            </w:r>
          </w:p>
        </w:tc>
        <w:tc>
          <w:tcPr>
            <w:tcW w:w="526" w:type="pct"/>
          </w:tcPr>
          <w:p w:rsidR="007E1750" w:rsidRPr="009448FC" w:rsidRDefault="007E1750" w:rsidP="00D0037C">
            <w:pPr>
              <w:jc w:val="both"/>
              <w:rPr>
                <w:rFonts w:eastAsia="SimSun"/>
              </w:rPr>
            </w:pPr>
            <w:r w:rsidRPr="009448FC">
              <w:rPr>
                <w:rFonts w:eastAsia="SimSun"/>
              </w:rPr>
              <w:t>Length</w:t>
            </w:r>
          </w:p>
        </w:tc>
        <w:tc>
          <w:tcPr>
            <w:tcW w:w="549" w:type="pct"/>
          </w:tcPr>
          <w:p w:rsidR="007E1750" w:rsidRPr="009448FC" w:rsidRDefault="007E1750" w:rsidP="00D0037C">
            <w:pPr>
              <w:jc w:val="both"/>
              <w:rPr>
                <w:rFonts w:eastAsia="SimSun"/>
              </w:rPr>
            </w:pPr>
            <w:r w:rsidRPr="009448FC">
              <w:rPr>
                <w:rFonts w:eastAsia="SimSun"/>
              </w:rPr>
              <w:t>STA address</w:t>
            </w:r>
          </w:p>
        </w:tc>
        <w:tc>
          <w:tcPr>
            <w:tcW w:w="377" w:type="pct"/>
          </w:tcPr>
          <w:p w:rsidR="007E1750" w:rsidRPr="009448FC" w:rsidRDefault="007E1750" w:rsidP="00D0037C">
            <w:pPr>
              <w:jc w:val="both"/>
              <w:rPr>
                <w:rFonts w:eastAsia="SimSun"/>
              </w:rPr>
            </w:pPr>
            <w:r w:rsidRPr="009448FC">
              <w:rPr>
                <w:rFonts w:eastAsia="SimSun"/>
              </w:rPr>
              <w:t>AID</w:t>
            </w:r>
          </w:p>
        </w:tc>
        <w:tc>
          <w:tcPr>
            <w:tcW w:w="1266" w:type="pct"/>
          </w:tcPr>
          <w:p w:rsidR="007E1750" w:rsidRPr="009448FC" w:rsidRDefault="007E1750" w:rsidP="00327E0F">
            <w:pPr>
              <w:jc w:val="center"/>
              <w:rPr>
                <w:rFonts w:eastAsia="SimSun"/>
                <w:lang w:val="fr-FR"/>
              </w:rPr>
            </w:pPr>
            <w:r w:rsidRPr="009448FC">
              <w:rPr>
                <w:rFonts w:eastAsia="SimSun"/>
                <w:lang w:val="fr-FR"/>
              </w:rPr>
              <w:t>mmWave STA Capability Information</w:t>
            </w:r>
          </w:p>
        </w:tc>
        <w:tc>
          <w:tcPr>
            <w:tcW w:w="1193" w:type="pct"/>
          </w:tcPr>
          <w:p w:rsidR="007E1750" w:rsidRPr="009448FC" w:rsidRDefault="007E1750" w:rsidP="00D0037C">
            <w:pPr>
              <w:jc w:val="center"/>
              <w:rPr>
                <w:rFonts w:eastAsia="SimSun"/>
              </w:rPr>
            </w:pPr>
            <w:r w:rsidRPr="009448FC">
              <w:rPr>
                <w:rFonts w:eastAsia="SimSun"/>
              </w:rPr>
              <w:t>mmWave PCP/AP Capability Information</w:t>
            </w:r>
          </w:p>
        </w:tc>
      </w:tr>
      <w:tr w:rsidR="00D0037C" w:rsidRPr="00066F65" w:rsidTr="00327E0F">
        <w:trPr>
          <w:jc w:val="center"/>
        </w:trPr>
        <w:tc>
          <w:tcPr>
            <w:tcW w:w="493" w:type="pct"/>
          </w:tcPr>
          <w:p w:rsidR="007E1750" w:rsidRPr="009448FC" w:rsidRDefault="007E1750" w:rsidP="00D0037C">
            <w:pPr>
              <w:jc w:val="both"/>
              <w:rPr>
                <w:rFonts w:eastAsia="SimSun"/>
                <w:sz w:val="22"/>
              </w:rPr>
            </w:pPr>
            <w:r w:rsidRPr="009448FC">
              <w:rPr>
                <w:rFonts w:eastAsia="SimSun"/>
                <w:sz w:val="22"/>
              </w:rPr>
              <w:t>Octets:</w:t>
            </w:r>
          </w:p>
        </w:tc>
        <w:tc>
          <w:tcPr>
            <w:tcW w:w="596" w:type="pct"/>
          </w:tcPr>
          <w:p w:rsidR="007E1750" w:rsidRPr="009448FC" w:rsidRDefault="007E1750" w:rsidP="00D0037C">
            <w:pPr>
              <w:jc w:val="center"/>
              <w:rPr>
                <w:rFonts w:eastAsia="SimSun"/>
                <w:sz w:val="22"/>
              </w:rPr>
            </w:pPr>
            <w:r w:rsidRPr="009448FC">
              <w:rPr>
                <w:rFonts w:eastAsia="SimSun"/>
                <w:sz w:val="22"/>
              </w:rPr>
              <w:t>1</w:t>
            </w:r>
          </w:p>
        </w:tc>
        <w:tc>
          <w:tcPr>
            <w:tcW w:w="526" w:type="pct"/>
          </w:tcPr>
          <w:p w:rsidR="007E1750" w:rsidRPr="009448FC" w:rsidRDefault="007E1750" w:rsidP="00D0037C">
            <w:pPr>
              <w:jc w:val="center"/>
              <w:rPr>
                <w:rFonts w:eastAsia="SimSun"/>
                <w:sz w:val="22"/>
              </w:rPr>
            </w:pPr>
            <w:r w:rsidRPr="009448FC">
              <w:rPr>
                <w:rFonts w:eastAsia="SimSun"/>
                <w:sz w:val="22"/>
              </w:rPr>
              <w:t>1</w:t>
            </w:r>
          </w:p>
        </w:tc>
        <w:tc>
          <w:tcPr>
            <w:tcW w:w="549" w:type="pct"/>
          </w:tcPr>
          <w:p w:rsidR="007E1750" w:rsidRPr="009448FC" w:rsidRDefault="007E1750" w:rsidP="00D0037C">
            <w:pPr>
              <w:jc w:val="center"/>
              <w:rPr>
                <w:rFonts w:eastAsia="SimSun"/>
                <w:sz w:val="22"/>
              </w:rPr>
            </w:pPr>
            <w:r w:rsidRPr="009448FC">
              <w:rPr>
                <w:rFonts w:eastAsia="SimSun"/>
                <w:sz w:val="22"/>
              </w:rPr>
              <w:t>6</w:t>
            </w:r>
          </w:p>
        </w:tc>
        <w:tc>
          <w:tcPr>
            <w:tcW w:w="377" w:type="pct"/>
          </w:tcPr>
          <w:p w:rsidR="007E1750" w:rsidRPr="009448FC" w:rsidRDefault="007E1750" w:rsidP="00D0037C">
            <w:pPr>
              <w:jc w:val="center"/>
              <w:rPr>
                <w:rFonts w:eastAsia="SimSun"/>
                <w:sz w:val="22"/>
              </w:rPr>
            </w:pPr>
            <w:r w:rsidRPr="009448FC">
              <w:rPr>
                <w:rFonts w:eastAsia="SimSun"/>
                <w:sz w:val="22"/>
              </w:rPr>
              <w:t>1</w:t>
            </w:r>
          </w:p>
        </w:tc>
        <w:tc>
          <w:tcPr>
            <w:tcW w:w="1266" w:type="pct"/>
          </w:tcPr>
          <w:p w:rsidR="007E1750" w:rsidRPr="009448FC" w:rsidRDefault="00925031" w:rsidP="00D0037C">
            <w:pPr>
              <w:jc w:val="center"/>
              <w:rPr>
                <w:rFonts w:eastAsia="SimSun"/>
                <w:sz w:val="22"/>
              </w:rPr>
            </w:pPr>
            <w:r>
              <w:rPr>
                <w:rFonts w:eastAsia="SimSun"/>
                <w:sz w:val="22"/>
              </w:rPr>
              <w:t>8</w:t>
            </w:r>
          </w:p>
        </w:tc>
        <w:tc>
          <w:tcPr>
            <w:tcW w:w="1193" w:type="pct"/>
          </w:tcPr>
          <w:p w:rsidR="007E1750" w:rsidRPr="009448FC" w:rsidRDefault="007E1750" w:rsidP="00D0037C">
            <w:pPr>
              <w:jc w:val="center"/>
              <w:rPr>
                <w:rFonts w:eastAsia="SimSun"/>
                <w:sz w:val="22"/>
              </w:rPr>
            </w:pPr>
            <w:r w:rsidRPr="009448FC">
              <w:rPr>
                <w:rFonts w:eastAsia="SimSun"/>
                <w:sz w:val="22"/>
              </w:rPr>
              <w:t>2</w:t>
            </w:r>
          </w:p>
        </w:tc>
      </w:tr>
    </w:tbl>
    <w:p w:rsidR="008C36FC" w:rsidRPr="00066F65" w:rsidRDefault="008C36FC" w:rsidP="00BA5BC4">
      <w:pPr>
        <w:pStyle w:val="Caption"/>
      </w:pPr>
      <w:bookmarkStart w:id="541" w:name="_Ref236543568"/>
      <w:bookmarkStart w:id="542" w:name="_Toc259717461"/>
      <w:r w:rsidRPr="00066F65">
        <w:t xml:space="preserve">Figure </w:t>
      </w:r>
      <w:r w:rsidR="00BD151C">
        <w:fldChar w:fldCharType="begin"/>
      </w:r>
      <w:r w:rsidR="00801316">
        <w:instrText xml:space="preserve"> SEQ Figure \* ARABIC </w:instrText>
      </w:r>
      <w:r w:rsidR="00BD151C">
        <w:fldChar w:fldCharType="separate"/>
      </w:r>
      <w:r w:rsidR="003E4210">
        <w:rPr>
          <w:noProof/>
        </w:rPr>
        <w:t>29</w:t>
      </w:r>
      <w:r w:rsidR="00BD151C">
        <w:fldChar w:fldCharType="end"/>
      </w:r>
      <w:bookmarkEnd w:id="540"/>
      <w:bookmarkEnd w:id="541"/>
      <w:r w:rsidRPr="00066F65">
        <w:t xml:space="preserve"> – </w:t>
      </w:r>
      <w:r w:rsidR="0095695F" w:rsidRPr="00066F65">
        <w:t xml:space="preserve">mmWave </w:t>
      </w:r>
      <w:r w:rsidR="00B910DA" w:rsidRPr="00066F65">
        <w:t>Capabilities</w:t>
      </w:r>
      <w:r w:rsidRPr="00066F65">
        <w:t xml:space="preserve"> element format</w:t>
      </w:r>
      <w:bookmarkEnd w:id="542"/>
    </w:p>
    <w:p w:rsidR="008C36FC" w:rsidRPr="009448FC" w:rsidRDefault="008C36FC" w:rsidP="0004091F"/>
    <w:p w:rsidR="008C36FC" w:rsidRPr="009448FC" w:rsidRDefault="008C36FC" w:rsidP="0004091F">
      <w:r w:rsidRPr="009448FC">
        <w:t>The STA Address field contains the MAC address of the STA.</w:t>
      </w:r>
    </w:p>
    <w:p w:rsidR="008C36FC" w:rsidRPr="009448FC" w:rsidRDefault="008C36FC" w:rsidP="0004091F"/>
    <w:p w:rsidR="008C36FC" w:rsidRPr="009448FC" w:rsidRDefault="008C36FC" w:rsidP="0004091F">
      <w:r w:rsidRPr="009448FC">
        <w:t xml:space="preserve">The AID field contains the AID assigned to the STA by the </w:t>
      </w:r>
      <w:r w:rsidR="00F14013" w:rsidRPr="009448FC">
        <w:t>PCP/</w:t>
      </w:r>
      <w:r w:rsidR="00655EA4" w:rsidRPr="009448FC">
        <w:t>AP.</w:t>
      </w:r>
    </w:p>
    <w:p w:rsidR="007E1750" w:rsidRDefault="007E1750" w:rsidP="0004091F">
      <w:pPr>
        <w:rPr>
          <w:b/>
          <w:color w:val="FF0000"/>
          <w:u w:val="single"/>
        </w:rPr>
      </w:pPr>
    </w:p>
    <w:p w:rsidR="00947949" w:rsidRDefault="00947949" w:rsidP="00947949">
      <w:pPr>
        <w:pStyle w:val="Heading5"/>
      </w:pPr>
      <w:bookmarkStart w:id="543" w:name="_Ref251767598"/>
      <w:bookmarkStart w:id="544" w:name="_Toc259716927"/>
      <w:r>
        <w:t>7.3.2.91.1 mmWave STA Capability Information field</w:t>
      </w:r>
      <w:bookmarkEnd w:id="543"/>
      <w:bookmarkEnd w:id="544"/>
    </w:p>
    <w:p w:rsidR="0095695F" w:rsidRPr="009448FC" w:rsidRDefault="0095695F" w:rsidP="00DD2B9B">
      <w:bookmarkStart w:id="545" w:name="_Toc207098881"/>
      <w:bookmarkStart w:id="546" w:name="_Toc207099489"/>
      <w:bookmarkStart w:id="547" w:name="_Toc207100409"/>
      <w:bookmarkStart w:id="548" w:name="_Toc207348331"/>
      <w:bookmarkStart w:id="549" w:name="_Toc215582698"/>
      <w:r w:rsidRPr="009448FC">
        <w:t xml:space="preserve">The mmWave STA Capability Information </w:t>
      </w:r>
      <w:r w:rsidR="00947949">
        <w:t>field</w:t>
      </w:r>
      <w:r w:rsidR="000E3DB7" w:rsidRPr="009448FC">
        <w:t xml:space="preserve">, shown in </w:t>
      </w:r>
      <w:r w:rsidR="00BD151C" w:rsidRPr="009448FC">
        <w:fldChar w:fldCharType="begin"/>
      </w:r>
      <w:r w:rsidR="003E77BC" w:rsidRPr="009448FC">
        <w:instrText xml:space="preserve"> REF _Ref244098951 \h </w:instrText>
      </w:r>
      <w:r w:rsidR="00BD151C" w:rsidRPr="009448FC">
        <w:fldChar w:fldCharType="separate"/>
      </w:r>
      <w:r w:rsidR="003E4210" w:rsidRPr="00066F65">
        <w:rPr>
          <w:lang w:val="fr-FR"/>
        </w:rPr>
        <w:t xml:space="preserve">Figure </w:t>
      </w:r>
      <w:r w:rsidR="003E4210">
        <w:rPr>
          <w:noProof/>
          <w:lang w:val="fr-FR"/>
        </w:rPr>
        <w:t>30</w:t>
      </w:r>
      <w:r w:rsidR="00BD151C" w:rsidRPr="009448FC">
        <w:fldChar w:fldCharType="end"/>
      </w:r>
      <w:r w:rsidR="00B85DC9" w:rsidRPr="009448FC">
        <w:t>,</w:t>
      </w:r>
      <w:r w:rsidRPr="009448FC">
        <w:t xml:space="preserve"> represents </w:t>
      </w:r>
      <w:r w:rsidR="00327E0F" w:rsidRPr="009448FC">
        <w:t xml:space="preserve">the transmitting </w:t>
      </w:r>
      <w:r w:rsidRPr="009448FC">
        <w:t>ST</w:t>
      </w:r>
      <w:r w:rsidR="00465EE0" w:rsidRPr="009448FC">
        <w:t>A capabilities</w:t>
      </w:r>
      <w:r w:rsidRPr="009448FC">
        <w:t xml:space="preserve"> </w:t>
      </w:r>
      <w:r w:rsidR="00465EE0" w:rsidRPr="009448FC">
        <w:t>irrespective of the role the STA has</w:t>
      </w:r>
      <w:r w:rsidRPr="009448FC">
        <w:t>.</w:t>
      </w:r>
    </w:p>
    <w:p w:rsidR="0095695F" w:rsidRPr="009448FC" w:rsidRDefault="0095695F" w:rsidP="0095695F">
      <w:pPr>
        <w:rPr>
          <w:b/>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
        <w:gridCol w:w="1629"/>
        <w:gridCol w:w="1876"/>
        <w:gridCol w:w="1343"/>
        <w:gridCol w:w="1784"/>
        <w:gridCol w:w="1438"/>
        <w:gridCol w:w="1301"/>
      </w:tblGrid>
      <w:tr w:rsidR="00D0037C" w:rsidRPr="00066F65" w:rsidTr="00D0037C">
        <w:trPr>
          <w:trHeight w:val="413"/>
          <w:jc w:val="center"/>
        </w:trPr>
        <w:tc>
          <w:tcPr>
            <w:tcW w:w="368" w:type="pct"/>
          </w:tcPr>
          <w:p w:rsidR="00154369" w:rsidRPr="009448FC" w:rsidRDefault="00154369" w:rsidP="00D0037C">
            <w:pPr>
              <w:jc w:val="both"/>
              <w:rPr>
                <w:rFonts w:eastAsia="SimSun"/>
                <w:sz w:val="22"/>
              </w:rPr>
            </w:pPr>
            <w:bookmarkStart w:id="550" w:name="_Toc228204103"/>
          </w:p>
        </w:tc>
        <w:tc>
          <w:tcPr>
            <w:tcW w:w="805" w:type="pct"/>
          </w:tcPr>
          <w:p w:rsidR="00154369" w:rsidRPr="009448FC" w:rsidRDefault="00154369" w:rsidP="00D0037C">
            <w:pPr>
              <w:jc w:val="both"/>
              <w:rPr>
                <w:rFonts w:eastAsia="SimSun"/>
              </w:rPr>
            </w:pPr>
            <w:r w:rsidRPr="009448FC">
              <w:rPr>
                <w:rFonts w:eastAsia="SimSun"/>
              </w:rPr>
              <w:t>Reverse Direction</w:t>
            </w:r>
          </w:p>
        </w:tc>
        <w:tc>
          <w:tcPr>
            <w:tcW w:w="927" w:type="pct"/>
          </w:tcPr>
          <w:p w:rsidR="00154369" w:rsidRPr="009448FC" w:rsidRDefault="00154369" w:rsidP="00154369">
            <w:pPr>
              <w:rPr>
                <w:rFonts w:eastAsia="SimSun"/>
              </w:rPr>
            </w:pPr>
            <w:r w:rsidRPr="009448FC">
              <w:rPr>
                <w:rFonts w:eastAsia="SimSun"/>
              </w:rPr>
              <w:t>Higher Layer Timer Synchronization</w:t>
            </w:r>
          </w:p>
        </w:tc>
        <w:tc>
          <w:tcPr>
            <w:tcW w:w="664" w:type="pct"/>
          </w:tcPr>
          <w:p w:rsidR="00154369" w:rsidRPr="009448FC" w:rsidRDefault="00154369" w:rsidP="00D0037C">
            <w:pPr>
              <w:jc w:val="both"/>
              <w:rPr>
                <w:rFonts w:eastAsia="SimSun"/>
              </w:rPr>
            </w:pPr>
            <w:r w:rsidRPr="009448FC">
              <w:rPr>
                <w:rFonts w:eastAsia="SimSun"/>
              </w:rPr>
              <w:t xml:space="preserve">TPC </w:t>
            </w:r>
          </w:p>
        </w:tc>
        <w:tc>
          <w:tcPr>
            <w:tcW w:w="882" w:type="pct"/>
          </w:tcPr>
          <w:p w:rsidR="00154369" w:rsidRPr="009448FC" w:rsidRDefault="00154369" w:rsidP="00154369">
            <w:pPr>
              <w:rPr>
                <w:rFonts w:eastAsia="SimSun"/>
              </w:rPr>
            </w:pPr>
            <w:r w:rsidRPr="009448FC">
              <w:rPr>
                <w:rFonts w:eastAsia="SimSun"/>
              </w:rPr>
              <w:t>SFS and Interference Mitigation</w:t>
            </w:r>
          </w:p>
        </w:tc>
        <w:tc>
          <w:tcPr>
            <w:tcW w:w="711" w:type="pct"/>
          </w:tcPr>
          <w:p w:rsidR="00154369" w:rsidRPr="009448FC" w:rsidRDefault="00154369" w:rsidP="001056FD">
            <w:pPr>
              <w:rPr>
                <w:rFonts w:eastAsia="SimSun"/>
              </w:rPr>
            </w:pPr>
            <w:r w:rsidRPr="009448FC">
              <w:rPr>
                <w:rFonts w:eastAsia="SimSun"/>
              </w:rPr>
              <w:t>Number of Ant</w:t>
            </w:r>
            <w:r w:rsidR="001056FD">
              <w:rPr>
                <w:rFonts w:eastAsia="SimSun"/>
              </w:rPr>
              <w:t>enna</w:t>
            </w:r>
            <w:r w:rsidRPr="009448FC">
              <w:rPr>
                <w:rFonts w:eastAsia="SimSun"/>
              </w:rPr>
              <w:t>s</w:t>
            </w:r>
          </w:p>
        </w:tc>
        <w:tc>
          <w:tcPr>
            <w:tcW w:w="643" w:type="pct"/>
          </w:tcPr>
          <w:p w:rsidR="00154369" w:rsidRPr="009448FC" w:rsidRDefault="00154369" w:rsidP="00154369">
            <w:pPr>
              <w:rPr>
                <w:rFonts w:eastAsia="SimSun"/>
              </w:rPr>
            </w:pPr>
            <w:r w:rsidRPr="009448FC">
              <w:rPr>
                <w:rFonts w:eastAsia="SimSun"/>
              </w:rPr>
              <w:t>Total Number of Sectors</w:t>
            </w:r>
          </w:p>
        </w:tc>
      </w:tr>
      <w:tr w:rsidR="00D0037C" w:rsidRPr="00066F65" w:rsidTr="00D0037C">
        <w:trPr>
          <w:jc w:val="center"/>
        </w:trPr>
        <w:tc>
          <w:tcPr>
            <w:tcW w:w="368" w:type="pct"/>
          </w:tcPr>
          <w:p w:rsidR="00154369" w:rsidRPr="009448FC" w:rsidRDefault="00154369" w:rsidP="00D0037C">
            <w:pPr>
              <w:adjustRightInd w:val="0"/>
              <w:snapToGrid w:val="0"/>
              <w:jc w:val="center"/>
              <w:rPr>
                <w:rFonts w:eastAsia="SimSun"/>
              </w:rPr>
            </w:pPr>
            <w:r w:rsidRPr="009448FC">
              <w:rPr>
                <w:rFonts w:eastAsia="SimSun"/>
              </w:rPr>
              <w:t>Bit:</w:t>
            </w:r>
          </w:p>
        </w:tc>
        <w:tc>
          <w:tcPr>
            <w:tcW w:w="805" w:type="pct"/>
          </w:tcPr>
          <w:p w:rsidR="00154369" w:rsidRPr="009448FC" w:rsidRDefault="00154369" w:rsidP="00D0037C">
            <w:pPr>
              <w:adjustRightInd w:val="0"/>
              <w:snapToGrid w:val="0"/>
              <w:jc w:val="center"/>
              <w:rPr>
                <w:rFonts w:eastAsia="SimSun"/>
              </w:rPr>
            </w:pPr>
            <w:r w:rsidRPr="009448FC">
              <w:rPr>
                <w:rFonts w:eastAsia="SimSun"/>
              </w:rPr>
              <w:t>B0</w:t>
            </w:r>
          </w:p>
        </w:tc>
        <w:tc>
          <w:tcPr>
            <w:tcW w:w="927" w:type="pct"/>
          </w:tcPr>
          <w:p w:rsidR="00154369" w:rsidRPr="009448FC" w:rsidRDefault="00154369" w:rsidP="00D0037C">
            <w:pPr>
              <w:adjustRightInd w:val="0"/>
              <w:snapToGrid w:val="0"/>
              <w:jc w:val="center"/>
              <w:rPr>
                <w:rFonts w:eastAsia="SimSun"/>
              </w:rPr>
            </w:pPr>
            <w:r w:rsidRPr="009448FC">
              <w:rPr>
                <w:rFonts w:eastAsia="SimSun"/>
              </w:rPr>
              <w:t>B1</w:t>
            </w:r>
          </w:p>
        </w:tc>
        <w:tc>
          <w:tcPr>
            <w:tcW w:w="664" w:type="pct"/>
          </w:tcPr>
          <w:p w:rsidR="00154369" w:rsidRPr="009448FC" w:rsidRDefault="00154369" w:rsidP="00D0037C">
            <w:pPr>
              <w:adjustRightInd w:val="0"/>
              <w:snapToGrid w:val="0"/>
              <w:jc w:val="center"/>
              <w:rPr>
                <w:rFonts w:eastAsia="SimSun"/>
              </w:rPr>
            </w:pPr>
            <w:r w:rsidRPr="009448FC">
              <w:rPr>
                <w:rFonts w:eastAsia="SimSun"/>
              </w:rPr>
              <w:t>B2</w:t>
            </w:r>
          </w:p>
        </w:tc>
        <w:tc>
          <w:tcPr>
            <w:tcW w:w="882" w:type="pct"/>
          </w:tcPr>
          <w:p w:rsidR="00154369" w:rsidRPr="009448FC" w:rsidRDefault="00154369" w:rsidP="00D0037C">
            <w:pPr>
              <w:adjustRightInd w:val="0"/>
              <w:snapToGrid w:val="0"/>
              <w:jc w:val="center"/>
              <w:rPr>
                <w:rFonts w:eastAsia="SimSun"/>
              </w:rPr>
            </w:pPr>
            <w:r w:rsidRPr="009448FC">
              <w:rPr>
                <w:rFonts w:eastAsia="SimSun"/>
              </w:rPr>
              <w:t>B3</w:t>
            </w:r>
          </w:p>
          <w:p w:rsidR="00154369" w:rsidRPr="009448FC" w:rsidRDefault="00154369" w:rsidP="00D0037C">
            <w:pPr>
              <w:adjustRightInd w:val="0"/>
              <w:snapToGrid w:val="0"/>
              <w:jc w:val="center"/>
              <w:rPr>
                <w:rFonts w:eastAsia="SimSun"/>
              </w:rPr>
            </w:pPr>
          </w:p>
        </w:tc>
        <w:tc>
          <w:tcPr>
            <w:tcW w:w="711" w:type="pct"/>
          </w:tcPr>
          <w:p w:rsidR="00154369" w:rsidRPr="009448FC" w:rsidRDefault="00154369" w:rsidP="00D0037C">
            <w:pPr>
              <w:adjustRightInd w:val="0"/>
              <w:snapToGrid w:val="0"/>
              <w:jc w:val="center"/>
              <w:rPr>
                <w:rFonts w:eastAsia="SimSun"/>
              </w:rPr>
            </w:pPr>
            <w:r w:rsidRPr="009448FC">
              <w:rPr>
                <w:rFonts w:eastAsia="SimSun"/>
              </w:rPr>
              <w:t>B4-B5</w:t>
            </w:r>
          </w:p>
          <w:p w:rsidR="00154369" w:rsidRPr="009448FC" w:rsidRDefault="00154369" w:rsidP="00D0037C">
            <w:pPr>
              <w:adjustRightInd w:val="0"/>
              <w:snapToGrid w:val="0"/>
              <w:jc w:val="center"/>
              <w:rPr>
                <w:rFonts w:eastAsia="SimSun"/>
              </w:rPr>
            </w:pPr>
          </w:p>
        </w:tc>
        <w:tc>
          <w:tcPr>
            <w:tcW w:w="643" w:type="pct"/>
          </w:tcPr>
          <w:p w:rsidR="00154369" w:rsidRDefault="00154369" w:rsidP="00813D1D">
            <w:pPr>
              <w:adjustRightInd w:val="0"/>
              <w:snapToGrid w:val="0"/>
              <w:jc w:val="center"/>
              <w:rPr>
                <w:rFonts w:eastAsia="SimSun"/>
              </w:rPr>
            </w:pPr>
            <w:r w:rsidRPr="009448FC">
              <w:rPr>
                <w:rFonts w:eastAsia="SimSun"/>
              </w:rPr>
              <w:t>B6-B1</w:t>
            </w:r>
            <w:r w:rsidR="00813D1D">
              <w:rPr>
                <w:rFonts w:eastAsia="SimSun"/>
              </w:rPr>
              <w:t>3</w:t>
            </w:r>
          </w:p>
          <w:p w:rsidR="00813D1D" w:rsidRPr="009448FC" w:rsidRDefault="0053357F" w:rsidP="00813D1D">
            <w:pPr>
              <w:adjustRightInd w:val="0"/>
              <w:snapToGrid w:val="0"/>
              <w:jc w:val="center"/>
              <w:rPr>
                <w:rFonts w:eastAsia="SimSun"/>
              </w:rPr>
            </w:pPr>
            <w:r>
              <w:rPr>
                <w:rFonts w:eastAsia="SimSun"/>
              </w:rPr>
              <w:t xml:space="preserve"> </w:t>
            </w:r>
          </w:p>
        </w:tc>
      </w:tr>
    </w:tbl>
    <w:p w:rsidR="00A73839" w:rsidRPr="009448FC" w:rsidRDefault="00A73839" w:rsidP="00A73839">
      <w:pPr>
        <w:autoSpaceDE w:val="0"/>
        <w:autoSpaceDN w:val="0"/>
        <w:adjustRightInd w:val="0"/>
        <w:rPr>
          <w:lang w:val="fr-FR"/>
        </w:rPr>
      </w:pPr>
      <w:bookmarkStart w:id="551" w:name="_Ref2365436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1281"/>
        <w:gridCol w:w="1430"/>
        <w:gridCol w:w="1481"/>
        <w:gridCol w:w="1052"/>
        <w:gridCol w:w="1406"/>
        <w:gridCol w:w="1406"/>
        <w:gridCol w:w="1402"/>
      </w:tblGrid>
      <w:tr w:rsidR="00925031" w:rsidRPr="00066F65" w:rsidTr="00925031">
        <w:trPr>
          <w:jc w:val="center"/>
        </w:trPr>
        <w:tc>
          <w:tcPr>
            <w:tcW w:w="325" w:type="pct"/>
          </w:tcPr>
          <w:p w:rsidR="00925031" w:rsidRPr="009448FC" w:rsidRDefault="00925031" w:rsidP="00D0037C">
            <w:pPr>
              <w:adjustRightInd w:val="0"/>
              <w:snapToGrid w:val="0"/>
              <w:jc w:val="center"/>
              <w:rPr>
                <w:rFonts w:eastAsia="SimSun"/>
              </w:rPr>
            </w:pPr>
          </w:p>
        </w:tc>
        <w:tc>
          <w:tcPr>
            <w:tcW w:w="633" w:type="pct"/>
          </w:tcPr>
          <w:p w:rsidR="00925031" w:rsidRPr="009448FC" w:rsidRDefault="00925031" w:rsidP="00503C6C">
            <w:pPr>
              <w:adjustRightInd w:val="0"/>
              <w:snapToGrid w:val="0"/>
              <w:jc w:val="center"/>
              <w:rPr>
                <w:rFonts w:eastAsia="SimSun"/>
              </w:rPr>
            </w:pPr>
            <w:r>
              <w:rPr>
                <w:rFonts w:eastAsia="SimSun"/>
              </w:rPr>
              <w:t>RXSS Length</w:t>
            </w:r>
          </w:p>
        </w:tc>
        <w:tc>
          <w:tcPr>
            <w:tcW w:w="707" w:type="pct"/>
          </w:tcPr>
          <w:p w:rsidR="00925031" w:rsidRPr="009448FC" w:rsidRDefault="00925031" w:rsidP="00503C6C">
            <w:pPr>
              <w:adjustRightInd w:val="0"/>
              <w:snapToGrid w:val="0"/>
              <w:jc w:val="center"/>
              <w:rPr>
                <w:rFonts w:eastAsia="SimSun"/>
              </w:rPr>
            </w:pPr>
            <w:r w:rsidRPr="009448FC">
              <w:rPr>
                <w:rFonts w:eastAsia="SimSun"/>
              </w:rPr>
              <w:t>Ant</w:t>
            </w:r>
            <w:r>
              <w:rPr>
                <w:rFonts w:eastAsia="SimSun"/>
              </w:rPr>
              <w:t>enna</w:t>
            </w:r>
            <w:r w:rsidRPr="009448FC">
              <w:rPr>
                <w:rFonts w:eastAsia="SimSun"/>
              </w:rPr>
              <w:t xml:space="preserve"> reciprocity</w:t>
            </w:r>
            <w:r w:rsidR="00D11F2E">
              <w:rPr>
                <w:rFonts w:eastAsia="SimSun"/>
              </w:rPr>
              <w:t xml:space="preserve"> </w:t>
            </w:r>
          </w:p>
        </w:tc>
        <w:tc>
          <w:tcPr>
            <w:tcW w:w="732" w:type="pct"/>
          </w:tcPr>
          <w:p w:rsidR="00925031" w:rsidRPr="009448FC" w:rsidRDefault="00925031" w:rsidP="00D0037C">
            <w:pPr>
              <w:adjustRightInd w:val="0"/>
              <w:snapToGrid w:val="0"/>
              <w:jc w:val="center"/>
              <w:rPr>
                <w:rFonts w:eastAsia="SimSun"/>
              </w:rPr>
            </w:pPr>
            <w:r w:rsidRPr="009448FC">
              <w:rPr>
                <w:rFonts w:eastAsia="SimSun"/>
                <w:lang w:val="fr-FR"/>
              </w:rPr>
              <w:t xml:space="preserve">A-MPDU parameters </w:t>
            </w:r>
          </w:p>
        </w:tc>
        <w:tc>
          <w:tcPr>
            <w:tcW w:w="520" w:type="pct"/>
          </w:tcPr>
          <w:p w:rsidR="00925031" w:rsidRPr="009448FC" w:rsidRDefault="00925031" w:rsidP="00D0037C">
            <w:pPr>
              <w:adjustRightInd w:val="0"/>
              <w:snapToGrid w:val="0"/>
              <w:jc w:val="center"/>
              <w:rPr>
                <w:rFonts w:eastAsia="SimSun"/>
              </w:rPr>
            </w:pPr>
            <w:r w:rsidRPr="009448FC">
              <w:rPr>
                <w:rFonts w:eastAsia="SimSun"/>
              </w:rPr>
              <w:t xml:space="preserve">BA with flow control </w:t>
            </w:r>
          </w:p>
        </w:tc>
        <w:tc>
          <w:tcPr>
            <w:tcW w:w="695" w:type="pct"/>
          </w:tcPr>
          <w:p w:rsidR="00925031" w:rsidRPr="009448FC" w:rsidRDefault="00925031" w:rsidP="00D0037C">
            <w:pPr>
              <w:adjustRightInd w:val="0"/>
              <w:snapToGrid w:val="0"/>
              <w:jc w:val="center"/>
              <w:rPr>
                <w:rFonts w:eastAsia="SimSun"/>
              </w:rPr>
            </w:pPr>
            <w:r>
              <w:rPr>
                <w:rFonts w:eastAsia="SimSun"/>
              </w:rPr>
              <w:t>Supported MCS Set</w:t>
            </w:r>
            <w:r w:rsidR="00D11F2E">
              <w:rPr>
                <w:rFonts w:eastAsia="SimSun"/>
              </w:rPr>
              <w:t xml:space="preserve"> </w:t>
            </w:r>
          </w:p>
        </w:tc>
        <w:tc>
          <w:tcPr>
            <w:tcW w:w="695" w:type="pct"/>
          </w:tcPr>
          <w:p w:rsidR="00925031" w:rsidRDefault="00925031" w:rsidP="00D0037C">
            <w:pPr>
              <w:adjustRightInd w:val="0"/>
              <w:snapToGrid w:val="0"/>
              <w:jc w:val="center"/>
              <w:rPr>
                <w:rFonts w:eastAsia="SimSun"/>
              </w:rPr>
            </w:pPr>
            <w:r>
              <w:rPr>
                <w:rFonts w:eastAsia="SimSun"/>
              </w:rPr>
              <w:t>DTP Supported</w:t>
            </w:r>
          </w:p>
          <w:p w:rsidR="00925031" w:rsidRPr="009448FC" w:rsidRDefault="00925031" w:rsidP="00D0037C">
            <w:pPr>
              <w:adjustRightInd w:val="0"/>
              <w:snapToGrid w:val="0"/>
              <w:jc w:val="center"/>
              <w:rPr>
                <w:rFonts w:eastAsia="SimSun"/>
              </w:rPr>
            </w:pPr>
            <w:r>
              <w:rPr>
                <w:rFonts w:eastAsia="SimSun"/>
              </w:rPr>
              <w:t xml:space="preserve"> </w:t>
            </w:r>
          </w:p>
        </w:tc>
        <w:tc>
          <w:tcPr>
            <w:tcW w:w="693" w:type="pct"/>
          </w:tcPr>
          <w:p w:rsidR="00925031" w:rsidRPr="009448FC" w:rsidRDefault="00925031" w:rsidP="00D0037C">
            <w:pPr>
              <w:adjustRightInd w:val="0"/>
              <w:snapToGrid w:val="0"/>
              <w:jc w:val="center"/>
              <w:rPr>
                <w:rFonts w:eastAsia="SimSun"/>
              </w:rPr>
            </w:pPr>
            <w:r w:rsidRPr="009448FC">
              <w:rPr>
                <w:rFonts w:eastAsia="SimSun"/>
              </w:rPr>
              <w:t>Reserved</w:t>
            </w:r>
          </w:p>
        </w:tc>
      </w:tr>
      <w:tr w:rsidR="00925031" w:rsidRPr="00066F65" w:rsidTr="00925031">
        <w:trPr>
          <w:jc w:val="center"/>
        </w:trPr>
        <w:tc>
          <w:tcPr>
            <w:tcW w:w="325" w:type="pct"/>
          </w:tcPr>
          <w:p w:rsidR="00925031" w:rsidRPr="009448FC" w:rsidRDefault="00925031" w:rsidP="00D0037C">
            <w:pPr>
              <w:adjustRightInd w:val="0"/>
              <w:snapToGrid w:val="0"/>
              <w:jc w:val="center"/>
              <w:rPr>
                <w:rFonts w:eastAsia="SimSun"/>
              </w:rPr>
            </w:pPr>
            <w:r w:rsidRPr="009448FC">
              <w:rPr>
                <w:rFonts w:eastAsia="SimSun"/>
              </w:rPr>
              <w:t>Bit:</w:t>
            </w:r>
          </w:p>
        </w:tc>
        <w:tc>
          <w:tcPr>
            <w:tcW w:w="633" w:type="pct"/>
          </w:tcPr>
          <w:p w:rsidR="00925031" w:rsidRPr="009448FC" w:rsidRDefault="00925031" w:rsidP="00813D1D">
            <w:pPr>
              <w:adjustRightInd w:val="0"/>
              <w:snapToGrid w:val="0"/>
              <w:jc w:val="center"/>
              <w:rPr>
                <w:rFonts w:eastAsia="SimSun"/>
              </w:rPr>
            </w:pPr>
            <w:r>
              <w:rPr>
                <w:rFonts w:eastAsia="SimSun"/>
              </w:rPr>
              <w:t>B14-B19</w:t>
            </w:r>
          </w:p>
        </w:tc>
        <w:tc>
          <w:tcPr>
            <w:tcW w:w="707" w:type="pct"/>
          </w:tcPr>
          <w:p w:rsidR="00925031" w:rsidRPr="009448FC" w:rsidRDefault="00925031" w:rsidP="00412C70">
            <w:pPr>
              <w:adjustRightInd w:val="0"/>
              <w:snapToGrid w:val="0"/>
              <w:jc w:val="center"/>
              <w:rPr>
                <w:rFonts w:eastAsia="SimSun"/>
              </w:rPr>
            </w:pPr>
            <w:r w:rsidRPr="009448FC">
              <w:rPr>
                <w:rFonts w:eastAsia="SimSun"/>
              </w:rPr>
              <w:t>B</w:t>
            </w:r>
            <w:r>
              <w:rPr>
                <w:rFonts w:eastAsia="SimSun"/>
              </w:rPr>
              <w:t>20</w:t>
            </w:r>
          </w:p>
        </w:tc>
        <w:tc>
          <w:tcPr>
            <w:tcW w:w="732" w:type="pct"/>
          </w:tcPr>
          <w:p w:rsidR="00925031" w:rsidRPr="009448FC" w:rsidRDefault="00925031" w:rsidP="00412C70">
            <w:pPr>
              <w:adjustRightInd w:val="0"/>
              <w:snapToGrid w:val="0"/>
              <w:jc w:val="center"/>
              <w:rPr>
                <w:rFonts w:eastAsia="SimSun"/>
              </w:rPr>
            </w:pPr>
            <w:r w:rsidRPr="009448FC">
              <w:rPr>
                <w:rFonts w:eastAsia="SimSun"/>
              </w:rPr>
              <w:t>B</w:t>
            </w:r>
            <w:r>
              <w:rPr>
                <w:rFonts w:eastAsia="SimSun"/>
              </w:rPr>
              <w:t>21</w:t>
            </w:r>
            <w:r w:rsidRPr="009448FC">
              <w:rPr>
                <w:rFonts w:eastAsia="SimSun"/>
              </w:rPr>
              <w:t>-B</w:t>
            </w:r>
            <w:r>
              <w:rPr>
                <w:rFonts w:eastAsia="SimSun"/>
              </w:rPr>
              <w:t>26</w:t>
            </w:r>
          </w:p>
        </w:tc>
        <w:tc>
          <w:tcPr>
            <w:tcW w:w="520" w:type="pct"/>
          </w:tcPr>
          <w:p w:rsidR="00925031" w:rsidRPr="009448FC" w:rsidRDefault="00925031" w:rsidP="00412C70">
            <w:pPr>
              <w:adjustRightInd w:val="0"/>
              <w:snapToGrid w:val="0"/>
              <w:jc w:val="center"/>
              <w:rPr>
                <w:rFonts w:eastAsia="SimSun"/>
              </w:rPr>
            </w:pPr>
            <w:r w:rsidRPr="009448FC">
              <w:rPr>
                <w:rFonts w:eastAsia="SimSun"/>
              </w:rPr>
              <w:t>B2</w:t>
            </w:r>
            <w:r>
              <w:rPr>
                <w:rFonts w:eastAsia="SimSun"/>
              </w:rPr>
              <w:t>7</w:t>
            </w:r>
          </w:p>
        </w:tc>
        <w:tc>
          <w:tcPr>
            <w:tcW w:w="695" w:type="pct"/>
          </w:tcPr>
          <w:p w:rsidR="008C32FB" w:rsidRDefault="00925031">
            <w:pPr>
              <w:adjustRightInd w:val="0"/>
              <w:snapToGrid w:val="0"/>
              <w:jc w:val="center"/>
              <w:rPr>
                <w:rFonts w:eastAsia="SimSun"/>
              </w:rPr>
            </w:pPr>
            <w:r>
              <w:rPr>
                <w:rFonts w:eastAsia="SimSun"/>
              </w:rPr>
              <w:t>B28-B51</w:t>
            </w:r>
          </w:p>
        </w:tc>
        <w:tc>
          <w:tcPr>
            <w:tcW w:w="695" w:type="pct"/>
          </w:tcPr>
          <w:p w:rsidR="00925031" w:rsidRPr="009448FC" w:rsidRDefault="00925031" w:rsidP="00412C70">
            <w:pPr>
              <w:adjustRightInd w:val="0"/>
              <w:snapToGrid w:val="0"/>
              <w:jc w:val="center"/>
              <w:rPr>
                <w:rFonts w:eastAsia="SimSun"/>
              </w:rPr>
            </w:pPr>
            <w:r>
              <w:rPr>
                <w:rFonts w:eastAsia="SimSun"/>
              </w:rPr>
              <w:t>52</w:t>
            </w:r>
          </w:p>
        </w:tc>
        <w:tc>
          <w:tcPr>
            <w:tcW w:w="693" w:type="pct"/>
          </w:tcPr>
          <w:p w:rsidR="008C32FB" w:rsidRDefault="00925031">
            <w:pPr>
              <w:adjustRightInd w:val="0"/>
              <w:snapToGrid w:val="0"/>
              <w:jc w:val="center"/>
              <w:rPr>
                <w:rFonts w:eastAsia="SimSun"/>
              </w:rPr>
            </w:pPr>
            <w:r w:rsidRPr="009448FC">
              <w:rPr>
                <w:rFonts w:eastAsia="SimSun"/>
              </w:rPr>
              <w:t>B</w:t>
            </w:r>
            <w:r>
              <w:rPr>
                <w:rFonts w:eastAsia="SimSun"/>
              </w:rPr>
              <w:t>53-B63</w:t>
            </w:r>
          </w:p>
        </w:tc>
      </w:tr>
    </w:tbl>
    <w:p w:rsidR="0095695F" w:rsidRPr="00066F65" w:rsidRDefault="00E41170" w:rsidP="00BA5BC4">
      <w:pPr>
        <w:pStyle w:val="Caption"/>
        <w:rPr>
          <w:lang w:val="fr-FR"/>
        </w:rPr>
      </w:pPr>
      <w:bookmarkStart w:id="552" w:name="_Ref244098951"/>
      <w:bookmarkStart w:id="553" w:name="_Toc259717462"/>
      <w:r w:rsidRPr="00066F65">
        <w:rPr>
          <w:lang w:val="fr-FR"/>
        </w:rPr>
        <w:lastRenderedPageBreak/>
        <w:t xml:space="preserve">Figure </w:t>
      </w:r>
      <w:r w:rsidR="00BD151C" w:rsidRPr="00066F65">
        <w:fldChar w:fldCharType="begin"/>
      </w:r>
      <w:r w:rsidRPr="00066F65">
        <w:rPr>
          <w:lang w:val="fr-FR"/>
        </w:rPr>
        <w:instrText xml:space="preserve"> SEQ Figure \* ARABIC </w:instrText>
      </w:r>
      <w:r w:rsidR="00BD151C" w:rsidRPr="00066F65">
        <w:fldChar w:fldCharType="separate"/>
      </w:r>
      <w:r w:rsidR="003E4210">
        <w:rPr>
          <w:noProof/>
          <w:lang w:val="fr-FR"/>
        </w:rPr>
        <w:t>30</w:t>
      </w:r>
      <w:r w:rsidR="00BD151C" w:rsidRPr="00066F65">
        <w:fldChar w:fldCharType="end"/>
      </w:r>
      <w:bookmarkEnd w:id="551"/>
      <w:bookmarkEnd w:id="552"/>
      <w:r w:rsidR="0095695F" w:rsidRPr="00066F65">
        <w:rPr>
          <w:lang w:val="fr-FR"/>
        </w:rPr>
        <w:t xml:space="preserve"> – </w:t>
      </w:r>
      <w:bookmarkEnd w:id="550"/>
      <w:r w:rsidR="0095695F" w:rsidRPr="00066F65">
        <w:rPr>
          <w:lang w:val="fr-FR"/>
        </w:rPr>
        <w:t>mmWave STA Capability Information</w:t>
      </w:r>
      <w:bookmarkEnd w:id="553"/>
    </w:p>
    <w:p w:rsidR="0095695F" w:rsidRPr="009448FC" w:rsidRDefault="00BE1F31" w:rsidP="0095695F">
      <w:pPr>
        <w:autoSpaceDE w:val="0"/>
        <w:autoSpaceDN w:val="0"/>
        <w:adjustRightInd w:val="0"/>
      </w:pPr>
      <w:r>
        <w:t xml:space="preserve"> </w:t>
      </w:r>
    </w:p>
    <w:p w:rsidR="0095695F" w:rsidRPr="009448FC" w:rsidRDefault="002A26C0" w:rsidP="00632B9E">
      <w:pPr>
        <w:autoSpaceDE w:val="0"/>
        <w:autoSpaceDN w:val="0"/>
        <w:adjustRightInd w:val="0"/>
      </w:pPr>
      <w:r w:rsidRPr="009448FC">
        <w:t xml:space="preserve">The </w:t>
      </w:r>
      <w:r w:rsidR="0095695F" w:rsidRPr="009448FC">
        <w:t xml:space="preserve">Reverse Direction field </w:t>
      </w:r>
      <w:r w:rsidR="00274150" w:rsidRPr="009448FC">
        <w:t xml:space="preserve">is </w:t>
      </w:r>
      <w:r w:rsidR="0095695F" w:rsidRPr="009448FC">
        <w:t xml:space="preserve">set to 1 if </w:t>
      </w:r>
      <w:r w:rsidR="00274150" w:rsidRPr="009448FC">
        <w:t xml:space="preserve">the STA </w:t>
      </w:r>
      <w:r w:rsidR="0095695F" w:rsidRPr="009448FC">
        <w:t xml:space="preserve">supports RD as defined in </w:t>
      </w:r>
      <w:r w:rsidR="00BD151C" w:rsidRPr="009448FC">
        <w:fldChar w:fldCharType="begin"/>
      </w:r>
      <w:r w:rsidR="00632B9E" w:rsidRPr="009448FC">
        <w:instrText xml:space="preserve"> REF _Ref243799086 \r \h </w:instrText>
      </w:r>
      <w:r w:rsidR="00BD151C" w:rsidRPr="009448FC">
        <w:fldChar w:fldCharType="separate"/>
      </w:r>
      <w:r w:rsidR="003E4210">
        <w:t>9.15</w:t>
      </w:r>
      <w:r w:rsidR="00BD151C" w:rsidRPr="009448FC">
        <w:fldChar w:fldCharType="end"/>
      </w:r>
      <w:r w:rsidR="00632B9E" w:rsidRPr="009448FC">
        <w:t xml:space="preserve"> </w:t>
      </w:r>
      <w:r w:rsidR="0095695F" w:rsidRPr="009448FC">
        <w:t xml:space="preserve">and </w:t>
      </w:r>
      <w:r w:rsidR="000D2976" w:rsidRPr="009448FC">
        <w:t xml:space="preserve">is </w:t>
      </w:r>
      <w:r w:rsidR="0095695F" w:rsidRPr="009448FC">
        <w:t xml:space="preserve">set to 0 </w:t>
      </w:r>
      <w:r w:rsidR="000D2976" w:rsidRPr="009448FC">
        <w:t>otherwise</w:t>
      </w:r>
      <w:r w:rsidR="0095695F" w:rsidRPr="009448FC">
        <w:t>.</w:t>
      </w:r>
    </w:p>
    <w:p w:rsidR="00274150" w:rsidRPr="009448FC" w:rsidRDefault="00274150" w:rsidP="0095695F">
      <w:pPr>
        <w:autoSpaceDE w:val="0"/>
        <w:autoSpaceDN w:val="0"/>
        <w:adjustRightInd w:val="0"/>
      </w:pPr>
    </w:p>
    <w:p w:rsidR="0095695F" w:rsidRPr="009448FC" w:rsidRDefault="002A26C0" w:rsidP="0053357F">
      <w:pPr>
        <w:autoSpaceDE w:val="0"/>
        <w:autoSpaceDN w:val="0"/>
        <w:adjustRightInd w:val="0"/>
      </w:pPr>
      <w:r w:rsidRPr="009448FC">
        <w:t xml:space="preserve">The </w:t>
      </w:r>
      <w:r w:rsidR="0095695F" w:rsidRPr="009448FC">
        <w:t xml:space="preserve">Higher Layer Timer Synchronization field </w:t>
      </w:r>
      <w:r w:rsidR="00764C2F" w:rsidRPr="009448FC">
        <w:t>is</w:t>
      </w:r>
      <w:r w:rsidR="0095695F" w:rsidRPr="009448FC">
        <w:t xml:space="preserve"> set to 1 if </w:t>
      </w:r>
      <w:r w:rsidR="00764C2F" w:rsidRPr="009448FC">
        <w:t xml:space="preserve">the STA </w:t>
      </w:r>
      <w:r w:rsidR="0095695F" w:rsidRPr="009448FC">
        <w:t>supports Higher Layer Timer Synchronization as defined in 11.</w:t>
      </w:r>
      <w:r w:rsidR="00030B16">
        <w:t>22.5 Timing measurement procedure,</w:t>
      </w:r>
      <w:r w:rsidR="0095695F" w:rsidRPr="009448FC">
        <w:t xml:space="preserve"> and </w:t>
      </w:r>
      <w:r w:rsidR="000D2976" w:rsidRPr="009448FC">
        <w:t xml:space="preserve">is </w:t>
      </w:r>
      <w:r w:rsidR="0095695F" w:rsidRPr="009448FC">
        <w:t xml:space="preserve">set to 0 </w:t>
      </w:r>
      <w:r w:rsidR="000D2976" w:rsidRPr="009448FC">
        <w:t>otherwise</w:t>
      </w:r>
      <w:r w:rsidR="0095695F" w:rsidRPr="009448FC">
        <w:t>.</w:t>
      </w:r>
      <w:r w:rsidR="00D11F2E">
        <w:t xml:space="preserve"> </w:t>
      </w:r>
    </w:p>
    <w:p w:rsidR="0095695F" w:rsidRPr="009448FC" w:rsidRDefault="0095695F" w:rsidP="0095695F">
      <w:pPr>
        <w:autoSpaceDE w:val="0"/>
        <w:autoSpaceDN w:val="0"/>
        <w:adjustRightInd w:val="0"/>
      </w:pPr>
    </w:p>
    <w:p w:rsidR="0095695F" w:rsidRPr="009448FC" w:rsidRDefault="002A26C0" w:rsidP="00F65DFC">
      <w:pPr>
        <w:autoSpaceDE w:val="0"/>
        <w:autoSpaceDN w:val="0"/>
        <w:adjustRightInd w:val="0"/>
      </w:pPr>
      <w:r w:rsidRPr="009448FC">
        <w:t xml:space="preserve">The </w:t>
      </w:r>
      <w:r w:rsidR="0095695F" w:rsidRPr="009448FC">
        <w:t xml:space="preserve">TPC field </w:t>
      </w:r>
      <w:r w:rsidR="00764C2F" w:rsidRPr="009448FC">
        <w:t>is</w:t>
      </w:r>
      <w:r w:rsidR="0095695F" w:rsidRPr="009448FC">
        <w:t xml:space="preserve"> set to 1 if </w:t>
      </w:r>
      <w:r w:rsidR="00764C2F" w:rsidRPr="009448FC">
        <w:t xml:space="preserve">the STA </w:t>
      </w:r>
      <w:r w:rsidR="0095695F" w:rsidRPr="009448FC">
        <w:t xml:space="preserve">supports the TPC as defined in </w:t>
      </w:r>
      <w:r w:rsidR="00BD151C" w:rsidRPr="009448FC">
        <w:fldChar w:fldCharType="begin"/>
      </w:r>
      <w:r w:rsidR="00F65DFC" w:rsidRPr="009448FC">
        <w:instrText xml:space="preserve"> REF _Ref243798001 \r \h </w:instrText>
      </w:r>
      <w:r w:rsidR="00BD151C" w:rsidRPr="009448FC">
        <w:fldChar w:fldCharType="separate"/>
      </w:r>
      <w:r w:rsidR="003E4210">
        <w:t>11.8</w:t>
      </w:r>
      <w:r w:rsidR="00BD151C" w:rsidRPr="009448FC">
        <w:fldChar w:fldCharType="end"/>
      </w:r>
      <w:r w:rsidR="00F65DFC" w:rsidRPr="009448FC">
        <w:t xml:space="preserve"> </w:t>
      </w:r>
      <w:r w:rsidR="0095695F" w:rsidRPr="009448FC">
        <w:t xml:space="preserve">and </w:t>
      </w:r>
      <w:r w:rsidR="0073283A" w:rsidRPr="009448FC">
        <w:t xml:space="preserve">is </w:t>
      </w:r>
      <w:r w:rsidR="0095695F" w:rsidRPr="009448FC">
        <w:t xml:space="preserve">set to 0 </w:t>
      </w:r>
      <w:r w:rsidR="0073283A" w:rsidRPr="009448FC">
        <w:t>otherwise</w:t>
      </w:r>
      <w:r w:rsidR="0095695F" w:rsidRPr="009448FC">
        <w:t>.</w:t>
      </w:r>
    </w:p>
    <w:p w:rsidR="00A42B2A" w:rsidRPr="009448FC" w:rsidRDefault="00A42B2A" w:rsidP="00F65DFC">
      <w:pPr>
        <w:autoSpaceDE w:val="0"/>
        <w:autoSpaceDN w:val="0"/>
        <w:adjustRightInd w:val="0"/>
      </w:pPr>
    </w:p>
    <w:p w:rsidR="00A42B2A" w:rsidRPr="009448FC" w:rsidRDefault="000605EA" w:rsidP="00F65DFC">
      <w:pPr>
        <w:autoSpaceDE w:val="0"/>
        <w:autoSpaceDN w:val="0"/>
        <w:adjustRightInd w:val="0"/>
      </w:pPr>
      <w:r>
        <w:t>The SFS and Interferen</w:t>
      </w:r>
      <w:r w:rsidR="00A42B2A" w:rsidRPr="009448FC">
        <w:t>ce Mitigation field is set to 1 if the STA is capable of performing the function of SFS and Interference M</w:t>
      </w:r>
      <w:r w:rsidR="00030B16">
        <w:t>itigation and is set to 0 otherw</w:t>
      </w:r>
      <w:r w:rsidR="00A42B2A" w:rsidRPr="009448FC">
        <w:t xml:space="preserve">ise (see </w:t>
      </w:r>
      <w:r w:rsidR="00BD151C">
        <w:rPr>
          <w:iCs/>
        </w:rPr>
        <w:fldChar w:fldCharType="begin"/>
      </w:r>
      <w:r w:rsidR="00A42B2A">
        <w:rPr>
          <w:iCs/>
        </w:rPr>
        <w:instrText xml:space="preserve"> REF _Ref246671071 \n \h </w:instrText>
      </w:r>
      <w:r w:rsidR="00BD151C">
        <w:rPr>
          <w:iCs/>
        </w:rPr>
      </w:r>
      <w:r w:rsidR="00BD151C">
        <w:rPr>
          <w:iCs/>
        </w:rPr>
        <w:fldChar w:fldCharType="separate"/>
      </w:r>
      <w:r w:rsidR="003E4210">
        <w:rPr>
          <w:iCs/>
        </w:rPr>
        <w:t>11.33</w:t>
      </w:r>
      <w:r w:rsidR="00BD151C">
        <w:rPr>
          <w:iCs/>
        </w:rPr>
        <w:fldChar w:fldCharType="end"/>
      </w:r>
      <w:r w:rsidR="00A42B2A" w:rsidRPr="009448FC">
        <w:t>).</w:t>
      </w:r>
    </w:p>
    <w:p w:rsidR="00D06400" w:rsidRPr="009448FC" w:rsidRDefault="00D06400" w:rsidP="001006CD">
      <w:pPr>
        <w:autoSpaceDE w:val="0"/>
        <w:autoSpaceDN w:val="0"/>
        <w:adjustRightInd w:val="0"/>
      </w:pPr>
    </w:p>
    <w:p w:rsidR="00D06400" w:rsidRPr="009448FC" w:rsidRDefault="00D06400" w:rsidP="001056FD">
      <w:r w:rsidRPr="009448FC">
        <w:t>The Number of Ant</w:t>
      </w:r>
      <w:r w:rsidR="001056FD">
        <w:t>ennas</w:t>
      </w:r>
      <w:r w:rsidRPr="009448FC">
        <w:t xml:space="preserve"> field indicates the total number of antenna</w:t>
      </w:r>
      <w:r w:rsidR="00AD61F1">
        <w:t>s</w:t>
      </w:r>
      <w:r w:rsidRPr="009448FC">
        <w:t xml:space="preserve"> of the STA.</w:t>
      </w:r>
    </w:p>
    <w:p w:rsidR="0073283A" w:rsidRPr="009448FC" w:rsidRDefault="0073283A" w:rsidP="00D06400"/>
    <w:p w:rsidR="00D06400" w:rsidRPr="009448FC" w:rsidRDefault="00D06400" w:rsidP="001056FD">
      <w:r w:rsidRPr="009448FC">
        <w:t>The Total Number of Sectors field indicates the total number of sectors the STA will use in a sector sweep combined over all antenna</w:t>
      </w:r>
      <w:r w:rsidR="00AD61F1">
        <w:t>s</w:t>
      </w:r>
      <w:r w:rsidRPr="009448FC">
        <w:t>.</w:t>
      </w:r>
    </w:p>
    <w:p w:rsidR="0073283A" w:rsidRDefault="0073283A" w:rsidP="00D06400"/>
    <w:p w:rsidR="00AD61F1" w:rsidRDefault="00AD61F1" w:rsidP="00AD61F1">
      <w:pPr>
        <w:autoSpaceDE w:val="0"/>
        <w:autoSpaceDN w:val="0"/>
        <w:adjustRightInd w:val="0"/>
      </w:pPr>
      <w:r w:rsidRPr="007B2D72">
        <w:t xml:space="preserve">The RXSS Length field specifies the length of a </w:t>
      </w:r>
      <w:r>
        <w:t xml:space="preserve">receive </w:t>
      </w:r>
      <w:r w:rsidRPr="007B2D72">
        <w:t xml:space="preserve">sector sweep </w:t>
      </w:r>
      <w:r>
        <w:t xml:space="preserve">per each antenna </w:t>
      </w:r>
      <w:r w:rsidRPr="007B2D72">
        <w:t>required by the STA, and is defined in units of a SS frame.</w:t>
      </w:r>
      <w:r w:rsidR="00080054">
        <w:t xml:space="preserve"> </w:t>
      </w:r>
    </w:p>
    <w:p w:rsidR="00AD61F1" w:rsidRPr="009448FC" w:rsidRDefault="00AD61F1" w:rsidP="00D06400"/>
    <w:p w:rsidR="00D06400" w:rsidRPr="009448FC" w:rsidRDefault="00080054" w:rsidP="0073283A">
      <w:pPr>
        <w:autoSpaceDE w:val="0"/>
        <w:autoSpaceDN w:val="0"/>
        <w:adjustRightInd w:val="0"/>
      </w:pPr>
      <w:r>
        <w:t xml:space="preserve"> </w:t>
      </w:r>
      <w:r w:rsidR="001112E0" w:rsidRPr="001112E0">
        <w:t>The Antenna reciprocity field is set to one to indicate that the best transmit antenna of the STA is the same as the best receive antenna of the STA and vice-versa. This field is set to zero otherwise.</w:t>
      </w:r>
      <w:r w:rsidR="00D11F2E">
        <w:t xml:space="preserve"> </w:t>
      </w:r>
    </w:p>
    <w:p w:rsidR="007E1750" w:rsidRPr="009448FC" w:rsidRDefault="007E1750" w:rsidP="007E1750"/>
    <w:p w:rsidR="007E1750" w:rsidRPr="009448FC" w:rsidRDefault="007E1750" w:rsidP="007E1750">
      <w:r w:rsidRPr="009448FC">
        <w:t xml:space="preserve">The A-MPDU parameters field is shown in </w:t>
      </w:r>
      <w:r w:rsidR="00BD151C">
        <w:fldChar w:fldCharType="begin"/>
      </w:r>
      <w:r>
        <w:instrText xml:space="preserve"> REF _Ref243196404 \h </w:instrText>
      </w:r>
      <w:r w:rsidR="00BD151C">
        <w:fldChar w:fldCharType="separate"/>
      </w:r>
      <w:r w:rsidR="003E4210" w:rsidRPr="00066F65">
        <w:t xml:space="preserve">Figure </w:t>
      </w:r>
      <w:r w:rsidR="003E4210">
        <w:rPr>
          <w:noProof/>
        </w:rPr>
        <w:t>31</w:t>
      </w:r>
      <w:r w:rsidR="00BD151C">
        <w:fldChar w:fldCharType="end"/>
      </w:r>
      <w:r w:rsidRPr="009448FC">
        <w:t>.</w:t>
      </w:r>
    </w:p>
    <w:p w:rsidR="007E1750" w:rsidRPr="009448FC" w:rsidRDefault="007E1750" w:rsidP="007E17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3943"/>
        <w:gridCol w:w="3277"/>
      </w:tblGrid>
      <w:tr w:rsidR="007E1750" w:rsidRPr="00066F65" w:rsidTr="00D0037C">
        <w:trPr>
          <w:jc w:val="center"/>
        </w:trPr>
        <w:tc>
          <w:tcPr>
            <w:tcW w:w="0" w:type="auto"/>
          </w:tcPr>
          <w:p w:rsidR="007E1750" w:rsidRPr="009448FC" w:rsidRDefault="007E1750" w:rsidP="00D0037C">
            <w:pPr>
              <w:jc w:val="both"/>
              <w:rPr>
                <w:rFonts w:eastAsia="SimSun"/>
              </w:rPr>
            </w:pPr>
          </w:p>
        </w:tc>
        <w:tc>
          <w:tcPr>
            <w:tcW w:w="0" w:type="auto"/>
          </w:tcPr>
          <w:p w:rsidR="007E1750" w:rsidRPr="009448FC" w:rsidRDefault="007E1750" w:rsidP="00D0037C">
            <w:pPr>
              <w:jc w:val="both"/>
              <w:rPr>
                <w:rFonts w:eastAsia="SimSun"/>
              </w:rPr>
            </w:pPr>
            <w:r w:rsidRPr="009448FC">
              <w:rPr>
                <w:rFonts w:eastAsia="SimSun"/>
              </w:rPr>
              <w:t>Maximum A-MPDU Length Exponent</w:t>
            </w:r>
          </w:p>
        </w:tc>
        <w:tc>
          <w:tcPr>
            <w:tcW w:w="0" w:type="auto"/>
          </w:tcPr>
          <w:p w:rsidR="007E1750" w:rsidRPr="009448FC" w:rsidRDefault="007E1750" w:rsidP="00D0037C">
            <w:pPr>
              <w:jc w:val="both"/>
              <w:rPr>
                <w:rFonts w:eastAsia="SimSun"/>
              </w:rPr>
            </w:pPr>
            <w:r w:rsidRPr="009448FC">
              <w:rPr>
                <w:rFonts w:eastAsia="SimSun"/>
              </w:rPr>
              <w:t>Minimum MPDU Start Spacing</w:t>
            </w:r>
          </w:p>
        </w:tc>
      </w:tr>
      <w:tr w:rsidR="007E1750" w:rsidRPr="00066F65" w:rsidTr="00D0037C">
        <w:trPr>
          <w:jc w:val="center"/>
        </w:trPr>
        <w:tc>
          <w:tcPr>
            <w:tcW w:w="0" w:type="auto"/>
          </w:tcPr>
          <w:p w:rsidR="007E1750" w:rsidRPr="009448FC" w:rsidRDefault="007E1750" w:rsidP="00D0037C">
            <w:pPr>
              <w:jc w:val="both"/>
              <w:rPr>
                <w:rFonts w:eastAsia="SimSun"/>
              </w:rPr>
            </w:pPr>
            <w:r w:rsidRPr="009448FC">
              <w:rPr>
                <w:rFonts w:eastAsia="SimSun"/>
              </w:rPr>
              <w:t>Bits:</w:t>
            </w:r>
          </w:p>
        </w:tc>
        <w:tc>
          <w:tcPr>
            <w:tcW w:w="0" w:type="auto"/>
          </w:tcPr>
          <w:p w:rsidR="007E1750" w:rsidRPr="009448FC" w:rsidRDefault="007E1750" w:rsidP="00D0037C">
            <w:pPr>
              <w:jc w:val="both"/>
              <w:rPr>
                <w:rFonts w:eastAsia="SimSun"/>
              </w:rPr>
            </w:pPr>
            <w:r w:rsidRPr="009448FC">
              <w:rPr>
                <w:rFonts w:eastAsia="SimSun"/>
              </w:rPr>
              <w:t>B0-B2</w:t>
            </w:r>
          </w:p>
        </w:tc>
        <w:tc>
          <w:tcPr>
            <w:tcW w:w="0" w:type="auto"/>
          </w:tcPr>
          <w:p w:rsidR="007E1750" w:rsidRPr="009448FC" w:rsidRDefault="007E1750" w:rsidP="00D0037C">
            <w:pPr>
              <w:jc w:val="both"/>
              <w:rPr>
                <w:rFonts w:eastAsia="SimSun"/>
              </w:rPr>
            </w:pPr>
            <w:r w:rsidRPr="009448FC">
              <w:rPr>
                <w:rFonts w:eastAsia="SimSun"/>
              </w:rPr>
              <w:t>B3-B5</w:t>
            </w:r>
          </w:p>
        </w:tc>
      </w:tr>
    </w:tbl>
    <w:p w:rsidR="007E1750" w:rsidRPr="00066F65" w:rsidRDefault="007E1750" w:rsidP="00BA5BC4">
      <w:pPr>
        <w:pStyle w:val="Caption"/>
      </w:pPr>
      <w:bookmarkStart w:id="554" w:name="_Ref243196404"/>
      <w:bookmarkStart w:id="555" w:name="_Toc259717463"/>
      <w:r w:rsidRPr="00066F65">
        <w:t xml:space="preserve">Figure </w:t>
      </w:r>
      <w:r w:rsidR="00BD151C">
        <w:fldChar w:fldCharType="begin"/>
      </w:r>
      <w:r w:rsidR="00801316">
        <w:instrText xml:space="preserve"> SEQ Figure \* ARABIC </w:instrText>
      </w:r>
      <w:r w:rsidR="00BD151C">
        <w:fldChar w:fldCharType="separate"/>
      </w:r>
      <w:r w:rsidR="003E4210">
        <w:rPr>
          <w:noProof/>
        </w:rPr>
        <w:t>31</w:t>
      </w:r>
      <w:r w:rsidR="00BD151C">
        <w:fldChar w:fldCharType="end"/>
      </w:r>
      <w:bookmarkEnd w:id="554"/>
      <w:r w:rsidRPr="00066F65">
        <w:t xml:space="preserve"> – A-MPDU parameters field</w:t>
      </w:r>
      <w:bookmarkEnd w:id="555"/>
    </w:p>
    <w:p w:rsidR="007E1750" w:rsidRPr="009448FC" w:rsidRDefault="007E1750" w:rsidP="007E1750"/>
    <w:p w:rsidR="007E1750" w:rsidRPr="009448FC" w:rsidRDefault="007E1750" w:rsidP="007E1750">
      <w:r w:rsidRPr="009448FC">
        <w:t xml:space="preserve">The subfields of the A-MPDU parameters field are defined in </w:t>
      </w:r>
      <w:r w:rsidR="00BD151C">
        <w:fldChar w:fldCharType="begin"/>
      </w:r>
      <w:r>
        <w:instrText xml:space="preserve"> REF _Ref243196865 \h </w:instrText>
      </w:r>
      <w:r w:rsidR="00BD151C">
        <w:fldChar w:fldCharType="separate"/>
      </w:r>
      <w:r w:rsidR="003E4210" w:rsidRPr="00066F65">
        <w:t xml:space="preserve">Table </w:t>
      </w:r>
      <w:r w:rsidR="003E4210">
        <w:rPr>
          <w:noProof/>
        </w:rPr>
        <w:t>10</w:t>
      </w:r>
      <w:r w:rsidR="00BD151C">
        <w:fldChar w:fldCharType="end"/>
      </w:r>
      <w:r w:rsidRPr="009448FC">
        <w:t>.</w:t>
      </w:r>
    </w:p>
    <w:p w:rsidR="007E1750" w:rsidRPr="009448FC" w:rsidRDefault="007E1750" w:rsidP="007E1750"/>
    <w:p w:rsidR="007E1750" w:rsidRPr="00066F65" w:rsidRDefault="007E1750" w:rsidP="00BA5BC4">
      <w:pPr>
        <w:pStyle w:val="Caption"/>
      </w:pPr>
      <w:bookmarkStart w:id="556" w:name="_Ref243196865"/>
      <w:bookmarkStart w:id="557" w:name="_Toc250654413"/>
      <w:bookmarkStart w:id="558" w:name="_Toc259717588"/>
      <w:r w:rsidRPr="00066F65">
        <w:t xml:space="preserve">Table </w:t>
      </w:r>
      <w:r w:rsidR="00BD151C">
        <w:fldChar w:fldCharType="begin"/>
      </w:r>
      <w:r w:rsidR="00801316">
        <w:instrText xml:space="preserve"> SEQ Table \* ARABIC </w:instrText>
      </w:r>
      <w:r w:rsidR="00BD151C">
        <w:fldChar w:fldCharType="separate"/>
      </w:r>
      <w:r w:rsidR="003E4210">
        <w:rPr>
          <w:noProof/>
        </w:rPr>
        <w:t>10</w:t>
      </w:r>
      <w:r w:rsidR="00BD151C">
        <w:fldChar w:fldCharType="end"/>
      </w:r>
      <w:bookmarkEnd w:id="556"/>
      <w:r w:rsidRPr="00066F65">
        <w:t xml:space="preserve"> – Subfields of the A-MPDU Parameters field</w:t>
      </w:r>
      <w:bookmarkEnd w:id="557"/>
      <w:bookmarkEnd w:id="5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4608"/>
      </w:tblGrid>
      <w:tr w:rsidR="007E1750" w:rsidRPr="00066F65" w:rsidTr="00D0037C">
        <w:tc>
          <w:tcPr>
            <w:tcW w:w="2088" w:type="dxa"/>
          </w:tcPr>
          <w:p w:rsidR="007E1750" w:rsidRPr="009448FC" w:rsidRDefault="007E1750" w:rsidP="00D0037C">
            <w:pPr>
              <w:jc w:val="center"/>
              <w:rPr>
                <w:rFonts w:eastAsia="SimSun"/>
                <w:b/>
              </w:rPr>
            </w:pPr>
            <w:r w:rsidRPr="009448FC">
              <w:rPr>
                <w:rFonts w:eastAsia="SimSun"/>
                <w:b/>
              </w:rPr>
              <w:t>Subfield</w:t>
            </w:r>
          </w:p>
        </w:tc>
        <w:tc>
          <w:tcPr>
            <w:tcW w:w="3420" w:type="dxa"/>
          </w:tcPr>
          <w:p w:rsidR="007E1750" w:rsidRPr="009448FC" w:rsidRDefault="007E1750" w:rsidP="00D0037C">
            <w:pPr>
              <w:jc w:val="center"/>
              <w:rPr>
                <w:rFonts w:eastAsia="SimSun"/>
                <w:b/>
              </w:rPr>
            </w:pPr>
            <w:r w:rsidRPr="009448FC">
              <w:rPr>
                <w:rFonts w:eastAsia="SimSun"/>
                <w:b/>
              </w:rPr>
              <w:t>Definition</w:t>
            </w:r>
          </w:p>
        </w:tc>
        <w:tc>
          <w:tcPr>
            <w:tcW w:w="4608" w:type="dxa"/>
          </w:tcPr>
          <w:p w:rsidR="007E1750" w:rsidRPr="009448FC" w:rsidRDefault="007E1750" w:rsidP="00D0037C">
            <w:pPr>
              <w:jc w:val="center"/>
              <w:rPr>
                <w:rFonts w:eastAsia="SimSun"/>
                <w:b/>
              </w:rPr>
            </w:pPr>
            <w:r w:rsidRPr="009448FC">
              <w:rPr>
                <w:rFonts w:eastAsia="SimSun"/>
                <w:b/>
              </w:rPr>
              <w:t>Encoding</w:t>
            </w:r>
          </w:p>
        </w:tc>
      </w:tr>
      <w:tr w:rsidR="007E1750" w:rsidRPr="00066F65" w:rsidTr="00D0037C">
        <w:tc>
          <w:tcPr>
            <w:tcW w:w="2088" w:type="dxa"/>
          </w:tcPr>
          <w:p w:rsidR="007E1750" w:rsidRPr="009448FC" w:rsidRDefault="007E1750" w:rsidP="00D0037C">
            <w:pPr>
              <w:jc w:val="both"/>
              <w:rPr>
                <w:rFonts w:eastAsia="SimSun"/>
              </w:rPr>
            </w:pPr>
            <w:r w:rsidRPr="009448FC">
              <w:rPr>
                <w:rFonts w:eastAsia="SimSun"/>
              </w:rPr>
              <w:t>Maximum A-MPDU Length Exponent</w:t>
            </w:r>
          </w:p>
        </w:tc>
        <w:tc>
          <w:tcPr>
            <w:tcW w:w="3420" w:type="dxa"/>
          </w:tcPr>
          <w:p w:rsidR="007E1750" w:rsidRPr="009448FC" w:rsidRDefault="007E1750" w:rsidP="00D0037C">
            <w:pPr>
              <w:jc w:val="both"/>
              <w:rPr>
                <w:rFonts w:eastAsia="SimSun"/>
              </w:rPr>
            </w:pPr>
            <w:r w:rsidRPr="009448FC">
              <w:rPr>
                <w:rFonts w:eastAsia="SimSun"/>
              </w:rPr>
              <w:t>Indicates the maximum length of A-MPDU that the STA can receive.</w:t>
            </w:r>
          </w:p>
        </w:tc>
        <w:tc>
          <w:tcPr>
            <w:tcW w:w="4608" w:type="dxa"/>
          </w:tcPr>
          <w:p w:rsidR="007E1750" w:rsidRPr="009448FC" w:rsidRDefault="007E1750" w:rsidP="00D0037C">
            <w:pPr>
              <w:jc w:val="both"/>
              <w:rPr>
                <w:rFonts w:eastAsia="SimSun"/>
              </w:rPr>
            </w:pPr>
            <w:r w:rsidRPr="009448FC">
              <w:rPr>
                <w:rFonts w:eastAsia="SimSun"/>
              </w:rPr>
              <w:t>This field is an integer in the range 0 to 5.</w:t>
            </w:r>
          </w:p>
          <w:p w:rsidR="007E1750" w:rsidRPr="009448FC" w:rsidRDefault="007E1750" w:rsidP="00D0037C">
            <w:pPr>
              <w:jc w:val="both"/>
              <w:rPr>
                <w:rFonts w:eastAsia="SimSun"/>
              </w:rPr>
            </w:pPr>
          </w:p>
          <w:p w:rsidR="007E1750" w:rsidRPr="009448FC" w:rsidRDefault="007E1750" w:rsidP="00D0037C">
            <w:pPr>
              <w:jc w:val="both"/>
              <w:rPr>
                <w:rFonts w:eastAsia="SimSun"/>
              </w:rPr>
            </w:pPr>
            <w:r w:rsidRPr="009448FC">
              <w:rPr>
                <w:rFonts w:eastAsia="SimSun"/>
              </w:rPr>
              <w:t>The length defined by this field is equal to 2</w:t>
            </w:r>
            <w:r w:rsidRPr="009448FC">
              <w:rPr>
                <w:rFonts w:eastAsia="SimSun"/>
                <w:vertAlign w:val="superscript"/>
              </w:rPr>
              <w:t>(13 + Maximum A-MPDU Length Exponent)</w:t>
            </w:r>
            <w:r w:rsidRPr="009448FC">
              <w:rPr>
                <w:rFonts w:eastAsia="SimSun"/>
              </w:rPr>
              <w:t xml:space="preserve"> – 1 octets.</w:t>
            </w:r>
          </w:p>
        </w:tc>
      </w:tr>
      <w:tr w:rsidR="007E1750" w:rsidRPr="00066F65" w:rsidTr="00D0037C">
        <w:tc>
          <w:tcPr>
            <w:tcW w:w="2088" w:type="dxa"/>
          </w:tcPr>
          <w:p w:rsidR="007E1750" w:rsidRPr="009448FC" w:rsidRDefault="007E1750" w:rsidP="00D0037C">
            <w:pPr>
              <w:jc w:val="both"/>
              <w:rPr>
                <w:rFonts w:eastAsia="SimSun"/>
              </w:rPr>
            </w:pPr>
            <w:r w:rsidRPr="009448FC">
              <w:rPr>
                <w:rFonts w:eastAsia="SimSun"/>
              </w:rPr>
              <w:t>Minimum MPDU Start Spacing</w:t>
            </w:r>
          </w:p>
        </w:tc>
        <w:tc>
          <w:tcPr>
            <w:tcW w:w="3420" w:type="dxa"/>
          </w:tcPr>
          <w:p w:rsidR="007E1750" w:rsidRPr="009448FC" w:rsidRDefault="007E1750" w:rsidP="00D0037C">
            <w:pPr>
              <w:jc w:val="both"/>
              <w:rPr>
                <w:rFonts w:eastAsia="SimSun"/>
              </w:rPr>
            </w:pPr>
            <w:r w:rsidRPr="009448FC">
              <w:rPr>
                <w:rFonts w:eastAsia="SimSun"/>
              </w:rPr>
              <w:t>Determines the minimum time between the start of adjacent MPDUs within an A-MPDU that the STA can receive, measured at the PHY-SAP.</w:t>
            </w:r>
          </w:p>
        </w:tc>
        <w:tc>
          <w:tcPr>
            <w:tcW w:w="4608" w:type="dxa"/>
          </w:tcPr>
          <w:p w:rsidR="007E1750" w:rsidRPr="009448FC" w:rsidRDefault="007E1750" w:rsidP="00D0037C">
            <w:pPr>
              <w:jc w:val="both"/>
              <w:rPr>
                <w:rFonts w:eastAsia="SimSun"/>
              </w:rPr>
            </w:pPr>
            <w:r w:rsidRPr="009448FC">
              <w:rPr>
                <w:rFonts w:eastAsia="SimSun"/>
              </w:rPr>
              <w:t>Set to 0 for no restriction</w:t>
            </w:r>
          </w:p>
          <w:p w:rsidR="007E1750" w:rsidRPr="009448FC" w:rsidRDefault="007E1750" w:rsidP="00D0037C">
            <w:pPr>
              <w:jc w:val="both"/>
              <w:rPr>
                <w:rFonts w:eastAsia="SimSun"/>
              </w:rPr>
            </w:pPr>
            <w:r w:rsidRPr="009448FC">
              <w:rPr>
                <w:rFonts w:eastAsia="SimSun"/>
              </w:rPr>
              <w:t xml:space="preserve">Set to 1 for </w:t>
            </w:r>
            <w:r w:rsidR="00FD4C59" w:rsidRPr="009448FC">
              <w:rPr>
                <w:rFonts w:eastAsia="SimSun"/>
              </w:rPr>
              <w:t>16 ns</w:t>
            </w:r>
          </w:p>
          <w:p w:rsidR="007E1750" w:rsidRPr="009448FC" w:rsidRDefault="007E1750" w:rsidP="00D0037C">
            <w:pPr>
              <w:jc w:val="both"/>
              <w:rPr>
                <w:rFonts w:eastAsia="SimSun"/>
              </w:rPr>
            </w:pPr>
            <w:r w:rsidRPr="009448FC">
              <w:rPr>
                <w:rFonts w:eastAsia="SimSun"/>
              </w:rPr>
              <w:t xml:space="preserve">Set to 2 for </w:t>
            </w:r>
            <w:r w:rsidR="00FD4C59" w:rsidRPr="009448FC">
              <w:rPr>
                <w:rFonts w:eastAsia="SimSun"/>
              </w:rPr>
              <w:t>32 ns</w:t>
            </w:r>
          </w:p>
          <w:p w:rsidR="007E1750" w:rsidRPr="009448FC" w:rsidRDefault="007E1750" w:rsidP="00D0037C">
            <w:pPr>
              <w:jc w:val="both"/>
              <w:rPr>
                <w:rFonts w:eastAsia="SimSun"/>
              </w:rPr>
            </w:pPr>
            <w:r w:rsidRPr="009448FC">
              <w:rPr>
                <w:rFonts w:eastAsia="SimSun"/>
              </w:rPr>
              <w:t xml:space="preserve">Set to 3 for </w:t>
            </w:r>
            <w:r w:rsidR="00FD4C59" w:rsidRPr="009448FC">
              <w:rPr>
                <w:rFonts w:eastAsia="SimSun"/>
              </w:rPr>
              <w:t>64 ns</w:t>
            </w:r>
          </w:p>
          <w:p w:rsidR="007E1750" w:rsidRPr="009448FC" w:rsidRDefault="007E1750" w:rsidP="00D0037C">
            <w:pPr>
              <w:jc w:val="both"/>
              <w:rPr>
                <w:rFonts w:eastAsia="SimSun"/>
              </w:rPr>
            </w:pPr>
            <w:r w:rsidRPr="009448FC">
              <w:rPr>
                <w:rFonts w:eastAsia="SimSun"/>
              </w:rPr>
              <w:t xml:space="preserve">Set to 4 for </w:t>
            </w:r>
            <w:r w:rsidR="00FD4C59" w:rsidRPr="009448FC">
              <w:rPr>
                <w:rFonts w:eastAsia="SimSun"/>
              </w:rPr>
              <w:t>128 ns</w:t>
            </w:r>
          </w:p>
          <w:p w:rsidR="007E1750" w:rsidRPr="009448FC" w:rsidRDefault="007E1750" w:rsidP="00D0037C">
            <w:pPr>
              <w:jc w:val="both"/>
              <w:rPr>
                <w:rFonts w:eastAsia="SimSun"/>
              </w:rPr>
            </w:pPr>
            <w:r w:rsidRPr="009448FC">
              <w:rPr>
                <w:rFonts w:eastAsia="SimSun"/>
              </w:rPr>
              <w:t xml:space="preserve">Set to 5 for </w:t>
            </w:r>
            <w:r w:rsidR="00FD4C59" w:rsidRPr="009448FC">
              <w:rPr>
                <w:rFonts w:eastAsia="SimSun"/>
              </w:rPr>
              <w:t>256 ns</w:t>
            </w:r>
          </w:p>
          <w:p w:rsidR="007E1750" w:rsidRPr="009448FC" w:rsidRDefault="007E1750" w:rsidP="00D0037C">
            <w:pPr>
              <w:jc w:val="both"/>
              <w:rPr>
                <w:rFonts w:eastAsia="SimSun"/>
              </w:rPr>
            </w:pPr>
            <w:r w:rsidRPr="009448FC">
              <w:rPr>
                <w:rFonts w:eastAsia="SimSun"/>
              </w:rPr>
              <w:t xml:space="preserve">Set to 6 for </w:t>
            </w:r>
            <w:r w:rsidR="00FD4C59" w:rsidRPr="009448FC">
              <w:rPr>
                <w:rFonts w:eastAsia="SimSun"/>
              </w:rPr>
              <w:t>512 ns</w:t>
            </w:r>
          </w:p>
          <w:p w:rsidR="00FD4C59" w:rsidRPr="009448FC" w:rsidRDefault="007E1750" w:rsidP="00FD4C59">
            <w:pPr>
              <w:jc w:val="both"/>
              <w:rPr>
                <w:rFonts w:eastAsia="SimSun"/>
              </w:rPr>
            </w:pPr>
            <w:r w:rsidRPr="009448FC">
              <w:rPr>
                <w:rFonts w:eastAsia="SimSun"/>
              </w:rPr>
              <w:t xml:space="preserve">Set to 7 for </w:t>
            </w:r>
            <w:r w:rsidR="00FD4C59" w:rsidRPr="009448FC">
              <w:rPr>
                <w:rFonts w:eastAsia="SimSun"/>
              </w:rPr>
              <w:t>1024 ns</w:t>
            </w:r>
          </w:p>
        </w:tc>
      </w:tr>
    </w:tbl>
    <w:p w:rsidR="00154369" w:rsidRPr="009448FC" w:rsidRDefault="00154369" w:rsidP="00764C2F">
      <w:pPr>
        <w:autoSpaceDE w:val="0"/>
        <w:autoSpaceDN w:val="0"/>
        <w:adjustRightInd w:val="0"/>
      </w:pPr>
    </w:p>
    <w:p w:rsidR="00154369" w:rsidRPr="009448FC" w:rsidRDefault="00154369" w:rsidP="00B91194">
      <w:pPr>
        <w:autoSpaceDE w:val="0"/>
        <w:autoSpaceDN w:val="0"/>
        <w:adjustRightInd w:val="0"/>
      </w:pPr>
      <w:r w:rsidRPr="009448FC">
        <w:t xml:space="preserve">The BA with flow control field is set to 1 if the STA supports BA with flow control as defined in </w:t>
      </w:r>
      <w:r w:rsidR="00BD151C" w:rsidRPr="009448FC">
        <w:fldChar w:fldCharType="begin"/>
      </w:r>
      <w:r w:rsidR="00B91194" w:rsidRPr="009448FC">
        <w:instrText xml:space="preserve"> REF _Ref243799151 \r \h </w:instrText>
      </w:r>
      <w:r w:rsidR="00BD151C" w:rsidRPr="009448FC">
        <w:fldChar w:fldCharType="separate"/>
      </w:r>
      <w:r w:rsidR="003E4210">
        <w:t>9.26</w:t>
      </w:r>
      <w:r w:rsidR="00BD151C" w:rsidRPr="009448FC">
        <w:fldChar w:fldCharType="end"/>
      </w:r>
      <w:r w:rsidRPr="009448FC">
        <w:t xml:space="preserve"> and is set to 0 otherwise.</w:t>
      </w:r>
    </w:p>
    <w:p w:rsidR="0095695F" w:rsidRPr="00947949" w:rsidRDefault="0053357F" w:rsidP="0095695F">
      <w:r>
        <w:t xml:space="preserve"> </w:t>
      </w:r>
    </w:p>
    <w:p w:rsidR="003E4724" w:rsidRDefault="000102FE">
      <w:pPr>
        <w:autoSpaceDE w:val="0"/>
        <w:autoSpaceDN w:val="0"/>
        <w:adjustRightInd w:val="0"/>
      </w:pPr>
      <w:r w:rsidRPr="00B71A66">
        <w:t>The Supported MCS Set field indicates which MCSs a</w:t>
      </w:r>
      <w:r>
        <w:t>n</w:t>
      </w:r>
      <w:r w:rsidRPr="00B71A66">
        <w:t xml:space="preserve"> mSTA supports.</w:t>
      </w:r>
      <w:r>
        <w:t xml:space="preserve"> </w:t>
      </w:r>
      <w:r w:rsidRPr="00B71A66">
        <w:t xml:space="preserve">An MCS is identified by an MCS index, which is represented by an integer in the range 0 to </w:t>
      </w:r>
      <w:r w:rsidR="00A32B42" w:rsidRPr="00B71A66">
        <w:t>2</w:t>
      </w:r>
      <w:r w:rsidR="00A32B42">
        <w:t>7</w:t>
      </w:r>
      <w:r w:rsidRPr="00B71A66">
        <w:t>. The interpretation</w:t>
      </w:r>
      <w:r>
        <w:t xml:space="preserve"> </w:t>
      </w:r>
      <w:r w:rsidRPr="00B71A66">
        <w:t xml:space="preserve">of the MCS index (i.e., the mapping from MCS to data rate) is PHY dependent. For the mmWave PHY, see </w:t>
      </w:r>
      <w:r>
        <w:t xml:space="preserve">clause </w:t>
      </w:r>
      <w:r w:rsidRPr="00B71A66">
        <w:t>21.</w:t>
      </w:r>
      <w:r>
        <w:t xml:space="preserve"> </w:t>
      </w:r>
      <w:r w:rsidRPr="00B71A66">
        <w:t>The structure of the Supported MCS Set field is defined in</w:t>
      </w:r>
      <w:r>
        <w:t xml:space="preserve"> </w:t>
      </w:r>
      <w:r w:rsidR="00BD151C">
        <w:fldChar w:fldCharType="begin"/>
      </w:r>
      <w:r>
        <w:instrText xml:space="preserve"> REF _Ref250713049 \h </w:instrText>
      </w:r>
      <w:r w:rsidR="00BD151C">
        <w:fldChar w:fldCharType="separate"/>
      </w:r>
      <w:r w:rsidR="003E4210">
        <w:t xml:space="preserve">Figure </w:t>
      </w:r>
      <w:r w:rsidR="003E4210">
        <w:rPr>
          <w:noProof/>
        </w:rPr>
        <w:t>32</w:t>
      </w:r>
      <w:r w:rsidR="00BD151C">
        <w:fldChar w:fldCharType="end"/>
      </w:r>
      <w:r w:rsidRPr="00B71A66">
        <w:t>.</w:t>
      </w:r>
    </w:p>
    <w:p w:rsidR="000102FE" w:rsidRDefault="000102FE" w:rsidP="000102FE">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
        <w:gridCol w:w="1409"/>
        <w:gridCol w:w="1331"/>
        <w:gridCol w:w="1406"/>
        <w:gridCol w:w="1385"/>
        <w:gridCol w:w="1203"/>
        <w:gridCol w:w="1025"/>
        <w:gridCol w:w="1350"/>
      </w:tblGrid>
      <w:tr w:rsidR="00925031" w:rsidTr="00925031">
        <w:tc>
          <w:tcPr>
            <w:tcW w:w="1075" w:type="dxa"/>
          </w:tcPr>
          <w:p w:rsidR="00925031" w:rsidRPr="00BC4949" w:rsidRDefault="00925031" w:rsidP="000102FE">
            <w:pPr>
              <w:autoSpaceDE w:val="0"/>
              <w:autoSpaceDN w:val="0"/>
              <w:adjustRightInd w:val="0"/>
              <w:jc w:val="both"/>
              <w:rPr>
                <w:rFonts w:eastAsia="SimSun"/>
              </w:rPr>
            </w:pPr>
          </w:p>
        </w:tc>
        <w:tc>
          <w:tcPr>
            <w:tcW w:w="1448" w:type="dxa"/>
          </w:tcPr>
          <w:p w:rsidR="00925031" w:rsidRPr="00BC4949" w:rsidRDefault="00925031" w:rsidP="000102FE">
            <w:pPr>
              <w:autoSpaceDE w:val="0"/>
              <w:autoSpaceDN w:val="0"/>
              <w:adjustRightInd w:val="0"/>
              <w:jc w:val="both"/>
              <w:rPr>
                <w:rFonts w:eastAsia="SimSun"/>
              </w:rPr>
            </w:pPr>
            <w:r>
              <w:rPr>
                <w:rFonts w:eastAsia="SimSun"/>
              </w:rPr>
              <w:t xml:space="preserve">Maximum SC Rx </w:t>
            </w:r>
            <w:r w:rsidRPr="00BC4949">
              <w:rPr>
                <w:rFonts w:eastAsia="SimSun"/>
              </w:rPr>
              <w:t>MCS</w:t>
            </w:r>
          </w:p>
        </w:tc>
        <w:tc>
          <w:tcPr>
            <w:tcW w:w="1354" w:type="dxa"/>
          </w:tcPr>
          <w:p w:rsidR="00925031" w:rsidRPr="00BC4949" w:rsidRDefault="00925031" w:rsidP="000102FE">
            <w:pPr>
              <w:autoSpaceDE w:val="0"/>
              <w:autoSpaceDN w:val="0"/>
              <w:adjustRightInd w:val="0"/>
              <w:jc w:val="both"/>
              <w:rPr>
                <w:rFonts w:eastAsia="SimSun"/>
              </w:rPr>
            </w:pPr>
            <w:r>
              <w:rPr>
                <w:rFonts w:eastAsia="SimSun"/>
              </w:rPr>
              <w:t xml:space="preserve">Maximum OFDM Rx </w:t>
            </w:r>
            <w:r w:rsidRPr="00BC4949">
              <w:rPr>
                <w:rFonts w:eastAsia="SimSun"/>
              </w:rPr>
              <w:t>MCS</w:t>
            </w:r>
          </w:p>
        </w:tc>
        <w:tc>
          <w:tcPr>
            <w:tcW w:w="1445" w:type="dxa"/>
          </w:tcPr>
          <w:p w:rsidR="00925031" w:rsidRPr="00BC4949" w:rsidRDefault="00925031" w:rsidP="000102FE">
            <w:pPr>
              <w:autoSpaceDE w:val="0"/>
              <w:autoSpaceDN w:val="0"/>
              <w:adjustRightInd w:val="0"/>
              <w:jc w:val="both"/>
              <w:rPr>
                <w:rFonts w:eastAsia="SimSun"/>
              </w:rPr>
            </w:pPr>
            <w:r>
              <w:rPr>
                <w:rFonts w:eastAsia="SimSun"/>
              </w:rPr>
              <w:t xml:space="preserve">Maximum SC Tx </w:t>
            </w:r>
            <w:r w:rsidRPr="00BC4949">
              <w:rPr>
                <w:rFonts w:eastAsia="SimSun"/>
              </w:rPr>
              <w:t>MCS</w:t>
            </w:r>
          </w:p>
        </w:tc>
        <w:tc>
          <w:tcPr>
            <w:tcW w:w="1419" w:type="dxa"/>
          </w:tcPr>
          <w:p w:rsidR="00925031" w:rsidRPr="00BC4949" w:rsidRDefault="00925031" w:rsidP="000102FE">
            <w:pPr>
              <w:autoSpaceDE w:val="0"/>
              <w:autoSpaceDN w:val="0"/>
              <w:adjustRightInd w:val="0"/>
              <w:jc w:val="both"/>
              <w:rPr>
                <w:rFonts w:eastAsia="SimSun"/>
              </w:rPr>
            </w:pPr>
            <w:r>
              <w:rPr>
                <w:rFonts w:eastAsia="SimSun"/>
              </w:rPr>
              <w:t xml:space="preserve">Maximum OFDM Tx </w:t>
            </w:r>
            <w:r w:rsidRPr="00BC4949">
              <w:rPr>
                <w:rFonts w:eastAsia="SimSun"/>
              </w:rPr>
              <w:t>MCS</w:t>
            </w:r>
          </w:p>
        </w:tc>
        <w:tc>
          <w:tcPr>
            <w:tcW w:w="898" w:type="dxa"/>
          </w:tcPr>
          <w:p w:rsidR="008C32FB" w:rsidRDefault="00925031">
            <w:pPr>
              <w:autoSpaceDE w:val="0"/>
              <w:autoSpaceDN w:val="0"/>
              <w:adjustRightInd w:val="0"/>
              <w:jc w:val="both"/>
              <w:rPr>
                <w:rFonts w:eastAsia="SimSun"/>
              </w:rPr>
            </w:pPr>
            <w:r>
              <w:rPr>
                <w:rFonts w:eastAsia="SimSun"/>
              </w:rPr>
              <w:t>Low Power SC PHY Supported</w:t>
            </w:r>
          </w:p>
        </w:tc>
        <w:tc>
          <w:tcPr>
            <w:tcW w:w="1078" w:type="dxa"/>
          </w:tcPr>
          <w:p w:rsidR="00925031" w:rsidRPr="00BC4949" w:rsidRDefault="00925031" w:rsidP="000102FE">
            <w:pPr>
              <w:autoSpaceDE w:val="0"/>
              <w:autoSpaceDN w:val="0"/>
              <w:adjustRightInd w:val="0"/>
              <w:jc w:val="both"/>
              <w:rPr>
                <w:rFonts w:eastAsia="SimSun"/>
              </w:rPr>
            </w:pPr>
            <w:r>
              <w:rPr>
                <w:rFonts w:eastAsia="SimSun"/>
              </w:rPr>
              <w:t>Code Rate 13/16</w:t>
            </w:r>
          </w:p>
        </w:tc>
        <w:tc>
          <w:tcPr>
            <w:tcW w:w="1399" w:type="dxa"/>
          </w:tcPr>
          <w:p w:rsidR="00925031" w:rsidRPr="00BC4949" w:rsidRDefault="00925031" w:rsidP="000102FE">
            <w:pPr>
              <w:autoSpaceDE w:val="0"/>
              <w:autoSpaceDN w:val="0"/>
              <w:adjustRightInd w:val="0"/>
              <w:jc w:val="both"/>
              <w:rPr>
                <w:rFonts w:eastAsia="SimSun"/>
              </w:rPr>
            </w:pPr>
            <w:r w:rsidRPr="00BC4949">
              <w:rPr>
                <w:rFonts w:eastAsia="SimSun"/>
              </w:rPr>
              <w:t>Reserved</w:t>
            </w:r>
          </w:p>
        </w:tc>
      </w:tr>
      <w:tr w:rsidR="00925031" w:rsidTr="00925031">
        <w:tc>
          <w:tcPr>
            <w:tcW w:w="1075" w:type="dxa"/>
          </w:tcPr>
          <w:p w:rsidR="00925031" w:rsidRPr="00BC4949" w:rsidRDefault="00925031" w:rsidP="000102FE">
            <w:pPr>
              <w:autoSpaceDE w:val="0"/>
              <w:autoSpaceDN w:val="0"/>
              <w:adjustRightInd w:val="0"/>
              <w:jc w:val="both"/>
              <w:rPr>
                <w:rFonts w:eastAsia="SimSun"/>
              </w:rPr>
            </w:pPr>
            <w:r w:rsidRPr="00BC4949">
              <w:rPr>
                <w:rFonts w:eastAsia="SimSun"/>
              </w:rPr>
              <w:t>Bits</w:t>
            </w:r>
            <w:r>
              <w:rPr>
                <w:rFonts w:eastAsia="SimSun"/>
              </w:rPr>
              <w:t>:</w:t>
            </w:r>
          </w:p>
        </w:tc>
        <w:tc>
          <w:tcPr>
            <w:tcW w:w="1448" w:type="dxa"/>
          </w:tcPr>
          <w:p w:rsidR="00925031" w:rsidRPr="00BC4949" w:rsidRDefault="00925031" w:rsidP="000102FE">
            <w:pPr>
              <w:autoSpaceDE w:val="0"/>
              <w:autoSpaceDN w:val="0"/>
              <w:adjustRightInd w:val="0"/>
              <w:jc w:val="both"/>
              <w:rPr>
                <w:rFonts w:eastAsia="SimSun"/>
              </w:rPr>
            </w:pPr>
            <w:r>
              <w:rPr>
                <w:rFonts w:eastAsia="SimSun"/>
              </w:rPr>
              <w:t>5</w:t>
            </w:r>
          </w:p>
        </w:tc>
        <w:tc>
          <w:tcPr>
            <w:tcW w:w="1354" w:type="dxa"/>
          </w:tcPr>
          <w:p w:rsidR="00925031" w:rsidRPr="00BC4949" w:rsidRDefault="00925031" w:rsidP="000102FE">
            <w:pPr>
              <w:autoSpaceDE w:val="0"/>
              <w:autoSpaceDN w:val="0"/>
              <w:adjustRightInd w:val="0"/>
              <w:jc w:val="both"/>
              <w:rPr>
                <w:rFonts w:eastAsia="SimSun"/>
              </w:rPr>
            </w:pPr>
            <w:r>
              <w:rPr>
                <w:rFonts w:eastAsia="SimSun"/>
              </w:rPr>
              <w:t>5</w:t>
            </w:r>
          </w:p>
        </w:tc>
        <w:tc>
          <w:tcPr>
            <w:tcW w:w="1445" w:type="dxa"/>
          </w:tcPr>
          <w:p w:rsidR="00925031" w:rsidRPr="00BC4949" w:rsidRDefault="00925031" w:rsidP="000102FE">
            <w:pPr>
              <w:autoSpaceDE w:val="0"/>
              <w:autoSpaceDN w:val="0"/>
              <w:adjustRightInd w:val="0"/>
              <w:jc w:val="both"/>
              <w:rPr>
                <w:rFonts w:eastAsia="SimSun"/>
              </w:rPr>
            </w:pPr>
            <w:r>
              <w:rPr>
                <w:rFonts w:eastAsia="SimSun"/>
              </w:rPr>
              <w:t>5</w:t>
            </w:r>
          </w:p>
        </w:tc>
        <w:tc>
          <w:tcPr>
            <w:tcW w:w="1419" w:type="dxa"/>
          </w:tcPr>
          <w:p w:rsidR="00925031" w:rsidRPr="00BC4949" w:rsidRDefault="00925031" w:rsidP="000102FE">
            <w:pPr>
              <w:autoSpaceDE w:val="0"/>
              <w:autoSpaceDN w:val="0"/>
              <w:adjustRightInd w:val="0"/>
              <w:jc w:val="both"/>
              <w:rPr>
                <w:rFonts w:eastAsia="SimSun"/>
              </w:rPr>
            </w:pPr>
            <w:r>
              <w:rPr>
                <w:rFonts w:eastAsia="SimSun"/>
              </w:rPr>
              <w:t>5</w:t>
            </w:r>
          </w:p>
        </w:tc>
        <w:tc>
          <w:tcPr>
            <w:tcW w:w="898" w:type="dxa"/>
          </w:tcPr>
          <w:p w:rsidR="00925031" w:rsidRDefault="00925031" w:rsidP="000102FE">
            <w:pPr>
              <w:autoSpaceDE w:val="0"/>
              <w:autoSpaceDN w:val="0"/>
              <w:adjustRightInd w:val="0"/>
              <w:jc w:val="both"/>
              <w:rPr>
                <w:rFonts w:eastAsia="SimSun"/>
              </w:rPr>
            </w:pPr>
            <w:r>
              <w:rPr>
                <w:rFonts w:eastAsia="SimSun"/>
              </w:rPr>
              <w:t>1</w:t>
            </w:r>
          </w:p>
        </w:tc>
        <w:tc>
          <w:tcPr>
            <w:tcW w:w="1078" w:type="dxa"/>
          </w:tcPr>
          <w:p w:rsidR="00925031" w:rsidRPr="00BC4949" w:rsidRDefault="00925031" w:rsidP="000102FE">
            <w:pPr>
              <w:autoSpaceDE w:val="0"/>
              <w:autoSpaceDN w:val="0"/>
              <w:adjustRightInd w:val="0"/>
              <w:jc w:val="both"/>
              <w:rPr>
                <w:rFonts w:eastAsia="SimSun"/>
              </w:rPr>
            </w:pPr>
            <w:r>
              <w:rPr>
                <w:rFonts w:eastAsia="SimSun"/>
              </w:rPr>
              <w:t>1</w:t>
            </w:r>
          </w:p>
        </w:tc>
        <w:tc>
          <w:tcPr>
            <w:tcW w:w="1399" w:type="dxa"/>
          </w:tcPr>
          <w:p w:rsidR="00925031" w:rsidRPr="00BC4949" w:rsidRDefault="00925031" w:rsidP="000102FE">
            <w:pPr>
              <w:autoSpaceDE w:val="0"/>
              <w:autoSpaceDN w:val="0"/>
              <w:adjustRightInd w:val="0"/>
              <w:jc w:val="both"/>
              <w:rPr>
                <w:rFonts w:eastAsia="SimSun"/>
              </w:rPr>
            </w:pPr>
            <w:r>
              <w:rPr>
                <w:rFonts w:eastAsia="SimSun"/>
              </w:rPr>
              <w:t>2</w:t>
            </w:r>
          </w:p>
        </w:tc>
      </w:tr>
    </w:tbl>
    <w:p w:rsidR="000102FE" w:rsidRDefault="000102FE" w:rsidP="000102FE">
      <w:pPr>
        <w:pStyle w:val="Caption"/>
        <w:rPr>
          <w:b w:val="0"/>
        </w:rPr>
      </w:pPr>
      <w:bookmarkStart w:id="559" w:name="_Ref250713049"/>
      <w:bookmarkStart w:id="560" w:name="_Toc259717464"/>
      <w:r>
        <w:t xml:space="preserve">Figure </w:t>
      </w:r>
      <w:r w:rsidR="00BD151C">
        <w:fldChar w:fldCharType="begin"/>
      </w:r>
      <w:r w:rsidR="00801316">
        <w:instrText xml:space="preserve"> SEQ Figure \* ARABIC </w:instrText>
      </w:r>
      <w:r w:rsidR="00BD151C">
        <w:fldChar w:fldCharType="separate"/>
      </w:r>
      <w:r w:rsidR="003E4210">
        <w:rPr>
          <w:noProof/>
        </w:rPr>
        <w:t>32</w:t>
      </w:r>
      <w:r w:rsidR="00BD151C">
        <w:fldChar w:fldCharType="end"/>
      </w:r>
      <w:bookmarkEnd w:id="559"/>
      <w:r>
        <w:t xml:space="preserve"> – Supported MCS set field</w:t>
      </w:r>
      <w:bookmarkEnd w:id="560"/>
    </w:p>
    <w:p w:rsidR="000102FE" w:rsidRDefault="000102FE" w:rsidP="000102FE">
      <w:pPr>
        <w:autoSpaceDE w:val="0"/>
        <w:autoSpaceDN w:val="0"/>
        <w:adjustRightInd w:val="0"/>
        <w:jc w:val="both"/>
      </w:pPr>
    </w:p>
    <w:p w:rsidR="000102FE" w:rsidRPr="00B71A66" w:rsidRDefault="000102FE" w:rsidP="000102FE">
      <w:pPr>
        <w:autoSpaceDE w:val="0"/>
        <w:autoSpaceDN w:val="0"/>
        <w:adjustRightInd w:val="0"/>
      </w:pPr>
      <w:r w:rsidRPr="00B71A66">
        <w:t xml:space="preserve">The </w:t>
      </w:r>
      <w:r>
        <w:rPr>
          <w:rFonts w:eastAsia="SimSun"/>
        </w:rPr>
        <w:t xml:space="preserve">Maximum SC Rx </w:t>
      </w:r>
      <w:r w:rsidRPr="00BC4949">
        <w:rPr>
          <w:rFonts w:eastAsia="SimSun"/>
        </w:rPr>
        <w:t>MCS</w:t>
      </w:r>
      <w:r w:rsidRPr="00B71A66">
        <w:t xml:space="preserve"> subfield </w:t>
      </w:r>
      <w:r>
        <w:t>contains</w:t>
      </w:r>
      <w:r w:rsidRPr="00B71A66">
        <w:t xml:space="preserve"> </w:t>
      </w:r>
      <w:r>
        <w:t>the value of the maximum MCS index the STA supports for reception of single-carrier frames. The value of this subfield is at least equal to 4. Other possible values for this subfield are shown in</w:t>
      </w:r>
      <w:r w:rsidR="00013FD2">
        <w:t xml:space="preserve"> </w:t>
      </w:r>
      <w:r w:rsidR="00BD151C">
        <w:fldChar w:fldCharType="begin"/>
      </w:r>
      <w:r w:rsidR="00013FD2">
        <w:instrText xml:space="preserve"> REF _Ref236711090 \h </w:instrText>
      </w:r>
      <w:r w:rsidR="00BD151C">
        <w:fldChar w:fldCharType="separate"/>
      </w:r>
      <w:r w:rsidR="003E4210" w:rsidRPr="00066F65">
        <w:t xml:space="preserve">Table </w:t>
      </w:r>
      <w:r w:rsidR="003E4210">
        <w:rPr>
          <w:noProof/>
        </w:rPr>
        <w:t>79</w:t>
      </w:r>
      <w:r w:rsidR="00BD151C">
        <w:fldChar w:fldCharType="end"/>
      </w:r>
      <w:r>
        <w:t>.</w:t>
      </w:r>
    </w:p>
    <w:p w:rsidR="000102FE" w:rsidRDefault="000102FE" w:rsidP="000102FE">
      <w:pPr>
        <w:autoSpaceDE w:val="0"/>
        <w:autoSpaceDN w:val="0"/>
        <w:adjustRightInd w:val="0"/>
      </w:pPr>
    </w:p>
    <w:p w:rsidR="003E4724" w:rsidRDefault="000102FE">
      <w:pPr>
        <w:autoSpaceDE w:val="0"/>
        <w:autoSpaceDN w:val="0"/>
        <w:adjustRightInd w:val="0"/>
      </w:pPr>
      <w:r w:rsidRPr="00B71A66">
        <w:t xml:space="preserve">The </w:t>
      </w:r>
      <w:r>
        <w:rPr>
          <w:rFonts w:eastAsia="SimSun"/>
        </w:rPr>
        <w:t xml:space="preserve">Maximum OFDM Rx </w:t>
      </w:r>
      <w:r w:rsidRPr="00BC4949">
        <w:rPr>
          <w:rFonts w:eastAsia="SimSun"/>
        </w:rPr>
        <w:t>MCS</w:t>
      </w:r>
      <w:r w:rsidRPr="00B71A66">
        <w:t xml:space="preserve"> subfield </w:t>
      </w:r>
      <w:r>
        <w:t>contains</w:t>
      </w:r>
      <w:r w:rsidRPr="00B71A66">
        <w:t xml:space="preserve"> </w:t>
      </w:r>
      <w:r>
        <w:t xml:space="preserve">the value of the maximum MCS index the STA supports for reception of OFDM frames. </w:t>
      </w:r>
      <w:r w:rsidR="0096195C" w:rsidRPr="0096195C">
        <w:t xml:space="preserve">If this field is set to zero, it indicates that the STA does not support reception of OFDM frames. Otherwise, the value of this field is at least equal to </w:t>
      </w:r>
      <w:r w:rsidR="00A32B42" w:rsidRPr="0096195C">
        <w:t>1</w:t>
      </w:r>
      <w:r w:rsidR="00A32B42">
        <w:t>7</w:t>
      </w:r>
      <w:r w:rsidR="00A32B42" w:rsidRPr="0096195C">
        <w:t xml:space="preserve"> </w:t>
      </w:r>
      <w:r w:rsidR="0096195C" w:rsidRPr="0096195C">
        <w:t xml:space="preserve">as described in </w:t>
      </w:r>
      <w:r w:rsidR="00BD151C">
        <w:fldChar w:fldCharType="begin"/>
      </w:r>
      <w:r w:rsidR="0096195C">
        <w:instrText xml:space="preserve"> REF _Ref253498078 \r \h </w:instrText>
      </w:r>
      <w:r w:rsidR="00BD151C">
        <w:fldChar w:fldCharType="separate"/>
      </w:r>
      <w:r w:rsidR="003E4210">
        <w:t>21.5.3.1.1</w:t>
      </w:r>
      <w:r w:rsidR="00BD151C">
        <w:fldChar w:fldCharType="end"/>
      </w:r>
      <w:r w:rsidR="0096195C" w:rsidRPr="0096195C">
        <w:t>.</w:t>
      </w:r>
    </w:p>
    <w:p w:rsidR="000102FE" w:rsidRDefault="000102FE" w:rsidP="000102FE">
      <w:pPr>
        <w:autoSpaceDE w:val="0"/>
        <w:autoSpaceDN w:val="0"/>
        <w:adjustRightInd w:val="0"/>
      </w:pPr>
    </w:p>
    <w:p w:rsidR="000102FE" w:rsidRPr="00B71A66" w:rsidRDefault="000102FE" w:rsidP="000102FE">
      <w:pPr>
        <w:autoSpaceDE w:val="0"/>
        <w:autoSpaceDN w:val="0"/>
        <w:adjustRightInd w:val="0"/>
      </w:pPr>
      <w:r w:rsidRPr="00B71A66">
        <w:t xml:space="preserve">The </w:t>
      </w:r>
      <w:r>
        <w:rPr>
          <w:rFonts w:eastAsia="SimSun"/>
        </w:rPr>
        <w:t xml:space="preserve">Maximum SC Tx </w:t>
      </w:r>
      <w:r w:rsidRPr="00BC4949">
        <w:rPr>
          <w:rFonts w:eastAsia="SimSun"/>
        </w:rPr>
        <w:t>MCS</w:t>
      </w:r>
      <w:r w:rsidRPr="00B71A66">
        <w:t xml:space="preserve"> subfield </w:t>
      </w:r>
      <w:r>
        <w:t>contains</w:t>
      </w:r>
      <w:r w:rsidRPr="00B71A66">
        <w:t xml:space="preserve"> </w:t>
      </w:r>
      <w:r>
        <w:t xml:space="preserve">the value of the maximum MCS index the STA supports for transmission of single-carrier frames. The value of this subfield is at least equal to 4. Other possible values for this subfield are shown in </w:t>
      </w:r>
      <w:r w:rsidR="00BD151C">
        <w:fldChar w:fldCharType="begin"/>
      </w:r>
      <w:r w:rsidR="00013FD2">
        <w:instrText xml:space="preserve"> REF _Ref236711090 \h </w:instrText>
      </w:r>
      <w:r w:rsidR="00BD151C">
        <w:fldChar w:fldCharType="separate"/>
      </w:r>
      <w:r w:rsidR="003E4210" w:rsidRPr="00066F65">
        <w:t xml:space="preserve">Table </w:t>
      </w:r>
      <w:r w:rsidR="003E4210">
        <w:rPr>
          <w:noProof/>
        </w:rPr>
        <w:t>79</w:t>
      </w:r>
      <w:r w:rsidR="00BD151C">
        <w:fldChar w:fldCharType="end"/>
      </w:r>
      <w:r>
        <w:t>.</w:t>
      </w:r>
    </w:p>
    <w:p w:rsidR="000102FE" w:rsidRDefault="000102FE" w:rsidP="000102FE">
      <w:pPr>
        <w:autoSpaceDE w:val="0"/>
        <w:autoSpaceDN w:val="0"/>
        <w:adjustRightInd w:val="0"/>
      </w:pPr>
    </w:p>
    <w:p w:rsidR="003E4724" w:rsidRDefault="000102FE">
      <w:pPr>
        <w:autoSpaceDE w:val="0"/>
        <w:autoSpaceDN w:val="0"/>
        <w:adjustRightInd w:val="0"/>
      </w:pPr>
      <w:r w:rsidRPr="00B71A66">
        <w:t xml:space="preserve">The </w:t>
      </w:r>
      <w:r>
        <w:rPr>
          <w:rFonts w:eastAsia="SimSun"/>
        </w:rPr>
        <w:t xml:space="preserve">Maximum OFDM Tx </w:t>
      </w:r>
      <w:r w:rsidRPr="00BC4949">
        <w:rPr>
          <w:rFonts w:eastAsia="SimSun"/>
        </w:rPr>
        <w:t>MCS</w:t>
      </w:r>
      <w:r w:rsidRPr="00B71A66">
        <w:t xml:space="preserve"> subfield </w:t>
      </w:r>
      <w:r>
        <w:t>contains</w:t>
      </w:r>
      <w:r w:rsidRPr="00B71A66">
        <w:t xml:space="preserve"> </w:t>
      </w:r>
      <w:r>
        <w:t xml:space="preserve">the value of the maximum MCS index the STA supports for transmission of OFDM frames. </w:t>
      </w:r>
      <w:r w:rsidR="0096195C" w:rsidRPr="0096195C">
        <w:t xml:space="preserve">If this field is set to zero, it indicates that the STA does not support transmission of OFDM frames. Otherwise, the value of this field is at least equal to </w:t>
      </w:r>
      <w:r w:rsidR="00A32B42" w:rsidRPr="0096195C">
        <w:t>1</w:t>
      </w:r>
      <w:r w:rsidR="00A32B42">
        <w:t>7</w:t>
      </w:r>
      <w:r w:rsidR="00A32B42" w:rsidRPr="0096195C">
        <w:t xml:space="preserve"> </w:t>
      </w:r>
      <w:r w:rsidR="0096195C" w:rsidRPr="0096195C">
        <w:t xml:space="preserve">as described in </w:t>
      </w:r>
      <w:r w:rsidR="00BD151C">
        <w:fldChar w:fldCharType="begin"/>
      </w:r>
      <w:r w:rsidR="0096195C">
        <w:instrText xml:space="preserve"> REF _Ref253498078 \r \h </w:instrText>
      </w:r>
      <w:r w:rsidR="00BD151C">
        <w:fldChar w:fldCharType="separate"/>
      </w:r>
      <w:r w:rsidR="003E4210">
        <w:t>21.5.3.1.1</w:t>
      </w:r>
      <w:r w:rsidR="00BD151C">
        <w:fldChar w:fldCharType="end"/>
      </w:r>
      <w:r w:rsidR="0096195C" w:rsidRPr="0096195C">
        <w:t>.</w:t>
      </w:r>
    </w:p>
    <w:p w:rsidR="000102FE" w:rsidRDefault="000102FE" w:rsidP="000102FE">
      <w:pPr>
        <w:autoSpaceDE w:val="0"/>
        <w:autoSpaceDN w:val="0"/>
        <w:adjustRightInd w:val="0"/>
      </w:pPr>
    </w:p>
    <w:p w:rsidR="00925031" w:rsidRPr="00B71A66" w:rsidRDefault="00925031" w:rsidP="00925031">
      <w:pPr>
        <w:autoSpaceDE w:val="0"/>
        <w:autoSpaceDN w:val="0"/>
        <w:adjustRightInd w:val="0"/>
      </w:pPr>
      <w:r>
        <w:t xml:space="preserve">The Low Power SC PHY Supported </w:t>
      </w:r>
      <w:r w:rsidR="00085AF8">
        <w:t>sub</w:t>
      </w:r>
      <w:r>
        <w:t>field is set to one to indicate that the STA supports the mmWave low power SC PHY mode (</w:t>
      </w:r>
      <w:r w:rsidR="00BD151C">
        <w:fldChar w:fldCharType="begin"/>
      </w:r>
      <w:r>
        <w:instrText xml:space="preserve"> REF _Ref251907457 \r \h </w:instrText>
      </w:r>
      <w:r w:rsidR="00BD151C">
        <w:fldChar w:fldCharType="separate"/>
      </w:r>
      <w:r w:rsidR="003E4210">
        <w:t>21.7</w:t>
      </w:r>
      <w:r w:rsidR="00BD151C">
        <w:fldChar w:fldCharType="end"/>
      </w:r>
      <w:r w:rsidR="00085AF8">
        <w:t>).</w:t>
      </w:r>
      <w:r>
        <w:t xml:space="preserve"> Otherwise it is set to zero. </w:t>
      </w:r>
      <w:r>
        <w:rPr>
          <w:rFonts w:hint="eastAsia"/>
          <w:lang w:eastAsia="ko-KR"/>
        </w:rPr>
        <w:t xml:space="preserve">If the STA </w:t>
      </w:r>
      <w:r w:rsidR="00166456">
        <w:rPr>
          <w:lang w:eastAsia="ko-KR"/>
        </w:rPr>
        <w:t>supports the low power SC</w:t>
      </w:r>
      <w:r>
        <w:rPr>
          <w:rFonts w:hint="eastAsia"/>
          <w:lang w:eastAsia="ko-KR"/>
        </w:rPr>
        <w:t xml:space="preserve"> PHY, it support</w:t>
      </w:r>
      <w:r w:rsidR="00085AF8">
        <w:rPr>
          <w:lang w:eastAsia="ko-KR"/>
        </w:rPr>
        <w:t>s</w:t>
      </w:r>
      <w:r w:rsidR="00085AF8">
        <w:rPr>
          <w:rFonts w:hint="eastAsia"/>
          <w:lang w:eastAsia="ko-KR"/>
        </w:rPr>
        <w:t xml:space="preserve"> all low power SC PHY MCS</w:t>
      </w:r>
      <w:r w:rsidR="00085AF8">
        <w:rPr>
          <w:lang w:eastAsia="ko-KR"/>
        </w:rPr>
        <w:t xml:space="preserve">s indicated in </w:t>
      </w:r>
      <w:r w:rsidR="00BD151C">
        <w:rPr>
          <w:lang w:eastAsia="ko-KR"/>
        </w:rPr>
        <w:fldChar w:fldCharType="begin"/>
      </w:r>
      <w:r w:rsidR="00085AF8">
        <w:rPr>
          <w:lang w:eastAsia="ko-KR"/>
        </w:rPr>
        <w:instrText xml:space="preserve"> REF _Ref251907067 \h </w:instrText>
      </w:r>
      <w:r w:rsidR="00BD151C">
        <w:rPr>
          <w:lang w:eastAsia="ko-KR"/>
        </w:rPr>
      </w:r>
      <w:r w:rsidR="00BD151C">
        <w:rPr>
          <w:lang w:eastAsia="ko-KR"/>
        </w:rPr>
        <w:fldChar w:fldCharType="separate"/>
      </w:r>
      <w:r w:rsidR="003E4210">
        <w:t xml:space="preserve">Table </w:t>
      </w:r>
      <w:r w:rsidR="003E4210">
        <w:rPr>
          <w:noProof/>
        </w:rPr>
        <w:t>82</w:t>
      </w:r>
      <w:r w:rsidR="00BD151C">
        <w:rPr>
          <w:lang w:eastAsia="ko-KR"/>
        </w:rPr>
        <w:fldChar w:fldCharType="end"/>
      </w:r>
      <w:r>
        <w:rPr>
          <w:rFonts w:hint="eastAsia"/>
          <w:lang w:eastAsia="ko-KR"/>
        </w:rPr>
        <w:t>.</w:t>
      </w:r>
    </w:p>
    <w:p w:rsidR="00925031" w:rsidRPr="00B71A66" w:rsidRDefault="00BE5866" w:rsidP="000102FE">
      <w:pPr>
        <w:autoSpaceDE w:val="0"/>
        <w:autoSpaceDN w:val="0"/>
        <w:adjustRightInd w:val="0"/>
      </w:pPr>
      <w:r>
        <w:t xml:space="preserve"> </w:t>
      </w:r>
    </w:p>
    <w:p w:rsidR="000102FE" w:rsidRDefault="000102FE" w:rsidP="000102FE">
      <w:pPr>
        <w:autoSpaceDE w:val="0"/>
        <w:autoSpaceDN w:val="0"/>
        <w:adjustRightInd w:val="0"/>
      </w:pPr>
      <w:r w:rsidRPr="00B71A66">
        <w:t xml:space="preserve">The </w:t>
      </w:r>
      <w:r>
        <w:rPr>
          <w:rFonts w:eastAsia="SimSun"/>
        </w:rPr>
        <w:t xml:space="preserve">Code Rate 13/16 </w:t>
      </w:r>
      <w:r w:rsidRPr="00B71A66">
        <w:t xml:space="preserve">subfield </w:t>
      </w:r>
      <w:r>
        <w:t>specifies whether the STA supports rate 13/16. It is set to one to indicate that the STA supports rate 13/16 and is set to zero otherwise.</w:t>
      </w:r>
      <w:r w:rsidR="00085AF8">
        <w:t xml:space="preserve"> </w:t>
      </w:r>
      <w:r w:rsidR="00085AF8">
        <w:rPr>
          <w:rFonts w:hint="eastAsia"/>
          <w:lang w:eastAsia="ko-KR"/>
        </w:rPr>
        <w:t xml:space="preserve">If this field is zero, MCS sets with 13/16 code rate </w:t>
      </w:r>
      <w:r w:rsidR="0077650E">
        <w:rPr>
          <w:lang w:eastAsia="ko-KR"/>
        </w:rPr>
        <w:t>specified in</w:t>
      </w:r>
      <w:r w:rsidR="00085AF8">
        <w:rPr>
          <w:lang w:eastAsia="ko-KR"/>
        </w:rPr>
        <w:t xml:space="preserve"> </w:t>
      </w:r>
      <w:r w:rsidR="00BD151C">
        <w:rPr>
          <w:lang w:eastAsia="ko-KR"/>
        </w:rPr>
        <w:fldChar w:fldCharType="begin"/>
      </w:r>
      <w:r w:rsidR="0077650E">
        <w:rPr>
          <w:lang w:eastAsia="ko-KR"/>
        </w:rPr>
        <w:instrText xml:space="preserve"> REF _Ref207354664 \h </w:instrText>
      </w:r>
      <w:r w:rsidR="00BD151C">
        <w:rPr>
          <w:lang w:eastAsia="ko-KR"/>
        </w:rPr>
      </w:r>
      <w:r w:rsidR="00BD151C">
        <w:rPr>
          <w:lang w:eastAsia="ko-KR"/>
        </w:rPr>
        <w:fldChar w:fldCharType="separate"/>
      </w:r>
      <w:r w:rsidR="003E4210" w:rsidRPr="00066F65">
        <w:t xml:space="preserve">Table </w:t>
      </w:r>
      <w:r w:rsidR="003E4210">
        <w:rPr>
          <w:noProof/>
        </w:rPr>
        <w:t>76</w:t>
      </w:r>
      <w:r w:rsidR="00BD151C">
        <w:rPr>
          <w:lang w:eastAsia="ko-KR"/>
        </w:rPr>
        <w:fldChar w:fldCharType="end"/>
      </w:r>
      <w:r w:rsidR="0077650E">
        <w:rPr>
          <w:lang w:eastAsia="ko-KR"/>
        </w:rPr>
        <w:t xml:space="preserve"> and </w:t>
      </w:r>
      <w:r w:rsidR="00BD151C">
        <w:fldChar w:fldCharType="begin"/>
      </w:r>
      <w:r w:rsidR="0077650E">
        <w:instrText xml:space="preserve"> REF _Ref236711090 \h </w:instrText>
      </w:r>
      <w:r w:rsidR="00BD151C">
        <w:fldChar w:fldCharType="separate"/>
      </w:r>
      <w:r w:rsidR="003E4210" w:rsidRPr="00066F65">
        <w:t xml:space="preserve">Table </w:t>
      </w:r>
      <w:r w:rsidR="003E4210">
        <w:rPr>
          <w:noProof/>
        </w:rPr>
        <w:t>79</w:t>
      </w:r>
      <w:r w:rsidR="00BD151C">
        <w:fldChar w:fldCharType="end"/>
      </w:r>
      <w:r w:rsidR="00085AF8">
        <w:rPr>
          <w:rFonts w:hint="eastAsia"/>
          <w:lang w:eastAsia="ko-KR"/>
        </w:rPr>
        <w:t xml:space="preserve"> are not supported regardless of the value in Maximum SC/OFDM Tx/Rx MCS </w:t>
      </w:r>
      <w:r w:rsidR="00085AF8">
        <w:rPr>
          <w:lang w:eastAsia="ko-KR"/>
        </w:rPr>
        <w:t>sub</w:t>
      </w:r>
      <w:r w:rsidR="00085AF8">
        <w:rPr>
          <w:rFonts w:hint="eastAsia"/>
          <w:lang w:eastAsia="ko-KR"/>
        </w:rPr>
        <w:t>field</w:t>
      </w:r>
      <w:r w:rsidR="00085AF8">
        <w:rPr>
          <w:lang w:eastAsia="ko-KR"/>
        </w:rPr>
        <w:t>s</w:t>
      </w:r>
      <w:r w:rsidR="00085AF8">
        <w:rPr>
          <w:rFonts w:hint="eastAsia"/>
          <w:lang w:eastAsia="ko-KR"/>
        </w:rPr>
        <w:t>.</w:t>
      </w:r>
    </w:p>
    <w:p w:rsidR="009E006D" w:rsidRDefault="009E006D" w:rsidP="000102FE">
      <w:pPr>
        <w:autoSpaceDE w:val="0"/>
        <w:autoSpaceDN w:val="0"/>
        <w:adjustRightInd w:val="0"/>
      </w:pPr>
    </w:p>
    <w:p w:rsidR="009E006D" w:rsidRDefault="009E006D" w:rsidP="000102FE">
      <w:pPr>
        <w:autoSpaceDE w:val="0"/>
        <w:autoSpaceDN w:val="0"/>
        <w:adjustRightInd w:val="0"/>
      </w:pPr>
      <w:r>
        <w:t xml:space="preserve">The DTP Supported field is set to one to indicate that the STA supports DTP as described in </w:t>
      </w:r>
      <w:r w:rsidR="00BD151C">
        <w:fldChar w:fldCharType="begin"/>
      </w:r>
      <w:r w:rsidR="00D02F36">
        <w:instrText xml:space="preserve"> REF _Ref251766419 \r \h </w:instrText>
      </w:r>
      <w:r w:rsidR="00BD151C">
        <w:fldChar w:fldCharType="separate"/>
      </w:r>
      <w:r w:rsidR="003E4210">
        <w:t>9.28</w:t>
      </w:r>
      <w:r w:rsidR="00BD151C">
        <w:fldChar w:fldCharType="end"/>
      </w:r>
      <w:r w:rsidR="00D02F36">
        <w:t xml:space="preserve"> </w:t>
      </w:r>
      <w:r>
        <w:t xml:space="preserve">and </w:t>
      </w:r>
      <w:r w:rsidR="00BD151C">
        <w:fldChar w:fldCharType="begin"/>
      </w:r>
      <w:r w:rsidR="00D02F36">
        <w:instrText xml:space="preserve"> REF _Ref251766478 \r \h </w:instrText>
      </w:r>
      <w:r w:rsidR="00BD151C">
        <w:fldChar w:fldCharType="separate"/>
      </w:r>
      <w:r w:rsidR="003E4210">
        <w:t>21.5.3.2.3.5.2</w:t>
      </w:r>
      <w:r w:rsidR="00BD151C">
        <w:fldChar w:fldCharType="end"/>
      </w:r>
      <w:r>
        <w:t>.</w:t>
      </w:r>
      <w:r w:rsidR="00D11F2E">
        <w:t xml:space="preserve"> </w:t>
      </w:r>
      <w:r>
        <w:t>Otherwise, it is set to zero.</w:t>
      </w:r>
    </w:p>
    <w:p w:rsidR="009E1D7A" w:rsidRDefault="009E1D7A" w:rsidP="0095695F">
      <w:pPr>
        <w:rPr>
          <w:b/>
        </w:rPr>
      </w:pPr>
    </w:p>
    <w:p w:rsidR="00947949" w:rsidRDefault="00947949" w:rsidP="00947949">
      <w:pPr>
        <w:pStyle w:val="Heading5"/>
      </w:pPr>
      <w:bookmarkStart w:id="561" w:name="_Toc259716928"/>
      <w:r>
        <w:lastRenderedPageBreak/>
        <w:t>7.3.2.91.2 mmWave PCP/AP Capability Information field</w:t>
      </w:r>
      <w:bookmarkEnd w:id="561"/>
    </w:p>
    <w:p w:rsidR="00947949" w:rsidRDefault="00947949" w:rsidP="0095695F">
      <w:pPr>
        <w:rPr>
          <w:b/>
        </w:rPr>
      </w:pPr>
    </w:p>
    <w:p w:rsidR="00CF0C31" w:rsidRDefault="00CF0C31" w:rsidP="0095695F">
      <w:r w:rsidRPr="009448FC">
        <w:t xml:space="preserve">The mmWave PCP/AP Capability field, illustrated in </w:t>
      </w:r>
      <w:r w:rsidR="00BD151C" w:rsidRPr="009448FC">
        <w:fldChar w:fldCharType="begin"/>
      </w:r>
      <w:r w:rsidRPr="009448FC">
        <w:instrText xml:space="preserve"> REF _Ref236543682 \h </w:instrText>
      </w:r>
      <w:r w:rsidR="00BD151C" w:rsidRPr="009448FC">
        <w:fldChar w:fldCharType="separate"/>
      </w:r>
      <w:r w:rsidR="003E4210" w:rsidRPr="00066F65">
        <w:t xml:space="preserve">Figure </w:t>
      </w:r>
      <w:r w:rsidR="003E4210">
        <w:rPr>
          <w:noProof/>
        </w:rPr>
        <w:t>33</w:t>
      </w:r>
      <w:r w:rsidR="00BD151C" w:rsidRPr="009448FC">
        <w:fldChar w:fldCharType="end"/>
      </w:r>
      <w:r w:rsidRPr="009448FC">
        <w:t xml:space="preserve">, represents the </w:t>
      </w:r>
      <w:r w:rsidR="00A40BBC">
        <w:t xml:space="preserve">capabilities when the </w:t>
      </w:r>
      <w:r w:rsidRPr="009448FC">
        <w:t>transmitting STA performs in the role of PCP/AP</w:t>
      </w:r>
      <w:r w:rsidRPr="00947949">
        <w:t xml:space="preserve"> </w:t>
      </w:r>
      <w:r w:rsidRPr="009448FC">
        <w:t>and that are in addition to the capabilities in the mmWave STA Capability Information field.</w:t>
      </w:r>
    </w:p>
    <w:p w:rsidR="00CF0C31" w:rsidRPr="009448FC" w:rsidRDefault="00CF0C31" w:rsidP="0095695F">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1127"/>
        <w:gridCol w:w="1412"/>
        <w:gridCol w:w="1307"/>
        <w:gridCol w:w="1803"/>
        <w:gridCol w:w="1256"/>
        <w:gridCol w:w="1307"/>
        <w:gridCol w:w="1254"/>
      </w:tblGrid>
      <w:tr w:rsidR="008B7344" w:rsidRPr="00066F65" w:rsidTr="008B7344">
        <w:trPr>
          <w:cantSplit/>
          <w:jc w:val="center"/>
        </w:trPr>
        <w:tc>
          <w:tcPr>
            <w:tcW w:w="321" w:type="pct"/>
          </w:tcPr>
          <w:p w:rsidR="008B7344" w:rsidRPr="009448FC" w:rsidRDefault="008B7344" w:rsidP="00D0037C">
            <w:pPr>
              <w:jc w:val="both"/>
              <w:rPr>
                <w:rFonts w:eastAsia="SimSun"/>
              </w:rPr>
            </w:pPr>
          </w:p>
        </w:tc>
        <w:tc>
          <w:tcPr>
            <w:tcW w:w="557" w:type="pct"/>
          </w:tcPr>
          <w:p w:rsidR="008B7344" w:rsidRPr="009448FC" w:rsidRDefault="008B7344" w:rsidP="00D0037C">
            <w:pPr>
              <w:jc w:val="both"/>
              <w:rPr>
                <w:rFonts w:eastAsia="SimSun"/>
              </w:rPr>
            </w:pPr>
            <w:r w:rsidRPr="009448FC">
              <w:rPr>
                <w:rFonts w:eastAsia="SimSun"/>
              </w:rPr>
              <w:t>TDDTT</w:t>
            </w:r>
          </w:p>
        </w:tc>
        <w:tc>
          <w:tcPr>
            <w:tcW w:w="698" w:type="pct"/>
          </w:tcPr>
          <w:p w:rsidR="008B7344" w:rsidRPr="009448FC" w:rsidRDefault="008B7344" w:rsidP="00D0037C">
            <w:pPr>
              <w:jc w:val="both"/>
              <w:rPr>
                <w:rFonts w:eastAsia="SimSun"/>
              </w:rPr>
            </w:pPr>
            <w:r w:rsidRPr="009448FC">
              <w:rPr>
                <w:rFonts w:eastAsia="SimSun"/>
              </w:rPr>
              <w:t>Pseudo-static allocations</w:t>
            </w:r>
          </w:p>
        </w:tc>
        <w:tc>
          <w:tcPr>
            <w:tcW w:w="646" w:type="pct"/>
          </w:tcPr>
          <w:p w:rsidR="008B7344" w:rsidRPr="009448FC" w:rsidRDefault="008B7344" w:rsidP="00D0037C">
            <w:pPr>
              <w:jc w:val="both"/>
              <w:rPr>
                <w:rFonts w:eastAsia="SimSun"/>
              </w:rPr>
            </w:pPr>
            <w:r w:rsidRPr="009448FC">
              <w:rPr>
                <w:rFonts w:eastAsia="SimSun"/>
              </w:rPr>
              <w:t>PCP Handover</w:t>
            </w:r>
          </w:p>
        </w:tc>
        <w:tc>
          <w:tcPr>
            <w:tcW w:w="891" w:type="pct"/>
          </w:tcPr>
          <w:p w:rsidR="008B7344" w:rsidRPr="009448FC" w:rsidRDefault="008B7344" w:rsidP="00D0037C">
            <w:pPr>
              <w:jc w:val="both"/>
              <w:rPr>
                <w:rFonts w:eastAsia="SimSun"/>
              </w:rPr>
            </w:pPr>
            <w:r w:rsidRPr="009448FC">
              <w:rPr>
                <w:rFonts w:eastAsia="SimSun"/>
              </w:rPr>
              <w:t>MAX Associated STA Number</w:t>
            </w:r>
          </w:p>
        </w:tc>
        <w:tc>
          <w:tcPr>
            <w:tcW w:w="621" w:type="pct"/>
          </w:tcPr>
          <w:p w:rsidR="008B7344" w:rsidRPr="009448FC" w:rsidRDefault="008B7344" w:rsidP="00D0037C">
            <w:pPr>
              <w:jc w:val="both"/>
              <w:rPr>
                <w:rFonts w:eastAsia="SimSun"/>
              </w:rPr>
            </w:pPr>
            <w:r>
              <w:rPr>
                <w:rFonts w:eastAsia="SimSun"/>
              </w:rPr>
              <w:t>Power source</w:t>
            </w:r>
          </w:p>
        </w:tc>
        <w:tc>
          <w:tcPr>
            <w:tcW w:w="646" w:type="pct"/>
          </w:tcPr>
          <w:p w:rsidR="008B7344" w:rsidRPr="009448FC" w:rsidRDefault="008B7344" w:rsidP="00D0037C">
            <w:pPr>
              <w:jc w:val="both"/>
              <w:rPr>
                <w:rFonts w:eastAsia="SimSun"/>
              </w:rPr>
            </w:pPr>
            <w:r>
              <w:rPr>
                <w:rFonts w:eastAsia="SimSun"/>
              </w:rPr>
              <w:t>PCP/AP clustering</w:t>
            </w:r>
          </w:p>
        </w:tc>
        <w:tc>
          <w:tcPr>
            <w:tcW w:w="620" w:type="pct"/>
          </w:tcPr>
          <w:p w:rsidR="008B7344" w:rsidRPr="009448FC" w:rsidRDefault="008B7344" w:rsidP="00D0037C">
            <w:pPr>
              <w:jc w:val="both"/>
              <w:rPr>
                <w:rFonts w:eastAsia="SimSun"/>
              </w:rPr>
            </w:pPr>
            <w:r w:rsidRPr="009448FC">
              <w:rPr>
                <w:rFonts w:eastAsia="SimSun"/>
              </w:rPr>
              <w:t>Reserved</w:t>
            </w:r>
          </w:p>
        </w:tc>
      </w:tr>
      <w:tr w:rsidR="008B7344" w:rsidRPr="00066F65" w:rsidTr="008B7344">
        <w:trPr>
          <w:jc w:val="center"/>
        </w:trPr>
        <w:tc>
          <w:tcPr>
            <w:tcW w:w="321" w:type="pct"/>
          </w:tcPr>
          <w:p w:rsidR="008B7344" w:rsidRPr="009448FC" w:rsidRDefault="008B7344" w:rsidP="00D0037C">
            <w:pPr>
              <w:adjustRightInd w:val="0"/>
              <w:snapToGrid w:val="0"/>
              <w:jc w:val="center"/>
              <w:rPr>
                <w:rFonts w:eastAsia="SimSun"/>
              </w:rPr>
            </w:pPr>
            <w:r w:rsidRPr="009448FC">
              <w:rPr>
                <w:rFonts w:eastAsia="SimSun"/>
              </w:rPr>
              <w:t>Bit:</w:t>
            </w:r>
          </w:p>
        </w:tc>
        <w:tc>
          <w:tcPr>
            <w:tcW w:w="557" w:type="pct"/>
          </w:tcPr>
          <w:p w:rsidR="008B7344" w:rsidRPr="009448FC" w:rsidRDefault="008B7344" w:rsidP="00D0037C">
            <w:pPr>
              <w:adjustRightInd w:val="0"/>
              <w:snapToGrid w:val="0"/>
              <w:jc w:val="center"/>
              <w:rPr>
                <w:rFonts w:eastAsia="SimSun"/>
              </w:rPr>
            </w:pPr>
            <w:r w:rsidRPr="009448FC">
              <w:rPr>
                <w:rFonts w:eastAsia="SimSun"/>
              </w:rPr>
              <w:t>B0</w:t>
            </w:r>
          </w:p>
        </w:tc>
        <w:tc>
          <w:tcPr>
            <w:tcW w:w="698" w:type="pct"/>
          </w:tcPr>
          <w:p w:rsidR="008B7344" w:rsidRPr="009448FC" w:rsidRDefault="008B7344" w:rsidP="00D0037C">
            <w:pPr>
              <w:adjustRightInd w:val="0"/>
              <w:snapToGrid w:val="0"/>
              <w:jc w:val="center"/>
              <w:rPr>
                <w:rFonts w:eastAsia="SimSun"/>
              </w:rPr>
            </w:pPr>
            <w:r w:rsidRPr="009448FC">
              <w:rPr>
                <w:rFonts w:eastAsia="SimSun"/>
              </w:rPr>
              <w:t>B1</w:t>
            </w:r>
          </w:p>
        </w:tc>
        <w:tc>
          <w:tcPr>
            <w:tcW w:w="646" w:type="pct"/>
          </w:tcPr>
          <w:p w:rsidR="008B7344" w:rsidRPr="009448FC" w:rsidRDefault="008B7344" w:rsidP="00D0037C">
            <w:pPr>
              <w:adjustRightInd w:val="0"/>
              <w:snapToGrid w:val="0"/>
              <w:jc w:val="center"/>
              <w:rPr>
                <w:rFonts w:eastAsia="SimSun"/>
              </w:rPr>
            </w:pPr>
            <w:r w:rsidRPr="009448FC">
              <w:rPr>
                <w:rFonts w:eastAsia="SimSun"/>
              </w:rPr>
              <w:t>B2</w:t>
            </w:r>
          </w:p>
        </w:tc>
        <w:tc>
          <w:tcPr>
            <w:tcW w:w="891" w:type="pct"/>
          </w:tcPr>
          <w:p w:rsidR="008B7344" w:rsidRPr="009448FC" w:rsidDel="00274150" w:rsidRDefault="008B7344" w:rsidP="00D0037C">
            <w:pPr>
              <w:adjustRightInd w:val="0"/>
              <w:snapToGrid w:val="0"/>
              <w:jc w:val="center"/>
              <w:rPr>
                <w:rFonts w:eastAsia="SimSun"/>
              </w:rPr>
            </w:pPr>
            <w:r w:rsidRPr="009448FC">
              <w:rPr>
                <w:rFonts w:eastAsia="SimSun"/>
              </w:rPr>
              <w:t>B3-B10</w:t>
            </w:r>
          </w:p>
        </w:tc>
        <w:tc>
          <w:tcPr>
            <w:tcW w:w="621" w:type="pct"/>
          </w:tcPr>
          <w:p w:rsidR="008B7344" w:rsidRPr="009448FC" w:rsidRDefault="008B7344" w:rsidP="00EF2EC5">
            <w:pPr>
              <w:adjustRightInd w:val="0"/>
              <w:snapToGrid w:val="0"/>
              <w:jc w:val="center"/>
              <w:rPr>
                <w:rFonts w:eastAsia="SimSun"/>
              </w:rPr>
            </w:pPr>
            <w:r>
              <w:rPr>
                <w:rFonts w:eastAsia="SimSun"/>
              </w:rPr>
              <w:t>B11</w:t>
            </w:r>
          </w:p>
        </w:tc>
        <w:tc>
          <w:tcPr>
            <w:tcW w:w="646" w:type="pct"/>
          </w:tcPr>
          <w:p w:rsidR="008B7344" w:rsidRPr="009448FC" w:rsidRDefault="008B7344" w:rsidP="00EF2EC5">
            <w:pPr>
              <w:adjustRightInd w:val="0"/>
              <w:snapToGrid w:val="0"/>
              <w:jc w:val="center"/>
              <w:rPr>
                <w:rFonts w:eastAsia="SimSun"/>
              </w:rPr>
            </w:pPr>
            <w:r>
              <w:rPr>
                <w:rFonts w:eastAsia="SimSun"/>
              </w:rPr>
              <w:t>B12</w:t>
            </w:r>
          </w:p>
        </w:tc>
        <w:tc>
          <w:tcPr>
            <w:tcW w:w="620" w:type="pct"/>
          </w:tcPr>
          <w:p w:rsidR="008C32FB" w:rsidRDefault="008B7344">
            <w:pPr>
              <w:adjustRightInd w:val="0"/>
              <w:snapToGrid w:val="0"/>
              <w:jc w:val="center"/>
              <w:rPr>
                <w:rFonts w:eastAsia="SimSun"/>
              </w:rPr>
            </w:pPr>
            <w:r w:rsidRPr="009448FC">
              <w:rPr>
                <w:rFonts w:eastAsia="SimSun"/>
              </w:rPr>
              <w:t>B1</w:t>
            </w:r>
            <w:r>
              <w:rPr>
                <w:rFonts w:eastAsia="SimSun"/>
              </w:rPr>
              <w:t>3</w:t>
            </w:r>
            <w:r w:rsidRPr="009448FC">
              <w:rPr>
                <w:rFonts w:eastAsia="SimSun"/>
              </w:rPr>
              <w:t xml:space="preserve">-B15 </w:t>
            </w:r>
          </w:p>
        </w:tc>
      </w:tr>
    </w:tbl>
    <w:p w:rsidR="0095695F" w:rsidRPr="00066F65" w:rsidRDefault="00E41170" w:rsidP="00BA5BC4">
      <w:pPr>
        <w:pStyle w:val="Caption"/>
      </w:pPr>
      <w:bookmarkStart w:id="562" w:name="_Ref236543682"/>
      <w:bookmarkStart w:id="563" w:name="_Toc259717465"/>
      <w:r w:rsidRPr="00066F65">
        <w:t xml:space="preserve">Figure </w:t>
      </w:r>
      <w:r w:rsidR="00BD151C">
        <w:fldChar w:fldCharType="begin"/>
      </w:r>
      <w:r w:rsidR="00801316">
        <w:instrText xml:space="preserve"> SEQ Figure \* ARABIC </w:instrText>
      </w:r>
      <w:r w:rsidR="00BD151C">
        <w:fldChar w:fldCharType="separate"/>
      </w:r>
      <w:r w:rsidR="003E4210">
        <w:rPr>
          <w:noProof/>
        </w:rPr>
        <w:t>33</w:t>
      </w:r>
      <w:r w:rsidR="00BD151C">
        <w:fldChar w:fldCharType="end"/>
      </w:r>
      <w:bookmarkEnd w:id="562"/>
      <w:r w:rsidR="000E3DB7" w:rsidRPr="00066F65">
        <w:t xml:space="preserve"> </w:t>
      </w:r>
      <w:r w:rsidR="0095695F" w:rsidRPr="00066F65">
        <w:t>– mmWave PCP</w:t>
      </w:r>
      <w:r w:rsidR="00DD2B9B" w:rsidRPr="00066F65">
        <w:t>/AP</w:t>
      </w:r>
      <w:r w:rsidR="0095695F" w:rsidRPr="00066F65">
        <w:t xml:space="preserve"> Capability Information</w:t>
      </w:r>
      <w:bookmarkEnd w:id="563"/>
    </w:p>
    <w:p w:rsidR="0095695F" w:rsidRPr="009448FC" w:rsidRDefault="0095695F" w:rsidP="0095695F">
      <w:pPr>
        <w:autoSpaceDE w:val="0"/>
        <w:autoSpaceDN w:val="0"/>
        <w:adjustRightInd w:val="0"/>
        <w:jc w:val="both"/>
      </w:pPr>
    </w:p>
    <w:p w:rsidR="0095695F" w:rsidRPr="009448FC" w:rsidRDefault="00602D1C" w:rsidP="00DF5197">
      <w:pPr>
        <w:autoSpaceDE w:val="0"/>
        <w:autoSpaceDN w:val="0"/>
        <w:adjustRightInd w:val="0"/>
      </w:pPr>
      <w:r w:rsidRPr="009448FC">
        <w:t xml:space="preserve">The </w:t>
      </w:r>
      <w:r w:rsidR="0095695F" w:rsidRPr="009448FC">
        <w:t xml:space="preserve">TDDTT field </w:t>
      </w:r>
      <w:r w:rsidR="00764C2F" w:rsidRPr="009448FC">
        <w:t>is</w:t>
      </w:r>
      <w:r w:rsidR="0095695F" w:rsidRPr="009448FC">
        <w:t xml:space="preserve"> set to 1 if</w:t>
      </w:r>
      <w:r w:rsidR="00764C2F" w:rsidRPr="009448FC">
        <w:t xml:space="preserve"> the STA</w:t>
      </w:r>
      <w:r w:rsidR="0095695F" w:rsidRPr="009448FC">
        <w:t>, while operating as a PCP</w:t>
      </w:r>
      <w:r w:rsidR="00DD2B9B" w:rsidRPr="009448FC">
        <w:t>/AP</w:t>
      </w:r>
      <w:r w:rsidR="0095695F" w:rsidRPr="009448FC">
        <w:t xml:space="preserve">, is capable of providing TDMA access as defined in </w:t>
      </w:r>
      <w:r w:rsidR="00BD151C" w:rsidRPr="009448FC">
        <w:fldChar w:fldCharType="begin"/>
      </w:r>
      <w:r w:rsidR="00E30175" w:rsidRPr="009448FC">
        <w:instrText xml:space="preserve"> REF _Ref236724075 \r \h </w:instrText>
      </w:r>
      <w:r w:rsidR="00BD151C" w:rsidRPr="009448FC">
        <w:fldChar w:fldCharType="separate"/>
      </w:r>
      <w:r w:rsidR="003E4210">
        <w:t>9.23.6</w:t>
      </w:r>
      <w:r w:rsidR="00BD151C" w:rsidRPr="009448FC">
        <w:fldChar w:fldCharType="end"/>
      </w:r>
      <w:r w:rsidR="00DF5197">
        <w:t xml:space="preserve"> </w:t>
      </w:r>
      <w:r w:rsidR="0095695F" w:rsidRPr="009448FC">
        <w:t xml:space="preserve">and </w:t>
      </w:r>
      <w:r w:rsidR="00BD151C" w:rsidRPr="009448FC">
        <w:fldChar w:fldCharType="begin"/>
      </w:r>
      <w:r w:rsidR="007A4BB6" w:rsidRPr="009448FC">
        <w:instrText xml:space="preserve"> REF _Ref243799199 \r \h </w:instrText>
      </w:r>
      <w:r w:rsidR="00BD151C" w:rsidRPr="009448FC">
        <w:fldChar w:fldCharType="separate"/>
      </w:r>
      <w:r w:rsidR="003E4210">
        <w:t>11.4</w:t>
      </w:r>
      <w:r w:rsidR="00BD151C" w:rsidRPr="009448FC">
        <w:fldChar w:fldCharType="end"/>
      </w:r>
      <w:r w:rsidR="001006CD" w:rsidRPr="009448FC">
        <w:t xml:space="preserve"> </w:t>
      </w:r>
      <w:r w:rsidR="0095695F" w:rsidRPr="009448FC">
        <w:t xml:space="preserve">and </w:t>
      </w:r>
      <w:r w:rsidR="0073283A" w:rsidRPr="009448FC">
        <w:t xml:space="preserve">is </w:t>
      </w:r>
      <w:r w:rsidR="0095695F" w:rsidRPr="009448FC">
        <w:t>set to 0 otherwise.</w:t>
      </w:r>
    </w:p>
    <w:p w:rsidR="0095695F" w:rsidRPr="009448FC" w:rsidRDefault="0095695F" w:rsidP="0095695F">
      <w:pPr>
        <w:autoSpaceDE w:val="0"/>
        <w:autoSpaceDN w:val="0"/>
        <w:adjustRightInd w:val="0"/>
        <w:jc w:val="both"/>
      </w:pPr>
    </w:p>
    <w:p w:rsidR="0095695F" w:rsidRPr="009448FC" w:rsidRDefault="00602D1C" w:rsidP="009F091F">
      <w:pPr>
        <w:autoSpaceDE w:val="0"/>
        <w:autoSpaceDN w:val="0"/>
        <w:adjustRightInd w:val="0"/>
      </w:pPr>
      <w:r w:rsidRPr="009448FC">
        <w:t xml:space="preserve">The </w:t>
      </w:r>
      <w:r w:rsidR="0095695F" w:rsidRPr="009448FC">
        <w:t xml:space="preserve">Pseudo-static allocations field </w:t>
      </w:r>
      <w:r w:rsidR="00764C2F" w:rsidRPr="009448FC">
        <w:t>is</w:t>
      </w:r>
      <w:r w:rsidR="0095695F" w:rsidRPr="009448FC">
        <w:t xml:space="preserve"> set to 1 if</w:t>
      </w:r>
      <w:r w:rsidR="00764C2F" w:rsidRPr="009448FC">
        <w:t xml:space="preserve"> the STA</w:t>
      </w:r>
      <w:r w:rsidR="0095695F" w:rsidRPr="009448FC">
        <w:t>, while operating as a PCP</w:t>
      </w:r>
      <w:r w:rsidR="00DD2B9B" w:rsidRPr="009448FC">
        <w:t>/AP</w:t>
      </w:r>
      <w:r w:rsidR="0095695F" w:rsidRPr="009448FC">
        <w:t xml:space="preserve">, is capable of providing </w:t>
      </w:r>
      <w:r w:rsidR="003E2CE9">
        <w:t>p</w:t>
      </w:r>
      <w:r w:rsidR="0095695F" w:rsidRPr="009448FC">
        <w:t xml:space="preserve">seudo-static allocations as defined </w:t>
      </w:r>
      <w:r w:rsidR="009F091F" w:rsidRPr="009448FC">
        <w:t xml:space="preserve">in </w:t>
      </w:r>
      <w:r w:rsidR="00BD151C">
        <w:fldChar w:fldCharType="begin"/>
      </w:r>
      <w:r w:rsidR="003E2CE9">
        <w:instrText xml:space="preserve"> REF _Ref244252374 \h </w:instrText>
      </w:r>
      <w:r w:rsidR="00BD151C">
        <w:fldChar w:fldCharType="separate"/>
      </w:r>
      <w:r w:rsidR="003E4210">
        <w:t xml:space="preserve">9.23.6.3 </w:t>
      </w:r>
      <w:r w:rsidR="003E4210" w:rsidRPr="009448FC">
        <w:t>Pseudo-static allocations</w:t>
      </w:r>
      <w:r w:rsidR="00BD151C">
        <w:fldChar w:fldCharType="end"/>
      </w:r>
      <w:r w:rsidR="009F091F" w:rsidRPr="009448FC">
        <w:t xml:space="preserve"> </w:t>
      </w:r>
      <w:r w:rsidR="0095695F" w:rsidRPr="009448FC">
        <w:t xml:space="preserve">and </w:t>
      </w:r>
      <w:r w:rsidR="0073283A" w:rsidRPr="009448FC">
        <w:t xml:space="preserve">is </w:t>
      </w:r>
      <w:r w:rsidR="0095695F" w:rsidRPr="009448FC">
        <w:t>set to 0 otherwise. The Pseudo-static allocations field may be set to 1 only if the TDDTT field in the mmWave PCP</w:t>
      </w:r>
      <w:r w:rsidR="00DD2B9B" w:rsidRPr="009448FC">
        <w:t>/AP</w:t>
      </w:r>
      <w:r w:rsidR="0095695F" w:rsidRPr="009448FC">
        <w:t xml:space="preserve"> Capability Information field is set to 1. </w:t>
      </w:r>
    </w:p>
    <w:p w:rsidR="0095695F" w:rsidRPr="009448FC" w:rsidRDefault="0095695F" w:rsidP="0095695F">
      <w:pPr>
        <w:autoSpaceDE w:val="0"/>
        <w:autoSpaceDN w:val="0"/>
        <w:adjustRightInd w:val="0"/>
      </w:pPr>
    </w:p>
    <w:p w:rsidR="0095695F" w:rsidRPr="009448FC" w:rsidRDefault="00602D1C" w:rsidP="0073283A">
      <w:r w:rsidRPr="009448FC">
        <w:t xml:space="preserve">The </w:t>
      </w:r>
      <w:r w:rsidR="0095695F" w:rsidRPr="009448FC">
        <w:t xml:space="preserve">PCP Handover field </w:t>
      </w:r>
      <w:r w:rsidR="00764C2F" w:rsidRPr="009448FC">
        <w:t>is</w:t>
      </w:r>
      <w:r w:rsidR="0095695F" w:rsidRPr="009448FC">
        <w:t xml:space="preserve"> set to 1 if</w:t>
      </w:r>
      <w:r w:rsidR="00764C2F" w:rsidRPr="009448FC">
        <w:t xml:space="preserve"> the STA</w:t>
      </w:r>
      <w:r w:rsidR="0095695F" w:rsidRPr="009448FC">
        <w:t xml:space="preserve">, while operating as a PCP, is capable of performing a PCP Handover as defined in </w:t>
      </w:r>
      <w:r w:rsidR="00BD151C" w:rsidRPr="009448FC">
        <w:fldChar w:fldCharType="begin"/>
      </w:r>
      <w:r w:rsidR="009A7BE1" w:rsidRPr="009448FC">
        <w:instrText xml:space="preserve"> REF _Ref236724457 \r \h </w:instrText>
      </w:r>
      <w:r w:rsidR="00BD151C" w:rsidRPr="009448FC">
        <w:fldChar w:fldCharType="separate"/>
      </w:r>
      <w:r w:rsidR="003E4210">
        <w:t>11.30.2</w:t>
      </w:r>
      <w:r w:rsidR="00BD151C" w:rsidRPr="009448FC">
        <w:fldChar w:fldCharType="end"/>
      </w:r>
      <w:r w:rsidR="00390D55" w:rsidRPr="009448FC">
        <w:t xml:space="preserve"> </w:t>
      </w:r>
      <w:r w:rsidR="0095695F" w:rsidRPr="009448FC">
        <w:t xml:space="preserve">and </w:t>
      </w:r>
      <w:r w:rsidR="0073283A" w:rsidRPr="009448FC">
        <w:t xml:space="preserve">is </w:t>
      </w:r>
      <w:r w:rsidR="0095695F" w:rsidRPr="009448FC">
        <w:t xml:space="preserve">set to 0 if </w:t>
      </w:r>
      <w:r w:rsidR="0073283A" w:rsidRPr="009448FC">
        <w:t xml:space="preserve">the STA </w:t>
      </w:r>
      <w:r w:rsidR="0095695F" w:rsidRPr="009448FC">
        <w:t xml:space="preserve">does not support </w:t>
      </w:r>
      <w:r w:rsidR="0073283A" w:rsidRPr="009448FC">
        <w:t>PCP Handover</w:t>
      </w:r>
      <w:r w:rsidR="0095695F" w:rsidRPr="009448FC">
        <w:t>.</w:t>
      </w:r>
    </w:p>
    <w:p w:rsidR="00096AB5" w:rsidRDefault="00096AB5" w:rsidP="00096AB5">
      <w:pPr>
        <w:autoSpaceDE w:val="0"/>
        <w:autoSpaceDN w:val="0"/>
        <w:adjustRightInd w:val="0"/>
        <w:spacing w:before="240"/>
        <w:jc w:val="both"/>
        <w:rPr>
          <w:rFonts w:eastAsia="SimSun"/>
        </w:rPr>
      </w:pPr>
      <w:r w:rsidRPr="009448FC">
        <w:t xml:space="preserve">The MAX </w:t>
      </w:r>
      <w:r w:rsidRPr="009448FC">
        <w:rPr>
          <w:rFonts w:eastAsia="SimSun"/>
        </w:rPr>
        <w:t>Associated STA Number field indicates the maximum number of STAs that the STA can perform association with if operating as a PCP</w:t>
      </w:r>
      <w:r w:rsidR="00883F89" w:rsidRPr="009448FC">
        <w:rPr>
          <w:rFonts w:eastAsia="SimSun"/>
        </w:rPr>
        <w:t>/AP</w:t>
      </w:r>
      <w:r w:rsidRPr="009448FC">
        <w:rPr>
          <w:rFonts w:eastAsia="SimSun"/>
        </w:rPr>
        <w:t xml:space="preserve">. </w:t>
      </w:r>
    </w:p>
    <w:p w:rsidR="00096AB5" w:rsidRDefault="00096AB5" w:rsidP="00390D55">
      <w:pPr>
        <w:autoSpaceDE w:val="0"/>
        <w:autoSpaceDN w:val="0"/>
        <w:adjustRightInd w:val="0"/>
      </w:pPr>
    </w:p>
    <w:p w:rsidR="008B7344" w:rsidRPr="005A1DBD" w:rsidRDefault="009D537D" w:rsidP="008B7344">
      <w:pPr>
        <w:autoSpaceDE w:val="0"/>
        <w:autoSpaceDN w:val="0"/>
        <w:adjustRightInd w:val="0"/>
      </w:pPr>
      <w:r w:rsidRPr="009D537D">
        <w:t xml:space="preserve">The Power Source field is set to 1 if the STA is battery powered, and </w:t>
      </w:r>
      <w:r w:rsidR="008B7344" w:rsidRPr="005A1DBD">
        <w:t xml:space="preserve">is </w:t>
      </w:r>
      <w:r w:rsidRPr="009D537D">
        <w:t>set to 0 otherwise.</w:t>
      </w:r>
    </w:p>
    <w:p w:rsidR="008B7344" w:rsidRPr="005A1DBD" w:rsidRDefault="008B7344" w:rsidP="008B7344">
      <w:pPr>
        <w:autoSpaceDE w:val="0"/>
        <w:autoSpaceDN w:val="0"/>
        <w:adjustRightInd w:val="0"/>
        <w:rPr>
          <w:iCs/>
          <w:lang w:eastAsia="ko-KR"/>
        </w:rPr>
      </w:pPr>
    </w:p>
    <w:p w:rsidR="008B7344" w:rsidRPr="005A1DBD" w:rsidRDefault="008B7344" w:rsidP="008B7344">
      <w:pPr>
        <w:autoSpaceDE w:val="0"/>
        <w:autoSpaceDN w:val="0"/>
        <w:adjustRightInd w:val="0"/>
        <w:rPr>
          <w:iCs/>
          <w:lang w:eastAsia="ko-KR"/>
        </w:rPr>
      </w:pPr>
      <w:r w:rsidRPr="005A1DBD">
        <w:rPr>
          <w:iCs/>
          <w:lang w:eastAsia="ko-KR"/>
        </w:rPr>
        <w:t>The PCP</w:t>
      </w:r>
      <w:r w:rsidRPr="005A1DBD">
        <w:rPr>
          <w:rFonts w:hint="eastAsia"/>
          <w:iCs/>
          <w:lang w:eastAsia="ko-KR"/>
        </w:rPr>
        <w:t>/AP</w:t>
      </w:r>
      <w:r w:rsidR="00D11F2E">
        <w:rPr>
          <w:rFonts w:hint="eastAsia"/>
          <w:iCs/>
          <w:lang w:eastAsia="ko-KR"/>
        </w:rPr>
        <w:t xml:space="preserve"> </w:t>
      </w:r>
      <w:r w:rsidRPr="005A1DBD">
        <w:rPr>
          <w:iCs/>
          <w:lang w:eastAsia="ko-KR"/>
        </w:rPr>
        <w:t xml:space="preserve">Clustering field is set to 1 if the STA, </w:t>
      </w:r>
      <w:r w:rsidRPr="005A1DBD">
        <w:rPr>
          <w:rFonts w:hint="eastAsia"/>
          <w:iCs/>
          <w:lang w:eastAsia="ko-KR"/>
        </w:rPr>
        <w:t>when</w:t>
      </w:r>
      <w:r w:rsidRPr="005A1DBD">
        <w:rPr>
          <w:iCs/>
          <w:lang w:eastAsia="ko-KR"/>
        </w:rPr>
        <w:t xml:space="preserve"> operating as a PCP</w:t>
      </w:r>
      <w:r w:rsidRPr="005A1DBD">
        <w:rPr>
          <w:rFonts w:hint="eastAsia"/>
          <w:iCs/>
          <w:lang w:eastAsia="ko-KR"/>
        </w:rPr>
        <w:t>/AP</w:t>
      </w:r>
      <w:r w:rsidRPr="005A1DBD">
        <w:rPr>
          <w:iCs/>
          <w:lang w:eastAsia="ko-KR"/>
        </w:rPr>
        <w:t>, is capable of performing a PCP</w:t>
      </w:r>
      <w:r w:rsidRPr="005A1DBD">
        <w:rPr>
          <w:rFonts w:hint="eastAsia"/>
          <w:iCs/>
          <w:lang w:eastAsia="ko-KR"/>
        </w:rPr>
        <w:t>/AP</w:t>
      </w:r>
      <w:r w:rsidRPr="005A1DBD">
        <w:rPr>
          <w:iCs/>
          <w:lang w:eastAsia="ko-KR"/>
        </w:rPr>
        <w:t xml:space="preserve"> clustering and is set to 0 otherwise.</w:t>
      </w:r>
    </w:p>
    <w:p w:rsidR="008B7344" w:rsidRPr="005A1DBD" w:rsidRDefault="00637CDD" w:rsidP="008B7344">
      <w:pPr>
        <w:autoSpaceDE w:val="0"/>
        <w:autoSpaceDN w:val="0"/>
        <w:adjustRightInd w:val="0"/>
        <w:rPr>
          <w:iCs/>
          <w:lang w:eastAsia="ko-KR"/>
        </w:rPr>
      </w:pPr>
      <w:r>
        <w:rPr>
          <w:iCs/>
          <w:lang w:eastAsia="ko-KR"/>
        </w:rPr>
        <w:t xml:space="preserve"> </w:t>
      </w:r>
    </w:p>
    <w:p w:rsidR="00BD5348" w:rsidRPr="009448FC" w:rsidRDefault="00011BE3" w:rsidP="003701DB">
      <w:pPr>
        <w:pStyle w:val="Heading4"/>
        <w:numPr>
          <w:ilvl w:val="3"/>
          <w:numId w:val="152"/>
        </w:numPr>
      </w:pPr>
      <w:bookmarkStart w:id="564" w:name="_Ref246307020"/>
      <w:bookmarkStart w:id="565" w:name="_Toc259716929"/>
      <w:r w:rsidRPr="009448FC">
        <w:t>m</w:t>
      </w:r>
      <w:r w:rsidR="006552BA" w:rsidRPr="009448FC">
        <w:t>m</w:t>
      </w:r>
      <w:r w:rsidR="00BD5348" w:rsidRPr="009448FC">
        <w:t>Wave Operation element</w:t>
      </w:r>
      <w:bookmarkEnd w:id="564"/>
      <w:bookmarkEnd w:id="565"/>
      <w:r w:rsidR="00BD5348" w:rsidRPr="009448FC">
        <w:t xml:space="preserve"> </w:t>
      </w:r>
    </w:p>
    <w:p w:rsidR="00D01E31" w:rsidRPr="009448FC" w:rsidRDefault="00D01E31" w:rsidP="0080181F">
      <w:pPr>
        <w:autoSpaceDE w:val="0"/>
        <w:autoSpaceDN w:val="0"/>
        <w:adjustRightInd w:val="0"/>
      </w:pPr>
      <w:r w:rsidRPr="009448FC">
        <w:t xml:space="preserve">The operational parameters of a BSS </w:t>
      </w:r>
      <w:r w:rsidR="00004CB5" w:rsidRPr="009448FC">
        <w:t xml:space="preserve">provided by the PCP/AP are </w:t>
      </w:r>
      <w:r w:rsidRPr="009448FC">
        <w:t>determined by the mmWave Operation element</w:t>
      </w:r>
      <w:r w:rsidR="0080181F" w:rsidRPr="009448FC">
        <w:t xml:space="preserve"> defined in </w:t>
      </w:r>
      <w:r w:rsidR="00BD151C">
        <w:rPr>
          <w:iCs/>
        </w:rPr>
        <w:fldChar w:fldCharType="begin"/>
      </w:r>
      <w:r w:rsidR="0080181F">
        <w:rPr>
          <w:iCs/>
        </w:rPr>
        <w:instrText xml:space="preserve"> REF _Ref243130328 \h </w:instrText>
      </w:r>
      <w:r w:rsidR="00BD151C">
        <w:rPr>
          <w:iCs/>
        </w:rPr>
      </w:r>
      <w:r w:rsidR="00BD151C">
        <w:rPr>
          <w:iCs/>
        </w:rPr>
        <w:fldChar w:fldCharType="separate"/>
      </w:r>
      <w:r w:rsidR="003E4210" w:rsidRPr="00066F65">
        <w:t xml:space="preserve">Figure </w:t>
      </w:r>
      <w:r w:rsidR="003E4210">
        <w:rPr>
          <w:noProof/>
        </w:rPr>
        <w:t>34</w:t>
      </w:r>
      <w:r w:rsidR="00BD151C">
        <w:rPr>
          <w:iCs/>
        </w:rPr>
        <w:fldChar w:fldCharType="end"/>
      </w:r>
      <w:r w:rsidRPr="009448FC">
        <w:t>.</w:t>
      </w:r>
    </w:p>
    <w:p w:rsidR="00004CB5" w:rsidRPr="00066F65" w:rsidRDefault="00A87D19" w:rsidP="00004CB5">
      <w:pPr>
        <w:rPr>
          <w:b/>
          <w:i/>
          <w:color w:val="FF0000"/>
          <w:u w:val="single"/>
        </w:rPr>
      </w:pPr>
      <w:r w:rsidRPr="00066F65">
        <w:rPr>
          <w:b/>
          <w:i/>
          <w:color w:val="FF0000"/>
          <w:u w:val="single"/>
        </w:rPr>
        <w:t xml:space="preserve"> </w:t>
      </w:r>
    </w:p>
    <w:tbl>
      <w:tblPr>
        <w:tblW w:w="0" w:type="auto"/>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2948"/>
        <w:gridCol w:w="3121"/>
      </w:tblGrid>
      <w:tr w:rsidR="00004CB5" w:rsidRPr="00066F65" w:rsidTr="001B27E7">
        <w:trPr>
          <w:jc w:val="center"/>
        </w:trPr>
        <w:tc>
          <w:tcPr>
            <w:tcW w:w="0" w:type="auto"/>
          </w:tcPr>
          <w:p w:rsidR="00004CB5" w:rsidRPr="00DF5E78" w:rsidRDefault="00004CB5" w:rsidP="00D0037C">
            <w:pPr>
              <w:jc w:val="both"/>
              <w:rPr>
                <w:rFonts w:eastAsia="SimSun"/>
              </w:rPr>
            </w:pPr>
          </w:p>
        </w:tc>
        <w:tc>
          <w:tcPr>
            <w:tcW w:w="0" w:type="auto"/>
          </w:tcPr>
          <w:p w:rsidR="00004CB5" w:rsidRPr="00DF5E78" w:rsidRDefault="00004CB5" w:rsidP="00D0037C">
            <w:pPr>
              <w:jc w:val="both"/>
              <w:rPr>
                <w:rFonts w:eastAsia="SimSun"/>
              </w:rPr>
            </w:pPr>
            <w:r w:rsidRPr="00DF5E78">
              <w:rPr>
                <w:rFonts w:eastAsia="SimSun"/>
              </w:rPr>
              <w:t>Element ID</w:t>
            </w:r>
          </w:p>
        </w:tc>
        <w:tc>
          <w:tcPr>
            <w:tcW w:w="0" w:type="auto"/>
          </w:tcPr>
          <w:p w:rsidR="00004CB5" w:rsidRPr="00DF5E78" w:rsidRDefault="00004CB5" w:rsidP="00D0037C">
            <w:pPr>
              <w:jc w:val="both"/>
              <w:rPr>
                <w:rFonts w:eastAsia="SimSun"/>
              </w:rPr>
            </w:pPr>
            <w:r w:rsidRPr="00DF5E78">
              <w:rPr>
                <w:rFonts w:eastAsia="SimSun"/>
              </w:rPr>
              <w:t>Length</w:t>
            </w:r>
          </w:p>
        </w:tc>
        <w:tc>
          <w:tcPr>
            <w:tcW w:w="2948" w:type="dxa"/>
          </w:tcPr>
          <w:p w:rsidR="00004CB5" w:rsidRPr="00DF5E78" w:rsidRDefault="00004CB5" w:rsidP="00AD4B96">
            <w:pPr>
              <w:jc w:val="center"/>
              <w:rPr>
                <w:rFonts w:eastAsia="SimSun"/>
              </w:rPr>
            </w:pPr>
            <w:r w:rsidRPr="00DF5E78">
              <w:rPr>
                <w:rFonts w:eastAsia="SimSun"/>
              </w:rPr>
              <w:t>mmWave Operation Information</w:t>
            </w:r>
          </w:p>
        </w:tc>
        <w:tc>
          <w:tcPr>
            <w:tcW w:w="3121" w:type="dxa"/>
          </w:tcPr>
          <w:p w:rsidR="00004CB5" w:rsidRPr="00DF5E78" w:rsidRDefault="00004CB5" w:rsidP="00AD4B96">
            <w:pPr>
              <w:jc w:val="center"/>
              <w:rPr>
                <w:rFonts w:eastAsia="SimSun"/>
              </w:rPr>
            </w:pPr>
            <w:r w:rsidRPr="00DF5E78">
              <w:rPr>
                <w:rFonts w:eastAsia="SimSun"/>
              </w:rPr>
              <w:t>mmWave BSS Parameter Configuration</w:t>
            </w:r>
          </w:p>
        </w:tc>
      </w:tr>
      <w:tr w:rsidR="00004CB5" w:rsidRPr="00066F65" w:rsidTr="001B27E7">
        <w:trPr>
          <w:jc w:val="center"/>
        </w:trPr>
        <w:tc>
          <w:tcPr>
            <w:tcW w:w="0" w:type="auto"/>
          </w:tcPr>
          <w:p w:rsidR="00004CB5" w:rsidRPr="00DF5E78" w:rsidRDefault="00004CB5" w:rsidP="00D0037C">
            <w:pPr>
              <w:jc w:val="both"/>
              <w:rPr>
                <w:rFonts w:eastAsia="SimSun"/>
              </w:rPr>
            </w:pPr>
            <w:r w:rsidRPr="00DF5E78">
              <w:rPr>
                <w:rFonts w:eastAsia="SimSun"/>
              </w:rPr>
              <w:t>Octets:</w:t>
            </w:r>
          </w:p>
        </w:tc>
        <w:tc>
          <w:tcPr>
            <w:tcW w:w="0" w:type="auto"/>
          </w:tcPr>
          <w:p w:rsidR="00004CB5" w:rsidRPr="00DF5E78" w:rsidRDefault="00004CB5" w:rsidP="00D0037C">
            <w:pPr>
              <w:jc w:val="center"/>
              <w:rPr>
                <w:rFonts w:eastAsia="SimSun"/>
              </w:rPr>
            </w:pPr>
            <w:r w:rsidRPr="00DF5E78">
              <w:rPr>
                <w:rFonts w:eastAsia="SimSun"/>
              </w:rPr>
              <w:t>1</w:t>
            </w:r>
          </w:p>
        </w:tc>
        <w:tc>
          <w:tcPr>
            <w:tcW w:w="0" w:type="auto"/>
          </w:tcPr>
          <w:p w:rsidR="00004CB5" w:rsidRPr="00DF5E78" w:rsidRDefault="00004CB5" w:rsidP="00D0037C">
            <w:pPr>
              <w:jc w:val="center"/>
              <w:rPr>
                <w:rFonts w:eastAsia="SimSun"/>
              </w:rPr>
            </w:pPr>
            <w:r w:rsidRPr="00DF5E78">
              <w:rPr>
                <w:rFonts w:eastAsia="SimSun"/>
              </w:rPr>
              <w:t>1</w:t>
            </w:r>
          </w:p>
        </w:tc>
        <w:tc>
          <w:tcPr>
            <w:tcW w:w="2948" w:type="dxa"/>
          </w:tcPr>
          <w:p w:rsidR="00004CB5" w:rsidRPr="00DF5E78" w:rsidRDefault="00004CB5" w:rsidP="00D0037C">
            <w:pPr>
              <w:jc w:val="center"/>
              <w:rPr>
                <w:rFonts w:eastAsia="SimSun"/>
              </w:rPr>
            </w:pPr>
            <w:r w:rsidRPr="00DF5E78">
              <w:rPr>
                <w:rFonts w:eastAsia="SimSun"/>
              </w:rPr>
              <w:t>2</w:t>
            </w:r>
          </w:p>
        </w:tc>
        <w:tc>
          <w:tcPr>
            <w:tcW w:w="3121" w:type="dxa"/>
          </w:tcPr>
          <w:p w:rsidR="00004CB5" w:rsidRPr="00DF5E78" w:rsidRDefault="00E5486F" w:rsidP="00D0037C">
            <w:pPr>
              <w:jc w:val="center"/>
              <w:rPr>
                <w:rFonts w:eastAsia="SimSun"/>
              </w:rPr>
            </w:pPr>
            <w:r>
              <w:rPr>
                <w:rFonts w:eastAsia="SimSun"/>
              </w:rPr>
              <w:t>8</w:t>
            </w:r>
            <w:r w:rsidR="00080054">
              <w:rPr>
                <w:rFonts w:eastAsia="SimSun"/>
              </w:rPr>
              <w:t xml:space="preserve"> </w:t>
            </w:r>
          </w:p>
        </w:tc>
      </w:tr>
    </w:tbl>
    <w:p w:rsidR="00D01E31" w:rsidRPr="00066F65" w:rsidRDefault="00E41170" w:rsidP="00BA5BC4">
      <w:pPr>
        <w:pStyle w:val="Caption"/>
      </w:pPr>
      <w:bookmarkStart w:id="566" w:name="_Ref243130328"/>
      <w:bookmarkStart w:id="567" w:name="_Toc259717466"/>
      <w:r w:rsidRPr="00066F65">
        <w:t xml:space="preserve">Figure </w:t>
      </w:r>
      <w:r w:rsidR="00BD151C">
        <w:fldChar w:fldCharType="begin"/>
      </w:r>
      <w:r w:rsidR="00801316">
        <w:instrText xml:space="preserve"> SEQ Figure \* ARABIC </w:instrText>
      </w:r>
      <w:r w:rsidR="00BD151C">
        <w:fldChar w:fldCharType="separate"/>
      </w:r>
      <w:r w:rsidR="003E4210">
        <w:rPr>
          <w:noProof/>
        </w:rPr>
        <w:t>34</w:t>
      </w:r>
      <w:r w:rsidR="00BD151C">
        <w:fldChar w:fldCharType="end"/>
      </w:r>
      <w:bookmarkEnd w:id="566"/>
      <w:r w:rsidR="000E3DB7" w:rsidRPr="00066F65">
        <w:t xml:space="preserve"> </w:t>
      </w:r>
      <w:r w:rsidR="00D01E31" w:rsidRPr="00066F65">
        <w:t>– mmWave Operation element</w:t>
      </w:r>
      <w:bookmarkEnd w:id="567"/>
    </w:p>
    <w:p w:rsidR="00D01E31" w:rsidRPr="009448FC" w:rsidRDefault="00D01E31" w:rsidP="00D01E31">
      <w:pPr>
        <w:rPr>
          <w:b/>
          <w:i/>
        </w:rPr>
      </w:pPr>
    </w:p>
    <w:p w:rsidR="0080181F" w:rsidRPr="009448FC" w:rsidRDefault="0080181F" w:rsidP="00D01E31">
      <w:pPr>
        <w:rPr>
          <w:b/>
          <w:i/>
        </w:rPr>
      </w:pPr>
      <w:r w:rsidRPr="009448FC">
        <w:t xml:space="preserve">The mmWave Operation Information field is shown in </w:t>
      </w:r>
      <w:r w:rsidR="00BD151C">
        <w:rPr>
          <w:iCs/>
        </w:rPr>
        <w:fldChar w:fldCharType="begin"/>
      </w:r>
      <w:r>
        <w:rPr>
          <w:iCs/>
        </w:rPr>
        <w:instrText xml:space="preserve"> REF _Ref243130330 \h </w:instrText>
      </w:r>
      <w:r w:rsidR="00BD151C">
        <w:rPr>
          <w:iCs/>
        </w:rPr>
      </w:r>
      <w:r w:rsidR="00BD151C">
        <w:rPr>
          <w:iCs/>
        </w:rPr>
        <w:fldChar w:fldCharType="separate"/>
      </w:r>
      <w:r w:rsidR="003E4210" w:rsidRPr="00066F65">
        <w:t xml:space="preserve">Figure </w:t>
      </w:r>
      <w:r w:rsidR="003E4210">
        <w:rPr>
          <w:noProof/>
        </w:rPr>
        <w:t>35</w:t>
      </w:r>
      <w:r w:rsidR="00BD151C">
        <w:rPr>
          <w:iCs/>
        </w:rPr>
        <w:fldChar w:fldCharType="end"/>
      </w:r>
      <w:r w:rsidRPr="009448FC">
        <w:t>.</w:t>
      </w:r>
    </w:p>
    <w:p w:rsidR="0080181F" w:rsidRPr="009448FC" w:rsidRDefault="0080181F" w:rsidP="00D01E31">
      <w:pPr>
        <w:rPr>
          <w:b/>
          <w:i/>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1003"/>
        <w:gridCol w:w="2596"/>
        <w:gridCol w:w="1650"/>
        <w:gridCol w:w="1109"/>
      </w:tblGrid>
      <w:tr w:rsidR="002D0AB6" w:rsidRPr="00066F65" w:rsidTr="00AD4B96">
        <w:trPr>
          <w:jc w:val="center"/>
        </w:trPr>
        <w:tc>
          <w:tcPr>
            <w:tcW w:w="0" w:type="auto"/>
          </w:tcPr>
          <w:p w:rsidR="002D0AB6" w:rsidRPr="00DF5E78" w:rsidRDefault="002D0AB6" w:rsidP="00D0037C">
            <w:pPr>
              <w:jc w:val="both"/>
              <w:rPr>
                <w:rFonts w:eastAsia="SimSun"/>
              </w:rPr>
            </w:pPr>
          </w:p>
        </w:tc>
        <w:tc>
          <w:tcPr>
            <w:tcW w:w="0" w:type="auto"/>
          </w:tcPr>
          <w:p w:rsidR="002D0AB6" w:rsidRPr="00DF5E78" w:rsidRDefault="002D0AB6" w:rsidP="00D0037C">
            <w:pPr>
              <w:jc w:val="both"/>
              <w:rPr>
                <w:rFonts w:eastAsia="SimSun"/>
              </w:rPr>
            </w:pPr>
            <w:r w:rsidRPr="00DF5E78">
              <w:rPr>
                <w:rFonts w:eastAsia="SimSun"/>
              </w:rPr>
              <w:t>TDDTT</w:t>
            </w:r>
          </w:p>
        </w:tc>
        <w:tc>
          <w:tcPr>
            <w:tcW w:w="0" w:type="auto"/>
          </w:tcPr>
          <w:p w:rsidR="002D0AB6" w:rsidRPr="00DF5E78" w:rsidRDefault="002D0AB6" w:rsidP="00D0037C">
            <w:pPr>
              <w:jc w:val="both"/>
              <w:rPr>
                <w:rFonts w:eastAsia="SimSun"/>
              </w:rPr>
            </w:pPr>
            <w:r w:rsidRPr="00DF5E78">
              <w:rPr>
                <w:rFonts w:eastAsia="SimSun"/>
              </w:rPr>
              <w:t>Pseudo-static allocations</w:t>
            </w:r>
          </w:p>
        </w:tc>
        <w:tc>
          <w:tcPr>
            <w:tcW w:w="0" w:type="auto"/>
          </w:tcPr>
          <w:p w:rsidR="002D0AB6" w:rsidRPr="00DF5E78" w:rsidRDefault="002D0AB6" w:rsidP="00D0037C">
            <w:pPr>
              <w:jc w:val="both"/>
              <w:rPr>
                <w:rFonts w:eastAsia="SimSun"/>
              </w:rPr>
            </w:pPr>
            <w:r w:rsidRPr="00DF5E78">
              <w:rPr>
                <w:rFonts w:eastAsia="SimSun"/>
              </w:rPr>
              <w:t>PCP Handover</w:t>
            </w:r>
          </w:p>
        </w:tc>
        <w:tc>
          <w:tcPr>
            <w:tcW w:w="0" w:type="auto"/>
          </w:tcPr>
          <w:p w:rsidR="002D0AB6" w:rsidRPr="00DF5E78" w:rsidRDefault="002D0AB6" w:rsidP="00D0037C">
            <w:pPr>
              <w:jc w:val="both"/>
              <w:rPr>
                <w:rFonts w:eastAsia="SimSun"/>
              </w:rPr>
            </w:pPr>
            <w:r w:rsidRPr="00DF5E78">
              <w:rPr>
                <w:rFonts w:eastAsia="SimSun"/>
              </w:rPr>
              <w:t>Reserved</w:t>
            </w:r>
          </w:p>
        </w:tc>
      </w:tr>
      <w:tr w:rsidR="002D0AB6" w:rsidRPr="00066F65" w:rsidTr="00AD4B96">
        <w:trPr>
          <w:jc w:val="center"/>
        </w:trPr>
        <w:tc>
          <w:tcPr>
            <w:tcW w:w="0" w:type="auto"/>
          </w:tcPr>
          <w:p w:rsidR="002D0AB6" w:rsidRPr="00DF5E78" w:rsidRDefault="002D0AB6" w:rsidP="00D0037C">
            <w:pPr>
              <w:adjustRightInd w:val="0"/>
              <w:snapToGrid w:val="0"/>
              <w:jc w:val="center"/>
              <w:rPr>
                <w:rFonts w:eastAsia="SimSun"/>
              </w:rPr>
            </w:pPr>
            <w:r w:rsidRPr="00DF5E78">
              <w:rPr>
                <w:rFonts w:eastAsia="SimSun"/>
              </w:rPr>
              <w:t>Bit:</w:t>
            </w:r>
          </w:p>
        </w:tc>
        <w:tc>
          <w:tcPr>
            <w:tcW w:w="0" w:type="auto"/>
          </w:tcPr>
          <w:p w:rsidR="002D0AB6" w:rsidRPr="00DF5E78" w:rsidRDefault="002D0AB6" w:rsidP="00D0037C">
            <w:pPr>
              <w:adjustRightInd w:val="0"/>
              <w:snapToGrid w:val="0"/>
              <w:jc w:val="center"/>
              <w:rPr>
                <w:rFonts w:eastAsia="SimSun"/>
              </w:rPr>
            </w:pPr>
            <w:r w:rsidRPr="00DF5E78">
              <w:rPr>
                <w:rFonts w:eastAsia="SimSun"/>
              </w:rPr>
              <w:t>B0</w:t>
            </w:r>
          </w:p>
        </w:tc>
        <w:tc>
          <w:tcPr>
            <w:tcW w:w="0" w:type="auto"/>
          </w:tcPr>
          <w:p w:rsidR="002D0AB6" w:rsidRPr="00DF5E78" w:rsidRDefault="002D0AB6" w:rsidP="00D0037C">
            <w:pPr>
              <w:adjustRightInd w:val="0"/>
              <w:snapToGrid w:val="0"/>
              <w:jc w:val="center"/>
              <w:rPr>
                <w:rFonts w:eastAsia="SimSun"/>
              </w:rPr>
            </w:pPr>
            <w:r w:rsidRPr="00DF5E78">
              <w:rPr>
                <w:rFonts w:eastAsia="SimSun"/>
              </w:rPr>
              <w:t>B1</w:t>
            </w:r>
          </w:p>
        </w:tc>
        <w:tc>
          <w:tcPr>
            <w:tcW w:w="0" w:type="auto"/>
          </w:tcPr>
          <w:p w:rsidR="002D0AB6" w:rsidRPr="00DF5E78" w:rsidRDefault="002D0AB6" w:rsidP="00D0037C">
            <w:pPr>
              <w:adjustRightInd w:val="0"/>
              <w:snapToGrid w:val="0"/>
              <w:jc w:val="center"/>
              <w:rPr>
                <w:rFonts w:eastAsia="SimSun"/>
              </w:rPr>
            </w:pPr>
            <w:r w:rsidRPr="00DF5E78">
              <w:rPr>
                <w:rFonts w:eastAsia="SimSun"/>
              </w:rPr>
              <w:t>B2</w:t>
            </w:r>
          </w:p>
        </w:tc>
        <w:tc>
          <w:tcPr>
            <w:tcW w:w="0" w:type="auto"/>
          </w:tcPr>
          <w:p w:rsidR="002D0AB6" w:rsidRPr="00DF5E78" w:rsidRDefault="002D0AB6" w:rsidP="002D0AB6">
            <w:pPr>
              <w:adjustRightInd w:val="0"/>
              <w:snapToGrid w:val="0"/>
              <w:jc w:val="center"/>
              <w:rPr>
                <w:rFonts w:eastAsia="SimSun"/>
              </w:rPr>
            </w:pPr>
            <w:r w:rsidRPr="00DF5E78">
              <w:rPr>
                <w:rFonts w:eastAsia="SimSun"/>
              </w:rPr>
              <w:t>B3-B15</w:t>
            </w:r>
          </w:p>
        </w:tc>
      </w:tr>
    </w:tbl>
    <w:p w:rsidR="00D01E31" w:rsidRPr="00066F65" w:rsidRDefault="0023481B" w:rsidP="009448FC">
      <w:pPr>
        <w:pStyle w:val="Caption"/>
        <w:keepNext/>
      </w:pPr>
      <w:bookmarkStart w:id="568" w:name="_Ref243130330"/>
      <w:bookmarkStart w:id="569" w:name="_Toc259717467"/>
      <w:r w:rsidRPr="00066F65">
        <w:lastRenderedPageBreak/>
        <w:t xml:space="preserve">Figure </w:t>
      </w:r>
      <w:r w:rsidR="00BD151C">
        <w:fldChar w:fldCharType="begin"/>
      </w:r>
      <w:r w:rsidR="00801316">
        <w:instrText xml:space="preserve"> SEQ Figure \* ARABIC </w:instrText>
      </w:r>
      <w:r w:rsidR="00BD151C">
        <w:fldChar w:fldCharType="separate"/>
      </w:r>
      <w:r w:rsidR="003E4210">
        <w:rPr>
          <w:noProof/>
        </w:rPr>
        <w:t>35</w:t>
      </w:r>
      <w:r w:rsidR="00BD151C">
        <w:fldChar w:fldCharType="end"/>
      </w:r>
      <w:bookmarkEnd w:id="568"/>
      <w:r w:rsidR="000E3DB7" w:rsidRPr="00066F65">
        <w:t xml:space="preserve"> </w:t>
      </w:r>
      <w:r w:rsidR="00D01E31" w:rsidRPr="00066F65">
        <w:t>– mmWave Operation Information</w:t>
      </w:r>
      <w:bookmarkEnd w:id="569"/>
    </w:p>
    <w:p w:rsidR="000E3DB7" w:rsidRPr="009448FC" w:rsidRDefault="000E3DB7" w:rsidP="00D01E31">
      <w:pPr>
        <w:autoSpaceDE w:val="0"/>
        <w:autoSpaceDN w:val="0"/>
        <w:adjustRightInd w:val="0"/>
      </w:pPr>
    </w:p>
    <w:p w:rsidR="00D01E31" w:rsidRPr="009448FC" w:rsidRDefault="003B18F0" w:rsidP="0073283A">
      <w:pPr>
        <w:autoSpaceDE w:val="0"/>
        <w:autoSpaceDN w:val="0"/>
        <w:adjustRightInd w:val="0"/>
      </w:pPr>
      <w:r w:rsidRPr="009448FC">
        <w:t xml:space="preserve">The </w:t>
      </w:r>
      <w:r w:rsidR="00D01E31" w:rsidRPr="009448FC">
        <w:t xml:space="preserve">TDDTT field </w:t>
      </w:r>
      <w:r w:rsidR="00764C2F" w:rsidRPr="009448FC">
        <w:t xml:space="preserve">is </w:t>
      </w:r>
      <w:r w:rsidR="00D01E31" w:rsidRPr="009448FC">
        <w:t xml:space="preserve">set to 1 if </w:t>
      </w:r>
      <w:r w:rsidR="00764C2F" w:rsidRPr="009448FC">
        <w:t xml:space="preserve">the PCP/AP </w:t>
      </w:r>
      <w:r w:rsidR="00D01E31" w:rsidRPr="009448FC">
        <w:t>provides TDMA access as defined in</w:t>
      </w:r>
      <w:r w:rsidR="00EB3D00" w:rsidRPr="009448FC">
        <w:t xml:space="preserve"> </w:t>
      </w:r>
      <w:r w:rsidR="00BD151C" w:rsidRPr="009448FC">
        <w:fldChar w:fldCharType="begin"/>
      </w:r>
      <w:r w:rsidR="000E7889" w:rsidRPr="009448FC">
        <w:instrText xml:space="preserve"> REF _Ref236671207 \n \h </w:instrText>
      </w:r>
      <w:r w:rsidR="00BD151C" w:rsidRPr="009448FC">
        <w:fldChar w:fldCharType="separate"/>
      </w:r>
      <w:r w:rsidR="003E4210">
        <w:t>9.23.6</w:t>
      </w:r>
      <w:r w:rsidR="00BD151C" w:rsidRPr="009448FC">
        <w:fldChar w:fldCharType="end"/>
      </w:r>
      <w:r w:rsidR="000E7889" w:rsidRPr="009448FC">
        <w:t xml:space="preserve"> </w:t>
      </w:r>
      <w:r w:rsidR="00D01E31" w:rsidRPr="009448FC">
        <w:t xml:space="preserve">and </w:t>
      </w:r>
      <w:r w:rsidR="0073283A" w:rsidRPr="009448FC">
        <w:t xml:space="preserve">is </w:t>
      </w:r>
      <w:r w:rsidR="00D01E31" w:rsidRPr="009448FC">
        <w:t>set to 0 otherwise.</w:t>
      </w:r>
    </w:p>
    <w:p w:rsidR="00D01E31" w:rsidRPr="009448FC" w:rsidRDefault="00D01E31" w:rsidP="00D01E31">
      <w:pPr>
        <w:autoSpaceDE w:val="0"/>
        <w:autoSpaceDN w:val="0"/>
        <w:adjustRightInd w:val="0"/>
      </w:pPr>
    </w:p>
    <w:p w:rsidR="00D01E31" w:rsidRPr="009448FC" w:rsidRDefault="003B18F0" w:rsidP="00027E1D">
      <w:pPr>
        <w:autoSpaceDE w:val="0"/>
        <w:autoSpaceDN w:val="0"/>
        <w:adjustRightInd w:val="0"/>
      </w:pPr>
      <w:r w:rsidRPr="009448FC">
        <w:t xml:space="preserve">The </w:t>
      </w:r>
      <w:r w:rsidR="00D01E31" w:rsidRPr="009448FC">
        <w:t xml:space="preserve">Pseudo-static allocations field </w:t>
      </w:r>
      <w:r w:rsidR="00764C2F" w:rsidRPr="009448FC">
        <w:t>is</w:t>
      </w:r>
      <w:r w:rsidR="00D01E31" w:rsidRPr="009448FC">
        <w:t xml:space="preserve"> set to 1 if </w:t>
      </w:r>
      <w:r w:rsidR="00764C2F" w:rsidRPr="009448FC">
        <w:t xml:space="preserve">the PCP/AP </w:t>
      </w:r>
      <w:r w:rsidR="00D01E31" w:rsidRPr="009448FC">
        <w:t xml:space="preserve">provides </w:t>
      </w:r>
      <w:r w:rsidR="00DF5E78">
        <w:t>p</w:t>
      </w:r>
      <w:r w:rsidR="00D01E31" w:rsidRPr="009448FC">
        <w:t>seudo-static allocations as defined in</w:t>
      </w:r>
      <w:r w:rsidR="00027E1D" w:rsidRPr="009448FC">
        <w:t xml:space="preserve"> </w:t>
      </w:r>
      <w:r w:rsidR="00BD151C">
        <w:fldChar w:fldCharType="begin"/>
      </w:r>
      <w:r w:rsidR="00DF5E78">
        <w:instrText xml:space="preserve"> REF _Ref244252374 \h </w:instrText>
      </w:r>
      <w:r w:rsidR="00BD151C">
        <w:fldChar w:fldCharType="separate"/>
      </w:r>
      <w:r w:rsidR="003E4210">
        <w:t xml:space="preserve">9.23.6.3 </w:t>
      </w:r>
      <w:r w:rsidR="003E4210" w:rsidRPr="009448FC">
        <w:t>Pseudo-static allocations</w:t>
      </w:r>
      <w:r w:rsidR="00BD151C">
        <w:fldChar w:fldCharType="end"/>
      </w:r>
      <w:r w:rsidR="00027E1D" w:rsidRPr="009448FC">
        <w:t xml:space="preserve"> </w:t>
      </w:r>
      <w:r w:rsidR="00D01E31" w:rsidRPr="009448FC">
        <w:t xml:space="preserve">and </w:t>
      </w:r>
      <w:r w:rsidR="0073283A" w:rsidRPr="009448FC">
        <w:t xml:space="preserve">is </w:t>
      </w:r>
      <w:r w:rsidR="00D01E31" w:rsidRPr="009448FC">
        <w:t xml:space="preserve">set to 0 otherwise. The Pseudo-static allocations field may be set to 1 only if the TDDTT field in the mmWave Operation Information field is set to 1. </w:t>
      </w:r>
    </w:p>
    <w:p w:rsidR="00D01E31" w:rsidRPr="009448FC" w:rsidRDefault="00D01E31" w:rsidP="00D01E31">
      <w:pPr>
        <w:autoSpaceDE w:val="0"/>
        <w:autoSpaceDN w:val="0"/>
        <w:adjustRightInd w:val="0"/>
      </w:pPr>
    </w:p>
    <w:p w:rsidR="00D01E31" w:rsidRPr="009448FC" w:rsidRDefault="003B18F0" w:rsidP="0073283A">
      <w:r w:rsidRPr="009448FC">
        <w:t xml:space="preserve">The </w:t>
      </w:r>
      <w:r w:rsidR="00D01E31" w:rsidRPr="009448FC">
        <w:t xml:space="preserve">PCP Handover field </w:t>
      </w:r>
      <w:r w:rsidR="00764C2F" w:rsidRPr="009448FC">
        <w:t>is</w:t>
      </w:r>
      <w:r w:rsidR="00784C7D" w:rsidRPr="009448FC">
        <w:t xml:space="preserve"> </w:t>
      </w:r>
      <w:r w:rsidR="00D01E31" w:rsidRPr="009448FC">
        <w:t xml:space="preserve">set to 1 if </w:t>
      </w:r>
      <w:r w:rsidR="00764C2F" w:rsidRPr="009448FC">
        <w:t xml:space="preserve">the PCP </w:t>
      </w:r>
      <w:r w:rsidR="00D01E31" w:rsidRPr="009448FC">
        <w:t xml:space="preserve">provides PCP Handover as defined in </w:t>
      </w:r>
      <w:r w:rsidR="00BD151C" w:rsidRPr="009448FC">
        <w:fldChar w:fldCharType="begin"/>
      </w:r>
      <w:r w:rsidR="009A7BE1" w:rsidRPr="009448FC">
        <w:instrText xml:space="preserve"> REF _Ref236724398 \r \h </w:instrText>
      </w:r>
      <w:r w:rsidR="00BD151C" w:rsidRPr="009448FC">
        <w:fldChar w:fldCharType="separate"/>
      </w:r>
      <w:r w:rsidR="003E4210">
        <w:t>11.30.2</w:t>
      </w:r>
      <w:r w:rsidR="00BD151C" w:rsidRPr="009448FC">
        <w:fldChar w:fldCharType="end"/>
      </w:r>
      <w:r w:rsidR="009A7BE1" w:rsidRPr="009448FC">
        <w:t xml:space="preserve"> </w:t>
      </w:r>
      <w:r w:rsidR="00D01E31" w:rsidRPr="009448FC">
        <w:t xml:space="preserve">and </w:t>
      </w:r>
      <w:r w:rsidR="0073283A" w:rsidRPr="009448FC">
        <w:t xml:space="preserve">is </w:t>
      </w:r>
      <w:r w:rsidR="00D01E31" w:rsidRPr="009448FC">
        <w:t xml:space="preserve">set to 0 if </w:t>
      </w:r>
      <w:r w:rsidR="0073283A" w:rsidRPr="009448FC">
        <w:t xml:space="preserve">the PCP </w:t>
      </w:r>
      <w:r w:rsidR="00D01E31" w:rsidRPr="009448FC">
        <w:t xml:space="preserve">does not provide </w:t>
      </w:r>
      <w:r w:rsidR="0073283A" w:rsidRPr="009448FC">
        <w:t>PCP Handover</w:t>
      </w:r>
      <w:r w:rsidR="00D01E31" w:rsidRPr="009448FC">
        <w:t>.</w:t>
      </w:r>
    </w:p>
    <w:p w:rsidR="00301051" w:rsidRPr="00066F65" w:rsidRDefault="004B22C8" w:rsidP="00825ACD">
      <w:pPr>
        <w:rPr>
          <w:b/>
          <w:i/>
          <w:color w:val="FF0000"/>
          <w:u w:val="single"/>
        </w:rPr>
      </w:pPr>
      <w:bookmarkStart w:id="570" w:name="_Toc213489832"/>
      <w:bookmarkStart w:id="571" w:name="_Toc213492783"/>
      <w:bookmarkStart w:id="572" w:name="_Toc214612998"/>
      <w:bookmarkStart w:id="573" w:name="_Toc214805549"/>
      <w:bookmarkEnd w:id="545"/>
      <w:bookmarkEnd w:id="546"/>
      <w:bookmarkEnd w:id="547"/>
      <w:bookmarkEnd w:id="548"/>
      <w:bookmarkEnd w:id="549"/>
      <w:bookmarkEnd w:id="570"/>
      <w:bookmarkEnd w:id="571"/>
      <w:bookmarkEnd w:id="572"/>
      <w:bookmarkEnd w:id="573"/>
      <w:r w:rsidRPr="00066F65">
        <w:rPr>
          <w:b/>
          <w:i/>
          <w:color w:val="FF0000"/>
          <w:u w:val="single"/>
        </w:rPr>
        <w:t xml:space="preserve"> </w:t>
      </w:r>
    </w:p>
    <w:p w:rsidR="00004CB5" w:rsidRPr="009448FC" w:rsidRDefault="00004CB5" w:rsidP="00825ACD">
      <w:r w:rsidRPr="009448FC">
        <w:t xml:space="preserve">The mmWave BSS Parameter Configuration field is defined in </w:t>
      </w:r>
      <w:fldSimple w:instr=" REF _Ref246113286 \h  \* MERGEFORMAT ">
        <w:r w:rsidR="003E4210" w:rsidRPr="00066F65">
          <w:t xml:space="preserve">Figure </w:t>
        </w:r>
        <w:r w:rsidR="003E4210">
          <w:t>36</w:t>
        </w:r>
      </w:fldSimple>
      <w:r w:rsidRPr="009448FC">
        <w:t>.</w:t>
      </w:r>
    </w:p>
    <w:p w:rsidR="00004CB5" w:rsidRDefault="00004CB5" w:rsidP="00825ACD"/>
    <w:tbl>
      <w:tblPr>
        <w:tblStyle w:val="TableGrid"/>
        <w:tblW w:w="0" w:type="auto"/>
        <w:tblInd w:w="288" w:type="dxa"/>
        <w:tblLayout w:type="fixed"/>
        <w:tblLook w:val="04A0"/>
      </w:tblPr>
      <w:tblGrid>
        <w:gridCol w:w="574"/>
        <w:gridCol w:w="1725"/>
        <w:gridCol w:w="1362"/>
        <w:gridCol w:w="1613"/>
        <w:gridCol w:w="1467"/>
        <w:gridCol w:w="1013"/>
        <w:gridCol w:w="978"/>
        <w:gridCol w:w="1096"/>
      </w:tblGrid>
      <w:tr w:rsidR="001B27E7" w:rsidRPr="00D11F2E" w:rsidTr="00D11F2E">
        <w:tc>
          <w:tcPr>
            <w:tcW w:w="574" w:type="dxa"/>
            <w:tcBorders>
              <w:top w:val="nil"/>
              <w:left w:val="nil"/>
              <w:bottom w:val="nil"/>
            </w:tcBorders>
          </w:tcPr>
          <w:p w:rsidR="00000C5F" w:rsidRDefault="00000C5F">
            <w:pPr>
              <w:spacing w:before="0"/>
              <w:rPr>
                <w:iCs/>
                <w:sz w:val="22"/>
                <w:szCs w:val="22"/>
              </w:rPr>
            </w:pPr>
          </w:p>
        </w:tc>
        <w:tc>
          <w:tcPr>
            <w:tcW w:w="1725" w:type="dxa"/>
          </w:tcPr>
          <w:p w:rsidR="00000C5F" w:rsidRDefault="009D537D">
            <w:pPr>
              <w:spacing w:before="0"/>
              <w:rPr>
                <w:iCs/>
                <w:sz w:val="22"/>
                <w:szCs w:val="22"/>
              </w:rPr>
            </w:pPr>
            <w:r w:rsidRPr="009D537D">
              <w:rPr>
                <w:sz w:val="22"/>
                <w:szCs w:val="22"/>
              </w:rPr>
              <w:t>PSRequestSuspensionInterval</w:t>
            </w:r>
          </w:p>
        </w:tc>
        <w:tc>
          <w:tcPr>
            <w:tcW w:w="1362" w:type="dxa"/>
          </w:tcPr>
          <w:p w:rsidR="00000C5F" w:rsidRDefault="009D537D">
            <w:pPr>
              <w:spacing w:before="0"/>
              <w:rPr>
                <w:iCs/>
                <w:sz w:val="22"/>
                <w:szCs w:val="22"/>
              </w:rPr>
            </w:pPr>
            <w:r w:rsidRPr="009D537D">
              <w:rPr>
                <w:sz w:val="22"/>
                <w:szCs w:val="22"/>
              </w:rPr>
              <w:t>MinBIHeaderDuration</w:t>
            </w:r>
          </w:p>
        </w:tc>
        <w:tc>
          <w:tcPr>
            <w:tcW w:w="1613" w:type="dxa"/>
          </w:tcPr>
          <w:p w:rsidR="00000C5F" w:rsidRDefault="009D537D">
            <w:pPr>
              <w:spacing w:before="0"/>
              <w:rPr>
                <w:iCs/>
                <w:sz w:val="22"/>
                <w:szCs w:val="22"/>
              </w:rPr>
            </w:pPr>
            <w:r w:rsidRPr="009D537D">
              <w:rPr>
                <w:sz w:val="22"/>
                <w:szCs w:val="22"/>
              </w:rPr>
              <w:t>BroadcastSTAInfoDuration</w:t>
            </w:r>
          </w:p>
        </w:tc>
        <w:tc>
          <w:tcPr>
            <w:tcW w:w="1467" w:type="dxa"/>
          </w:tcPr>
          <w:p w:rsidR="00000C5F" w:rsidRDefault="009D537D">
            <w:pPr>
              <w:spacing w:before="0"/>
              <w:rPr>
                <w:iCs/>
                <w:sz w:val="22"/>
                <w:szCs w:val="22"/>
              </w:rPr>
            </w:pPr>
            <w:r w:rsidRPr="009D537D">
              <w:rPr>
                <w:sz w:val="22"/>
                <w:szCs w:val="22"/>
              </w:rPr>
              <w:t>AssocRespConfirmTime</w:t>
            </w:r>
          </w:p>
        </w:tc>
        <w:tc>
          <w:tcPr>
            <w:tcW w:w="1013" w:type="dxa"/>
          </w:tcPr>
          <w:p w:rsidR="00000C5F" w:rsidRDefault="009D537D">
            <w:pPr>
              <w:spacing w:before="0"/>
              <w:rPr>
                <w:iCs/>
                <w:sz w:val="22"/>
                <w:szCs w:val="22"/>
              </w:rPr>
            </w:pPr>
            <w:r w:rsidRPr="009D537D">
              <w:rPr>
                <w:sz w:val="22"/>
                <w:szCs w:val="22"/>
              </w:rPr>
              <w:t>MinPPDuration</w:t>
            </w:r>
          </w:p>
        </w:tc>
        <w:tc>
          <w:tcPr>
            <w:tcW w:w="978" w:type="dxa"/>
          </w:tcPr>
          <w:p w:rsidR="00000C5F" w:rsidRDefault="009D537D">
            <w:pPr>
              <w:spacing w:before="0"/>
              <w:rPr>
                <w:iCs/>
                <w:sz w:val="22"/>
                <w:szCs w:val="22"/>
              </w:rPr>
            </w:pPr>
            <w:r w:rsidRPr="009D537D">
              <w:rPr>
                <w:sz w:val="22"/>
                <w:szCs w:val="22"/>
              </w:rPr>
              <w:t>SPIdleTimeout</w:t>
            </w:r>
          </w:p>
        </w:tc>
        <w:tc>
          <w:tcPr>
            <w:tcW w:w="1096" w:type="dxa"/>
          </w:tcPr>
          <w:p w:rsidR="00000C5F" w:rsidRDefault="009D537D">
            <w:pPr>
              <w:spacing w:before="0"/>
              <w:rPr>
                <w:iCs/>
                <w:sz w:val="22"/>
                <w:szCs w:val="22"/>
              </w:rPr>
            </w:pPr>
            <w:r w:rsidRPr="009D537D">
              <w:rPr>
                <w:sz w:val="22"/>
                <w:szCs w:val="22"/>
              </w:rPr>
              <w:t>MaxLostBeacons</w:t>
            </w:r>
            <w:r w:rsidR="00D11F2E">
              <w:rPr>
                <w:sz w:val="22"/>
                <w:szCs w:val="22"/>
              </w:rPr>
              <w:t xml:space="preserve"> </w:t>
            </w:r>
          </w:p>
        </w:tc>
      </w:tr>
      <w:tr w:rsidR="001B27E7" w:rsidRPr="00D11F2E" w:rsidTr="00D11F2E">
        <w:tc>
          <w:tcPr>
            <w:tcW w:w="574" w:type="dxa"/>
            <w:tcBorders>
              <w:top w:val="nil"/>
              <w:left w:val="nil"/>
              <w:bottom w:val="nil"/>
            </w:tcBorders>
          </w:tcPr>
          <w:p w:rsidR="00FD28FC" w:rsidRDefault="009D537D">
            <w:pPr>
              <w:spacing w:before="0"/>
              <w:jc w:val="center"/>
              <w:rPr>
                <w:iCs/>
                <w:sz w:val="22"/>
                <w:szCs w:val="22"/>
              </w:rPr>
            </w:pPr>
            <w:r w:rsidRPr="009D537D">
              <w:rPr>
                <w:iCs/>
                <w:sz w:val="22"/>
                <w:szCs w:val="22"/>
              </w:rPr>
              <w:t>Octets:</w:t>
            </w:r>
          </w:p>
        </w:tc>
        <w:tc>
          <w:tcPr>
            <w:tcW w:w="1725" w:type="dxa"/>
          </w:tcPr>
          <w:p w:rsidR="00FD28FC" w:rsidRDefault="009D537D">
            <w:pPr>
              <w:spacing w:before="0"/>
              <w:jc w:val="center"/>
              <w:rPr>
                <w:iCs/>
                <w:sz w:val="22"/>
                <w:szCs w:val="22"/>
              </w:rPr>
            </w:pPr>
            <w:r w:rsidRPr="009D537D">
              <w:rPr>
                <w:iCs/>
                <w:sz w:val="22"/>
                <w:szCs w:val="22"/>
              </w:rPr>
              <w:t>1</w:t>
            </w:r>
          </w:p>
        </w:tc>
        <w:tc>
          <w:tcPr>
            <w:tcW w:w="1362" w:type="dxa"/>
          </w:tcPr>
          <w:p w:rsidR="00FD28FC" w:rsidRDefault="009D537D">
            <w:pPr>
              <w:spacing w:before="0"/>
              <w:jc w:val="center"/>
              <w:rPr>
                <w:iCs/>
                <w:sz w:val="22"/>
                <w:szCs w:val="22"/>
              </w:rPr>
            </w:pPr>
            <w:r w:rsidRPr="009D537D">
              <w:rPr>
                <w:iCs/>
                <w:sz w:val="22"/>
                <w:szCs w:val="22"/>
              </w:rPr>
              <w:t>2</w:t>
            </w:r>
          </w:p>
        </w:tc>
        <w:tc>
          <w:tcPr>
            <w:tcW w:w="1613" w:type="dxa"/>
          </w:tcPr>
          <w:p w:rsidR="00FD28FC" w:rsidRDefault="009D537D">
            <w:pPr>
              <w:spacing w:before="0"/>
              <w:jc w:val="center"/>
              <w:rPr>
                <w:iCs/>
                <w:sz w:val="22"/>
                <w:szCs w:val="22"/>
              </w:rPr>
            </w:pPr>
            <w:r w:rsidRPr="009D537D">
              <w:rPr>
                <w:iCs/>
                <w:sz w:val="22"/>
                <w:szCs w:val="22"/>
              </w:rPr>
              <w:t>1</w:t>
            </w:r>
          </w:p>
        </w:tc>
        <w:tc>
          <w:tcPr>
            <w:tcW w:w="1467" w:type="dxa"/>
          </w:tcPr>
          <w:p w:rsidR="00FD28FC" w:rsidRDefault="009D537D">
            <w:pPr>
              <w:spacing w:before="0"/>
              <w:jc w:val="center"/>
              <w:rPr>
                <w:iCs/>
                <w:sz w:val="22"/>
                <w:szCs w:val="22"/>
              </w:rPr>
            </w:pPr>
            <w:r w:rsidRPr="009D537D">
              <w:rPr>
                <w:iCs/>
                <w:sz w:val="22"/>
                <w:szCs w:val="22"/>
              </w:rPr>
              <w:t>1</w:t>
            </w:r>
          </w:p>
        </w:tc>
        <w:tc>
          <w:tcPr>
            <w:tcW w:w="1013" w:type="dxa"/>
          </w:tcPr>
          <w:p w:rsidR="00FD28FC" w:rsidRDefault="009D537D">
            <w:pPr>
              <w:spacing w:before="0"/>
              <w:jc w:val="center"/>
              <w:rPr>
                <w:iCs/>
                <w:sz w:val="22"/>
                <w:szCs w:val="22"/>
              </w:rPr>
            </w:pPr>
            <w:r w:rsidRPr="009D537D">
              <w:rPr>
                <w:iCs/>
                <w:sz w:val="22"/>
                <w:szCs w:val="22"/>
              </w:rPr>
              <w:t>1</w:t>
            </w:r>
          </w:p>
        </w:tc>
        <w:tc>
          <w:tcPr>
            <w:tcW w:w="978" w:type="dxa"/>
          </w:tcPr>
          <w:p w:rsidR="00FD28FC" w:rsidRDefault="009D537D">
            <w:pPr>
              <w:spacing w:before="0"/>
              <w:jc w:val="center"/>
              <w:rPr>
                <w:iCs/>
                <w:sz w:val="22"/>
                <w:szCs w:val="22"/>
              </w:rPr>
            </w:pPr>
            <w:r w:rsidRPr="009D537D">
              <w:rPr>
                <w:iCs/>
                <w:sz w:val="22"/>
                <w:szCs w:val="22"/>
              </w:rPr>
              <w:t>1</w:t>
            </w:r>
          </w:p>
        </w:tc>
        <w:tc>
          <w:tcPr>
            <w:tcW w:w="1096" w:type="dxa"/>
          </w:tcPr>
          <w:p w:rsidR="00FD28FC" w:rsidRDefault="009D537D">
            <w:pPr>
              <w:spacing w:before="0"/>
              <w:jc w:val="center"/>
              <w:rPr>
                <w:iCs/>
                <w:sz w:val="22"/>
                <w:szCs w:val="22"/>
              </w:rPr>
            </w:pPr>
            <w:r w:rsidRPr="009D537D">
              <w:rPr>
                <w:iCs/>
                <w:sz w:val="22"/>
                <w:szCs w:val="22"/>
              </w:rPr>
              <w:t>1</w:t>
            </w:r>
          </w:p>
        </w:tc>
      </w:tr>
    </w:tbl>
    <w:p w:rsidR="001B27E7" w:rsidRPr="009448FC" w:rsidRDefault="001B27E7" w:rsidP="00825ACD"/>
    <w:p w:rsidR="00004CB5" w:rsidRPr="00066F65" w:rsidRDefault="00004CB5" w:rsidP="00BA5BC4">
      <w:pPr>
        <w:pStyle w:val="Caption"/>
      </w:pPr>
      <w:bookmarkStart w:id="574" w:name="_Ref246113286"/>
      <w:bookmarkStart w:id="575" w:name="_Toc259717468"/>
      <w:r w:rsidRPr="00066F65">
        <w:t xml:space="preserve">Figure </w:t>
      </w:r>
      <w:r w:rsidR="00BD151C">
        <w:fldChar w:fldCharType="begin"/>
      </w:r>
      <w:r w:rsidR="00801316">
        <w:instrText xml:space="preserve"> SEQ Figure \* ARABIC </w:instrText>
      </w:r>
      <w:r w:rsidR="00BD151C">
        <w:fldChar w:fldCharType="separate"/>
      </w:r>
      <w:r w:rsidR="003E4210">
        <w:rPr>
          <w:noProof/>
        </w:rPr>
        <w:t>36</w:t>
      </w:r>
      <w:r w:rsidR="00BD151C">
        <w:fldChar w:fldCharType="end"/>
      </w:r>
      <w:bookmarkEnd w:id="574"/>
      <w:r w:rsidRPr="00066F65">
        <w:t xml:space="preserve"> – mmWave BSS Parameter Configuration field</w:t>
      </w:r>
      <w:bookmarkEnd w:id="575"/>
      <w:r w:rsidR="00080054">
        <w:t xml:space="preserve"> </w:t>
      </w:r>
    </w:p>
    <w:p w:rsidR="00004CB5" w:rsidRPr="009448FC" w:rsidRDefault="00004CB5" w:rsidP="00004CB5">
      <w:r w:rsidRPr="009448FC">
        <w:t xml:space="preserve">The </w:t>
      </w:r>
      <w:r w:rsidRPr="009448FC">
        <w:rPr>
          <w:sz w:val="23"/>
        </w:rPr>
        <w:t>PSRequestSuspensionInterval</w:t>
      </w:r>
      <w:r w:rsidRPr="009448FC">
        <w:t xml:space="preserve"> subfield indicates the power save suspension interval and is specified in number of BIs. A STA overrides the value of its local dot11PSRequestSuspensionInterval MIB variable with the value of this field when it receives this element from its PCP/AP.</w:t>
      </w:r>
    </w:p>
    <w:p w:rsidR="00004CB5" w:rsidRPr="009448FC" w:rsidRDefault="00004CB5" w:rsidP="00004CB5"/>
    <w:p w:rsidR="00004CB5" w:rsidRPr="009448FC" w:rsidRDefault="00004CB5" w:rsidP="00004CB5">
      <w:r w:rsidRPr="009448FC">
        <w:t>The MinBIHeaderDuration subfield indicates the minimum duration of the BI header, which can include the BT, A-BFT, and AT and is specified in microseconds. A STA overrides the value of its local dot11MinBIHeaderDuration MIB variable with the value of this field when it receives this element from its PCP/AP.</w:t>
      </w:r>
    </w:p>
    <w:p w:rsidR="00004CB5" w:rsidRPr="009448FC" w:rsidRDefault="00004CB5" w:rsidP="00004CB5"/>
    <w:p w:rsidR="00004CB5" w:rsidRPr="009448FC" w:rsidRDefault="00004CB5" w:rsidP="00004CB5">
      <w:r w:rsidRPr="009448FC">
        <w:t>The BroadcastSTAInfoDuration subfield indicates the upper bound on the duration of time that the PCP/AP expects to take to transmit information about associated STAs and is specified in number of BIs. A STA overrides the value of its local dot11BroadcastSTAInfoDuration MIB variable with the value of this field when it receives this element from its PCP/AP.</w:t>
      </w:r>
    </w:p>
    <w:p w:rsidR="00004CB5" w:rsidRPr="009448FC" w:rsidRDefault="00004CB5" w:rsidP="00004CB5"/>
    <w:p w:rsidR="00004CB5" w:rsidRPr="009448FC" w:rsidRDefault="00004CB5" w:rsidP="00004CB5">
      <w:r w:rsidRPr="009448FC">
        <w:t>The AssocRespConfirmTime subfield indicates the upper bound on the duration of time that the PCP/AP expects to take to respond to association requests and is specified in milliseconds. A STA overrides the value of its local dot11AssocRespConfirmTime MIB variable with the value of this field when it receives this element from its PCP/AP.</w:t>
      </w:r>
    </w:p>
    <w:p w:rsidR="00004CB5" w:rsidRPr="009448FC" w:rsidRDefault="00004CB5" w:rsidP="00004CB5"/>
    <w:p w:rsidR="00004CB5" w:rsidRPr="009448FC" w:rsidRDefault="00004CB5" w:rsidP="00004CB5">
      <w:r w:rsidRPr="009448FC">
        <w:t>The MinPPDuration subfield indicates the minimum duration of the PP and/or GP as part of the dynamic allocation of service period mechanism and is specified in microseconds. A STA overrides the value of its local dot11MinPPDuration MIB variable with the value of this field when it receives this element from its PCP/AP.</w:t>
      </w:r>
    </w:p>
    <w:p w:rsidR="00004CB5" w:rsidRPr="009448FC" w:rsidRDefault="00004CB5" w:rsidP="00004CB5"/>
    <w:p w:rsidR="00004CB5" w:rsidRDefault="00004CB5" w:rsidP="00004CB5">
      <w:r w:rsidRPr="009448FC">
        <w:t xml:space="preserve">The SPIdleTimeout subfield indicates time during which a STA expects to receive a frame from its partner STA and is specified in microseconds. A STA overrides the value of its local </w:t>
      </w:r>
      <w:r w:rsidRPr="009448FC">
        <w:lastRenderedPageBreak/>
        <w:t>dot11SPIdleTimeout variable with the value of this field when it receives this element from its PCP/AP.</w:t>
      </w:r>
    </w:p>
    <w:p w:rsidR="000349EB" w:rsidRDefault="000349EB" w:rsidP="00004CB5"/>
    <w:p w:rsidR="000349EB" w:rsidRDefault="000349EB" w:rsidP="000349EB">
      <w:pPr>
        <w:autoSpaceDE w:val="0"/>
        <w:autoSpaceDN w:val="0"/>
        <w:adjustRightInd w:val="0"/>
      </w:pPr>
      <w:r>
        <w:t>The MaxLostBeacons field contains the value of the dot11MaxLostBeacons attribute. A STA overrides the value of its local dot11MaxLostBeacons attribute with the value of this field when it receives this element from its PCP/AP.</w:t>
      </w:r>
      <w:r w:rsidR="00080054">
        <w:t xml:space="preserve"> </w:t>
      </w:r>
    </w:p>
    <w:p w:rsidR="00004CB5" w:rsidRPr="009448FC" w:rsidRDefault="00004CB5" w:rsidP="00825ACD"/>
    <w:p w:rsidR="00A17A0D" w:rsidRPr="009448FC" w:rsidRDefault="000603DD" w:rsidP="003701DB">
      <w:pPr>
        <w:pStyle w:val="Heading4"/>
        <w:numPr>
          <w:ilvl w:val="3"/>
          <w:numId w:val="152"/>
        </w:numPr>
      </w:pPr>
      <w:bookmarkStart w:id="576" w:name="_Ref244234532"/>
      <w:bookmarkStart w:id="577" w:name="_Toc259716930"/>
      <w:r w:rsidRPr="009448FC">
        <w:t>m</w:t>
      </w:r>
      <w:r w:rsidR="00A17A0D" w:rsidRPr="009448FC">
        <w:t>mWave Beam refinement element</w:t>
      </w:r>
      <w:bookmarkEnd w:id="576"/>
      <w:bookmarkEnd w:id="577"/>
    </w:p>
    <w:p w:rsidR="0038240D" w:rsidRPr="009448FC" w:rsidRDefault="0038240D" w:rsidP="001A5A04"/>
    <w:p w:rsidR="00591E5F" w:rsidRPr="009448FC" w:rsidRDefault="00591E5F" w:rsidP="001A5A04">
      <w:pPr>
        <w:rPr>
          <w:lang w:val="fr-FR"/>
        </w:rPr>
      </w:pPr>
      <w:r w:rsidRPr="009448FC">
        <w:t xml:space="preserve">The mmWave Beam Refinement </w:t>
      </w:r>
      <w:r w:rsidR="00072841">
        <w:t xml:space="preserve">element </w:t>
      </w:r>
      <w:r w:rsidRPr="009448FC">
        <w:t>is defined as shown in</w:t>
      </w:r>
      <w:r w:rsidR="001A5A04" w:rsidRPr="009448FC">
        <w:t xml:space="preserve"> </w:t>
      </w:r>
      <w:r w:rsidR="00BD151C" w:rsidRPr="009448FC">
        <w:fldChar w:fldCharType="begin"/>
      </w:r>
      <w:r w:rsidR="001A5A04" w:rsidRPr="009448FC">
        <w:instrText xml:space="preserve"> REF _Ref244098709 \h </w:instrText>
      </w:r>
      <w:r w:rsidR="00BD151C" w:rsidRPr="009448FC">
        <w:fldChar w:fldCharType="separate"/>
      </w:r>
      <w:r w:rsidR="003E4210" w:rsidRPr="00066F65">
        <w:rPr>
          <w:lang w:val="fr-FR"/>
        </w:rPr>
        <w:t xml:space="preserve">Figure </w:t>
      </w:r>
      <w:r w:rsidR="003E4210">
        <w:rPr>
          <w:noProof/>
          <w:lang w:val="fr-FR"/>
        </w:rPr>
        <w:t>37</w:t>
      </w:r>
      <w:r w:rsidR="00BD151C" w:rsidRPr="009448FC">
        <w:fldChar w:fldCharType="end"/>
      </w:r>
      <w:r w:rsidRPr="009448FC">
        <w:t>.</w:t>
      </w:r>
      <w:r w:rsidRPr="009448FC" w:rsidDel="000B386F">
        <w:t xml:space="preserve"> </w:t>
      </w:r>
    </w:p>
    <w:p w:rsidR="001A5A04" w:rsidRPr="009448FC" w:rsidRDefault="001A5A04" w:rsidP="00591E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218"/>
        <w:gridCol w:w="948"/>
        <w:gridCol w:w="990"/>
        <w:gridCol w:w="1652"/>
        <w:gridCol w:w="1712"/>
        <w:gridCol w:w="1260"/>
        <w:gridCol w:w="1666"/>
      </w:tblGrid>
      <w:tr w:rsidR="00D0037C" w:rsidRPr="00066F65" w:rsidTr="005A1DBD">
        <w:trPr>
          <w:jc w:val="center"/>
        </w:trPr>
        <w:tc>
          <w:tcPr>
            <w:tcW w:w="0" w:type="auto"/>
          </w:tcPr>
          <w:p w:rsidR="00B13BCC" w:rsidRPr="009448FC" w:rsidRDefault="00B13BCC" w:rsidP="00D0037C">
            <w:pPr>
              <w:jc w:val="both"/>
              <w:rPr>
                <w:rFonts w:eastAsia="SimSun"/>
              </w:rPr>
            </w:pPr>
          </w:p>
        </w:tc>
        <w:tc>
          <w:tcPr>
            <w:tcW w:w="0" w:type="auto"/>
          </w:tcPr>
          <w:p w:rsidR="00B13BCC" w:rsidRPr="009448FC" w:rsidRDefault="00B13BCC" w:rsidP="00D0037C">
            <w:pPr>
              <w:jc w:val="both"/>
              <w:rPr>
                <w:rFonts w:eastAsia="SimSun"/>
              </w:rPr>
            </w:pPr>
            <w:r w:rsidRPr="009448FC">
              <w:rPr>
                <w:rFonts w:eastAsia="SimSun"/>
              </w:rPr>
              <w:t>Element ID</w:t>
            </w:r>
          </w:p>
        </w:tc>
        <w:tc>
          <w:tcPr>
            <w:tcW w:w="0" w:type="auto"/>
          </w:tcPr>
          <w:p w:rsidR="00B13BCC" w:rsidRPr="009448FC" w:rsidRDefault="00B13BCC" w:rsidP="00D0037C">
            <w:pPr>
              <w:jc w:val="both"/>
              <w:rPr>
                <w:rFonts w:eastAsia="SimSun"/>
              </w:rPr>
            </w:pPr>
            <w:r w:rsidRPr="009448FC">
              <w:rPr>
                <w:rFonts w:eastAsia="SimSun"/>
              </w:rPr>
              <w:t>Length</w:t>
            </w:r>
          </w:p>
        </w:tc>
        <w:tc>
          <w:tcPr>
            <w:tcW w:w="0" w:type="auto"/>
          </w:tcPr>
          <w:p w:rsidR="00B13BCC" w:rsidRPr="009448FC" w:rsidRDefault="00B13BCC" w:rsidP="00D0037C">
            <w:pPr>
              <w:jc w:val="both"/>
              <w:rPr>
                <w:rFonts w:eastAsia="SimSun"/>
              </w:rPr>
            </w:pPr>
            <w:r w:rsidRPr="009448FC">
              <w:rPr>
                <w:rFonts w:eastAsia="SimSun"/>
              </w:rPr>
              <w:t>Initiator</w:t>
            </w:r>
          </w:p>
        </w:tc>
        <w:tc>
          <w:tcPr>
            <w:tcW w:w="0" w:type="auto"/>
          </w:tcPr>
          <w:p w:rsidR="00B13BCC" w:rsidRPr="009448FC" w:rsidRDefault="00B13BCC" w:rsidP="00D0037C">
            <w:pPr>
              <w:jc w:val="both"/>
              <w:rPr>
                <w:rFonts w:eastAsia="SimSun"/>
              </w:rPr>
            </w:pPr>
            <w:r w:rsidRPr="009448FC">
              <w:rPr>
                <w:rFonts w:eastAsia="SimSun"/>
              </w:rPr>
              <w:t>TX-train-response</w:t>
            </w:r>
          </w:p>
        </w:tc>
        <w:tc>
          <w:tcPr>
            <w:tcW w:w="0" w:type="auto"/>
          </w:tcPr>
          <w:p w:rsidR="00B13BCC" w:rsidRPr="009448FC" w:rsidRDefault="00B13BCC" w:rsidP="00D0037C">
            <w:pPr>
              <w:jc w:val="both"/>
              <w:rPr>
                <w:rFonts w:eastAsia="SimSun"/>
              </w:rPr>
            </w:pPr>
            <w:r w:rsidRPr="009448FC">
              <w:rPr>
                <w:rFonts w:eastAsia="SimSun"/>
              </w:rPr>
              <w:t>RX-Train-response</w:t>
            </w:r>
          </w:p>
        </w:tc>
        <w:tc>
          <w:tcPr>
            <w:tcW w:w="0" w:type="auto"/>
          </w:tcPr>
          <w:p w:rsidR="00B13BCC" w:rsidRPr="009448FC" w:rsidRDefault="00B13BCC" w:rsidP="00D0037C">
            <w:pPr>
              <w:jc w:val="both"/>
              <w:rPr>
                <w:rFonts w:eastAsia="SimSun"/>
              </w:rPr>
            </w:pPr>
            <w:r w:rsidRPr="009448FC">
              <w:rPr>
                <w:rFonts w:eastAsia="SimSun"/>
              </w:rPr>
              <w:t>TX-TRN-OK</w:t>
            </w:r>
          </w:p>
        </w:tc>
        <w:tc>
          <w:tcPr>
            <w:tcW w:w="0" w:type="auto"/>
          </w:tcPr>
          <w:p w:rsidR="00B13BCC" w:rsidRPr="009448FC" w:rsidRDefault="00B13BCC" w:rsidP="00D0037C">
            <w:pPr>
              <w:jc w:val="both"/>
              <w:rPr>
                <w:rFonts w:eastAsia="SimSun"/>
              </w:rPr>
            </w:pPr>
            <w:r w:rsidRPr="009448FC">
              <w:rPr>
                <w:rFonts w:eastAsia="SimSun"/>
              </w:rPr>
              <w:t>TXSS-FBCK-REQ</w:t>
            </w:r>
          </w:p>
        </w:tc>
      </w:tr>
      <w:tr w:rsidR="00D0037C" w:rsidRPr="00066F65" w:rsidTr="005A1DBD">
        <w:trPr>
          <w:jc w:val="center"/>
        </w:trPr>
        <w:tc>
          <w:tcPr>
            <w:tcW w:w="0" w:type="auto"/>
          </w:tcPr>
          <w:p w:rsidR="00B13BCC" w:rsidRPr="009448FC" w:rsidRDefault="00B13BCC" w:rsidP="00D0037C">
            <w:pPr>
              <w:jc w:val="both"/>
              <w:rPr>
                <w:rFonts w:eastAsia="SimSun"/>
              </w:rPr>
            </w:pPr>
            <w:r w:rsidRPr="009448FC">
              <w:rPr>
                <w:rFonts w:eastAsia="SimSun"/>
              </w:rPr>
              <w:t>Bits:</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0-</w:t>
            </w:r>
            <w:r w:rsidRPr="009448FC">
              <w:rPr>
                <w:rFonts w:eastAsia="SimSun"/>
              </w:rPr>
              <w:t>B</w:t>
            </w:r>
            <w:r w:rsidR="00DC08B2" w:rsidRPr="009448FC">
              <w:rPr>
                <w:rFonts w:eastAsia="SimSun"/>
              </w:rPr>
              <w:t>7</w:t>
            </w:r>
          </w:p>
        </w:tc>
        <w:tc>
          <w:tcPr>
            <w:tcW w:w="0" w:type="auto"/>
          </w:tcPr>
          <w:p w:rsidR="00B13BCC" w:rsidRPr="009448FC" w:rsidRDefault="007F6CF1" w:rsidP="00DC08B2">
            <w:pPr>
              <w:jc w:val="center"/>
              <w:rPr>
                <w:rFonts w:eastAsia="SimSun"/>
              </w:rPr>
            </w:pPr>
            <w:r w:rsidRPr="009448FC">
              <w:rPr>
                <w:rFonts w:eastAsia="SimSun"/>
              </w:rPr>
              <w:t>B</w:t>
            </w:r>
            <w:r w:rsidR="00DC08B2" w:rsidRPr="009448FC">
              <w:rPr>
                <w:rFonts w:eastAsia="SimSun"/>
              </w:rPr>
              <w:t>8</w:t>
            </w:r>
            <w:r w:rsidR="00D206D6" w:rsidRPr="009448FC">
              <w:rPr>
                <w:rFonts w:eastAsia="SimSun"/>
              </w:rPr>
              <w:t>-</w:t>
            </w:r>
            <w:r w:rsidRPr="009448FC">
              <w:rPr>
                <w:rFonts w:eastAsia="SimSun"/>
              </w:rPr>
              <w:t>B</w:t>
            </w:r>
            <w:r w:rsidR="00D206D6" w:rsidRPr="009448FC">
              <w:rPr>
                <w:rFonts w:eastAsia="SimSun"/>
              </w:rPr>
              <w:t>15</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16</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17</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18</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19</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20</w:t>
            </w:r>
          </w:p>
        </w:tc>
      </w:tr>
    </w:tbl>
    <w:p w:rsidR="00D206D6" w:rsidRPr="00066F65" w:rsidRDefault="00D206D6" w:rsidP="00BA5BC4">
      <w:pPr>
        <w:pStyle w:val="Caption"/>
        <w:rPr>
          <w:lang w:val="fr-FR"/>
        </w:rPr>
      </w:pPr>
      <w:bookmarkStart w:id="578" w:name="_Ref236485604"/>
      <w:bookmarkStart w:id="579" w:name="_Toc228067066"/>
      <w:bookmarkStart w:id="580" w:name="_Ref234220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9"/>
        <w:gridCol w:w="1443"/>
        <w:gridCol w:w="1740"/>
        <w:gridCol w:w="1803"/>
        <w:gridCol w:w="1447"/>
        <w:gridCol w:w="1447"/>
        <w:gridCol w:w="1447"/>
      </w:tblGrid>
      <w:tr w:rsidR="00B8107A" w:rsidRPr="00066F65" w:rsidTr="00072841">
        <w:trPr>
          <w:jc w:val="center"/>
        </w:trPr>
        <w:tc>
          <w:tcPr>
            <w:tcW w:w="390" w:type="pct"/>
          </w:tcPr>
          <w:p w:rsidR="00B8107A" w:rsidRPr="009448FC" w:rsidRDefault="00B8107A" w:rsidP="00DE0047">
            <w:pPr>
              <w:jc w:val="both"/>
              <w:rPr>
                <w:rFonts w:eastAsia="SimSun"/>
              </w:rPr>
            </w:pPr>
          </w:p>
        </w:tc>
        <w:tc>
          <w:tcPr>
            <w:tcW w:w="713" w:type="pct"/>
          </w:tcPr>
          <w:p w:rsidR="00B8107A" w:rsidRPr="009448FC" w:rsidRDefault="00B8107A" w:rsidP="00DE0047">
            <w:pPr>
              <w:jc w:val="both"/>
              <w:rPr>
                <w:rFonts w:eastAsia="SimSun"/>
              </w:rPr>
            </w:pPr>
            <w:r w:rsidRPr="009448FC">
              <w:rPr>
                <w:rFonts w:eastAsia="SimSun"/>
              </w:rPr>
              <w:t>BS-FBCK</w:t>
            </w:r>
          </w:p>
        </w:tc>
        <w:tc>
          <w:tcPr>
            <w:tcW w:w="860" w:type="pct"/>
          </w:tcPr>
          <w:p w:rsidR="00B8107A" w:rsidRPr="009448FC" w:rsidRDefault="00B8107A" w:rsidP="00DE0047">
            <w:pPr>
              <w:jc w:val="center"/>
              <w:rPr>
                <w:rFonts w:eastAsia="SimSun"/>
              </w:rPr>
            </w:pPr>
            <w:r w:rsidRPr="009448FC">
              <w:rPr>
                <w:rFonts w:eastAsia="SimSun"/>
              </w:rPr>
              <w:t>FBCK-REQ</w:t>
            </w:r>
          </w:p>
        </w:tc>
        <w:tc>
          <w:tcPr>
            <w:tcW w:w="891" w:type="pct"/>
          </w:tcPr>
          <w:p w:rsidR="00B8107A" w:rsidRPr="009448FC" w:rsidRDefault="00B8107A" w:rsidP="00DE0047">
            <w:pPr>
              <w:jc w:val="both"/>
              <w:rPr>
                <w:rFonts w:eastAsia="SimSun"/>
              </w:rPr>
            </w:pPr>
            <w:r w:rsidRPr="009448FC">
              <w:rPr>
                <w:rFonts w:eastAsia="SimSun"/>
              </w:rPr>
              <w:t>FBCK-TYPE</w:t>
            </w:r>
          </w:p>
        </w:tc>
        <w:tc>
          <w:tcPr>
            <w:tcW w:w="715" w:type="pct"/>
          </w:tcPr>
          <w:p w:rsidR="00B8107A" w:rsidRPr="009448FC" w:rsidRDefault="00B8107A" w:rsidP="00DE0047">
            <w:pPr>
              <w:jc w:val="both"/>
              <w:rPr>
                <w:rFonts w:eastAsia="SimSun"/>
              </w:rPr>
            </w:pPr>
            <w:r w:rsidRPr="009448FC">
              <w:rPr>
                <w:rFonts w:eastAsia="SimSun"/>
              </w:rPr>
              <w:t>MID extension</w:t>
            </w:r>
          </w:p>
        </w:tc>
        <w:tc>
          <w:tcPr>
            <w:tcW w:w="715" w:type="pct"/>
          </w:tcPr>
          <w:p w:rsidR="00B8107A" w:rsidRPr="009448FC" w:rsidRDefault="00B8107A" w:rsidP="00DE0047">
            <w:pPr>
              <w:jc w:val="both"/>
              <w:rPr>
                <w:rFonts w:eastAsia="SimSun"/>
              </w:rPr>
            </w:pPr>
            <w:r>
              <w:rPr>
                <w:rFonts w:eastAsia="SimSun"/>
              </w:rPr>
              <w:t>Capability Request</w:t>
            </w:r>
          </w:p>
        </w:tc>
        <w:tc>
          <w:tcPr>
            <w:tcW w:w="715" w:type="pct"/>
          </w:tcPr>
          <w:p w:rsidR="00B8107A" w:rsidRPr="009448FC" w:rsidRDefault="00B8107A" w:rsidP="00DE0047">
            <w:pPr>
              <w:jc w:val="both"/>
              <w:rPr>
                <w:rFonts w:eastAsia="SimSun"/>
              </w:rPr>
            </w:pPr>
            <w:r w:rsidRPr="009448FC">
              <w:rPr>
                <w:rFonts w:eastAsia="SimSun"/>
              </w:rPr>
              <w:t>Reserved</w:t>
            </w:r>
          </w:p>
        </w:tc>
      </w:tr>
      <w:tr w:rsidR="00B8107A" w:rsidRPr="00066F65" w:rsidTr="00072841">
        <w:trPr>
          <w:jc w:val="center"/>
        </w:trPr>
        <w:tc>
          <w:tcPr>
            <w:tcW w:w="390" w:type="pct"/>
          </w:tcPr>
          <w:p w:rsidR="00B8107A" w:rsidRPr="009448FC" w:rsidRDefault="00B8107A" w:rsidP="00DE0047">
            <w:pPr>
              <w:jc w:val="both"/>
              <w:rPr>
                <w:rFonts w:eastAsia="SimSun"/>
              </w:rPr>
            </w:pPr>
            <w:r w:rsidRPr="009448FC">
              <w:rPr>
                <w:rFonts w:eastAsia="SimSun"/>
              </w:rPr>
              <w:t>Bits</w:t>
            </w:r>
            <w:r w:rsidR="00072841">
              <w:rPr>
                <w:rFonts w:eastAsia="SimSun"/>
              </w:rPr>
              <w:t>:</w:t>
            </w:r>
          </w:p>
        </w:tc>
        <w:tc>
          <w:tcPr>
            <w:tcW w:w="713" w:type="pct"/>
          </w:tcPr>
          <w:p w:rsidR="00B8107A" w:rsidRPr="009448FC" w:rsidRDefault="00B8107A" w:rsidP="00A3781E">
            <w:pPr>
              <w:jc w:val="center"/>
              <w:rPr>
                <w:rFonts w:eastAsia="SimSun"/>
              </w:rPr>
            </w:pPr>
            <w:r w:rsidRPr="009448FC">
              <w:rPr>
                <w:rFonts w:eastAsia="SimSun"/>
              </w:rPr>
              <w:t>B2</w:t>
            </w:r>
            <w:r>
              <w:rPr>
                <w:rFonts w:eastAsia="SimSun"/>
              </w:rPr>
              <w:t>1</w:t>
            </w:r>
            <w:r w:rsidRPr="009448FC">
              <w:rPr>
                <w:rFonts w:eastAsia="SimSun"/>
              </w:rPr>
              <w:t>-B</w:t>
            </w:r>
            <w:r>
              <w:rPr>
                <w:rFonts w:eastAsia="SimSun"/>
              </w:rPr>
              <w:t>26</w:t>
            </w:r>
          </w:p>
        </w:tc>
        <w:tc>
          <w:tcPr>
            <w:tcW w:w="860" w:type="pct"/>
          </w:tcPr>
          <w:p w:rsidR="00B8107A" w:rsidRPr="009448FC" w:rsidRDefault="00B8107A" w:rsidP="008F6299">
            <w:pPr>
              <w:jc w:val="center"/>
              <w:rPr>
                <w:rFonts w:eastAsia="SimSun"/>
              </w:rPr>
            </w:pPr>
            <w:r w:rsidRPr="009448FC">
              <w:rPr>
                <w:rFonts w:eastAsia="SimSun"/>
              </w:rPr>
              <w:t>B</w:t>
            </w:r>
            <w:r>
              <w:rPr>
                <w:rFonts w:eastAsia="SimSun"/>
              </w:rPr>
              <w:t>27</w:t>
            </w:r>
            <w:r w:rsidRPr="009448FC">
              <w:rPr>
                <w:rFonts w:eastAsia="SimSun"/>
              </w:rPr>
              <w:t>-B3</w:t>
            </w:r>
            <w:r w:rsidR="008F6299">
              <w:rPr>
                <w:rFonts w:eastAsia="SimSun"/>
              </w:rPr>
              <w:t>1</w:t>
            </w:r>
          </w:p>
        </w:tc>
        <w:tc>
          <w:tcPr>
            <w:tcW w:w="891" w:type="pct"/>
          </w:tcPr>
          <w:p w:rsidR="00F57C8A" w:rsidRDefault="00B8107A">
            <w:pPr>
              <w:jc w:val="center"/>
              <w:rPr>
                <w:rFonts w:eastAsia="SimSun"/>
              </w:rPr>
            </w:pPr>
            <w:r w:rsidRPr="009448FC">
              <w:rPr>
                <w:rFonts w:eastAsia="SimSun"/>
              </w:rPr>
              <w:t>B3</w:t>
            </w:r>
            <w:r w:rsidR="008F6299">
              <w:rPr>
                <w:rFonts w:eastAsia="SimSun"/>
              </w:rPr>
              <w:t>2</w:t>
            </w:r>
            <w:r w:rsidRPr="009448FC">
              <w:rPr>
                <w:rFonts w:eastAsia="SimSun"/>
              </w:rPr>
              <w:t>-</w:t>
            </w:r>
            <w:r w:rsidR="00A94A8C" w:rsidRPr="009448FC">
              <w:rPr>
                <w:rFonts w:eastAsia="SimSun"/>
              </w:rPr>
              <w:t>B4</w:t>
            </w:r>
            <w:r w:rsidR="00A94A8C">
              <w:rPr>
                <w:rFonts w:eastAsia="SimSun"/>
              </w:rPr>
              <w:t>8</w:t>
            </w:r>
          </w:p>
        </w:tc>
        <w:tc>
          <w:tcPr>
            <w:tcW w:w="715" w:type="pct"/>
          </w:tcPr>
          <w:p w:rsidR="00F57C8A" w:rsidRDefault="00A94A8C">
            <w:pPr>
              <w:jc w:val="center"/>
              <w:rPr>
                <w:rFonts w:eastAsia="SimSun"/>
              </w:rPr>
            </w:pPr>
            <w:r w:rsidRPr="009448FC">
              <w:rPr>
                <w:rFonts w:eastAsia="SimSun"/>
              </w:rPr>
              <w:t>B4</w:t>
            </w:r>
            <w:r>
              <w:rPr>
                <w:rFonts w:eastAsia="SimSun"/>
              </w:rPr>
              <w:t>9</w:t>
            </w:r>
          </w:p>
        </w:tc>
        <w:tc>
          <w:tcPr>
            <w:tcW w:w="715" w:type="pct"/>
          </w:tcPr>
          <w:p w:rsidR="00F57C8A" w:rsidRDefault="00A94A8C">
            <w:pPr>
              <w:jc w:val="center"/>
              <w:rPr>
                <w:rFonts w:eastAsia="SimSun"/>
              </w:rPr>
            </w:pPr>
            <w:r>
              <w:rPr>
                <w:rFonts w:eastAsia="SimSun"/>
              </w:rPr>
              <w:t>B50</w:t>
            </w:r>
          </w:p>
        </w:tc>
        <w:tc>
          <w:tcPr>
            <w:tcW w:w="715" w:type="pct"/>
          </w:tcPr>
          <w:p w:rsidR="00F57C8A" w:rsidRDefault="00A94A8C">
            <w:pPr>
              <w:jc w:val="center"/>
              <w:rPr>
                <w:rFonts w:eastAsia="SimSun"/>
              </w:rPr>
            </w:pPr>
            <w:r w:rsidRPr="009448FC">
              <w:rPr>
                <w:rFonts w:eastAsia="SimSun"/>
              </w:rPr>
              <w:t>B</w:t>
            </w:r>
            <w:r>
              <w:rPr>
                <w:rFonts w:eastAsia="SimSun"/>
              </w:rPr>
              <w:t>51</w:t>
            </w:r>
            <w:r w:rsidR="00B8107A" w:rsidRPr="009448FC">
              <w:rPr>
                <w:rFonts w:eastAsia="SimSun"/>
              </w:rPr>
              <w:t>-B</w:t>
            </w:r>
            <w:r w:rsidR="008F6299">
              <w:rPr>
                <w:rFonts w:eastAsia="SimSun"/>
              </w:rPr>
              <w:t>55</w:t>
            </w:r>
          </w:p>
        </w:tc>
      </w:tr>
    </w:tbl>
    <w:p w:rsidR="00D206D6" w:rsidRPr="00066F65" w:rsidRDefault="00D206D6" w:rsidP="00BA5BC4">
      <w:pPr>
        <w:pStyle w:val="Caption"/>
        <w:rPr>
          <w:lang w:val="fr-FR"/>
        </w:rPr>
      </w:pPr>
    </w:p>
    <w:p w:rsidR="00591E5F" w:rsidRPr="00066F65" w:rsidRDefault="00591E5F" w:rsidP="00BA5BC4">
      <w:pPr>
        <w:pStyle w:val="Caption"/>
        <w:rPr>
          <w:lang w:val="fr-FR"/>
        </w:rPr>
      </w:pPr>
      <w:bookmarkStart w:id="581" w:name="_Ref244098709"/>
      <w:bookmarkStart w:id="582" w:name="_Toc259717469"/>
      <w:r w:rsidRPr="00066F65">
        <w:rPr>
          <w:lang w:val="fr-FR"/>
        </w:rPr>
        <w:t xml:space="preserve">Figure </w:t>
      </w:r>
      <w:r w:rsidR="00BD151C" w:rsidRPr="00066F65">
        <w:fldChar w:fldCharType="begin"/>
      </w:r>
      <w:r w:rsidRPr="00066F65">
        <w:rPr>
          <w:lang w:val="fr-FR"/>
        </w:rPr>
        <w:instrText xml:space="preserve"> SEQ Figure \* ARABIC </w:instrText>
      </w:r>
      <w:r w:rsidR="00BD151C" w:rsidRPr="00066F65">
        <w:fldChar w:fldCharType="separate"/>
      </w:r>
      <w:r w:rsidR="003E4210">
        <w:rPr>
          <w:noProof/>
          <w:lang w:val="fr-FR"/>
        </w:rPr>
        <w:t>37</w:t>
      </w:r>
      <w:r w:rsidR="00BD151C" w:rsidRPr="00066F65">
        <w:fldChar w:fldCharType="end"/>
      </w:r>
      <w:bookmarkEnd w:id="578"/>
      <w:bookmarkEnd w:id="581"/>
      <w:r w:rsidRPr="00066F65">
        <w:rPr>
          <w:lang w:val="fr-FR"/>
        </w:rPr>
        <w:t xml:space="preserve"> – Beam refinement element format</w:t>
      </w:r>
      <w:bookmarkEnd w:id="579"/>
      <w:bookmarkEnd w:id="580"/>
      <w:bookmarkEnd w:id="582"/>
    </w:p>
    <w:p w:rsidR="00591E5F" w:rsidRPr="009448FC" w:rsidRDefault="00591E5F" w:rsidP="00591E5F">
      <w:r w:rsidRPr="009448FC">
        <w:t>A value of 1 in the Initiator field indicates that the sender is the beam refinement initiator.</w:t>
      </w:r>
      <w:r w:rsidR="00281486" w:rsidRPr="009448FC">
        <w:t xml:space="preserve"> </w:t>
      </w:r>
      <w:r w:rsidRPr="009448FC">
        <w:t>Otherwise this field is set to zero.</w:t>
      </w:r>
    </w:p>
    <w:p w:rsidR="00591E5F" w:rsidRPr="009448FC" w:rsidRDefault="00591E5F" w:rsidP="00591E5F"/>
    <w:p w:rsidR="00591E5F" w:rsidRPr="009448FC" w:rsidRDefault="00591E5F" w:rsidP="00591E5F">
      <w:r w:rsidRPr="009448FC">
        <w:t>A value of 1 in the TX-train-response field indicates that this packet is the response to a TX training request.</w:t>
      </w:r>
      <w:r w:rsidR="00281486" w:rsidRPr="009448FC">
        <w:t xml:space="preserve"> </w:t>
      </w:r>
      <w:r w:rsidRPr="009448FC">
        <w:t>Otherwise this field is set to zero.</w:t>
      </w:r>
    </w:p>
    <w:p w:rsidR="00591E5F" w:rsidRPr="009448FC" w:rsidRDefault="00591E5F" w:rsidP="00591E5F"/>
    <w:p w:rsidR="00591E5F" w:rsidRPr="009448FC" w:rsidRDefault="00591E5F" w:rsidP="00591E5F">
      <w:r w:rsidRPr="009448FC">
        <w:t>A value of 1 in the RX-train-response field indicates that the packet servers as an acknowledgem</w:t>
      </w:r>
      <w:r w:rsidR="00106F90" w:rsidRPr="009448FC">
        <w:t xml:space="preserve">ent for a RX training request. </w:t>
      </w:r>
      <w:r w:rsidRPr="009448FC">
        <w:t>Otherwise this field is set to zero.</w:t>
      </w:r>
    </w:p>
    <w:p w:rsidR="00591E5F" w:rsidRPr="009448FC" w:rsidRDefault="00591E5F" w:rsidP="00591E5F"/>
    <w:p w:rsidR="00591E5F" w:rsidRPr="009448FC" w:rsidRDefault="00591E5F" w:rsidP="00591E5F">
      <w:r w:rsidRPr="009448FC">
        <w:t>A value of 1 in the TX-TRN-OK field confirms a previous training request received by a STA.</w:t>
      </w:r>
      <w:r w:rsidR="00EE1100" w:rsidRPr="009448FC">
        <w:t xml:space="preserve"> </w:t>
      </w:r>
      <w:r w:rsidRPr="009448FC">
        <w:t>Otherwise this field is set to zero.</w:t>
      </w:r>
    </w:p>
    <w:p w:rsidR="00B13BCC" w:rsidRPr="009448FC" w:rsidRDefault="00B13BCC" w:rsidP="00591E5F"/>
    <w:p w:rsidR="00591E5F" w:rsidRPr="009448FC" w:rsidRDefault="00B13BCC" w:rsidP="0053357F">
      <w:r w:rsidRPr="009448FC">
        <w:t>A value of 1 in the TXSS-FBCK-REQ indicates a request for transmit sector sweep feedback.</w:t>
      </w:r>
    </w:p>
    <w:p w:rsidR="00591E5F" w:rsidRPr="009448FC" w:rsidRDefault="00591E5F" w:rsidP="00591E5F"/>
    <w:p w:rsidR="00591E5F" w:rsidRPr="009448FC" w:rsidRDefault="00591E5F" w:rsidP="00591E5F">
      <w:r w:rsidRPr="009448FC">
        <w:t>BS-FBCK specifies the best sector. It indicates the index of the antenna configuration that resulted in the best receive quality in the last received BRP-TX packet.</w:t>
      </w:r>
      <w:r w:rsidR="00486408" w:rsidRPr="009448FC">
        <w:t xml:space="preserve"> </w:t>
      </w:r>
      <w:r w:rsidRPr="009448FC">
        <w:t>If the last received packet was not a BRP-TX packet, this field is set to zero.</w:t>
      </w:r>
      <w:r w:rsidR="00EC6DD1" w:rsidRPr="009448FC">
        <w:t xml:space="preserve"> The determination of the best sector is implementation dependent.</w:t>
      </w:r>
    </w:p>
    <w:p w:rsidR="00591E5F" w:rsidRDefault="00591E5F" w:rsidP="00591E5F"/>
    <w:p w:rsidR="00591E5F" w:rsidRPr="009448FC" w:rsidRDefault="00591E5F" w:rsidP="00591E5F">
      <w:r w:rsidRPr="009448FC">
        <w:t xml:space="preserve">FBCK-REQ field is defined in </w:t>
      </w:r>
      <w:r w:rsidR="00BD151C">
        <w:fldChar w:fldCharType="begin"/>
      </w:r>
      <w:r>
        <w:instrText xml:space="preserve"> REF _Ref231104369 \h </w:instrText>
      </w:r>
      <w:r w:rsidR="00BD151C">
        <w:fldChar w:fldCharType="separate"/>
      </w:r>
      <w:r w:rsidR="003E4210" w:rsidRPr="00066F65">
        <w:t xml:space="preserve">Table </w:t>
      </w:r>
      <w:r w:rsidR="003E4210">
        <w:rPr>
          <w:noProof/>
        </w:rPr>
        <w:t>11</w:t>
      </w:r>
      <w:r w:rsidR="00BD151C">
        <w:fldChar w:fldCharType="end"/>
      </w:r>
      <w:r w:rsidRPr="009448FC">
        <w:t>.</w:t>
      </w:r>
    </w:p>
    <w:p w:rsidR="00591E5F" w:rsidRPr="009448FC" w:rsidRDefault="00591E5F" w:rsidP="00591E5F"/>
    <w:p w:rsidR="00591E5F" w:rsidRPr="00066F65" w:rsidRDefault="00591E5F" w:rsidP="009448FC">
      <w:pPr>
        <w:pStyle w:val="Caption"/>
        <w:keepNext/>
      </w:pPr>
      <w:bookmarkStart w:id="583" w:name="_Ref231104369"/>
      <w:bookmarkStart w:id="584" w:name="_Toc250654414"/>
      <w:bookmarkStart w:id="585" w:name="_Toc259717589"/>
      <w:r w:rsidRPr="00066F65">
        <w:t xml:space="preserve">Table </w:t>
      </w:r>
      <w:r w:rsidR="00BD151C">
        <w:fldChar w:fldCharType="begin"/>
      </w:r>
      <w:r w:rsidR="00801316">
        <w:instrText xml:space="preserve"> SEQ Table \* ARABIC </w:instrText>
      </w:r>
      <w:r w:rsidR="00BD151C">
        <w:fldChar w:fldCharType="separate"/>
      </w:r>
      <w:r w:rsidR="003E4210">
        <w:rPr>
          <w:noProof/>
        </w:rPr>
        <w:t>11</w:t>
      </w:r>
      <w:r w:rsidR="00BD151C">
        <w:fldChar w:fldCharType="end"/>
      </w:r>
      <w:bookmarkEnd w:id="583"/>
      <w:r w:rsidRPr="00066F65">
        <w:t xml:space="preserve"> </w:t>
      </w:r>
      <w:r w:rsidR="00DB1AFB" w:rsidRPr="00066F65">
        <w:t xml:space="preserve">– </w:t>
      </w:r>
      <w:r w:rsidRPr="00066F65">
        <w:t>FBCK-REQ fields</w:t>
      </w:r>
      <w:bookmarkEnd w:id="584"/>
      <w:bookmarkEnd w:id="585"/>
      <w:r w:rsidR="00BE1F3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2"/>
        <w:gridCol w:w="1892"/>
        <w:gridCol w:w="4852"/>
      </w:tblGrid>
      <w:tr w:rsidR="0010679A" w:rsidRPr="00066F65" w:rsidTr="0010679A">
        <w:trPr>
          <w:tblHeader/>
        </w:trPr>
        <w:tc>
          <w:tcPr>
            <w:tcW w:w="1667" w:type="pct"/>
          </w:tcPr>
          <w:p w:rsidR="0010679A" w:rsidRPr="00C46393" w:rsidRDefault="0010679A" w:rsidP="00D0037C">
            <w:pPr>
              <w:jc w:val="both"/>
              <w:rPr>
                <w:rFonts w:eastAsia="SimSun"/>
                <w:b/>
              </w:rPr>
            </w:pPr>
            <w:r w:rsidRPr="00C46393">
              <w:rPr>
                <w:rFonts w:eastAsia="SimSun"/>
                <w:b/>
              </w:rPr>
              <w:t>Field</w:t>
            </w:r>
          </w:p>
        </w:tc>
        <w:tc>
          <w:tcPr>
            <w:tcW w:w="935" w:type="pct"/>
          </w:tcPr>
          <w:p w:rsidR="0010679A" w:rsidRPr="00C46393" w:rsidRDefault="0010679A" w:rsidP="00D0037C">
            <w:pPr>
              <w:jc w:val="both"/>
              <w:rPr>
                <w:rFonts w:eastAsia="SimSun"/>
                <w:b/>
              </w:rPr>
            </w:pPr>
            <w:r w:rsidRPr="00C46393">
              <w:rPr>
                <w:rFonts w:eastAsia="SimSun"/>
                <w:b/>
              </w:rPr>
              <w:t>Size (bits)</w:t>
            </w:r>
          </w:p>
        </w:tc>
        <w:tc>
          <w:tcPr>
            <w:tcW w:w="2398" w:type="pct"/>
          </w:tcPr>
          <w:p w:rsidR="0010679A" w:rsidRPr="00C46393" w:rsidRDefault="0010679A" w:rsidP="00D0037C">
            <w:pPr>
              <w:jc w:val="both"/>
              <w:rPr>
                <w:rFonts w:eastAsia="SimSun"/>
                <w:b/>
              </w:rPr>
            </w:pPr>
            <w:r w:rsidRPr="00C46393">
              <w:rPr>
                <w:rFonts w:eastAsia="SimSun"/>
                <w:b/>
              </w:rPr>
              <w:t>Meaning</w:t>
            </w:r>
          </w:p>
        </w:tc>
      </w:tr>
      <w:tr w:rsidR="00591E5F" w:rsidRPr="00066F65" w:rsidTr="00D0037C">
        <w:tc>
          <w:tcPr>
            <w:tcW w:w="1667" w:type="pct"/>
          </w:tcPr>
          <w:p w:rsidR="00591E5F" w:rsidRPr="009448FC" w:rsidRDefault="00591E5F" w:rsidP="00D0037C">
            <w:pPr>
              <w:jc w:val="both"/>
              <w:rPr>
                <w:rFonts w:eastAsia="SimSun"/>
              </w:rPr>
            </w:pPr>
            <w:r w:rsidRPr="009448FC">
              <w:rPr>
                <w:rFonts w:eastAsia="SimSun"/>
              </w:rPr>
              <w:t>SNR requested</w:t>
            </w:r>
          </w:p>
        </w:tc>
        <w:tc>
          <w:tcPr>
            <w:tcW w:w="935" w:type="pct"/>
          </w:tcPr>
          <w:p w:rsidR="00591E5F" w:rsidRPr="009448FC" w:rsidRDefault="00591E5F" w:rsidP="00D0037C">
            <w:pPr>
              <w:jc w:val="both"/>
              <w:rPr>
                <w:rFonts w:eastAsia="SimSun"/>
              </w:rPr>
            </w:pPr>
            <w:r w:rsidRPr="009448FC">
              <w:rPr>
                <w:rFonts w:eastAsia="SimSun"/>
              </w:rPr>
              <w:t>1 bit</w:t>
            </w:r>
          </w:p>
        </w:tc>
        <w:tc>
          <w:tcPr>
            <w:tcW w:w="2398" w:type="pct"/>
          </w:tcPr>
          <w:p w:rsidR="00591E5F" w:rsidRPr="009448FC" w:rsidRDefault="001112E0" w:rsidP="00D0037C">
            <w:pPr>
              <w:jc w:val="both"/>
              <w:rPr>
                <w:rFonts w:eastAsia="SimSun"/>
              </w:rPr>
            </w:pPr>
            <w:r w:rsidRPr="001112E0">
              <w:rPr>
                <w:rFonts w:eastAsia="SimSun"/>
              </w:rPr>
              <w:t xml:space="preserve">SNR subfield is requested as part of the channel </w:t>
            </w:r>
            <w:r w:rsidRPr="001112E0">
              <w:rPr>
                <w:rFonts w:eastAsia="SimSun"/>
              </w:rPr>
              <w:lastRenderedPageBreak/>
              <w:t>measurement feedback</w:t>
            </w:r>
          </w:p>
        </w:tc>
      </w:tr>
      <w:tr w:rsidR="00591E5F" w:rsidRPr="00066F65" w:rsidTr="00D0037C">
        <w:tc>
          <w:tcPr>
            <w:tcW w:w="1667" w:type="pct"/>
          </w:tcPr>
          <w:p w:rsidR="00591E5F" w:rsidRPr="009448FC" w:rsidRDefault="00591E5F" w:rsidP="00D0037C">
            <w:pPr>
              <w:jc w:val="both"/>
              <w:rPr>
                <w:rFonts w:eastAsia="SimSun"/>
              </w:rPr>
            </w:pPr>
            <w:r w:rsidRPr="009448FC">
              <w:rPr>
                <w:rFonts w:eastAsia="SimSun"/>
              </w:rPr>
              <w:lastRenderedPageBreak/>
              <w:t>Channel Measurement requested</w:t>
            </w:r>
          </w:p>
        </w:tc>
        <w:tc>
          <w:tcPr>
            <w:tcW w:w="935" w:type="pct"/>
          </w:tcPr>
          <w:p w:rsidR="00591E5F" w:rsidRPr="009448FC" w:rsidRDefault="00591E5F" w:rsidP="00D0037C">
            <w:pPr>
              <w:jc w:val="both"/>
              <w:rPr>
                <w:rFonts w:eastAsia="SimSun"/>
              </w:rPr>
            </w:pPr>
            <w:r w:rsidRPr="009448FC">
              <w:rPr>
                <w:rFonts w:eastAsia="SimSun"/>
              </w:rPr>
              <w:t>1 bit</w:t>
            </w:r>
          </w:p>
        </w:tc>
        <w:tc>
          <w:tcPr>
            <w:tcW w:w="2398" w:type="pct"/>
          </w:tcPr>
          <w:p w:rsidR="00591E5F" w:rsidRPr="009448FC" w:rsidRDefault="00591E5F" w:rsidP="00D0037C">
            <w:pPr>
              <w:jc w:val="both"/>
              <w:rPr>
                <w:rFonts w:eastAsia="SimSun"/>
              </w:rPr>
            </w:pPr>
            <w:r w:rsidRPr="009448FC">
              <w:rPr>
                <w:rFonts w:eastAsia="SimSun"/>
              </w:rPr>
              <w:t>Channel measurement is requested as part of the channel measurement feedback</w:t>
            </w:r>
          </w:p>
        </w:tc>
      </w:tr>
      <w:tr w:rsidR="00591E5F" w:rsidRPr="00066F65" w:rsidTr="00D0037C">
        <w:tc>
          <w:tcPr>
            <w:tcW w:w="1667" w:type="pct"/>
          </w:tcPr>
          <w:p w:rsidR="00591E5F" w:rsidRPr="009448FC" w:rsidRDefault="00591E5F" w:rsidP="00D0037C">
            <w:pPr>
              <w:jc w:val="both"/>
              <w:rPr>
                <w:rFonts w:eastAsia="SimSun"/>
              </w:rPr>
            </w:pPr>
            <w:r w:rsidRPr="009448FC">
              <w:rPr>
                <w:rFonts w:eastAsia="SimSun"/>
              </w:rPr>
              <w:t>Number of taps requested</w:t>
            </w:r>
          </w:p>
        </w:tc>
        <w:tc>
          <w:tcPr>
            <w:tcW w:w="935" w:type="pct"/>
          </w:tcPr>
          <w:p w:rsidR="00591E5F" w:rsidRPr="009448FC" w:rsidRDefault="00591E5F" w:rsidP="00D0037C">
            <w:pPr>
              <w:jc w:val="both"/>
              <w:rPr>
                <w:rFonts w:eastAsia="SimSun"/>
              </w:rPr>
            </w:pPr>
            <w:r w:rsidRPr="009448FC">
              <w:rPr>
                <w:rFonts w:eastAsia="SimSun"/>
              </w:rPr>
              <w:t>2 bits</w:t>
            </w:r>
          </w:p>
        </w:tc>
        <w:tc>
          <w:tcPr>
            <w:tcW w:w="2398" w:type="pct"/>
          </w:tcPr>
          <w:p w:rsidR="00591E5F" w:rsidRPr="009448FC" w:rsidRDefault="00591E5F" w:rsidP="00D0037C">
            <w:pPr>
              <w:jc w:val="both"/>
              <w:rPr>
                <w:rFonts w:eastAsia="SimSun"/>
              </w:rPr>
            </w:pPr>
            <w:r w:rsidRPr="009448FC">
              <w:rPr>
                <w:rFonts w:eastAsia="SimSun"/>
              </w:rPr>
              <w:t>Number of taps in each channel measurement:</w:t>
            </w:r>
          </w:p>
          <w:p w:rsidR="00591E5F" w:rsidRPr="009448FC" w:rsidRDefault="00591E5F" w:rsidP="00D0037C">
            <w:pPr>
              <w:jc w:val="both"/>
              <w:rPr>
                <w:rFonts w:eastAsia="SimSun"/>
              </w:rPr>
            </w:pPr>
            <w:r w:rsidRPr="009448FC">
              <w:rPr>
                <w:rFonts w:eastAsia="SimSun"/>
              </w:rPr>
              <w:t xml:space="preserve">0x0 </w:t>
            </w:r>
            <w:r w:rsidR="00404E63">
              <w:rPr>
                <w:rFonts w:eastAsia="SimSun"/>
              </w:rPr>
              <w:t xml:space="preserve">– </w:t>
            </w:r>
            <w:r w:rsidRPr="009448FC">
              <w:rPr>
                <w:rFonts w:eastAsia="SimSun"/>
              </w:rPr>
              <w:t>1 tap</w:t>
            </w:r>
          </w:p>
          <w:p w:rsidR="00591E5F" w:rsidRPr="009448FC" w:rsidRDefault="00591E5F" w:rsidP="00D0037C">
            <w:pPr>
              <w:jc w:val="both"/>
              <w:rPr>
                <w:rFonts w:eastAsia="SimSun"/>
              </w:rPr>
            </w:pPr>
            <w:r w:rsidRPr="009448FC">
              <w:rPr>
                <w:rFonts w:eastAsia="SimSun"/>
              </w:rPr>
              <w:t>0x1 – 5 taps</w:t>
            </w:r>
          </w:p>
          <w:p w:rsidR="00591E5F" w:rsidRPr="009448FC" w:rsidRDefault="00591E5F" w:rsidP="00D0037C">
            <w:pPr>
              <w:jc w:val="both"/>
              <w:rPr>
                <w:rFonts w:eastAsia="SimSun"/>
              </w:rPr>
            </w:pPr>
            <w:r w:rsidRPr="009448FC">
              <w:rPr>
                <w:rFonts w:eastAsia="SimSun"/>
              </w:rPr>
              <w:t>0x2 – 17 taps</w:t>
            </w:r>
          </w:p>
          <w:p w:rsidR="00591E5F" w:rsidRPr="009448FC" w:rsidRDefault="00591E5F" w:rsidP="00D0037C">
            <w:pPr>
              <w:jc w:val="both"/>
              <w:rPr>
                <w:rFonts w:eastAsia="SimSun"/>
              </w:rPr>
            </w:pPr>
            <w:r w:rsidRPr="009448FC">
              <w:rPr>
                <w:rFonts w:eastAsia="SimSun"/>
              </w:rPr>
              <w:t>0x3 – 63 taps</w:t>
            </w:r>
          </w:p>
        </w:tc>
      </w:tr>
      <w:tr w:rsidR="008F6299" w:rsidRPr="00066F65" w:rsidTr="00D0037C">
        <w:tc>
          <w:tcPr>
            <w:tcW w:w="1667" w:type="pct"/>
          </w:tcPr>
          <w:p w:rsidR="008F6299" w:rsidRPr="002F526A" w:rsidRDefault="008F6299" w:rsidP="0053357F">
            <w:pPr>
              <w:rPr>
                <w:rFonts w:eastAsia="MS Mincho"/>
              </w:rPr>
            </w:pPr>
            <w:r w:rsidRPr="002F526A">
              <w:rPr>
                <w:rFonts w:eastAsia="SimSun"/>
              </w:rPr>
              <w:t>Sector ID order</w:t>
            </w:r>
            <w:r>
              <w:rPr>
                <w:rFonts w:ascii="MS Mincho" w:hAnsi="MS Mincho" w:hint="eastAsia"/>
              </w:rPr>
              <w:t xml:space="preserve"> </w:t>
            </w:r>
            <w:r>
              <w:rPr>
                <w:rFonts w:hint="eastAsia"/>
              </w:rPr>
              <w:t>requested</w:t>
            </w:r>
            <w:r w:rsidR="00D11F2E">
              <w:t xml:space="preserve"> </w:t>
            </w:r>
          </w:p>
        </w:tc>
        <w:tc>
          <w:tcPr>
            <w:tcW w:w="935" w:type="pct"/>
          </w:tcPr>
          <w:p w:rsidR="008F6299" w:rsidRPr="002F526A" w:rsidRDefault="008F6299" w:rsidP="00D95E1E">
            <w:pPr>
              <w:jc w:val="both"/>
              <w:rPr>
                <w:rFonts w:eastAsia="MS Mincho"/>
              </w:rPr>
            </w:pPr>
            <w:r>
              <w:rPr>
                <w:rFonts w:hint="eastAsia"/>
              </w:rPr>
              <w:t>1 bit</w:t>
            </w:r>
          </w:p>
        </w:tc>
        <w:tc>
          <w:tcPr>
            <w:tcW w:w="2398" w:type="pct"/>
          </w:tcPr>
          <w:p w:rsidR="008F6299" w:rsidRPr="00D0037C" w:rsidRDefault="008F6299" w:rsidP="00D95E1E">
            <w:pPr>
              <w:jc w:val="both"/>
              <w:rPr>
                <w:rFonts w:eastAsia="SimSun"/>
              </w:rPr>
            </w:pPr>
            <w:r>
              <w:rPr>
                <w:rFonts w:hint="eastAsia"/>
              </w:rPr>
              <w:t>Sector ID order subfield</w:t>
            </w:r>
            <w:r w:rsidRPr="00D0037C">
              <w:rPr>
                <w:rFonts w:eastAsia="SimSun"/>
              </w:rPr>
              <w:t xml:space="preserve"> is requested as part of the channel measurement feedback</w:t>
            </w:r>
          </w:p>
        </w:tc>
      </w:tr>
    </w:tbl>
    <w:p w:rsidR="00591E5F" w:rsidRPr="00066F65" w:rsidRDefault="004B22C8" w:rsidP="00591E5F">
      <w:pPr>
        <w:rPr>
          <w:b/>
          <w:bCs/>
          <w:i/>
          <w:iCs/>
          <w:color w:val="FF0000"/>
          <w:u w:val="single"/>
        </w:rPr>
      </w:pPr>
      <w:r w:rsidRPr="00066F65">
        <w:rPr>
          <w:b/>
          <w:bCs/>
          <w:i/>
          <w:iCs/>
          <w:color w:val="FF0000"/>
          <w:u w:val="single"/>
        </w:rPr>
        <w:t xml:space="preserve"> </w:t>
      </w:r>
    </w:p>
    <w:p w:rsidR="00591E5F" w:rsidRPr="009448FC" w:rsidRDefault="00591E5F" w:rsidP="00591E5F">
      <w:r w:rsidRPr="009448FC">
        <w:t xml:space="preserve">The FBCK-TYPE field is defined in </w:t>
      </w:r>
      <w:r w:rsidR="00BD151C">
        <w:fldChar w:fldCharType="begin"/>
      </w:r>
      <w:r>
        <w:instrText xml:space="preserve"> REF _Ref231104893 \h </w:instrText>
      </w:r>
      <w:r w:rsidR="00BD151C">
        <w:fldChar w:fldCharType="separate"/>
      </w:r>
      <w:r w:rsidR="003E4210" w:rsidRPr="00066F65">
        <w:t xml:space="preserve">Table </w:t>
      </w:r>
      <w:r w:rsidR="003E4210">
        <w:rPr>
          <w:noProof/>
        </w:rPr>
        <w:t>12</w:t>
      </w:r>
      <w:r w:rsidR="00BD151C">
        <w:fldChar w:fldCharType="end"/>
      </w:r>
      <w:r w:rsidRPr="009448FC">
        <w:t>.</w:t>
      </w:r>
      <w:r w:rsidR="00D11F2E">
        <w:t xml:space="preserve"> </w:t>
      </w:r>
      <w:r w:rsidR="008F6299">
        <w:rPr>
          <w:rFonts w:hint="eastAsia"/>
          <w:bCs/>
        </w:rPr>
        <w:t>When both N</w:t>
      </w:r>
      <w:r w:rsidR="008F6299" w:rsidRPr="008F6299">
        <w:rPr>
          <w:rFonts w:hint="eastAsia"/>
          <w:bCs/>
          <w:vertAlign w:val="subscript"/>
        </w:rPr>
        <w:t>meas</w:t>
      </w:r>
      <w:r w:rsidR="008F6299">
        <w:rPr>
          <w:rFonts w:hint="eastAsia"/>
          <w:bCs/>
        </w:rPr>
        <w:t xml:space="preserve"> and N</w:t>
      </w:r>
      <w:r w:rsidR="008F6299" w:rsidRPr="008F6299">
        <w:rPr>
          <w:rFonts w:hint="eastAsia"/>
          <w:bCs/>
          <w:vertAlign w:val="subscript"/>
        </w:rPr>
        <w:t>beam</w:t>
      </w:r>
      <w:r w:rsidR="008F6299">
        <w:rPr>
          <w:rFonts w:hint="eastAsia"/>
          <w:bCs/>
        </w:rPr>
        <w:t xml:space="preserve"> in this field are zero, t</w:t>
      </w:r>
      <w:r w:rsidR="008F6299" w:rsidRPr="00D0037C">
        <w:rPr>
          <w:rFonts w:eastAsia="SimSun"/>
        </w:rPr>
        <w:t>he ch</w:t>
      </w:r>
      <w:r w:rsidR="008F6299">
        <w:rPr>
          <w:rFonts w:eastAsia="SimSun"/>
        </w:rPr>
        <w:t xml:space="preserve">annel measurement feedback </w:t>
      </w:r>
      <w:r w:rsidR="008F6299">
        <w:rPr>
          <w:rFonts w:hint="eastAsia"/>
        </w:rPr>
        <w:t>element</w:t>
      </w:r>
      <w:r w:rsidR="008F6299" w:rsidRPr="00D0037C">
        <w:rPr>
          <w:rFonts w:eastAsia="SimSun"/>
        </w:rPr>
        <w:t xml:space="preserve"> is not present.</w:t>
      </w:r>
      <w:r w:rsidR="00D11F2E">
        <w:rPr>
          <w:rFonts w:eastAsia="SimSun"/>
        </w:rPr>
        <w:t xml:space="preserve"> </w:t>
      </w:r>
    </w:p>
    <w:p w:rsidR="00591E5F" w:rsidRPr="009448FC" w:rsidRDefault="00253249" w:rsidP="00591E5F">
      <w:r>
        <w:t xml:space="preserve"> </w:t>
      </w:r>
    </w:p>
    <w:p w:rsidR="00591E5F" w:rsidRPr="00066F65" w:rsidRDefault="00591E5F" w:rsidP="009448FC">
      <w:pPr>
        <w:pStyle w:val="Caption"/>
        <w:keepNext/>
      </w:pPr>
      <w:bookmarkStart w:id="586" w:name="_Ref231104893"/>
      <w:bookmarkStart w:id="587" w:name="_Toc250654415"/>
      <w:bookmarkStart w:id="588" w:name="_Toc259717590"/>
      <w:r w:rsidRPr="00066F65">
        <w:t xml:space="preserve">Table </w:t>
      </w:r>
      <w:r w:rsidR="00BD151C">
        <w:fldChar w:fldCharType="begin"/>
      </w:r>
      <w:r w:rsidR="00801316">
        <w:instrText xml:space="preserve"> SEQ Table \* ARABIC </w:instrText>
      </w:r>
      <w:r w:rsidR="00BD151C">
        <w:fldChar w:fldCharType="separate"/>
      </w:r>
      <w:r w:rsidR="003E4210">
        <w:rPr>
          <w:noProof/>
        </w:rPr>
        <w:t>12</w:t>
      </w:r>
      <w:r w:rsidR="00BD151C">
        <w:fldChar w:fldCharType="end"/>
      </w:r>
      <w:bookmarkEnd w:id="586"/>
      <w:r w:rsidRPr="00066F65">
        <w:t xml:space="preserve"> </w:t>
      </w:r>
      <w:r w:rsidR="00DB1AFB" w:rsidRPr="00066F65">
        <w:t xml:space="preserve">– </w:t>
      </w:r>
      <w:r w:rsidRPr="00066F65">
        <w:t>FBCK-TYPE field</w:t>
      </w:r>
      <w:bookmarkEnd w:id="587"/>
      <w:bookmarkEnd w:id="588"/>
      <w:r w:rsidR="00AE47C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9"/>
        <w:gridCol w:w="1349"/>
        <w:gridCol w:w="6318"/>
      </w:tblGrid>
      <w:tr w:rsidR="00185FAE" w:rsidRPr="00066F65" w:rsidTr="00AB4F51">
        <w:trPr>
          <w:tblHeader/>
        </w:trPr>
        <w:tc>
          <w:tcPr>
            <w:tcW w:w="1210" w:type="pct"/>
          </w:tcPr>
          <w:p w:rsidR="00185FAE" w:rsidRPr="00C46393" w:rsidRDefault="00185FAE" w:rsidP="00272C50">
            <w:pPr>
              <w:jc w:val="both"/>
              <w:rPr>
                <w:rFonts w:eastAsia="SimSun"/>
                <w:b/>
              </w:rPr>
            </w:pPr>
            <w:r w:rsidRPr="00C46393">
              <w:rPr>
                <w:rFonts w:eastAsia="SimSun"/>
                <w:b/>
              </w:rPr>
              <w:t>Field</w:t>
            </w:r>
          </w:p>
        </w:tc>
        <w:tc>
          <w:tcPr>
            <w:tcW w:w="667" w:type="pct"/>
          </w:tcPr>
          <w:p w:rsidR="00185FAE" w:rsidRPr="00C46393" w:rsidRDefault="00185FAE" w:rsidP="00272C50">
            <w:pPr>
              <w:jc w:val="both"/>
              <w:rPr>
                <w:rFonts w:eastAsia="SimSun"/>
                <w:b/>
              </w:rPr>
            </w:pPr>
            <w:r w:rsidRPr="00C46393">
              <w:rPr>
                <w:rFonts w:eastAsia="SimSun"/>
                <w:b/>
              </w:rPr>
              <w:t xml:space="preserve">Size (bits) </w:t>
            </w:r>
          </w:p>
        </w:tc>
        <w:tc>
          <w:tcPr>
            <w:tcW w:w="3123" w:type="pct"/>
          </w:tcPr>
          <w:p w:rsidR="00185FAE" w:rsidRPr="00C46393" w:rsidRDefault="00185FAE" w:rsidP="00272C50">
            <w:pPr>
              <w:jc w:val="both"/>
              <w:rPr>
                <w:rFonts w:eastAsia="SimSun"/>
                <w:b/>
              </w:rPr>
            </w:pPr>
            <w:r w:rsidRPr="00C46393">
              <w:rPr>
                <w:rFonts w:eastAsia="SimSun"/>
                <w:b/>
              </w:rPr>
              <w:t>Meaning</w:t>
            </w:r>
          </w:p>
        </w:tc>
      </w:tr>
      <w:tr w:rsidR="00272C50" w:rsidRPr="00066F65" w:rsidTr="00AB4F51">
        <w:tc>
          <w:tcPr>
            <w:tcW w:w="1210" w:type="pct"/>
          </w:tcPr>
          <w:p w:rsidR="00272C50" w:rsidRPr="009448FC" w:rsidRDefault="00272C50" w:rsidP="00272C50">
            <w:pPr>
              <w:jc w:val="both"/>
              <w:rPr>
                <w:rFonts w:eastAsia="SimSun"/>
              </w:rPr>
            </w:pPr>
            <w:r w:rsidRPr="009448FC">
              <w:rPr>
                <w:rFonts w:eastAsia="SimSun"/>
              </w:rPr>
              <w:t>SNR present</w:t>
            </w:r>
          </w:p>
        </w:tc>
        <w:tc>
          <w:tcPr>
            <w:tcW w:w="667" w:type="pct"/>
          </w:tcPr>
          <w:p w:rsidR="00272C50" w:rsidRPr="009448FC" w:rsidRDefault="00272C50" w:rsidP="00272C50">
            <w:pPr>
              <w:jc w:val="both"/>
              <w:rPr>
                <w:rFonts w:eastAsia="SimSun"/>
              </w:rPr>
            </w:pPr>
            <w:r w:rsidRPr="009448FC">
              <w:rPr>
                <w:rFonts w:eastAsia="SimSun"/>
              </w:rPr>
              <w:t>1 bit</w:t>
            </w:r>
          </w:p>
        </w:tc>
        <w:tc>
          <w:tcPr>
            <w:tcW w:w="3123" w:type="pct"/>
          </w:tcPr>
          <w:p w:rsidR="00F57C8A" w:rsidRDefault="00A94A8C">
            <w:pPr>
              <w:jc w:val="both"/>
              <w:rPr>
                <w:rFonts w:eastAsia="SimSun"/>
              </w:rPr>
            </w:pPr>
            <w:r>
              <w:rPr>
                <w:rFonts w:eastAsia="SimSun"/>
              </w:rPr>
              <w:t xml:space="preserve">Set to one to indicate that the </w:t>
            </w:r>
            <w:r w:rsidR="001112E0" w:rsidRPr="001112E0">
              <w:rPr>
                <w:rFonts w:eastAsia="SimSun"/>
              </w:rPr>
              <w:t xml:space="preserve">SNR subfield is </w:t>
            </w:r>
            <w:r>
              <w:rPr>
                <w:rFonts w:eastAsia="SimSun"/>
              </w:rPr>
              <w:t>present</w:t>
            </w:r>
            <w:r w:rsidRPr="001112E0">
              <w:rPr>
                <w:rFonts w:eastAsia="SimSun"/>
              </w:rPr>
              <w:t xml:space="preserve"> </w:t>
            </w:r>
            <w:r w:rsidR="001112E0" w:rsidRPr="001112E0">
              <w:rPr>
                <w:rFonts w:eastAsia="SimSun"/>
              </w:rPr>
              <w:t>as part of the channel measurement feedback</w:t>
            </w:r>
            <w:r>
              <w:rPr>
                <w:rFonts w:eastAsia="SimSun"/>
              </w:rPr>
              <w:t>. Set to zero otherwise.</w:t>
            </w:r>
          </w:p>
        </w:tc>
      </w:tr>
      <w:tr w:rsidR="00272C50" w:rsidRPr="00066F65" w:rsidTr="00AB4F51">
        <w:tc>
          <w:tcPr>
            <w:tcW w:w="1210" w:type="pct"/>
          </w:tcPr>
          <w:p w:rsidR="00272C50" w:rsidRPr="009448FC" w:rsidRDefault="00272C50" w:rsidP="00272C50">
            <w:pPr>
              <w:jc w:val="both"/>
              <w:rPr>
                <w:rFonts w:eastAsia="SimSun"/>
              </w:rPr>
            </w:pPr>
            <w:r w:rsidRPr="009448FC">
              <w:rPr>
                <w:rFonts w:eastAsia="SimSun"/>
              </w:rPr>
              <w:t>Channel Measurement present</w:t>
            </w:r>
          </w:p>
        </w:tc>
        <w:tc>
          <w:tcPr>
            <w:tcW w:w="667" w:type="pct"/>
          </w:tcPr>
          <w:p w:rsidR="00272C50" w:rsidRPr="009448FC" w:rsidRDefault="00272C50" w:rsidP="00272C50">
            <w:pPr>
              <w:jc w:val="both"/>
              <w:rPr>
                <w:rFonts w:eastAsia="SimSun"/>
              </w:rPr>
            </w:pPr>
            <w:r w:rsidRPr="009448FC">
              <w:rPr>
                <w:rFonts w:eastAsia="SimSun"/>
              </w:rPr>
              <w:t>1 bit</w:t>
            </w:r>
          </w:p>
        </w:tc>
        <w:tc>
          <w:tcPr>
            <w:tcW w:w="3123" w:type="pct"/>
          </w:tcPr>
          <w:p w:rsidR="00F57C8A" w:rsidRDefault="00A94A8C">
            <w:pPr>
              <w:jc w:val="both"/>
              <w:rPr>
                <w:rFonts w:eastAsia="SimSun"/>
              </w:rPr>
            </w:pPr>
            <w:r>
              <w:rPr>
                <w:rFonts w:eastAsia="SimSun"/>
              </w:rPr>
              <w:t>Set to one to indicate that the c</w:t>
            </w:r>
            <w:r w:rsidRPr="009448FC">
              <w:rPr>
                <w:rFonts w:eastAsia="SimSun"/>
              </w:rPr>
              <w:t xml:space="preserve">hannel </w:t>
            </w:r>
            <w:r w:rsidR="00272C50" w:rsidRPr="009448FC">
              <w:rPr>
                <w:rFonts w:eastAsia="SimSun"/>
              </w:rPr>
              <w:t>measurement is present as part of the channel measurement feedback</w:t>
            </w:r>
            <w:r>
              <w:rPr>
                <w:rFonts w:eastAsia="SimSun"/>
              </w:rPr>
              <w:t>. Set to zero otherwise.</w:t>
            </w:r>
          </w:p>
        </w:tc>
      </w:tr>
      <w:tr w:rsidR="00892634" w:rsidRPr="00066F65" w:rsidTr="00AB4F51">
        <w:tc>
          <w:tcPr>
            <w:tcW w:w="1210" w:type="pct"/>
          </w:tcPr>
          <w:p w:rsidR="00892634" w:rsidRPr="009448FC" w:rsidRDefault="00892634" w:rsidP="00272C50">
            <w:pPr>
              <w:jc w:val="both"/>
              <w:rPr>
                <w:rFonts w:eastAsia="SimSun"/>
              </w:rPr>
            </w:pPr>
            <w:r>
              <w:rPr>
                <w:rFonts w:eastAsia="SimSun"/>
              </w:rPr>
              <w:t>Tap Delay present</w:t>
            </w:r>
          </w:p>
        </w:tc>
        <w:tc>
          <w:tcPr>
            <w:tcW w:w="667" w:type="pct"/>
          </w:tcPr>
          <w:p w:rsidR="00892634" w:rsidRPr="009448FC" w:rsidRDefault="00892634" w:rsidP="00272C50">
            <w:pPr>
              <w:jc w:val="both"/>
              <w:rPr>
                <w:rFonts w:eastAsia="SimSun"/>
              </w:rPr>
            </w:pPr>
            <w:r>
              <w:rPr>
                <w:rFonts w:eastAsia="SimSun"/>
              </w:rPr>
              <w:t>1 bit</w:t>
            </w:r>
          </w:p>
        </w:tc>
        <w:tc>
          <w:tcPr>
            <w:tcW w:w="3123" w:type="pct"/>
          </w:tcPr>
          <w:p w:rsidR="00F57C8A" w:rsidRDefault="00A94A8C">
            <w:pPr>
              <w:jc w:val="both"/>
              <w:rPr>
                <w:rFonts w:eastAsia="SimSun"/>
              </w:rPr>
            </w:pPr>
            <w:r>
              <w:rPr>
                <w:rFonts w:eastAsia="SimSun"/>
              </w:rPr>
              <w:t>Set to one to</w:t>
            </w:r>
            <w:r w:rsidR="004A09DA">
              <w:rPr>
                <w:rFonts w:eastAsia="SimSun"/>
              </w:rPr>
              <w:t xml:space="preserve"> indicate</w:t>
            </w:r>
            <w:r w:rsidR="009D537D" w:rsidRPr="009D537D">
              <w:rPr>
                <w:rFonts w:eastAsia="SimSun"/>
              </w:rPr>
              <w:t xml:space="preserve"> that the Tap delays field is </w:t>
            </w:r>
            <w:r>
              <w:rPr>
                <w:rFonts w:eastAsia="SimSun"/>
              </w:rPr>
              <w:t xml:space="preserve">present as part of </w:t>
            </w:r>
            <w:r w:rsidR="009D537D" w:rsidRPr="009D537D">
              <w:rPr>
                <w:rFonts w:eastAsia="SimSun"/>
              </w:rPr>
              <w:t>the channel measurement feedback</w:t>
            </w:r>
            <w:r>
              <w:rPr>
                <w:rFonts w:eastAsia="SimSun"/>
              </w:rPr>
              <w:t>. Set to zero otherwise.</w:t>
            </w:r>
          </w:p>
        </w:tc>
      </w:tr>
      <w:tr w:rsidR="00272C50" w:rsidRPr="00066F65" w:rsidTr="00AB4F51">
        <w:tc>
          <w:tcPr>
            <w:tcW w:w="1210" w:type="pct"/>
          </w:tcPr>
          <w:p w:rsidR="00272C50" w:rsidRPr="009448FC" w:rsidRDefault="00272C50" w:rsidP="00272C50">
            <w:pPr>
              <w:jc w:val="both"/>
              <w:rPr>
                <w:rFonts w:eastAsia="SimSun"/>
              </w:rPr>
            </w:pPr>
            <w:r w:rsidRPr="009448FC">
              <w:rPr>
                <w:rFonts w:eastAsia="SimSun"/>
              </w:rPr>
              <w:t xml:space="preserve">Number of taps present </w:t>
            </w:r>
            <w:r w:rsidRPr="009448FC">
              <w:rPr>
                <w:rFonts w:eastAsia="SimSun"/>
                <w:i/>
              </w:rPr>
              <w:t>N</w:t>
            </w:r>
            <w:r w:rsidRPr="009448FC">
              <w:rPr>
                <w:rFonts w:eastAsia="SimSun"/>
                <w:i/>
                <w:vertAlign w:val="subscript"/>
              </w:rPr>
              <w:t>taps</w:t>
            </w:r>
          </w:p>
        </w:tc>
        <w:tc>
          <w:tcPr>
            <w:tcW w:w="667" w:type="pct"/>
          </w:tcPr>
          <w:p w:rsidR="00272C50" w:rsidRPr="009448FC" w:rsidRDefault="00272C50" w:rsidP="00272C50">
            <w:pPr>
              <w:jc w:val="both"/>
              <w:rPr>
                <w:rFonts w:eastAsia="SimSun"/>
              </w:rPr>
            </w:pPr>
            <w:r w:rsidRPr="009448FC">
              <w:rPr>
                <w:rFonts w:eastAsia="SimSun"/>
              </w:rPr>
              <w:t>2 bits</w:t>
            </w:r>
          </w:p>
        </w:tc>
        <w:tc>
          <w:tcPr>
            <w:tcW w:w="3123" w:type="pct"/>
          </w:tcPr>
          <w:p w:rsidR="00272C50" w:rsidRPr="009448FC" w:rsidRDefault="00272C50" w:rsidP="00272C50">
            <w:pPr>
              <w:jc w:val="both"/>
              <w:rPr>
                <w:rFonts w:eastAsia="SimSun"/>
              </w:rPr>
            </w:pPr>
            <w:r w:rsidRPr="009448FC">
              <w:rPr>
                <w:rFonts w:eastAsia="SimSun"/>
              </w:rPr>
              <w:t>Number of taps in each channel measurement:</w:t>
            </w:r>
          </w:p>
          <w:p w:rsidR="00272C50" w:rsidRPr="009448FC" w:rsidRDefault="00272C50" w:rsidP="00272C50">
            <w:pPr>
              <w:jc w:val="both"/>
              <w:rPr>
                <w:rFonts w:eastAsia="SimSun"/>
              </w:rPr>
            </w:pPr>
            <w:r w:rsidRPr="009448FC">
              <w:rPr>
                <w:rFonts w:eastAsia="SimSun"/>
              </w:rPr>
              <w:t xml:space="preserve">0x0 </w:t>
            </w:r>
            <w:r w:rsidR="00892634">
              <w:rPr>
                <w:rFonts w:eastAsia="SimSun"/>
              </w:rPr>
              <w:t xml:space="preserve">– </w:t>
            </w:r>
            <w:r w:rsidRPr="009448FC">
              <w:rPr>
                <w:rFonts w:eastAsia="SimSun"/>
              </w:rPr>
              <w:t>1 tap</w:t>
            </w:r>
          </w:p>
          <w:p w:rsidR="00272C50" w:rsidRPr="009448FC" w:rsidRDefault="00272C50" w:rsidP="00272C50">
            <w:pPr>
              <w:jc w:val="both"/>
              <w:rPr>
                <w:rFonts w:eastAsia="SimSun"/>
              </w:rPr>
            </w:pPr>
            <w:r w:rsidRPr="009448FC">
              <w:rPr>
                <w:rFonts w:eastAsia="SimSun"/>
              </w:rPr>
              <w:t>0x1 – 5 taps</w:t>
            </w:r>
          </w:p>
          <w:p w:rsidR="00272C50" w:rsidRPr="009448FC" w:rsidRDefault="00272C50" w:rsidP="00272C50">
            <w:pPr>
              <w:jc w:val="both"/>
              <w:rPr>
                <w:rFonts w:eastAsia="SimSun"/>
              </w:rPr>
            </w:pPr>
            <w:r w:rsidRPr="009448FC">
              <w:rPr>
                <w:rFonts w:eastAsia="SimSun"/>
              </w:rPr>
              <w:t>0x2 – 17 taps</w:t>
            </w:r>
          </w:p>
          <w:p w:rsidR="00272C50" w:rsidRPr="009448FC" w:rsidRDefault="00272C50" w:rsidP="00272C50">
            <w:pPr>
              <w:jc w:val="both"/>
              <w:rPr>
                <w:rFonts w:eastAsia="SimSun"/>
              </w:rPr>
            </w:pPr>
            <w:r w:rsidRPr="009448FC">
              <w:rPr>
                <w:rFonts w:eastAsia="SimSun"/>
              </w:rPr>
              <w:t>0x3 – 63 taps</w:t>
            </w:r>
          </w:p>
        </w:tc>
      </w:tr>
      <w:tr w:rsidR="0093582D" w:rsidRPr="00066F65" w:rsidTr="00AB4F51">
        <w:tc>
          <w:tcPr>
            <w:tcW w:w="1210" w:type="pct"/>
          </w:tcPr>
          <w:p w:rsidR="0093582D" w:rsidRPr="00B3010F" w:rsidRDefault="0093582D" w:rsidP="00D95E1E">
            <w:pPr>
              <w:jc w:val="both"/>
              <w:rPr>
                <w:rFonts w:eastAsia="MS Mincho"/>
              </w:rPr>
            </w:pPr>
            <w:r w:rsidRPr="00D0037C">
              <w:rPr>
                <w:rFonts w:eastAsia="SimSun"/>
              </w:rPr>
              <w:t xml:space="preserve">Number of measurements </w:t>
            </w:r>
            <w:r w:rsidRPr="00D0037C">
              <w:rPr>
                <w:rFonts w:eastAsia="SimSun"/>
                <w:i/>
                <w:iCs/>
              </w:rPr>
              <w:t>N</w:t>
            </w:r>
            <w:r w:rsidRPr="00D0037C">
              <w:rPr>
                <w:rFonts w:eastAsia="SimSun"/>
                <w:i/>
                <w:iCs/>
                <w:vertAlign w:val="subscript"/>
              </w:rPr>
              <w:t>meas</w:t>
            </w:r>
          </w:p>
        </w:tc>
        <w:tc>
          <w:tcPr>
            <w:tcW w:w="667" w:type="pct"/>
          </w:tcPr>
          <w:p w:rsidR="0093582D" w:rsidRPr="00B3010F" w:rsidRDefault="0093582D" w:rsidP="00D95E1E">
            <w:pPr>
              <w:jc w:val="both"/>
              <w:rPr>
                <w:rFonts w:eastAsia="MS Mincho"/>
              </w:rPr>
            </w:pPr>
            <w:r w:rsidRPr="00D0037C">
              <w:rPr>
                <w:rFonts w:eastAsia="SimSun"/>
              </w:rPr>
              <w:t>6 bits</w:t>
            </w:r>
          </w:p>
        </w:tc>
        <w:tc>
          <w:tcPr>
            <w:tcW w:w="3123" w:type="pct"/>
          </w:tcPr>
          <w:p w:rsidR="0093582D" w:rsidRPr="00FD2279" w:rsidRDefault="0093582D" w:rsidP="00D95E1E">
            <w:pPr>
              <w:jc w:val="both"/>
              <w:rPr>
                <w:rFonts w:eastAsia="MS Mincho"/>
              </w:rPr>
            </w:pPr>
            <w:r>
              <w:rPr>
                <w:rFonts w:hint="eastAsia"/>
                <w:iCs/>
              </w:rPr>
              <w:t>N</w:t>
            </w:r>
            <w:r w:rsidRPr="00D0037C">
              <w:rPr>
                <w:rFonts w:eastAsia="SimSun"/>
              </w:rPr>
              <w:t>umber of measurements in the SNR subfield and the channel measurements subfield.</w:t>
            </w:r>
            <w:r>
              <w:rPr>
                <w:rFonts w:eastAsia="SimSun"/>
              </w:rPr>
              <w:t xml:space="preserve"> </w:t>
            </w:r>
            <w:r w:rsidRPr="00D0037C">
              <w:rPr>
                <w:rFonts w:eastAsia="SimSun"/>
              </w:rPr>
              <w:t>It is equal to the number of TRN-T subfields in the BRP-TX packet on which the measurement is based</w:t>
            </w:r>
            <w:r>
              <w:rPr>
                <w:rFonts w:hint="eastAsia"/>
              </w:rPr>
              <w:t>, or</w:t>
            </w:r>
            <w:r w:rsidRPr="00D0037C">
              <w:rPr>
                <w:rFonts w:eastAsia="SimSun"/>
              </w:rPr>
              <w:t xml:space="preserve"> the number of </w:t>
            </w:r>
            <w:r w:rsidR="00220EB7">
              <w:rPr>
                <w:rFonts w:eastAsia="SimSun"/>
              </w:rPr>
              <w:t>received</w:t>
            </w:r>
            <w:r w:rsidR="00080054">
              <w:rPr>
                <w:rFonts w:eastAsia="SimSun"/>
              </w:rPr>
              <w:t xml:space="preserve"> </w:t>
            </w:r>
            <w:r w:rsidRPr="00D0037C">
              <w:rPr>
                <w:rFonts w:eastAsia="SimSun"/>
              </w:rPr>
              <w:t>sectors if TXSS result is reported</w:t>
            </w:r>
            <w:r>
              <w:rPr>
                <w:rFonts w:hint="eastAsia"/>
              </w:rPr>
              <w:t xml:space="preserve"> by setting TXSS-FBCK-REQ to one</w:t>
            </w:r>
            <w:r w:rsidRPr="00D0037C">
              <w:rPr>
                <w:rFonts w:eastAsia="SimSun"/>
              </w:rPr>
              <w:t xml:space="preserve">. </w:t>
            </w:r>
          </w:p>
        </w:tc>
      </w:tr>
      <w:tr w:rsidR="0093582D" w:rsidRPr="00066F65" w:rsidTr="00AB4F51">
        <w:tc>
          <w:tcPr>
            <w:tcW w:w="1210" w:type="pct"/>
          </w:tcPr>
          <w:p w:rsidR="0093582D" w:rsidRDefault="0093582D" w:rsidP="00D95E1E">
            <w:pPr>
              <w:jc w:val="both"/>
            </w:pPr>
            <w:r>
              <w:rPr>
                <w:rFonts w:hint="eastAsia"/>
              </w:rPr>
              <w:t>Sector ID order present</w:t>
            </w:r>
          </w:p>
        </w:tc>
        <w:tc>
          <w:tcPr>
            <w:tcW w:w="667" w:type="pct"/>
          </w:tcPr>
          <w:p w:rsidR="0093582D" w:rsidRDefault="0093582D" w:rsidP="00D95E1E">
            <w:pPr>
              <w:jc w:val="both"/>
            </w:pPr>
            <w:r>
              <w:rPr>
                <w:rFonts w:hint="eastAsia"/>
              </w:rPr>
              <w:t>1 bit</w:t>
            </w:r>
          </w:p>
        </w:tc>
        <w:tc>
          <w:tcPr>
            <w:tcW w:w="3123" w:type="pct"/>
          </w:tcPr>
          <w:p w:rsidR="0093582D" w:rsidRPr="00411617" w:rsidRDefault="00543C60" w:rsidP="00D95E1E">
            <w:pPr>
              <w:jc w:val="both"/>
            </w:pPr>
            <w:r>
              <w:t xml:space="preserve">Set to one to indicate that the </w:t>
            </w:r>
            <w:r w:rsidR="0093582D">
              <w:rPr>
                <w:rFonts w:hint="eastAsia"/>
              </w:rPr>
              <w:t xml:space="preserve">Sector ID order subfield </w:t>
            </w:r>
            <w:r w:rsidR="0093582D" w:rsidRPr="00D0037C">
              <w:rPr>
                <w:rFonts w:eastAsia="SimSun"/>
              </w:rPr>
              <w:t>is present as part of the channel measurement feedback</w:t>
            </w:r>
            <w:r w:rsidR="0093582D">
              <w:rPr>
                <w:rFonts w:hint="eastAsia"/>
              </w:rPr>
              <w:t>.</w:t>
            </w:r>
            <w:r>
              <w:t xml:space="preserve"> </w:t>
            </w:r>
            <w:r>
              <w:rPr>
                <w:rFonts w:eastAsia="SimSun"/>
              </w:rPr>
              <w:t>Set to zero otherwise.</w:t>
            </w:r>
          </w:p>
        </w:tc>
      </w:tr>
      <w:tr w:rsidR="0093582D" w:rsidRPr="00066F65" w:rsidTr="00AB4F51">
        <w:tc>
          <w:tcPr>
            <w:tcW w:w="1210" w:type="pct"/>
          </w:tcPr>
          <w:p w:rsidR="0093582D" w:rsidRDefault="0093582D" w:rsidP="00D95E1E">
            <w:pPr>
              <w:jc w:val="both"/>
            </w:pPr>
            <w:r>
              <w:rPr>
                <w:rFonts w:eastAsia="SimSun"/>
              </w:rPr>
              <w:t>Number of</w:t>
            </w:r>
            <w:r>
              <w:rPr>
                <w:rFonts w:hint="eastAsia"/>
              </w:rPr>
              <w:t xml:space="preserve"> beams</w:t>
            </w:r>
          </w:p>
          <w:p w:rsidR="0093582D" w:rsidRPr="005B2E24" w:rsidRDefault="0093582D" w:rsidP="00D95E1E">
            <w:pPr>
              <w:jc w:val="both"/>
            </w:pPr>
            <w:r w:rsidRPr="00D0037C">
              <w:rPr>
                <w:rFonts w:eastAsia="SimSun"/>
                <w:i/>
                <w:iCs/>
              </w:rPr>
              <w:t>N</w:t>
            </w:r>
            <w:r>
              <w:rPr>
                <w:rFonts w:hint="eastAsia"/>
                <w:i/>
                <w:iCs/>
                <w:vertAlign w:val="subscript"/>
              </w:rPr>
              <w:t>beam</w:t>
            </w:r>
          </w:p>
        </w:tc>
        <w:tc>
          <w:tcPr>
            <w:tcW w:w="667" w:type="pct"/>
          </w:tcPr>
          <w:p w:rsidR="0093582D" w:rsidRDefault="0093582D" w:rsidP="00D95E1E">
            <w:pPr>
              <w:jc w:val="both"/>
            </w:pPr>
            <w:r>
              <w:rPr>
                <w:rFonts w:hint="eastAsia"/>
              </w:rPr>
              <w:t>5</w:t>
            </w:r>
            <w:r w:rsidRPr="00D0037C">
              <w:rPr>
                <w:rFonts w:eastAsia="SimSun"/>
              </w:rPr>
              <w:t xml:space="preserve"> bits</w:t>
            </w:r>
          </w:p>
        </w:tc>
        <w:tc>
          <w:tcPr>
            <w:tcW w:w="3123" w:type="pct"/>
          </w:tcPr>
          <w:p w:rsidR="0093582D" w:rsidRPr="005B2E24" w:rsidRDefault="0093582D" w:rsidP="00D95E1E">
            <w:pPr>
              <w:jc w:val="both"/>
              <w:rPr>
                <w:iCs/>
              </w:rPr>
            </w:pPr>
            <w:r>
              <w:rPr>
                <w:rFonts w:hint="eastAsia"/>
                <w:iCs/>
              </w:rPr>
              <w:t>N</w:t>
            </w:r>
            <w:r w:rsidRPr="00D0037C">
              <w:rPr>
                <w:rFonts w:eastAsia="SimSun"/>
                <w:iCs/>
              </w:rPr>
              <w:t xml:space="preserve">umber of beams </w:t>
            </w:r>
            <w:r>
              <w:rPr>
                <w:rFonts w:hint="eastAsia"/>
                <w:iCs/>
              </w:rPr>
              <w:t xml:space="preserve">in the Sector ID order </w:t>
            </w:r>
            <w:r>
              <w:rPr>
                <w:iCs/>
              </w:rPr>
              <w:t>subfield</w:t>
            </w:r>
            <w:r>
              <w:rPr>
                <w:rFonts w:hint="eastAsia"/>
                <w:iCs/>
              </w:rPr>
              <w:t xml:space="preserve"> </w:t>
            </w:r>
            <w:r w:rsidRPr="00D0037C">
              <w:rPr>
                <w:rFonts w:eastAsia="SimSun"/>
                <w:iCs/>
              </w:rPr>
              <w:t xml:space="preserve">for </w:t>
            </w:r>
            <w:r>
              <w:rPr>
                <w:rFonts w:hint="eastAsia"/>
                <w:iCs/>
              </w:rPr>
              <w:t xml:space="preserve">the　MIDC phase with the direction </w:t>
            </w:r>
            <w:r>
              <w:rPr>
                <w:iCs/>
              </w:rPr>
              <w:t>and</w:t>
            </w:r>
            <w:r>
              <w:rPr>
                <w:rFonts w:hint="eastAsia"/>
                <w:iCs/>
              </w:rPr>
              <w:t xml:space="preserve"> the TX/RX antenna identification. T</w:t>
            </w:r>
            <w:r>
              <w:rPr>
                <w:iCs/>
              </w:rPr>
              <w:t>h</w:t>
            </w:r>
            <w:r>
              <w:rPr>
                <w:rFonts w:hint="eastAsia"/>
                <w:iCs/>
              </w:rPr>
              <w:t>e 1</w:t>
            </w:r>
            <w:r w:rsidRPr="005153A8">
              <w:rPr>
                <w:rFonts w:hint="eastAsia"/>
                <w:iCs/>
                <w:vertAlign w:val="superscript"/>
              </w:rPr>
              <w:t>st</w:t>
            </w:r>
            <w:r>
              <w:rPr>
                <w:rFonts w:hint="eastAsia"/>
                <w:iCs/>
              </w:rPr>
              <w:t xml:space="preserve"> bit shall be set to 0 for the initiator link and 1 for the responder link. </w:t>
            </w:r>
            <w:r>
              <w:rPr>
                <w:iCs/>
              </w:rPr>
              <w:t>T</w:t>
            </w:r>
            <w:r>
              <w:rPr>
                <w:rFonts w:hint="eastAsia"/>
                <w:iCs/>
              </w:rPr>
              <w:t>he 2</w:t>
            </w:r>
            <w:r w:rsidRPr="00392F76">
              <w:rPr>
                <w:rFonts w:hint="eastAsia"/>
                <w:iCs/>
                <w:vertAlign w:val="superscript"/>
              </w:rPr>
              <w:t>nd</w:t>
            </w:r>
            <w:r>
              <w:rPr>
                <w:rFonts w:hint="eastAsia"/>
                <w:iCs/>
              </w:rPr>
              <w:t xml:space="preserve"> bit shall be set to 0 for the transmitter antenna and 1 for the receiver antenna. </w:t>
            </w:r>
            <w:r>
              <w:rPr>
                <w:iCs/>
              </w:rPr>
              <w:t>T</w:t>
            </w:r>
            <w:r>
              <w:rPr>
                <w:rFonts w:hint="eastAsia"/>
                <w:iCs/>
              </w:rPr>
              <w:t>he 3</w:t>
            </w:r>
            <w:r w:rsidRPr="00392F76">
              <w:rPr>
                <w:rFonts w:hint="eastAsia"/>
                <w:iCs/>
                <w:vertAlign w:val="superscript"/>
              </w:rPr>
              <w:t>rd</w:t>
            </w:r>
            <w:r>
              <w:rPr>
                <w:rFonts w:hint="eastAsia"/>
                <w:iCs/>
              </w:rPr>
              <w:t xml:space="preserve"> to 5</w:t>
            </w:r>
            <w:r w:rsidRPr="00392F76">
              <w:rPr>
                <w:rFonts w:hint="eastAsia"/>
                <w:iCs/>
                <w:vertAlign w:val="superscript"/>
              </w:rPr>
              <w:t>th</w:t>
            </w:r>
            <w:r>
              <w:rPr>
                <w:rFonts w:hint="eastAsia"/>
                <w:iCs/>
              </w:rPr>
              <w:t xml:space="preserve"> bits represent the number of beams for beam combining. E.g. </w:t>
            </w:r>
            <w:r>
              <w:rPr>
                <w:iCs/>
              </w:rPr>
              <w:t>“</w:t>
            </w:r>
            <w:r>
              <w:rPr>
                <w:rFonts w:hint="eastAsia"/>
                <w:iCs/>
              </w:rPr>
              <w:t>01101</w:t>
            </w:r>
            <w:r>
              <w:rPr>
                <w:iCs/>
              </w:rPr>
              <w:t>”</w:t>
            </w:r>
            <w:r>
              <w:rPr>
                <w:rFonts w:hint="eastAsia"/>
                <w:iCs/>
              </w:rPr>
              <w:t xml:space="preserve"> stands for N</w:t>
            </w:r>
            <w:r w:rsidRPr="00B30AF8">
              <w:rPr>
                <w:rFonts w:hint="eastAsia"/>
                <w:iCs/>
                <w:vertAlign w:val="subscript"/>
              </w:rPr>
              <w:t>beam</w:t>
            </w:r>
            <w:r w:rsidRPr="00F514EF">
              <w:rPr>
                <w:rFonts w:hint="eastAsia"/>
                <w:iCs/>
                <w:vertAlign w:val="superscript"/>
              </w:rPr>
              <w:t>(I, RX)</w:t>
            </w:r>
            <w:r>
              <w:rPr>
                <w:rFonts w:hint="eastAsia"/>
                <w:iCs/>
              </w:rPr>
              <w:t xml:space="preserve"> =</w:t>
            </w:r>
            <w:r w:rsidR="00543C60">
              <w:rPr>
                <w:iCs/>
              </w:rPr>
              <w:t xml:space="preserve"> </w:t>
            </w:r>
            <w:r>
              <w:rPr>
                <w:rFonts w:hint="eastAsia"/>
                <w:iCs/>
              </w:rPr>
              <w:t>5.</w:t>
            </w:r>
          </w:p>
        </w:tc>
      </w:tr>
    </w:tbl>
    <w:p w:rsidR="00272C50" w:rsidRDefault="00272C50" w:rsidP="00272C50">
      <w:pPr>
        <w:rPr>
          <w:b/>
          <w:bCs/>
          <w:iCs/>
          <w:color w:val="FF0000"/>
          <w:u w:val="single"/>
        </w:rPr>
      </w:pPr>
    </w:p>
    <w:p w:rsidR="00072841" w:rsidRDefault="00072841" w:rsidP="00072841">
      <w:r>
        <w:t xml:space="preserve">A value of 1 in the </w:t>
      </w:r>
      <w:r>
        <w:rPr>
          <w:rFonts w:hint="eastAsia"/>
        </w:rPr>
        <w:t>MID extension</w:t>
      </w:r>
      <w:r>
        <w:t xml:space="preserve"> field </w:t>
      </w:r>
      <w:r>
        <w:rPr>
          <w:rFonts w:hint="eastAsia"/>
        </w:rPr>
        <w:t>indicates t</w:t>
      </w:r>
      <w:r>
        <w:t>he intention t</w:t>
      </w:r>
      <w:r>
        <w:rPr>
          <w:rFonts w:hint="eastAsia"/>
        </w:rPr>
        <w:t xml:space="preserve">o continue transmitting BRP-RX packets </w:t>
      </w:r>
      <w:r>
        <w:t xml:space="preserve">during the </w:t>
      </w:r>
      <w:r>
        <w:rPr>
          <w:rFonts w:hint="eastAsia"/>
        </w:rPr>
        <w:t>MID</w:t>
      </w:r>
      <w:r w:rsidRPr="004616E7">
        <w:t xml:space="preserve"> </w:t>
      </w:r>
      <w:r>
        <w:t xml:space="preserve">sub-phases. </w:t>
      </w:r>
      <w:r w:rsidRPr="00F96FD8">
        <w:rPr>
          <w:rFonts w:hint="eastAsia"/>
        </w:rPr>
        <w:t>Otherwise</w:t>
      </w:r>
      <w:r w:rsidR="00543C60">
        <w:t>,</w:t>
      </w:r>
      <w:r w:rsidRPr="00F96FD8">
        <w:rPr>
          <w:rFonts w:hint="eastAsia"/>
        </w:rPr>
        <w:t xml:space="preserve"> this field is set to zero.</w:t>
      </w:r>
      <w:r w:rsidR="00AE47C1">
        <w:t xml:space="preserve"> </w:t>
      </w:r>
    </w:p>
    <w:p w:rsidR="00072841" w:rsidRDefault="00072841" w:rsidP="00272C50">
      <w:pPr>
        <w:rPr>
          <w:b/>
          <w:bCs/>
          <w:iCs/>
          <w:color w:val="FF0000"/>
          <w:u w:val="single"/>
        </w:rPr>
      </w:pPr>
    </w:p>
    <w:p w:rsidR="00072841" w:rsidRDefault="00072841" w:rsidP="00072841">
      <w:r>
        <w:t>A value of 1 in the capability request field indicates that the transmitter of the packet requests the intended receiver to respond with a BRP packet that includes the BRP request field. Otherwise, this field is set to 0.</w:t>
      </w:r>
      <w:r w:rsidR="00D11F2E">
        <w:t xml:space="preserve"> </w:t>
      </w:r>
    </w:p>
    <w:p w:rsidR="00072841" w:rsidRPr="00072841" w:rsidRDefault="00072841" w:rsidP="00272C50">
      <w:pPr>
        <w:rPr>
          <w:bCs/>
          <w:iCs/>
          <w:color w:val="FF0000"/>
          <w:u w:val="single"/>
        </w:rPr>
      </w:pPr>
    </w:p>
    <w:p w:rsidR="000946B0" w:rsidRPr="009448FC" w:rsidRDefault="00B3182D" w:rsidP="003701DB">
      <w:pPr>
        <w:pStyle w:val="Heading4"/>
        <w:numPr>
          <w:ilvl w:val="3"/>
          <w:numId w:val="152"/>
        </w:numPr>
      </w:pPr>
      <w:bookmarkStart w:id="589" w:name="_Toc232842651"/>
      <w:bookmarkStart w:id="590" w:name="_Toc232933616"/>
      <w:bookmarkStart w:id="591" w:name="_Toc232934248"/>
      <w:bookmarkStart w:id="592" w:name="_Toc232934748"/>
      <w:bookmarkStart w:id="593" w:name="_Toc232939385"/>
      <w:bookmarkStart w:id="594" w:name="_Ref244244228"/>
      <w:bookmarkStart w:id="595" w:name="_Ref244244883"/>
      <w:bookmarkStart w:id="596" w:name="_Ref244246247"/>
      <w:bookmarkStart w:id="597" w:name="_Ref244246260"/>
      <w:bookmarkStart w:id="598" w:name="_Toc259716931"/>
      <w:bookmarkEnd w:id="589"/>
      <w:bookmarkEnd w:id="590"/>
      <w:bookmarkEnd w:id="591"/>
      <w:bookmarkEnd w:id="592"/>
      <w:bookmarkEnd w:id="593"/>
      <w:r w:rsidRPr="009448FC">
        <w:t>Wakeup Schedule element</w:t>
      </w:r>
      <w:bookmarkEnd w:id="594"/>
      <w:bookmarkEnd w:id="595"/>
      <w:bookmarkEnd w:id="596"/>
      <w:bookmarkEnd w:id="597"/>
      <w:bookmarkEnd w:id="598"/>
      <w:r w:rsidRPr="009448FC">
        <w:t xml:space="preserve"> </w:t>
      </w:r>
    </w:p>
    <w:p w:rsidR="001538AD" w:rsidRPr="009448FC" w:rsidRDefault="001538AD" w:rsidP="001538AD">
      <w:pPr>
        <w:jc w:val="both"/>
      </w:pPr>
      <w:r w:rsidRPr="009448FC">
        <w:t xml:space="preserve">The </w:t>
      </w:r>
      <w:r w:rsidR="00413C13" w:rsidRPr="009448FC">
        <w:t xml:space="preserve">Wakeup Schedule element is defined in </w:t>
      </w:r>
      <w:r w:rsidR="00BD151C">
        <w:rPr>
          <w:bCs/>
        </w:rPr>
        <w:fldChar w:fldCharType="begin"/>
      </w:r>
      <w:r w:rsidR="009315CC">
        <w:rPr>
          <w:bCs/>
        </w:rPr>
        <w:instrText xml:space="preserve"> REF _Ref243803190 \h </w:instrText>
      </w:r>
      <w:r w:rsidR="00BD151C">
        <w:rPr>
          <w:bCs/>
        </w:rPr>
      </w:r>
      <w:r w:rsidR="00BD151C">
        <w:rPr>
          <w:bCs/>
        </w:rPr>
        <w:fldChar w:fldCharType="separate"/>
      </w:r>
      <w:r w:rsidR="003E4210" w:rsidRPr="00066F65">
        <w:t xml:space="preserve">Figure </w:t>
      </w:r>
      <w:r w:rsidR="003E4210">
        <w:rPr>
          <w:noProof/>
        </w:rPr>
        <w:t>38</w:t>
      </w:r>
      <w:r w:rsidR="00BD151C">
        <w:rPr>
          <w:bCs/>
        </w:rPr>
        <w:fldChar w:fldCharType="end"/>
      </w:r>
      <w:r w:rsidR="00413C13" w:rsidRPr="009448FC">
        <w:t>.</w:t>
      </w:r>
    </w:p>
    <w:p w:rsidR="001538AD" w:rsidRPr="009448FC" w:rsidRDefault="001538AD" w:rsidP="001538AD">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1329"/>
        <w:gridCol w:w="896"/>
        <w:gridCol w:w="1236"/>
        <w:gridCol w:w="1556"/>
      </w:tblGrid>
      <w:tr w:rsidR="001D3430" w:rsidRPr="00066F65" w:rsidTr="001D3430">
        <w:trPr>
          <w:jc w:val="center"/>
        </w:trPr>
        <w:tc>
          <w:tcPr>
            <w:tcW w:w="0" w:type="auto"/>
            <w:vAlign w:val="center"/>
          </w:tcPr>
          <w:p w:rsidR="004C2A5E" w:rsidRPr="009448FC" w:rsidRDefault="004C2A5E" w:rsidP="001D3430">
            <w:pPr>
              <w:jc w:val="center"/>
              <w:rPr>
                <w:rFonts w:eastAsia="SimSun"/>
              </w:rPr>
            </w:pPr>
          </w:p>
        </w:tc>
        <w:tc>
          <w:tcPr>
            <w:tcW w:w="0" w:type="auto"/>
            <w:vAlign w:val="center"/>
          </w:tcPr>
          <w:p w:rsidR="004C2A5E" w:rsidRPr="009448FC" w:rsidRDefault="004C2A5E" w:rsidP="001D3430">
            <w:pPr>
              <w:jc w:val="center"/>
              <w:rPr>
                <w:rFonts w:eastAsia="SimSun"/>
              </w:rPr>
            </w:pPr>
            <w:r w:rsidRPr="009448FC">
              <w:rPr>
                <w:rFonts w:eastAsia="SimSun"/>
              </w:rPr>
              <w:t>Element ID</w:t>
            </w:r>
          </w:p>
        </w:tc>
        <w:tc>
          <w:tcPr>
            <w:tcW w:w="0" w:type="auto"/>
            <w:vAlign w:val="center"/>
          </w:tcPr>
          <w:p w:rsidR="004C2A5E" w:rsidRPr="009448FC" w:rsidRDefault="004C2A5E" w:rsidP="001D3430">
            <w:pPr>
              <w:jc w:val="center"/>
              <w:rPr>
                <w:rFonts w:eastAsia="SimSun"/>
              </w:rPr>
            </w:pPr>
            <w:r w:rsidRPr="009448FC">
              <w:rPr>
                <w:rFonts w:eastAsia="SimSun"/>
              </w:rPr>
              <w:t>Length</w:t>
            </w:r>
          </w:p>
        </w:tc>
        <w:tc>
          <w:tcPr>
            <w:tcW w:w="0" w:type="auto"/>
            <w:vAlign w:val="center"/>
          </w:tcPr>
          <w:p w:rsidR="004C2A5E" w:rsidRPr="009448FC" w:rsidRDefault="004C2A5E" w:rsidP="001D3430">
            <w:pPr>
              <w:jc w:val="center"/>
              <w:rPr>
                <w:rFonts w:eastAsia="SimSun"/>
              </w:rPr>
            </w:pPr>
            <w:r w:rsidRPr="009448FC">
              <w:rPr>
                <w:rFonts w:eastAsia="SimSun"/>
              </w:rPr>
              <w:t>Start Time</w:t>
            </w:r>
          </w:p>
        </w:tc>
        <w:tc>
          <w:tcPr>
            <w:tcW w:w="0" w:type="auto"/>
            <w:vAlign w:val="center"/>
          </w:tcPr>
          <w:p w:rsidR="004C2A5E" w:rsidRPr="009448FC" w:rsidRDefault="004C2A5E" w:rsidP="001D3430">
            <w:pPr>
              <w:jc w:val="center"/>
              <w:rPr>
                <w:rFonts w:eastAsia="SimSun"/>
              </w:rPr>
            </w:pPr>
            <w:r w:rsidRPr="009448FC">
              <w:rPr>
                <w:rFonts w:eastAsia="SimSun"/>
              </w:rPr>
              <w:t>Sleep Interval</w:t>
            </w:r>
          </w:p>
        </w:tc>
      </w:tr>
      <w:tr w:rsidR="001D3430" w:rsidRPr="00066F65" w:rsidTr="001D3430">
        <w:trPr>
          <w:jc w:val="center"/>
        </w:trPr>
        <w:tc>
          <w:tcPr>
            <w:tcW w:w="0" w:type="auto"/>
            <w:vAlign w:val="center"/>
          </w:tcPr>
          <w:p w:rsidR="004C2A5E" w:rsidRPr="009448FC" w:rsidRDefault="004C2A5E" w:rsidP="001D3430">
            <w:pPr>
              <w:jc w:val="center"/>
              <w:rPr>
                <w:rFonts w:eastAsia="SimSun"/>
              </w:rPr>
            </w:pPr>
            <w:r w:rsidRPr="009448FC">
              <w:rPr>
                <w:rFonts w:eastAsia="SimSun"/>
              </w:rPr>
              <w:t>Octets:</w:t>
            </w:r>
          </w:p>
        </w:tc>
        <w:tc>
          <w:tcPr>
            <w:tcW w:w="0" w:type="auto"/>
            <w:vAlign w:val="center"/>
          </w:tcPr>
          <w:p w:rsidR="004C2A5E" w:rsidRPr="009448FC" w:rsidRDefault="004C2A5E" w:rsidP="001D3430">
            <w:pPr>
              <w:jc w:val="center"/>
              <w:rPr>
                <w:rFonts w:eastAsia="SimSun"/>
              </w:rPr>
            </w:pPr>
            <w:r w:rsidRPr="009448FC">
              <w:rPr>
                <w:rFonts w:eastAsia="SimSun"/>
              </w:rPr>
              <w:t>1</w:t>
            </w:r>
          </w:p>
        </w:tc>
        <w:tc>
          <w:tcPr>
            <w:tcW w:w="0" w:type="auto"/>
            <w:vAlign w:val="center"/>
          </w:tcPr>
          <w:p w:rsidR="004C2A5E" w:rsidRPr="009448FC" w:rsidRDefault="004C2A5E" w:rsidP="001D3430">
            <w:pPr>
              <w:jc w:val="center"/>
              <w:rPr>
                <w:rFonts w:eastAsia="SimSun"/>
              </w:rPr>
            </w:pPr>
            <w:r w:rsidRPr="009448FC">
              <w:rPr>
                <w:rFonts w:eastAsia="SimSun"/>
              </w:rPr>
              <w:t>1</w:t>
            </w:r>
          </w:p>
        </w:tc>
        <w:tc>
          <w:tcPr>
            <w:tcW w:w="0" w:type="auto"/>
            <w:vAlign w:val="center"/>
          </w:tcPr>
          <w:p w:rsidR="004C2A5E" w:rsidRPr="009448FC" w:rsidRDefault="004C2A5E" w:rsidP="001D3430">
            <w:pPr>
              <w:jc w:val="center"/>
              <w:rPr>
                <w:rFonts w:eastAsia="SimSun"/>
              </w:rPr>
            </w:pPr>
            <w:r w:rsidRPr="009448FC">
              <w:rPr>
                <w:rFonts w:eastAsia="SimSun"/>
              </w:rPr>
              <w:t>4</w:t>
            </w:r>
          </w:p>
        </w:tc>
        <w:tc>
          <w:tcPr>
            <w:tcW w:w="0" w:type="auto"/>
            <w:vAlign w:val="center"/>
          </w:tcPr>
          <w:p w:rsidR="004C2A5E" w:rsidRPr="009448FC" w:rsidRDefault="004C2A5E" w:rsidP="001D3430">
            <w:pPr>
              <w:jc w:val="center"/>
              <w:rPr>
                <w:rFonts w:eastAsia="SimSun"/>
              </w:rPr>
            </w:pPr>
            <w:r w:rsidRPr="009448FC">
              <w:rPr>
                <w:rFonts w:eastAsia="SimSun"/>
              </w:rPr>
              <w:t>2</w:t>
            </w:r>
          </w:p>
        </w:tc>
      </w:tr>
    </w:tbl>
    <w:p w:rsidR="008C36FC" w:rsidRPr="009448FC" w:rsidRDefault="004D785E" w:rsidP="00BA5BC4">
      <w:pPr>
        <w:pStyle w:val="Caption"/>
        <w:rPr>
          <w:b w:val="0"/>
          <w:sz w:val="32"/>
        </w:rPr>
      </w:pPr>
      <w:bookmarkStart w:id="599" w:name="_Ref243803190"/>
      <w:bookmarkStart w:id="600" w:name="_Toc259717470"/>
      <w:r w:rsidRPr="00066F65">
        <w:t xml:space="preserve">Figure </w:t>
      </w:r>
      <w:r w:rsidR="00BD151C">
        <w:fldChar w:fldCharType="begin"/>
      </w:r>
      <w:r w:rsidR="00801316">
        <w:instrText xml:space="preserve"> SEQ Figure \* ARABIC </w:instrText>
      </w:r>
      <w:r w:rsidR="00BD151C">
        <w:fldChar w:fldCharType="separate"/>
      </w:r>
      <w:r w:rsidR="003E4210">
        <w:rPr>
          <w:noProof/>
        </w:rPr>
        <w:t>38</w:t>
      </w:r>
      <w:r w:rsidR="00BD151C">
        <w:fldChar w:fldCharType="end"/>
      </w:r>
      <w:bookmarkEnd w:id="599"/>
      <w:r w:rsidR="00BD1721" w:rsidRPr="00066F65">
        <w:t xml:space="preserve"> – </w:t>
      </w:r>
      <w:r w:rsidRPr="00066F65">
        <w:t>Wakeup Schedule</w:t>
      </w:r>
      <w:bookmarkEnd w:id="600"/>
    </w:p>
    <w:p w:rsidR="008C36FC" w:rsidRPr="009448FC" w:rsidRDefault="009A1385" w:rsidP="009A1385">
      <w:pPr>
        <w:jc w:val="both"/>
      </w:pPr>
      <w:r w:rsidRPr="009448FC">
        <w:t xml:space="preserve">For non-PCP </w:t>
      </w:r>
      <w:r w:rsidR="00675A3F" w:rsidRPr="009448FC">
        <w:t xml:space="preserve">STA </w:t>
      </w:r>
      <w:r w:rsidRPr="009448FC">
        <w:t xml:space="preserve">power management, the Start Time field </w:t>
      </w:r>
      <w:r w:rsidR="008C36FC" w:rsidRPr="009448FC">
        <w:t>indicates the</w:t>
      </w:r>
      <w:r w:rsidR="003527AF" w:rsidRPr="009448FC">
        <w:t xml:space="preserve"> </w:t>
      </w:r>
      <w:r w:rsidR="008C36FC" w:rsidRPr="009448FC">
        <w:t xml:space="preserve">start time, expressed in microseconds, of the first </w:t>
      </w:r>
      <w:r w:rsidR="00355B34">
        <w:t>A</w:t>
      </w:r>
      <w:r w:rsidR="008C36FC" w:rsidRPr="009448FC">
        <w:t xml:space="preserve">wake </w:t>
      </w:r>
      <w:r w:rsidR="006A3E3F">
        <w:t>BI</w:t>
      </w:r>
      <w:r w:rsidR="008C36FC" w:rsidRPr="009448FC">
        <w:t>.</w:t>
      </w:r>
      <w:r w:rsidR="00EE1100" w:rsidRPr="009448FC">
        <w:t xml:space="preserve"> </w:t>
      </w:r>
      <w:r w:rsidR="008C36FC" w:rsidRPr="009448FC">
        <w:t xml:space="preserve">The value of the Start Time field represents the lower order 4 octets of the TSF timer value at the start of the first </w:t>
      </w:r>
      <w:r w:rsidR="00355B34">
        <w:t>A</w:t>
      </w:r>
      <w:r w:rsidR="008C36FC" w:rsidRPr="009448FC">
        <w:t xml:space="preserve">wake </w:t>
      </w:r>
      <w:r w:rsidR="006A3E3F">
        <w:t>BI</w:t>
      </w:r>
      <w:r w:rsidR="008C36FC" w:rsidRPr="009448FC">
        <w:t>.</w:t>
      </w:r>
    </w:p>
    <w:p w:rsidR="008C36FC" w:rsidRPr="009448FC" w:rsidRDefault="008C36FC" w:rsidP="00DB6CDA">
      <w:pPr>
        <w:jc w:val="both"/>
      </w:pPr>
    </w:p>
    <w:p w:rsidR="008C36FC" w:rsidRPr="009448FC" w:rsidRDefault="008C36FC" w:rsidP="0004091F">
      <w:pPr>
        <w:jc w:val="both"/>
      </w:pPr>
      <w:r w:rsidRPr="009448FC">
        <w:t>For PCP power management, the Start Time field indicates the start time, expressed in microseconds, of the next doze beacon interval.</w:t>
      </w:r>
      <w:r w:rsidR="00281486" w:rsidRPr="009448FC">
        <w:t xml:space="preserve"> </w:t>
      </w:r>
      <w:r w:rsidRPr="009448FC">
        <w:t>The value of the Start Time field represents the lower order 4 octets of the TSF timer value at the start of the next doze beacon interval.</w:t>
      </w:r>
    </w:p>
    <w:p w:rsidR="00ED4CB6" w:rsidRPr="009448FC" w:rsidRDefault="00ED4CB6" w:rsidP="0004091F">
      <w:pPr>
        <w:jc w:val="both"/>
      </w:pPr>
    </w:p>
    <w:p w:rsidR="008C36FC" w:rsidRPr="009448FC" w:rsidRDefault="008C36FC" w:rsidP="00ED4CB6">
      <w:pPr>
        <w:jc w:val="both"/>
      </w:pPr>
      <w:r w:rsidRPr="009448FC">
        <w:t>The Sleep Interval field is 2 octets.</w:t>
      </w:r>
      <w:r w:rsidR="00ED4CB6" w:rsidRPr="009448FC">
        <w:t xml:space="preserve"> </w:t>
      </w:r>
      <w:r w:rsidRPr="009448FC">
        <w:t>For non-PCP STA power management,</w:t>
      </w:r>
      <w:r w:rsidR="00ED4CB6" w:rsidRPr="009448FC">
        <w:t xml:space="preserve"> </w:t>
      </w:r>
      <w:r w:rsidRPr="009448FC">
        <w:t>the Sleep Interval field indicates the time, expressed in number of TBTT</w:t>
      </w:r>
      <w:r w:rsidR="003924DD">
        <w:t xml:space="preserve">s, between two successive </w:t>
      </w:r>
      <w:r w:rsidR="00355B34">
        <w:t>A</w:t>
      </w:r>
      <w:r w:rsidR="003924DD">
        <w:t>wake</w:t>
      </w:r>
      <w:r w:rsidRPr="009448FC">
        <w:t xml:space="preserve"> </w:t>
      </w:r>
      <w:r w:rsidR="003924DD">
        <w:t>BIs</w:t>
      </w:r>
      <w:r w:rsidRPr="009448FC">
        <w:t>. For PCP power management, the Sleep Interval field indicates the length of the PCP sleep interval, expressed in number of TBTTs.</w:t>
      </w:r>
    </w:p>
    <w:p w:rsidR="00ED4CB6" w:rsidRPr="009448FC" w:rsidRDefault="00ED4CB6" w:rsidP="00ED4CB6">
      <w:pPr>
        <w:jc w:val="both"/>
      </w:pPr>
    </w:p>
    <w:p w:rsidR="007C0DA6" w:rsidRPr="009448FC" w:rsidRDefault="007C0DA6" w:rsidP="0069712E">
      <w:pPr>
        <w:autoSpaceDE w:val="0"/>
        <w:autoSpaceDN w:val="0"/>
        <w:adjustRightInd w:val="0"/>
        <w:jc w:val="both"/>
      </w:pPr>
      <w:r w:rsidRPr="009448FC">
        <w:t xml:space="preserve">For non-PCP STA power management, the Sleep Interval field in the Wakeup Schedule </w:t>
      </w:r>
      <w:r w:rsidR="00F264C8" w:rsidRPr="009448FC">
        <w:t>element</w:t>
      </w:r>
      <w:r w:rsidRPr="009448FC">
        <w:t xml:space="preserve"> is set to a value that is power of 2.</w:t>
      </w:r>
    </w:p>
    <w:p w:rsidR="00687285" w:rsidRPr="009448FC" w:rsidRDefault="00687285" w:rsidP="00ED4CB6">
      <w:pPr>
        <w:autoSpaceDE w:val="0"/>
        <w:autoSpaceDN w:val="0"/>
        <w:adjustRightInd w:val="0"/>
        <w:jc w:val="both"/>
      </w:pPr>
    </w:p>
    <w:p w:rsidR="00687285" w:rsidRPr="009448FC" w:rsidRDefault="00687285" w:rsidP="003701DB">
      <w:pPr>
        <w:pStyle w:val="Heading4"/>
        <w:numPr>
          <w:ilvl w:val="3"/>
          <w:numId w:val="152"/>
        </w:numPr>
      </w:pPr>
      <w:bookmarkStart w:id="601" w:name="_Ref244244225"/>
      <w:bookmarkStart w:id="602" w:name="_Ref244245043"/>
      <w:bookmarkStart w:id="603" w:name="_Ref244245322"/>
      <w:bookmarkStart w:id="604" w:name="_Ref244245389"/>
      <w:bookmarkStart w:id="605" w:name="_Ref244245455"/>
      <w:bookmarkStart w:id="606" w:name="_Ref244246465"/>
      <w:bookmarkStart w:id="607" w:name="_Ref244246537"/>
      <w:bookmarkStart w:id="608" w:name="_Ref244246621"/>
      <w:bookmarkStart w:id="609" w:name="_Ref244246650"/>
      <w:bookmarkStart w:id="610" w:name="_Toc259716932"/>
      <w:r w:rsidRPr="009448FC">
        <w:t>Extended S</w:t>
      </w:r>
      <w:r w:rsidR="00B633F1">
        <w:t>c</w:t>
      </w:r>
      <w:r w:rsidRPr="009448FC">
        <w:t>hedule element</w:t>
      </w:r>
      <w:bookmarkEnd w:id="601"/>
      <w:bookmarkEnd w:id="602"/>
      <w:bookmarkEnd w:id="603"/>
      <w:bookmarkEnd w:id="604"/>
      <w:bookmarkEnd w:id="605"/>
      <w:bookmarkEnd w:id="606"/>
      <w:bookmarkEnd w:id="607"/>
      <w:bookmarkEnd w:id="608"/>
      <w:bookmarkEnd w:id="609"/>
      <w:bookmarkEnd w:id="610"/>
    </w:p>
    <w:p w:rsidR="008C36FC" w:rsidRPr="009448FC" w:rsidRDefault="008C36FC" w:rsidP="00ED4CB6">
      <w:pPr>
        <w:autoSpaceDE w:val="0"/>
        <w:autoSpaceDN w:val="0"/>
        <w:adjustRightInd w:val="0"/>
        <w:jc w:val="both"/>
      </w:pPr>
      <w:r w:rsidRPr="009448FC">
        <w:t xml:space="preserve">The </w:t>
      </w:r>
      <w:r w:rsidR="006A2966" w:rsidRPr="009448FC">
        <w:t xml:space="preserve">Extended Schedule </w:t>
      </w:r>
      <w:r w:rsidRPr="009448FC">
        <w:t>element is formatted as illustrated in</w:t>
      </w:r>
      <w:r w:rsidR="00A11621" w:rsidRPr="009448FC">
        <w:t xml:space="preserve"> </w:t>
      </w:r>
      <w:r w:rsidR="00BD151C" w:rsidRPr="009448FC">
        <w:fldChar w:fldCharType="begin"/>
      </w:r>
      <w:r w:rsidR="00796BBF" w:rsidRPr="009448FC">
        <w:instrText xml:space="preserve"> REF _Ref236393471 \h </w:instrText>
      </w:r>
      <w:r w:rsidR="00BD151C" w:rsidRPr="009448FC">
        <w:fldChar w:fldCharType="separate"/>
      </w:r>
      <w:r w:rsidR="003E4210" w:rsidRPr="00066F65">
        <w:t xml:space="preserve">Figure </w:t>
      </w:r>
      <w:r w:rsidR="003E4210">
        <w:rPr>
          <w:noProof/>
        </w:rPr>
        <w:t>39</w:t>
      </w:r>
      <w:r w:rsidR="00BD151C" w:rsidRPr="009448FC">
        <w:fldChar w:fldCharType="end"/>
      </w:r>
      <w:r w:rsidRPr="009448FC">
        <w:t xml:space="preserve">. Because the length parameter supports only 255 octets of payload in an </w:t>
      </w:r>
      <w:r w:rsidR="00F264C8" w:rsidRPr="009448FC">
        <w:t>element</w:t>
      </w:r>
      <w:r w:rsidRPr="009448FC">
        <w:t>, the PCP</w:t>
      </w:r>
      <w:r w:rsidR="00707555" w:rsidRPr="009448FC">
        <w:t>/</w:t>
      </w:r>
      <w:r w:rsidR="00655EA4" w:rsidRPr="009448FC">
        <w:t xml:space="preserve">AP </w:t>
      </w:r>
      <w:r w:rsidRPr="009448FC">
        <w:t>may split the Schedule information into more than one Schedule element entry in the beacon or AT. The Allocation fields shall be ordered by increasing allocation start time</w:t>
      </w:r>
      <w:r w:rsidR="00ED4CB6" w:rsidRPr="009448FC">
        <w:t xml:space="preserve"> </w:t>
      </w:r>
      <w:r w:rsidRPr="009448FC">
        <w:t>with allocations beginning at the same time arbitrarily ordered.</w:t>
      </w:r>
    </w:p>
    <w:p w:rsidR="008C36FC" w:rsidRPr="009448FC" w:rsidRDefault="008C36FC" w:rsidP="0004091F">
      <w:pPr>
        <w:jc w:val="both"/>
        <w:rPr>
          <w:b/>
          <w:i/>
        </w:rPr>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1344"/>
        <w:gridCol w:w="896"/>
        <w:gridCol w:w="1428"/>
        <w:gridCol w:w="1428"/>
        <w:gridCol w:w="548"/>
        <w:gridCol w:w="1428"/>
      </w:tblGrid>
      <w:tr w:rsidR="00D0037C" w:rsidRPr="00066F65" w:rsidTr="00D0037C">
        <w:trPr>
          <w:jc w:val="center"/>
        </w:trPr>
        <w:tc>
          <w:tcPr>
            <w:tcW w:w="956" w:type="dxa"/>
          </w:tcPr>
          <w:p w:rsidR="008C36FC" w:rsidRPr="009448FC" w:rsidRDefault="008C36FC" w:rsidP="00D0037C">
            <w:pPr>
              <w:jc w:val="both"/>
              <w:rPr>
                <w:rFonts w:eastAsia="SimSun"/>
                <w:sz w:val="22"/>
              </w:rPr>
            </w:pPr>
          </w:p>
        </w:tc>
        <w:tc>
          <w:tcPr>
            <w:tcW w:w="1344" w:type="dxa"/>
          </w:tcPr>
          <w:p w:rsidR="008C36FC" w:rsidRPr="009448FC" w:rsidRDefault="008C36FC" w:rsidP="00D0037C">
            <w:pPr>
              <w:jc w:val="both"/>
              <w:rPr>
                <w:rFonts w:eastAsia="SimSun"/>
                <w:sz w:val="22"/>
              </w:rPr>
            </w:pPr>
            <w:r w:rsidRPr="009448FC">
              <w:rPr>
                <w:rFonts w:eastAsia="SimSun"/>
                <w:sz w:val="22"/>
              </w:rPr>
              <w:t>Element ID</w:t>
            </w:r>
          </w:p>
        </w:tc>
        <w:tc>
          <w:tcPr>
            <w:tcW w:w="896" w:type="dxa"/>
          </w:tcPr>
          <w:p w:rsidR="008C36FC" w:rsidRPr="009448FC" w:rsidRDefault="008C36FC" w:rsidP="00D0037C">
            <w:pPr>
              <w:jc w:val="both"/>
              <w:rPr>
                <w:rFonts w:eastAsia="SimSun"/>
                <w:sz w:val="22"/>
              </w:rPr>
            </w:pPr>
            <w:r w:rsidRPr="009448FC">
              <w:rPr>
                <w:rFonts w:eastAsia="SimSun"/>
                <w:sz w:val="22"/>
              </w:rPr>
              <w:t>Length</w:t>
            </w:r>
          </w:p>
        </w:tc>
        <w:tc>
          <w:tcPr>
            <w:tcW w:w="1428" w:type="dxa"/>
          </w:tcPr>
          <w:p w:rsidR="008C36FC" w:rsidRPr="009448FC" w:rsidRDefault="008C36FC" w:rsidP="00D0037C">
            <w:pPr>
              <w:jc w:val="both"/>
              <w:rPr>
                <w:rFonts w:eastAsia="SimSun"/>
                <w:sz w:val="22"/>
              </w:rPr>
            </w:pPr>
            <w:r w:rsidRPr="009448FC">
              <w:rPr>
                <w:rFonts w:eastAsia="SimSun"/>
                <w:sz w:val="22"/>
              </w:rPr>
              <w:t>Allocation 1</w:t>
            </w:r>
          </w:p>
        </w:tc>
        <w:tc>
          <w:tcPr>
            <w:tcW w:w="1428" w:type="dxa"/>
          </w:tcPr>
          <w:p w:rsidR="008C36FC" w:rsidRPr="009448FC" w:rsidRDefault="008C36FC" w:rsidP="00D0037C">
            <w:pPr>
              <w:jc w:val="both"/>
              <w:rPr>
                <w:rFonts w:eastAsia="SimSun"/>
                <w:sz w:val="22"/>
              </w:rPr>
            </w:pPr>
            <w:r w:rsidRPr="009448FC">
              <w:rPr>
                <w:rFonts w:eastAsia="SimSun"/>
                <w:sz w:val="22"/>
              </w:rPr>
              <w:t>Allocation 2</w:t>
            </w:r>
          </w:p>
        </w:tc>
        <w:tc>
          <w:tcPr>
            <w:tcW w:w="548" w:type="dxa"/>
          </w:tcPr>
          <w:p w:rsidR="008C36FC" w:rsidRPr="009448FC" w:rsidRDefault="008C36FC" w:rsidP="00D0037C">
            <w:pPr>
              <w:jc w:val="center"/>
              <w:rPr>
                <w:rFonts w:eastAsia="SimSun"/>
                <w:sz w:val="22"/>
              </w:rPr>
            </w:pPr>
            <w:r w:rsidRPr="009448FC">
              <w:rPr>
                <w:rFonts w:eastAsia="SimSun"/>
                <w:sz w:val="22"/>
              </w:rPr>
              <w:t>…</w:t>
            </w:r>
          </w:p>
        </w:tc>
        <w:tc>
          <w:tcPr>
            <w:tcW w:w="1428" w:type="dxa"/>
          </w:tcPr>
          <w:p w:rsidR="008C36FC" w:rsidRPr="009448FC" w:rsidRDefault="008C36FC" w:rsidP="00D0037C">
            <w:pPr>
              <w:jc w:val="both"/>
              <w:rPr>
                <w:rFonts w:eastAsia="SimSun"/>
                <w:sz w:val="22"/>
              </w:rPr>
            </w:pPr>
            <w:r w:rsidRPr="009448FC">
              <w:rPr>
                <w:rFonts w:eastAsia="SimSun"/>
                <w:sz w:val="22"/>
              </w:rPr>
              <w:t>Allocation n</w:t>
            </w:r>
          </w:p>
        </w:tc>
      </w:tr>
      <w:tr w:rsidR="00D0037C" w:rsidRPr="00066F65" w:rsidTr="00D0037C">
        <w:trPr>
          <w:jc w:val="center"/>
        </w:trPr>
        <w:tc>
          <w:tcPr>
            <w:tcW w:w="956" w:type="dxa"/>
          </w:tcPr>
          <w:p w:rsidR="008C36FC" w:rsidRPr="009448FC" w:rsidRDefault="008C36FC" w:rsidP="00D0037C">
            <w:pPr>
              <w:jc w:val="both"/>
              <w:rPr>
                <w:rFonts w:eastAsia="SimSun"/>
                <w:sz w:val="22"/>
              </w:rPr>
            </w:pPr>
            <w:r w:rsidRPr="009448FC">
              <w:rPr>
                <w:rFonts w:eastAsia="SimSun"/>
                <w:sz w:val="22"/>
              </w:rPr>
              <w:t>Octets:</w:t>
            </w:r>
          </w:p>
        </w:tc>
        <w:tc>
          <w:tcPr>
            <w:tcW w:w="1344" w:type="dxa"/>
          </w:tcPr>
          <w:p w:rsidR="008C36FC" w:rsidRPr="009448FC" w:rsidRDefault="008C36FC" w:rsidP="00D0037C">
            <w:pPr>
              <w:jc w:val="center"/>
              <w:rPr>
                <w:rFonts w:eastAsia="SimSun"/>
                <w:sz w:val="22"/>
              </w:rPr>
            </w:pPr>
            <w:r w:rsidRPr="009448FC">
              <w:rPr>
                <w:rFonts w:eastAsia="SimSun"/>
                <w:sz w:val="22"/>
              </w:rPr>
              <w:t>1</w:t>
            </w:r>
          </w:p>
        </w:tc>
        <w:tc>
          <w:tcPr>
            <w:tcW w:w="896" w:type="dxa"/>
          </w:tcPr>
          <w:p w:rsidR="008C36FC" w:rsidRPr="009448FC" w:rsidRDefault="008C36FC" w:rsidP="00D0037C">
            <w:pPr>
              <w:jc w:val="center"/>
              <w:rPr>
                <w:rFonts w:eastAsia="SimSun"/>
                <w:sz w:val="22"/>
              </w:rPr>
            </w:pPr>
            <w:r w:rsidRPr="009448FC">
              <w:rPr>
                <w:rFonts w:eastAsia="SimSun"/>
                <w:sz w:val="22"/>
              </w:rPr>
              <w:t>1</w:t>
            </w:r>
          </w:p>
        </w:tc>
        <w:tc>
          <w:tcPr>
            <w:tcW w:w="1428" w:type="dxa"/>
          </w:tcPr>
          <w:p w:rsidR="008C36FC" w:rsidRPr="009448FC" w:rsidRDefault="008C36FC" w:rsidP="00D0037C">
            <w:pPr>
              <w:jc w:val="center"/>
              <w:rPr>
                <w:rFonts w:eastAsia="SimSun"/>
                <w:sz w:val="22"/>
              </w:rPr>
            </w:pPr>
            <w:r w:rsidRPr="009448FC">
              <w:rPr>
                <w:rFonts w:eastAsia="SimSun"/>
                <w:sz w:val="22"/>
              </w:rPr>
              <w:t>15</w:t>
            </w:r>
          </w:p>
        </w:tc>
        <w:tc>
          <w:tcPr>
            <w:tcW w:w="1428" w:type="dxa"/>
          </w:tcPr>
          <w:p w:rsidR="008C36FC" w:rsidRPr="009448FC" w:rsidRDefault="008C36FC" w:rsidP="00D0037C">
            <w:pPr>
              <w:jc w:val="center"/>
              <w:rPr>
                <w:rFonts w:eastAsia="SimSun"/>
                <w:sz w:val="22"/>
              </w:rPr>
            </w:pPr>
            <w:r w:rsidRPr="009448FC">
              <w:rPr>
                <w:rFonts w:eastAsia="SimSun"/>
                <w:sz w:val="22"/>
              </w:rPr>
              <w:t>15</w:t>
            </w:r>
          </w:p>
        </w:tc>
        <w:tc>
          <w:tcPr>
            <w:tcW w:w="548" w:type="dxa"/>
          </w:tcPr>
          <w:p w:rsidR="008C36FC" w:rsidRPr="009448FC" w:rsidRDefault="008C36FC" w:rsidP="00D0037C">
            <w:pPr>
              <w:jc w:val="center"/>
              <w:rPr>
                <w:rFonts w:eastAsia="SimSun"/>
                <w:sz w:val="22"/>
              </w:rPr>
            </w:pPr>
            <w:r w:rsidRPr="009448FC">
              <w:rPr>
                <w:rFonts w:eastAsia="SimSun"/>
                <w:sz w:val="22"/>
              </w:rPr>
              <w:t>…</w:t>
            </w:r>
          </w:p>
        </w:tc>
        <w:tc>
          <w:tcPr>
            <w:tcW w:w="1428" w:type="dxa"/>
          </w:tcPr>
          <w:p w:rsidR="008C36FC" w:rsidRPr="009448FC" w:rsidRDefault="008C36FC" w:rsidP="00D0037C">
            <w:pPr>
              <w:jc w:val="center"/>
              <w:rPr>
                <w:rFonts w:eastAsia="SimSun"/>
                <w:sz w:val="22"/>
              </w:rPr>
            </w:pPr>
            <w:r w:rsidRPr="009448FC">
              <w:rPr>
                <w:rFonts w:eastAsia="SimSun"/>
                <w:sz w:val="22"/>
              </w:rPr>
              <w:t>15</w:t>
            </w:r>
          </w:p>
        </w:tc>
      </w:tr>
    </w:tbl>
    <w:p w:rsidR="008C36FC" w:rsidRPr="00066F65" w:rsidRDefault="008C36FC" w:rsidP="00BA5BC4">
      <w:pPr>
        <w:pStyle w:val="Caption"/>
      </w:pPr>
      <w:bookmarkStart w:id="611" w:name="_Ref236393471"/>
      <w:bookmarkStart w:id="612" w:name="_Ref217710584"/>
      <w:bookmarkStart w:id="613" w:name="_Toc259717471"/>
      <w:r w:rsidRPr="00066F65">
        <w:t xml:space="preserve">Figure </w:t>
      </w:r>
      <w:r w:rsidR="00BD151C">
        <w:fldChar w:fldCharType="begin"/>
      </w:r>
      <w:r w:rsidR="00801316">
        <w:instrText xml:space="preserve"> SEQ Figure \* ARABIC </w:instrText>
      </w:r>
      <w:r w:rsidR="00BD151C">
        <w:fldChar w:fldCharType="separate"/>
      </w:r>
      <w:r w:rsidR="003E4210">
        <w:rPr>
          <w:noProof/>
        </w:rPr>
        <w:t>39</w:t>
      </w:r>
      <w:r w:rsidR="00BD151C">
        <w:fldChar w:fldCharType="end"/>
      </w:r>
      <w:bookmarkEnd w:id="611"/>
      <w:r w:rsidRPr="00066F65">
        <w:t xml:space="preserve"> – </w:t>
      </w:r>
      <w:r w:rsidR="006A2966" w:rsidRPr="00066F65">
        <w:t xml:space="preserve">Extended Schedule </w:t>
      </w:r>
      <w:r w:rsidR="00F264C8" w:rsidRPr="00066F65">
        <w:t>element</w:t>
      </w:r>
      <w:r w:rsidRPr="00066F65">
        <w:t xml:space="preserve"> format</w:t>
      </w:r>
      <w:bookmarkEnd w:id="612"/>
      <w:bookmarkEnd w:id="613"/>
    </w:p>
    <w:p w:rsidR="008C36FC" w:rsidRPr="009448FC" w:rsidRDefault="008C36FC" w:rsidP="0004091F">
      <w:pPr>
        <w:jc w:val="both"/>
      </w:pPr>
    </w:p>
    <w:p w:rsidR="008C36FC" w:rsidRPr="009448FC" w:rsidRDefault="008C36FC" w:rsidP="0004091F">
      <w:pPr>
        <w:jc w:val="both"/>
      </w:pPr>
      <w:r w:rsidRPr="009448FC">
        <w:t xml:space="preserve">The </w:t>
      </w:r>
      <w:r w:rsidRPr="009448FC">
        <w:rPr>
          <w:sz w:val="22"/>
        </w:rPr>
        <w:t>Allocation field</w:t>
      </w:r>
      <w:r w:rsidRPr="009448FC">
        <w:t xml:space="preserve"> is formatted as illustrated in </w:t>
      </w:r>
      <w:r w:rsidR="00BD151C">
        <w:fldChar w:fldCharType="begin"/>
      </w:r>
      <w:r>
        <w:instrText xml:space="preserve"> REF _Ref214274467 \h </w:instrText>
      </w:r>
      <w:r w:rsidR="00BD151C">
        <w:fldChar w:fldCharType="separate"/>
      </w:r>
      <w:r w:rsidR="003E4210" w:rsidRPr="00066F65">
        <w:t xml:space="preserve">Figure </w:t>
      </w:r>
      <w:r w:rsidR="003E4210">
        <w:rPr>
          <w:noProof/>
        </w:rPr>
        <w:t>40</w:t>
      </w:r>
      <w:r w:rsidR="00BD151C">
        <w:fldChar w:fldCharType="end"/>
      </w:r>
      <w:r w:rsidRPr="009448FC">
        <w:t>.</w:t>
      </w:r>
    </w:p>
    <w:p w:rsidR="008C36FC" w:rsidRPr="009448FC" w:rsidRDefault="008C36FC" w:rsidP="0004091F">
      <w:pPr>
        <w:jc w:val="both"/>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901"/>
        <w:gridCol w:w="900"/>
        <w:gridCol w:w="1479"/>
        <w:gridCol w:w="1425"/>
        <w:gridCol w:w="1425"/>
        <w:gridCol w:w="1425"/>
        <w:gridCol w:w="1167"/>
      </w:tblGrid>
      <w:tr w:rsidR="00824E69" w:rsidRPr="00066F65" w:rsidTr="00824E69">
        <w:trPr>
          <w:jc w:val="center"/>
        </w:trPr>
        <w:tc>
          <w:tcPr>
            <w:tcW w:w="599" w:type="pct"/>
          </w:tcPr>
          <w:p w:rsidR="00824E69" w:rsidRPr="009448FC" w:rsidRDefault="00824E69" w:rsidP="00824E69">
            <w:pPr>
              <w:jc w:val="both"/>
              <w:rPr>
                <w:rFonts w:eastAsia="SimSun"/>
                <w:sz w:val="22"/>
              </w:rPr>
            </w:pPr>
            <w:bookmarkStart w:id="614" w:name="_Ref203546785"/>
            <w:r w:rsidRPr="009448FC">
              <w:rPr>
                <w:rFonts w:eastAsia="SimSun"/>
                <w:sz w:val="22"/>
              </w:rPr>
              <w:t>Allocation Control</w:t>
            </w:r>
          </w:p>
        </w:tc>
        <w:tc>
          <w:tcPr>
            <w:tcW w:w="454" w:type="pct"/>
          </w:tcPr>
          <w:p w:rsidR="00824E69" w:rsidRPr="009448FC" w:rsidRDefault="00824E69" w:rsidP="003129D3">
            <w:pPr>
              <w:jc w:val="center"/>
              <w:rPr>
                <w:rFonts w:eastAsia="SimSun"/>
                <w:sz w:val="22"/>
              </w:rPr>
            </w:pPr>
            <w:r w:rsidRPr="009448FC">
              <w:rPr>
                <w:rFonts w:eastAsia="SimSun"/>
                <w:sz w:val="22"/>
              </w:rPr>
              <w:t>BF Control</w:t>
            </w:r>
          </w:p>
        </w:tc>
        <w:tc>
          <w:tcPr>
            <w:tcW w:w="454" w:type="pct"/>
          </w:tcPr>
          <w:p w:rsidR="00824E69" w:rsidRPr="009448FC" w:rsidRDefault="00824E69" w:rsidP="00824E69">
            <w:pPr>
              <w:jc w:val="both"/>
              <w:rPr>
                <w:rFonts w:eastAsia="SimSun"/>
                <w:sz w:val="22"/>
              </w:rPr>
            </w:pPr>
            <w:r w:rsidRPr="009448FC">
              <w:rPr>
                <w:rFonts w:eastAsia="SimSun"/>
                <w:sz w:val="22"/>
              </w:rPr>
              <w:t>Source AID</w:t>
            </w:r>
          </w:p>
        </w:tc>
        <w:tc>
          <w:tcPr>
            <w:tcW w:w="746" w:type="pct"/>
          </w:tcPr>
          <w:p w:rsidR="00824E69" w:rsidRPr="009448FC" w:rsidRDefault="00824E69" w:rsidP="00824E69">
            <w:pPr>
              <w:jc w:val="both"/>
              <w:rPr>
                <w:rFonts w:eastAsia="SimSun"/>
                <w:sz w:val="22"/>
              </w:rPr>
            </w:pPr>
            <w:r w:rsidRPr="009448FC">
              <w:rPr>
                <w:rFonts w:eastAsia="SimSun"/>
                <w:sz w:val="22"/>
              </w:rPr>
              <w:t>Destination AID</w:t>
            </w:r>
          </w:p>
        </w:tc>
        <w:tc>
          <w:tcPr>
            <w:tcW w:w="719" w:type="pct"/>
          </w:tcPr>
          <w:p w:rsidR="00824E69" w:rsidRPr="009448FC" w:rsidRDefault="00824E69" w:rsidP="00824E69">
            <w:pPr>
              <w:jc w:val="both"/>
              <w:rPr>
                <w:rFonts w:eastAsia="SimSun"/>
                <w:sz w:val="22"/>
              </w:rPr>
            </w:pPr>
            <w:r w:rsidRPr="009448FC">
              <w:rPr>
                <w:rFonts w:eastAsia="SimSun"/>
                <w:sz w:val="22"/>
              </w:rPr>
              <w:t xml:space="preserve">Allocation Start </w:t>
            </w:r>
          </w:p>
        </w:tc>
        <w:tc>
          <w:tcPr>
            <w:tcW w:w="719" w:type="pct"/>
          </w:tcPr>
          <w:p w:rsidR="00824E69" w:rsidRPr="009448FC" w:rsidRDefault="00824E69" w:rsidP="00824E69">
            <w:pPr>
              <w:jc w:val="both"/>
              <w:rPr>
                <w:rFonts w:eastAsia="SimSun"/>
                <w:sz w:val="22"/>
              </w:rPr>
            </w:pPr>
            <w:r w:rsidRPr="009448FC">
              <w:rPr>
                <w:rFonts w:eastAsia="SimSun"/>
                <w:sz w:val="22"/>
              </w:rPr>
              <w:t>Allocation Block Duration</w:t>
            </w:r>
          </w:p>
        </w:tc>
        <w:tc>
          <w:tcPr>
            <w:tcW w:w="719" w:type="pct"/>
          </w:tcPr>
          <w:p w:rsidR="00824E69" w:rsidRPr="009448FC" w:rsidRDefault="00824E69" w:rsidP="00824E69">
            <w:pPr>
              <w:jc w:val="both"/>
              <w:rPr>
                <w:rFonts w:eastAsia="SimSun"/>
                <w:sz w:val="22"/>
              </w:rPr>
            </w:pPr>
            <w:r w:rsidRPr="009448FC">
              <w:rPr>
                <w:rFonts w:eastAsia="SimSun"/>
                <w:sz w:val="22"/>
              </w:rPr>
              <w:t>Allocation Block Period</w:t>
            </w:r>
          </w:p>
        </w:tc>
        <w:tc>
          <w:tcPr>
            <w:tcW w:w="589" w:type="pct"/>
          </w:tcPr>
          <w:p w:rsidR="00824E69" w:rsidRPr="009448FC" w:rsidRDefault="00824E69" w:rsidP="00824E69">
            <w:pPr>
              <w:jc w:val="both"/>
              <w:rPr>
                <w:rFonts w:eastAsia="SimSun"/>
                <w:sz w:val="22"/>
              </w:rPr>
            </w:pPr>
            <w:r w:rsidRPr="009448FC">
              <w:rPr>
                <w:rFonts w:eastAsia="SimSun"/>
                <w:sz w:val="22"/>
              </w:rPr>
              <w:t>Number of Blocks</w:t>
            </w:r>
          </w:p>
        </w:tc>
      </w:tr>
      <w:tr w:rsidR="00824E69" w:rsidRPr="00066F65" w:rsidTr="00824E69">
        <w:trPr>
          <w:jc w:val="center"/>
        </w:trPr>
        <w:tc>
          <w:tcPr>
            <w:tcW w:w="599" w:type="pct"/>
          </w:tcPr>
          <w:p w:rsidR="00824E69" w:rsidRPr="009448FC" w:rsidRDefault="00824E69" w:rsidP="00D0037C">
            <w:pPr>
              <w:jc w:val="center"/>
              <w:rPr>
                <w:rFonts w:eastAsia="SimSun"/>
                <w:sz w:val="22"/>
              </w:rPr>
            </w:pPr>
            <w:r w:rsidRPr="009448FC">
              <w:rPr>
                <w:rFonts w:eastAsia="SimSun"/>
                <w:sz w:val="22"/>
              </w:rPr>
              <w:t>Octets: 2</w:t>
            </w:r>
          </w:p>
        </w:tc>
        <w:tc>
          <w:tcPr>
            <w:tcW w:w="454" w:type="pct"/>
          </w:tcPr>
          <w:p w:rsidR="00824E69" w:rsidRPr="009448FC" w:rsidRDefault="00824E69" w:rsidP="003129D3">
            <w:pPr>
              <w:jc w:val="center"/>
              <w:rPr>
                <w:rFonts w:eastAsia="SimSun"/>
                <w:sz w:val="22"/>
              </w:rPr>
            </w:pPr>
            <w:r w:rsidRPr="009448FC">
              <w:rPr>
                <w:rFonts w:eastAsia="SimSun"/>
                <w:sz w:val="22"/>
              </w:rPr>
              <w:t>2</w:t>
            </w:r>
          </w:p>
        </w:tc>
        <w:tc>
          <w:tcPr>
            <w:tcW w:w="454" w:type="pct"/>
          </w:tcPr>
          <w:p w:rsidR="00824E69" w:rsidRPr="009448FC" w:rsidRDefault="00824E69" w:rsidP="00D0037C">
            <w:pPr>
              <w:jc w:val="center"/>
              <w:rPr>
                <w:rFonts w:eastAsia="SimSun"/>
                <w:sz w:val="22"/>
              </w:rPr>
            </w:pPr>
            <w:r w:rsidRPr="009448FC">
              <w:rPr>
                <w:rFonts w:eastAsia="SimSun"/>
                <w:sz w:val="22"/>
              </w:rPr>
              <w:t>1</w:t>
            </w:r>
          </w:p>
        </w:tc>
        <w:tc>
          <w:tcPr>
            <w:tcW w:w="746" w:type="pct"/>
          </w:tcPr>
          <w:p w:rsidR="00824E69" w:rsidRPr="009448FC" w:rsidRDefault="00824E69" w:rsidP="00D0037C">
            <w:pPr>
              <w:jc w:val="center"/>
              <w:rPr>
                <w:rFonts w:eastAsia="SimSun"/>
                <w:sz w:val="22"/>
              </w:rPr>
            </w:pPr>
            <w:r w:rsidRPr="009448FC">
              <w:rPr>
                <w:rFonts w:eastAsia="SimSun"/>
                <w:sz w:val="22"/>
              </w:rPr>
              <w:t>1</w:t>
            </w:r>
          </w:p>
        </w:tc>
        <w:tc>
          <w:tcPr>
            <w:tcW w:w="719" w:type="pct"/>
          </w:tcPr>
          <w:p w:rsidR="00824E69" w:rsidRPr="009448FC" w:rsidRDefault="00824E69" w:rsidP="00D0037C">
            <w:pPr>
              <w:jc w:val="center"/>
              <w:rPr>
                <w:rFonts w:eastAsia="SimSun"/>
                <w:sz w:val="22"/>
              </w:rPr>
            </w:pPr>
            <w:r w:rsidRPr="009448FC">
              <w:rPr>
                <w:rFonts w:eastAsia="SimSun"/>
                <w:sz w:val="22"/>
              </w:rPr>
              <w:t>4</w:t>
            </w:r>
          </w:p>
        </w:tc>
        <w:tc>
          <w:tcPr>
            <w:tcW w:w="719" w:type="pct"/>
          </w:tcPr>
          <w:p w:rsidR="00824E69" w:rsidRPr="009448FC" w:rsidRDefault="00824E69" w:rsidP="00D0037C">
            <w:pPr>
              <w:jc w:val="center"/>
              <w:rPr>
                <w:rFonts w:eastAsia="SimSun"/>
                <w:sz w:val="22"/>
              </w:rPr>
            </w:pPr>
            <w:r w:rsidRPr="009448FC">
              <w:rPr>
                <w:rFonts w:eastAsia="SimSun"/>
                <w:sz w:val="22"/>
              </w:rPr>
              <w:t>2</w:t>
            </w:r>
          </w:p>
        </w:tc>
        <w:tc>
          <w:tcPr>
            <w:tcW w:w="719" w:type="pct"/>
          </w:tcPr>
          <w:p w:rsidR="00824E69" w:rsidRPr="009448FC" w:rsidRDefault="00824E69" w:rsidP="00D0037C">
            <w:pPr>
              <w:jc w:val="center"/>
              <w:rPr>
                <w:rFonts w:eastAsia="SimSun"/>
                <w:sz w:val="22"/>
              </w:rPr>
            </w:pPr>
            <w:r w:rsidRPr="009448FC">
              <w:rPr>
                <w:rFonts w:eastAsia="SimSun"/>
                <w:sz w:val="22"/>
              </w:rPr>
              <w:t>2</w:t>
            </w:r>
          </w:p>
        </w:tc>
        <w:tc>
          <w:tcPr>
            <w:tcW w:w="589" w:type="pct"/>
          </w:tcPr>
          <w:p w:rsidR="00824E69" w:rsidRPr="009448FC" w:rsidRDefault="00824E69" w:rsidP="00D0037C">
            <w:pPr>
              <w:jc w:val="center"/>
              <w:rPr>
                <w:rFonts w:eastAsia="SimSun"/>
                <w:sz w:val="22"/>
              </w:rPr>
            </w:pPr>
            <w:r w:rsidRPr="009448FC">
              <w:rPr>
                <w:rFonts w:eastAsia="SimSun"/>
                <w:sz w:val="22"/>
              </w:rPr>
              <w:t>1</w:t>
            </w:r>
          </w:p>
        </w:tc>
      </w:tr>
    </w:tbl>
    <w:p w:rsidR="008C36FC" w:rsidRPr="00066F65" w:rsidRDefault="008C36FC" w:rsidP="00BA5BC4">
      <w:pPr>
        <w:pStyle w:val="Caption"/>
      </w:pPr>
      <w:bookmarkStart w:id="615" w:name="_Ref214274467"/>
      <w:bookmarkStart w:id="616" w:name="_Toc259717472"/>
      <w:r w:rsidRPr="00066F65">
        <w:t xml:space="preserve">Figure </w:t>
      </w:r>
      <w:r w:rsidR="00BD151C">
        <w:fldChar w:fldCharType="begin"/>
      </w:r>
      <w:r w:rsidR="00801316">
        <w:instrText xml:space="preserve"> SEQ Figure \* ARABIC </w:instrText>
      </w:r>
      <w:r w:rsidR="00BD151C">
        <w:fldChar w:fldCharType="separate"/>
      </w:r>
      <w:r w:rsidR="003E4210">
        <w:rPr>
          <w:noProof/>
        </w:rPr>
        <w:t>40</w:t>
      </w:r>
      <w:r w:rsidR="00BD151C">
        <w:fldChar w:fldCharType="end"/>
      </w:r>
      <w:bookmarkEnd w:id="614"/>
      <w:bookmarkEnd w:id="615"/>
      <w:r w:rsidRPr="00066F65">
        <w:t xml:space="preserve"> – Allocation field</w:t>
      </w:r>
      <w:bookmarkEnd w:id="616"/>
    </w:p>
    <w:p w:rsidR="008C36FC" w:rsidRPr="009448FC" w:rsidRDefault="008C36FC" w:rsidP="0004091F">
      <w:pPr>
        <w:jc w:val="both"/>
      </w:pPr>
    </w:p>
    <w:p w:rsidR="008C36FC" w:rsidRPr="009448FC" w:rsidRDefault="008C36FC" w:rsidP="0004091F">
      <w:pPr>
        <w:jc w:val="both"/>
      </w:pPr>
      <w:r w:rsidRPr="009448FC">
        <w:t xml:space="preserve">The Allocation Control field is defined in </w:t>
      </w:r>
      <w:r w:rsidR="00BD151C">
        <w:fldChar w:fldCharType="begin"/>
      </w:r>
      <w:r>
        <w:instrText xml:space="preserve"> REF _Ref214274488 \h </w:instrText>
      </w:r>
      <w:r w:rsidR="00BD151C">
        <w:fldChar w:fldCharType="separate"/>
      </w:r>
      <w:r w:rsidR="003E4210" w:rsidRPr="00066F65">
        <w:t xml:space="preserve">Figure </w:t>
      </w:r>
      <w:r w:rsidR="003E4210">
        <w:rPr>
          <w:noProof/>
        </w:rPr>
        <w:t>41</w:t>
      </w:r>
      <w:r w:rsidR="00BD151C">
        <w:fldChar w:fldCharType="end"/>
      </w:r>
      <w:r w:rsidRPr="009448FC">
        <w:t>.</w:t>
      </w:r>
    </w:p>
    <w:p w:rsidR="008C36FC" w:rsidRPr="009448FC" w:rsidRDefault="008C36FC" w:rsidP="0004091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913"/>
        <w:gridCol w:w="803"/>
        <w:gridCol w:w="1390"/>
        <w:gridCol w:w="1267"/>
        <w:gridCol w:w="1206"/>
        <w:gridCol w:w="1249"/>
        <w:gridCol w:w="1035"/>
      </w:tblGrid>
      <w:tr w:rsidR="00327E0F" w:rsidRPr="00066F65" w:rsidTr="00D0037C">
        <w:trPr>
          <w:trHeight w:val="557"/>
          <w:jc w:val="center"/>
        </w:trPr>
        <w:tc>
          <w:tcPr>
            <w:tcW w:w="0" w:type="auto"/>
          </w:tcPr>
          <w:p w:rsidR="00327E0F" w:rsidRPr="009448FC" w:rsidRDefault="00327E0F" w:rsidP="00D0037C">
            <w:pPr>
              <w:jc w:val="both"/>
              <w:rPr>
                <w:rFonts w:eastAsia="SimSun"/>
                <w:sz w:val="22"/>
              </w:rPr>
            </w:pPr>
            <w:bookmarkStart w:id="617" w:name="_Ref203553335"/>
          </w:p>
        </w:tc>
        <w:tc>
          <w:tcPr>
            <w:tcW w:w="0" w:type="auto"/>
          </w:tcPr>
          <w:p w:rsidR="00327E0F" w:rsidRPr="009448FC" w:rsidRDefault="00327E0F" w:rsidP="00D0037C">
            <w:pPr>
              <w:jc w:val="both"/>
              <w:rPr>
                <w:rFonts w:eastAsia="SimSun"/>
                <w:sz w:val="22"/>
              </w:rPr>
            </w:pPr>
            <w:r w:rsidRPr="009448FC">
              <w:rPr>
                <w:rFonts w:eastAsia="SimSun"/>
                <w:sz w:val="22"/>
              </w:rPr>
              <w:t xml:space="preserve">SPType </w:t>
            </w:r>
          </w:p>
        </w:tc>
        <w:tc>
          <w:tcPr>
            <w:tcW w:w="0" w:type="auto"/>
          </w:tcPr>
          <w:p w:rsidR="00327E0F" w:rsidRPr="009448FC" w:rsidRDefault="00327E0F" w:rsidP="00D0037C">
            <w:pPr>
              <w:jc w:val="both"/>
              <w:rPr>
                <w:rFonts w:eastAsia="SimSun"/>
                <w:sz w:val="22"/>
              </w:rPr>
            </w:pPr>
            <w:r w:rsidRPr="009448FC">
              <w:rPr>
                <w:rFonts w:eastAsia="SimSun"/>
                <w:sz w:val="22"/>
              </w:rPr>
              <w:t>TID</w:t>
            </w:r>
          </w:p>
        </w:tc>
        <w:tc>
          <w:tcPr>
            <w:tcW w:w="0" w:type="auto"/>
          </w:tcPr>
          <w:p w:rsidR="00327E0F" w:rsidRPr="009448FC" w:rsidRDefault="00327E0F" w:rsidP="00824E69">
            <w:pPr>
              <w:jc w:val="both"/>
              <w:rPr>
                <w:rFonts w:eastAsia="SimSun"/>
                <w:sz w:val="22"/>
              </w:rPr>
            </w:pPr>
            <w:r w:rsidRPr="009448FC">
              <w:rPr>
                <w:rFonts w:eastAsia="SimSun"/>
                <w:sz w:val="22"/>
              </w:rPr>
              <w:t>Pseudo-</w:t>
            </w:r>
            <w:r w:rsidR="00824E69" w:rsidRPr="009448FC">
              <w:rPr>
                <w:rFonts w:eastAsia="SimSun"/>
                <w:sz w:val="22"/>
              </w:rPr>
              <w:t>s</w:t>
            </w:r>
            <w:r w:rsidRPr="009448FC">
              <w:rPr>
                <w:rFonts w:eastAsia="SimSun"/>
                <w:sz w:val="22"/>
              </w:rPr>
              <w:t>tatic</w:t>
            </w:r>
          </w:p>
        </w:tc>
        <w:tc>
          <w:tcPr>
            <w:tcW w:w="0" w:type="auto"/>
          </w:tcPr>
          <w:p w:rsidR="00327E0F" w:rsidRPr="009448FC" w:rsidRDefault="00327E0F" w:rsidP="00D0037C">
            <w:pPr>
              <w:jc w:val="both"/>
              <w:rPr>
                <w:rFonts w:eastAsia="SimSun"/>
                <w:sz w:val="22"/>
              </w:rPr>
            </w:pPr>
            <w:r w:rsidRPr="009448FC">
              <w:rPr>
                <w:rFonts w:eastAsia="SimSun"/>
                <w:sz w:val="22"/>
              </w:rPr>
              <w:t>Truncatable</w:t>
            </w:r>
          </w:p>
        </w:tc>
        <w:tc>
          <w:tcPr>
            <w:tcW w:w="0" w:type="auto"/>
          </w:tcPr>
          <w:p w:rsidR="00327E0F" w:rsidRPr="009448FC" w:rsidRDefault="00327E0F" w:rsidP="00D0037C">
            <w:pPr>
              <w:jc w:val="both"/>
              <w:rPr>
                <w:rFonts w:eastAsia="SimSun"/>
                <w:sz w:val="22"/>
              </w:rPr>
            </w:pPr>
            <w:r w:rsidRPr="009448FC">
              <w:rPr>
                <w:rFonts w:eastAsia="SimSun"/>
                <w:sz w:val="22"/>
              </w:rPr>
              <w:t>Extendable</w:t>
            </w:r>
          </w:p>
        </w:tc>
        <w:tc>
          <w:tcPr>
            <w:tcW w:w="0" w:type="auto"/>
          </w:tcPr>
          <w:p w:rsidR="00327E0F" w:rsidRPr="009448FC" w:rsidRDefault="00327E0F" w:rsidP="00D0037C">
            <w:pPr>
              <w:jc w:val="both"/>
              <w:rPr>
                <w:rFonts w:eastAsia="SimSun"/>
                <w:sz w:val="22"/>
              </w:rPr>
            </w:pPr>
            <w:r w:rsidRPr="009448FC">
              <w:rPr>
                <w:rFonts w:eastAsia="SimSun"/>
                <w:sz w:val="22"/>
              </w:rPr>
              <w:t>PCP Active</w:t>
            </w:r>
          </w:p>
        </w:tc>
        <w:tc>
          <w:tcPr>
            <w:tcW w:w="0" w:type="auto"/>
          </w:tcPr>
          <w:p w:rsidR="00327E0F" w:rsidRPr="009448FC" w:rsidRDefault="00327E0F" w:rsidP="00D0037C">
            <w:pPr>
              <w:jc w:val="both"/>
              <w:rPr>
                <w:rFonts w:eastAsia="SimSun"/>
                <w:sz w:val="22"/>
              </w:rPr>
            </w:pPr>
            <w:r w:rsidRPr="009448FC">
              <w:rPr>
                <w:rFonts w:eastAsia="SimSun"/>
                <w:sz w:val="22"/>
              </w:rPr>
              <w:t>Reserved</w:t>
            </w:r>
          </w:p>
        </w:tc>
      </w:tr>
      <w:tr w:rsidR="00327E0F" w:rsidRPr="00066F65" w:rsidTr="00D0037C">
        <w:trPr>
          <w:trHeight w:val="261"/>
          <w:jc w:val="center"/>
        </w:trPr>
        <w:tc>
          <w:tcPr>
            <w:tcW w:w="0" w:type="auto"/>
          </w:tcPr>
          <w:p w:rsidR="00327E0F" w:rsidRPr="009448FC" w:rsidRDefault="00327E0F" w:rsidP="00D0037C">
            <w:pPr>
              <w:jc w:val="both"/>
              <w:rPr>
                <w:rFonts w:eastAsia="SimSun"/>
                <w:sz w:val="22"/>
              </w:rPr>
            </w:pPr>
            <w:r w:rsidRPr="009448FC">
              <w:rPr>
                <w:rFonts w:eastAsia="SimSun"/>
                <w:sz w:val="22"/>
              </w:rPr>
              <w:t>Bits:</w:t>
            </w:r>
          </w:p>
        </w:tc>
        <w:tc>
          <w:tcPr>
            <w:tcW w:w="0" w:type="auto"/>
          </w:tcPr>
          <w:p w:rsidR="00327E0F" w:rsidRPr="009448FC" w:rsidRDefault="00327E0F" w:rsidP="00D0037C">
            <w:pPr>
              <w:jc w:val="center"/>
              <w:rPr>
                <w:rFonts w:eastAsia="SimSun"/>
                <w:sz w:val="22"/>
              </w:rPr>
            </w:pPr>
            <w:r w:rsidRPr="009448FC">
              <w:rPr>
                <w:rFonts w:eastAsia="SimSun"/>
                <w:sz w:val="22"/>
              </w:rPr>
              <w:t xml:space="preserve">B0 </w:t>
            </w:r>
          </w:p>
        </w:tc>
        <w:tc>
          <w:tcPr>
            <w:tcW w:w="0" w:type="auto"/>
          </w:tcPr>
          <w:p w:rsidR="00327E0F" w:rsidRPr="009448FC" w:rsidRDefault="00327E0F" w:rsidP="00D0037C">
            <w:pPr>
              <w:jc w:val="center"/>
              <w:rPr>
                <w:rFonts w:eastAsia="SimSun"/>
                <w:sz w:val="22"/>
              </w:rPr>
            </w:pPr>
            <w:r w:rsidRPr="009448FC">
              <w:rPr>
                <w:rFonts w:eastAsia="SimSun"/>
                <w:sz w:val="22"/>
              </w:rPr>
              <w:t>B1-B4</w:t>
            </w:r>
          </w:p>
        </w:tc>
        <w:tc>
          <w:tcPr>
            <w:tcW w:w="0" w:type="auto"/>
          </w:tcPr>
          <w:p w:rsidR="00327E0F" w:rsidRPr="009448FC" w:rsidRDefault="00327E0F" w:rsidP="00D0037C">
            <w:pPr>
              <w:jc w:val="center"/>
              <w:rPr>
                <w:rFonts w:eastAsia="SimSun"/>
                <w:sz w:val="22"/>
              </w:rPr>
            </w:pPr>
            <w:r w:rsidRPr="009448FC">
              <w:rPr>
                <w:rFonts w:eastAsia="SimSun"/>
                <w:sz w:val="22"/>
              </w:rPr>
              <w:t>B5</w:t>
            </w:r>
          </w:p>
        </w:tc>
        <w:tc>
          <w:tcPr>
            <w:tcW w:w="0" w:type="auto"/>
          </w:tcPr>
          <w:p w:rsidR="00327E0F" w:rsidRPr="009448FC" w:rsidRDefault="00327E0F" w:rsidP="00D0037C">
            <w:pPr>
              <w:jc w:val="center"/>
              <w:rPr>
                <w:rFonts w:eastAsia="SimSun"/>
                <w:sz w:val="22"/>
              </w:rPr>
            </w:pPr>
            <w:r w:rsidRPr="009448FC">
              <w:rPr>
                <w:rFonts w:eastAsia="SimSun"/>
                <w:sz w:val="22"/>
              </w:rPr>
              <w:t>B6</w:t>
            </w:r>
          </w:p>
        </w:tc>
        <w:tc>
          <w:tcPr>
            <w:tcW w:w="0" w:type="auto"/>
          </w:tcPr>
          <w:p w:rsidR="00327E0F" w:rsidRPr="009448FC" w:rsidRDefault="00327E0F" w:rsidP="00D0037C">
            <w:pPr>
              <w:jc w:val="center"/>
              <w:rPr>
                <w:rFonts w:eastAsia="SimSun"/>
                <w:sz w:val="22"/>
              </w:rPr>
            </w:pPr>
            <w:r w:rsidRPr="009448FC">
              <w:rPr>
                <w:rFonts w:eastAsia="SimSun"/>
                <w:sz w:val="22"/>
              </w:rPr>
              <w:t>B7</w:t>
            </w:r>
          </w:p>
        </w:tc>
        <w:tc>
          <w:tcPr>
            <w:tcW w:w="0" w:type="auto"/>
          </w:tcPr>
          <w:p w:rsidR="00327E0F" w:rsidRPr="009448FC" w:rsidRDefault="00327E0F" w:rsidP="00D0037C">
            <w:pPr>
              <w:jc w:val="both"/>
              <w:rPr>
                <w:rFonts w:eastAsia="SimSun"/>
                <w:sz w:val="22"/>
              </w:rPr>
            </w:pPr>
            <w:r w:rsidRPr="009448FC">
              <w:rPr>
                <w:rFonts w:eastAsia="SimSun"/>
                <w:sz w:val="22"/>
              </w:rPr>
              <w:t>B8</w:t>
            </w:r>
          </w:p>
        </w:tc>
        <w:tc>
          <w:tcPr>
            <w:tcW w:w="0" w:type="auto"/>
          </w:tcPr>
          <w:p w:rsidR="00327E0F" w:rsidRPr="009448FC" w:rsidRDefault="00327E0F" w:rsidP="00327E0F">
            <w:pPr>
              <w:jc w:val="both"/>
              <w:rPr>
                <w:rFonts w:eastAsia="SimSun"/>
                <w:sz w:val="22"/>
              </w:rPr>
            </w:pPr>
            <w:r w:rsidRPr="009448FC">
              <w:rPr>
                <w:rFonts w:eastAsia="SimSun"/>
                <w:sz w:val="22"/>
              </w:rPr>
              <w:t>B9-B15</w:t>
            </w:r>
          </w:p>
        </w:tc>
      </w:tr>
    </w:tbl>
    <w:p w:rsidR="00327E0F" w:rsidRPr="00066F65" w:rsidRDefault="008C36FC" w:rsidP="00BA5BC4">
      <w:pPr>
        <w:pStyle w:val="Caption"/>
      </w:pPr>
      <w:bookmarkStart w:id="618" w:name="_Ref214274488"/>
      <w:bookmarkStart w:id="619" w:name="_Toc259717473"/>
      <w:r w:rsidRPr="00066F65">
        <w:t xml:space="preserve">Figure </w:t>
      </w:r>
      <w:r w:rsidR="00BD151C">
        <w:fldChar w:fldCharType="begin"/>
      </w:r>
      <w:r w:rsidR="00801316">
        <w:instrText xml:space="preserve"> SEQ Figure \* ARABIC </w:instrText>
      </w:r>
      <w:r w:rsidR="00BD151C">
        <w:fldChar w:fldCharType="separate"/>
      </w:r>
      <w:r w:rsidR="003E4210">
        <w:rPr>
          <w:noProof/>
        </w:rPr>
        <w:t>41</w:t>
      </w:r>
      <w:r w:rsidR="00BD151C">
        <w:fldChar w:fldCharType="end"/>
      </w:r>
      <w:bookmarkEnd w:id="617"/>
      <w:bookmarkEnd w:id="618"/>
      <w:r w:rsidRPr="00066F65">
        <w:t xml:space="preserve"> – Allocation Control field</w:t>
      </w:r>
      <w:bookmarkEnd w:id="619"/>
    </w:p>
    <w:p w:rsidR="00213BB8" w:rsidRPr="009448FC" w:rsidRDefault="00213BB8" w:rsidP="002802F7"/>
    <w:p w:rsidR="008C36FC" w:rsidRPr="009448FC" w:rsidRDefault="008C36FC" w:rsidP="002802F7">
      <w:r w:rsidRPr="009448FC">
        <w:t xml:space="preserve">The </w:t>
      </w:r>
      <w:r w:rsidR="00CB2392" w:rsidRPr="009448FC">
        <w:t>SP</w:t>
      </w:r>
      <w:r w:rsidRPr="009448FC">
        <w:t>Type</w:t>
      </w:r>
      <w:r w:rsidR="00281486" w:rsidRPr="009448FC">
        <w:t xml:space="preserve"> </w:t>
      </w:r>
      <w:r w:rsidRPr="009448FC">
        <w:t>field is set to 0 to indicate that the allocation is for an SP and set to 1 to indicate that the allocation is for CBP</w:t>
      </w:r>
      <w:r w:rsidR="00546DE7" w:rsidRPr="009448FC">
        <w:t xml:space="preserve">. </w:t>
      </w:r>
      <w:r w:rsidR="005D2E7A" w:rsidRPr="009448FC">
        <w:t xml:space="preserve">If value of this field differs from 0, the Source AID and the Destination AID fields are set to the </w:t>
      </w:r>
      <w:r w:rsidR="00BE6380" w:rsidRPr="009448FC">
        <w:t>broadcast AID</w:t>
      </w:r>
      <w:r w:rsidR="005D2E7A" w:rsidRPr="009448FC">
        <w:t>.</w:t>
      </w:r>
    </w:p>
    <w:p w:rsidR="008C36FC" w:rsidRPr="009448FC" w:rsidRDefault="008C36FC" w:rsidP="0004091F"/>
    <w:p w:rsidR="00824E69" w:rsidRPr="009448FC" w:rsidRDefault="00824E69" w:rsidP="00824E69">
      <w:r w:rsidRPr="009448FC">
        <w:t>The TID field indicates the TC or TS for which the allocation is made. For a CBP allocation, this field is reserved.</w:t>
      </w:r>
    </w:p>
    <w:p w:rsidR="00824E69" w:rsidRPr="009448FC" w:rsidRDefault="00824E69" w:rsidP="00824E69"/>
    <w:p w:rsidR="00EE44AA" w:rsidRPr="009448FC" w:rsidRDefault="00EE44AA" w:rsidP="00A760D4">
      <w:r w:rsidRPr="009448FC">
        <w:t>The Pseudo-static field is set to 1 to indicate that th</w:t>
      </w:r>
      <w:r w:rsidR="00A760D4" w:rsidRPr="009448FC">
        <w:t>is allocation is pseudo-static (</w:t>
      </w:r>
      <w:r w:rsidR="00BD151C">
        <w:fldChar w:fldCharType="begin"/>
      </w:r>
      <w:r w:rsidR="00CD7900">
        <w:instrText xml:space="preserve"> REF _Ref244252374 \h </w:instrText>
      </w:r>
      <w:r w:rsidR="00BD151C">
        <w:fldChar w:fldCharType="separate"/>
      </w:r>
      <w:r w:rsidR="003E4210">
        <w:t xml:space="preserve">9.23.6.3 </w:t>
      </w:r>
      <w:r w:rsidR="003E4210" w:rsidRPr="009448FC">
        <w:t>Pseudo-static allocations</w:t>
      </w:r>
      <w:r w:rsidR="00BD151C">
        <w:fldChar w:fldCharType="end"/>
      </w:r>
      <w:r w:rsidR="00A760D4" w:rsidRPr="009448FC">
        <w:t xml:space="preserve">) </w:t>
      </w:r>
      <w:r w:rsidRPr="009448FC">
        <w:t xml:space="preserve">and set to 0 otherwise. </w:t>
      </w:r>
    </w:p>
    <w:p w:rsidR="00EE44AA" w:rsidRPr="009448FC" w:rsidRDefault="00EE44AA" w:rsidP="0004091F"/>
    <w:p w:rsidR="008C36FC" w:rsidRPr="009448FC" w:rsidRDefault="008C36FC" w:rsidP="0004091F">
      <w:r w:rsidRPr="009448FC">
        <w:t xml:space="preserve">For an SP allocation, the Truncatable field is set to 1 to indicate that the source </w:t>
      </w:r>
      <w:r w:rsidR="00CD6BC2" w:rsidRPr="009448FC">
        <w:t xml:space="preserve">and destination </w:t>
      </w:r>
      <w:r w:rsidRPr="009448FC">
        <w:t xml:space="preserve">STA </w:t>
      </w:r>
      <w:r w:rsidR="00A12649" w:rsidRPr="009448FC">
        <w:t>can</w:t>
      </w:r>
      <w:r w:rsidRPr="009448FC">
        <w:t xml:space="preserve"> request</w:t>
      </w:r>
      <w:r w:rsidR="00281486" w:rsidRPr="009448FC">
        <w:t xml:space="preserve"> </w:t>
      </w:r>
      <w:r w:rsidRPr="009448FC">
        <w:t>SP truncation and set to 0 otherwise. For a CBP allocation, the Truncatable field is reserved.</w:t>
      </w:r>
      <w:r w:rsidR="00D11F2E">
        <w:t xml:space="preserve"> </w:t>
      </w:r>
    </w:p>
    <w:p w:rsidR="008C36FC" w:rsidRPr="009448FC" w:rsidRDefault="008C36FC" w:rsidP="0004091F"/>
    <w:p w:rsidR="008C36FC" w:rsidRPr="009448FC" w:rsidRDefault="008C36FC" w:rsidP="0004091F">
      <w:r w:rsidRPr="009448FC">
        <w:t xml:space="preserve">For an SP allocation, the Extendable field is set to 1 to indicate that the source </w:t>
      </w:r>
      <w:r w:rsidR="00CD6BC2" w:rsidRPr="009448FC">
        <w:t xml:space="preserve">and destination </w:t>
      </w:r>
      <w:r w:rsidRPr="009448FC">
        <w:t xml:space="preserve">STA </w:t>
      </w:r>
      <w:r w:rsidR="00A12649" w:rsidRPr="009448FC">
        <w:t>can</w:t>
      </w:r>
      <w:r w:rsidRPr="009448FC">
        <w:t xml:space="preserve"> request SP extension and set to 0 otherwise. For a CBP allocation, the Extendable field is reserved.</w:t>
      </w:r>
      <w:r w:rsidR="00D11F2E">
        <w:t xml:space="preserve"> </w:t>
      </w:r>
    </w:p>
    <w:p w:rsidR="008C36FC" w:rsidRPr="009448FC" w:rsidRDefault="008C36FC" w:rsidP="0004091F"/>
    <w:p w:rsidR="008C36FC" w:rsidRPr="009448FC" w:rsidRDefault="008C36FC" w:rsidP="002802F7">
      <w:r w:rsidRPr="009448FC">
        <w:t>The PCP Active field is set to 1 if the PCP is available to receive transmissions during the CBP or SP allocation and set to 0 otherwise. The PCP Active field is always set to 1 if either or both the Truncatable or Extendable fields are set to 1</w:t>
      </w:r>
      <w:r w:rsidR="00B50EAE" w:rsidRPr="009448FC">
        <w:t>,</w:t>
      </w:r>
      <w:r w:rsidR="00AB7FB2" w:rsidRPr="009448FC">
        <w:t xml:space="preserve"> and </w:t>
      </w:r>
      <w:r w:rsidR="00B50EAE" w:rsidRPr="009448FC">
        <w:t>when transmitted by an</w:t>
      </w:r>
      <w:r w:rsidR="00AB7FB2" w:rsidRPr="009448FC">
        <w:t xml:space="preserve"> AP</w:t>
      </w:r>
      <w:r w:rsidRPr="009448FC">
        <w:t>.</w:t>
      </w:r>
    </w:p>
    <w:p w:rsidR="00824E69" w:rsidRPr="009448FC" w:rsidRDefault="00824E69" w:rsidP="00824E69"/>
    <w:p w:rsidR="00824E69" w:rsidRPr="009448FC" w:rsidRDefault="00824E69" w:rsidP="00824E69">
      <w:pPr>
        <w:rPr>
          <w:rFonts w:eastAsia="Batang"/>
        </w:rPr>
      </w:pPr>
      <w:r w:rsidRPr="009448FC">
        <w:rPr>
          <w:rFonts w:eastAsia="Batang"/>
        </w:rPr>
        <w:t>The BF Control field is defined in</w:t>
      </w:r>
      <w:r w:rsidR="0037753E">
        <w:t xml:space="preserve"> </w:t>
      </w:r>
      <w:r w:rsidR="00BD151C">
        <w:fldChar w:fldCharType="begin"/>
      </w:r>
      <w:r w:rsidR="0037753E">
        <w:instrText xml:space="preserve"> REF _Ref253745303 \h </w:instrText>
      </w:r>
      <w:r w:rsidR="00BD151C">
        <w:fldChar w:fldCharType="separate"/>
      </w:r>
      <w:r w:rsidR="003E4210">
        <w:t>7.3a.5 Beamforming Control field</w:t>
      </w:r>
      <w:r w:rsidR="00BD151C">
        <w:fldChar w:fldCharType="end"/>
      </w:r>
      <w:r w:rsidRPr="009448FC">
        <w:rPr>
          <w:rFonts w:eastAsia="Batang"/>
        </w:rPr>
        <w:t xml:space="preserve">. </w:t>
      </w:r>
    </w:p>
    <w:p w:rsidR="00327E0F" w:rsidRPr="00066F65" w:rsidRDefault="00327E0F" w:rsidP="00A24609">
      <w:pPr>
        <w:rPr>
          <w:b/>
          <w:i/>
          <w:color w:val="FF0000"/>
          <w:u w:val="single"/>
        </w:rPr>
      </w:pPr>
    </w:p>
    <w:p w:rsidR="008C36FC" w:rsidRPr="009448FC" w:rsidRDefault="008C36FC" w:rsidP="00A24609">
      <w:r w:rsidRPr="009448FC">
        <w:t>The Source AID field is set to the AID of</w:t>
      </w:r>
      <w:r w:rsidR="00281486" w:rsidRPr="009448FC">
        <w:t xml:space="preserve"> </w:t>
      </w:r>
      <w:r w:rsidRPr="009448FC">
        <w:t xml:space="preserve">the STA that initiates channel access during the SP allocation. </w:t>
      </w:r>
    </w:p>
    <w:p w:rsidR="008C36FC" w:rsidRPr="009448FC" w:rsidRDefault="008C36FC" w:rsidP="0004091F"/>
    <w:p w:rsidR="00453714" w:rsidRPr="009448FC" w:rsidRDefault="008C36FC" w:rsidP="00BE6380">
      <w:r w:rsidRPr="009448FC">
        <w:t xml:space="preserve">The Destination AID field indicates the AID of a STA that is expected to listen for transmissions from the source STA during the SP allocation or </w:t>
      </w:r>
      <w:r w:rsidR="00BE6380" w:rsidRPr="009448FC">
        <w:t>broadcast AID</w:t>
      </w:r>
      <w:r w:rsidR="00281486" w:rsidRPr="009448FC">
        <w:t xml:space="preserve"> </w:t>
      </w:r>
      <w:r w:rsidRPr="009448FC">
        <w:t xml:space="preserve">if all STAs are expected to listen for transmissions from the source STA during the SP allocation. </w:t>
      </w:r>
      <w:r w:rsidR="00453714" w:rsidRPr="009448FC">
        <w:t xml:space="preserve">The </w:t>
      </w:r>
      <w:r w:rsidR="00BE6380" w:rsidRPr="009448FC">
        <w:t xml:space="preserve">broadcast AID </w:t>
      </w:r>
      <w:r w:rsidR="00453714" w:rsidRPr="009448FC">
        <w:t xml:space="preserve">asserted in the Source AID and the Destination AID fields for an SP allocation indicates that during the SP a non-AP/non-PCP STA shall not transmit unless it receives a Poll or Grant frame from the PCP/AP. </w:t>
      </w:r>
    </w:p>
    <w:p w:rsidR="008C36FC" w:rsidRPr="009448FC" w:rsidRDefault="00AE47C1" w:rsidP="00A566F3">
      <w:r>
        <w:t xml:space="preserve"> </w:t>
      </w:r>
    </w:p>
    <w:p w:rsidR="008C36FC" w:rsidRPr="009448FC" w:rsidRDefault="008C36FC" w:rsidP="0004091F">
      <w:r w:rsidRPr="009448FC">
        <w:t>The Allocation Start field contains the lower 4 octets of the TSF at the time the SP or CBP starts.</w:t>
      </w:r>
      <w:r w:rsidR="00C86149" w:rsidRPr="009448FC">
        <w:t xml:space="preserve"> The Allocation Start field can be confined to within a BI</w:t>
      </w:r>
      <w:r w:rsidR="005A189B">
        <w:t>,</w:t>
      </w:r>
      <w:r w:rsidR="00C86149" w:rsidRPr="009448FC">
        <w:t xml:space="preserve"> or can go across BI boundaries</w:t>
      </w:r>
      <w:r w:rsidR="005A189B">
        <w:t xml:space="preserve"> </w:t>
      </w:r>
      <w:r w:rsidR="005A189B" w:rsidRPr="009139D0">
        <w:rPr>
          <w:lang w:eastAsia="zh-TW"/>
        </w:rPr>
        <w:t>when the pseudo-static field is set to 1</w:t>
      </w:r>
      <w:r w:rsidR="005A189B">
        <w:t>.</w:t>
      </w:r>
    </w:p>
    <w:p w:rsidR="008C36FC" w:rsidRPr="009448FC" w:rsidRDefault="008C36FC" w:rsidP="0004091F"/>
    <w:p w:rsidR="008C36FC" w:rsidRPr="009448FC" w:rsidRDefault="008C36FC" w:rsidP="0004091F">
      <w:r w:rsidRPr="009448FC">
        <w:t>The Allocation Block Duration field indicates the duration, in microseconds, of a contiguous time block for which the SP or CBP allocation is made</w:t>
      </w:r>
      <w:r w:rsidR="00223001">
        <w:t xml:space="preserve"> </w:t>
      </w:r>
      <w:r w:rsidR="00223001" w:rsidRPr="00223001">
        <w:t>and cannot cross BI boundaries</w:t>
      </w:r>
      <w:r w:rsidRPr="009448FC">
        <w:t>.</w:t>
      </w:r>
      <w:r w:rsidR="00D11F2E">
        <w:t xml:space="preserve"> </w:t>
      </w:r>
    </w:p>
    <w:p w:rsidR="008C36FC" w:rsidRPr="009448FC" w:rsidRDefault="008C36FC" w:rsidP="0004091F"/>
    <w:p w:rsidR="00C86149" w:rsidRPr="009448FC" w:rsidRDefault="008C36FC" w:rsidP="00C86149">
      <w:r w:rsidRPr="009448FC">
        <w:lastRenderedPageBreak/>
        <w:t>The Allocation Block Period field contains the time, in microseconds, between the start of two consecutive time blocks belonging to the same allocation.</w:t>
      </w:r>
      <w:r w:rsidR="00C86149" w:rsidRPr="009448FC">
        <w:t xml:space="preserve"> The Allocation Block Period field can be confined to within a BI or can go across BI boundaries. </w:t>
      </w:r>
      <w:r w:rsidR="00B633F1" w:rsidRPr="00B633F1">
        <w:t>The Allocation Block Period field is reserved when the Number of Blocks field is set to 1</w:t>
      </w:r>
      <w:r w:rsidR="00B633F1">
        <w:t>.</w:t>
      </w:r>
      <w:r w:rsidR="00D11F2E">
        <w:t xml:space="preserve"> </w:t>
      </w:r>
    </w:p>
    <w:p w:rsidR="008C36FC" w:rsidRPr="009448FC" w:rsidRDefault="000D4AF1" w:rsidP="0004091F">
      <w:r>
        <w:t xml:space="preserve"> </w:t>
      </w:r>
    </w:p>
    <w:p w:rsidR="008C36FC" w:rsidRPr="009448FC" w:rsidRDefault="008C36FC" w:rsidP="0004091F">
      <w:r w:rsidRPr="009448FC">
        <w:t>The Number of Blocks field contains the number of time blocks making up the allocation.</w:t>
      </w:r>
    </w:p>
    <w:p w:rsidR="00491D23" w:rsidRPr="009448FC" w:rsidRDefault="00491D23" w:rsidP="00CA2386"/>
    <w:p w:rsidR="00491D23" w:rsidRPr="009448FC" w:rsidRDefault="00C532AE" w:rsidP="003701DB">
      <w:pPr>
        <w:pStyle w:val="Heading4"/>
        <w:numPr>
          <w:ilvl w:val="3"/>
          <w:numId w:val="152"/>
        </w:numPr>
      </w:pPr>
      <w:bookmarkStart w:id="620" w:name="_Ref244235153"/>
      <w:bookmarkStart w:id="621" w:name="_Ref244235274"/>
      <w:r w:rsidRPr="009448FC">
        <w:t xml:space="preserve"> </w:t>
      </w:r>
      <w:bookmarkStart w:id="622" w:name="_Toc259716933"/>
      <w:r w:rsidR="003E08AD" w:rsidRPr="009448FC">
        <w:t>STA Availability element</w:t>
      </w:r>
      <w:bookmarkEnd w:id="620"/>
      <w:bookmarkEnd w:id="621"/>
      <w:bookmarkEnd w:id="622"/>
    </w:p>
    <w:p w:rsidR="00B6559E" w:rsidRPr="009448FC" w:rsidRDefault="00B6559E" w:rsidP="00B6559E">
      <w:r w:rsidRPr="009448FC">
        <w:t>The STA Availability element is used by a non-PCP/non-AP</w:t>
      </w:r>
      <w:r w:rsidR="00281486" w:rsidRPr="009448FC">
        <w:t xml:space="preserve"> </w:t>
      </w:r>
      <w:r w:rsidRPr="009448FC">
        <w:t xml:space="preserve">STA to inform a PCP/AP about the STA availability during the subsequent CBPs </w:t>
      </w:r>
      <w:r w:rsidR="008C36FC" w:rsidRPr="009448FC">
        <w:t>(</w:t>
      </w:r>
      <w:r w:rsidR="00BD151C" w:rsidRPr="009448FC">
        <w:fldChar w:fldCharType="begin"/>
      </w:r>
      <w:r w:rsidR="006808E3" w:rsidRPr="009448FC">
        <w:instrText xml:space="preserve"> REF _Ref236724842 \r \h </w:instrText>
      </w:r>
      <w:r w:rsidR="00BD151C" w:rsidRPr="009448FC">
        <w:fldChar w:fldCharType="separate"/>
      </w:r>
      <w:r w:rsidR="003E4210">
        <w:t>9.23.5</w:t>
      </w:r>
      <w:r w:rsidR="00BD151C" w:rsidRPr="009448FC">
        <w:fldChar w:fldCharType="end"/>
      </w:r>
      <w:r w:rsidR="008C36FC" w:rsidRPr="009448FC">
        <w:t xml:space="preserve">) </w:t>
      </w:r>
      <w:r w:rsidRPr="009448FC">
        <w:t xml:space="preserve">and </w:t>
      </w:r>
      <w:r w:rsidR="001C0805" w:rsidRPr="001C0805">
        <w:t>to indicate participation</w:t>
      </w:r>
      <w:r w:rsidRPr="009448FC">
        <w:t xml:space="preserve"> in the Dynamic allocation of service periods </w:t>
      </w:r>
      <w:r w:rsidR="008C36FC" w:rsidRPr="009448FC">
        <w:t>(</w:t>
      </w:r>
      <w:r w:rsidR="00BD151C" w:rsidRPr="009448FC">
        <w:fldChar w:fldCharType="begin"/>
      </w:r>
      <w:r w:rsidR="00CA2386" w:rsidRPr="009448FC">
        <w:instrText xml:space="preserve"> REF _Ref244079150 \r \h </w:instrText>
      </w:r>
      <w:r w:rsidR="00BD151C" w:rsidRPr="009448FC">
        <w:fldChar w:fldCharType="separate"/>
      </w:r>
      <w:r w:rsidR="003E4210">
        <w:t>9.23.7</w:t>
      </w:r>
      <w:r w:rsidR="00BD151C" w:rsidRPr="009448FC">
        <w:fldChar w:fldCharType="end"/>
      </w:r>
      <w:r w:rsidR="008C36FC" w:rsidRPr="009448FC">
        <w:t xml:space="preserve">). </w:t>
      </w:r>
      <w:r w:rsidRPr="009448FC">
        <w:t>The PCP/AP uses the STA Availability element to inform the non-PCP/non-AP STAs of other STAs availability during subsequent CBPs and participation of other STAs in the Dynamic allocation of service periods.</w:t>
      </w:r>
      <w:r w:rsidR="00D11F2E">
        <w:t xml:space="preserve"> </w:t>
      </w:r>
    </w:p>
    <w:p w:rsidR="00F558C0" w:rsidRPr="009448FC" w:rsidRDefault="00F558C0" w:rsidP="00B6559E"/>
    <w:p w:rsidR="008C36FC" w:rsidRPr="009448FC" w:rsidRDefault="008C36FC" w:rsidP="00B6559E">
      <w:r w:rsidRPr="009448FC">
        <w:t xml:space="preserve">The format of the STA availability element is illustrated in </w:t>
      </w:r>
      <w:r w:rsidR="00BD151C">
        <w:fldChar w:fldCharType="begin"/>
      </w:r>
      <w:r>
        <w:instrText xml:space="preserve"> REF _Ref215281126 \h </w:instrText>
      </w:r>
      <w:r w:rsidR="00BD151C">
        <w:fldChar w:fldCharType="separate"/>
      </w:r>
      <w:r w:rsidR="003E4210" w:rsidRPr="00066F65">
        <w:t xml:space="preserve">Figure </w:t>
      </w:r>
      <w:r w:rsidR="003E4210">
        <w:rPr>
          <w:noProof/>
        </w:rPr>
        <w:t>42</w:t>
      </w:r>
      <w:r w:rsidR="00BD151C">
        <w:fldChar w:fldCharType="end"/>
      </w:r>
      <w:r w:rsidRPr="009448FC">
        <w:t>.</w:t>
      </w:r>
    </w:p>
    <w:p w:rsidR="008C36FC" w:rsidRPr="009448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1310"/>
        <w:gridCol w:w="456"/>
        <w:gridCol w:w="1310"/>
      </w:tblGrid>
      <w:tr w:rsidR="00D0037C" w:rsidRPr="00066F65" w:rsidTr="00B50EAE">
        <w:trPr>
          <w:jc w:val="center"/>
        </w:trPr>
        <w:tc>
          <w:tcPr>
            <w:tcW w:w="0" w:type="auto"/>
          </w:tcPr>
          <w:p w:rsidR="008C36FC" w:rsidRPr="009448FC" w:rsidRDefault="008C36FC" w:rsidP="00B50EAE">
            <w:pPr>
              <w:jc w:val="both"/>
              <w:rPr>
                <w:rFonts w:eastAsia="SimSun"/>
              </w:rPr>
            </w:pPr>
          </w:p>
        </w:tc>
        <w:tc>
          <w:tcPr>
            <w:tcW w:w="0" w:type="auto"/>
          </w:tcPr>
          <w:p w:rsidR="008C36FC" w:rsidRPr="009448FC" w:rsidRDefault="008C36FC" w:rsidP="00B50EAE">
            <w:pPr>
              <w:jc w:val="both"/>
              <w:rPr>
                <w:rFonts w:eastAsia="SimSun"/>
              </w:rPr>
            </w:pPr>
            <w:r w:rsidRPr="009448FC">
              <w:rPr>
                <w:rFonts w:eastAsia="SimSun"/>
              </w:rPr>
              <w:t>Element ID</w:t>
            </w:r>
          </w:p>
        </w:tc>
        <w:tc>
          <w:tcPr>
            <w:tcW w:w="0" w:type="auto"/>
          </w:tcPr>
          <w:p w:rsidR="008C36FC" w:rsidRPr="009448FC" w:rsidRDefault="008C36FC" w:rsidP="00B50EAE">
            <w:pPr>
              <w:jc w:val="both"/>
              <w:rPr>
                <w:rFonts w:eastAsia="SimSun"/>
              </w:rPr>
            </w:pPr>
            <w:r w:rsidRPr="009448FC">
              <w:rPr>
                <w:rFonts w:eastAsia="SimSun"/>
              </w:rPr>
              <w:t>Length</w:t>
            </w:r>
          </w:p>
        </w:tc>
        <w:tc>
          <w:tcPr>
            <w:tcW w:w="0" w:type="auto"/>
          </w:tcPr>
          <w:p w:rsidR="008C36FC" w:rsidRPr="009448FC" w:rsidRDefault="008C36FC" w:rsidP="00B50EAE">
            <w:pPr>
              <w:jc w:val="both"/>
              <w:rPr>
                <w:rFonts w:eastAsia="SimSun"/>
              </w:rPr>
            </w:pPr>
            <w:r w:rsidRPr="009448FC">
              <w:rPr>
                <w:rFonts w:eastAsia="SimSun"/>
              </w:rPr>
              <w:t>STA Info 1</w:t>
            </w:r>
          </w:p>
        </w:tc>
        <w:tc>
          <w:tcPr>
            <w:tcW w:w="0" w:type="auto"/>
          </w:tcPr>
          <w:p w:rsidR="008C36FC" w:rsidRPr="009448FC" w:rsidRDefault="008C36FC" w:rsidP="00B50EAE">
            <w:pPr>
              <w:jc w:val="both"/>
              <w:rPr>
                <w:rFonts w:eastAsia="SimSun"/>
              </w:rPr>
            </w:pPr>
            <w:r w:rsidRPr="009448FC">
              <w:rPr>
                <w:rFonts w:eastAsia="SimSun"/>
              </w:rPr>
              <w:t>…</w:t>
            </w:r>
          </w:p>
        </w:tc>
        <w:tc>
          <w:tcPr>
            <w:tcW w:w="0" w:type="auto"/>
          </w:tcPr>
          <w:p w:rsidR="008C36FC" w:rsidRPr="009448FC" w:rsidRDefault="008C36FC" w:rsidP="00B50EAE">
            <w:pPr>
              <w:jc w:val="center"/>
              <w:rPr>
                <w:rFonts w:eastAsia="SimSun"/>
              </w:rPr>
            </w:pPr>
            <w:r w:rsidRPr="009448FC">
              <w:rPr>
                <w:rFonts w:eastAsia="SimSun"/>
              </w:rPr>
              <w:t>STA Info n</w:t>
            </w:r>
          </w:p>
        </w:tc>
      </w:tr>
      <w:tr w:rsidR="00D0037C" w:rsidRPr="00066F65" w:rsidTr="00B50EAE">
        <w:trPr>
          <w:jc w:val="center"/>
        </w:trPr>
        <w:tc>
          <w:tcPr>
            <w:tcW w:w="0" w:type="auto"/>
          </w:tcPr>
          <w:p w:rsidR="008C36FC" w:rsidRPr="009448FC" w:rsidRDefault="008C36FC" w:rsidP="00B50EAE">
            <w:pPr>
              <w:jc w:val="both"/>
              <w:rPr>
                <w:rFonts w:eastAsia="SimSun"/>
              </w:rPr>
            </w:pPr>
            <w:r w:rsidRPr="009448FC">
              <w:rPr>
                <w:rFonts w:eastAsia="SimSun"/>
              </w:rPr>
              <w:t>Octets:</w:t>
            </w:r>
          </w:p>
        </w:tc>
        <w:tc>
          <w:tcPr>
            <w:tcW w:w="0" w:type="auto"/>
          </w:tcPr>
          <w:p w:rsidR="008C36FC" w:rsidRPr="009448FC" w:rsidRDefault="008C36FC" w:rsidP="00B50EAE">
            <w:pPr>
              <w:jc w:val="both"/>
              <w:rPr>
                <w:rFonts w:eastAsia="SimSun"/>
              </w:rPr>
            </w:pPr>
            <w:r w:rsidRPr="009448FC">
              <w:rPr>
                <w:rFonts w:eastAsia="SimSun"/>
              </w:rPr>
              <w:t>1</w:t>
            </w:r>
          </w:p>
        </w:tc>
        <w:tc>
          <w:tcPr>
            <w:tcW w:w="0" w:type="auto"/>
          </w:tcPr>
          <w:p w:rsidR="008C36FC" w:rsidRPr="009448FC" w:rsidRDefault="008C36FC" w:rsidP="00B50EAE">
            <w:pPr>
              <w:jc w:val="both"/>
              <w:rPr>
                <w:rFonts w:eastAsia="SimSun"/>
              </w:rPr>
            </w:pPr>
            <w:r w:rsidRPr="009448FC">
              <w:rPr>
                <w:rFonts w:eastAsia="SimSun"/>
              </w:rPr>
              <w:t>1</w:t>
            </w:r>
          </w:p>
        </w:tc>
        <w:tc>
          <w:tcPr>
            <w:tcW w:w="0" w:type="auto"/>
          </w:tcPr>
          <w:p w:rsidR="008C36FC" w:rsidRPr="009448FC" w:rsidRDefault="008C36FC" w:rsidP="00B50EAE">
            <w:pPr>
              <w:jc w:val="both"/>
              <w:rPr>
                <w:rFonts w:eastAsia="SimSun"/>
              </w:rPr>
            </w:pPr>
            <w:r w:rsidRPr="009448FC">
              <w:rPr>
                <w:rFonts w:eastAsia="SimSun"/>
              </w:rPr>
              <w:t>2</w:t>
            </w:r>
          </w:p>
        </w:tc>
        <w:tc>
          <w:tcPr>
            <w:tcW w:w="0" w:type="auto"/>
          </w:tcPr>
          <w:p w:rsidR="008C36FC" w:rsidRPr="009448FC" w:rsidRDefault="008C36FC" w:rsidP="00B50EAE">
            <w:pPr>
              <w:jc w:val="both"/>
              <w:rPr>
                <w:rFonts w:eastAsia="SimSun"/>
              </w:rPr>
            </w:pPr>
            <w:r w:rsidRPr="009448FC">
              <w:rPr>
                <w:rFonts w:eastAsia="SimSun"/>
              </w:rPr>
              <w:t>…</w:t>
            </w:r>
          </w:p>
        </w:tc>
        <w:tc>
          <w:tcPr>
            <w:tcW w:w="0" w:type="auto"/>
          </w:tcPr>
          <w:p w:rsidR="008C36FC" w:rsidRPr="009448FC" w:rsidRDefault="008C36FC" w:rsidP="00B50EAE">
            <w:pPr>
              <w:jc w:val="center"/>
              <w:rPr>
                <w:rFonts w:eastAsia="SimSun"/>
              </w:rPr>
            </w:pPr>
            <w:r w:rsidRPr="009448FC">
              <w:rPr>
                <w:rFonts w:eastAsia="SimSun"/>
              </w:rPr>
              <w:t>2</w:t>
            </w:r>
          </w:p>
        </w:tc>
      </w:tr>
    </w:tbl>
    <w:p w:rsidR="008C36FC" w:rsidRPr="00066F65" w:rsidRDefault="008C36FC" w:rsidP="00BA5BC4">
      <w:pPr>
        <w:pStyle w:val="Caption"/>
      </w:pPr>
      <w:bookmarkStart w:id="623" w:name="_Ref215281126"/>
      <w:bookmarkStart w:id="624" w:name="_Ref215281122"/>
      <w:bookmarkStart w:id="625" w:name="_Toc259717474"/>
      <w:r w:rsidRPr="00066F65">
        <w:t xml:space="preserve">Figure </w:t>
      </w:r>
      <w:r w:rsidR="00BD151C">
        <w:fldChar w:fldCharType="begin"/>
      </w:r>
      <w:r w:rsidR="00801316">
        <w:instrText xml:space="preserve"> SEQ Figure \* ARABIC </w:instrText>
      </w:r>
      <w:r w:rsidR="00BD151C">
        <w:fldChar w:fldCharType="separate"/>
      </w:r>
      <w:r w:rsidR="003E4210">
        <w:rPr>
          <w:noProof/>
        </w:rPr>
        <w:t>42</w:t>
      </w:r>
      <w:r w:rsidR="00BD151C">
        <w:fldChar w:fldCharType="end"/>
      </w:r>
      <w:bookmarkEnd w:id="623"/>
      <w:r w:rsidRPr="00066F65">
        <w:t xml:space="preserve"> – STA availability </w:t>
      </w:r>
      <w:r w:rsidR="00F264C8" w:rsidRPr="00066F65">
        <w:t>element</w:t>
      </w:r>
      <w:r w:rsidRPr="00066F65">
        <w:t xml:space="preserve"> format</w:t>
      </w:r>
      <w:bookmarkEnd w:id="624"/>
      <w:bookmarkEnd w:id="625"/>
    </w:p>
    <w:p w:rsidR="008C36FC" w:rsidRPr="009448FC" w:rsidRDefault="008C36FC" w:rsidP="0004091F"/>
    <w:p w:rsidR="008C36FC" w:rsidRPr="009448FC" w:rsidRDefault="008C36FC" w:rsidP="0004091F">
      <w:r w:rsidRPr="009448FC">
        <w:t xml:space="preserve">The format of the STA Info field is shown in </w:t>
      </w:r>
      <w:r w:rsidR="00BD151C">
        <w:fldChar w:fldCharType="begin"/>
      </w:r>
      <w:r>
        <w:instrText xml:space="preserve"> REF _Ref215903424 \h </w:instrText>
      </w:r>
      <w:r w:rsidR="00BD151C">
        <w:fldChar w:fldCharType="separate"/>
      </w:r>
      <w:r w:rsidR="003E4210" w:rsidRPr="00066F65">
        <w:t xml:space="preserve">Figure </w:t>
      </w:r>
      <w:r w:rsidR="003E4210">
        <w:rPr>
          <w:noProof/>
        </w:rPr>
        <w:t>43</w:t>
      </w:r>
      <w:r w:rsidR="00BD151C">
        <w:fldChar w:fldCharType="end"/>
      </w:r>
      <w:r w:rsidRPr="009448FC">
        <w:t>.</w:t>
      </w:r>
    </w:p>
    <w:p w:rsidR="008C36FC" w:rsidRPr="009448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857"/>
        <w:gridCol w:w="670"/>
        <w:gridCol w:w="3775"/>
        <w:gridCol w:w="1109"/>
      </w:tblGrid>
      <w:tr w:rsidR="00D0037C" w:rsidRPr="00066F65" w:rsidTr="00B50EAE">
        <w:trPr>
          <w:jc w:val="center"/>
        </w:trPr>
        <w:tc>
          <w:tcPr>
            <w:tcW w:w="0" w:type="auto"/>
          </w:tcPr>
          <w:p w:rsidR="00996D53" w:rsidRPr="009448FC" w:rsidRDefault="00996D53" w:rsidP="00D0037C">
            <w:pPr>
              <w:jc w:val="both"/>
              <w:rPr>
                <w:rFonts w:eastAsia="SimSun"/>
              </w:rPr>
            </w:pPr>
          </w:p>
        </w:tc>
        <w:tc>
          <w:tcPr>
            <w:tcW w:w="0" w:type="auto"/>
          </w:tcPr>
          <w:p w:rsidR="00996D53" w:rsidRPr="009448FC" w:rsidRDefault="00996D53" w:rsidP="00D0037C">
            <w:pPr>
              <w:jc w:val="both"/>
              <w:rPr>
                <w:rFonts w:eastAsia="SimSun"/>
              </w:rPr>
            </w:pPr>
            <w:r w:rsidRPr="009448FC">
              <w:rPr>
                <w:rFonts w:eastAsia="SimSun"/>
              </w:rPr>
              <w:t>AID</w:t>
            </w:r>
          </w:p>
        </w:tc>
        <w:tc>
          <w:tcPr>
            <w:tcW w:w="0" w:type="auto"/>
          </w:tcPr>
          <w:p w:rsidR="00996D53" w:rsidRPr="009448FC" w:rsidRDefault="00996D53" w:rsidP="00D0037C">
            <w:pPr>
              <w:jc w:val="both"/>
              <w:rPr>
                <w:rFonts w:eastAsia="SimSun"/>
              </w:rPr>
            </w:pPr>
            <w:r w:rsidRPr="009448FC">
              <w:rPr>
                <w:rFonts w:eastAsia="SimSun"/>
              </w:rPr>
              <w:t>CBP</w:t>
            </w:r>
          </w:p>
        </w:tc>
        <w:tc>
          <w:tcPr>
            <w:tcW w:w="0" w:type="auto"/>
          </w:tcPr>
          <w:p w:rsidR="00996D53" w:rsidRPr="009448FC" w:rsidRDefault="00996D53" w:rsidP="00D0037C">
            <w:pPr>
              <w:jc w:val="both"/>
              <w:rPr>
                <w:rFonts w:eastAsia="SimSun"/>
                <w:strike/>
              </w:rPr>
            </w:pPr>
            <w:r w:rsidRPr="009448FC">
              <w:rPr>
                <w:rFonts w:eastAsia="SimSun"/>
              </w:rPr>
              <w:t>Dynamic allocation of service period</w:t>
            </w:r>
          </w:p>
        </w:tc>
        <w:tc>
          <w:tcPr>
            <w:tcW w:w="0" w:type="auto"/>
          </w:tcPr>
          <w:p w:rsidR="00996D53" w:rsidRPr="009448FC" w:rsidRDefault="00996D53" w:rsidP="00D0037C">
            <w:pPr>
              <w:jc w:val="both"/>
              <w:rPr>
                <w:rFonts w:eastAsia="SimSun"/>
              </w:rPr>
            </w:pPr>
            <w:r w:rsidRPr="009448FC">
              <w:rPr>
                <w:rFonts w:eastAsia="SimSun"/>
              </w:rPr>
              <w:t>Reserved</w:t>
            </w:r>
          </w:p>
        </w:tc>
      </w:tr>
      <w:tr w:rsidR="00D0037C" w:rsidRPr="00066F65" w:rsidTr="00B50EAE">
        <w:trPr>
          <w:jc w:val="center"/>
        </w:trPr>
        <w:tc>
          <w:tcPr>
            <w:tcW w:w="0" w:type="auto"/>
          </w:tcPr>
          <w:p w:rsidR="00996D53" w:rsidRPr="009448FC" w:rsidRDefault="00996D53" w:rsidP="00D0037C">
            <w:pPr>
              <w:jc w:val="both"/>
              <w:rPr>
                <w:rFonts w:eastAsia="SimSun"/>
              </w:rPr>
            </w:pPr>
            <w:r w:rsidRPr="009448FC">
              <w:rPr>
                <w:rFonts w:eastAsia="SimSun"/>
              </w:rPr>
              <w:t>Bits:</w:t>
            </w:r>
          </w:p>
        </w:tc>
        <w:tc>
          <w:tcPr>
            <w:tcW w:w="0" w:type="auto"/>
          </w:tcPr>
          <w:p w:rsidR="00996D53" w:rsidRPr="009448FC" w:rsidRDefault="00996D53" w:rsidP="00D0037C">
            <w:pPr>
              <w:jc w:val="both"/>
              <w:rPr>
                <w:rFonts w:eastAsia="SimSun"/>
              </w:rPr>
            </w:pPr>
            <w:r w:rsidRPr="009448FC">
              <w:rPr>
                <w:rFonts w:eastAsia="SimSun"/>
              </w:rPr>
              <w:t>B0-B7</w:t>
            </w:r>
          </w:p>
        </w:tc>
        <w:tc>
          <w:tcPr>
            <w:tcW w:w="0" w:type="auto"/>
          </w:tcPr>
          <w:p w:rsidR="00996D53" w:rsidRPr="009448FC" w:rsidRDefault="00996D53" w:rsidP="00D0037C">
            <w:pPr>
              <w:jc w:val="center"/>
              <w:rPr>
                <w:rFonts w:eastAsia="SimSun"/>
              </w:rPr>
            </w:pPr>
            <w:r w:rsidRPr="009448FC">
              <w:rPr>
                <w:rFonts w:eastAsia="SimSun"/>
              </w:rPr>
              <w:t>B8</w:t>
            </w:r>
          </w:p>
        </w:tc>
        <w:tc>
          <w:tcPr>
            <w:tcW w:w="0" w:type="auto"/>
          </w:tcPr>
          <w:p w:rsidR="00996D53" w:rsidRPr="009448FC" w:rsidRDefault="00996D53" w:rsidP="005A1DBD">
            <w:pPr>
              <w:jc w:val="center"/>
              <w:rPr>
                <w:rFonts w:eastAsia="SimSun"/>
              </w:rPr>
            </w:pPr>
            <w:r w:rsidRPr="009448FC">
              <w:rPr>
                <w:rFonts w:eastAsia="SimSun"/>
              </w:rPr>
              <w:t>B9</w:t>
            </w:r>
          </w:p>
        </w:tc>
        <w:tc>
          <w:tcPr>
            <w:tcW w:w="0" w:type="auto"/>
          </w:tcPr>
          <w:p w:rsidR="00996D53" w:rsidRPr="009448FC" w:rsidRDefault="00996D53" w:rsidP="00D0037C">
            <w:pPr>
              <w:jc w:val="both"/>
              <w:rPr>
                <w:rFonts w:eastAsia="SimSun"/>
              </w:rPr>
            </w:pPr>
            <w:r w:rsidRPr="009448FC">
              <w:rPr>
                <w:rFonts w:eastAsia="SimSun"/>
              </w:rPr>
              <w:t>B10-B15</w:t>
            </w:r>
          </w:p>
        </w:tc>
      </w:tr>
    </w:tbl>
    <w:p w:rsidR="008C36FC" w:rsidRPr="00066F65" w:rsidRDefault="008C36FC" w:rsidP="00BA5BC4">
      <w:pPr>
        <w:pStyle w:val="Caption"/>
      </w:pPr>
      <w:bookmarkStart w:id="626" w:name="_Ref215903424"/>
      <w:bookmarkStart w:id="627" w:name="_Toc259717475"/>
      <w:r w:rsidRPr="00066F65">
        <w:t xml:space="preserve">Figure </w:t>
      </w:r>
      <w:r w:rsidR="00BD151C">
        <w:fldChar w:fldCharType="begin"/>
      </w:r>
      <w:r w:rsidR="00801316">
        <w:instrText xml:space="preserve"> SEQ Figure \* ARABIC </w:instrText>
      </w:r>
      <w:r w:rsidR="00BD151C">
        <w:fldChar w:fldCharType="separate"/>
      </w:r>
      <w:r w:rsidR="003E4210">
        <w:rPr>
          <w:noProof/>
        </w:rPr>
        <w:t>43</w:t>
      </w:r>
      <w:r w:rsidR="00BD151C">
        <w:fldChar w:fldCharType="end"/>
      </w:r>
      <w:bookmarkEnd w:id="626"/>
      <w:r w:rsidRPr="00066F65">
        <w:t xml:space="preserve"> – STA Info field</w:t>
      </w:r>
      <w:bookmarkEnd w:id="627"/>
    </w:p>
    <w:p w:rsidR="008C36FC" w:rsidRPr="009448FC" w:rsidRDefault="008C36FC" w:rsidP="0004091F"/>
    <w:p w:rsidR="008C36FC" w:rsidRPr="009448FC" w:rsidRDefault="008C36FC" w:rsidP="0004091F">
      <w:r w:rsidRPr="009448FC">
        <w:t>The AID field contains the AID of the STA for which availability is indicated.</w:t>
      </w:r>
    </w:p>
    <w:p w:rsidR="008C36FC" w:rsidRPr="009448FC" w:rsidRDefault="008C36FC" w:rsidP="0004091F"/>
    <w:p w:rsidR="00B108E8" w:rsidRPr="009448FC" w:rsidRDefault="00B108E8" w:rsidP="00996D53">
      <w:r w:rsidRPr="009448FC">
        <w:t>The</w:t>
      </w:r>
      <w:r w:rsidR="00996D53" w:rsidRPr="009448FC">
        <w:t xml:space="preserve"> </w:t>
      </w:r>
      <w:r w:rsidRPr="009448FC">
        <w:t>CBP field is set to 1 to indicate that the STA is available to receive transmissions during</w:t>
      </w:r>
      <w:r w:rsidR="00996D53" w:rsidRPr="009448FC">
        <w:t xml:space="preserve"> </w:t>
      </w:r>
      <w:r w:rsidRPr="009448FC">
        <w:t>CBPs and set to 0 otherwise</w:t>
      </w:r>
      <w:r w:rsidR="008E376E" w:rsidRPr="009448FC">
        <w:t>.</w:t>
      </w:r>
    </w:p>
    <w:p w:rsidR="00B108E8" w:rsidRPr="009448FC" w:rsidRDefault="00B108E8" w:rsidP="0004091F"/>
    <w:p w:rsidR="008C36FC" w:rsidRPr="009448FC" w:rsidRDefault="008C36FC" w:rsidP="00996D53">
      <w:r w:rsidRPr="009448FC">
        <w:t xml:space="preserve">The Dynamic </w:t>
      </w:r>
      <w:r w:rsidR="003109EA" w:rsidRPr="009448FC">
        <w:t>Allocation of Service Period</w:t>
      </w:r>
      <w:r w:rsidR="00996D53" w:rsidRPr="009448FC">
        <w:t xml:space="preserve"> </w:t>
      </w:r>
      <w:r w:rsidRPr="009448FC">
        <w:t xml:space="preserve">field </w:t>
      </w:r>
      <w:r w:rsidR="00996D53" w:rsidRPr="009448FC">
        <w:t xml:space="preserve">is </w:t>
      </w:r>
      <w:r w:rsidRPr="009448FC">
        <w:t>set to 1 to indicate that the STA</w:t>
      </w:r>
      <w:r w:rsidR="00996D53" w:rsidRPr="009448FC">
        <w:rPr>
          <w:b/>
          <w:i/>
        </w:rPr>
        <w:t xml:space="preserve"> </w:t>
      </w:r>
      <w:r w:rsidRPr="009448FC">
        <w:t>is available for polling during truncatable SPs and set to 0 otherwise.</w:t>
      </w:r>
      <w:r w:rsidR="00B557AF" w:rsidRPr="009448FC">
        <w:t xml:space="preserve"> </w:t>
      </w:r>
    </w:p>
    <w:p w:rsidR="008C36FC" w:rsidRPr="009448FC" w:rsidRDefault="008C36FC" w:rsidP="0004091F"/>
    <w:p w:rsidR="00146FFE" w:rsidRPr="009448FC" w:rsidRDefault="00146FFE" w:rsidP="003701DB">
      <w:pPr>
        <w:pStyle w:val="Heading4"/>
        <w:numPr>
          <w:ilvl w:val="3"/>
          <w:numId w:val="152"/>
        </w:numPr>
      </w:pPr>
      <w:bookmarkStart w:id="628" w:name="_Ref244234051"/>
      <w:bookmarkStart w:id="629" w:name="_Ref244234813"/>
      <w:bookmarkStart w:id="630" w:name="_Ref251506373"/>
      <w:bookmarkStart w:id="631" w:name="_Toc259716934"/>
      <w:r w:rsidRPr="009448FC">
        <w:t>Extended mmWave TSPEC element</w:t>
      </w:r>
      <w:bookmarkEnd w:id="628"/>
      <w:bookmarkEnd w:id="629"/>
      <w:bookmarkEnd w:id="630"/>
      <w:bookmarkEnd w:id="631"/>
    </w:p>
    <w:p w:rsidR="008C36FC" w:rsidRPr="009448FC" w:rsidRDefault="008C36FC" w:rsidP="00ED4CB6">
      <w:pPr>
        <w:jc w:val="both"/>
      </w:pPr>
      <w:r w:rsidRPr="009448FC">
        <w:t xml:space="preserve">The </w:t>
      </w:r>
      <w:r w:rsidR="00401CDB" w:rsidRPr="009448FC">
        <w:t>Extended mmWave TSPEC</w:t>
      </w:r>
      <w:r w:rsidR="00ED4CB6" w:rsidRPr="009448FC">
        <w:t xml:space="preserve"> </w:t>
      </w:r>
      <w:r w:rsidRPr="009448FC">
        <w:t xml:space="preserve">element is present in the ADDTS Request frame and contains the set of parameters intended to modify the scheduler behavior for the admission of a new TS or updating the scheduler behavior for an existing TS. The </w:t>
      </w:r>
      <w:r w:rsidR="00401CDB" w:rsidRPr="009448FC">
        <w:t>Extended mmWave TSPEC</w:t>
      </w:r>
      <w:r w:rsidR="00EE1100" w:rsidRPr="009448FC">
        <w:t xml:space="preserve"> </w:t>
      </w:r>
      <w:r w:rsidRPr="009448FC">
        <w:t xml:space="preserve">element is also present in the ADDTS Response and reflects the parameters, possibly modified, by which the TS was admitted. The format of the </w:t>
      </w:r>
      <w:r w:rsidR="00401CDB" w:rsidRPr="009448FC">
        <w:t>Extended mmWave TSPEC</w:t>
      </w:r>
      <w:r w:rsidR="00ED4CB6" w:rsidRPr="009448FC">
        <w:t xml:space="preserve"> </w:t>
      </w:r>
      <w:r w:rsidRPr="009448FC">
        <w:t xml:space="preserve">element is shown in </w:t>
      </w:r>
      <w:r w:rsidR="00BD151C">
        <w:fldChar w:fldCharType="begin"/>
      </w:r>
      <w:r>
        <w:instrText xml:space="preserve"> REF _Ref214855840 \h </w:instrText>
      </w:r>
      <w:r w:rsidR="00BD151C">
        <w:fldChar w:fldCharType="separate"/>
      </w:r>
      <w:r w:rsidR="003E4210" w:rsidRPr="00066F65">
        <w:rPr>
          <w:lang w:val="fr-FR"/>
        </w:rPr>
        <w:t xml:space="preserve">Figure </w:t>
      </w:r>
      <w:r w:rsidR="003E4210">
        <w:rPr>
          <w:noProof/>
          <w:lang w:val="fr-FR"/>
        </w:rPr>
        <w:t>44</w:t>
      </w:r>
      <w:r w:rsidR="00BD151C">
        <w:fldChar w:fldCharType="end"/>
      </w:r>
      <w:r w:rsidRPr="009448FC">
        <w:t>.</w:t>
      </w:r>
    </w:p>
    <w:p w:rsidR="008C36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237"/>
        <w:gridCol w:w="840"/>
        <w:gridCol w:w="2691"/>
        <w:gridCol w:w="1213"/>
      </w:tblGrid>
      <w:tr w:rsidR="00C46393" w:rsidRPr="00066F65" w:rsidTr="00C46393">
        <w:trPr>
          <w:jc w:val="center"/>
        </w:trPr>
        <w:tc>
          <w:tcPr>
            <w:tcW w:w="0" w:type="auto"/>
          </w:tcPr>
          <w:p w:rsidR="00C46393" w:rsidRPr="009448FC" w:rsidRDefault="00C46393" w:rsidP="00B2706C">
            <w:pPr>
              <w:jc w:val="both"/>
              <w:rPr>
                <w:rFonts w:eastAsia="SimSun"/>
                <w:sz w:val="22"/>
              </w:rPr>
            </w:pPr>
          </w:p>
        </w:tc>
        <w:tc>
          <w:tcPr>
            <w:tcW w:w="0" w:type="auto"/>
          </w:tcPr>
          <w:p w:rsidR="00C46393" w:rsidRPr="009448FC" w:rsidRDefault="00C46393" w:rsidP="00B2706C">
            <w:pPr>
              <w:jc w:val="both"/>
              <w:rPr>
                <w:rFonts w:eastAsia="SimSun"/>
                <w:sz w:val="22"/>
              </w:rPr>
            </w:pPr>
            <w:r w:rsidRPr="009448FC">
              <w:rPr>
                <w:rFonts w:eastAsia="SimSun"/>
                <w:sz w:val="22"/>
              </w:rPr>
              <w:t>Element ID</w:t>
            </w:r>
          </w:p>
        </w:tc>
        <w:tc>
          <w:tcPr>
            <w:tcW w:w="0" w:type="auto"/>
          </w:tcPr>
          <w:p w:rsidR="00C46393" w:rsidRPr="009448FC" w:rsidRDefault="00C46393" w:rsidP="00B2706C">
            <w:pPr>
              <w:jc w:val="both"/>
              <w:rPr>
                <w:rFonts w:eastAsia="SimSun"/>
                <w:sz w:val="22"/>
              </w:rPr>
            </w:pPr>
            <w:r w:rsidRPr="009448FC">
              <w:rPr>
                <w:rFonts w:eastAsia="SimSun"/>
                <w:sz w:val="22"/>
              </w:rPr>
              <w:t>Length</w:t>
            </w:r>
          </w:p>
        </w:tc>
        <w:tc>
          <w:tcPr>
            <w:tcW w:w="0" w:type="auto"/>
          </w:tcPr>
          <w:p w:rsidR="00C46393" w:rsidRPr="009448FC" w:rsidRDefault="00C46393" w:rsidP="00B2706C">
            <w:pPr>
              <w:jc w:val="both"/>
              <w:rPr>
                <w:rFonts w:eastAsia="SimSun"/>
                <w:sz w:val="22"/>
              </w:rPr>
            </w:pPr>
            <w:r w:rsidRPr="009448FC">
              <w:rPr>
                <w:rFonts w:eastAsia="SimSun"/>
                <w:sz w:val="22"/>
              </w:rPr>
              <w:t>Extended mmWave TS Info</w:t>
            </w:r>
          </w:p>
        </w:tc>
        <w:tc>
          <w:tcPr>
            <w:tcW w:w="0" w:type="auto"/>
          </w:tcPr>
          <w:p w:rsidR="00C46393" w:rsidRPr="009448FC" w:rsidRDefault="00C46393" w:rsidP="00B2706C">
            <w:pPr>
              <w:jc w:val="both"/>
              <w:rPr>
                <w:rFonts w:eastAsia="SimSun"/>
                <w:sz w:val="22"/>
              </w:rPr>
            </w:pPr>
            <w:r w:rsidRPr="009448FC">
              <w:rPr>
                <w:rFonts w:eastAsia="SimSun"/>
                <w:sz w:val="22"/>
              </w:rPr>
              <w:t>BF Control</w:t>
            </w:r>
          </w:p>
        </w:tc>
      </w:tr>
      <w:tr w:rsidR="00C46393" w:rsidRPr="00066F65" w:rsidTr="00C46393">
        <w:trPr>
          <w:jc w:val="center"/>
        </w:trPr>
        <w:tc>
          <w:tcPr>
            <w:tcW w:w="0" w:type="auto"/>
          </w:tcPr>
          <w:p w:rsidR="00C46393" w:rsidRPr="009448FC" w:rsidRDefault="00C46393" w:rsidP="00B2706C">
            <w:pPr>
              <w:jc w:val="both"/>
              <w:rPr>
                <w:rFonts w:eastAsia="SimSun"/>
                <w:sz w:val="22"/>
              </w:rPr>
            </w:pPr>
            <w:r w:rsidRPr="009448FC">
              <w:rPr>
                <w:rFonts w:eastAsia="SimSun"/>
                <w:sz w:val="22"/>
              </w:rPr>
              <w:t>Octets:</w:t>
            </w:r>
          </w:p>
        </w:tc>
        <w:tc>
          <w:tcPr>
            <w:tcW w:w="0" w:type="auto"/>
          </w:tcPr>
          <w:p w:rsidR="00C46393" w:rsidRPr="009448FC" w:rsidRDefault="00C46393" w:rsidP="00B2706C">
            <w:pPr>
              <w:jc w:val="center"/>
              <w:rPr>
                <w:rFonts w:eastAsia="SimSun"/>
                <w:sz w:val="22"/>
              </w:rPr>
            </w:pPr>
            <w:r w:rsidRPr="009448FC">
              <w:rPr>
                <w:rFonts w:eastAsia="SimSun"/>
                <w:sz w:val="22"/>
              </w:rPr>
              <w:t>1</w:t>
            </w:r>
          </w:p>
        </w:tc>
        <w:tc>
          <w:tcPr>
            <w:tcW w:w="0" w:type="auto"/>
          </w:tcPr>
          <w:p w:rsidR="00C46393" w:rsidRPr="009448FC" w:rsidRDefault="00C46393" w:rsidP="00B2706C">
            <w:pPr>
              <w:jc w:val="center"/>
              <w:rPr>
                <w:rFonts w:eastAsia="SimSun"/>
                <w:sz w:val="22"/>
              </w:rPr>
            </w:pPr>
            <w:r w:rsidRPr="009448FC">
              <w:rPr>
                <w:rFonts w:eastAsia="SimSun"/>
                <w:sz w:val="22"/>
              </w:rPr>
              <w:t>1</w:t>
            </w:r>
          </w:p>
        </w:tc>
        <w:tc>
          <w:tcPr>
            <w:tcW w:w="0" w:type="auto"/>
          </w:tcPr>
          <w:p w:rsidR="00C46393" w:rsidRPr="009448FC" w:rsidRDefault="00C46393" w:rsidP="00B2706C">
            <w:pPr>
              <w:jc w:val="center"/>
              <w:rPr>
                <w:rFonts w:eastAsia="SimSun"/>
                <w:sz w:val="22"/>
              </w:rPr>
            </w:pPr>
            <w:r w:rsidRPr="009448FC">
              <w:rPr>
                <w:rFonts w:eastAsia="SimSun"/>
                <w:sz w:val="22"/>
              </w:rPr>
              <w:t>3</w:t>
            </w:r>
          </w:p>
        </w:tc>
        <w:tc>
          <w:tcPr>
            <w:tcW w:w="0" w:type="auto"/>
          </w:tcPr>
          <w:p w:rsidR="00C46393" w:rsidRPr="009448FC" w:rsidRDefault="00C46393" w:rsidP="00B2706C">
            <w:pPr>
              <w:jc w:val="center"/>
              <w:rPr>
                <w:rFonts w:eastAsia="SimSun"/>
                <w:sz w:val="22"/>
              </w:rPr>
            </w:pPr>
            <w:r w:rsidRPr="009448FC">
              <w:rPr>
                <w:rFonts w:eastAsia="SimSun"/>
                <w:sz w:val="22"/>
              </w:rPr>
              <w:t>2</w:t>
            </w:r>
          </w:p>
        </w:tc>
      </w:tr>
    </w:tbl>
    <w:p w:rsidR="00C46393" w:rsidRPr="009448FC" w:rsidRDefault="00C46393"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754"/>
        <w:gridCol w:w="2049"/>
        <w:gridCol w:w="2084"/>
        <w:gridCol w:w="2195"/>
        <w:gridCol w:w="1194"/>
      </w:tblGrid>
      <w:tr w:rsidR="00C46393" w:rsidRPr="00066F65" w:rsidTr="00C46393">
        <w:trPr>
          <w:jc w:val="center"/>
        </w:trPr>
        <w:tc>
          <w:tcPr>
            <w:tcW w:w="0" w:type="auto"/>
          </w:tcPr>
          <w:p w:rsidR="00C46393" w:rsidRPr="009448FC" w:rsidRDefault="00C46393" w:rsidP="00D0037C">
            <w:pPr>
              <w:jc w:val="both"/>
              <w:rPr>
                <w:rFonts w:eastAsia="SimSun"/>
                <w:sz w:val="22"/>
              </w:rPr>
            </w:pPr>
          </w:p>
        </w:tc>
        <w:tc>
          <w:tcPr>
            <w:tcW w:w="0" w:type="auto"/>
          </w:tcPr>
          <w:p w:rsidR="00C46393" w:rsidRPr="009448FC" w:rsidRDefault="00C46393" w:rsidP="00DA54E8">
            <w:pPr>
              <w:jc w:val="both"/>
              <w:rPr>
                <w:rFonts w:eastAsia="SimSun"/>
                <w:sz w:val="22"/>
              </w:rPr>
            </w:pPr>
            <w:r w:rsidRPr="009448FC">
              <w:rPr>
                <w:rFonts w:eastAsia="SimSun"/>
                <w:sz w:val="22"/>
              </w:rPr>
              <w:t>Allocation Period</w:t>
            </w:r>
          </w:p>
        </w:tc>
        <w:tc>
          <w:tcPr>
            <w:tcW w:w="0" w:type="auto"/>
          </w:tcPr>
          <w:p w:rsidR="00C46393" w:rsidRPr="009448FC" w:rsidRDefault="00C46393" w:rsidP="00DA54E8">
            <w:pPr>
              <w:jc w:val="both"/>
              <w:rPr>
                <w:rFonts w:eastAsia="SimSun"/>
                <w:sz w:val="22"/>
              </w:rPr>
            </w:pPr>
            <w:r w:rsidRPr="009448FC">
              <w:rPr>
                <w:rFonts w:eastAsia="SimSun"/>
                <w:sz w:val="22"/>
              </w:rPr>
              <w:t>Minimum Allocation</w:t>
            </w:r>
          </w:p>
        </w:tc>
        <w:tc>
          <w:tcPr>
            <w:tcW w:w="0" w:type="auto"/>
          </w:tcPr>
          <w:p w:rsidR="00C46393" w:rsidRPr="009448FC" w:rsidRDefault="00C46393" w:rsidP="00DA54E8">
            <w:pPr>
              <w:jc w:val="both"/>
              <w:rPr>
                <w:rFonts w:eastAsia="SimSun"/>
                <w:sz w:val="22"/>
              </w:rPr>
            </w:pPr>
            <w:r w:rsidRPr="009448FC">
              <w:rPr>
                <w:rFonts w:eastAsia="SimSun"/>
                <w:sz w:val="22"/>
              </w:rPr>
              <w:t>Maximum Allocation</w:t>
            </w:r>
          </w:p>
        </w:tc>
        <w:tc>
          <w:tcPr>
            <w:tcW w:w="0" w:type="auto"/>
          </w:tcPr>
          <w:p w:rsidR="00C46393" w:rsidRPr="009448FC" w:rsidRDefault="00C46393" w:rsidP="00DA54E8">
            <w:pPr>
              <w:jc w:val="both"/>
              <w:rPr>
                <w:rFonts w:eastAsia="SimSun"/>
                <w:sz w:val="22"/>
              </w:rPr>
            </w:pPr>
            <w:r w:rsidRPr="009448FC">
              <w:rPr>
                <w:rFonts w:eastAsia="SimSun"/>
                <w:sz w:val="22"/>
              </w:rPr>
              <w:t>Minimum SP Duration</w:t>
            </w:r>
          </w:p>
        </w:tc>
        <w:tc>
          <w:tcPr>
            <w:tcW w:w="0" w:type="auto"/>
          </w:tcPr>
          <w:p w:rsidR="00C46393" w:rsidRPr="009448FC" w:rsidRDefault="00C46393" w:rsidP="00D0037C">
            <w:pPr>
              <w:jc w:val="both"/>
              <w:rPr>
                <w:rFonts w:eastAsia="SimSun"/>
                <w:sz w:val="22"/>
              </w:rPr>
            </w:pPr>
            <w:r w:rsidRPr="009448FC">
              <w:rPr>
                <w:rFonts w:eastAsia="SimSun"/>
                <w:sz w:val="22"/>
              </w:rPr>
              <w:t xml:space="preserve">TSCONST </w:t>
            </w:r>
          </w:p>
        </w:tc>
      </w:tr>
      <w:tr w:rsidR="00C46393" w:rsidRPr="00066F65" w:rsidTr="00C46393">
        <w:trPr>
          <w:jc w:val="center"/>
        </w:trPr>
        <w:tc>
          <w:tcPr>
            <w:tcW w:w="0" w:type="auto"/>
          </w:tcPr>
          <w:p w:rsidR="00C46393" w:rsidRPr="009448FC" w:rsidRDefault="00C46393" w:rsidP="00D0037C">
            <w:pPr>
              <w:jc w:val="both"/>
              <w:rPr>
                <w:rFonts w:eastAsia="SimSun"/>
                <w:sz w:val="22"/>
              </w:rPr>
            </w:pPr>
            <w:r w:rsidRPr="009448FC">
              <w:rPr>
                <w:rFonts w:eastAsia="SimSun"/>
                <w:sz w:val="22"/>
              </w:rPr>
              <w:t>Octets:</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89395E">
            <w:pPr>
              <w:rPr>
                <w:rFonts w:eastAsia="SimSun"/>
                <w:sz w:val="22"/>
              </w:rPr>
            </w:pPr>
            <w:r w:rsidRPr="009448FC">
              <w:rPr>
                <w:rFonts w:eastAsia="SimSun"/>
                <w:sz w:val="22"/>
              </w:rPr>
              <w:t>Variable</w:t>
            </w:r>
          </w:p>
        </w:tc>
      </w:tr>
    </w:tbl>
    <w:p w:rsidR="008C36FC" w:rsidRPr="00066F65" w:rsidRDefault="008C36FC" w:rsidP="00BA5BC4">
      <w:pPr>
        <w:pStyle w:val="Caption"/>
      </w:pPr>
      <w:bookmarkStart w:id="632" w:name="_Ref214855840"/>
      <w:bookmarkStart w:id="633" w:name="_Toc259717476"/>
      <w:r w:rsidRPr="00066F65">
        <w:rPr>
          <w:lang w:val="fr-FR"/>
        </w:rPr>
        <w:t xml:space="preserve">Figure </w:t>
      </w:r>
      <w:r w:rsidR="00BD151C" w:rsidRPr="00066F65">
        <w:fldChar w:fldCharType="begin"/>
      </w:r>
      <w:r w:rsidRPr="00066F65">
        <w:rPr>
          <w:lang w:val="fr-FR"/>
        </w:rPr>
        <w:instrText xml:space="preserve"> SEQ Figure \* ARABIC </w:instrText>
      </w:r>
      <w:r w:rsidR="00BD151C" w:rsidRPr="00066F65">
        <w:fldChar w:fldCharType="separate"/>
      </w:r>
      <w:r w:rsidR="003E4210">
        <w:rPr>
          <w:noProof/>
          <w:lang w:val="fr-FR"/>
        </w:rPr>
        <w:t>44</w:t>
      </w:r>
      <w:r w:rsidR="00BD151C" w:rsidRPr="00066F65">
        <w:fldChar w:fldCharType="end"/>
      </w:r>
      <w:bookmarkEnd w:id="632"/>
      <w:r w:rsidRPr="00066F65">
        <w:rPr>
          <w:lang w:val="fr-FR"/>
        </w:rPr>
        <w:t xml:space="preserve"> – </w:t>
      </w:r>
      <w:r w:rsidR="00401CDB" w:rsidRPr="00066F65">
        <w:rPr>
          <w:lang w:val="fr-FR"/>
        </w:rPr>
        <w:t>Extended mmWave TSPEC</w:t>
      </w:r>
      <w:r w:rsidR="00ED4CB6" w:rsidRPr="00066F65">
        <w:rPr>
          <w:lang w:val="fr-FR"/>
        </w:rPr>
        <w:t xml:space="preserve"> </w:t>
      </w:r>
      <w:r w:rsidRPr="00066F65">
        <w:rPr>
          <w:lang w:val="fr-FR"/>
        </w:rPr>
        <w:t>element format</w:t>
      </w:r>
      <w:bookmarkEnd w:id="633"/>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 xml:space="preserve">The </w:t>
      </w:r>
      <w:r w:rsidR="00401CDB" w:rsidRPr="009448FC">
        <w:t>Extended mmWave TS Info</w:t>
      </w:r>
      <w:r w:rsidR="007C6345" w:rsidRPr="009448FC">
        <w:t xml:space="preserve"> </w:t>
      </w:r>
      <w:r w:rsidRPr="009448FC">
        <w:t xml:space="preserve">field is formatted as shown in </w:t>
      </w:r>
      <w:r w:rsidR="00BD151C">
        <w:fldChar w:fldCharType="begin"/>
      </w:r>
      <w:r>
        <w:instrText xml:space="preserve"> REF _Ref219190276 \h </w:instrText>
      </w:r>
      <w:r w:rsidR="00BD151C">
        <w:fldChar w:fldCharType="separate"/>
      </w:r>
      <w:r w:rsidR="003E4210" w:rsidRPr="00066F65">
        <w:t xml:space="preserve">Figure </w:t>
      </w:r>
      <w:r w:rsidR="003E4210">
        <w:rPr>
          <w:noProof/>
        </w:rPr>
        <w:t>45</w:t>
      </w:r>
      <w:r w:rsidR="00BD151C">
        <w:fldChar w:fldCharType="end"/>
      </w:r>
      <w:r w:rsidRPr="009448FC">
        <w:t>.</w:t>
      </w:r>
    </w:p>
    <w:p w:rsidR="008C36FC" w:rsidRPr="009448FC" w:rsidRDefault="008C36FC" w:rsidP="0004091F"/>
    <w:tbl>
      <w:tblPr>
        <w:tblW w:w="0" w:type="auto"/>
        <w:jc w:val="center"/>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827"/>
        <w:gridCol w:w="1353"/>
        <w:gridCol w:w="1362"/>
        <w:gridCol w:w="1296"/>
        <w:gridCol w:w="875"/>
        <w:gridCol w:w="1691"/>
        <w:gridCol w:w="1109"/>
      </w:tblGrid>
      <w:tr w:rsidR="00B54C6E" w:rsidRPr="00066F65" w:rsidTr="00B54C6E">
        <w:trPr>
          <w:cantSplit/>
          <w:jc w:val="center"/>
        </w:trPr>
        <w:tc>
          <w:tcPr>
            <w:tcW w:w="0" w:type="auto"/>
          </w:tcPr>
          <w:p w:rsidR="00B54C6E" w:rsidRPr="00B54C6E" w:rsidRDefault="00B54C6E" w:rsidP="00D0037C">
            <w:pPr>
              <w:jc w:val="both"/>
              <w:rPr>
                <w:rFonts w:eastAsia="SimSun"/>
              </w:rPr>
            </w:pPr>
            <w:r w:rsidRPr="00B54C6E">
              <w:rPr>
                <w:rFonts w:eastAsia="SimSun"/>
              </w:rPr>
              <w:t>Traffic type</w:t>
            </w:r>
          </w:p>
        </w:tc>
        <w:tc>
          <w:tcPr>
            <w:tcW w:w="0" w:type="auto"/>
          </w:tcPr>
          <w:p w:rsidR="00B54C6E" w:rsidRPr="00B54C6E" w:rsidRDefault="00B54C6E" w:rsidP="00D0037C">
            <w:pPr>
              <w:jc w:val="both"/>
              <w:rPr>
                <w:rFonts w:eastAsia="SimSun"/>
              </w:rPr>
            </w:pPr>
            <w:r w:rsidRPr="00B54C6E">
              <w:rPr>
                <w:rFonts w:eastAsia="SimSun"/>
              </w:rPr>
              <w:t>TSID</w:t>
            </w:r>
          </w:p>
        </w:tc>
        <w:tc>
          <w:tcPr>
            <w:tcW w:w="0" w:type="auto"/>
          </w:tcPr>
          <w:p w:rsidR="00B54C6E" w:rsidRPr="00B54C6E" w:rsidRDefault="00B54C6E" w:rsidP="00D0037C">
            <w:pPr>
              <w:jc w:val="both"/>
              <w:rPr>
                <w:rFonts w:eastAsia="SimSun"/>
              </w:rPr>
            </w:pPr>
            <w:r w:rsidRPr="00B54C6E">
              <w:rPr>
                <w:rFonts w:eastAsia="SimSun"/>
              </w:rPr>
              <w:t>Pseudo-static</w:t>
            </w:r>
          </w:p>
        </w:tc>
        <w:tc>
          <w:tcPr>
            <w:tcW w:w="0" w:type="auto"/>
          </w:tcPr>
          <w:p w:rsidR="00B54C6E" w:rsidRPr="00B54C6E" w:rsidRDefault="00B54C6E" w:rsidP="00D0037C">
            <w:pPr>
              <w:jc w:val="both"/>
              <w:rPr>
                <w:rFonts w:eastAsia="SimSun"/>
              </w:rPr>
            </w:pPr>
            <w:r w:rsidRPr="00B54C6E">
              <w:rPr>
                <w:rFonts w:eastAsia="SimSun"/>
              </w:rPr>
              <w:t>Truncatable</w:t>
            </w:r>
          </w:p>
        </w:tc>
        <w:tc>
          <w:tcPr>
            <w:tcW w:w="0" w:type="auto"/>
          </w:tcPr>
          <w:p w:rsidR="00B54C6E" w:rsidRPr="00B54C6E" w:rsidRDefault="00B54C6E" w:rsidP="00D0037C">
            <w:pPr>
              <w:jc w:val="both"/>
              <w:rPr>
                <w:rFonts w:eastAsia="SimSun"/>
              </w:rPr>
            </w:pPr>
            <w:r w:rsidRPr="00B54C6E">
              <w:rPr>
                <w:rFonts w:eastAsia="SimSun"/>
              </w:rPr>
              <w:t>Extendable</w:t>
            </w:r>
          </w:p>
        </w:tc>
        <w:tc>
          <w:tcPr>
            <w:tcW w:w="0" w:type="auto"/>
          </w:tcPr>
          <w:p w:rsidR="00B54C6E" w:rsidRPr="00B54C6E" w:rsidRDefault="00B54C6E" w:rsidP="00D0037C">
            <w:pPr>
              <w:jc w:val="both"/>
              <w:rPr>
                <w:rFonts w:eastAsia="SimSun"/>
              </w:rPr>
            </w:pPr>
            <w:r w:rsidRPr="00B54C6E">
              <w:rPr>
                <w:rFonts w:eastAsia="SimSun"/>
              </w:rPr>
              <w:t>UP</w:t>
            </w:r>
          </w:p>
        </w:tc>
        <w:tc>
          <w:tcPr>
            <w:tcW w:w="0" w:type="auto"/>
          </w:tcPr>
          <w:p w:rsidR="00B54C6E" w:rsidRPr="00B54C6E" w:rsidRDefault="00B54C6E" w:rsidP="00D0037C">
            <w:pPr>
              <w:jc w:val="both"/>
              <w:rPr>
                <w:rFonts w:eastAsia="SimSun"/>
              </w:rPr>
            </w:pPr>
            <w:r w:rsidRPr="00B54C6E">
              <w:rPr>
                <w:rFonts w:eastAsia="SimSun"/>
              </w:rPr>
              <w:t>Destination STA</w:t>
            </w:r>
          </w:p>
        </w:tc>
        <w:tc>
          <w:tcPr>
            <w:tcW w:w="0" w:type="auto"/>
          </w:tcPr>
          <w:p w:rsidR="00B54C6E" w:rsidRPr="00B54C6E" w:rsidRDefault="00B54C6E" w:rsidP="00D0037C">
            <w:pPr>
              <w:jc w:val="both"/>
              <w:rPr>
                <w:rFonts w:eastAsia="SimSun"/>
              </w:rPr>
            </w:pPr>
            <w:r w:rsidRPr="00B54C6E">
              <w:rPr>
                <w:rFonts w:eastAsia="SimSun"/>
              </w:rPr>
              <w:t>Reserved</w:t>
            </w:r>
          </w:p>
        </w:tc>
      </w:tr>
      <w:tr w:rsidR="00B54C6E" w:rsidRPr="00066F65" w:rsidTr="00B54C6E">
        <w:trPr>
          <w:jc w:val="center"/>
        </w:trPr>
        <w:tc>
          <w:tcPr>
            <w:tcW w:w="0" w:type="auto"/>
          </w:tcPr>
          <w:p w:rsidR="00B54C6E" w:rsidRPr="00B54C6E" w:rsidRDefault="00B54C6E" w:rsidP="00D0037C">
            <w:pPr>
              <w:jc w:val="center"/>
              <w:rPr>
                <w:rFonts w:eastAsia="SimSun"/>
              </w:rPr>
            </w:pPr>
            <w:r w:rsidRPr="00B54C6E">
              <w:rPr>
                <w:rFonts w:eastAsia="SimSun"/>
              </w:rPr>
              <w:t xml:space="preserve">Bits: B0 </w:t>
            </w:r>
          </w:p>
        </w:tc>
        <w:tc>
          <w:tcPr>
            <w:tcW w:w="0" w:type="auto"/>
          </w:tcPr>
          <w:p w:rsidR="00B54C6E" w:rsidRPr="00B54C6E" w:rsidRDefault="00B54C6E" w:rsidP="00D0037C">
            <w:pPr>
              <w:jc w:val="center"/>
              <w:rPr>
                <w:rFonts w:eastAsia="SimSun"/>
              </w:rPr>
            </w:pPr>
            <w:r w:rsidRPr="00B54C6E">
              <w:rPr>
                <w:rFonts w:eastAsia="SimSun"/>
              </w:rPr>
              <w:t>B1-B4</w:t>
            </w:r>
          </w:p>
        </w:tc>
        <w:tc>
          <w:tcPr>
            <w:tcW w:w="0" w:type="auto"/>
          </w:tcPr>
          <w:p w:rsidR="00B54C6E" w:rsidRPr="00B54C6E" w:rsidRDefault="00B54C6E" w:rsidP="00D0037C">
            <w:pPr>
              <w:jc w:val="center"/>
              <w:rPr>
                <w:rFonts w:eastAsia="SimSun"/>
              </w:rPr>
            </w:pPr>
            <w:r w:rsidRPr="00B54C6E">
              <w:rPr>
                <w:rFonts w:eastAsia="SimSun"/>
              </w:rPr>
              <w:t>B5</w:t>
            </w:r>
          </w:p>
        </w:tc>
        <w:tc>
          <w:tcPr>
            <w:tcW w:w="0" w:type="auto"/>
          </w:tcPr>
          <w:p w:rsidR="00B54C6E" w:rsidRPr="00B54C6E" w:rsidRDefault="00B54C6E" w:rsidP="00D0037C">
            <w:pPr>
              <w:jc w:val="center"/>
              <w:rPr>
                <w:rFonts w:eastAsia="SimSun"/>
              </w:rPr>
            </w:pPr>
            <w:r w:rsidRPr="00B54C6E">
              <w:rPr>
                <w:rFonts w:eastAsia="SimSun"/>
              </w:rPr>
              <w:t>B6</w:t>
            </w:r>
          </w:p>
        </w:tc>
        <w:tc>
          <w:tcPr>
            <w:tcW w:w="0" w:type="auto"/>
          </w:tcPr>
          <w:p w:rsidR="00B54C6E" w:rsidRPr="00B54C6E" w:rsidRDefault="00B54C6E" w:rsidP="00D0037C">
            <w:pPr>
              <w:jc w:val="center"/>
              <w:rPr>
                <w:rFonts w:eastAsia="SimSun"/>
              </w:rPr>
            </w:pPr>
            <w:r w:rsidRPr="00B54C6E">
              <w:rPr>
                <w:rFonts w:eastAsia="SimSun"/>
              </w:rPr>
              <w:t>B7</w:t>
            </w:r>
          </w:p>
        </w:tc>
        <w:tc>
          <w:tcPr>
            <w:tcW w:w="0" w:type="auto"/>
          </w:tcPr>
          <w:p w:rsidR="00B54C6E" w:rsidRPr="00B54C6E" w:rsidRDefault="00B54C6E" w:rsidP="00D0037C">
            <w:pPr>
              <w:jc w:val="center"/>
              <w:rPr>
                <w:rFonts w:eastAsia="SimSun"/>
              </w:rPr>
            </w:pPr>
            <w:r w:rsidRPr="00B54C6E">
              <w:rPr>
                <w:rFonts w:eastAsia="SimSun"/>
              </w:rPr>
              <w:t>B8-B10</w:t>
            </w:r>
          </w:p>
        </w:tc>
        <w:tc>
          <w:tcPr>
            <w:tcW w:w="0" w:type="auto"/>
          </w:tcPr>
          <w:p w:rsidR="00B54C6E" w:rsidRPr="00B54C6E" w:rsidRDefault="00B54C6E" w:rsidP="00482872">
            <w:pPr>
              <w:jc w:val="center"/>
              <w:rPr>
                <w:rFonts w:eastAsia="SimSun"/>
              </w:rPr>
            </w:pPr>
            <w:r w:rsidRPr="00B54C6E">
              <w:rPr>
                <w:rFonts w:eastAsia="SimSun"/>
              </w:rPr>
              <w:t>B11-B18</w:t>
            </w:r>
          </w:p>
        </w:tc>
        <w:tc>
          <w:tcPr>
            <w:tcW w:w="0" w:type="auto"/>
          </w:tcPr>
          <w:p w:rsidR="00B54C6E" w:rsidRPr="00B54C6E" w:rsidDel="006A1C2B" w:rsidRDefault="00B54C6E" w:rsidP="00B54C6E">
            <w:pPr>
              <w:jc w:val="center"/>
              <w:rPr>
                <w:rFonts w:eastAsia="SimSun"/>
              </w:rPr>
            </w:pPr>
            <w:r w:rsidRPr="00B54C6E">
              <w:rPr>
                <w:rFonts w:eastAsia="SimSun"/>
              </w:rPr>
              <w:t xml:space="preserve">B19-B23 </w:t>
            </w:r>
          </w:p>
        </w:tc>
      </w:tr>
    </w:tbl>
    <w:p w:rsidR="008C36FC" w:rsidRPr="00066F65" w:rsidRDefault="008C36FC" w:rsidP="00BA5BC4">
      <w:pPr>
        <w:pStyle w:val="Caption"/>
      </w:pPr>
      <w:bookmarkStart w:id="634" w:name="_Ref219190276"/>
      <w:bookmarkStart w:id="635" w:name="_Toc259717477"/>
      <w:r w:rsidRPr="00066F65">
        <w:t xml:space="preserve">Figure </w:t>
      </w:r>
      <w:r w:rsidR="00BD151C">
        <w:fldChar w:fldCharType="begin"/>
      </w:r>
      <w:r w:rsidR="00801316">
        <w:instrText xml:space="preserve"> SEQ Figure \* ARABIC </w:instrText>
      </w:r>
      <w:r w:rsidR="00BD151C">
        <w:fldChar w:fldCharType="separate"/>
      </w:r>
      <w:r w:rsidR="003E4210">
        <w:rPr>
          <w:noProof/>
        </w:rPr>
        <w:t>45</w:t>
      </w:r>
      <w:r w:rsidR="00BD151C">
        <w:fldChar w:fldCharType="end"/>
      </w:r>
      <w:bookmarkEnd w:id="634"/>
      <w:r w:rsidRPr="00066F65">
        <w:t xml:space="preserve"> – </w:t>
      </w:r>
      <w:r w:rsidR="00401CDB" w:rsidRPr="00066F65">
        <w:t>Extended mmWave TS Info</w:t>
      </w:r>
      <w:r w:rsidR="007C6345" w:rsidRPr="00066F65">
        <w:t xml:space="preserve"> </w:t>
      </w:r>
      <w:r w:rsidRPr="00066F65">
        <w:t>field format</w:t>
      </w:r>
      <w:bookmarkEnd w:id="635"/>
    </w:p>
    <w:p w:rsidR="008C36FC" w:rsidRPr="009448FC" w:rsidRDefault="008C36FC" w:rsidP="00283B7D">
      <w:pPr>
        <w:jc w:val="both"/>
        <w:rPr>
          <w:b/>
          <w:i/>
        </w:rPr>
      </w:pPr>
    </w:p>
    <w:p w:rsidR="008C36FC" w:rsidRPr="009448FC" w:rsidRDefault="008C36FC" w:rsidP="0004091F">
      <w:pPr>
        <w:autoSpaceDE w:val="0"/>
        <w:autoSpaceDN w:val="0"/>
        <w:adjustRightInd w:val="0"/>
        <w:jc w:val="both"/>
      </w:pPr>
      <w:r w:rsidRPr="009448FC">
        <w:t xml:space="preserve">The Traffic type </w:t>
      </w:r>
      <w:r w:rsidR="009F317E" w:rsidRPr="009448FC">
        <w:t xml:space="preserve">field </w:t>
      </w:r>
      <w:r w:rsidRPr="009448FC">
        <w:t xml:space="preserve">values are listed in </w:t>
      </w:r>
      <w:fldSimple w:instr=" REF _Ref219190306 \h  \* MERGEFORMAT ">
        <w:r w:rsidR="003E4210" w:rsidRPr="00066F65">
          <w:t xml:space="preserve">Table </w:t>
        </w:r>
        <w:r w:rsidR="003E4210">
          <w:t>13</w:t>
        </w:r>
      </w:fldSimple>
      <w:r w:rsidRPr="009448FC">
        <w:t>.</w:t>
      </w:r>
    </w:p>
    <w:p w:rsidR="008C36FC" w:rsidRPr="009448FC" w:rsidRDefault="008C36FC" w:rsidP="0004091F">
      <w:pPr>
        <w:autoSpaceDE w:val="0"/>
        <w:autoSpaceDN w:val="0"/>
        <w:adjustRightInd w:val="0"/>
        <w:jc w:val="both"/>
      </w:pPr>
    </w:p>
    <w:p w:rsidR="008C36FC" w:rsidRPr="00066F65" w:rsidRDefault="008C36FC" w:rsidP="009448FC">
      <w:pPr>
        <w:pStyle w:val="Caption"/>
        <w:keepNext/>
      </w:pPr>
      <w:bookmarkStart w:id="636" w:name="_Ref219190306"/>
      <w:bookmarkStart w:id="637" w:name="_Toc225065773"/>
      <w:bookmarkStart w:id="638" w:name="_Toc250654416"/>
      <w:bookmarkStart w:id="639" w:name="_Toc259717591"/>
      <w:r w:rsidRPr="00066F65">
        <w:t>Table</w:t>
      </w:r>
      <w:r w:rsidR="00ED4CB6" w:rsidRPr="00066F65">
        <w:t xml:space="preserve"> </w:t>
      </w:r>
      <w:r w:rsidR="00BD151C">
        <w:fldChar w:fldCharType="begin"/>
      </w:r>
      <w:r w:rsidR="00801316">
        <w:instrText xml:space="preserve"> SEQ Table \* ARABIC </w:instrText>
      </w:r>
      <w:r w:rsidR="00BD151C">
        <w:fldChar w:fldCharType="separate"/>
      </w:r>
      <w:r w:rsidR="003E4210">
        <w:rPr>
          <w:noProof/>
        </w:rPr>
        <w:t>13</w:t>
      </w:r>
      <w:r w:rsidR="00BD151C">
        <w:fldChar w:fldCharType="end"/>
      </w:r>
      <w:bookmarkEnd w:id="636"/>
      <w:r w:rsidR="00AD4DD4" w:rsidRPr="00066F65">
        <w:t xml:space="preserve"> – </w:t>
      </w:r>
      <w:r w:rsidRPr="00066F65">
        <w:t>Traffic Type values</w:t>
      </w:r>
      <w:bookmarkEnd w:id="637"/>
      <w:bookmarkEnd w:id="638"/>
      <w:bookmarkEnd w:id="6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4788"/>
      </w:tblGrid>
      <w:tr w:rsidR="008C36FC" w:rsidRPr="00066F65" w:rsidTr="00D0037C">
        <w:trPr>
          <w:jc w:val="center"/>
        </w:trPr>
        <w:tc>
          <w:tcPr>
            <w:tcW w:w="2247" w:type="dxa"/>
          </w:tcPr>
          <w:p w:rsidR="008C36FC" w:rsidRPr="009448FC" w:rsidRDefault="008C36FC" w:rsidP="00D0037C">
            <w:pPr>
              <w:autoSpaceDE w:val="0"/>
              <w:autoSpaceDN w:val="0"/>
              <w:adjustRightInd w:val="0"/>
              <w:jc w:val="both"/>
              <w:rPr>
                <w:rFonts w:eastAsia="SimSun"/>
                <w:b/>
              </w:rPr>
            </w:pPr>
            <w:r w:rsidRPr="009448FC">
              <w:rPr>
                <w:rFonts w:eastAsia="SimSun"/>
                <w:b/>
              </w:rPr>
              <w:t>Traffic Type value</w:t>
            </w:r>
          </w:p>
        </w:tc>
        <w:tc>
          <w:tcPr>
            <w:tcW w:w="4788" w:type="dxa"/>
          </w:tcPr>
          <w:p w:rsidR="008C36FC" w:rsidRPr="009448FC" w:rsidRDefault="008C36FC" w:rsidP="00D0037C">
            <w:pPr>
              <w:autoSpaceDE w:val="0"/>
              <w:autoSpaceDN w:val="0"/>
              <w:adjustRightInd w:val="0"/>
              <w:jc w:val="both"/>
              <w:rPr>
                <w:rFonts w:eastAsia="SimSun"/>
                <w:b/>
              </w:rPr>
            </w:pPr>
            <w:r w:rsidRPr="009448FC">
              <w:rPr>
                <w:rFonts w:eastAsia="SimSun"/>
                <w:b/>
              </w:rPr>
              <w:t>Description</w:t>
            </w:r>
          </w:p>
        </w:tc>
      </w:tr>
      <w:tr w:rsidR="008C36FC" w:rsidRPr="00066F65" w:rsidTr="00D0037C">
        <w:trPr>
          <w:jc w:val="center"/>
        </w:trPr>
        <w:tc>
          <w:tcPr>
            <w:tcW w:w="2247" w:type="dxa"/>
          </w:tcPr>
          <w:p w:rsidR="008C36FC" w:rsidRPr="009448FC" w:rsidRDefault="008C36FC" w:rsidP="00D0037C">
            <w:pPr>
              <w:autoSpaceDE w:val="0"/>
              <w:autoSpaceDN w:val="0"/>
              <w:adjustRightInd w:val="0"/>
              <w:jc w:val="center"/>
              <w:rPr>
                <w:rFonts w:eastAsia="SimSun"/>
              </w:rPr>
            </w:pPr>
            <w:r w:rsidRPr="009448FC">
              <w:rPr>
                <w:rFonts w:eastAsia="SimSun"/>
              </w:rPr>
              <w:t>0</w:t>
            </w:r>
          </w:p>
        </w:tc>
        <w:tc>
          <w:tcPr>
            <w:tcW w:w="4788" w:type="dxa"/>
          </w:tcPr>
          <w:p w:rsidR="008C36FC" w:rsidRPr="009448FC" w:rsidRDefault="008C36FC" w:rsidP="00D0037C">
            <w:pPr>
              <w:autoSpaceDE w:val="0"/>
              <w:autoSpaceDN w:val="0"/>
              <w:adjustRightInd w:val="0"/>
              <w:jc w:val="both"/>
              <w:rPr>
                <w:rFonts w:eastAsia="SimSun"/>
              </w:rPr>
            </w:pPr>
            <w:r w:rsidRPr="009448FC">
              <w:rPr>
                <w:rFonts w:eastAsia="SimSun"/>
              </w:rPr>
              <w:t>Isochronous traffic</w:t>
            </w:r>
          </w:p>
        </w:tc>
      </w:tr>
      <w:tr w:rsidR="008C36FC" w:rsidRPr="00066F65" w:rsidTr="00D0037C">
        <w:trPr>
          <w:jc w:val="center"/>
        </w:trPr>
        <w:tc>
          <w:tcPr>
            <w:tcW w:w="2247" w:type="dxa"/>
          </w:tcPr>
          <w:p w:rsidR="008C36FC" w:rsidRPr="009448FC" w:rsidRDefault="008C36FC" w:rsidP="00D0037C">
            <w:pPr>
              <w:autoSpaceDE w:val="0"/>
              <w:autoSpaceDN w:val="0"/>
              <w:adjustRightInd w:val="0"/>
              <w:jc w:val="center"/>
              <w:rPr>
                <w:rFonts w:eastAsia="SimSun"/>
              </w:rPr>
            </w:pPr>
            <w:r w:rsidRPr="009448FC">
              <w:rPr>
                <w:rFonts w:eastAsia="SimSun"/>
              </w:rPr>
              <w:t>1</w:t>
            </w:r>
          </w:p>
        </w:tc>
        <w:tc>
          <w:tcPr>
            <w:tcW w:w="4788" w:type="dxa"/>
          </w:tcPr>
          <w:p w:rsidR="008C36FC" w:rsidRPr="009448FC" w:rsidRDefault="008C36FC" w:rsidP="00D0037C">
            <w:pPr>
              <w:autoSpaceDE w:val="0"/>
              <w:autoSpaceDN w:val="0"/>
              <w:adjustRightInd w:val="0"/>
              <w:jc w:val="both"/>
              <w:rPr>
                <w:rFonts w:eastAsia="SimSun"/>
              </w:rPr>
            </w:pPr>
            <w:r w:rsidRPr="009448FC">
              <w:rPr>
                <w:rFonts w:eastAsia="SimSun"/>
              </w:rPr>
              <w:t>Asynchronous traffic</w:t>
            </w:r>
          </w:p>
        </w:tc>
      </w:tr>
    </w:tbl>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TSID field is 4 bits in length and contains a value that is the TSID. The MSB of the TSID is always set to 1. The combination of the destination STA and TSID identify the TS in the context of the non-PCP STA.</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Pseudo-static field is set to 1 for a pseudo-static allocation and set to 0 otherwise. The pseudo-static field shall only be set to 1 for an isochronous traffic type.</w:t>
      </w:r>
    </w:p>
    <w:p w:rsidR="008C36FC" w:rsidRPr="009448FC" w:rsidRDefault="008C36FC" w:rsidP="0004091F">
      <w:pPr>
        <w:autoSpaceDE w:val="0"/>
        <w:autoSpaceDN w:val="0"/>
        <w:adjustRightInd w:val="0"/>
        <w:jc w:val="both"/>
      </w:pPr>
    </w:p>
    <w:p w:rsidR="008C36FC" w:rsidRPr="009448FC" w:rsidRDefault="008C36FC" w:rsidP="00492238">
      <w:pPr>
        <w:jc w:val="both"/>
      </w:pPr>
      <w:r w:rsidRPr="009448FC">
        <w:t>The Truncatable field is set to 1 if the STA expects to truncate the SP, as described in</w:t>
      </w:r>
      <w:r w:rsidR="00515A1B">
        <w:t xml:space="preserve"> </w:t>
      </w:r>
      <w:r w:rsidR="00BD151C">
        <w:fldChar w:fldCharType="begin"/>
      </w:r>
      <w:r w:rsidR="00515A1B">
        <w:instrText xml:space="preserve"> REF _Ref253745295 \r \h </w:instrText>
      </w:r>
      <w:r w:rsidR="00BD151C">
        <w:fldChar w:fldCharType="separate"/>
      </w:r>
      <w:r w:rsidR="003E4210">
        <w:t>9.23.8</w:t>
      </w:r>
      <w:r w:rsidR="00BD151C">
        <w:fldChar w:fldCharType="end"/>
      </w:r>
      <w:r w:rsidRPr="009448FC">
        <w:t>. If the STA does not expect to truncate the SP, the Truncatable field is set to 0.</w:t>
      </w:r>
    </w:p>
    <w:p w:rsidR="008C36FC" w:rsidRPr="009448FC" w:rsidRDefault="008C36FC" w:rsidP="0004091F">
      <w:pPr>
        <w:jc w:val="both"/>
      </w:pPr>
    </w:p>
    <w:p w:rsidR="008C36FC" w:rsidRPr="009448FC" w:rsidRDefault="008C36FC" w:rsidP="00492238">
      <w:pPr>
        <w:jc w:val="both"/>
      </w:pPr>
      <w:r w:rsidRPr="009448FC">
        <w:t>The Extendable field is set to 1 if the STA expects to extend the SP, as described in</w:t>
      </w:r>
      <w:r w:rsidR="00492238" w:rsidRPr="009448FC">
        <w:t xml:space="preserve"> </w:t>
      </w:r>
      <w:r w:rsidR="00BD151C" w:rsidRPr="009448FC">
        <w:fldChar w:fldCharType="begin"/>
      </w:r>
      <w:r w:rsidR="00492238" w:rsidRPr="009448FC">
        <w:instrText xml:space="preserve"> REF _Ref244087091 \r \h </w:instrText>
      </w:r>
      <w:r w:rsidR="00BD151C" w:rsidRPr="009448FC">
        <w:fldChar w:fldCharType="separate"/>
      </w:r>
      <w:r w:rsidR="003E4210">
        <w:t>9.23.9</w:t>
      </w:r>
      <w:r w:rsidR="00BD151C" w:rsidRPr="009448FC">
        <w:fldChar w:fldCharType="end"/>
      </w:r>
      <w:r w:rsidRPr="009448FC">
        <w:t>. If the STA does not expect to extend the SP, the Extendable field is set to 0.</w:t>
      </w:r>
    </w:p>
    <w:p w:rsidR="008C36FC" w:rsidRPr="009448FC" w:rsidRDefault="008C36FC" w:rsidP="0004091F">
      <w:pPr>
        <w:jc w:val="both"/>
      </w:pPr>
    </w:p>
    <w:p w:rsidR="008C36FC" w:rsidRPr="009448FC" w:rsidRDefault="008C36FC" w:rsidP="0004091F">
      <w:pPr>
        <w:jc w:val="both"/>
      </w:pPr>
      <w:r w:rsidRPr="009448FC">
        <w:t>The UP field indicates the actual value of the UP to be used for the transport of MSDUs belonging to this TS in cases where relative prioritization is required.</w:t>
      </w:r>
    </w:p>
    <w:p w:rsidR="008C36FC" w:rsidRPr="00482872" w:rsidRDefault="008D1133" w:rsidP="0004091F">
      <w:pPr>
        <w:autoSpaceDE w:val="0"/>
        <w:autoSpaceDN w:val="0"/>
        <w:adjustRightInd w:val="0"/>
        <w:jc w:val="both"/>
      </w:pPr>
      <w:r>
        <w:t xml:space="preserve"> </w:t>
      </w:r>
    </w:p>
    <w:p w:rsidR="008C36FC" w:rsidRPr="009448FC" w:rsidRDefault="008C36FC" w:rsidP="0004091F">
      <w:pPr>
        <w:jc w:val="both"/>
      </w:pPr>
      <w:r w:rsidRPr="009448FC">
        <w:t>The Destination AID field contains the AID of a STA that the requesting STA wishes to communicate with during the SP allocations.</w:t>
      </w:r>
    </w:p>
    <w:p w:rsidR="008C36FC" w:rsidRPr="009448FC" w:rsidRDefault="008C36FC" w:rsidP="0004091F">
      <w:pPr>
        <w:autoSpaceDE w:val="0"/>
        <w:autoSpaceDN w:val="0"/>
        <w:adjustRightInd w:val="0"/>
        <w:jc w:val="both"/>
      </w:pPr>
    </w:p>
    <w:p w:rsidR="005E5B7E" w:rsidRPr="009448FC" w:rsidRDefault="005E5B7E" w:rsidP="00ED4CB6">
      <w:pPr>
        <w:jc w:val="both"/>
      </w:pPr>
      <w:r w:rsidRPr="009448FC">
        <w:t>The BF Control field is defined in</w:t>
      </w:r>
      <w:r w:rsidR="0037753E">
        <w:t xml:space="preserve"> </w:t>
      </w:r>
      <w:r w:rsidR="00BD151C">
        <w:fldChar w:fldCharType="begin"/>
      </w:r>
      <w:r w:rsidR="0037753E">
        <w:instrText xml:space="preserve"> REF _Ref253745303 \h </w:instrText>
      </w:r>
      <w:r w:rsidR="00BD151C">
        <w:fldChar w:fldCharType="separate"/>
      </w:r>
      <w:r w:rsidR="003E4210">
        <w:t>7.3a.5 Beamforming Control field</w:t>
      </w:r>
      <w:r w:rsidR="00BD151C">
        <w:fldChar w:fldCharType="end"/>
      </w:r>
      <w:r w:rsidR="006808E3" w:rsidRPr="009448FC">
        <w:t>.</w:t>
      </w:r>
    </w:p>
    <w:p w:rsidR="005E5B7E" w:rsidRPr="009448FC" w:rsidRDefault="005E5B7E" w:rsidP="0004091F">
      <w:pPr>
        <w:autoSpaceDE w:val="0"/>
        <w:autoSpaceDN w:val="0"/>
        <w:adjustRightInd w:val="0"/>
        <w:jc w:val="both"/>
      </w:pPr>
    </w:p>
    <w:p w:rsidR="008C36FC" w:rsidRPr="009448FC" w:rsidRDefault="008C36FC" w:rsidP="0004091F">
      <w:pPr>
        <w:autoSpaceDE w:val="0"/>
        <w:autoSpaceDN w:val="0"/>
        <w:adjustRightInd w:val="0"/>
      </w:pPr>
      <w:r w:rsidRPr="009448FC">
        <w:t xml:space="preserve">The Allocation Period is specified as a fraction or multiple of the Beacon Interval as defined in </w:t>
      </w:r>
      <w:r w:rsidR="00BD151C">
        <w:fldChar w:fldCharType="begin"/>
      </w:r>
      <w:r>
        <w:instrText xml:space="preserve"> REF _Ref219184544 \h </w:instrText>
      </w:r>
      <w:r w:rsidR="00BD151C">
        <w:fldChar w:fldCharType="separate"/>
      </w:r>
      <w:r w:rsidR="003E4210" w:rsidRPr="00066F65">
        <w:t xml:space="preserve">Table </w:t>
      </w:r>
      <w:r w:rsidR="003E4210">
        <w:rPr>
          <w:noProof/>
        </w:rPr>
        <w:t>14</w:t>
      </w:r>
      <w:r w:rsidR="00BD151C">
        <w:fldChar w:fldCharType="end"/>
      </w:r>
      <w:r w:rsidRPr="009448FC">
        <w:t>.</w:t>
      </w:r>
    </w:p>
    <w:p w:rsidR="008C36FC" w:rsidRPr="009448FC" w:rsidRDefault="008C36FC" w:rsidP="0004091F">
      <w:pPr>
        <w:autoSpaceDE w:val="0"/>
        <w:autoSpaceDN w:val="0"/>
        <w:adjustRightInd w:val="0"/>
        <w:jc w:val="both"/>
      </w:pPr>
    </w:p>
    <w:p w:rsidR="008C36FC" w:rsidRPr="00066F65" w:rsidRDefault="008C36FC" w:rsidP="009448FC">
      <w:pPr>
        <w:pStyle w:val="Caption"/>
        <w:keepNext/>
      </w:pPr>
      <w:bookmarkStart w:id="640" w:name="_Ref219184544"/>
      <w:bookmarkStart w:id="641" w:name="_Toc225065774"/>
      <w:bookmarkStart w:id="642" w:name="_Toc250654417"/>
      <w:bookmarkStart w:id="643" w:name="_Toc259717592"/>
      <w:r w:rsidRPr="00066F65">
        <w:lastRenderedPageBreak/>
        <w:t xml:space="preserve">Table </w:t>
      </w:r>
      <w:r w:rsidR="00BD151C">
        <w:fldChar w:fldCharType="begin"/>
      </w:r>
      <w:r w:rsidR="00801316">
        <w:instrText xml:space="preserve"> SEQ Table \* ARABIC </w:instrText>
      </w:r>
      <w:r w:rsidR="00BD151C">
        <w:fldChar w:fldCharType="separate"/>
      </w:r>
      <w:r w:rsidR="003E4210">
        <w:rPr>
          <w:noProof/>
        </w:rPr>
        <w:t>14</w:t>
      </w:r>
      <w:r w:rsidR="00BD151C">
        <w:fldChar w:fldCharType="end"/>
      </w:r>
      <w:bookmarkEnd w:id="640"/>
      <w:r w:rsidRPr="00066F65">
        <w:rPr>
          <w:noProof/>
        </w:rPr>
        <w:t xml:space="preserve"> </w:t>
      </w:r>
      <w:r w:rsidR="008E376E" w:rsidRPr="00066F65">
        <w:rPr>
          <w:noProof/>
        </w:rPr>
        <w:t xml:space="preserve">– </w:t>
      </w:r>
      <w:r w:rsidRPr="00066F65">
        <w:rPr>
          <w:noProof/>
        </w:rPr>
        <w:t>Allocation Period values</w:t>
      </w:r>
      <w:bookmarkEnd w:id="641"/>
      <w:bookmarkEnd w:id="642"/>
      <w:bookmarkEnd w:id="6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896"/>
        <w:gridCol w:w="4466"/>
      </w:tblGrid>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b/>
              </w:rPr>
            </w:pPr>
            <w:r w:rsidRPr="009448FC">
              <w:rPr>
                <w:rFonts w:eastAsia="SimSun"/>
                <w:b/>
              </w:rPr>
              <w:t>B0-B14</w:t>
            </w:r>
          </w:p>
        </w:tc>
        <w:tc>
          <w:tcPr>
            <w:tcW w:w="896" w:type="dxa"/>
          </w:tcPr>
          <w:p w:rsidR="008C36FC" w:rsidRPr="009448FC" w:rsidRDefault="008C36FC" w:rsidP="00D0037C">
            <w:pPr>
              <w:autoSpaceDE w:val="0"/>
              <w:autoSpaceDN w:val="0"/>
              <w:adjustRightInd w:val="0"/>
              <w:jc w:val="both"/>
              <w:rPr>
                <w:rFonts w:eastAsia="SimSun"/>
                <w:b/>
              </w:rPr>
            </w:pPr>
            <w:r w:rsidRPr="009448FC">
              <w:rPr>
                <w:rFonts w:eastAsia="SimSun"/>
                <w:b/>
              </w:rPr>
              <w:t>B15</w:t>
            </w:r>
          </w:p>
        </w:tc>
        <w:tc>
          <w:tcPr>
            <w:tcW w:w="4466" w:type="dxa"/>
          </w:tcPr>
          <w:p w:rsidR="008C36FC" w:rsidRPr="009448FC" w:rsidRDefault="008C36FC" w:rsidP="00D0037C">
            <w:pPr>
              <w:autoSpaceDE w:val="0"/>
              <w:autoSpaceDN w:val="0"/>
              <w:adjustRightInd w:val="0"/>
              <w:jc w:val="both"/>
              <w:rPr>
                <w:rFonts w:eastAsia="SimSun"/>
                <w:b/>
              </w:rPr>
            </w:pPr>
            <w:r w:rsidRPr="009448FC">
              <w:rPr>
                <w:rFonts w:eastAsia="SimSun"/>
                <w:b/>
              </w:rPr>
              <w:t>Meaning</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0</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0-1</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Reserved</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1-32767</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0</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The allocation period is a multiple of the BI, i.e.</w:t>
            </w:r>
            <w:r w:rsidR="00C956E1">
              <w:rPr>
                <w:rFonts w:eastAsia="SimSun"/>
              </w:rPr>
              <w:t>,</w:t>
            </w:r>
            <w:r w:rsidRPr="009448FC">
              <w:rPr>
                <w:rFonts w:eastAsia="SimSun"/>
              </w:rPr>
              <w:t xml:space="preserve"> allocation period = n x BI where n is the value represented by B0-B14</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1-32767</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1</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The allocation period is a fraction of the BI, i.e.</w:t>
            </w:r>
            <w:r w:rsidR="00C956E1">
              <w:rPr>
                <w:rFonts w:eastAsia="SimSun"/>
              </w:rPr>
              <w:t>,</w:t>
            </w:r>
            <w:r w:rsidRPr="009448FC">
              <w:rPr>
                <w:rFonts w:eastAsia="SimSun"/>
              </w:rPr>
              <w:t xml:space="preserve"> allocation period = BI/n where n is the value represented by B0-B14.</w:t>
            </w:r>
          </w:p>
        </w:tc>
      </w:tr>
    </w:tbl>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For isochronous requests, the Allocation Period, Minimum Allocation, Maximum Allocation and Minimum SP Duration fields are set as follows.</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pPr>
      <w:r w:rsidRPr="009448FC">
        <w:t xml:space="preserve">The Allocation Period field indicates the period over which the allocation repeats. </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Minimum Allocation field is set to the minimum acceptable allocation in microseconds in each allocation period.</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Maximum Allocation field is set to the desired allocation in microseconds in each allocation period.</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 xml:space="preserve">The Minimum SP Duration specifies the minimum acceptable SP duration in microseconds making up the allocation. </w:t>
      </w:r>
    </w:p>
    <w:p w:rsidR="008C36FC" w:rsidRPr="009448FC" w:rsidRDefault="008C36FC" w:rsidP="0004091F">
      <w:pPr>
        <w:autoSpaceDE w:val="0"/>
        <w:autoSpaceDN w:val="0"/>
        <w:adjustRightInd w:val="0"/>
        <w:jc w:val="both"/>
      </w:pPr>
    </w:p>
    <w:p w:rsidR="008C36FC" w:rsidRPr="009448FC" w:rsidRDefault="00177DA0" w:rsidP="00177DA0">
      <w:pPr>
        <w:autoSpaceDE w:val="0"/>
        <w:autoSpaceDN w:val="0"/>
        <w:adjustRightInd w:val="0"/>
        <w:jc w:val="both"/>
        <w:rPr>
          <w:sz w:val="20"/>
        </w:rPr>
      </w:pPr>
      <w:r w:rsidRPr="009448FC">
        <w:rPr>
          <w:sz w:val="20"/>
        </w:rPr>
        <w:t xml:space="preserve">NOTE – </w:t>
      </w:r>
      <w:r w:rsidR="008C36FC" w:rsidRPr="009448FC">
        <w:rPr>
          <w:sz w:val="20"/>
        </w:rPr>
        <w:t>With an isochronous TSPEC, the allocation period defines the period over which the channel time allocation repeats. The scheduler should ensure that at least the minimum allocation is made within each allocation period. The allocation may be composed of multiple SPs. The scheduler will also ensure that each SP making up the allocation is no shorter than the minimum SP duration. The scheduler is free to position the SPs that make up the allocation anywhere in the allocation period. The scheduler may allocate up to the maximum allocation each allocation period if resources permit.</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For asynchronous requests, Maximum Allocation field is reserved and the Allocation Period, Minimum Allocation and Minimum SP Duration fields are set as follows.</w:t>
      </w:r>
    </w:p>
    <w:p w:rsidR="008C36FC" w:rsidRPr="009448FC" w:rsidRDefault="008C36FC" w:rsidP="0004091F"/>
    <w:p w:rsidR="008C36FC" w:rsidRPr="009448FC" w:rsidRDefault="008C36FC" w:rsidP="0004091F">
      <w:r w:rsidRPr="009448FC">
        <w:t>The Allocation Period field indicates the period over which the minimum allocation applies. The Allocation Period shall be an integral multiple of the Beacon Interval.</w:t>
      </w:r>
    </w:p>
    <w:p w:rsidR="008C36FC" w:rsidRPr="009448FC" w:rsidRDefault="008C36FC" w:rsidP="0004091F"/>
    <w:p w:rsidR="008C36FC" w:rsidRPr="009448FC" w:rsidRDefault="008C36FC" w:rsidP="0004091F">
      <w:r w:rsidRPr="009448FC">
        <w:t>The Minimum Allocation field specifies the minimum allocation in microseconds that the STA expects within the allocation period.</w:t>
      </w:r>
    </w:p>
    <w:p w:rsidR="008C36FC" w:rsidRPr="009448FC" w:rsidRDefault="008C36FC" w:rsidP="0004091F"/>
    <w:p w:rsidR="008C36FC" w:rsidRPr="009448FC" w:rsidRDefault="008C36FC" w:rsidP="0004091F">
      <w:r w:rsidRPr="009448FC">
        <w:t>The Minimum SP Duration field specifies the minimum acceptable SP duration in microseconds.</w:t>
      </w:r>
    </w:p>
    <w:p w:rsidR="008C36FC" w:rsidRPr="009448FC" w:rsidRDefault="008C36FC" w:rsidP="0004091F"/>
    <w:p w:rsidR="008C36FC" w:rsidRPr="009448FC" w:rsidRDefault="00177DA0" w:rsidP="0004091F">
      <w:pPr>
        <w:rPr>
          <w:sz w:val="20"/>
        </w:rPr>
      </w:pPr>
      <w:r w:rsidRPr="009448FC">
        <w:rPr>
          <w:sz w:val="20"/>
        </w:rPr>
        <w:t xml:space="preserve">NOTE – </w:t>
      </w:r>
      <w:r w:rsidR="008C36FC" w:rsidRPr="009448FC">
        <w:rPr>
          <w:sz w:val="20"/>
        </w:rPr>
        <w:t>With an asynchronous TSPEC, the STA registers the minimum allocation it expects within the allocation period while a SP request is in effect that is greater than the minimum allocation specified. In addition, the STA expects that each SP allocation will be at least Minimum SP Duration microseconds in duration provided the outstanding SP request is at least that much. In admitting the TSPEC, the PCP</w:t>
      </w:r>
      <w:r w:rsidR="000D18B4" w:rsidRPr="009448FC">
        <w:rPr>
          <w:sz w:val="20"/>
        </w:rPr>
        <w:t>/</w:t>
      </w:r>
      <w:r w:rsidR="00655EA4" w:rsidRPr="009448FC">
        <w:rPr>
          <w:sz w:val="20"/>
        </w:rPr>
        <w:t xml:space="preserve">AP </w:t>
      </w:r>
      <w:r w:rsidR="008C36FC" w:rsidRPr="009448FC">
        <w:rPr>
          <w:sz w:val="20"/>
        </w:rPr>
        <w:t xml:space="preserve">should ensure that there are sufficient resources available to meet the TSPEC requirements. </w:t>
      </w:r>
    </w:p>
    <w:p w:rsidR="00EB59DD" w:rsidRDefault="00EB59DD" w:rsidP="0004091F"/>
    <w:p w:rsidR="00EB59DD" w:rsidRPr="009448FC" w:rsidRDefault="00EB59DD" w:rsidP="001153ED">
      <w:pPr>
        <w:autoSpaceDE w:val="0"/>
        <w:autoSpaceDN w:val="0"/>
        <w:adjustRightInd w:val="0"/>
        <w:outlineLvl w:val="0"/>
      </w:pPr>
      <w:r w:rsidRPr="009448FC">
        <w:t xml:space="preserve">The </w:t>
      </w:r>
      <w:r w:rsidR="001A2CDB" w:rsidRPr="009448FC">
        <w:t>TS Scheduling Constrain</w:t>
      </w:r>
      <w:r w:rsidR="00A94465" w:rsidRPr="009448FC">
        <w:t>t</w:t>
      </w:r>
      <w:r w:rsidR="001A2CDB" w:rsidRPr="009448FC">
        <w:t xml:space="preserve"> (</w:t>
      </w:r>
      <w:r w:rsidRPr="009448FC">
        <w:t>TSCONST</w:t>
      </w:r>
      <w:r w:rsidR="001A2CDB" w:rsidRPr="009448FC">
        <w:t>)</w:t>
      </w:r>
      <w:r w:rsidRPr="009448FC">
        <w:t xml:space="preserve"> field contains one or more constraint </w:t>
      </w:r>
      <w:r w:rsidR="00CB3AEE" w:rsidRPr="009448FC">
        <w:t>sub</w:t>
      </w:r>
      <w:r w:rsidRPr="009448FC">
        <w:t xml:space="preserve">fields as illustrated in </w:t>
      </w:r>
      <w:fldSimple w:instr=" REF _Ref236393596 \h  \* MERGEFORMAT ">
        <w:r w:rsidR="003E4210" w:rsidRPr="003E4210">
          <w:t>Figure 46</w:t>
        </w:r>
      </w:fldSimple>
      <w:r w:rsidRPr="009448FC">
        <w:t>.</w:t>
      </w:r>
    </w:p>
    <w:p w:rsidR="00EB59DD" w:rsidRPr="009448FC" w:rsidRDefault="00EB59DD" w:rsidP="00EB59DD">
      <w:pPr>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3362"/>
      </w:tblGrid>
      <w:tr w:rsidR="00EB59DD" w:rsidRPr="00066F65" w:rsidTr="00D0037C">
        <w:trPr>
          <w:cantSplit/>
          <w:jc w:val="center"/>
        </w:trPr>
        <w:tc>
          <w:tcPr>
            <w:tcW w:w="0" w:type="auto"/>
          </w:tcPr>
          <w:p w:rsidR="00EB59DD" w:rsidRPr="009448FC" w:rsidRDefault="00EB59DD" w:rsidP="00D0037C">
            <w:pPr>
              <w:jc w:val="both"/>
              <w:rPr>
                <w:rFonts w:eastAsia="SimSun"/>
              </w:rPr>
            </w:pPr>
          </w:p>
        </w:tc>
        <w:tc>
          <w:tcPr>
            <w:tcW w:w="0" w:type="auto"/>
          </w:tcPr>
          <w:p w:rsidR="00EB59DD" w:rsidRPr="009448FC" w:rsidRDefault="00EB59DD" w:rsidP="00D0037C">
            <w:pPr>
              <w:jc w:val="center"/>
              <w:rPr>
                <w:rFonts w:eastAsia="SimSun"/>
              </w:rPr>
            </w:pPr>
            <w:r w:rsidRPr="009448FC">
              <w:rPr>
                <w:rFonts w:eastAsia="SimSun"/>
              </w:rPr>
              <w:t>One or more constraint sub</w:t>
            </w:r>
            <w:r w:rsidR="0077340D" w:rsidRPr="009448FC">
              <w:rPr>
                <w:rFonts w:eastAsia="SimSun"/>
              </w:rPr>
              <w:t>fields</w:t>
            </w:r>
          </w:p>
        </w:tc>
      </w:tr>
      <w:tr w:rsidR="00EB59DD" w:rsidRPr="00066F65" w:rsidTr="00D0037C">
        <w:trPr>
          <w:cantSplit/>
          <w:jc w:val="center"/>
        </w:trPr>
        <w:tc>
          <w:tcPr>
            <w:tcW w:w="0" w:type="auto"/>
          </w:tcPr>
          <w:p w:rsidR="00EB59DD" w:rsidRPr="009448FC" w:rsidRDefault="00EB59DD" w:rsidP="00D0037C">
            <w:pPr>
              <w:jc w:val="both"/>
              <w:rPr>
                <w:rFonts w:eastAsia="SimSun"/>
              </w:rPr>
            </w:pPr>
            <w:r w:rsidRPr="009448FC">
              <w:rPr>
                <w:rFonts w:eastAsia="SimSun"/>
              </w:rPr>
              <w:t>Octets:</w:t>
            </w:r>
          </w:p>
        </w:tc>
        <w:tc>
          <w:tcPr>
            <w:tcW w:w="0" w:type="auto"/>
          </w:tcPr>
          <w:p w:rsidR="00EB59DD" w:rsidRPr="009448FC" w:rsidRDefault="00EB59DD" w:rsidP="00D0037C">
            <w:pPr>
              <w:jc w:val="center"/>
              <w:rPr>
                <w:rFonts w:eastAsia="SimSun"/>
              </w:rPr>
            </w:pPr>
            <w:r w:rsidRPr="009448FC">
              <w:rPr>
                <w:rFonts w:eastAsia="SimSun"/>
              </w:rPr>
              <w:t>Variable</w:t>
            </w:r>
          </w:p>
        </w:tc>
      </w:tr>
    </w:tbl>
    <w:p w:rsidR="00EB59DD" w:rsidRPr="009448FC" w:rsidRDefault="00EB59DD" w:rsidP="00BA5BC4">
      <w:pPr>
        <w:pStyle w:val="Caption"/>
        <w:rPr>
          <w:sz w:val="22"/>
        </w:rPr>
      </w:pPr>
      <w:bookmarkStart w:id="644" w:name="_Ref236393596"/>
      <w:bookmarkStart w:id="645" w:name="_Ref256198179"/>
      <w:bookmarkStart w:id="646" w:name="_Toc259717478"/>
      <w:r w:rsidRPr="009448FC">
        <w:rPr>
          <w:sz w:val="22"/>
        </w:rPr>
        <w:t xml:space="preserve">Figure </w:t>
      </w:r>
      <w:r w:rsidR="00BD151C" w:rsidRPr="009448FC">
        <w:rPr>
          <w:sz w:val="22"/>
        </w:rPr>
        <w:fldChar w:fldCharType="begin"/>
      </w:r>
      <w:r w:rsidRPr="009448FC">
        <w:rPr>
          <w:sz w:val="22"/>
        </w:rPr>
        <w:instrText xml:space="preserve"> SEQ Figure \* ARABIC </w:instrText>
      </w:r>
      <w:r w:rsidR="00BD151C" w:rsidRPr="009448FC">
        <w:rPr>
          <w:sz w:val="22"/>
        </w:rPr>
        <w:fldChar w:fldCharType="separate"/>
      </w:r>
      <w:r w:rsidR="003E4210">
        <w:rPr>
          <w:noProof/>
          <w:sz w:val="22"/>
        </w:rPr>
        <w:t>46</w:t>
      </w:r>
      <w:r w:rsidR="00BD151C" w:rsidRPr="009448FC">
        <w:rPr>
          <w:sz w:val="22"/>
        </w:rPr>
        <w:fldChar w:fldCharType="end"/>
      </w:r>
      <w:bookmarkEnd w:id="644"/>
      <w:r w:rsidRPr="009448FC">
        <w:rPr>
          <w:sz w:val="22"/>
        </w:rPr>
        <w:t xml:space="preserve"> – TS scheduling constraint </w:t>
      </w:r>
      <w:r w:rsidR="00CB3AEE" w:rsidRPr="009448FC">
        <w:rPr>
          <w:sz w:val="22"/>
        </w:rPr>
        <w:t>field</w:t>
      </w:r>
      <w:r w:rsidRPr="009448FC">
        <w:rPr>
          <w:sz w:val="22"/>
        </w:rPr>
        <w:t xml:space="preserve"> format</w:t>
      </w:r>
      <w:bookmarkEnd w:id="645"/>
      <w:bookmarkEnd w:id="646"/>
    </w:p>
    <w:p w:rsidR="00EB59DD" w:rsidRPr="009448FC" w:rsidRDefault="00EB59DD" w:rsidP="00EB59DD"/>
    <w:p w:rsidR="00EB59DD" w:rsidRPr="009448FC" w:rsidRDefault="00EB59DD" w:rsidP="001153ED">
      <w:r w:rsidRPr="009448FC">
        <w:t>The constraint sub</w:t>
      </w:r>
      <w:r w:rsidR="00A94465" w:rsidRPr="009448FC">
        <w:t>field</w:t>
      </w:r>
      <w:r w:rsidR="00281486" w:rsidRPr="009448FC">
        <w:t xml:space="preserve"> </w:t>
      </w:r>
      <w:r w:rsidRPr="009448FC">
        <w:t xml:space="preserve">is defined as illustrated in </w:t>
      </w:r>
      <w:fldSimple w:instr=" REF _Ref236393624 \h  \* MERGEFORMAT ">
        <w:r w:rsidR="003E4210" w:rsidRPr="003E4210">
          <w:t>Figure 47</w:t>
        </w:r>
      </w:fldSimple>
      <w:r w:rsidRPr="009448FC">
        <w:t>.</w:t>
      </w:r>
    </w:p>
    <w:p w:rsidR="00EB59DD" w:rsidRPr="009448FC" w:rsidRDefault="00EB59DD" w:rsidP="00EB59DD"/>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2184"/>
        <w:gridCol w:w="2031"/>
        <w:gridCol w:w="1824"/>
        <w:gridCol w:w="2318"/>
      </w:tblGrid>
      <w:tr w:rsidR="00D0037C" w:rsidRPr="00066F65" w:rsidTr="00D0037C">
        <w:trPr>
          <w:jc w:val="center"/>
        </w:trPr>
        <w:tc>
          <w:tcPr>
            <w:tcW w:w="0" w:type="auto"/>
          </w:tcPr>
          <w:p w:rsidR="00AD4DD4" w:rsidRPr="009448FC" w:rsidRDefault="00AD4DD4" w:rsidP="00D0037C">
            <w:pPr>
              <w:jc w:val="both"/>
              <w:rPr>
                <w:rFonts w:eastAsia="SimSun"/>
                <w:sz w:val="22"/>
              </w:rPr>
            </w:pPr>
          </w:p>
        </w:tc>
        <w:tc>
          <w:tcPr>
            <w:tcW w:w="0" w:type="auto"/>
          </w:tcPr>
          <w:p w:rsidR="00AD4DD4" w:rsidRPr="009448FC" w:rsidRDefault="00AD4DD4" w:rsidP="00D0037C">
            <w:pPr>
              <w:jc w:val="both"/>
              <w:rPr>
                <w:rFonts w:eastAsia="SimSun"/>
                <w:sz w:val="22"/>
              </w:rPr>
            </w:pPr>
            <w:r w:rsidRPr="009448FC">
              <w:rPr>
                <w:rFonts w:eastAsia="SimSun"/>
                <w:sz w:val="22"/>
              </w:rPr>
              <w:t xml:space="preserve">TSCONST </w:t>
            </w:r>
            <w:r w:rsidR="00D02A7A">
              <w:rPr>
                <w:rFonts w:eastAsia="SimSun"/>
                <w:sz w:val="22"/>
              </w:rPr>
              <w:t>S</w:t>
            </w:r>
            <w:r w:rsidRPr="009448FC">
              <w:rPr>
                <w:rFonts w:eastAsia="SimSun"/>
                <w:sz w:val="22"/>
              </w:rPr>
              <w:t xml:space="preserve">tart </w:t>
            </w:r>
            <w:r w:rsidR="00D02A7A">
              <w:rPr>
                <w:rFonts w:eastAsia="SimSun"/>
                <w:sz w:val="22"/>
              </w:rPr>
              <w:t>T</w:t>
            </w:r>
            <w:r w:rsidRPr="009448FC">
              <w:rPr>
                <w:rFonts w:eastAsia="SimSun"/>
                <w:sz w:val="22"/>
              </w:rPr>
              <w:t>ime</w:t>
            </w:r>
          </w:p>
        </w:tc>
        <w:tc>
          <w:tcPr>
            <w:tcW w:w="0" w:type="auto"/>
          </w:tcPr>
          <w:p w:rsidR="00AD4DD4" w:rsidRPr="009448FC" w:rsidRDefault="00AD4DD4" w:rsidP="00D0037C">
            <w:pPr>
              <w:jc w:val="both"/>
              <w:rPr>
                <w:rFonts w:eastAsia="SimSun"/>
                <w:sz w:val="22"/>
              </w:rPr>
            </w:pPr>
            <w:r w:rsidRPr="009448FC">
              <w:rPr>
                <w:rFonts w:eastAsia="SimSun"/>
                <w:sz w:val="22"/>
              </w:rPr>
              <w:t xml:space="preserve">TSCONST </w:t>
            </w:r>
            <w:r w:rsidR="00D02A7A">
              <w:rPr>
                <w:rFonts w:eastAsia="SimSun"/>
                <w:sz w:val="22"/>
              </w:rPr>
              <w:t>D</w:t>
            </w:r>
            <w:r w:rsidRPr="009448FC">
              <w:rPr>
                <w:rFonts w:eastAsia="SimSun"/>
                <w:sz w:val="22"/>
              </w:rPr>
              <w:t>uration</w:t>
            </w:r>
          </w:p>
        </w:tc>
        <w:tc>
          <w:tcPr>
            <w:tcW w:w="0" w:type="auto"/>
          </w:tcPr>
          <w:p w:rsidR="00AD4DD4" w:rsidRPr="009448FC" w:rsidDel="00AD4DD4" w:rsidRDefault="00AD4DD4" w:rsidP="00D0037C">
            <w:pPr>
              <w:jc w:val="both"/>
              <w:rPr>
                <w:rFonts w:eastAsia="SimSun"/>
                <w:sz w:val="22"/>
              </w:rPr>
            </w:pPr>
            <w:r w:rsidRPr="009448FC">
              <w:rPr>
                <w:rFonts w:eastAsia="SimSun"/>
                <w:sz w:val="22"/>
              </w:rPr>
              <w:t xml:space="preserve">TSCONST </w:t>
            </w:r>
            <w:r w:rsidR="00D02A7A">
              <w:rPr>
                <w:rFonts w:eastAsia="SimSun"/>
                <w:sz w:val="22"/>
              </w:rPr>
              <w:t>P</w:t>
            </w:r>
            <w:r w:rsidRPr="009448FC">
              <w:rPr>
                <w:rFonts w:eastAsia="SimSun"/>
                <w:sz w:val="22"/>
              </w:rPr>
              <w:t>eriod</w:t>
            </w:r>
          </w:p>
        </w:tc>
        <w:tc>
          <w:tcPr>
            <w:tcW w:w="0" w:type="auto"/>
          </w:tcPr>
          <w:p w:rsidR="00AD4DD4" w:rsidRPr="009448FC" w:rsidRDefault="00AD4DD4" w:rsidP="00D0037C">
            <w:pPr>
              <w:jc w:val="center"/>
              <w:rPr>
                <w:rFonts w:eastAsia="SimSun"/>
                <w:sz w:val="22"/>
              </w:rPr>
            </w:pPr>
            <w:r w:rsidRPr="009448FC">
              <w:rPr>
                <w:rFonts w:eastAsia="SimSun"/>
                <w:sz w:val="22"/>
              </w:rPr>
              <w:t>Interferer MAC address</w:t>
            </w:r>
          </w:p>
        </w:tc>
      </w:tr>
      <w:tr w:rsidR="00D0037C" w:rsidRPr="00066F65" w:rsidTr="00D0037C">
        <w:trPr>
          <w:jc w:val="center"/>
        </w:trPr>
        <w:tc>
          <w:tcPr>
            <w:tcW w:w="0" w:type="auto"/>
          </w:tcPr>
          <w:p w:rsidR="00AD4DD4" w:rsidRPr="009448FC" w:rsidRDefault="00AD4DD4" w:rsidP="00D0037C">
            <w:pPr>
              <w:jc w:val="both"/>
              <w:rPr>
                <w:rFonts w:eastAsia="SimSun"/>
                <w:sz w:val="22"/>
              </w:rPr>
            </w:pPr>
            <w:r w:rsidRPr="009448FC">
              <w:rPr>
                <w:rFonts w:eastAsia="SimSun"/>
                <w:sz w:val="22"/>
              </w:rPr>
              <w:t>Octets:</w:t>
            </w:r>
          </w:p>
        </w:tc>
        <w:tc>
          <w:tcPr>
            <w:tcW w:w="0" w:type="auto"/>
          </w:tcPr>
          <w:p w:rsidR="00AD4DD4" w:rsidRPr="009448FC" w:rsidRDefault="00AD4DD4" w:rsidP="00D0037C">
            <w:pPr>
              <w:jc w:val="center"/>
              <w:rPr>
                <w:rFonts w:eastAsia="SimSun"/>
                <w:sz w:val="22"/>
              </w:rPr>
            </w:pPr>
            <w:r w:rsidRPr="009448FC">
              <w:rPr>
                <w:rFonts w:eastAsia="SimSun"/>
                <w:sz w:val="22"/>
              </w:rPr>
              <w:t>4</w:t>
            </w:r>
          </w:p>
        </w:tc>
        <w:tc>
          <w:tcPr>
            <w:tcW w:w="0" w:type="auto"/>
          </w:tcPr>
          <w:p w:rsidR="00AD4DD4" w:rsidRPr="009448FC" w:rsidRDefault="00AD4DD4" w:rsidP="00D0037C">
            <w:pPr>
              <w:jc w:val="center"/>
              <w:rPr>
                <w:rFonts w:eastAsia="SimSun"/>
                <w:sz w:val="22"/>
              </w:rPr>
            </w:pPr>
            <w:r w:rsidRPr="009448FC">
              <w:rPr>
                <w:rFonts w:eastAsia="SimSun"/>
                <w:sz w:val="22"/>
              </w:rPr>
              <w:t>2</w:t>
            </w:r>
          </w:p>
        </w:tc>
        <w:tc>
          <w:tcPr>
            <w:tcW w:w="0" w:type="auto"/>
          </w:tcPr>
          <w:p w:rsidR="00AD4DD4" w:rsidRPr="009448FC" w:rsidDel="00AD4DD4" w:rsidRDefault="00AD4DD4" w:rsidP="00D0037C">
            <w:pPr>
              <w:jc w:val="center"/>
              <w:rPr>
                <w:rFonts w:eastAsia="SimSun"/>
                <w:sz w:val="22"/>
              </w:rPr>
            </w:pPr>
            <w:r w:rsidRPr="009448FC">
              <w:rPr>
                <w:rFonts w:eastAsia="SimSun"/>
                <w:sz w:val="22"/>
              </w:rPr>
              <w:t>2</w:t>
            </w:r>
          </w:p>
        </w:tc>
        <w:tc>
          <w:tcPr>
            <w:tcW w:w="0" w:type="auto"/>
          </w:tcPr>
          <w:p w:rsidR="00AD4DD4" w:rsidRPr="009448FC" w:rsidRDefault="00AD4DD4" w:rsidP="00D0037C">
            <w:pPr>
              <w:jc w:val="center"/>
              <w:rPr>
                <w:rFonts w:eastAsia="SimSun"/>
                <w:sz w:val="22"/>
              </w:rPr>
            </w:pPr>
            <w:r w:rsidRPr="009448FC">
              <w:rPr>
                <w:rFonts w:eastAsia="SimSun"/>
                <w:sz w:val="22"/>
              </w:rPr>
              <w:t>6</w:t>
            </w:r>
          </w:p>
        </w:tc>
      </w:tr>
    </w:tbl>
    <w:p w:rsidR="00EB59DD" w:rsidRPr="009448FC" w:rsidRDefault="00EB59DD" w:rsidP="00BA5BC4">
      <w:pPr>
        <w:pStyle w:val="Caption"/>
        <w:rPr>
          <w:sz w:val="22"/>
          <w:lang w:val="fr-FR"/>
        </w:rPr>
      </w:pPr>
      <w:bookmarkStart w:id="647" w:name="_Ref236393624"/>
      <w:bookmarkStart w:id="648" w:name="_Toc259717479"/>
      <w:r w:rsidRPr="009448FC">
        <w:rPr>
          <w:sz w:val="22"/>
          <w:lang w:val="fr-FR"/>
        </w:rPr>
        <w:t xml:space="preserve">Figure </w:t>
      </w:r>
      <w:r w:rsidR="00BD151C" w:rsidRPr="009448FC">
        <w:rPr>
          <w:sz w:val="22"/>
        </w:rPr>
        <w:fldChar w:fldCharType="begin"/>
      </w:r>
      <w:r w:rsidRPr="009448FC">
        <w:rPr>
          <w:sz w:val="22"/>
          <w:lang w:val="fr-FR"/>
        </w:rPr>
        <w:instrText xml:space="preserve"> SEQ Figure \* ARABIC </w:instrText>
      </w:r>
      <w:r w:rsidR="00BD151C" w:rsidRPr="009448FC">
        <w:rPr>
          <w:sz w:val="22"/>
        </w:rPr>
        <w:fldChar w:fldCharType="separate"/>
      </w:r>
      <w:r w:rsidR="003E4210">
        <w:rPr>
          <w:noProof/>
          <w:sz w:val="22"/>
          <w:lang w:val="fr-FR"/>
        </w:rPr>
        <w:t>47</w:t>
      </w:r>
      <w:r w:rsidR="00BD151C" w:rsidRPr="009448FC">
        <w:rPr>
          <w:sz w:val="22"/>
        </w:rPr>
        <w:fldChar w:fldCharType="end"/>
      </w:r>
      <w:bookmarkEnd w:id="647"/>
      <w:r w:rsidR="00A944FA" w:rsidRPr="009448FC">
        <w:rPr>
          <w:sz w:val="22"/>
          <w:lang w:val="fr-FR"/>
        </w:rPr>
        <w:t xml:space="preserve"> – Constraint sub</w:t>
      </w:r>
      <w:r w:rsidR="00CB3AEE" w:rsidRPr="009448FC">
        <w:rPr>
          <w:sz w:val="22"/>
          <w:lang w:val="fr-FR"/>
        </w:rPr>
        <w:t>field</w:t>
      </w:r>
      <w:bookmarkEnd w:id="648"/>
    </w:p>
    <w:p w:rsidR="00EB59DD" w:rsidRPr="009448FC" w:rsidRDefault="00EB59DD" w:rsidP="00EB59DD">
      <w:pPr>
        <w:rPr>
          <w:lang w:val="fr-FR"/>
        </w:rPr>
      </w:pPr>
    </w:p>
    <w:p w:rsidR="00EB59DD" w:rsidRPr="009448FC" w:rsidRDefault="00EB59DD" w:rsidP="00AD4DD4">
      <w:r w:rsidRPr="009448FC">
        <w:t xml:space="preserve">The </w:t>
      </w:r>
      <w:r w:rsidR="00AD4DD4" w:rsidRPr="009448FC">
        <w:t xml:space="preserve">TSCONST </w:t>
      </w:r>
      <w:r w:rsidR="00D02A7A">
        <w:t>S</w:t>
      </w:r>
      <w:r w:rsidR="00AD4DD4" w:rsidRPr="009448FC">
        <w:t xml:space="preserve">tart </w:t>
      </w:r>
      <w:r w:rsidR="00D02A7A">
        <w:t>T</w:t>
      </w:r>
      <w:r w:rsidRPr="009448FC">
        <w:t>ime</w:t>
      </w:r>
      <w:r w:rsidR="00281486" w:rsidRPr="009448FC">
        <w:t xml:space="preserve"> </w:t>
      </w:r>
      <w:r w:rsidRPr="009448FC">
        <w:t>field contains the lower 4 octets of the TSF at the time the scheduling constraint starts.</w:t>
      </w:r>
    </w:p>
    <w:p w:rsidR="00EB59DD" w:rsidRPr="009448FC" w:rsidRDefault="00EB59DD" w:rsidP="00EB59DD"/>
    <w:p w:rsidR="00EB59DD" w:rsidRPr="009448FC" w:rsidRDefault="00EB59DD" w:rsidP="00AD4DD4">
      <w:r w:rsidRPr="009448FC">
        <w:t xml:space="preserve">The </w:t>
      </w:r>
      <w:r w:rsidR="00AD4DD4" w:rsidRPr="009448FC">
        <w:t xml:space="preserve">TSCONST </w:t>
      </w:r>
      <w:r w:rsidR="00D02A7A">
        <w:t>D</w:t>
      </w:r>
      <w:r w:rsidR="00AD4DD4" w:rsidRPr="009448FC">
        <w:t>uration</w:t>
      </w:r>
      <w:r w:rsidR="00281486" w:rsidRPr="009448FC">
        <w:t xml:space="preserve"> </w:t>
      </w:r>
      <w:r w:rsidRPr="009448FC">
        <w:t>field indicates the time, in microseconds, for which the constraint is specified.</w:t>
      </w:r>
    </w:p>
    <w:p w:rsidR="00EB59DD" w:rsidRPr="009448FC" w:rsidRDefault="00EB59DD" w:rsidP="00EB59DD"/>
    <w:p w:rsidR="00AD4DD4" w:rsidRPr="009448FC" w:rsidRDefault="00AD4DD4" w:rsidP="00AD4DD4">
      <w:r w:rsidRPr="009448FC">
        <w:t xml:space="preserve">The TSCONST </w:t>
      </w:r>
      <w:r w:rsidR="00D02A7A">
        <w:t>P</w:t>
      </w:r>
      <w:r w:rsidRPr="009448FC">
        <w:t xml:space="preserve">eriod field contains the time, in microseconds, between the start of two consecutive scheduling constraints. </w:t>
      </w:r>
    </w:p>
    <w:p w:rsidR="00AD4DD4" w:rsidRPr="009448FC" w:rsidRDefault="00AD4DD4" w:rsidP="00EB59DD"/>
    <w:p w:rsidR="00177DA0" w:rsidRPr="009448FC" w:rsidRDefault="00177DA0" w:rsidP="00EB59DD">
      <w:r w:rsidRPr="009448FC">
        <w:t xml:space="preserve">The Interferer MAC Address field is set to the value of the TA field within a frame received during the interval of time indicated by this TSCONST field. If unknown, the Interferer MAC Address field is set to the broadcast MAC address. </w:t>
      </w:r>
    </w:p>
    <w:p w:rsidR="00EB59DD" w:rsidRPr="009448FC" w:rsidRDefault="00EB59DD" w:rsidP="0004091F"/>
    <w:p w:rsidR="00140EEE" w:rsidRPr="009448FC" w:rsidRDefault="00891889" w:rsidP="003701DB">
      <w:pPr>
        <w:pStyle w:val="Heading4"/>
        <w:numPr>
          <w:ilvl w:val="3"/>
          <w:numId w:val="152"/>
        </w:numPr>
      </w:pPr>
      <w:bookmarkStart w:id="649" w:name="_Ref244235053"/>
      <w:bookmarkStart w:id="650" w:name="_Ref244235797"/>
      <w:r w:rsidRPr="009448FC">
        <w:t xml:space="preserve"> </w:t>
      </w:r>
      <w:bookmarkStart w:id="651" w:name="_Ref246306933"/>
      <w:bookmarkStart w:id="652" w:name="_Toc259716935"/>
      <w:r w:rsidR="00140EEE" w:rsidRPr="009448FC">
        <w:t>Next mmWave AT element</w:t>
      </w:r>
      <w:bookmarkEnd w:id="649"/>
      <w:bookmarkEnd w:id="650"/>
      <w:bookmarkEnd w:id="651"/>
      <w:bookmarkEnd w:id="652"/>
    </w:p>
    <w:p w:rsidR="009F317E" w:rsidRPr="009448FC" w:rsidRDefault="008C36FC" w:rsidP="00DB6136">
      <w:r w:rsidRPr="009448FC">
        <w:t xml:space="preserve">The </w:t>
      </w:r>
      <w:r w:rsidR="00403223" w:rsidRPr="009448FC">
        <w:t>Next mmWave AT</w:t>
      </w:r>
      <w:r w:rsidRPr="009448FC">
        <w:t xml:space="preserve"> element indicates earliest start time for the next AT period</w:t>
      </w:r>
      <w:r w:rsidR="009737B9" w:rsidRPr="009448FC">
        <w:t xml:space="preserve"> in a subsequent BI</w:t>
      </w:r>
      <w:r w:rsidR="009F317E" w:rsidRPr="009448FC">
        <w:t>.</w:t>
      </w:r>
    </w:p>
    <w:p w:rsidR="00D1282C" w:rsidRPr="009448FC" w:rsidRDefault="00D1282C" w:rsidP="00DB613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1236"/>
      </w:tblGrid>
      <w:tr w:rsidR="00191011" w:rsidRPr="00066F65" w:rsidTr="005A1DBD">
        <w:trPr>
          <w:jc w:val="center"/>
        </w:trPr>
        <w:tc>
          <w:tcPr>
            <w:tcW w:w="0" w:type="auto"/>
          </w:tcPr>
          <w:p w:rsidR="00191011" w:rsidRPr="009448FC" w:rsidRDefault="00191011" w:rsidP="00D0037C">
            <w:pPr>
              <w:jc w:val="both"/>
              <w:rPr>
                <w:rFonts w:eastAsia="SimSun"/>
              </w:rPr>
            </w:pPr>
          </w:p>
        </w:tc>
        <w:tc>
          <w:tcPr>
            <w:tcW w:w="0" w:type="auto"/>
          </w:tcPr>
          <w:p w:rsidR="00191011" w:rsidRPr="009448FC" w:rsidRDefault="00191011" w:rsidP="005A1DBD">
            <w:pPr>
              <w:jc w:val="center"/>
              <w:rPr>
                <w:rFonts w:eastAsia="SimSun"/>
              </w:rPr>
            </w:pPr>
            <w:r w:rsidRPr="009448FC">
              <w:rPr>
                <w:rFonts w:eastAsia="SimSun"/>
              </w:rPr>
              <w:t>Element ID</w:t>
            </w:r>
          </w:p>
        </w:tc>
        <w:tc>
          <w:tcPr>
            <w:tcW w:w="0" w:type="auto"/>
          </w:tcPr>
          <w:p w:rsidR="00191011" w:rsidRPr="009448FC" w:rsidRDefault="00191011" w:rsidP="005A1DBD">
            <w:pPr>
              <w:jc w:val="center"/>
              <w:rPr>
                <w:rFonts w:eastAsia="SimSun"/>
              </w:rPr>
            </w:pPr>
            <w:r w:rsidRPr="009448FC">
              <w:rPr>
                <w:rFonts w:eastAsia="SimSun"/>
              </w:rPr>
              <w:t>Length</w:t>
            </w:r>
          </w:p>
        </w:tc>
        <w:tc>
          <w:tcPr>
            <w:tcW w:w="0" w:type="auto"/>
          </w:tcPr>
          <w:p w:rsidR="00191011" w:rsidRPr="009448FC" w:rsidRDefault="00191011" w:rsidP="005A1DBD">
            <w:pPr>
              <w:jc w:val="center"/>
              <w:rPr>
                <w:rFonts w:eastAsia="SimSun"/>
              </w:rPr>
            </w:pPr>
            <w:r w:rsidRPr="009448FC">
              <w:rPr>
                <w:rFonts w:eastAsia="SimSun"/>
              </w:rPr>
              <w:t>Start Time</w:t>
            </w:r>
          </w:p>
        </w:tc>
      </w:tr>
      <w:tr w:rsidR="00191011" w:rsidRPr="00066F65" w:rsidTr="005A1DBD">
        <w:trPr>
          <w:jc w:val="center"/>
        </w:trPr>
        <w:tc>
          <w:tcPr>
            <w:tcW w:w="0" w:type="auto"/>
          </w:tcPr>
          <w:p w:rsidR="00191011" w:rsidRPr="009448FC" w:rsidRDefault="00191011" w:rsidP="00D0037C">
            <w:pPr>
              <w:jc w:val="both"/>
              <w:rPr>
                <w:rFonts w:eastAsia="SimSun"/>
              </w:rPr>
            </w:pPr>
            <w:r>
              <w:rPr>
                <w:rFonts w:eastAsia="SimSun"/>
              </w:rPr>
              <w:t>Octets:</w:t>
            </w:r>
          </w:p>
        </w:tc>
        <w:tc>
          <w:tcPr>
            <w:tcW w:w="0" w:type="auto"/>
          </w:tcPr>
          <w:p w:rsidR="00191011" w:rsidRPr="009448FC" w:rsidRDefault="00191011" w:rsidP="005A1DBD">
            <w:pPr>
              <w:jc w:val="center"/>
              <w:rPr>
                <w:rFonts w:eastAsia="SimSun"/>
              </w:rPr>
            </w:pPr>
            <w:r w:rsidRPr="009448FC">
              <w:rPr>
                <w:rFonts w:eastAsia="SimSun"/>
              </w:rPr>
              <w:t>1</w:t>
            </w:r>
          </w:p>
        </w:tc>
        <w:tc>
          <w:tcPr>
            <w:tcW w:w="0" w:type="auto"/>
          </w:tcPr>
          <w:p w:rsidR="00191011" w:rsidRPr="009448FC" w:rsidRDefault="00191011" w:rsidP="005A1DBD">
            <w:pPr>
              <w:jc w:val="center"/>
              <w:rPr>
                <w:rFonts w:eastAsia="SimSun"/>
              </w:rPr>
            </w:pPr>
            <w:r w:rsidRPr="009448FC">
              <w:rPr>
                <w:rFonts w:eastAsia="SimSun"/>
              </w:rPr>
              <w:t>1</w:t>
            </w:r>
          </w:p>
        </w:tc>
        <w:tc>
          <w:tcPr>
            <w:tcW w:w="0" w:type="auto"/>
          </w:tcPr>
          <w:p w:rsidR="00191011" w:rsidRPr="009448FC" w:rsidRDefault="00191011" w:rsidP="005A1DBD">
            <w:pPr>
              <w:jc w:val="center"/>
              <w:rPr>
                <w:rFonts w:eastAsia="SimSun"/>
              </w:rPr>
            </w:pPr>
            <w:r w:rsidRPr="009448FC">
              <w:rPr>
                <w:rFonts w:eastAsia="SimSun"/>
              </w:rPr>
              <w:t>4</w:t>
            </w:r>
          </w:p>
        </w:tc>
      </w:tr>
    </w:tbl>
    <w:p w:rsidR="00DB6136" w:rsidRPr="00066F65" w:rsidRDefault="00DB6136" w:rsidP="00BA5BC4">
      <w:pPr>
        <w:pStyle w:val="Caption"/>
      </w:pPr>
      <w:bookmarkStart w:id="653" w:name="_Toc259717480"/>
      <w:r w:rsidRPr="00066F65">
        <w:t xml:space="preserve">Figure </w:t>
      </w:r>
      <w:r w:rsidR="00BD151C">
        <w:fldChar w:fldCharType="begin"/>
      </w:r>
      <w:r w:rsidR="00801316">
        <w:instrText xml:space="preserve"> SEQ Figure \* ARABIC </w:instrText>
      </w:r>
      <w:r w:rsidR="00BD151C">
        <w:fldChar w:fldCharType="separate"/>
      </w:r>
      <w:r w:rsidR="003E4210">
        <w:rPr>
          <w:noProof/>
        </w:rPr>
        <w:t>48</w:t>
      </w:r>
      <w:r w:rsidR="00BD151C">
        <w:fldChar w:fldCharType="end"/>
      </w:r>
      <w:r w:rsidR="000D2976" w:rsidRPr="00066F65">
        <w:t xml:space="preserve"> – </w:t>
      </w:r>
      <w:r w:rsidRPr="00066F65">
        <w:t>Next mmWave AT</w:t>
      </w:r>
      <w:bookmarkEnd w:id="653"/>
    </w:p>
    <w:p w:rsidR="008C36FC" w:rsidRPr="009448FC" w:rsidRDefault="008C36FC" w:rsidP="0004091F"/>
    <w:p w:rsidR="008C36FC" w:rsidRPr="009448FC" w:rsidRDefault="008C36FC" w:rsidP="0004091F">
      <w:r w:rsidRPr="009448FC">
        <w:t>The Start Time field contains the low order 4 octets of the TSF for the earliest time at which the next AT period will start.</w:t>
      </w:r>
    </w:p>
    <w:p w:rsidR="00C958A2" w:rsidRPr="009448FC" w:rsidRDefault="00B17B3D" w:rsidP="003701DB">
      <w:pPr>
        <w:pStyle w:val="Heading4"/>
        <w:numPr>
          <w:ilvl w:val="3"/>
          <w:numId w:val="152"/>
        </w:numPr>
      </w:pPr>
      <w:bookmarkStart w:id="654" w:name="_Ref244234571"/>
      <w:bookmarkStart w:id="655" w:name="_Toc259716936"/>
      <w:r w:rsidRPr="009448FC">
        <w:t>Channel measurement feedback element</w:t>
      </w:r>
      <w:bookmarkEnd w:id="654"/>
      <w:bookmarkEnd w:id="655"/>
    </w:p>
    <w:p w:rsidR="004A1B71" w:rsidRDefault="004A1B71" w:rsidP="00DA2E98">
      <w:pPr>
        <w:jc w:val="both"/>
      </w:pPr>
    </w:p>
    <w:p w:rsidR="00DA2E98" w:rsidRPr="009448FC" w:rsidRDefault="00DA2E98" w:rsidP="00DA2E98">
      <w:pPr>
        <w:jc w:val="both"/>
        <w:rPr>
          <w:i/>
        </w:rPr>
      </w:pPr>
      <w:r w:rsidRPr="009448FC">
        <w:t xml:space="preserve">The channel measurement feedback element is used to carry the channel measurement feedback data that the </w:t>
      </w:r>
      <w:r w:rsidR="002866FC">
        <w:t>STA</w:t>
      </w:r>
      <w:r w:rsidRPr="009448FC">
        <w:t xml:space="preserve"> has measured on the TRN-T fields of the Beam Refinement packet that contained the Channel Measurement request</w:t>
      </w:r>
      <w:r w:rsidR="003932F2">
        <w:t>, to provide a list of sectors identified during a sector sweep, or during beam combination (</w:t>
      </w:r>
      <w:r w:rsidR="00BD151C">
        <w:fldChar w:fldCharType="begin"/>
      </w:r>
      <w:r w:rsidR="003932F2">
        <w:instrText xml:space="preserve"> REF _Ref250724960 \r \h </w:instrText>
      </w:r>
      <w:r w:rsidR="00BD151C">
        <w:fldChar w:fldCharType="separate"/>
      </w:r>
      <w:r w:rsidR="003E4210">
        <w:t>9.25.5.2</w:t>
      </w:r>
      <w:r w:rsidR="00BD151C">
        <w:fldChar w:fldCharType="end"/>
      </w:r>
      <w:r w:rsidR="003932F2">
        <w:t>)</w:t>
      </w:r>
      <w:r w:rsidRPr="009448FC">
        <w:t xml:space="preserve">. The format and size of the channel measurement feedback element </w:t>
      </w:r>
      <w:r w:rsidR="002866FC">
        <w:t>are defined by the parameter values</w:t>
      </w:r>
      <w:r w:rsidRPr="009448FC">
        <w:t xml:space="preserve"> specified in the </w:t>
      </w:r>
      <w:r w:rsidR="002866FC">
        <w:t xml:space="preserve">accompanying </w:t>
      </w:r>
      <w:r w:rsidRPr="009448FC">
        <w:t xml:space="preserve">Beam Refinement </w:t>
      </w:r>
      <w:r w:rsidR="00F264C8" w:rsidRPr="009448FC">
        <w:t>element</w:t>
      </w:r>
      <w:r w:rsidRPr="009448FC">
        <w:t>.</w:t>
      </w:r>
    </w:p>
    <w:p w:rsidR="00DA2E98" w:rsidRPr="009448FC" w:rsidRDefault="00DA2E98" w:rsidP="00DA2E98">
      <w:pPr>
        <w:jc w:val="both"/>
        <w:rPr>
          <w:i/>
        </w:rPr>
      </w:pPr>
    </w:p>
    <w:p w:rsidR="00DA2E98" w:rsidRPr="009448FC" w:rsidRDefault="00DA2E98" w:rsidP="005C4A18">
      <w:pPr>
        <w:jc w:val="both"/>
      </w:pPr>
      <w:r w:rsidRPr="009448FC">
        <w:lastRenderedPageBreak/>
        <w:t xml:space="preserve">The channel measurement feedback element, as shown in </w:t>
      </w:r>
      <w:r w:rsidR="00BD151C" w:rsidRPr="009448FC">
        <w:fldChar w:fldCharType="begin"/>
      </w:r>
      <w:r w:rsidRPr="009448FC">
        <w:instrText xml:space="preserve"> REF _Ref231094768 \h </w:instrText>
      </w:r>
      <w:r w:rsidR="00BD151C" w:rsidRPr="009448FC">
        <w:fldChar w:fldCharType="separate"/>
      </w:r>
      <w:r w:rsidR="003E4210" w:rsidRPr="00066F65">
        <w:t xml:space="preserve">Table </w:t>
      </w:r>
      <w:r w:rsidR="003E4210">
        <w:rPr>
          <w:noProof/>
        </w:rPr>
        <w:t>15</w:t>
      </w:r>
      <w:r w:rsidR="00BD151C" w:rsidRPr="009448FC">
        <w:fldChar w:fldCharType="end"/>
      </w:r>
      <w:r w:rsidRPr="009448FC">
        <w:t xml:space="preserve">, is composed of </w:t>
      </w:r>
      <w:r w:rsidR="00080054">
        <w:t>4</w:t>
      </w:r>
      <w:r w:rsidRPr="009448FC">
        <w:t xml:space="preserve"> subfields: the SNR subfield</w:t>
      </w:r>
      <w:r w:rsidR="00E914DB">
        <w:t>,</w:t>
      </w:r>
      <w:r w:rsidR="005C4A18">
        <w:t xml:space="preserve"> the channel measurement subfield,</w:t>
      </w:r>
      <w:r w:rsidR="005C4A18" w:rsidRPr="009448FC">
        <w:t xml:space="preserve"> </w:t>
      </w:r>
      <w:r w:rsidR="00E914DB">
        <w:t>the Tap Delay subfield</w:t>
      </w:r>
      <w:r w:rsidRPr="009448FC">
        <w:t xml:space="preserve"> and the </w:t>
      </w:r>
      <w:r w:rsidR="00E914DB" w:rsidRPr="009448FC">
        <w:rPr>
          <w:rFonts w:eastAsia="SimSun"/>
        </w:rPr>
        <w:t>Sector ID order</w:t>
      </w:r>
      <w:r w:rsidRPr="009448FC">
        <w:t xml:space="preserve"> subfield. </w:t>
      </w:r>
    </w:p>
    <w:p w:rsidR="00DA2E98" w:rsidRPr="009448FC" w:rsidRDefault="00DA2E98" w:rsidP="00DA2E98">
      <w:pPr>
        <w:jc w:val="both"/>
      </w:pPr>
    </w:p>
    <w:p w:rsidR="00A954A4" w:rsidRPr="002866FC" w:rsidRDefault="00DA2E98" w:rsidP="002866FC">
      <w:pPr>
        <w:pStyle w:val="Caption"/>
        <w:keepNext/>
      </w:pPr>
      <w:bookmarkStart w:id="656" w:name="_Ref231094768"/>
      <w:bookmarkStart w:id="657" w:name="_Toc250654418"/>
      <w:bookmarkStart w:id="658" w:name="_Toc259717593"/>
      <w:r w:rsidRPr="00066F65">
        <w:t xml:space="preserve">Table </w:t>
      </w:r>
      <w:r w:rsidR="00BD151C">
        <w:fldChar w:fldCharType="begin"/>
      </w:r>
      <w:r w:rsidR="00801316">
        <w:instrText xml:space="preserve"> SEQ Table \* ARABIC </w:instrText>
      </w:r>
      <w:r w:rsidR="00BD151C">
        <w:fldChar w:fldCharType="separate"/>
      </w:r>
      <w:r w:rsidR="003E4210">
        <w:rPr>
          <w:noProof/>
        </w:rPr>
        <w:t>15</w:t>
      </w:r>
      <w:r w:rsidR="00BD151C">
        <w:fldChar w:fldCharType="end"/>
      </w:r>
      <w:bookmarkEnd w:id="656"/>
      <w:r w:rsidRPr="00066F65">
        <w:t xml:space="preserve"> </w:t>
      </w:r>
      <w:r w:rsidR="008E376E" w:rsidRPr="00066F65">
        <w:t xml:space="preserve">– </w:t>
      </w:r>
      <w:r w:rsidRPr="00066F65">
        <w:t>Channel Measurement Feedback element format</w:t>
      </w:r>
      <w:bookmarkEnd w:id="657"/>
      <w:bookmarkEnd w:id="658"/>
      <w:r w:rsidR="00A954A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160"/>
        <w:gridCol w:w="2056"/>
        <w:gridCol w:w="1257"/>
        <w:gridCol w:w="4657"/>
      </w:tblGrid>
      <w:tr w:rsidR="007774E2" w:rsidRPr="00066F65" w:rsidTr="00D23764">
        <w:tc>
          <w:tcPr>
            <w:tcW w:w="0" w:type="auto"/>
          </w:tcPr>
          <w:p w:rsidR="007774E2" w:rsidRPr="005A1DBD" w:rsidRDefault="007774E2" w:rsidP="00D23764">
            <w:pPr>
              <w:jc w:val="center"/>
              <w:rPr>
                <w:rFonts w:eastAsia="SimSun"/>
                <w:b/>
              </w:rPr>
            </w:pPr>
            <w:r w:rsidRPr="005A1DBD">
              <w:rPr>
                <w:rFonts w:eastAsia="SimSun"/>
                <w:b/>
              </w:rPr>
              <w:t>Field</w:t>
            </w:r>
          </w:p>
        </w:tc>
        <w:tc>
          <w:tcPr>
            <w:tcW w:w="0" w:type="auto"/>
            <w:gridSpan w:val="2"/>
          </w:tcPr>
          <w:p w:rsidR="007774E2" w:rsidRPr="005A1DBD" w:rsidRDefault="007774E2" w:rsidP="00D23764">
            <w:pPr>
              <w:jc w:val="center"/>
              <w:rPr>
                <w:rFonts w:eastAsia="SimSun"/>
                <w:b/>
              </w:rPr>
            </w:pPr>
            <w:r w:rsidRPr="005A1DBD">
              <w:rPr>
                <w:rFonts w:eastAsia="SimSun"/>
                <w:b/>
              </w:rPr>
              <w:t>Size</w:t>
            </w:r>
          </w:p>
        </w:tc>
        <w:tc>
          <w:tcPr>
            <w:tcW w:w="0" w:type="auto"/>
          </w:tcPr>
          <w:p w:rsidR="007774E2" w:rsidRPr="005A1DBD" w:rsidRDefault="007774E2" w:rsidP="00D23764">
            <w:pPr>
              <w:jc w:val="center"/>
              <w:rPr>
                <w:rFonts w:eastAsia="SimSun"/>
                <w:b/>
              </w:rPr>
            </w:pPr>
            <w:r w:rsidRPr="005A1DBD">
              <w:rPr>
                <w:rFonts w:eastAsia="SimSun"/>
                <w:b/>
              </w:rPr>
              <w:t>Meaning</w:t>
            </w:r>
          </w:p>
        </w:tc>
      </w:tr>
      <w:tr w:rsidR="00DA2E98" w:rsidRPr="00066F65" w:rsidTr="00D23764">
        <w:tc>
          <w:tcPr>
            <w:tcW w:w="0" w:type="auto"/>
          </w:tcPr>
          <w:p w:rsidR="00DA2E98" w:rsidRPr="009448FC" w:rsidRDefault="00DA2E98" w:rsidP="00D23764">
            <w:pPr>
              <w:jc w:val="both"/>
              <w:rPr>
                <w:rFonts w:eastAsia="SimSun"/>
              </w:rPr>
            </w:pPr>
            <w:r w:rsidRPr="009448FC">
              <w:rPr>
                <w:rFonts w:eastAsia="SimSun"/>
              </w:rPr>
              <w:t>Element ID</w:t>
            </w:r>
          </w:p>
        </w:tc>
        <w:tc>
          <w:tcPr>
            <w:tcW w:w="0" w:type="auto"/>
            <w:gridSpan w:val="2"/>
          </w:tcPr>
          <w:p w:rsidR="00DA2E98" w:rsidRPr="009448FC" w:rsidRDefault="00DA2E98" w:rsidP="00D23764">
            <w:pPr>
              <w:jc w:val="center"/>
              <w:rPr>
                <w:rFonts w:eastAsia="SimSun"/>
              </w:rPr>
            </w:pPr>
            <w:r w:rsidRPr="009448FC">
              <w:rPr>
                <w:rFonts w:eastAsia="SimSun"/>
              </w:rPr>
              <w:t>8 bits</w:t>
            </w:r>
          </w:p>
        </w:tc>
        <w:tc>
          <w:tcPr>
            <w:tcW w:w="0" w:type="auto"/>
          </w:tcPr>
          <w:p w:rsidR="00DA2E98" w:rsidRPr="009448FC" w:rsidRDefault="00DA2E98" w:rsidP="00D23764">
            <w:pPr>
              <w:jc w:val="both"/>
              <w:rPr>
                <w:rFonts w:eastAsia="SimSun"/>
              </w:rPr>
            </w:pPr>
          </w:p>
        </w:tc>
      </w:tr>
      <w:tr w:rsidR="00DA2E98" w:rsidRPr="00066F65" w:rsidTr="00D23764">
        <w:tc>
          <w:tcPr>
            <w:tcW w:w="0" w:type="auto"/>
          </w:tcPr>
          <w:p w:rsidR="00DA2E98" w:rsidRPr="009448FC" w:rsidRDefault="00DA2E98" w:rsidP="00D23764">
            <w:pPr>
              <w:jc w:val="both"/>
              <w:rPr>
                <w:rFonts w:eastAsia="SimSun"/>
              </w:rPr>
            </w:pPr>
            <w:r w:rsidRPr="009448FC">
              <w:rPr>
                <w:rFonts w:eastAsia="SimSun"/>
              </w:rPr>
              <w:t>Length</w:t>
            </w:r>
          </w:p>
        </w:tc>
        <w:tc>
          <w:tcPr>
            <w:tcW w:w="0" w:type="auto"/>
            <w:gridSpan w:val="2"/>
          </w:tcPr>
          <w:p w:rsidR="00DA2E98" w:rsidRPr="009448FC" w:rsidRDefault="00DA2E98" w:rsidP="00D23764">
            <w:pPr>
              <w:jc w:val="center"/>
              <w:rPr>
                <w:rFonts w:eastAsia="SimSun"/>
              </w:rPr>
            </w:pPr>
            <w:r w:rsidRPr="009448FC">
              <w:rPr>
                <w:rFonts w:eastAsia="SimSun"/>
              </w:rPr>
              <w:t>8 bits</w:t>
            </w:r>
          </w:p>
        </w:tc>
        <w:tc>
          <w:tcPr>
            <w:tcW w:w="0" w:type="auto"/>
          </w:tcPr>
          <w:p w:rsidR="00DA2E98" w:rsidRPr="009448FC" w:rsidRDefault="00DA2E98" w:rsidP="00D23764">
            <w:pPr>
              <w:jc w:val="both"/>
              <w:rPr>
                <w:rFonts w:eastAsia="SimSun"/>
              </w:rPr>
            </w:pPr>
          </w:p>
        </w:tc>
      </w:tr>
      <w:tr w:rsidR="00DA2E98" w:rsidRPr="00066F65" w:rsidTr="00D23764">
        <w:tc>
          <w:tcPr>
            <w:tcW w:w="0" w:type="auto"/>
            <w:vMerge w:val="restart"/>
          </w:tcPr>
          <w:p w:rsidR="00DA2E98" w:rsidRPr="009448FC" w:rsidRDefault="00DA2E98" w:rsidP="00D23764">
            <w:pPr>
              <w:jc w:val="both"/>
              <w:rPr>
                <w:rFonts w:eastAsia="SimSun"/>
              </w:rPr>
            </w:pPr>
            <w:r w:rsidRPr="009448FC">
              <w:rPr>
                <w:rFonts w:eastAsia="SimSun"/>
              </w:rPr>
              <w:t>SNR subfield</w:t>
            </w:r>
          </w:p>
        </w:tc>
        <w:tc>
          <w:tcPr>
            <w:tcW w:w="0" w:type="auto"/>
          </w:tcPr>
          <w:p w:rsidR="00DA2E98" w:rsidRPr="009448FC" w:rsidRDefault="00DA2E98" w:rsidP="00D23764">
            <w:pPr>
              <w:jc w:val="both"/>
              <w:rPr>
                <w:rFonts w:eastAsia="SimSun"/>
                <w:vertAlign w:val="subscript"/>
              </w:rPr>
            </w:pPr>
            <w:r w:rsidRPr="009448FC">
              <w:rPr>
                <w:rFonts w:eastAsia="SimSun"/>
                <w:position w:val="-12"/>
                <w:vertAlign w:val="subscript"/>
              </w:rPr>
              <w:object w:dxaOrig="540" w:dyaOrig="360">
                <v:shape id="_x0000_i1030" type="#_x0000_t75" style="width:27.15pt;height:17.65pt" o:ole="">
                  <v:imagedata r:id="rId110" o:title=""/>
                </v:shape>
                <o:OLEObject Type="Embed" ProgID="Equation.DSMT4" ShapeID="_x0000_i1030" DrawAspect="Content" ObjectID="_1334048212" r:id="rId111"/>
              </w:object>
            </w:r>
          </w:p>
        </w:tc>
        <w:tc>
          <w:tcPr>
            <w:tcW w:w="0" w:type="auto"/>
          </w:tcPr>
          <w:p w:rsidR="00DA2E98" w:rsidRPr="009448FC" w:rsidRDefault="00DA2E98" w:rsidP="00D23764">
            <w:pPr>
              <w:jc w:val="both"/>
              <w:rPr>
                <w:rFonts w:eastAsia="SimSun"/>
              </w:rPr>
            </w:pPr>
            <w:r w:rsidRPr="009448FC">
              <w:rPr>
                <w:rFonts w:eastAsia="SimSun"/>
              </w:rPr>
              <w:t>6 bits</w:t>
            </w:r>
          </w:p>
        </w:tc>
        <w:tc>
          <w:tcPr>
            <w:tcW w:w="0" w:type="auto"/>
          </w:tcPr>
          <w:p w:rsidR="00DA2E98" w:rsidRPr="004616E7" w:rsidRDefault="001B2671" w:rsidP="00D23764">
            <w:pPr>
              <w:jc w:val="both"/>
              <w:rPr>
                <w:rFonts w:eastAsia="SimSun"/>
              </w:rPr>
            </w:pPr>
            <w:r w:rsidRPr="004616E7">
              <w:rPr>
                <w:rFonts w:eastAsia="SimSun"/>
              </w:rPr>
              <w:t>SNR as measured in the first</w:t>
            </w:r>
            <w:r>
              <w:rPr>
                <w:rFonts w:hint="eastAsia"/>
              </w:rPr>
              <w:t xml:space="preserve"> </w:t>
            </w:r>
            <w:r w:rsidRPr="004616E7">
              <w:rPr>
                <w:rFonts w:eastAsia="SimSun"/>
              </w:rPr>
              <w:t xml:space="preserve">TRN-T field or at the </w:t>
            </w:r>
            <w:r w:rsidRPr="00382E09">
              <w:rPr>
                <w:rFonts w:eastAsia="SimSun"/>
              </w:rPr>
              <w:t xml:space="preserve">first sector </w:t>
            </w:r>
            <w:r>
              <w:rPr>
                <w:rFonts w:eastAsia="SimSun"/>
              </w:rPr>
              <w:t>from which SS frame is received</w:t>
            </w:r>
            <w:r w:rsidR="006D6161">
              <w:rPr>
                <w:rFonts w:eastAsia="SimSun"/>
              </w:rPr>
              <w:t>.</w:t>
            </w:r>
          </w:p>
        </w:tc>
      </w:tr>
      <w:tr w:rsidR="00DA2E98" w:rsidRPr="00066F65" w:rsidTr="00D23764">
        <w:tc>
          <w:tcPr>
            <w:tcW w:w="0" w:type="auto"/>
            <w:vMerge/>
          </w:tcPr>
          <w:p w:rsidR="00DA2E98" w:rsidRPr="009448FC" w:rsidRDefault="00DA2E98" w:rsidP="00D23764">
            <w:pPr>
              <w:jc w:val="both"/>
              <w:rPr>
                <w:rFonts w:eastAsia="SimSun"/>
                <w:vertAlign w:val="subscript"/>
              </w:rPr>
            </w:pPr>
          </w:p>
        </w:tc>
        <w:tc>
          <w:tcPr>
            <w:tcW w:w="0" w:type="auto"/>
          </w:tcPr>
          <w:p w:rsidR="00DA2E98" w:rsidRPr="009448FC" w:rsidRDefault="00DA2E98" w:rsidP="00D23764">
            <w:pPr>
              <w:jc w:val="both"/>
              <w:rPr>
                <w:rFonts w:eastAsia="SimSun"/>
                <w:vertAlign w:val="subscript"/>
              </w:rPr>
            </w:pPr>
            <w:r w:rsidRPr="009448FC">
              <w:rPr>
                <w:rFonts w:eastAsia="SimSun"/>
                <w:position w:val="-12"/>
                <w:vertAlign w:val="subscript"/>
              </w:rPr>
              <w:object w:dxaOrig="580" w:dyaOrig="360">
                <v:shape id="_x0000_i1031" type="#_x0000_t75" style="width:30.8pt;height:17.65pt" o:ole="">
                  <v:imagedata r:id="rId112" o:title=""/>
                </v:shape>
                <o:OLEObject Type="Embed" ProgID="Equation.DSMT4" ShapeID="_x0000_i1031" DrawAspect="Content" ObjectID="_1334048213" r:id="rId113"/>
              </w:object>
            </w:r>
          </w:p>
        </w:tc>
        <w:tc>
          <w:tcPr>
            <w:tcW w:w="0" w:type="auto"/>
          </w:tcPr>
          <w:p w:rsidR="00DA2E98" w:rsidRPr="009448FC" w:rsidRDefault="00DA2E98" w:rsidP="00D23764">
            <w:pPr>
              <w:jc w:val="both"/>
              <w:rPr>
                <w:rFonts w:eastAsia="SimSun"/>
              </w:rPr>
            </w:pPr>
            <w:r w:rsidRPr="009448FC">
              <w:rPr>
                <w:rFonts w:eastAsia="SimSun"/>
              </w:rPr>
              <w:t>6 bits</w:t>
            </w:r>
          </w:p>
        </w:tc>
        <w:tc>
          <w:tcPr>
            <w:tcW w:w="0" w:type="auto"/>
          </w:tcPr>
          <w:p w:rsidR="00DA2E98" w:rsidRPr="004616E7" w:rsidRDefault="001B2671" w:rsidP="00D23764">
            <w:pPr>
              <w:jc w:val="both"/>
              <w:rPr>
                <w:rFonts w:eastAsia="SimSun"/>
                <w:vertAlign w:val="subscript"/>
              </w:rPr>
            </w:pPr>
            <w:r w:rsidRPr="004616E7">
              <w:rPr>
                <w:rFonts w:eastAsia="SimSun"/>
              </w:rPr>
              <w:t xml:space="preserve">SNR as measured in the </w:t>
            </w:r>
            <w:r>
              <w:rPr>
                <w:rFonts w:eastAsia="SimSun"/>
              </w:rPr>
              <w:t xml:space="preserve">second </w:t>
            </w:r>
            <w:r w:rsidRPr="004616E7">
              <w:rPr>
                <w:rFonts w:eastAsia="SimSun"/>
              </w:rPr>
              <w:t xml:space="preserve">TRN-T field or at the </w:t>
            </w:r>
            <w:r>
              <w:rPr>
                <w:rFonts w:hint="eastAsia"/>
              </w:rPr>
              <w:t>second</w:t>
            </w:r>
            <w:r w:rsidRPr="00382E09">
              <w:rPr>
                <w:rFonts w:eastAsia="SimSun"/>
              </w:rPr>
              <w:t xml:space="preserve"> sector </w:t>
            </w:r>
            <w:r>
              <w:rPr>
                <w:rFonts w:eastAsia="SimSun"/>
              </w:rPr>
              <w:t>from which SS frame is received</w:t>
            </w:r>
            <w:r w:rsidR="006D6161">
              <w:rPr>
                <w:rFonts w:eastAsia="SimSun"/>
              </w:rPr>
              <w:t>.</w:t>
            </w:r>
          </w:p>
        </w:tc>
      </w:tr>
      <w:tr w:rsidR="00DA2E98" w:rsidRPr="00066F65" w:rsidTr="00D23764">
        <w:tc>
          <w:tcPr>
            <w:tcW w:w="0" w:type="auto"/>
            <w:vMerge/>
          </w:tcPr>
          <w:p w:rsidR="00DA2E98" w:rsidRPr="009448FC" w:rsidRDefault="00DA2E98" w:rsidP="00D23764">
            <w:pPr>
              <w:jc w:val="both"/>
              <w:rPr>
                <w:rFonts w:eastAsia="SimSun"/>
                <w:vertAlign w:val="subscript"/>
              </w:rPr>
            </w:pPr>
          </w:p>
        </w:tc>
        <w:tc>
          <w:tcPr>
            <w:tcW w:w="0" w:type="auto"/>
          </w:tcPr>
          <w:p w:rsidR="00DA2E98" w:rsidRPr="009448FC" w:rsidRDefault="00DA2E98" w:rsidP="00D23764">
            <w:pPr>
              <w:jc w:val="both"/>
              <w:rPr>
                <w:rFonts w:eastAsia="SimSun"/>
              </w:rPr>
            </w:pPr>
            <w:r w:rsidRPr="009448FC">
              <w:rPr>
                <w:rFonts w:eastAsia="SimSun"/>
                <w:position w:val="-4"/>
                <w:vertAlign w:val="subscript"/>
              </w:rPr>
              <w:object w:dxaOrig="120" w:dyaOrig="279">
                <v:shape id="_x0000_i1032" type="#_x0000_t75" style="width:6.8pt;height:13.15pt" o:ole="">
                  <v:imagedata r:id="rId114" o:title=""/>
                </v:shape>
                <o:OLEObject Type="Embed" ProgID="Equation.DSMT4" ShapeID="_x0000_i1032" DrawAspect="Content" ObjectID="_1334048214" r:id="rId115"/>
              </w:object>
            </w:r>
          </w:p>
        </w:tc>
        <w:tc>
          <w:tcPr>
            <w:tcW w:w="0" w:type="auto"/>
          </w:tcPr>
          <w:p w:rsidR="00DA2E98" w:rsidRPr="009448FC" w:rsidRDefault="00DA2E98" w:rsidP="00D23764">
            <w:pPr>
              <w:jc w:val="both"/>
              <w:rPr>
                <w:rFonts w:eastAsia="SimSun"/>
              </w:rPr>
            </w:pPr>
          </w:p>
        </w:tc>
        <w:tc>
          <w:tcPr>
            <w:tcW w:w="0" w:type="auto"/>
          </w:tcPr>
          <w:p w:rsidR="00DA2E98" w:rsidRPr="009448FC" w:rsidRDefault="00DA2E98" w:rsidP="00D23764">
            <w:pPr>
              <w:jc w:val="both"/>
              <w:rPr>
                <w:rFonts w:eastAsia="SimSun"/>
              </w:rPr>
            </w:pPr>
          </w:p>
        </w:tc>
      </w:tr>
      <w:tr w:rsidR="001B2671" w:rsidRPr="00066F65" w:rsidTr="00D23764">
        <w:tc>
          <w:tcPr>
            <w:tcW w:w="0" w:type="auto"/>
            <w:vMerge/>
          </w:tcPr>
          <w:p w:rsidR="001B2671" w:rsidRPr="009448FC" w:rsidRDefault="001B2671" w:rsidP="00D23764">
            <w:pPr>
              <w:jc w:val="both"/>
              <w:rPr>
                <w:rFonts w:eastAsia="SimSun"/>
                <w:vertAlign w:val="subscript"/>
              </w:rPr>
            </w:pPr>
          </w:p>
        </w:tc>
        <w:tc>
          <w:tcPr>
            <w:tcW w:w="0" w:type="auto"/>
          </w:tcPr>
          <w:p w:rsidR="001B2671" w:rsidRPr="009448FC" w:rsidRDefault="001B2671" w:rsidP="00D23764">
            <w:pPr>
              <w:jc w:val="both"/>
              <w:rPr>
                <w:rFonts w:eastAsia="SimSun"/>
                <w:vertAlign w:val="subscript"/>
              </w:rPr>
            </w:pPr>
            <w:r w:rsidRPr="009448FC">
              <w:rPr>
                <w:rFonts w:eastAsia="SimSun"/>
                <w:position w:val="-14"/>
                <w:vertAlign w:val="subscript"/>
              </w:rPr>
              <w:object w:dxaOrig="840" w:dyaOrig="380">
                <v:shape id="_x0000_i1033" type="#_x0000_t75" style="width:41.2pt;height:17.65pt" o:ole="">
                  <v:imagedata r:id="rId116" o:title=""/>
                </v:shape>
                <o:OLEObject Type="Embed" ProgID="Equation.DSMT4" ShapeID="_x0000_i1033" DrawAspect="Content" ObjectID="_1334048215" r:id="rId117"/>
              </w:object>
            </w:r>
          </w:p>
        </w:tc>
        <w:tc>
          <w:tcPr>
            <w:tcW w:w="0" w:type="auto"/>
          </w:tcPr>
          <w:p w:rsidR="001B2671" w:rsidRPr="009448FC" w:rsidRDefault="001B2671" w:rsidP="00D23764">
            <w:pPr>
              <w:jc w:val="both"/>
              <w:rPr>
                <w:rFonts w:eastAsia="SimSun"/>
              </w:rPr>
            </w:pPr>
            <w:r w:rsidRPr="009448FC">
              <w:rPr>
                <w:rFonts w:eastAsia="SimSun"/>
              </w:rPr>
              <w:t>6 bits</w:t>
            </w:r>
          </w:p>
        </w:tc>
        <w:tc>
          <w:tcPr>
            <w:tcW w:w="0" w:type="auto"/>
          </w:tcPr>
          <w:p w:rsidR="001B2671" w:rsidRPr="009448FC" w:rsidRDefault="001B2671" w:rsidP="00D23764">
            <w:pPr>
              <w:jc w:val="both"/>
              <w:rPr>
                <w:rFonts w:eastAsia="SimSun"/>
              </w:rPr>
            </w:pPr>
            <w:r w:rsidRPr="009448FC">
              <w:rPr>
                <w:rFonts w:eastAsia="SimSun"/>
              </w:rPr>
              <w:t xml:space="preserve">SNR as measured in the </w:t>
            </w:r>
            <w:r w:rsidRPr="009448FC">
              <w:rPr>
                <w:rFonts w:eastAsia="SimSun"/>
                <w:i/>
              </w:rPr>
              <w:t>N</w:t>
            </w:r>
            <w:r w:rsidRPr="009448FC">
              <w:rPr>
                <w:rFonts w:eastAsia="SimSun"/>
                <w:i/>
                <w:vertAlign w:val="subscript"/>
              </w:rPr>
              <w:t>meas</w:t>
            </w:r>
            <w:r w:rsidRPr="009448FC">
              <w:rPr>
                <w:rFonts w:eastAsia="SimSun"/>
                <w:vertAlign w:val="subscript"/>
              </w:rPr>
              <w:t xml:space="preserve"> </w:t>
            </w:r>
            <w:r w:rsidRPr="009448FC">
              <w:rPr>
                <w:rFonts w:eastAsia="SimSun"/>
              </w:rPr>
              <w:t>TRN-T field</w:t>
            </w:r>
            <w:r w:rsidRPr="004616E7">
              <w:rPr>
                <w:rFonts w:eastAsia="SimSun"/>
              </w:rPr>
              <w:t xml:space="preserve"> or at the </w:t>
            </w:r>
            <w:r w:rsidRPr="00382E09">
              <w:rPr>
                <w:rFonts w:eastAsia="SimSun"/>
              </w:rPr>
              <w:t>N</w:t>
            </w:r>
            <w:r w:rsidRPr="00382E09">
              <w:rPr>
                <w:rFonts w:eastAsia="SimSun"/>
                <w:vertAlign w:val="subscript"/>
              </w:rPr>
              <w:t>meas</w:t>
            </w:r>
            <w:r w:rsidRPr="00382E09">
              <w:rPr>
                <w:rFonts w:eastAsia="SimSun"/>
              </w:rPr>
              <w:t>’th sector from which SS frame is received</w:t>
            </w:r>
            <w:r w:rsidR="006D6161">
              <w:rPr>
                <w:rFonts w:eastAsia="SimSun"/>
              </w:rPr>
              <w:t>.</w:t>
            </w:r>
          </w:p>
        </w:tc>
      </w:tr>
      <w:tr w:rsidR="005C4A18" w:rsidRPr="00066F65" w:rsidTr="00D23764">
        <w:tc>
          <w:tcPr>
            <w:tcW w:w="0" w:type="auto"/>
            <w:vMerge w:val="restart"/>
          </w:tcPr>
          <w:p w:rsidR="005C4A18" w:rsidRPr="009448FC" w:rsidRDefault="005C4A18" w:rsidP="00D23764">
            <w:pPr>
              <w:jc w:val="both"/>
              <w:rPr>
                <w:rFonts w:eastAsia="SimSun"/>
              </w:rPr>
            </w:pPr>
            <w:r w:rsidRPr="00D0037C">
              <w:rPr>
                <w:rFonts w:eastAsia="SimSun"/>
              </w:rPr>
              <w:t>Channel Measurement subfield</w:t>
            </w:r>
          </w:p>
        </w:tc>
        <w:tc>
          <w:tcPr>
            <w:tcW w:w="0" w:type="auto"/>
          </w:tcPr>
          <w:p w:rsidR="005C4A18" w:rsidRPr="009448FC" w:rsidRDefault="005C4A18" w:rsidP="00D23764">
            <w:pPr>
              <w:jc w:val="both"/>
              <w:rPr>
                <w:rFonts w:eastAsia="SimSun"/>
              </w:rPr>
            </w:pPr>
            <w:r w:rsidRPr="00D0037C">
              <w:rPr>
                <w:rFonts w:eastAsia="SimSun"/>
              </w:rPr>
              <w:t>Channel Measurement 1</w:t>
            </w:r>
          </w:p>
        </w:tc>
        <w:tc>
          <w:tcPr>
            <w:tcW w:w="0" w:type="auto"/>
          </w:tcPr>
          <w:p w:rsidR="005C4A18" w:rsidRPr="009448FC" w:rsidRDefault="005C4A18" w:rsidP="00D23764">
            <w:pPr>
              <w:jc w:val="both"/>
              <w:rPr>
                <w:rFonts w:eastAsia="SimSun"/>
              </w:rPr>
            </w:pPr>
            <w:r w:rsidRPr="00D0037C">
              <w:rPr>
                <w:rFonts w:eastAsia="SimSun"/>
                <w:i/>
                <w:iCs/>
              </w:rPr>
              <w:t>N</w:t>
            </w:r>
            <w:r w:rsidRPr="00D0037C">
              <w:rPr>
                <w:rFonts w:eastAsia="SimSun"/>
                <w:i/>
                <w:iCs/>
                <w:vertAlign w:val="subscript"/>
              </w:rPr>
              <w:t>taps</w:t>
            </w:r>
            <w:r w:rsidRPr="00D0037C">
              <w:rPr>
                <w:rFonts w:eastAsia="SimSun"/>
                <w:i/>
                <w:iCs/>
              </w:rPr>
              <w:t>×</w:t>
            </w:r>
            <w:r w:rsidRPr="00D0037C">
              <w:rPr>
                <w:rFonts w:eastAsia="SimSun"/>
              </w:rPr>
              <w:t>14 bits</w:t>
            </w:r>
          </w:p>
        </w:tc>
        <w:tc>
          <w:tcPr>
            <w:tcW w:w="0" w:type="auto"/>
          </w:tcPr>
          <w:p w:rsidR="005C4A18" w:rsidRPr="009448FC" w:rsidRDefault="005C4A18" w:rsidP="00D23764">
            <w:pPr>
              <w:jc w:val="both"/>
              <w:rPr>
                <w:rFonts w:eastAsia="SimSun"/>
              </w:rPr>
            </w:pPr>
            <w:r w:rsidRPr="00D0037C">
              <w:rPr>
                <w:rFonts w:eastAsia="SimSun"/>
              </w:rPr>
              <w:t>Channel measurement for the first TRN-T field</w:t>
            </w:r>
          </w:p>
        </w:tc>
      </w:tr>
      <w:tr w:rsidR="005C4A18" w:rsidRPr="00066F65" w:rsidTr="00D23764">
        <w:tc>
          <w:tcPr>
            <w:tcW w:w="0" w:type="auto"/>
            <w:vMerge/>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r w:rsidRPr="00D0037C">
              <w:rPr>
                <w:rFonts w:eastAsia="SimSun"/>
              </w:rPr>
              <w:t>Channel Measurement 2</w:t>
            </w:r>
          </w:p>
        </w:tc>
        <w:tc>
          <w:tcPr>
            <w:tcW w:w="0" w:type="auto"/>
          </w:tcPr>
          <w:p w:rsidR="005C4A18" w:rsidRPr="009448FC" w:rsidRDefault="005C4A18" w:rsidP="00D23764">
            <w:pPr>
              <w:jc w:val="both"/>
              <w:rPr>
                <w:rFonts w:eastAsia="SimSun"/>
              </w:rPr>
            </w:pPr>
            <w:r w:rsidRPr="00D0037C">
              <w:rPr>
                <w:rFonts w:eastAsia="SimSun"/>
                <w:i/>
                <w:iCs/>
              </w:rPr>
              <w:t>N</w:t>
            </w:r>
            <w:r w:rsidRPr="00D0037C">
              <w:rPr>
                <w:rFonts w:eastAsia="SimSun"/>
                <w:i/>
                <w:iCs/>
                <w:vertAlign w:val="subscript"/>
              </w:rPr>
              <w:t>taps</w:t>
            </w:r>
            <w:r w:rsidRPr="00D0037C">
              <w:rPr>
                <w:rFonts w:eastAsia="SimSun"/>
                <w:i/>
                <w:iCs/>
              </w:rPr>
              <w:t>×</w:t>
            </w:r>
            <w:r w:rsidRPr="00D0037C">
              <w:rPr>
                <w:rFonts w:eastAsia="SimSun"/>
              </w:rPr>
              <w:t>14 bits</w:t>
            </w:r>
          </w:p>
        </w:tc>
        <w:tc>
          <w:tcPr>
            <w:tcW w:w="0" w:type="auto"/>
          </w:tcPr>
          <w:p w:rsidR="005C4A18" w:rsidRPr="009448FC" w:rsidRDefault="005C4A18" w:rsidP="00D23764">
            <w:pPr>
              <w:jc w:val="both"/>
              <w:rPr>
                <w:rFonts w:eastAsia="SimSun"/>
              </w:rPr>
            </w:pPr>
            <w:r w:rsidRPr="00D0037C">
              <w:rPr>
                <w:rFonts w:eastAsia="SimSun"/>
              </w:rPr>
              <w:t>Channel measurement for the second TRN-T</w:t>
            </w:r>
            <w:r w:rsidR="00080054">
              <w:rPr>
                <w:rFonts w:eastAsia="SimSun"/>
              </w:rPr>
              <w:t xml:space="preserve"> </w:t>
            </w:r>
            <w:r w:rsidRPr="00D0037C">
              <w:rPr>
                <w:rFonts w:eastAsia="SimSun"/>
              </w:rPr>
              <w:t>field</w:t>
            </w:r>
          </w:p>
        </w:tc>
      </w:tr>
      <w:tr w:rsidR="005C4A18" w:rsidRPr="00066F65" w:rsidTr="00D23764">
        <w:tc>
          <w:tcPr>
            <w:tcW w:w="0" w:type="auto"/>
            <w:vMerge/>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r w:rsidRPr="00D0037C">
              <w:rPr>
                <w:rFonts w:eastAsia="SimSun"/>
                <w:position w:val="-4"/>
                <w:vertAlign w:val="subscript"/>
              </w:rPr>
              <w:object w:dxaOrig="120" w:dyaOrig="279">
                <v:shape id="_x0000_i1034" type="#_x0000_t75" style="width:5.9pt;height:13.15pt" o:ole="">
                  <v:imagedata r:id="rId114" o:title=""/>
                </v:shape>
                <o:OLEObject Type="Embed" ProgID="Equation.DSMT4" ShapeID="_x0000_i1034" DrawAspect="Content" ObjectID="_1334048216" r:id="rId118"/>
              </w:object>
            </w:r>
          </w:p>
        </w:tc>
        <w:tc>
          <w:tcPr>
            <w:tcW w:w="0" w:type="auto"/>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p>
        </w:tc>
      </w:tr>
      <w:tr w:rsidR="005C4A18" w:rsidRPr="00066F65" w:rsidTr="00D23764">
        <w:tc>
          <w:tcPr>
            <w:tcW w:w="0" w:type="auto"/>
            <w:vMerge/>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r w:rsidRPr="00D0037C">
              <w:rPr>
                <w:rFonts w:eastAsia="SimSun"/>
              </w:rPr>
              <w:t xml:space="preserve">Channel Measurement </w:t>
            </w:r>
            <w:r w:rsidRPr="00D0037C">
              <w:rPr>
                <w:rFonts w:eastAsia="SimSun"/>
                <w:i/>
                <w:iCs/>
              </w:rPr>
              <w:t>N</w:t>
            </w:r>
            <w:r w:rsidRPr="00D0037C">
              <w:rPr>
                <w:rFonts w:eastAsia="SimSun"/>
                <w:i/>
                <w:iCs/>
                <w:vertAlign w:val="subscript"/>
              </w:rPr>
              <w:t>meas</w:t>
            </w:r>
          </w:p>
        </w:tc>
        <w:tc>
          <w:tcPr>
            <w:tcW w:w="0" w:type="auto"/>
          </w:tcPr>
          <w:p w:rsidR="005C4A18" w:rsidRPr="009448FC" w:rsidRDefault="005C4A18" w:rsidP="00D23764">
            <w:pPr>
              <w:jc w:val="both"/>
              <w:rPr>
                <w:rFonts w:eastAsia="SimSun"/>
              </w:rPr>
            </w:pPr>
            <w:r w:rsidRPr="00D0037C">
              <w:rPr>
                <w:rFonts w:eastAsia="SimSun"/>
                <w:i/>
                <w:iCs/>
              </w:rPr>
              <w:t>N</w:t>
            </w:r>
            <w:r w:rsidRPr="00D0037C">
              <w:rPr>
                <w:rFonts w:eastAsia="SimSun"/>
                <w:i/>
                <w:iCs/>
                <w:vertAlign w:val="subscript"/>
              </w:rPr>
              <w:t>taps</w:t>
            </w:r>
            <w:r w:rsidRPr="00D0037C">
              <w:rPr>
                <w:rFonts w:eastAsia="SimSun"/>
                <w:i/>
                <w:iCs/>
              </w:rPr>
              <w:t>×</w:t>
            </w:r>
            <w:r w:rsidRPr="00D0037C">
              <w:rPr>
                <w:rFonts w:eastAsia="SimSun"/>
              </w:rPr>
              <w:t>14 bits</w:t>
            </w:r>
          </w:p>
        </w:tc>
        <w:tc>
          <w:tcPr>
            <w:tcW w:w="0" w:type="auto"/>
          </w:tcPr>
          <w:p w:rsidR="005C4A18" w:rsidRPr="009448FC" w:rsidRDefault="005C4A18" w:rsidP="00D23764">
            <w:pPr>
              <w:jc w:val="both"/>
              <w:rPr>
                <w:rFonts w:eastAsia="SimSun"/>
              </w:rPr>
            </w:pPr>
            <w:r w:rsidRPr="00D0037C">
              <w:rPr>
                <w:rFonts w:eastAsia="SimSun"/>
              </w:rPr>
              <w:t xml:space="preserve">Channel measurement for the </w:t>
            </w:r>
            <w:r w:rsidRPr="00D0037C">
              <w:rPr>
                <w:rFonts w:eastAsia="SimSun"/>
                <w:i/>
                <w:iCs/>
              </w:rPr>
              <w:t>N</w:t>
            </w:r>
            <w:r w:rsidRPr="00D0037C">
              <w:rPr>
                <w:rFonts w:eastAsia="SimSun"/>
                <w:i/>
                <w:iCs/>
                <w:vertAlign w:val="subscript"/>
              </w:rPr>
              <w:t>meas</w:t>
            </w:r>
            <w:r w:rsidRPr="00D0037C">
              <w:rPr>
                <w:rFonts w:eastAsia="SimSun"/>
              </w:rPr>
              <w:t xml:space="preserve"> TRN-T</w:t>
            </w:r>
            <w:r w:rsidR="00080054">
              <w:rPr>
                <w:rFonts w:eastAsia="SimSun"/>
              </w:rPr>
              <w:t xml:space="preserve"> </w:t>
            </w:r>
            <w:r w:rsidRPr="00D0037C">
              <w:rPr>
                <w:rFonts w:eastAsia="SimSun"/>
              </w:rPr>
              <w:t>field</w:t>
            </w:r>
          </w:p>
        </w:tc>
      </w:tr>
      <w:tr w:rsidR="00582CE1" w:rsidRPr="00066F65" w:rsidTr="00D23764">
        <w:tc>
          <w:tcPr>
            <w:tcW w:w="0" w:type="auto"/>
            <w:vMerge w:val="restart"/>
          </w:tcPr>
          <w:p w:rsidR="00582CE1" w:rsidRPr="009448FC" w:rsidRDefault="00582CE1" w:rsidP="00D23764">
            <w:pPr>
              <w:jc w:val="both"/>
              <w:rPr>
                <w:rFonts w:eastAsia="SimSun"/>
              </w:rPr>
            </w:pPr>
            <w:r w:rsidRPr="009448FC">
              <w:rPr>
                <w:rFonts w:eastAsia="SimSun"/>
              </w:rPr>
              <w:t>Tap Delay subfield</w:t>
            </w:r>
          </w:p>
        </w:tc>
        <w:tc>
          <w:tcPr>
            <w:tcW w:w="0" w:type="auto"/>
          </w:tcPr>
          <w:p w:rsidR="00582CE1" w:rsidRPr="009448FC" w:rsidRDefault="00582CE1" w:rsidP="00D23764">
            <w:pPr>
              <w:jc w:val="both"/>
              <w:rPr>
                <w:rFonts w:eastAsia="SimSun"/>
              </w:rPr>
            </w:pPr>
            <w:r w:rsidRPr="009448FC">
              <w:rPr>
                <w:rFonts w:eastAsia="SimSun"/>
              </w:rPr>
              <w:t>Relative Delay Tap #1</w:t>
            </w:r>
          </w:p>
        </w:tc>
        <w:tc>
          <w:tcPr>
            <w:tcW w:w="0" w:type="auto"/>
          </w:tcPr>
          <w:p w:rsidR="00582CE1" w:rsidRPr="009448FC" w:rsidRDefault="00582CE1" w:rsidP="00D23764">
            <w:pPr>
              <w:jc w:val="both"/>
              <w:rPr>
                <w:rFonts w:eastAsia="SimSun"/>
              </w:rPr>
            </w:pPr>
            <w:r w:rsidRPr="009448FC">
              <w:rPr>
                <w:rFonts w:eastAsia="SimSun"/>
              </w:rPr>
              <w:t>7 bits</w:t>
            </w:r>
          </w:p>
        </w:tc>
        <w:tc>
          <w:tcPr>
            <w:tcW w:w="0" w:type="auto"/>
          </w:tcPr>
          <w:p w:rsidR="00582CE1" w:rsidRPr="009448FC" w:rsidRDefault="00582CE1" w:rsidP="00D23764">
            <w:pPr>
              <w:jc w:val="both"/>
              <w:rPr>
                <w:rFonts w:eastAsia="SimSun"/>
              </w:rPr>
            </w:pPr>
            <w:r w:rsidRPr="009448FC">
              <w:rPr>
                <w:rFonts w:eastAsia="SimSun"/>
              </w:rPr>
              <w:t>The delay of Tap #1 in Tc relative to the path with the shortest delay detected.</w:t>
            </w:r>
          </w:p>
        </w:tc>
      </w:tr>
      <w:tr w:rsidR="00582CE1" w:rsidRPr="00066F65" w:rsidTr="00D23764">
        <w:tc>
          <w:tcPr>
            <w:tcW w:w="0" w:type="auto"/>
            <w:vMerge/>
          </w:tcPr>
          <w:p w:rsidR="00582CE1" w:rsidRPr="009448FC" w:rsidRDefault="00582CE1" w:rsidP="00D23764">
            <w:pPr>
              <w:jc w:val="both"/>
              <w:rPr>
                <w:rFonts w:eastAsia="SimSun"/>
              </w:rPr>
            </w:pPr>
          </w:p>
        </w:tc>
        <w:tc>
          <w:tcPr>
            <w:tcW w:w="0" w:type="auto"/>
          </w:tcPr>
          <w:p w:rsidR="00582CE1" w:rsidRPr="009448FC" w:rsidRDefault="00582CE1" w:rsidP="00D23764">
            <w:pPr>
              <w:jc w:val="both"/>
              <w:rPr>
                <w:rFonts w:eastAsia="SimSun"/>
              </w:rPr>
            </w:pPr>
            <w:r w:rsidRPr="009448FC">
              <w:rPr>
                <w:rFonts w:eastAsia="SimSun"/>
              </w:rPr>
              <w:t>Relative Delay Tap #2</w:t>
            </w:r>
          </w:p>
        </w:tc>
        <w:tc>
          <w:tcPr>
            <w:tcW w:w="0" w:type="auto"/>
          </w:tcPr>
          <w:p w:rsidR="00582CE1" w:rsidRPr="009448FC" w:rsidRDefault="00582CE1" w:rsidP="00D23764">
            <w:pPr>
              <w:jc w:val="both"/>
              <w:rPr>
                <w:rFonts w:eastAsia="SimSun"/>
              </w:rPr>
            </w:pPr>
            <w:r w:rsidRPr="009448FC">
              <w:rPr>
                <w:rFonts w:eastAsia="SimSun"/>
              </w:rPr>
              <w:t>7 bits</w:t>
            </w:r>
          </w:p>
        </w:tc>
        <w:tc>
          <w:tcPr>
            <w:tcW w:w="0" w:type="auto"/>
          </w:tcPr>
          <w:p w:rsidR="00582CE1" w:rsidRPr="009448FC" w:rsidRDefault="00582CE1" w:rsidP="00D23764">
            <w:pPr>
              <w:jc w:val="both"/>
              <w:rPr>
                <w:rFonts w:eastAsia="SimSun"/>
              </w:rPr>
            </w:pPr>
            <w:r w:rsidRPr="009448FC">
              <w:rPr>
                <w:rFonts w:eastAsia="SimSun"/>
              </w:rPr>
              <w:t>The delay of Tap #2 in Tc relative to the path with the shortest delay detected.</w:t>
            </w:r>
          </w:p>
        </w:tc>
      </w:tr>
      <w:tr w:rsidR="00582CE1" w:rsidRPr="00066F65" w:rsidTr="00D23764">
        <w:tc>
          <w:tcPr>
            <w:tcW w:w="0" w:type="auto"/>
            <w:vMerge/>
          </w:tcPr>
          <w:p w:rsidR="00582CE1" w:rsidRPr="009448FC" w:rsidRDefault="00582CE1" w:rsidP="00D23764">
            <w:pPr>
              <w:jc w:val="both"/>
              <w:rPr>
                <w:rFonts w:eastAsia="SimSun"/>
              </w:rPr>
            </w:pPr>
          </w:p>
        </w:tc>
        <w:tc>
          <w:tcPr>
            <w:tcW w:w="0" w:type="auto"/>
          </w:tcPr>
          <w:p w:rsidR="00582CE1" w:rsidRPr="009448FC" w:rsidRDefault="00582CE1" w:rsidP="00D23764">
            <w:pPr>
              <w:jc w:val="both"/>
              <w:rPr>
                <w:rFonts w:eastAsia="SimSun"/>
              </w:rPr>
            </w:pPr>
            <w:r w:rsidRPr="009448FC">
              <w:rPr>
                <w:rFonts w:eastAsia="SimSun"/>
              </w:rPr>
              <w:object w:dxaOrig="120" w:dyaOrig="279">
                <v:shape id="_x0000_i1035" type="#_x0000_t75" style="width:6.8pt;height:13.15pt" o:ole="">
                  <v:imagedata r:id="rId114" o:title=""/>
                </v:shape>
                <o:OLEObject Type="Embed" ProgID="Equation.DSMT4" ShapeID="_x0000_i1035" DrawAspect="Content" ObjectID="_1334048217" r:id="rId119"/>
              </w:object>
            </w:r>
          </w:p>
        </w:tc>
        <w:tc>
          <w:tcPr>
            <w:tcW w:w="0" w:type="auto"/>
          </w:tcPr>
          <w:p w:rsidR="00582CE1" w:rsidRPr="009448FC" w:rsidRDefault="00582CE1" w:rsidP="00D23764">
            <w:pPr>
              <w:jc w:val="both"/>
              <w:rPr>
                <w:rFonts w:eastAsia="SimSun"/>
              </w:rPr>
            </w:pPr>
          </w:p>
        </w:tc>
        <w:tc>
          <w:tcPr>
            <w:tcW w:w="0" w:type="auto"/>
          </w:tcPr>
          <w:p w:rsidR="00582CE1" w:rsidRPr="009448FC" w:rsidRDefault="00582CE1" w:rsidP="00D23764">
            <w:pPr>
              <w:jc w:val="both"/>
              <w:rPr>
                <w:rFonts w:eastAsia="SimSun"/>
              </w:rPr>
            </w:pPr>
          </w:p>
        </w:tc>
      </w:tr>
      <w:tr w:rsidR="00582CE1" w:rsidRPr="00066F65" w:rsidTr="00D23764">
        <w:tc>
          <w:tcPr>
            <w:tcW w:w="0" w:type="auto"/>
            <w:vMerge/>
          </w:tcPr>
          <w:p w:rsidR="00582CE1" w:rsidRPr="009448FC" w:rsidRDefault="00582CE1" w:rsidP="00D23764">
            <w:pPr>
              <w:jc w:val="both"/>
              <w:rPr>
                <w:rFonts w:eastAsia="SimSun"/>
              </w:rPr>
            </w:pPr>
          </w:p>
        </w:tc>
        <w:tc>
          <w:tcPr>
            <w:tcW w:w="0" w:type="auto"/>
          </w:tcPr>
          <w:p w:rsidR="00582CE1" w:rsidRPr="009448FC" w:rsidRDefault="00A0556B" w:rsidP="00D23764">
            <w:pPr>
              <w:jc w:val="both"/>
              <w:rPr>
                <w:rFonts w:eastAsia="SimSun"/>
              </w:rPr>
            </w:pPr>
            <w:r>
              <w:rPr>
                <w:rFonts w:eastAsia="SimSun"/>
              </w:rPr>
              <w:t>Relative Delay Tap #</w:t>
            </w:r>
            <w:r w:rsidRPr="009448FC">
              <w:rPr>
                <w:rFonts w:eastAsia="SimSun"/>
              </w:rPr>
              <w:t>N</w:t>
            </w:r>
            <w:r w:rsidRPr="00A0556B">
              <w:rPr>
                <w:rFonts w:eastAsia="SimSun"/>
                <w:vertAlign w:val="subscript"/>
              </w:rPr>
              <w:t>taps</w:t>
            </w:r>
          </w:p>
        </w:tc>
        <w:tc>
          <w:tcPr>
            <w:tcW w:w="0" w:type="auto"/>
          </w:tcPr>
          <w:p w:rsidR="00582CE1" w:rsidRPr="009448FC" w:rsidRDefault="00582CE1" w:rsidP="00D23764">
            <w:pPr>
              <w:jc w:val="both"/>
              <w:rPr>
                <w:rFonts w:eastAsia="SimSun"/>
              </w:rPr>
            </w:pPr>
            <w:r w:rsidRPr="009448FC">
              <w:rPr>
                <w:rFonts w:eastAsia="SimSun"/>
              </w:rPr>
              <w:t>7 bits</w:t>
            </w:r>
          </w:p>
        </w:tc>
        <w:tc>
          <w:tcPr>
            <w:tcW w:w="0" w:type="auto"/>
          </w:tcPr>
          <w:p w:rsidR="00582CE1" w:rsidRPr="009448FC" w:rsidRDefault="00582CE1" w:rsidP="00D23764">
            <w:pPr>
              <w:jc w:val="both"/>
              <w:rPr>
                <w:rFonts w:eastAsia="SimSun"/>
              </w:rPr>
            </w:pPr>
            <w:r w:rsidRPr="009448FC">
              <w:rPr>
                <w:rFonts w:eastAsia="SimSun"/>
              </w:rPr>
              <w:t>The delay of Tap #N</w:t>
            </w:r>
            <w:r w:rsidRPr="00A0556B">
              <w:rPr>
                <w:rFonts w:eastAsia="SimSun"/>
                <w:vertAlign w:val="subscript"/>
              </w:rPr>
              <w:t>taps</w:t>
            </w:r>
            <w:r w:rsidR="00A0556B">
              <w:rPr>
                <w:rFonts w:eastAsia="SimSun"/>
              </w:rPr>
              <w:t xml:space="preserve"> </w:t>
            </w:r>
            <w:r w:rsidRPr="009448FC">
              <w:rPr>
                <w:rFonts w:eastAsia="SimSun"/>
              </w:rPr>
              <w:t>in Tc relative to the path with the shortest delay detected.</w:t>
            </w:r>
          </w:p>
        </w:tc>
      </w:tr>
      <w:tr w:rsidR="00A954A4" w:rsidRPr="00066F65" w:rsidTr="00D23764">
        <w:tc>
          <w:tcPr>
            <w:tcW w:w="0" w:type="auto"/>
            <w:vMerge w:val="restart"/>
          </w:tcPr>
          <w:p w:rsidR="00A954A4" w:rsidRPr="009448FC" w:rsidRDefault="00A954A4" w:rsidP="00D23764">
            <w:pPr>
              <w:jc w:val="both"/>
              <w:rPr>
                <w:rFonts w:eastAsia="SimSun"/>
              </w:rPr>
            </w:pPr>
            <w:r w:rsidRPr="009448FC">
              <w:rPr>
                <w:rFonts w:eastAsia="SimSun"/>
              </w:rPr>
              <w:t>Sector ID order subfield</w:t>
            </w:r>
          </w:p>
        </w:tc>
        <w:tc>
          <w:tcPr>
            <w:tcW w:w="0" w:type="auto"/>
          </w:tcPr>
          <w:p w:rsidR="00A954A4" w:rsidRPr="009448FC" w:rsidRDefault="00A954A4" w:rsidP="00D23764">
            <w:pPr>
              <w:jc w:val="both"/>
              <w:rPr>
                <w:rFonts w:eastAsia="SimSun"/>
                <w:vertAlign w:val="subscript"/>
              </w:rPr>
            </w:pPr>
            <w:r w:rsidRPr="009448FC">
              <w:rPr>
                <w:rFonts w:eastAsia="SimSun"/>
              </w:rPr>
              <w:t>Sector ID</w:t>
            </w:r>
            <w:r w:rsidRPr="009448FC">
              <w:rPr>
                <w:rFonts w:eastAsia="SimSun"/>
                <w:vertAlign w:val="subscript"/>
              </w:rPr>
              <w:t>1</w:t>
            </w:r>
          </w:p>
        </w:tc>
        <w:tc>
          <w:tcPr>
            <w:tcW w:w="0" w:type="auto"/>
          </w:tcPr>
          <w:p w:rsidR="00A954A4" w:rsidRPr="00D23764" w:rsidRDefault="00A954A4" w:rsidP="00D23764">
            <w:pPr>
              <w:jc w:val="both"/>
              <w:rPr>
                <w:rFonts w:eastAsia="SimSun"/>
              </w:rPr>
            </w:pPr>
            <w:r w:rsidRPr="00D23764">
              <w:rPr>
                <w:rFonts w:eastAsia="SimSun"/>
              </w:rPr>
              <w:t>6 bits</w:t>
            </w:r>
          </w:p>
        </w:tc>
        <w:tc>
          <w:tcPr>
            <w:tcW w:w="0" w:type="auto"/>
          </w:tcPr>
          <w:p w:rsidR="00A954A4" w:rsidRPr="009448FC" w:rsidRDefault="00A954A4" w:rsidP="00D23764">
            <w:pPr>
              <w:jc w:val="both"/>
              <w:rPr>
                <w:rFonts w:eastAsia="SimSun"/>
              </w:rPr>
            </w:pPr>
            <w:r w:rsidRPr="00382E09">
              <w:rPr>
                <w:rFonts w:eastAsia="SimSun"/>
              </w:rPr>
              <w:t>Sector ID for SNR</w:t>
            </w:r>
            <w:r w:rsidRPr="00382E09">
              <w:rPr>
                <w:rFonts w:eastAsia="SimSun"/>
                <w:vertAlign w:val="subscript"/>
              </w:rPr>
              <w:t>1</w:t>
            </w:r>
            <w:r w:rsidRPr="00382E09">
              <w:rPr>
                <w:rFonts w:eastAsia="SimSun"/>
              </w:rPr>
              <w:t xml:space="preserve"> being obtained, or </w:t>
            </w:r>
            <w:r>
              <w:rPr>
                <w:rFonts w:hint="eastAsia"/>
              </w:rPr>
              <w:t>s</w:t>
            </w:r>
            <w:r w:rsidRPr="009448FC">
              <w:rPr>
                <w:rFonts w:eastAsia="SimSun"/>
              </w:rPr>
              <w:t>ector ID of the first detected beam</w:t>
            </w:r>
            <w:r w:rsidR="006D6161">
              <w:rPr>
                <w:rFonts w:eastAsia="SimSun"/>
              </w:rPr>
              <w:t>.</w:t>
            </w:r>
          </w:p>
        </w:tc>
      </w:tr>
      <w:tr w:rsidR="00A954A4" w:rsidRPr="00066F65" w:rsidTr="00D23764">
        <w:tc>
          <w:tcPr>
            <w:tcW w:w="0" w:type="auto"/>
            <w:vMerge/>
          </w:tcPr>
          <w:p w:rsidR="00A954A4" w:rsidRPr="009448FC" w:rsidRDefault="00A954A4" w:rsidP="00D23764">
            <w:pPr>
              <w:jc w:val="both"/>
              <w:rPr>
                <w:rFonts w:eastAsia="SimSun"/>
              </w:rPr>
            </w:pPr>
          </w:p>
        </w:tc>
        <w:tc>
          <w:tcPr>
            <w:tcW w:w="0" w:type="auto"/>
          </w:tcPr>
          <w:p w:rsidR="00A954A4" w:rsidRPr="009448FC" w:rsidRDefault="00A954A4" w:rsidP="00D23764">
            <w:pPr>
              <w:jc w:val="both"/>
              <w:rPr>
                <w:rFonts w:eastAsia="SimSun"/>
                <w:vertAlign w:val="subscript"/>
              </w:rPr>
            </w:pPr>
            <w:r w:rsidRPr="009448FC">
              <w:rPr>
                <w:rFonts w:eastAsia="SimSun"/>
              </w:rPr>
              <w:t>Sector ID</w:t>
            </w:r>
            <w:r w:rsidRPr="009448FC">
              <w:rPr>
                <w:rFonts w:eastAsia="SimSun"/>
                <w:vertAlign w:val="subscript"/>
              </w:rPr>
              <w:t>2</w:t>
            </w:r>
          </w:p>
        </w:tc>
        <w:tc>
          <w:tcPr>
            <w:tcW w:w="0" w:type="auto"/>
          </w:tcPr>
          <w:p w:rsidR="00A954A4" w:rsidRPr="00D23764" w:rsidRDefault="00A954A4" w:rsidP="00D23764">
            <w:pPr>
              <w:jc w:val="both"/>
              <w:rPr>
                <w:rFonts w:eastAsia="SimSun"/>
              </w:rPr>
            </w:pPr>
            <w:r w:rsidRPr="00D23764">
              <w:rPr>
                <w:rFonts w:eastAsia="SimSun"/>
              </w:rPr>
              <w:t>6 bits</w:t>
            </w:r>
          </w:p>
        </w:tc>
        <w:tc>
          <w:tcPr>
            <w:tcW w:w="0" w:type="auto"/>
          </w:tcPr>
          <w:p w:rsidR="00A954A4" w:rsidRPr="009448FC" w:rsidRDefault="00A954A4" w:rsidP="00D23764">
            <w:pPr>
              <w:jc w:val="both"/>
              <w:rPr>
                <w:rFonts w:eastAsia="SimSun"/>
              </w:rPr>
            </w:pPr>
            <w:r w:rsidRPr="00382E09">
              <w:rPr>
                <w:rFonts w:eastAsia="SimSun"/>
              </w:rPr>
              <w:t>Sector ID for SNR</w:t>
            </w:r>
            <w:r w:rsidRPr="00382E09">
              <w:rPr>
                <w:rFonts w:eastAsia="SimSun"/>
                <w:vertAlign w:val="subscript"/>
              </w:rPr>
              <w:t>2</w:t>
            </w:r>
            <w:r w:rsidRPr="00382E09">
              <w:rPr>
                <w:rFonts w:eastAsia="SimSun"/>
              </w:rPr>
              <w:t xml:space="preserve"> being obtained, or </w:t>
            </w:r>
            <w:r>
              <w:rPr>
                <w:rFonts w:hint="eastAsia"/>
              </w:rPr>
              <w:t>s</w:t>
            </w:r>
            <w:r w:rsidRPr="009448FC">
              <w:rPr>
                <w:rFonts w:eastAsia="SimSun"/>
              </w:rPr>
              <w:t>ector ID of the second detected beam</w:t>
            </w:r>
            <w:r w:rsidR="006D6161">
              <w:rPr>
                <w:rFonts w:eastAsia="SimSun"/>
              </w:rPr>
              <w:t>.</w:t>
            </w:r>
          </w:p>
        </w:tc>
      </w:tr>
      <w:tr w:rsidR="00A954A4" w:rsidRPr="00066F65" w:rsidTr="00D23764">
        <w:tc>
          <w:tcPr>
            <w:tcW w:w="0" w:type="auto"/>
            <w:vMerge/>
          </w:tcPr>
          <w:p w:rsidR="00A954A4" w:rsidRPr="009448FC" w:rsidRDefault="00A954A4" w:rsidP="00D23764">
            <w:pPr>
              <w:jc w:val="both"/>
              <w:rPr>
                <w:rFonts w:eastAsia="SimSun"/>
              </w:rPr>
            </w:pPr>
          </w:p>
        </w:tc>
        <w:tc>
          <w:tcPr>
            <w:tcW w:w="0" w:type="auto"/>
          </w:tcPr>
          <w:p w:rsidR="00A954A4" w:rsidRPr="009448FC" w:rsidRDefault="00A954A4" w:rsidP="00D23764">
            <w:pPr>
              <w:jc w:val="both"/>
              <w:rPr>
                <w:rFonts w:eastAsia="SimSun"/>
                <w:vertAlign w:val="subscript"/>
              </w:rPr>
            </w:pPr>
            <w:r w:rsidRPr="009448FC">
              <w:rPr>
                <w:rFonts w:eastAsia="SimSun"/>
                <w:position w:val="-4"/>
                <w:vertAlign w:val="subscript"/>
              </w:rPr>
              <w:object w:dxaOrig="120" w:dyaOrig="279">
                <v:shape id="_x0000_i1036" type="#_x0000_t75" style="width:6.8pt;height:13.15pt" o:ole="">
                  <v:imagedata r:id="rId114" o:title=""/>
                </v:shape>
                <o:OLEObject Type="Embed" ProgID="Equation.DSMT4" ShapeID="_x0000_i1036" DrawAspect="Content" ObjectID="_1334048218" r:id="rId120"/>
              </w:object>
            </w:r>
          </w:p>
        </w:tc>
        <w:tc>
          <w:tcPr>
            <w:tcW w:w="0" w:type="auto"/>
          </w:tcPr>
          <w:p w:rsidR="00A954A4" w:rsidRPr="00D23764" w:rsidRDefault="00A954A4" w:rsidP="00D23764">
            <w:pPr>
              <w:jc w:val="both"/>
              <w:rPr>
                <w:rFonts w:eastAsia="SimSun"/>
              </w:rPr>
            </w:pPr>
          </w:p>
        </w:tc>
        <w:tc>
          <w:tcPr>
            <w:tcW w:w="0" w:type="auto"/>
          </w:tcPr>
          <w:p w:rsidR="00A954A4" w:rsidRPr="009448FC" w:rsidRDefault="00A954A4" w:rsidP="00D23764">
            <w:pPr>
              <w:jc w:val="both"/>
              <w:rPr>
                <w:rFonts w:eastAsia="SimSun"/>
              </w:rPr>
            </w:pPr>
          </w:p>
        </w:tc>
      </w:tr>
      <w:tr w:rsidR="00A954A4" w:rsidRPr="00066F65" w:rsidTr="00D23764">
        <w:tc>
          <w:tcPr>
            <w:tcW w:w="0" w:type="auto"/>
            <w:vMerge/>
          </w:tcPr>
          <w:p w:rsidR="00A954A4" w:rsidRPr="009448FC" w:rsidRDefault="00A954A4" w:rsidP="00D23764">
            <w:pPr>
              <w:jc w:val="both"/>
              <w:rPr>
                <w:rFonts w:eastAsia="SimSun"/>
              </w:rPr>
            </w:pPr>
          </w:p>
        </w:tc>
        <w:tc>
          <w:tcPr>
            <w:tcW w:w="0" w:type="auto"/>
          </w:tcPr>
          <w:p w:rsidR="00000C5F" w:rsidRDefault="00A954A4">
            <w:pPr>
              <w:spacing w:before="240"/>
              <w:rPr>
                <w:vertAlign w:val="subscript"/>
              </w:rPr>
            </w:pPr>
            <w:r>
              <w:rPr>
                <w:rFonts w:hint="eastAsia"/>
              </w:rPr>
              <w:t>Sector ID</w:t>
            </w:r>
            <w:r w:rsidRPr="00742D48">
              <w:rPr>
                <w:rFonts w:hint="eastAsia"/>
                <w:vertAlign w:val="subscript"/>
              </w:rPr>
              <w:t xml:space="preserve">Nmeas </w:t>
            </w:r>
          </w:p>
          <w:p w:rsidR="00000C5F" w:rsidRDefault="00A954A4">
            <w:pPr>
              <w:rPr>
                <w:rFonts w:eastAsia="SimSun"/>
              </w:rPr>
            </w:pPr>
            <w:r>
              <w:rPr>
                <w:rFonts w:hint="eastAsia"/>
              </w:rPr>
              <w:t xml:space="preserve">or </w:t>
            </w:r>
            <w:r w:rsidRPr="009448FC">
              <w:rPr>
                <w:rFonts w:eastAsia="SimSun"/>
              </w:rPr>
              <w:t>Sector ID</w:t>
            </w:r>
            <w:r w:rsidRPr="009448FC">
              <w:rPr>
                <w:rFonts w:eastAsia="SimSun"/>
                <w:vertAlign w:val="subscript"/>
              </w:rPr>
              <w:t>Nbeam</w:t>
            </w:r>
          </w:p>
        </w:tc>
        <w:tc>
          <w:tcPr>
            <w:tcW w:w="0" w:type="auto"/>
          </w:tcPr>
          <w:p w:rsidR="00A954A4" w:rsidRPr="00D23764" w:rsidRDefault="00A954A4" w:rsidP="00D23764">
            <w:pPr>
              <w:jc w:val="both"/>
              <w:rPr>
                <w:rFonts w:eastAsia="SimSun"/>
              </w:rPr>
            </w:pPr>
            <w:r w:rsidRPr="00D23764">
              <w:rPr>
                <w:rFonts w:eastAsia="SimSun"/>
              </w:rPr>
              <w:t>6 bits</w:t>
            </w:r>
          </w:p>
        </w:tc>
        <w:tc>
          <w:tcPr>
            <w:tcW w:w="0" w:type="auto"/>
          </w:tcPr>
          <w:p w:rsidR="00A954A4" w:rsidRPr="009448FC" w:rsidRDefault="00A954A4" w:rsidP="00D23764">
            <w:pPr>
              <w:jc w:val="both"/>
              <w:rPr>
                <w:rFonts w:eastAsia="SimSun"/>
              </w:rPr>
            </w:pPr>
            <w:r w:rsidRPr="00382E09">
              <w:rPr>
                <w:rFonts w:eastAsia="SimSun"/>
              </w:rPr>
              <w:t>Sector ID for SNR</w:t>
            </w:r>
            <w:r w:rsidRPr="00382E09">
              <w:rPr>
                <w:rFonts w:eastAsia="SimSun"/>
                <w:vertAlign w:val="subscript"/>
              </w:rPr>
              <w:t>Nmeas</w:t>
            </w:r>
            <w:r w:rsidRPr="00382E09">
              <w:rPr>
                <w:rFonts w:eastAsia="SimSun"/>
              </w:rPr>
              <w:t xml:space="preserve"> being obtained, or </w:t>
            </w:r>
            <w:r>
              <w:rPr>
                <w:rFonts w:hint="eastAsia"/>
              </w:rPr>
              <w:t>s</w:t>
            </w:r>
            <w:r w:rsidRPr="009448FC">
              <w:rPr>
                <w:rFonts w:eastAsia="SimSun"/>
              </w:rPr>
              <w:t>ector ID of the Nbeam’th detected beam.</w:t>
            </w:r>
          </w:p>
        </w:tc>
      </w:tr>
      <w:tr w:rsidR="00A954A4" w:rsidRPr="00066F65" w:rsidTr="00D23764">
        <w:tc>
          <w:tcPr>
            <w:tcW w:w="0" w:type="auto"/>
          </w:tcPr>
          <w:p w:rsidR="00A954A4" w:rsidRPr="009448FC" w:rsidRDefault="00A954A4" w:rsidP="00D23764">
            <w:pPr>
              <w:jc w:val="both"/>
              <w:rPr>
                <w:rFonts w:eastAsia="SimSun"/>
              </w:rPr>
            </w:pPr>
            <w:r w:rsidRPr="009448FC">
              <w:rPr>
                <w:rFonts w:eastAsia="SimSun"/>
              </w:rPr>
              <w:t>Zero pad</w:t>
            </w:r>
          </w:p>
        </w:tc>
        <w:tc>
          <w:tcPr>
            <w:tcW w:w="0" w:type="auto"/>
          </w:tcPr>
          <w:p w:rsidR="00A954A4" w:rsidRPr="009448FC" w:rsidRDefault="00A954A4" w:rsidP="00D23764">
            <w:pPr>
              <w:jc w:val="both"/>
              <w:rPr>
                <w:rFonts w:eastAsia="SimSun"/>
              </w:rPr>
            </w:pPr>
            <w:r w:rsidRPr="009448FC">
              <w:rPr>
                <w:rFonts w:eastAsia="SimSun"/>
              </w:rPr>
              <w:t>Zeros</w:t>
            </w:r>
          </w:p>
        </w:tc>
        <w:tc>
          <w:tcPr>
            <w:tcW w:w="0" w:type="auto"/>
          </w:tcPr>
          <w:p w:rsidR="00A954A4" w:rsidRPr="00D23764" w:rsidRDefault="00A954A4" w:rsidP="00D23764">
            <w:pPr>
              <w:jc w:val="both"/>
              <w:rPr>
                <w:rFonts w:eastAsia="SimSun"/>
              </w:rPr>
            </w:pPr>
            <w:r w:rsidRPr="00D23764">
              <w:rPr>
                <w:rFonts w:eastAsia="SimSun"/>
              </w:rPr>
              <w:t>Variable (0-7)</w:t>
            </w:r>
          </w:p>
        </w:tc>
        <w:tc>
          <w:tcPr>
            <w:tcW w:w="0" w:type="auto"/>
          </w:tcPr>
          <w:p w:rsidR="00A954A4" w:rsidRPr="009448FC" w:rsidRDefault="00A954A4" w:rsidP="006D6161">
            <w:pPr>
              <w:jc w:val="both"/>
              <w:rPr>
                <w:rFonts w:eastAsia="SimSun"/>
              </w:rPr>
            </w:pPr>
            <w:r w:rsidRPr="009448FC">
              <w:rPr>
                <w:rFonts w:eastAsia="SimSun"/>
              </w:rPr>
              <w:t xml:space="preserve">Padding to make the Channel Measurement Feedback </w:t>
            </w:r>
            <w:r w:rsidR="006D6161">
              <w:rPr>
                <w:rFonts w:eastAsia="SimSun"/>
              </w:rPr>
              <w:t>element</w:t>
            </w:r>
            <w:r w:rsidRPr="009448FC">
              <w:rPr>
                <w:rFonts w:eastAsia="SimSun"/>
              </w:rPr>
              <w:t xml:space="preserve"> length a multiple of 8 bits</w:t>
            </w:r>
            <w:r w:rsidR="006D6161">
              <w:rPr>
                <w:rFonts w:eastAsia="SimSun"/>
              </w:rPr>
              <w:t>.</w:t>
            </w:r>
          </w:p>
        </w:tc>
      </w:tr>
    </w:tbl>
    <w:p w:rsidR="00DA2E98" w:rsidRDefault="00DA2E98" w:rsidP="00DA2E98">
      <w:pPr>
        <w:jc w:val="both"/>
      </w:pPr>
    </w:p>
    <w:p w:rsidR="006D6161" w:rsidRPr="009448FC" w:rsidRDefault="006D6161" w:rsidP="006D6161">
      <w:pPr>
        <w:jc w:val="both"/>
      </w:pPr>
      <w:r w:rsidRPr="009448FC">
        <w:t>The number of channel/SNR measurements reported, N</w:t>
      </w:r>
      <w:r w:rsidRPr="009448FC">
        <w:rPr>
          <w:vertAlign w:val="subscript"/>
        </w:rPr>
        <w:t>meas</w:t>
      </w:r>
      <w:r w:rsidRPr="009448FC">
        <w:t xml:space="preserve">, </w:t>
      </w:r>
      <w:r>
        <w:t xml:space="preserve">is equal to the number of TRN-T sub-fields that were appended to the packet on which the measurements were performed. If the </w:t>
      </w:r>
      <w:r>
        <w:lastRenderedPageBreak/>
        <w:t xml:space="preserve">measurement reports the result of an SLS or of an MID, it is equal to the number of frames received during the sector sweep, or the number of packets used during the MID sub-phase. </w:t>
      </w:r>
    </w:p>
    <w:p w:rsidR="006D6161" w:rsidRPr="00066F65" w:rsidRDefault="006D6161" w:rsidP="006D6161">
      <w:pPr>
        <w:jc w:val="both"/>
        <w:rPr>
          <w:u w:val="single"/>
        </w:rPr>
      </w:pPr>
    </w:p>
    <w:p w:rsidR="006D6161" w:rsidRPr="0037334B" w:rsidRDefault="006D6161" w:rsidP="006D6161">
      <w:pPr>
        <w:jc w:val="both"/>
      </w:pPr>
      <w:r w:rsidRPr="0037334B">
        <w:t xml:space="preserve">The SNR subfield levels are positive numbers (expressed in ones’ complement) referenced to a level of -8dB. Each step is 0.5dB. </w:t>
      </w:r>
    </w:p>
    <w:p w:rsidR="006D6161" w:rsidRDefault="006D6161" w:rsidP="00DA2E98">
      <w:pPr>
        <w:jc w:val="both"/>
      </w:pPr>
    </w:p>
    <w:p w:rsidR="00E914DB" w:rsidRDefault="00E914DB" w:rsidP="00DA2E98">
      <w:pPr>
        <w:jc w:val="both"/>
      </w:pPr>
      <w:r w:rsidRPr="009448FC">
        <w:t xml:space="preserve">The format of each channel measurement is specified in </w:t>
      </w:r>
      <w:r w:rsidR="00BD151C" w:rsidRPr="009448FC">
        <w:fldChar w:fldCharType="begin"/>
      </w:r>
      <w:r w:rsidRPr="009448FC">
        <w:instrText xml:space="preserve"> REF _Ref231097530 \h </w:instrText>
      </w:r>
      <w:r w:rsidR="00BD151C" w:rsidRPr="009448FC">
        <w:fldChar w:fldCharType="separate"/>
      </w:r>
      <w:r w:rsidR="003E4210" w:rsidRPr="00066F65">
        <w:t xml:space="preserve">Table </w:t>
      </w:r>
      <w:r w:rsidR="003E4210">
        <w:rPr>
          <w:noProof/>
        </w:rPr>
        <w:t>16</w:t>
      </w:r>
      <w:r w:rsidR="00BD151C" w:rsidRPr="009448FC">
        <w:fldChar w:fldCharType="end"/>
      </w:r>
      <w:r w:rsidRPr="009448FC">
        <w:t>.</w:t>
      </w:r>
    </w:p>
    <w:p w:rsidR="00E914DB" w:rsidRPr="009448FC" w:rsidRDefault="00E914DB" w:rsidP="00DA2E98">
      <w:pPr>
        <w:jc w:val="both"/>
      </w:pPr>
    </w:p>
    <w:p w:rsidR="00DA2E98" w:rsidRPr="00066F65" w:rsidRDefault="00DA2E98" w:rsidP="009448FC">
      <w:pPr>
        <w:pStyle w:val="Caption"/>
        <w:keepNext/>
      </w:pPr>
      <w:bookmarkStart w:id="659" w:name="_Ref231097530"/>
      <w:bookmarkStart w:id="660" w:name="_Toc250654419"/>
      <w:bookmarkStart w:id="661" w:name="_Toc259717594"/>
      <w:r w:rsidRPr="00066F65">
        <w:t xml:space="preserve">Table </w:t>
      </w:r>
      <w:r w:rsidR="00BD151C">
        <w:fldChar w:fldCharType="begin"/>
      </w:r>
      <w:r w:rsidR="00801316">
        <w:instrText xml:space="preserve"> SEQ Table \* ARABIC </w:instrText>
      </w:r>
      <w:r w:rsidR="00BD151C">
        <w:fldChar w:fldCharType="separate"/>
      </w:r>
      <w:r w:rsidR="003E4210">
        <w:rPr>
          <w:noProof/>
        </w:rPr>
        <w:t>16</w:t>
      </w:r>
      <w:r w:rsidR="00BD151C">
        <w:fldChar w:fldCharType="end"/>
      </w:r>
      <w:bookmarkEnd w:id="659"/>
      <w:r w:rsidRPr="00066F65">
        <w:t xml:space="preserve"> </w:t>
      </w:r>
      <w:r w:rsidR="008E376E" w:rsidRPr="00066F65">
        <w:t xml:space="preserve">– </w:t>
      </w:r>
      <w:r w:rsidRPr="00066F65">
        <w:t>Channel measurement</w:t>
      </w:r>
      <w:bookmarkEnd w:id="660"/>
      <w:bookmarkEnd w:id="6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3"/>
        <w:gridCol w:w="983"/>
        <w:gridCol w:w="5900"/>
      </w:tblGrid>
      <w:tr w:rsidR="007774E2" w:rsidRPr="00066F65" w:rsidTr="00D0037C">
        <w:tc>
          <w:tcPr>
            <w:tcW w:w="1598" w:type="pct"/>
          </w:tcPr>
          <w:p w:rsidR="007774E2" w:rsidRPr="00D23764" w:rsidRDefault="007774E2" w:rsidP="00D23764">
            <w:pPr>
              <w:jc w:val="center"/>
              <w:rPr>
                <w:rFonts w:eastAsia="SimSun"/>
                <w:b/>
              </w:rPr>
            </w:pPr>
            <w:r w:rsidRPr="00D23764">
              <w:rPr>
                <w:rFonts w:eastAsia="SimSun"/>
                <w:b/>
              </w:rPr>
              <w:t>Field</w:t>
            </w:r>
          </w:p>
        </w:tc>
        <w:tc>
          <w:tcPr>
            <w:tcW w:w="486" w:type="pct"/>
          </w:tcPr>
          <w:p w:rsidR="007774E2" w:rsidRPr="00D23764" w:rsidRDefault="007774E2" w:rsidP="00D23764">
            <w:pPr>
              <w:jc w:val="center"/>
              <w:rPr>
                <w:rFonts w:eastAsia="SimSun"/>
                <w:b/>
              </w:rPr>
            </w:pPr>
            <w:r w:rsidRPr="00D23764">
              <w:rPr>
                <w:rFonts w:eastAsia="SimSun"/>
                <w:b/>
              </w:rPr>
              <w:t>Size</w:t>
            </w:r>
          </w:p>
        </w:tc>
        <w:tc>
          <w:tcPr>
            <w:tcW w:w="2916" w:type="pct"/>
          </w:tcPr>
          <w:p w:rsidR="007774E2" w:rsidRPr="00D23764" w:rsidRDefault="007774E2" w:rsidP="00D23764">
            <w:pPr>
              <w:jc w:val="center"/>
              <w:rPr>
                <w:rFonts w:eastAsia="SimSun"/>
                <w:b/>
              </w:rPr>
            </w:pPr>
            <w:r w:rsidRPr="00D23764">
              <w:rPr>
                <w:rFonts w:eastAsia="SimSun"/>
                <w:b/>
              </w:rPr>
              <w:t>Meaning</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I Component Tap #1</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in-phase component of impulse response for Tap #1,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Q Component Tap #1</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quadrature component of impulse response for Tap #1,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I Component Tap #2</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in-phase component of impulse response for Tap #2,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Q Component Tap #2</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quadrature component of impulse response for Tap #2,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object w:dxaOrig="120" w:dyaOrig="279">
                <v:shape id="_x0000_i1037" type="#_x0000_t75" style="width:6.8pt;height:13.15pt" o:ole="">
                  <v:imagedata r:id="rId114" o:title=""/>
                </v:shape>
                <o:OLEObject Type="Embed" ProgID="Equation.DSMT4" ShapeID="_x0000_i1037" DrawAspect="Content" ObjectID="_1334048219" r:id="rId121"/>
              </w:object>
            </w:r>
          </w:p>
        </w:tc>
        <w:tc>
          <w:tcPr>
            <w:tcW w:w="486" w:type="pct"/>
          </w:tcPr>
          <w:p w:rsidR="00582CE1" w:rsidRPr="009448FC" w:rsidRDefault="00582CE1" w:rsidP="00BB7991">
            <w:pPr>
              <w:jc w:val="both"/>
              <w:rPr>
                <w:rFonts w:eastAsia="SimSun"/>
              </w:rPr>
            </w:pPr>
          </w:p>
        </w:tc>
        <w:tc>
          <w:tcPr>
            <w:tcW w:w="2916" w:type="pct"/>
          </w:tcPr>
          <w:p w:rsidR="00582CE1" w:rsidRPr="009448FC" w:rsidRDefault="00582CE1" w:rsidP="00BB7991">
            <w:pPr>
              <w:jc w:val="both"/>
              <w:rPr>
                <w:rFonts w:eastAsia="SimSun"/>
              </w:rPr>
            </w:pP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I Component Tap #</w:t>
            </w:r>
            <w:r w:rsidR="00A0556B" w:rsidRPr="009448FC">
              <w:rPr>
                <w:rFonts w:eastAsia="SimSun"/>
              </w:rPr>
              <w:t>N</w:t>
            </w:r>
            <w:r w:rsidR="00A0556B" w:rsidRPr="00A0556B">
              <w:rPr>
                <w:rFonts w:eastAsia="SimSun"/>
                <w:vertAlign w:val="subscript"/>
              </w:rPr>
              <w:t>taps</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in-phase component of</w:t>
            </w:r>
            <w:r w:rsidR="00A0556B">
              <w:rPr>
                <w:rFonts w:eastAsia="SimSun"/>
              </w:rPr>
              <w:t xml:space="preserve"> impulse response for Tap #</w:t>
            </w:r>
            <w:r w:rsidR="00A0556B" w:rsidRPr="009448FC">
              <w:rPr>
                <w:rFonts w:eastAsia="SimSun"/>
              </w:rPr>
              <w:t>N</w:t>
            </w:r>
            <w:r w:rsidR="00A0556B" w:rsidRPr="00A0556B">
              <w:rPr>
                <w:rFonts w:eastAsia="SimSun"/>
                <w:vertAlign w:val="subscript"/>
              </w:rPr>
              <w:t>taps</w:t>
            </w:r>
            <w:r w:rsidRPr="009448FC">
              <w:rPr>
                <w:rFonts w:eastAsia="SimSun"/>
              </w:rPr>
              <w:t>,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Q Component Tap #</w:t>
            </w:r>
            <w:r w:rsidR="00A0556B" w:rsidRPr="009448FC">
              <w:rPr>
                <w:rFonts w:eastAsia="SimSun"/>
              </w:rPr>
              <w:t>N</w:t>
            </w:r>
            <w:r w:rsidR="00A0556B" w:rsidRPr="00A0556B">
              <w:rPr>
                <w:rFonts w:eastAsia="SimSun"/>
                <w:vertAlign w:val="subscript"/>
              </w:rPr>
              <w:t>taps</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quadrature component of</w:t>
            </w:r>
            <w:r w:rsidR="00A0556B">
              <w:rPr>
                <w:rFonts w:eastAsia="SimSun"/>
              </w:rPr>
              <w:t xml:space="preserve"> impulse response for Tap #</w:t>
            </w:r>
            <w:r w:rsidR="00A0556B" w:rsidRPr="009448FC">
              <w:rPr>
                <w:rFonts w:eastAsia="SimSun"/>
              </w:rPr>
              <w:t>N</w:t>
            </w:r>
            <w:r w:rsidR="00A0556B" w:rsidRPr="00A0556B">
              <w:rPr>
                <w:rFonts w:eastAsia="SimSun"/>
                <w:vertAlign w:val="subscript"/>
              </w:rPr>
              <w:t>taps</w:t>
            </w:r>
            <w:r w:rsidRPr="009448FC">
              <w:rPr>
                <w:rFonts w:eastAsia="SimSun"/>
              </w:rPr>
              <w:t>, relative to the amplitude of the strongest tap measured.</w:t>
            </w:r>
          </w:p>
        </w:tc>
      </w:tr>
    </w:tbl>
    <w:p w:rsidR="00DA2E98" w:rsidRPr="009448FC" w:rsidRDefault="00DA2E98" w:rsidP="00DA2E98">
      <w:pPr>
        <w:jc w:val="both"/>
      </w:pPr>
    </w:p>
    <w:p w:rsidR="00DA2E98" w:rsidRPr="0037334B" w:rsidRDefault="0055518A" w:rsidP="00DA2E98">
      <w:pPr>
        <w:jc w:val="both"/>
      </w:pPr>
      <w:r w:rsidRPr="0037334B">
        <w:t>Each ch</w:t>
      </w:r>
      <w:r w:rsidR="00A0556B">
        <w:t xml:space="preserve">annel measurement contains </w:t>
      </w:r>
      <w:r w:rsidR="00A0556B" w:rsidRPr="009448FC">
        <w:rPr>
          <w:rFonts w:eastAsia="SimSun"/>
        </w:rPr>
        <w:t>N</w:t>
      </w:r>
      <w:r w:rsidR="00A0556B" w:rsidRPr="00A0556B">
        <w:rPr>
          <w:rFonts w:eastAsia="SimSun"/>
          <w:vertAlign w:val="subscript"/>
        </w:rPr>
        <w:t>taps</w:t>
      </w:r>
      <w:r w:rsidRPr="0037334B">
        <w:t xml:space="preserve"> channel impulse taps. The channel impulse response reported for all N</w:t>
      </w:r>
      <w:r w:rsidRPr="00A0556B">
        <w:rPr>
          <w:vertAlign w:val="subscript"/>
        </w:rPr>
        <w:t>meas</w:t>
      </w:r>
      <w:r w:rsidRPr="0037334B">
        <w:t xml:space="preserve"> measurements correspond to a common set of relative tap delays. If the Tap Delay subfie</w:t>
      </w:r>
      <w:r w:rsidR="00A0556B">
        <w:t xml:space="preserve">ld is not present then the </w:t>
      </w:r>
      <w:r w:rsidR="00A0556B" w:rsidRPr="009448FC">
        <w:rPr>
          <w:rFonts w:eastAsia="SimSun"/>
        </w:rPr>
        <w:t>N</w:t>
      </w:r>
      <w:r w:rsidR="00A0556B" w:rsidRPr="00A0556B">
        <w:rPr>
          <w:rFonts w:eastAsia="SimSun"/>
          <w:vertAlign w:val="subscript"/>
        </w:rPr>
        <w:t>taps</w:t>
      </w:r>
      <w:r w:rsidRPr="0037334B">
        <w:t xml:space="preserve"> channel taps shall be interpreted as contiguous time samples, separated by Tc. The delay values in the Tap Delay subfield, when present, correspond to the strongest taps and are positive numbers, expressed in one’s complement, in increments of Tc, starting from zero. Each channel tap is reported as in-phase and quadrature component pairs, relative to the amplitude of the strongest path detected among all TRN-T fields. The values are represented as two’s complement numbers corresponding to integer valued ratios between -64 and +63.</w:t>
      </w:r>
    </w:p>
    <w:p w:rsidR="001B2671" w:rsidRPr="007B2D72" w:rsidRDefault="00C62651" w:rsidP="001B2671">
      <w:pPr>
        <w:rPr>
          <w:rFonts w:eastAsia="Batang"/>
          <w:sz w:val="23"/>
        </w:rPr>
      </w:pPr>
      <w:r>
        <w:rPr>
          <w:rFonts w:eastAsia="Batang"/>
          <w:sz w:val="23"/>
        </w:rPr>
        <w:t xml:space="preserve"> </w:t>
      </w:r>
    </w:p>
    <w:p w:rsidR="008F6299" w:rsidRPr="0037334B" w:rsidRDefault="001B2671" w:rsidP="001B0E2E">
      <w:r>
        <w:t xml:space="preserve">The </w:t>
      </w:r>
      <w:r>
        <w:rPr>
          <w:rFonts w:hint="eastAsia"/>
        </w:rPr>
        <w:t>s</w:t>
      </w:r>
      <w:r>
        <w:t xml:space="preserve">ector ID order subfield indicates </w:t>
      </w:r>
      <w:r w:rsidRPr="00F16280">
        <w:rPr>
          <w:rFonts w:hint="eastAsia"/>
        </w:rPr>
        <w:t xml:space="preserve">the TX sector IDs corresponding </w:t>
      </w:r>
      <w:r>
        <w:t>to the</w:t>
      </w:r>
      <w:r w:rsidRPr="00F16280">
        <w:rPr>
          <w:rFonts w:hint="eastAsia"/>
        </w:rPr>
        <w:t xml:space="preserve"> SNRs in the SNR subfield when SNR pr</w:t>
      </w:r>
      <w:r>
        <w:rPr>
          <w:rFonts w:hint="eastAsia"/>
        </w:rPr>
        <w:t>esent subfield is set to 1 and s</w:t>
      </w:r>
      <w:r w:rsidRPr="00F16280">
        <w:rPr>
          <w:rFonts w:hint="eastAsia"/>
        </w:rPr>
        <w:t>ector ID order present subfield is set to 1</w:t>
      </w:r>
      <w:r>
        <w:t>,</w:t>
      </w:r>
      <w:r w:rsidRPr="00F16280">
        <w:rPr>
          <w:rFonts w:hint="eastAsia"/>
        </w:rPr>
        <w:t xml:space="preserve"> in response to </w:t>
      </w:r>
      <w:r>
        <w:t>a BRP packet with</w:t>
      </w:r>
      <w:r>
        <w:rPr>
          <w:rFonts w:hint="eastAsia"/>
        </w:rPr>
        <w:t xml:space="preserve"> SNR requested subfield </w:t>
      </w:r>
      <w:r>
        <w:t xml:space="preserve">set </w:t>
      </w:r>
      <w:r>
        <w:rPr>
          <w:rFonts w:hint="eastAsia"/>
        </w:rPr>
        <w:t>to 1</w:t>
      </w:r>
      <w:r w:rsidRPr="00F16280">
        <w:rPr>
          <w:rFonts w:hint="eastAsia"/>
        </w:rPr>
        <w:t xml:space="preserve">. </w:t>
      </w:r>
      <w:r>
        <w:t xml:space="preserve">The </w:t>
      </w:r>
      <w:r>
        <w:rPr>
          <w:rFonts w:hint="eastAsia"/>
        </w:rPr>
        <w:t>s</w:t>
      </w:r>
      <w:r>
        <w:t>ector ID order subfield indicates</w:t>
      </w:r>
      <w:r>
        <w:rPr>
          <w:rFonts w:hint="eastAsia"/>
        </w:rPr>
        <w:t xml:space="preserve"> </w:t>
      </w:r>
      <w:r>
        <w:t>the TX sector IDs ranked in the decreasing</w:t>
      </w:r>
      <w:r>
        <w:rPr>
          <w:rFonts w:hint="eastAsia"/>
        </w:rPr>
        <w:t xml:space="preserve"> </w:t>
      </w:r>
      <w:r>
        <w:t>order of link quality, determined in an implementation dependent manner,</w:t>
      </w:r>
      <w:r>
        <w:rPr>
          <w:rFonts w:hint="eastAsia"/>
        </w:rPr>
        <w:t xml:space="preserve"> </w:t>
      </w:r>
      <w:r w:rsidRPr="00F16280">
        <w:rPr>
          <w:rFonts w:hint="eastAsia"/>
        </w:rPr>
        <w:t>when SNR present subfield is set to 0 and Sector ID order present subfield is set to 1 in response to setting SNR requested subfield to 0 and Sector ID order requested subfield to 1</w:t>
      </w:r>
      <w:r>
        <w:t>. The</w:t>
      </w:r>
      <w:r>
        <w:rPr>
          <w:rFonts w:hint="eastAsia"/>
        </w:rPr>
        <w:t xml:space="preserve"> </w:t>
      </w:r>
      <w:r>
        <w:t>FBCK-REQ field and the FBCK</w:t>
      </w:r>
      <w:r>
        <w:rPr>
          <w:rFonts w:hint="eastAsia"/>
        </w:rPr>
        <w:t xml:space="preserve"> </w:t>
      </w:r>
      <w:r>
        <w:t>TYPE field in the mmWave Beam refinement element are used by the transmitter and receiver</w:t>
      </w:r>
      <w:r>
        <w:rPr>
          <w:rFonts w:hint="eastAsia"/>
        </w:rPr>
        <w:t xml:space="preserve"> </w:t>
      </w:r>
      <w:r w:rsidR="002866FC">
        <w:t xml:space="preserve">to, </w:t>
      </w:r>
      <w:r>
        <w:t>respectively</w:t>
      </w:r>
      <w:r w:rsidR="002866FC">
        <w:t>,</w:t>
      </w:r>
      <w:r>
        <w:t xml:space="preserve"> request for and indicate the Sector IDs and their order.</w:t>
      </w:r>
    </w:p>
    <w:p w:rsidR="00A70413" w:rsidRPr="0037334B" w:rsidRDefault="002A5C59" w:rsidP="003701DB">
      <w:pPr>
        <w:pStyle w:val="Heading4"/>
        <w:numPr>
          <w:ilvl w:val="3"/>
          <w:numId w:val="152"/>
        </w:numPr>
      </w:pPr>
      <w:bookmarkStart w:id="662" w:name="_Ref244234956"/>
      <w:bookmarkStart w:id="663" w:name="_Ref244235884"/>
      <w:r w:rsidRPr="0037334B">
        <w:t xml:space="preserve"> </w:t>
      </w:r>
      <w:bookmarkStart w:id="664" w:name="_Toc259716937"/>
      <w:r w:rsidR="008A419F" w:rsidRPr="0037334B">
        <w:t>Awake Window element</w:t>
      </w:r>
      <w:bookmarkEnd w:id="662"/>
      <w:bookmarkEnd w:id="663"/>
      <w:bookmarkEnd w:id="664"/>
    </w:p>
    <w:p w:rsidR="00191011" w:rsidRDefault="00191011" w:rsidP="00593E02">
      <w:r>
        <w:t xml:space="preserve">The Awake Window element is defined as shown in </w:t>
      </w:r>
      <w:r w:rsidR="00BD151C" w:rsidRPr="00BC19BF">
        <w:fldChar w:fldCharType="begin"/>
      </w:r>
      <w:r w:rsidRPr="0037334B">
        <w:instrText xml:space="preserve"> REF _Ref236544351 \h </w:instrText>
      </w:r>
      <w:r w:rsidR="00BD151C" w:rsidRPr="00BC19BF">
        <w:fldChar w:fldCharType="separate"/>
      </w:r>
      <w:r w:rsidR="003E4210" w:rsidRPr="00066F65">
        <w:t xml:space="preserve">Figure </w:t>
      </w:r>
      <w:r w:rsidR="003E4210">
        <w:rPr>
          <w:noProof/>
        </w:rPr>
        <w:t>49</w:t>
      </w:r>
      <w:r w:rsidR="00BD151C" w:rsidRPr="00BC19BF">
        <w:fldChar w:fldCharType="end"/>
      </w:r>
      <w:r>
        <w:t>.</w:t>
      </w:r>
    </w:p>
    <w:p w:rsidR="00593E02" w:rsidRPr="0037334B" w:rsidRDefault="00593E02" w:rsidP="00593E02">
      <w:pPr>
        <w:rPr>
          <w:rFonts w:eastAsia="MS Mincho"/>
        </w:rPr>
      </w:pP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1783"/>
      </w:tblGrid>
      <w:tr w:rsidR="00C5070E" w:rsidRPr="00066F65" w:rsidTr="00D0037C">
        <w:tc>
          <w:tcPr>
            <w:tcW w:w="0" w:type="auto"/>
          </w:tcPr>
          <w:p w:rsidR="00C5070E" w:rsidRPr="0037334B" w:rsidRDefault="00C5070E" w:rsidP="009F317E">
            <w:pPr>
              <w:autoSpaceDE w:val="0"/>
              <w:autoSpaceDN w:val="0"/>
              <w:adjustRightInd w:val="0"/>
              <w:jc w:val="center"/>
              <w:rPr>
                <w:rFonts w:eastAsia="SimSun"/>
              </w:rPr>
            </w:pPr>
          </w:p>
        </w:tc>
        <w:tc>
          <w:tcPr>
            <w:tcW w:w="0" w:type="auto"/>
          </w:tcPr>
          <w:p w:rsidR="00C5070E" w:rsidRPr="0037334B" w:rsidRDefault="00C5070E" w:rsidP="009F317E">
            <w:pPr>
              <w:autoSpaceDE w:val="0"/>
              <w:autoSpaceDN w:val="0"/>
              <w:adjustRightInd w:val="0"/>
              <w:jc w:val="center"/>
              <w:rPr>
                <w:rFonts w:eastAsia="SimSun"/>
              </w:rPr>
            </w:pPr>
            <w:r w:rsidRPr="0037334B">
              <w:rPr>
                <w:rFonts w:eastAsia="SimSun"/>
              </w:rPr>
              <w:t>Element ID</w:t>
            </w:r>
          </w:p>
        </w:tc>
        <w:tc>
          <w:tcPr>
            <w:tcW w:w="0" w:type="auto"/>
          </w:tcPr>
          <w:p w:rsidR="00C5070E" w:rsidRPr="0037334B" w:rsidRDefault="00C5070E" w:rsidP="009F317E">
            <w:pPr>
              <w:autoSpaceDE w:val="0"/>
              <w:autoSpaceDN w:val="0"/>
              <w:adjustRightInd w:val="0"/>
              <w:jc w:val="center"/>
              <w:rPr>
                <w:rFonts w:eastAsia="SimSun"/>
              </w:rPr>
            </w:pPr>
            <w:r w:rsidRPr="0037334B">
              <w:rPr>
                <w:rFonts w:eastAsia="SimSun"/>
              </w:rPr>
              <w:t>Length</w:t>
            </w:r>
          </w:p>
        </w:tc>
        <w:tc>
          <w:tcPr>
            <w:tcW w:w="0" w:type="auto"/>
          </w:tcPr>
          <w:p w:rsidR="00C5070E" w:rsidRPr="0037334B" w:rsidRDefault="00C5070E" w:rsidP="009F317E">
            <w:pPr>
              <w:autoSpaceDE w:val="0"/>
              <w:autoSpaceDN w:val="0"/>
              <w:adjustRightInd w:val="0"/>
              <w:jc w:val="center"/>
              <w:rPr>
                <w:rFonts w:eastAsia="SimSun"/>
              </w:rPr>
            </w:pPr>
            <w:r w:rsidRPr="0037334B">
              <w:rPr>
                <w:rFonts w:eastAsia="SimSun"/>
              </w:rPr>
              <w:t>Awake Window</w:t>
            </w:r>
          </w:p>
        </w:tc>
      </w:tr>
      <w:tr w:rsidR="00C5070E" w:rsidRPr="00066F65" w:rsidTr="00D0037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Octets</w:t>
            </w:r>
            <w:r w:rsidR="00191011">
              <w:rPr>
                <w:rFonts w:eastAsia="SimSun"/>
              </w:rPr>
              <w:t>:</w:t>
            </w:r>
          </w:p>
        </w:t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1</w:t>
            </w:r>
          </w:p>
        </w:t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1</w:t>
            </w:r>
          </w:p>
        </w:t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2</w:t>
            </w:r>
          </w:p>
        </w:tc>
      </w:tr>
    </w:tbl>
    <w:p w:rsidR="00C5070E" w:rsidRPr="00BC19BF" w:rsidRDefault="00B52C24" w:rsidP="00BA5BC4">
      <w:pPr>
        <w:pStyle w:val="Caption"/>
        <w:rPr>
          <w:b w:val="0"/>
        </w:rPr>
      </w:pPr>
      <w:bookmarkStart w:id="665" w:name="_Ref236544351"/>
      <w:bookmarkStart w:id="666" w:name="_Toc259717481"/>
      <w:r w:rsidRPr="00066F65">
        <w:t xml:space="preserve">Figure </w:t>
      </w:r>
      <w:r w:rsidR="00BD151C">
        <w:fldChar w:fldCharType="begin"/>
      </w:r>
      <w:r w:rsidR="00801316">
        <w:instrText xml:space="preserve"> SEQ Figure \* ARABIC </w:instrText>
      </w:r>
      <w:r w:rsidR="00BD151C">
        <w:fldChar w:fldCharType="separate"/>
      </w:r>
      <w:r w:rsidR="003E4210">
        <w:rPr>
          <w:noProof/>
        </w:rPr>
        <w:t>49</w:t>
      </w:r>
      <w:r w:rsidR="00BD151C">
        <w:fldChar w:fldCharType="end"/>
      </w:r>
      <w:bookmarkEnd w:id="665"/>
      <w:r w:rsidRPr="00066F65">
        <w:t xml:space="preserve"> </w:t>
      </w:r>
      <w:r w:rsidR="00593E02" w:rsidRPr="00066F65">
        <w:t xml:space="preserve">– </w:t>
      </w:r>
      <w:r w:rsidRPr="00066F65">
        <w:t>Awake Window</w:t>
      </w:r>
      <w:bookmarkEnd w:id="666"/>
    </w:p>
    <w:p w:rsidR="00191011" w:rsidRPr="0037334B" w:rsidRDefault="00191011" w:rsidP="00191011">
      <w:r w:rsidRPr="0037334B">
        <w:t>The Awake Window field is 2 octets and contains the length of the Awake Window measured in microseconds.</w:t>
      </w:r>
    </w:p>
    <w:p w:rsidR="00F529BB" w:rsidRPr="00BC19BF" w:rsidRDefault="00F529BB" w:rsidP="0049010B">
      <w:pPr>
        <w:autoSpaceDE w:val="0"/>
        <w:autoSpaceDN w:val="0"/>
        <w:adjustRightInd w:val="0"/>
        <w:outlineLvl w:val="0"/>
      </w:pPr>
    </w:p>
    <w:p w:rsidR="00F529BB" w:rsidRPr="00BC19BF" w:rsidRDefault="001B5A60" w:rsidP="003701DB">
      <w:pPr>
        <w:pStyle w:val="Heading4"/>
        <w:numPr>
          <w:ilvl w:val="3"/>
          <w:numId w:val="152"/>
        </w:numPr>
      </w:pPr>
      <w:bookmarkStart w:id="667" w:name="_Ref244234708"/>
      <w:bookmarkStart w:id="668" w:name="_Ref244234876"/>
      <w:r w:rsidRPr="00BC19BF">
        <w:t xml:space="preserve"> </w:t>
      </w:r>
      <w:bookmarkStart w:id="669" w:name="_Ref244241162"/>
      <w:bookmarkStart w:id="670" w:name="_Toc259716938"/>
      <w:r w:rsidR="001A143A" w:rsidRPr="00BC19BF">
        <w:t xml:space="preserve">Multi-band </w:t>
      </w:r>
      <w:r w:rsidR="00F529BB" w:rsidRPr="00BC19BF">
        <w:t>element</w:t>
      </w:r>
      <w:bookmarkEnd w:id="667"/>
      <w:bookmarkEnd w:id="668"/>
      <w:bookmarkEnd w:id="669"/>
      <w:bookmarkEnd w:id="670"/>
    </w:p>
    <w:p w:rsidR="00E56B03" w:rsidRPr="00BC19BF" w:rsidRDefault="00E56B03" w:rsidP="0049010B">
      <w:pPr>
        <w:autoSpaceDE w:val="0"/>
        <w:autoSpaceDN w:val="0"/>
        <w:adjustRightInd w:val="0"/>
        <w:outlineLvl w:val="0"/>
      </w:pPr>
      <w:r w:rsidRPr="00BC19BF">
        <w:t xml:space="preserve">The Multi-band element indicates that the STA transmitting this element (the transmitting STA) is capable of operating in a frequency band other than the one in which this element is transmitted and that the transmitting STA is able to switch a session from the current channel to a channel in the other band. The format of the Multi-band element is shown </w:t>
      </w:r>
      <w:fldSimple w:instr=" REF _Ref236394091 \h  \* MERGEFORMAT ">
        <w:r w:rsidR="003E4210" w:rsidRPr="00066F65">
          <w:t xml:space="preserve">Figure </w:t>
        </w:r>
        <w:r w:rsidR="003E4210">
          <w:rPr>
            <w:noProof/>
          </w:rPr>
          <w:t>50</w:t>
        </w:r>
      </w:fldSimple>
      <w:r w:rsidRPr="00BC19BF">
        <w:t>.</w:t>
      </w:r>
    </w:p>
    <w:p w:rsidR="00E56B03" w:rsidRDefault="00E56B03" w:rsidP="00E56B03">
      <w:pPr>
        <w:autoSpaceDE w:val="0"/>
        <w:autoSpaceDN w:val="0"/>
        <w:adjustRightInd w:val="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945"/>
        <w:gridCol w:w="783"/>
        <w:gridCol w:w="1778"/>
        <w:gridCol w:w="900"/>
        <w:gridCol w:w="1589"/>
        <w:gridCol w:w="1588"/>
        <w:gridCol w:w="783"/>
        <w:gridCol w:w="914"/>
      </w:tblGrid>
      <w:tr w:rsidR="00327A5F" w:rsidRPr="00327A5F" w:rsidTr="00AD039E">
        <w:tc>
          <w:tcPr>
            <w:tcW w:w="0" w:type="auto"/>
          </w:tcPr>
          <w:p w:rsidR="00327A5F" w:rsidRPr="00327A5F" w:rsidRDefault="00327A5F" w:rsidP="00B2706C">
            <w:pPr>
              <w:jc w:val="both"/>
              <w:rPr>
                <w:rFonts w:eastAsia="SimSun"/>
                <w:sz w:val="20"/>
                <w:szCs w:val="16"/>
              </w:rPr>
            </w:pPr>
          </w:p>
        </w:tc>
        <w:tc>
          <w:tcPr>
            <w:tcW w:w="945" w:type="dxa"/>
          </w:tcPr>
          <w:p w:rsidR="00327A5F" w:rsidRPr="00327A5F" w:rsidRDefault="00327A5F" w:rsidP="00327A5F">
            <w:pPr>
              <w:jc w:val="both"/>
              <w:rPr>
                <w:rFonts w:eastAsia="SimSun"/>
                <w:sz w:val="20"/>
                <w:szCs w:val="16"/>
              </w:rPr>
            </w:pPr>
            <w:r w:rsidRPr="00327A5F">
              <w:rPr>
                <w:rFonts w:eastAsia="SimSun"/>
                <w:sz w:val="20"/>
                <w:szCs w:val="16"/>
              </w:rPr>
              <w:t xml:space="preserve">Element </w:t>
            </w:r>
            <w:r>
              <w:rPr>
                <w:rFonts w:eastAsia="SimSun"/>
                <w:sz w:val="20"/>
                <w:szCs w:val="16"/>
              </w:rPr>
              <w:t>I</w:t>
            </w:r>
            <w:r w:rsidRPr="00327A5F">
              <w:rPr>
                <w:rFonts w:eastAsia="SimSun"/>
                <w:sz w:val="20"/>
                <w:szCs w:val="16"/>
              </w:rPr>
              <w:t>D</w:t>
            </w:r>
          </w:p>
        </w:tc>
        <w:tc>
          <w:tcPr>
            <w:tcW w:w="783" w:type="dxa"/>
          </w:tcPr>
          <w:p w:rsidR="00327A5F" w:rsidRPr="00327A5F" w:rsidRDefault="00327A5F" w:rsidP="00B2706C">
            <w:pPr>
              <w:jc w:val="both"/>
              <w:rPr>
                <w:rFonts w:eastAsia="SimSun"/>
                <w:sz w:val="20"/>
                <w:szCs w:val="16"/>
              </w:rPr>
            </w:pPr>
            <w:r w:rsidRPr="00327A5F">
              <w:rPr>
                <w:rFonts w:eastAsia="SimSun"/>
                <w:sz w:val="20"/>
                <w:szCs w:val="16"/>
              </w:rPr>
              <w:t>Length</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Multi-band Control</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Band ID</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Regulatory Class</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Channel Number</w:t>
            </w:r>
          </w:p>
        </w:tc>
        <w:tc>
          <w:tcPr>
            <w:tcW w:w="0" w:type="auto"/>
          </w:tcPr>
          <w:p w:rsidR="00327A5F" w:rsidRPr="00327A5F" w:rsidRDefault="00327A5F" w:rsidP="00B2706C">
            <w:pPr>
              <w:jc w:val="both"/>
              <w:rPr>
                <w:rFonts w:eastAsia="SimSun"/>
                <w:sz w:val="20"/>
                <w:szCs w:val="16"/>
              </w:rPr>
            </w:pPr>
            <w:r w:rsidRPr="00327A5F">
              <w:rPr>
                <w:rFonts w:eastAsia="SimSun"/>
                <w:sz w:val="20"/>
                <w:szCs w:val="16"/>
              </w:rPr>
              <w:t>BSSID</w:t>
            </w:r>
          </w:p>
        </w:tc>
        <w:tc>
          <w:tcPr>
            <w:tcW w:w="914" w:type="dxa"/>
          </w:tcPr>
          <w:p w:rsidR="00327A5F" w:rsidRPr="00327A5F" w:rsidRDefault="00327A5F" w:rsidP="00B2706C">
            <w:pPr>
              <w:jc w:val="center"/>
              <w:rPr>
                <w:rFonts w:eastAsia="SimSun"/>
                <w:sz w:val="20"/>
                <w:szCs w:val="16"/>
              </w:rPr>
            </w:pPr>
            <w:r w:rsidRPr="00327A5F">
              <w:rPr>
                <w:rFonts w:eastAsia="SimSun"/>
                <w:sz w:val="20"/>
                <w:szCs w:val="16"/>
              </w:rPr>
              <w:t>Beacon Interval</w:t>
            </w:r>
          </w:p>
        </w:tc>
      </w:tr>
      <w:tr w:rsidR="00327A5F" w:rsidRPr="00327A5F" w:rsidTr="00AD039E">
        <w:tc>
          <w:tcPr>
            <w:tcW w:w="0" w:type="auto"/>
          </w:tcPr>
          <w:p w:rsidR="00327A5F" w:rsidRPr="00327A5F" w:rsidRDefault="00327A5F" w:rsidP="00B2706C">
            <w:pPr>
              <w:jc w:val="both"/>
              <w:rPr>
                <w:rFonts w:eastAsia="SimSun"/>
                <w:sz w:val="20"/>
                <w:szCs w:val="16"/>
              </w:rPr>
            </w:pPr>
            <w:r w:rsidRPr="00327A5F">
              <w:rPr>
                <w:rFonts w:eastAsia="SimSun"/>
                <w:sz w:val="20"/>
                <w:szCs w:val="16"/>
              </w:rPr>
              <w:t>Octets:</w:t>
            </w:r>
          </w:p>
        </w:tc>
        <w:tc>
          <w:tcPr>
            <w:tcW w:w="945" w:type="dxa"/>
          </w:tcPr>
          <w:p w:rsidR="00327A5F" w:rsidRPr="00327A5F" w:rsidRDefault="00327A5F" w:rsidP="00B2706C">
            <w:pPr>
              <w:jc w:val="center"/>
              <w:rPr>
                <w:rFonts w:eastAsia="SimSun"/>
                <w:sz w:val="20"/>
                <w:szCs w:val="16"/>
              </w:rPr>
            </w:pPr>
            <w:r w:rsidRPr="00327A5F">
              <w:rPr>
                <w:rFonts w:eastAsia="SimSun"/>
                <w:sz w:val="20"/>
                <w:szCs w:val="16"/>
              </w:rPr>
              <w:t>1</w:t>
            </w:r>
          </w:p>
        </w:tc>
        <w:tc>
          <w:tcPr>
            <w:tcW w:w="783" w:type="dxa"/>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6</w:t>
            </w:r>
          </w:p>
        </w:tc>
        <w:tc>
          <w:tcPr>
            <w:tcW w:w="914" w:type="dxa"/>
          </w:tcPr>
          <w:p w:rsidR="00327A5F" w:rsidRPr="00327A5F" w:rsidRDefault="00327A5F" w:rsidP="00B2706C">
            <w:pPr>
              <w:jc w:val="center"/>
              <w:rPr>
                <w:rFonts w:eastAsia="SimSun"/>
                <w:sz w:val="20"/>
                <w:szCs w:val="16"/>
              </w:rPr>
            </w:pPr>
            <w:r w:rsidRPr="00327A5F">
              <w:rPr>
                <w:rFonts w:eastAsia="SimSun"/>
                <w:sz w:val="20"/>
                <w:szCs w:val="16"/>
              </w:rPr>
              <w:t>2</w:t>
            </w:r>
          </w:p>
        </w:tc>
      </w:tr>
    </w:tbl>
    <w:p w:rsidR="00327A5F" w:rsidRPr="00327A5F" w:rsidRDefault="00327A5F" w:rsidP="00E56B03">
      <w:pPr>
        <w:autoSpaceDE w:val="0"/>
        <w:autoSpaceDN w:val="0"/>
        <w:adjustRightInd w:val="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904"/>
        <w:gridCol w:w="1706"/>
        <w:gridCol w:w="939"/>
        <w:gridCol w:w="1785"/>
        <w:gridCol w:w="2116"/>
        <w:gridCol w:w="1883"/>
      </w:tblGrid>
      <w:tr w:rsidR="00327A5F" w:rsidRPr="00327A5F" w:rsidTr="00AD039E">
        <w:tc>
          <w:tcPr>
            <w:tcW w:w="0" w:type="auto"/>
          </w:tcPr>
          <w:p w:rsidR="00327A5F" w:rsidRPr="00327A5F" w:rsidRDefault="00327A5F" w:rsidP="00D0037C">
            <w:pPr>
              <w:jc w:val="both"/>
              <w:rPr>
                <w:rFonts w:eastAsia="SimSun"/>
                <w:sz w:val="20"/>
                <w:szCs w:val="16"/>
              </w:rPr>
            </w:pPr>
          </w:p>
        </w:tc>
        <w:tc>
          <w:tcPr>
            <w:tcW w:w="0" w:type="auto"/>
          </w:tcPr>
          <w:p w:rsidR="00327A5F" w:rsidRPr="00327A5F" w:rsidRDefault="00327A5F" w:rsidP="00D0037C">
            <w:pPr>
              <w:jc w:val="center"/>
              <w:rPr>
                <w:rFonts w:eastAsia="SimSun"/>
                <w:sz w:val="20"/>
                <w:szCs w:val="16"/>
              </w:rPr>
            </w:pPr>
            <w:r w:rsidRPr="00327A5F">
              <w:rPr>
                <w:rFonts w:eastAsia="SimSun"/>
                <w:sz w:val="20"/>
                <w:szCs w:val="16"/>
              </w:rPr>
              <w:t>TSF Offset</w:t>
            </w:r>
          </w:p>
        </w:tc>
        <w:tc>
          <w:tcPr>
            <w:tcW w:w="0" w:type="auto"/>
          </w:tcPr>
          <w:p w:rsidR="00327A5F" w:rsidRPr="00327A5F" w:rsidRDefault="00327A5F" w:rsidP="00E81474">
            <w:pPr>
              <w:jc w:val="center"/>
              <w:rPr>
                <w:rFonts w:eastAsia="SimSun"/>
                <w:sz w:val="20"/>
                <w:szCs w:val="16"/>
              </w:rPr>
            </w:pPr>
            <w:r w:rsidRPr="00327A5F">
              <w:rPr>
                <w:sz w:val="20"/>
                <w:szCs w:val="16"/>
              </w:rPr>
              <w:t>Multi-band STA Capability</w:t>
            </w:r>
            <w:r w:rsidR="00D11F2E">
              <w:rPr>
                <w:i/>
                <w:iCs/>
                <w:sz w:val="20"/>
                <w:szCs w:val="16"/>
              </w:rPr>
              <w:t xml:space="preserve"> </w:t>
            </w:r>
          </w:p>
        </w:tc>
        <w:tc>
          <w:tcPr>
            <w:tcW w:w="0" w:type="auto"/>
          </w:tcPr>
          <w:p w:rsidR="00327A5F" w:rsidRPr="00327A5F" w:rsidRDefault="00327A5F" w:rsidP="006F05FB">
            <w:pPr>
              <w:jc w:val="center"/>
              <w:rPr>
                <w:sz w:val="20"/>
                <w:szCs w:val="16"/>
              </w:rPr>
            </w:pPr>
            <w:r w:rsidRPr="00327A5F">
              <w:rPr>
                <w:sz w:val="20"/>
                <w:szCs w:val="16"/>
              </w:rPr>
              <w:t>FST</w:t>
            </w:r>
          </w:p>
          <w:p w:rsidR="00327A5F" w:rsidRPr="00327A5F" w:rsidRDefault="00327A5F" w:rsidP="006F05FB">
            <w:pPr>
              <w:jc w:val="center"/>
              <w:rPr>
                <w:sz w:val="20"/>
                <w:szCs w:val="16"/>
              </w:rPr>
            </w:pPr>
            <w:r w:rsidRPr="00327A5F">
              <w:rPr>
                <w:sz w:val="20"/>
                <w:szCs w:val="16"/>
              </w:rPr>
              <w:t>Session</w:t>
            </w:r>
          </w:p>
          <w:p w:rsidR="00327A5F" w:rsidRPr="00327A5F" w:rsidRDefault="00327A5F" w:rsidP="0087231D">
            <w:pPr>
              <w:jc w:val="center"/>
              <w:rPr>
                <w:sz w:val="20"/>
                <w:szCs w:val="16"/>
              </w:rPr>
            </w:pPr>
            <w:r w:rsidRPr="00327A5F">
              <w:rPr>
                <w:sz w:val="20"/>
                <w:szCs w:val="16"/>
              </w:rPr>
              <w:t>TimeOut</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STA MAC Address (optional)</w:t>
            </w:r>
          </w:p>
        </w:tc>
        <w:tc>
          <w:tcPr>
            <w:tcW w:w="0" w:type="auto"/>
          </w:tcPr>
          <w:p w:rsidR="00327A5F" w:rsidRPr="00327A5F" w:rsidRDefault="00327A5F" w:rsidP="00E81474">
            <w:pPr>
              <w:jc w:val="center"/>
              <w:rPr>
                <w:rFonts w:eastAsia="SimSun"/>
                <w:sz w:val="20"/>
                <w:szCs w:val="16"/>
              </w:rPr>
            </w:pPr>
            <w:r w:rsidRPr="00327A5F">
              <w:rPr>
                <w:rFonts w:eastAsia="Arial Unicode MS"/>
                <w:bCs/>
                <w:iCs/>
                <w:sz w:val="20"/>
                <w:szCs w:val="16"/>
                <w:lang w:eastAsia="ar-SA" w:bidi="ar-SA"/>
              </w:rPr>
              <w:t xml:space="preserve">Pairwise Cipher Suite Count (optional) </w:t>
            </w:r>
          </w:p>
        </w:tc>
        <w:tc>
          <w:tcPr>
            <w:tcW w:w="1883" w:type="dxa"/>
          </w:tcPr>
          <w:p w:rsidR="00327A5F" w:rsidRPr="00327A5F" w:rsidRDefault="00327A5F" w:rsidP="00E81474">
            <w:pPr>
              <w:jc w:val="center"/>
              <w:rPr>
                <w:rFonts w:eastAsia="Arial Unicode MS"/>
                <w:bCs/>
                <w:iCs/>
                <w:sz w:val="20"/>
                <w:szCs w:val="16"/>
                <w:lang w:eastAsia="ar-SA" w:bidi="ar-SA"/>
              </w:rPr>
            </w:pPr>
            <w:r w:rsidRPr="00327A5F">
              <w:rPr>
                <w:rFonts w:eastAsia="Arial Unicode MS"/>
                <w:bCs/>
                <w:iCs/>
                <w:sz w:val="20"/>
                <w:szCs w:val="16"/>
                <w:lang w:eastAsia="ar-SA" w:bidi="ar-SA"/>
              </w:rPr>
              <w:t xml:space="preserve">Pairwise Cipher Suite </w:t>
            </w:r>
            <w:smartTag w:uri="urn:schemas-microsoft-com:office:smarttags" w:element="PersonName">
              <w:r w:rsidRPr="00327A5F">
                <w:rPr>
                  <w:rFonts w:eastAsia="Arial Unicode MS"/>
                  <w:bCs/>
                  <w:iCs/>
                  <w:sz w:val="20"/>
                  <w:szCs w:val="16"/>
                  <w:lang w:eastAsia="ar-SA" w:bidi="ar-SA"/>
                </w:rPr>
                <w:t>Li</w:t>
              </w:r>
            </w:smartTag>
            <w:r w:rsidRPr="00327A5F">
              <w:rPr>
                <w:rFonts w:eastAsia="Arial Unicode MS"/>
                <w:bCs/>
                <w:iCs/>
                <w:sz w:val="20"/>
                <w:szCs w:val="16"/>
                <w:lang w:eastAsia="ar-SA" w:bidi="ar-SA"/>
              </w:rPr>
              <w:t>st (optional)</w:t>
            </w:r>
          </w:p>
        </w:tc>
      </w:tr>
      <w:tr w:rsidR="00327A5F" w:rsidRPr="00327A5F" w:rsidTr="00AD039E">
        <w:tc>
          <w:tcPr>
            <w:tcW w:w="0" w:type="auto"/>
          </w:tcPr>
          <w:p w:rsidR="00327A5F" w:rsidRPr="00327A5F" w:rsidRDefault="00327A5F" w:rsidP="00D0037C">
            <w:pPr>
              <w:jc w:val="both"/>
              <w:rPr>
                <w:rFonts w:eastAsia="SimSun"/>
                <w:sz w:val="20"/>
                <w:szCs w:val="16"/>
              </w:rPr>
            </w:pPr>
            <w:r w:rsidRPr="00327A5F">
              <w:rPr>
                <w:rFonts w:eastAsia="SimSun"/>
                <w:sz w:val="20"/>
                <w:szCs w:val="16"/>
              </w:rPr>
              <w:t>Octets:</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8</w:t>
            </w:r>
          </w:p>
        </w:tc>
        <w:tc>
          <w:tcPr>
            <w:tcW w:w="0" w:type="auto"/>
          </w:tcPr>
          <w:p w:rsidR="00327A5F" w:rsidRPr="00327A5F" w:rsidRDefault="00327A5F" w:rsidP="006F05FB">
            <w:pPr>
              <w:jc w:val="center"/>
              <w:rPr>
                <w:rFonts w:eastAsia="SimSun"/>
                <w:sz w:val="20"/>
                <w:szCs w:val="16"/>
              </w:rPr>
            </w:pPr>
            <w:r w:rsidRPr="00327A5F">
              <w:rPr>
                <w:rFonts w:eastAsia="SimSun"/>
                <w:sz w:val="20"/>
                <w:szCs w:val="16"/>
              </w:rPr>
              <w:t>2</w:t>
            </w:r>
          </w:p>
        </w:tc>
        <w:tc>
          <w:tcPr>
            <w:tcW w:w="0" w:type="auto"/>
          </w:tcPr>
          <w:p w:rsidR="00327A5F" w:rsidRPr="00327A5F" w:rsidRDefault="00327A5F" w:rsidP="006F05FB">
            <w:pPr>
              <w:jc w:val="center"/>
              <w:rPr>
                <w:rFonts w:eastAsia="SimSun"/>
                <w:sz w:val="20"/>
                <w:szCs w:val="16"/>
              </w:rPr>
            </w:pPr>
            <w:r w:rsidRPr="00327A5F">
              <w:rPr>
                <w:rFonts w:eastAsia="SimSun"/>
                <w:sz w:val="20"/>
                <w:szCs w:val="16"/>
              </w:rPr>
              <w:t>1</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6</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2</w:t>
            </w:r>
          </w:p>
        </w:tc>
        <w:tc>
          <w:tcPr>
            <w:tcW w:w="1883" w:type="dxa"/>
          </w:tcPr>
          <w:p w:rsidR="00327A5F" w:rsidRPr="00327A5F" w:rsidRDefault="00327A5F" w:rsidP="00D0037C">
            <w:pPr>
              <w:jc w:val="center"/>
              <w:rPr>
                <w:rFonts w:eastAsia="SimSun"/>
                <w:sz w:val="20"/>
                <w:szCs w:val="16"/>
              </w:rPr>
            </w:pPr>
            <w:r w:rsidRPr="00327A5F">
              <w:rPr>
                <w:rFonts w:eastAsia="SimSun"/>
                <w:sz w:val="20"/>
                <w:szCs w:val="16"/>
              </w:rPr>
              <w:t>4*m</w:t>
            </w:r>
          </w:p>
        </w:tc>
      </w:tr>
    </w:tbl>
    <w:p w:rsidR="00E56B03" w:rsidRPr="00066F65" w:rsidRDefault="009D3A71" w:rsidP="00BA5BC4">
      <w:pPr>
        <w:pStyle w:val="Caption"/>
      </w:pPr>
      <w:bookmarkStart w:id="671" w:name="_Ref236394091"/>
      <w:bookmarkStart w:id="672" w:name="_Toc259717482"/>
      <w:r w:rsidRPr="00066F65">
        <w:t xml:space="preserve">Figure </w:t>
      </w:r>
      <w:r w:rsidR="00BD151C">
        <w:fldChar w:fldCharType="begin"/>
      </w:r>
      <w:r w:rsidR="00801316">
        <w:instrText xml:space="preserve"> SEQ Figure \* ARABIC </w:instrText>
      </w:r>
      <w:r w:rsidR="00BD151C">
        <w:fldChar w:fldCharType="separate"/>
      </w:r>
      <w:r w:rsidR="003E4210">
        <w:rPr>
          <w:noProof/>
        </w:rPr>
        <w:t>50</w:t>
      </w:r>
      <w:r w:rsidR="00BD151C">
        <w:fldChar w:fldCharType="end"/>
      </w:r>
      <w:bookmarkEnd w:id="671"/>
      <w:r w:rsidR="00E56B03" w:rsidRPr="00066F65">
        <w:t xml:space="preserve"> – Multi-band element format</w:t>
      </w:r>
      <w:bookmarkEnd w:id="672"/>
      <w:r w:rsidR="00D11F2E">
        <w:t xml:space="preserve"> </w:t>
      </w:r>
    </w:p>
    <w:p w:rsidR="00E56B03" w:rsidRPr="00BC19BF" w:rsidRDefault="00E56B03" w:rsidP="00E56B03">
      <w:pPr>
        <w:rPr>
          <w:sz w:val="22"/>
        </w:rPr>
      </w:pPr>
    </w:p>
    <w:p w:rsidR="00E56B03" w:rsidRPr="00BC19BF" w:rsidRDefault="00E56B03" w:rsidP="0075035B">
      <w:r w:rsidRPr="00BC19BF">
        <w:t xml:space="preserve">The format of the Multi-band Control field is shown in </w:t>
      </w:r>
      <w:fldSimple w:instr=" REF _Ref236560583 \h  \* MERGEFORMAT ">
        <w:r w:rsidR="003E4210" w:rsidRPr="00066F65">
          <w:t xml:space="preserve">Figure </w:t>
        </w:r>
        <w:r w:rsidR="003E4210">
          <w:rPr>
            <w:noProof/>
          </w:rPr>
          <w:t>51</w:t>
        </w:r>
      </w:fldSimple>
      <w:r w:rsidRPr="00BC19BF">
        <w:t>.</w:t>
      </w:r>
    </w:p>
    <w:p w:rsidR="00E56B03" w:rsidRPr="00BC19BF" w:rsidRDefault="00E56B03" w:rsidP="00E56B03">
      <w:pPr>
        <w:rPr>
          <w:sz w:val="22"/>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1103"/>
        <w:gridCol w:w="1822"/>
        <w:gridCol w:w="2464"/>
        <w:gridCol w:w="1035"/>
      </w:tblGrid>
      <w:tr w:rsidR="00335C5B" w:rsidRPr="00066F65" w:rsidTr="00335C5B">
        <w:trPr>
          <w:jc w:val="center"/>
        </w:trPr>
        <w:tc>
          <w:tcPr>
            <w:tcW w:w="0" w:type="auto"/>
          </w:tcPr>
          <w:p w:rsidR="00335C5B" w:rsidRPr="00BC19BF" w:rsidRDefault="00335C5B" w:rsidP="00D0037C">
            <w:pPr>
              <w:jc w:val="center"/>
              <w:rPr>
                <w:rFonts w:eastAsia="SimSun"/>
                <w:sz w:val="22"/>
              </w:rPr>
            </w:pPr>
          </w:p>
        </w:tc>
        <w:tc>
          <w:tcPr>
            <w:tcW w:w="0" w:type="auto"/>
          </w:tcPr>
          <w:p w:rsidR="00335C5B" w:rsidRPr="00BC19BF" w:rsidRDefault="00335C5B" w:rsidP="00D0037C">
            <w:pPr>
              <w:jc w:val="center"/>
              <w:rPr>
                <w:rFonts w:eastAsia="SimSun"/>
                <w:sz w:val="22"/>
              </w:rPr>
            </w:pPr>
            <w:r w:rsidRPr="00BC19BF">
              <w:rPr>
                <w:rFonts w:eastAsia="SimSun"/>
                <w:sz w:val="22"/>
              </w:rPr>
              <w:t>STA Role</w:t>
            </w:r>
          </w:p>
        </w:tc>
        <w:tc>
          <w:tcPr>
            <w:tcW w:w="1822" w:type="dxa"/>
          </w:tcPr>
          <w:p w:rsidR="00335C5B" w:rsidRPr="00BC19BF" w:rsidRDefault="00335C5B" w:rsidP="00D0037C">
            <w:pPr>
              <w:jc w:val="center"/>
              <w:rPr>
                <w:rFonts w:eastAsia="SimSun"/>
                <w:sz w:val="22"/>
              </w:rPr>
            </w:pPr>
            <w:r w:rsidRPr="00BC19BF">
              <w:rPr>
                <w:rFonts w:eastAsia="SimSun"/>
                <w:sz w:val="22"/>
              </w:rPr>
              <w:t>STA MAC Address present</w:t>
            </w:r>
          </w:p>
        </w:tc>
        <w:tc>
          <w:tcPr>
            <w:tcW w:w="2464" w:type="dxa"/>
          </w:tcPr>
          <w:p w:rsidR="00335C5B" w:rsidRPr="00BC19BF" w:rsidRDefault="00335C5B" w:rsidP="00D0037C">
            <w:pPr>
              <w:jc w:val="center"/>
              <w:rPr>
                <w:rFonts w:eastAsia="SimSun"/>
                <w:sz w:val="22"/>
              </w:rPr>
            </w:pPr>
            <w:r w:rsidRPr="00BA7D0E">
              <w:rPr>
                <w:rFonts w:eastAsia="SimSun"/>
                <w:sz w:val="22"/>
              </w:rPr>
              <w:t>Pairwise Cipher Suite Present</w:t>
            </w:r>
            <w:r w:rsidR="00D11F2E">
              <w:rPr>
                <w:rFonts w:eastAsia="SimSun"/>
                <w:sz w:val="22"/>
              </w:rPr>
              <w:t xml:space="preserve"> </w:t>
            </w:r>
          </w:p>
        </w:tc>
        <w:tc>
          <w:tcPr>
            <w:tcW w:w="0" w:type="auto"/>
          </w:tcPr>
          <w:p w:rsidR="00335C5B" w:rsidRPr="00BC19BF" w:rsidRDefault="00335C5B" w:rsidP="00D0037C">
            <w:pPr>
              <w:jc w:val="center"/>
              <w:rPr>
                <w:rFonts w:eastAsia="SimSun"/>
                <w:sz w:val="22"/>
              </w:rPr>
            </w:pPr>
            <w:r w:rsidRPr="00BC19BF">
              <w:rPr>
                <w:rFonts w:eastAsia="SimSun"/>
                <w:sz w:val="22"/>
              </w:rPr>
              <w:t>Reserved</w:t>
            </w:r>
          </w:p>
        </w:tc>
      </w:tr>
      <w:tr w:rsidR="00335C5B" w:rsidRPr="00066F65" w:rsidTr="00335C5B">
        <w:trPr>
          <w:jc w:val="center"/>
        </w:trPr>
        <w:tc>
          <w:tcPr>
            <w:tcW w:w="0" w:type="auto"/>
          </w:tcPr>
          <w:p w:rsidR="00335C5B" w:rsidRPr="00BC19BF" w:rsidRDefault="00335C5B" w:rsidP="00D0037C">
            <w:pPr>
              <w:jc w:val="center"/>
              <w:rPr>
                <w:rFonts w:eastAsia="SimSun"/>
                <w:sz w:val="22"/>
              </w:rPr>
            </w:pPr>
            <w:r w:rsidRPr="00BC19BF">
              <w:rPr>
                <w:rFonts w:eastAsia="SimSun"/>
                <w:sz w:val="22"/>
              </w:rPr>
              <w:t>Bits:</w:t>
            </w:r>
          </w:p>
        </w:tc>
        <w:tc>
          <w:tcPr>
            <w:tcW w:w="0" w:type="auto"/>
          </w:tcPr>
          <w:p w:rsidR="00335C5B" w:rsidRPr="006F05FB" w:rsidRDefault="00335C5B" w:rsidP="00D0037C">
            <w:pPr>
              <w:jc w:val="center"/>
              <w:rPr>
                <w:rFonts w:eastAsia="SimSun"/>
                <w:sz w:val="22"/>
              </w:rPr>
            </w:pPr>
            <w:r w:rsidRPr="006F05FB">
              <w:rPr>
                <w:rFonts w:eastAsia="SimSun"/>
                <w:sz w:val="22"/>
                <w:szCs w:val="22"/>
              </w:rPr>
              <w:t>3</w:t>
            </w:r>
          </w:p>
        </w:tc>
        <w:tc>
          <w:tcPr>
            <w:tcW w:w="1822" w:type="dxa"/>
          </w:tcPr>
          <w:p w:rsidR="00335C5B" w:rsidRPr="006F05FB" w:rsidRDefault="00335C5B" w:rsidP="00D0037C">
            <w:pPr>
              <w:jc w:val="center"/>
              <w:rPr>
                <w:rFonts w:eastAsia="SimSun"/>
                <w:sz w:val="22"/>
              </w:rPr>
            </w:pPr>
            <w:r w:rsidRPr="006F05FB">
              <w:rPr>
                <w:rFonts w:eastAsia="SimSun"/>
                <w:sz w:val="22"/>
              </w:rPr>
              <w:t>1</w:t>
            </w:r>
          </w:p>
        </w:tc>
        <w:tc>
          <w:tcPr>
            <w:tcW w:w="2464" w:type="dxa"/>
          </w:tcPr>
          <w:p w:rsidR="00335C5B" w:rsidRPr="006F05FB" w:rsidRDefault="00335C5B" w:rsidP="00D0037C">
            <w:pPr>
              <w:jc w:val="center"/>
              <w:rPr>
                <w:rFonts w:eastAsia="SimSun"/>
                <w:sz w:val="22"/>
                <w:szCs w:val="22"/>
              </w:rPr>
            </w:pPr>
            <w:r>
              <w:rPr>
                <w:rFonts w:eastAsia="SimSun"/>
                <w:sz w:val="22"/>
                <w:szCs w:val="22"/>
              </w:rPr>
              <w:t>1</w:t>
            </w:r>
          </w:p>
        </w:tc>
        <w:tc>
          <w:tcPr>
            <w:tcW w:w="0" w:type="auto"/>
          </w:tcPr>
          <w:p w:rsidR="00335C5B" w:rsidRPr="006F05FB" w:rsidRDefault="00335C5B" w:rsidP="00D0037C">
            <w:pPr>
              <w:jc w:val="center"/>
              <w:rPr>
                <w:rFonts w:eastAsia="SimSun"/>
                <w:sz w:val="22"/>
              </w:rPr>
            </w:pPr>
            <w:r>
              <w:rPr>
                <w:rFonts w:eastAsia="SimSun"/>
                <w:sz w:val="22"/>
                <w:szCs w:val="22"/>
              </w:rPr>
              <w:t>3</w:t>
            </w:r>
          </w:p>
        </w:tc>
      </w:tr>
    </w:tbl>
    <w:p w:rsidR="00E56B03" w:rsidRPr="00066F65" w:rsidRDefault="009D3A71" w:rsidP="00BA5BC4">
      <w:pPr>
        <w:pStyle w:val="Caption"/>
      </w:pPr>
      <w:bookmarkStart w:id="673" w:name="_Ref236560583"/>
      <w:bookmarkStart w:id="674" w:name="_Toc259717483"/>
      <w:r w:rsidRPr="00066F65">
        <w:t xml:space="preserve">Figure </w:t>
      </w:r>
      <w:r w:rsidR="00BD151C">
        <w:fldChar w:fldCharType="begin"/>
      </w:r>
      <w:r w:rsidR="00801316">
        <w:instrText xml:space="preserve"> SEQ Figure \* ARABIC </w:instrText>
      </w:r>
      <w:r w:rsidR="00BD151C">
        <w:fldChar w:fldCharType="separate"/>
      </w:r>
      <w:r w:rsidR="003E4210">
        <w:rPr>
          <w:noProof/>
        </w:rPr>
        <w:t>51</w:t>
      </w:r>
      <w:r w:rsidR="00BD151C">
        <w:fldChar w:fldCharType="end"/>
      </w:r>
      <w:bookmarkEnd w:id="673"/>
      <w:r w:rsidR="00E56B03" w:rsidRPr="00066F65">
        <w:t xml:space="preserve"> – Multi-band control field format</w:t>
      </w:r>
      <w:bookmarkEnd w:id="674"/>
      <w:r w:rsidR="00D11F2E">
        <w:t xml:space="preserve"> </w:t>
      </w:r>
    </w:p>
    <w:p w:rsidR="00E56B03" w:rsidRPr="00066F65" w:rsidRDefault="00E56B03" w:rsidP="00E56B03">
      <w:pPr>
        <w:rPr>
          <w:sz w:val="22"/>
          <w:szCs w:val="22"/>
          <w:u w:val="single"/>
        </w:rPr>
      </w:pPr>
    </w:p>
    <w:p w:rsidR="00C13431" w:rsidRPr="00E81474" w:rsidRDefault="00C13431" w:rsidP="00E81474">
      <w:pPr>
        <w:rPr>
          <w:sz w:val="22"/>
        </w:rPr>
      </w:pPr>
      <w:r w:rsidRPr="0098124B">
        <w:t xml:space="preserve">The STA Role field specifies the role the transmitting STA plays on the channel </w:t>
      </w:r>
      <w:r w:rsidRPr="0098124B">
        <w:rPr>
          <w:rFonts w:ascii="TimesNewRomanPSMT" w:hAnsi="TimesNewRomanPSMT" w:cs="TimesNewRomanPSMT"/>
        </w:rPr>
        <w:t xml:space="preserve">of the regulatory class </w:t>
      </w:r>
      <w:r w:rsidRPr="0098124B">
        <w:t xml:space="preserve">indicated in this element. </w:t>
      </w:r>
      <w:r w:rsidRPr="0098124B">
        <w:rPr>
          <w:rFonts w:ascii="TimesNewRomanPSMT" w:hAnsi="TimesNewRomanPSMT" w:cs="TimesNewRomanPSMT"/>
        </w:rPr>
        <w:t xml:space="preserve">The possible values of </w:t>
      </w:r>
      <w:r w:rsidRPr="0098124B">
        <w:t xml:space="preserve">the </w:t>
      </w:r>
      <w:r w:rsidRPr="0098124B">
        <w:rPr>
          <w:rFonts w:ascii="TimesNewRomanPSMT" w:hAnsi="TimesNewRomanPSMT" w:cs="TimesNewRomanPSMT"/>
        </w:rPr>
        <w:t xml:space="preserve">STA Role field are </w:t>
      </w:r>
      <w:r w:rsidRPr="0098124B">
        <w:t xml:space="preserve">indicated in </w:t>
      </w:r>
      <w:r w:rsidR="00BD151C" w:rsidRPr="0098124B">
        <w:rPr>
          <w:rFonts w:ascii="TimesNewRomanPSMT" w:hAnsi="TimesNewRomanPSMT" w:cs="TimesNewRomanPSMT"/>
        </w:rPr>
        <w:fldChar w:fldCharType="begin"/>
      </w:r>
      <w:r w:rsidR="0033582A" w:rsidRPr="0098124B">
        <w:rPr>
          <w:rFonts w:ascii="TimesNewRomanPSMT" w:hAnsi="TimesNewRomanPSMT" w:cs="TimesNewRomanPSMT"/>
        </w:rPr>
        <w:instrText xml:space="preserve"> REF _Ref250642552 \h </w:instrText>
      </w:r>
      <w:r w:rsidR="00BD151C" w:rsidRPr="0098124B">
        <w:rPr>
          <w:rFonts w:ascii="TimesNewRomanPSMT" w:hAnsi="TimesNewRomanPSMT" w:cs="TimesNewRomanPSMT"/>
        </w:rPr>
      </w:r>
      <w:r w:rsidR="00BD151C" w:rsidRPr="0098124B">
        <w:rPr>
          <w:rFonts w:ascii="TimesNewRomanPSMT" w:hAnsi="TimesNewRomanPSMT" w:cs="TimesNewRomanPSMT"/>
        </w:rPr>
        <w:fldChar w:fldCharType="separate"/>
      </w:r>
      <w:r w:rsidR="003E4210" w:rsidRPr="00066F65">
        <w:t xml:space="preserve">Table </w:t>
      </w:r>
      <w:r w:rsidR="003E4210">
        <w:rPr>
          <w:noProof/>
        </w:rPr>
        <w:t>17</w:t>
      </w:r>
      <w:r w:rsidR="00BD151C" w:rsidRPr="0098124B">
        <w:rPr>
          <w:rFonts w:ascii="TimesNewRomanPSMT" w:hAnsi="TimesNewRomanPSMT" w:cs="TimesNewRomanPSMT"/>
        </w:rPr>
        <w:fldChar w:fldCharType="end"/>
      </w:r>
      <w:r w:rsidRPr="0098124B">
        <w:rPr>
          <w:rFonts w:ascii="TimesNewRomanPSMT" w:hAnsi="TimesNewRomanPSMT" w:cs="TimesNewRomanPSMT"/>
        </w:rPr>
        <w:t xml:space="preserve">. </w:t>
      </w:r>
      <w:r w:rsidRPr="0098124B">
        <w:t>If the STA Role field is set to IBSS STA, the BSSID field contains the BSSID of the IBSS.</w:t>
      </w:r>
    </w:p>
    <w:p w:rsidR="00C13431" w:rsidRPr="00FD1D94" w:rsidRDefault="00C13431" w:rsidP="00C13431">
      <w:pPr>
        <w:rPr>
          <w:sz w:val="22"/>
        </w:rPr>
      </w:pPr>
    </w:p>
    <w:p w:rsidR="00BD1538" w:rsidRPr="00066F65" w:rsidRDefault="00BD1538" w:rsidP="00BA5BC4">
      <w:pPr>
        <w:pStyle w:val="Caption"/>
        <w:rPr>
          <w:lang w:eastAsia="ko-KR"/>
        </w:rPr>
      </w:pPr>
      <w:bookmarkStart w:id="675" w:name="_Ref250642552"/>
      <w:bookmarkStart w:id="676" w:name="_Ref236394184"/>
      <w:bookmarkStart w:id="677" w:name="_Ref236394128"/>
      <w:bookmarkStart w:id="678" w:name="_Toc250654420"/>
      <w:bookmarkStart w:id="679" w:name="_Toc259717595"/>
      <w:r w:rsidRPr="00066F65">
        <w:t xml:space="preserve">Table </w:t>
      </w:r>
      <w:r w:rsidR="00BD151C">
        <w:fldChar w:fldCharType="begin"/>
      </w:r>
      <w:r w:rsidR="00801316">
        <w:instrText xml:space="preserve"> SEQ Table \* ARABIC </w:instrText>
      </w:r>
      <w:r w:rsidR="00BD151C">
        <w:fldChar w:fldCharType="separate"/>
      </w:r>
      <w:r w:rsidR="003E4210">
        <w:rPr>
          <w:noProof/>
        </w:rPr>
        <w:t>17</w:t>
      </w:r>
      <w:r w:rsidR="00BD151C">
        <w:fldChar w:fldCharType="end"/>
      </w:r>
      <w:bookmarkEnd w:id="675"/>
      <w:bookmarkEnd w:id="676"/>
      <w:r w:rsidRPr="00066F65">
        <w:t xml:space="preserve"> – </w:t>
      </w:r>
      <w:bookmarkEnd w:id="677"/>
      <w:r w:rsidRPr="00066F65">
        <w:t>STA Role</w:t>
      </w:r>
      <w:bookmarkEnd w:id="678"/>
      <w:bookmarkEnd w:id="679"/>
      <w:r w:rsidRPr="00066F65">
        <w:rPr>
          <w:rFonts w:ascii="Times New Roman" w:hAnsi="Times New Roman"/>
          <w:bCs/>
          <w:i/>
          <w:iCs/>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tblGrid>
      <w:tr w:rsidR="00C13431" w:rsidRPr="0098124B" w:rsidTr="00066F65">
        <w:trPr>
          <w:jc w:val="center"/>
        </w:trPr>
        <w:tc>
          <w:tcPr>
            <w:tcW w:w="3192" w:type="dxa"/>
          </w:tcPr>
          <w:p w:rsidR="00C13431" w:rsidRPr="006F05FB" w:rsidRDefault="00C13431" w:rsidP="00FD1D94">
            <w:pPr>
              <w:jc w:val="center"/>
              <w:rPr>
                <w:b/>
                <w:sz w:val="22"/>
              </w:rPr>
            </w:pPr>
            <w:r w:rsidRPr="006F05FB">
              <w:rPr>
                <w:b/>
              </w:rPr>
              <w:t>STA role</w:t>
            </w:r>
          </w:p>
        </w:tc>
        <w:tc>
          <w:tcPr>
            <w:tcW w:w="3192" w:type="dxa"/>
          </w:tcPr>
          <w:p w:rsidR="00C13431" w:rsidRPr="006F05FB" w:rsidRDefault="00C13431" w:rsidP="00FD1D94">
            <w:pPr>
              <w:jc w:val="center"/>
              <w:rPr>
                <w:b/>
                <w:sz w:val="22"/>
              </w:rPr>
            </w:pPr>
            <w:r w:rsidRPr="006F05FB">
              <w:rPr>
                <w:b/>
              </w:rPr>
              <w:t>Value</w:t>
            </w:r>
          </w:p>
        </w:tc>
      </w:tr>
      <w:tr w:rsidR="00C13431" w:rsidRPr="0098124B" w:rsidTr="00066F65">
        <w:trPr>
          <w:jc w:val="center"/>
        </w:trPr>
        <w:tc>
          <w:tcPr>
            <w:tcW w:w="3192" w:type="dxa"/>
          </w:tcPr>
          <w:p w:rsidR="00C13431" w:rsidRPr="0098124B" w:rsidRDefault="00C13431" w:rsidP="00FD1D94">
            <w:pPr>
              <w:jc w:val="center"/>
            </w:pPr>
            <w:r w:rsidRPr="0098124B">
              <w:t>Non-AP STA</w:t>
            </w:r>
          </w:p>
        </w:tc>
        <w:tc>
          <w:tcPr>
            <w:tcW w:w="3192" w:type="dxa"/>
          </w:tcPr>
          <w:p w:rsidR="00C13431" w:rsidRPr="0098124B" w:rsidRDefault="00C13431" w:rsidP="00FD1D94">
            <w:pPr>
              <w:jc w:val="center"/>
            </w:pPr>
            <w:r w:rsidRPr="0098124B">
              <w:t>0</w:t>
            </w:r>
          </w:p>
        </w:tc>
      </w:tr>
      <w:tr w:rsidR="00C13431" w:rsidRPr="0098124B" w:rsidTr="00066F65">
        <w:trPr>
          <w:jc w:val="center"/>
        </w:trPr>
        <w:tc>
          <w:tcPr>
            <w:tcW w:w="3192" w:type="dxa"/>
          </w:tcPr>
          <w:p w:rsidR="00C13431" w:rsidRPr="0098124B" w:rsidRDefault="00C13431" w:rsidP="00FD1D94">
            <w:pPr>
              <w:jc w:val="center"/>
            </w:pPr>
            <w:r w:rsidRPr="0098124B">
              <w:t>AP</w:t>
            </w:r>
          </w:p>
        </w:tc>
        <w:tc>
          <w:tcPr>
            <w:tcW w:w="3192" w:type="dxa"/>
          </w:tcPr>
          <w:p w:rsidR="00C13431" w:rsidRPr="0098124B" w:rsidRDefault="00C13431" w:rsidP="00FD1D94">
            <w:pPr>
              <w:jc w:val="center"/>
            </w:pPr>
            <w:r w:rsidRPr="0098124B">
              <w:t>1</w:t>
            </w:r>
          </w:p>
        </w:tc>
      </w:tr>
      <w:tr w:rsidR="00C13431" w:rsidRPr="0098124B" w:rsidTr="00066F65">
        <w:trPr>
          <w:jc w:val="center"/>
        </w:trPr>
        <w:tc>
          <w:tcPr>
            <w:tcW w:w="3192" w:type="dxa"/>
          </w:tcPr>
          <w:p w:rsidR="00C13431" w:rsidRPr="0098124B" w:rsidRDefault="00C13431" w:rsidP="00FD1D94">
            <w:pPr>
              <w:jc w:val="center"/>
            </w:pPr>
            <w:r w:rsidRPr="0098124B">
              <w:t>TDLS STA</w:t>
            </w:r>
          </w:p>
        </w:tc>
        <w:tc>
          <w:tcPr>
            <w:tcW w:w="3192" w:type="dxa"/>
          </w:tcPr>
          <w:p w:rsidR="00C13431" w:rsidRPr="0098124B" w:rsidRDefault="00C13431" w:rsidP="00FD1D94">
            <w:pPr>
              <w:jc w:val="center"/>
            </w:pPr>
            <w:r w:rsidRPr="0098124B">
              <w:t>2</w:t>
            </w:r>
          </w:p>
        </w:tc>
      </w:tr>
      <w:tr w:rsidR="00C13431" w:rsidRPr="0098124B" w:rsidTr="00066F65">
        <w:trPr>
          <w:jc w:val="center"/>
        </w:trPr>
        <w:tc>
          <w:tcPr>
            <w:tcW w:w="3192" w:type="dxa"/>
          </w:tcPr>
          <w:p w:rsidR="00C13431" w:rsidRPr="0098124B" w:rsidRDefault="00C13431" w:rsidP="00FD1D94">
            <w:pPr>
              <w:jc w:val="center"/>
            </w:pPr>
            <w:r w:rsidRPr="0098124B">
              <w:t>IBSS STA</w:t>
            </w:r>
          </w:p>
        </w:tc>
        <w:tc>
          <w:tcPr>
            <w:tcW w:w="3192" w:type="dxa"/>
          </w:tcPr>
          <w:p w:rsidR="00C13431" w:rsidRPr="0098124B" w:rsidRDefault="00C13431" w:rsidP="00FD1D94">
            <w:pPr>
              <w:jc w:val="center"/>
            </w:pPr>
            <w:r w:rsidRPr="0098124B">
              <w:t>3</w:t>
            </w:r>
          </w:p>
        </w:tc>
      </w:tr>
      <w:tr w:rsidR="00C13431" w:rsidRPr="0098124B" w:rsidTr="00066F65">
        <w:trPr>
          <w:jc w:val="center"/>
        </w:trPr>
        <w:tc>
          <w:tcPr>
            <w:tcW w:w="3192" w:type="dxa"/>
          </w:tcPr>
          <w:p w:rsidR="00C13431" w:rsidRPr="0098124B" w:rsidRDefault="00C13431" w:rsidP="00FD1D94">
            <w:pPr>
              <w:jc w:val="center"/>
            </w:pPr>
            <w:r w:rsidRPr="0098124B">
              <w:t>PCP</w:t>
            </w:r>
          </w:p>
        </w:tc>
        <w:tc>
          <w:tcPr>
            <w:tcW w:w="3192" w:type="dxa"/>
          </w:tcPr>
          <w:p w:rsidR="00C13431" w:rsidRPr="0098124B" w:rsidRDefault="00C13431" w:rsidP="00FD1D94">
            <w:pPr>
              <w:jc w:val="center"/>
            </w:pPr>
            <w:r w:rsidRPr="0098124B">
              <w:t>4</w:t>
            </w:r>
          </w:p>
        </w:tc>
      </w:tr>
      <w:tr w:rsidR="00C13431" w:rsidRPr="0098124B" w:rsidTr="00066F65">
        <w:trPr>
          <w:jc w:val="center"/>
        </w:trPr>
        <w:tc>
          <w:tcPr>
            <w:tcW w:w="3192" w:type="dxa"/>
          </w:tcPr>
          <w:p w:rsidR="00C13431" w:rsidRPr="0098124B" w:rsidRDefault="00C13431" w:rsidP="00FD1D94">
            <w:pPr>
              <w:jc w:val="center"/>
            </w:pPr>
            <w:r w:rsidRPr="0098124B">
              <w:t>Non-PCP Non-AP STA</w:t>
            </w:r>
          </w:p>
        </w:tc>
        <w:tc>
          <w:tcPr>
            <w:tcW w:w="3192" w:type="dxa"/>
          </w:tcPr>
          <w:p w:rsidR="00C13431" w:rsidRPr="0098124B" w:rsidRDefault="00C13431" w:rsidP="00FD1D94">
            <w:pPr>
              <w:jc w:val="center"/>
            </w:pPr>
            <w:r w:rsidRPr="0098124B">
              <w:t>5</w:t>
            </w:r>
          </w:p>
        </w:tc>
      </w:tr>
      <w:tr w:rsidR="00C13431" w:rsidRPr="0098124B" w:rsidTr="00066F65">
        <w:trPr>
          <w:jc w:val="center"/>
        </w:trPr>
        <w:tc>
          <w:tcPr>
            <w:tcW w:w="3192" w:type="dxa"/>
          </w:tcPr>
          <w:p w:rsidR="00C13431" w:rsidRPr="0098124B" w:rsidRDefault="00C13431" w:rsidP="00FD1D94">
            <w:pPr>
              <w:jc w:val="center"/>
            </w:pPr>
            <w:r w:rsidRPr="0098124B">
              <w:t>Reserved</w:t>
            </w:r>
          </w:p>
        </w:tc>
        <w:tc>
          <w:tcPr>
            <w:tcW w:w="3192" w:type="dxa"/>
          </w:tcPr>
          <w:p w:rsidR="00C13431" w:rsidRPr="0098124B" w:rsidRDefault="00C13431" w:rsidP="00FD1D94">
            <w:pPr>
              <w:jc w:val="center"/>
            </w:pPr>
            <w:r w:rsidRPr="0098124B">
              <w:t>6-7</w:t>
            </w:r>
          </w:p>
        </w:tc>
      </w:tr>
    </w:tbl>
    <w:p w:rsidR="00C13431" w:rsidRPr="00066F65" w:rsidRDefault="00C13431" w:rsidP="00FD1D94">
      <w:pPr>
        <w:jc w:val="center"/>
        <w:rPr>
          <w:u w:val="single"/>
        </w:rPr>
      </w:pPr>
    </w:p>
    <w:p w:rsidR="00E56B03" w:rsidRDefault="00E56B03" w:rsidP="00E56B03">
      <w:r w:rsidRPr="00FD1D94">
        <w:lastRenderedPageBreak/>
        <w:t xml:space="preserve">The STA MAC Address Present field indicates whether the STA MAC Address field is present in the Multi-band </w:t>
      </w:r>
      <w:r w:rsidR="00F264C8" w:rsidRPr="00FD1D94">
        <w:t>element</w:t>
      </w:r>
      <w:r w:rsidRPr="00FD1D94">
        <w:t>. If set to one, the STA MAC Address field is present. If set to zero, the STA MAC Address field is not present.</w:t>
      </w:r>
    </w:p>
    <w:p w:rsidR="00780E7F" w:rsidRDefault="00780E7F" w:rsidP="00E56B03"/>
    <w:p w:rsidR="00780E7F" w:rsidRPr="00FD1D94" w:rsidRDefault="00780E7F" w:rsidP="00E56B03">
      <w:r w:rsidRPr="0074797E">
        <w:rPr>
          <w:rFonts w:eastAsia="Arial Unicode MS"/>
          <w:bCs/>
          <w:iCs/>
          <w:lang w:eastAsia="ar-SA" w:bidi="ar-SA"/>
        </w:rPr>
        <w:t>The Pairwise Cipher Suite Present field indicates whether the</w:t>
      </w:r>
      <w:r>
        <w:rPr>
          <w:rFonts w:eastAsia="Arial Unicode MS"/>
          <w:bCs/>
          <w:iCs/>
          <w:lang w:eastAsia="ar-SA" w:bidi="ar-SA"/>
        </w:rPr>
        <w:t xml:space="preserve"> </w:t>
      </w:r>
      <w:r w:rsidRPr="0074797E">
        <w:rPr>
          <w:rFonts w:eastAsia="Arial Unicode MS"/>
          <w:bCs/>
          <w:iCs/>
          <w:lang w:eastAsia="ar-SA" w:bidi="ar-SA"/>
        </w:rPr>
        <w:t xml:space="preserve">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 xml:space="preserve">st field </w:t>
      </w:r>
      <w:r>
        <w:rPr>
          <w:rFonts w:eastAsia="Arial Unicode MS"/>
          <w:bCs/>
          <w:iCs/>
          <w:lang w:eastAsia="ar-SA" w:bidi="ar-SA"/>
        </w:rPr>
        <w:t>are present in the Multi-band element</w:t>
      </w:r>
      <w:r w:rsidRPr="0074797E">
        <w:rPr>
          <w:rFonts w:eastAsia="Arial Unicode MS"/>
          <w:bCs/>
          <w:iCs/>
          <w:lang w:eastAsia="ar-SA" w:bidi="ar-SA"/>
        </w:rPr>
        <w:t xml:space="preserve">. If set to one, the 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 xml:space="preserve">st field </w:t>
      </w:r>
      <w:r>
        <w:rPr>
          <w:rFonts w:eastAsia="Arial Unicode MS"/>
          <w:bCs/>
          <w:iCs/>
          <w:lang w:eastAsia="ar-SA" w:bidi="ar-SA"/>
        </w:rPr>
        <w:t xml:space="preserve">are </w:t>
      </w:r>
      <w:r w:rsidRPr="0074797E">
        <w:rPr>
          <w:rFonts w:eastAsia="Arial Unicode MS"/>
          <w:bCs/>
          <w:iCs/>
          <w:lang w:eastAsia="ar-SA" w:bidi="ar-SA"/>
        </w:rPr>
        <w:t>present. If set to zero, the</w:t>
      </w:r>
      <w:r>
        <w:rPr>
          <w:rFonts w:eastAsia="Arial Unicode MS"/>
          <w:bCs/>
          <w:iCs/>
          <w:lang w:eastAsia="ar-SA" w:bidi="ar-SA"/>
        </w:rPr>
        <w:t xml:space="preserve"> </w:t>
      </w:r>
      <w:r w:rsidRPr="0074797E">
        <w:rPr>
          <w:rFonts w:eastAsia="Arial Unicode MS"/>
          <w:bCs/>
          <w:iCs/>
          <w:lang w:eastAsia="ar-SA" w:bidi="ar-SA"/>
        </w:rPr>
        <w:t xml:space="preserve">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 xml:space="preserve">st field </w:t>
      </w:r>
      <w:r>
        <w:rPr>
          <w:rFonts w:eastAsia="Arial Unicode MS"/>
          <w:bCs/>
          <w:iCs/>
          <w:lang w:eastAsia="ar-SA" w:bidi="ar-SA"/>
        </w:rPr>
        <w:t>are</w:t>
      </w:r>
      <w:r w:rsidRPr="0074797E">
        <w:rPr>
          <w:rFonts w:eastAsia="Arial Unicode MS"/>
          <w:bCs/>
          <w:iCs/>
          <w:lang w:eastAsia="ar-SA" w:bidi="ar-SA"/>
        </w:rPr>
        <w:t xml:space="preserve"> not present.</w:t>
      </w:r>
      <w:r w:rsidRPr="00780E7F">
        <w:t xml:space="preserve"> </w:t>
      </w:r>
    </w:p>
    <w:p w:rsidR="00E56B03" w:rsidRPr="00FD1D94" w:rsidRDefault="00E56B03" w:rsidP="00E56B03"/>
    <w:p w:rsidR="00D07A0A" w:rsidRPr="007F436B" w:rsidRDefault="00D07A0A" w:rsidP="00E56B03">
      <w:r w:rsidRPr="007F436B">
        <w:t xml:space="preserve">The </w:t>
      </w:r>
      <w:r w:rsidRPr="007F436B">
        <w:rPr>
          <w:iCs/>
        </w:rPr>
        <w:t>Band ID</w:t>
      </w:r>
      <w:r w:rsidRPr="007F436B">
        <w:t xml:space="preserve"> field </w:t>
      </w:r>
      <w:r w:rsidRPr="007F436B">
        <w:rPr>
          <w:iCs/>
        </w:rPr>
        <w:t>provides</w:t>
      </w:r>
      <w:r w:rsidRPr="007F436B">
        <w:t xml:space="preserve"> the </w:t>
      </w:r>
      <w:r w:rsidRPr="007F436B">
        <w:rPr>
          <w:iCs/>
        </w:rPr>
        <w:t>identification of</w:t>
      </w:r>
      <w:r w:rsidRPr="007F436B">
        <w:t xml:space="preserve"> the </w:t>
      </w:r>
      <w:r w:rsidRPr="007F436B">
        <w:rPr>
          <w:iCs/>
        </w:rPr>
        <w:t xml:space="preserve">frequency band related to </w:t>
      </w:r>
      <w:r w:rsidRPr="007F436B">
        <w:t xml:space="preserve">the </w:t>
      </w:r>
      <w:r w:rsidRPr="007F436B">
        <w:rPr>
          <w:iCs/>
        </w:rPr>
        <w:t>Regulatory Class and Channel</w:t>
      </w:r>
      <w:r w:rsidRPr="007F436B">
        <w:t xml:space="preserve"> number </w:t>
      </w:r>
      <w:r w:rsidRPr="007F436B">
        <w:rPr>
          <w:iCs/>
        </w:rPr>
        <w:t>fields</w:t>
      </w:r>
      <w:r w:rsidRPr="007F436B">
        <w:t>. It is set to 1 for LB, 2 for HB, 3 for UB and the value 0 is reserved.</w:t>
      </w:r>
      <w:r w:rsidR="00466031">
        <w:t xml:space="preserve"> </w:t>
      </w:r>
    </w:p>
    <w:p w:rsidR="00D07A0A" w:rsidRPr="00BA0F5B" w:rsidRDefault="00D07A0A" w:rsidP="00E56B03"/>
    <w:p w:rsidR="00E56B03" w:rsidRPr="00BA0F5B" w:rsidRDefault="00E56B03" w:rsidP="00E56B03">
      <w:r w:rsidRPr="00BA0F5B">
        <w:t xml:space="preserve">Regulatory Class indicates the channel set for which the </w:t>
      </w:r>
      <w:r w:rsidR="00493DD7">
        <w:t>Multi-band</w:t>
      </w:r>
      <w:r w:rsidRPr="00BA0F5B">
        <w:t xml:space="preserve"> </w:t>
      </w:r>
      <w:r w:rsidR="00F264C8" w:rsidRPr="00BA0F5B">
        <w:t>element</w:t>
      </w:r>
      <w:r w:rsidRPr="00BA0F5B">
        <w:t xml:space="preserve"> applies. Country, Regulatory Class, and Channel Number together specify the channel frequency and spacing for which the </w:t>
      </w:r>
      <w:r w:rsidR="00493DD7">
        <w:t>Multi-band</w:t>
      </w:r>
      <w:r w:rsidRPr="00BA0F5B">
        <w:t xml:space="preserve"> </w:t>
      </w:r>
      <w:r w:rsidR="00F264C8" w:rsidRPr="00BA0F5B">
        <w:t>element</w:t>
      </w:r>
      <w:r w:rsidRPr="00BA0F5B">
        <w:t xml:space="preserve"> applies. Valid values of Regulatory Class are shown in Annex J.</w:t>
      </w:r>
    </w:p>
    <w:p w:rsidR="00E56B03" w:rsidRPr="00BA0F5B" w:rsidRDefault="00E56B03" w:rsidP="00E56B03"/>
    <w:p w:rsidR="00E56B03" w:rsidRPr="00BA0F5B" w:rsidRDefault="00E56B03" w:rsidP="00E56B03">
      <w:r w:rsidRPr="00BA0F5B">
        <w:t>The Channel number field is set to the number of the channel the transmitting STA intends to operate on.</w:t>
      </w:r>
    </w:p>
    <w:p w:rsidR="00E56B03" w:rsidRDefault="00E56B03" w:rsidP="00E56B03">
      <w:pPr>
        <w:rPr>
          <w:u w:val="single"/>
        </w:rPr>
      </w:pPr>
    </w:p>
    <w:p w:rsidR="00E56B03" w:rsidRPr="00BA0F5B" w:rsidRDefault="00E56B03" w:rsidP="00E56B03">
      <w:pPr>
        <w:autoSpaceDE w:val="0"/>
        <w:autoSpaceDN w:val="0"/>
        <w:adjustRightInd w:val="0"/>
      </w:pPr>
      <w:r w:rsidRPr="00BA0F5B">
        <w:t xml:space="preserve">If the transmitting STA is a member of a </w:t>
      </w:r>
      <w:r w:rsidR="00BA7D0E">
        <w:t>PBSS or infrastructure BSS on both the channel</w:t>
      </w:r>
      <w:r w:rsidRPr="00BA0F5B">
        <w:t xml:space="preserve"> indicated in this element and the channel on which the element is transmitted, then the TSF Offset field contains the time offset of the TSF of the PBSS or </w:t>
      </w:r>
      <w:r w:rsidR="00BA7D0E">
        <w:t>infrastructure</w:t>
      </w:r>
      <w:r w:rsidR="00BA7D0E" w:rsidRPr="00BA0F5B">
        <w:t xml:space="preserve"> </w:t>
      </w:r>
      <w:r w:rsidRPr="00BA0F5B">
        <w:t xml:space="preserve">BSS of which the transmitting STA is member on the channel indicated in this element relative to the TSF of the PBSS or </w:t>
      </w:r>
      <w:r w:rsidR="00BA7D0E">
        <w:t>infrastructure</w:t>
      </w:r>
      <w:r w:rsidR="00BA7D0E" w:rsidRPr="00BA0F5B">
        <w:t xml:space="preserve"> </w:t>
      </w:r>
      <w:r w:rsidRPr="00BA0F5B">
        <w:t xml:space="preserve">BSS corresponding to the BSSID indicated in the Address 3 field of the MPDU in which this element is transmitted, specified as a two’s complement </w:t>
      </w:r>
      <w:r w:rsidR="00C32D51" w:rsidRPr="00BA0F5B">
        <w:t xml:space="preserve">integer in microsecond units. </w:t>
      </w:r>
      <w:r w:rsidRPr="00BA0F5B">
        <w:t>If the transmitting STA is not a member of a</w:t>
      </w:r>
      <w:r w:rsidR="00BA7D0E">
        <w:t>n</w:t>
      </w:r>
      <w:r w:rsidRPr="00BA0F5B">
        <w:t xml:space="preserve"> </w:t>
      </w:r>
      <w:r w:rsidR="00BA7D0E">
        <w:t>infrastructure</w:t>
      </w:r>
      <w:r w:rsidR="00BA7D0E" w:rsidRPr="00BA0F5B">
        <w:t xml:space="preserve"> </w:t>
      </w:r>
      <w:r w:rsidRPr="00BA0F5B">
        <w:t>BSS or PBSS on both the channel indicated in this element and the channel on which the element is transmitted, then the TSF Offset field contains the value zero.</w:t>
      </w:r>
    </w:p>
    <w:p w:rsidR="00115A6F" w:rsidRPr="00BA0F5B" w:rsidRDefault="00115A6F" w:rsidP="00E56B03">
      <w:pPr>
        <w:autoSpaceDE w:val="0"/>
        <w:autoSpaceDN w:val="0"/>
        <w:adjustRightInd w:val="0"/>
        <w:rPr>
          <w:sz w:val="22"/>
        </w:rPr>
      </w:pPr>
    </w:p>
    <w:p w:rsidR="001E0BD3" w:rsidRPr="00FA0AC3" w:rsidRDefault="001E0BD3" w:rsidP="001E0BD3">
      <w:pPr>
        <w:autoSpaceDE w:val="0"/>
        <w:autoSpaceDN w:val="0"/>
        <w:adjustRightInd w:val="0"/>
        <w:rPr>
          <w:iCs/>
          <w:lang w:eastAsia="ko-KR"/>
        </w:rPr>
      </w:pPr>
      <w:r w:rsidRPr="00FA0AC3">
        <w:rPr>
          <w:iCs/>
          <w:lang w:eastAsia="ko-KR"/>
        </w:rPr>
        <w:t>The Multi</w:t>
      </w:r>
      <w:r w:rsidR="00E27B79">
        <w:rPr>
          <w:iCs/>
          <w:lang w:eastAsia="ko-KR"/>
        </w:rPr>
        <w:t>-</w:t>
      </w:r>
      <w:r w:rsidRPr="00FA0AC3">
        <w:rPr>
          <w:iCs/>
          <w:lang w:eastAsia="ko-KR"/>
        </w:rPr>
        <w:t>band STA Capability field is defined in</w:t>
      </w:r>
      <w:r w:rsidR="006F05FB">
        <w:rPr>
          <w:iCs/>
          <w:lang w:eastAsia="ko-KR"/>
        </w:rPr>
        <w:t xml:space="preserve"> </w:t>
      </w:r>
      <w:r w:rsidR="00BD151C">
        <w:rPr>
          <w:iCs/>
          <w:lang w:eastAsia="ko-KR"/>
        </w:rPr>
        <w:fldChar w:fldCharType="begin"/>
      </w:r>
      <w:r w:rsidR="006F05FB">
        <w:rPr>
          <w:iCs/>
          <w:lang w:eastAsia="ko-KR"/>
        </w:rPr>
        <w:instrText xml:space="preserve"> REF _Ref251599204 \h </w:instrText>
      </w:r>
      <w:r w:rsidR="00BD151C">
        <w:rPr>
          <w:iCs/>
          <w:lang w:eastAsia="ko-KR"/>
        </w:rPr>
      </w:r>
      <w:r w:rsidR="00BD151C">
        <w:rPr>
          <w:iCs/>
          <w:lang w:eastAsia="ko-KR"/>
        </w:rPr>
        <w:fldChar w:fldCharType="separate"/>
      </w:r>
      <w:r w:rsidR="003E4210">
        <w:t xml:space="preserve">Figure </w:t>
      </w:r>
      <w:r w:rsidR="003E4210">
        <w:rPr>
          <w:noProof/>
        </w:rPr>
        <w:t>52</w:t>
      </w:r>
      <w:r w:rsidR="00BD151C">
        <w:rPr>
          <w:iCs/>
          <w:lang w:eastAsia="ko-KR"/>
        </w:rPr>
        <w:fldChar w:fldCharType="end"/>
      </w:r>
      <w:r w:rsidRPr="00FA0AC3">
        <w:rPr>
          <w:iCs/>
          <w:lang w:eastAsia="ko-KR"/>
        </w:rPr>
        <w:t>. The Multi</w:t>
      </w:r>
      <w:r w:rsidR="00E27B79">
        <w:rPr>
          <w:iCs/>
          <w:lang w:eastAsia="ko-KR"/>
        </w:rPr>
        <w:t>-</w:t>
      </w:r>
      <w:r w:rsidRPr="00FA0AC3">
        <w:rPr>
          <w:iCs/>
          <w:lang w:eastAsia="ko-KR"/>
        </w:rPr>
        <w:t>band STA Capability field indicates the connection capabilities supported by the STA on the channel and band indicated in this element.</w:t>
      </w:r>
    </w:p>
    <w:p w:rsidR="001E0BD3" w:rsidRPr="00E4444A" w:rsidRDefault="001E0BD3" w:rsidP="001E0BD3">
      <w:pPr>
        <w:autoSpaceDE w:val="0"/>
        <w:autoSpaceDN w:val="0"/>
        <w:adjustRightInd w:val="0"/>
        <w:jc w:val="center"/>
        <w:outlineLvl w:val="0"/>
        <w:rPr>
          <w:i/>
          <w:sz w:val="28"/>
          <w:lang w:eastAsia="ko-KR"/>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498"/>
        <w:gridCol w:w="608"/>
        <w:gridCol w:w="632"/>
        <w:gridCol w:w="766"/>
        <w:gridCol w:w="1133"/>
        <w:gridCol w:w="1194"/>
      </w:tblGrid>
      <w:tr w:rsidR="001E0BD3" w:rsidRPr="00E4444A" w:rsidTr="00377195">
        <w:trPr>
          <w:jc w:val="center"/>
        </w:trPr>
        <w:tc>
          <w:tcPr>
            <w:tcW w:w="0" w:type="auto"/>
          </w:tcPr>
          <w:p w:rsidR="001E0BD3" w:rsidRPr="00FA0AC3" w:rsidRDefault="001E0BD3" w:rsidP="00377195">
            <w:pPr>
              <w:jc w:val="both"/>
              <w:rPr>
                <w:rFonts w:eastAsia="SimSun"/>
                <w:sz w:val="22"/>
                <w:szCs w:val="22"/>
              </w:rPr>
            </w:pPr>
          </w:p>
        </w:tc>
        <w:tc>
          <w:tcPr>
            <w:tcW w:w="0" w:type="auto"/>
          </w:tcPr>
          <w:p w:rsidR="001E0BD3" w:rsidRPr="00FA0AC3" w:rsidRDefault="001E0BD3" w:rsidP="00377195">
            <w:pPr>
              <w:jc w:val="both"/>
              <w:rPr>
                <w:rFonts w:eastAsia="Malgun Gothic"/>
                <w:sz w:val="22"/>
                <w:szCs w:val="22"/>
                <w:lang w:eastAsia="ko-KR"/>
              </w:rPr>
            </w:pPr>
            <w:r w:rsidRPr="00FA0AC3">
              <w:rPr>
                <w:rFonts w:eastAsia="Malgun Gothic"/>
                <w:sz w:val="22"/>
                <w:szCs w:val="22"/>
                <w:lang w:eastAsia="ko-KR"/>
              </w:rPr>
              <w:t>AP</w:t>
            </w:r>
          </w:p>
        </w:tc>
        <w:tc>
          <w:tcPr>
            <w:tcW w:w="0" w:type="auto"/>
          </w:tcPr>
          <w:p w:rsidR="001E0BD3" w:rsidRPr="00E4444A" w:rsidRDefault="001E0BD3" w:rsidP="00377195">
            <w:pPr>
              <w:jc w:val="both"/>
              <w:rPr>
                <w:rFonts w:eastAsia="Malgun Gothic"/>
                <w:sz w:val="22"/>
                <w:szCs w:val="22"/>
                <w:lang w:eastAsia="ko-KR"/>
              </w:rPr>
            </w:pPr>
            <w:r>
              <w:rPr>
                <w:rFonts w:eastAsia="Malgun Gothic"/>
                <w:sz w:val="22"/>
                <w:szCs w:val="22"/>
                <w:lang w:eastAsia="ko-KR"/>
              </w:rPr>
              <w:t>PCP</w:t>
            </w:r>
          </w:p>
        </w:tc>
        <w:tc>
          <w:tcPr>
            <w:tcW w:w="0" w:type="auto"/>
          </w:tcPr>
          <w:p w:rsidR="001E0BD3" w:rsidRPr="00FA0AC3" w:rsidRDefault="001E0BD3" w:rsidP="00377195">
            <w:pPr>
              <w:jc w:val="both"/>
              <w:rPr>
                <w:rFonts w:eastAsia="Malgun Gothic"/>
                <w:sz w:val="22"/>
                <w:szCs w:val="22"/>
                <w:lang w:eastAsia="ko-KR"/>
              </w:rPr>
            </w:pPr>
            <w:r w:rsidRPr="00FA0AC3">
              <w:rPr>
                <w:rFonts w:eastAsia="Malgun Gothic"/>
                <w:sz w:val="22"/>
                <w:szCs w:val="22"/>
                <w:lang w:eastAsia="ko-KR"/>
              </w:rPr>
              <w:t>DLS</w:t>
            </w:r>
          </w:p>
        </w:tc>
        <w:tc>
          <w:tcPr>
            <w:tcW w:w="0" w:type="auto"/>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TDLS</w:t>
            </w:r>
          </w:p>
        </w:tc>
        <w:tc>
          <w:tcPr>
            <w:tcW w:w="1133" w:type="dxa"/>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IBSS</w:t>
            </w:r>
          </w:p>
        </w:tc>
        <w:tc>
          <w:tcPr>
            <w:tcW w:w="1194" w:type="dxa"/>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Reserved</w:t>
            </w:r>
          </w:p>
        </w:tc>
      </w:tr>
      <w:tr w:rsidR="001E0BD3" w:rsidRPr="00E4444A" w:rsidTr="00377195">
        <w:trPr>
          <w:jc w:val="center"/>
        </w:trPr>
        <w:tc>
          <w:tcPr>
            <w:tcW w:w="0" w:type="auto"/>
          </w:tcPr>
          <w:p w:rsidR="001E0BD3" w:rsidRPr="00FA0AC3" w:rsidRDefault="001E0BD3" w:rsidP="00377195">
            <w:pPr>
              <w:jc w:val="both"/>
              <w:rPr>
                <w:rFonts w:eastAsia="SimSun"/>
                <w:sz w:val="22"/>
                <w:szCs w:val="22"/>
              </w:rPr>
            </w:pPr>
            <w:r w:rsidRPr="00FA0AC3">
              <w:rPr>
                <w:rFonts w:eastAsia="Malgun Gothic"/>
                <w:sz w:val="22"/>
                <w:szCs w:val="22"/>
                <w:lang w:eastAsia="ko-KR"/>
              </w:rPr>
              <w:t>Bits</w:t>
            </w:r>
            <w:r w:rsidRPr="00FA0AC3">
              <w:rPr>
                <w:rFonts w:eastAsia="SimSun"/>
                <w:sz w:val="22"/>
                <w:szCs w:val="22"/>
              </w:rPr>
              <w:t>:</w:t>
            </w:r>
          </w:p>
        </w:tc>
        <w:tc>
          <w:tcPr>
            <w:tcW w:w="0" w:type="auto"/>
          </w:tcPr>
          <w:p w:rsidR="001E0BD3" w:rsidRPr="00FA0AC3" w:rsidRDefault="001E0BD3" w:rsidP="00377195">
            <w:pPr>
              <w:jc w:val="center"/>
              <w:rPr>
                <w:rFonts w:eastAsia="SimSun"/>
                <w:sz w:val="22"/>
                <w:szCs w:val="22"/>
              </w:rPr>
            </w:pPr>
            <w:r w:rsidRPr="00FA0AC3">
              <w:rPr>
                <w:rFonts w:eastAsia="SimSun"/>
                <w:sz w:val="22"/>
                <w:szCs w:val="22"/>
              </w:rPr>
              <w:t>1</w:t>
            </w:r>
          </w:p>
        </w:tc>
        <w:tc>
          <w:tcPr>
            <w:tcW w:w="0" w:type="auto"/>
          </w:tcPr>
          <w:p w:rsidR="001E0BD3" w:rsidRPr="00E4444A" w:rsidRDefault="001E0BD3" w:rsidP="00377195">
            <w:pPr>
              <w:jc w:val="center"/>
              <w:rPr>
                <w:rFonts w:eastAsia="SimSun"/>
                <w:sz w:val="22"/>
                <w:szCs w:val="22"/>
              </w:rPr>
            </w:pPr>
            <w:r>
              <w:rPr>
                <w:rFonts w:eastAsia="SimSun"/>
                <w:sz w:val="22"/>
                <w:szCs w:val="22"/>
              </w:rPr>
              <w:t>1</w:t>
            </w:r>
          </w:p>
        </w:tc>
        <w:tc>
          <w:tcPr>
            <w:tcW w:w="0" w:type="auto"/>
          </w:tcPr>
          <w:p w:rsidR="001E0BD3" w:rsidRPr="00FA0AC3" w:rsidRDefault="001E0BD3" w:rsidP="00377195">
            <w:pPr>
              <w:jc w:val="center"/>
              <w:rPr>
                <w:rFonts w:eastAsia="SimSun"/>
                <w:sz w:val="22"/>
                <w:szCs w:val="22"/>
              </w:rPr>
            </w:pPr>
            <w:r w:rsidRPr="00FA0AC3">
              <w:rPr>
                <w:rFonts w:eastAsia="SimSun"/>
                <w:sz w:val="22"/>
                <w:szCs w:val="22"/>
              </w:rPr>
              <w:t>1</w:t>
            </w:r>
          </w:p>
        </w:tc>
        <w:tc>
          <w:tcPr>
            <w:tcW w:w="0" w:type="auto"/>
          </w:tcPr>
          <w:p w:rsidR="001E0BD3" w:rsidRPr="00FA0AC3" w:rsidRDefault="001E0BD3" w:rsidP="00377195">
            <w:pPr>
              <w:jc w:val="center"/>
              <w:rPr>
                <w:rFonts w:eastAsia="SimSun"/>
                <w:sz w:val="22"/>
                <w:szCs w:val="22"/>
              </w:rPr>
            </w:pPr>
            <w:r w:rsidRPr="00FA0AC3">
              <w:rPr>
                <w:rFonts w:eastAsia="SimSun"/>
                <w:sz w:val="22"/>
                <w:szCs w:val="22"/>
              </w:rPr>
              <w:t>1</w:t>
            </w:r>
          </w:p>
        </w:tc>
        <w:tc>
          <w:tcPr>
            <w:tcW w:w="1133" w:type="dxa"/>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1</w:t>
            </w:r>
          </w:p>
        </w:tc>
        <w:tc>
          <w:tcPr>
            <w:tcW w:w="1194" w:type="dxa"/>
          </w:tcPr>
          <w:p w:rsidR="001E0BD3" w:rsidRPr="00FA0AC3" w:rsidRDefault="001E0BD3" w:rsidP="00377195">
            <w:pPr>
              <w:jc w:val="center"/>
              <w:rPr>
                <w:rFonts w:eastAsia="Malgun Gothic"/>
                <w:sz w:val="22"/>
                <w:szCs w:val="22"/>
                <w:lang w:eastAsia="ko-KR"/>
              </w:rPr>
            </w:pPr>
            <w:r>
              <w:rPr>
                <w:rFonts w:eastAsia="Malgun Gothic"/>
                <w:sz w:val="22"/>
                <w:szCs w:val="22"/>
                <w:lang w:eastAsia="ko-KR"/>
              </w:rPr>
              <w:t>3</w:t>
            </w:r>
          </w:p>
        </w:tc>
      </w:tr>
    </w:tbl>
    <w:p w:rsidR="001E0BD3" w:rsidRPr="008E5AA4" w:rsidRDefault="005D1B3F" w:rsidP="005D1B3F">
      <w:pPr>
        <w:pStyle w:val="Caption"/>
      </w:pPr>
      <w:bookmarkStart w:id="680" w:name="_Ref251599204"/>
      <w:bookmarkStart w:id="681" w:name="_Toc259717484"/>
      <w:r>
        <w:t xml:space="preserve">Figure </w:t>
      </w:r>
      <w:r w:rsidR="00BD151C">
        <w:fldChar w:fldCharType="begin"/>
      </w:r>
      <w:r w:rsidR="00801316">
        <w:instrText xml:space="preserve"> SEQ Figure \* ARABIC </w:instrText>
      </w:r>
      <w:r w:rsidR="00BD151C">
        <w:fldChar w:fldCharType="separate"/>
      </w:r>
      <w:r w:rsidR="003E4210">
        <w:rPr>
          <w:noProof/>
        </w:rPr>
        <w:t>52</w:t>
      </w:r>
      <w:r w:rsidR="00BD151C">
        <w:fldChar w:fldCharType="end"/>
      </w:r>
      <w:bookmarkEnd w:id="680"/>
      <w:r w:rsidR="006F05FB">
        <w:t xml:space="preserve"> </w:t>
      </w:r>
      <w:r w:rsidR="001E0BD3" w:rsidRPr="00A95361">
        <w:rPr>
          <w:sz w:val="28"/>
          <w:lang w:eastAsia="ko-KR"/>
        </w:rPr>
        <w:t>–</w:t>
      </w:r>
      <w:r w:rsidR="001E0BD3" w:rsidRPr="00FA0AC3">
        <w:rPr>
          <w:sz w:val="28"/>
        </w:rPr>
        <w:t xml:space="preserve"> </w:t>
      </w:r>
      <w:r w:rsidR="001E0BD3" w:rsidRPr="000A70A0">
        <w:rPr>
          <w:szCs w:val="18"/>
        </w:rPr>
        <w:t>Multi-band STA capability field format</w:t>
      </w:r>
      <w:bookmarkEnd w:id="681"/>
    </w:p>
    <w:p w:rsidR="001E0BD3" w:rsidRDefault="001E0BD3" w:rsidP="001E0BD3">
      <w:pPr>
        <w:autoSpaceDE w:val="0"/>
        <w:autoSpaceDN w:val="0"/>
        <w:adjustRightInd w:val="0"/>
        <w:rPr>
          <w:iCs/>
          <w:lang w:eastAsia="ko-KR"/>
        </w:rPr>
      </w:pPr>
      <w:r w:rsidRPr="00FA0AC3">
        <w:rPr>
          <w:iCs/>
          <w:lang w:eastAsia="ko-KR"/>
        </w:rPr>
        <w:t xml:space="preserve">The AP field specifies </w:t>
      </w:r>
      <w:r>
        <w:rPr>
          <w:iCs/>
          <w:lang w:eastAsia="ko-KR"/>
        </w:rPr>
        <w:t xml:space="preserve">whether the STA can function as an AP </w:t>
      </w:r>
      <w:r w:rsidRPr="00FA0AC3">
        <w:rPr>
          <w:iCs/>
          <w:lang w:eastAsia="ko-KR"/>
        </w:rPr>
        <w:t xml:space="preserve">on the channel </w:t>
      </w:r>
      <w:r>
        <w:rPr>
          <w:iCs/>
          <w:lang w:eastAsia="ko-KR"/>
        </w:rPr>
        <w:t xml:space="preserve">and band </w:t>
      </w:r>
      <w:r w:rsidRPr="00FA0AC3">
        <w:rPr>
          <w:iCs/>
          <w:lang w:eastAsia="ko-KR"/>
        </w:rPr>
        <w:t>indi</w:t>
      </w:r>
      <w:r>
        <w:rPr>
          <w:iCs/>
          <w:lang w:eastAsia="ko-KR"/>
        </w:rPr>
        <w:t>c</w:t>
      </w:r>
      <w:r w:rsidRPr="00FA0AC3">
        <w:rPr>
          <w:iCs/>
          <w:lang w:eastAsia="ko-KR"/>
        </w:rPr>
        <w:t>ated</w:t>
      </w:r>
      <w:r>
        <w:rPr>
          <w:iCs/>
          <w:lang w:eastAsia="ko-KR"/>
        </w:rPr>
        <w:t xml:space="preserve"> </w:t>
      </w:r>
      <w:r w:rsidRPr="00FA0AC3">
        <w:rPr>
          <w:iCs/>
          <w:lang w:eastAsia="ko-KR"/>
        </w:rPr>
        <w:t xml:space="preserve">in the element. It is set to </w:t>
      </w:r>
      <w:r>
        <w:rPr>
          <w:iCs/>
          <w:lang w:eastAsia="ko-KR"/>
        </w:rPr>
        <w:t>one</w:t>
      </w:r>
      <w:r w:rsidRPr="00FA0AC3">
        <w:rPr>
          <w:iCs/>
          <w:lang w:eastAsia="ko-KR"/>
        </w:rPr>
        <w:t xml:space="preserve"> when the STA </w:t>
      </w:r>
      <w:r>
        <w:rPr>
          <w:iCs/>
          <w:lang w:eastAsia="ko-KR"/>
        </w:rPr>
        <w:t>is capable to function as an</w:t>
      </w:r>
      <w:r w:rsidRPr="00FA0AC3">
        <w:rPr>
          <w:iCs/>
          <w:lang w:eastAsia="ko-KR"/>
        </w:rPr>
        <w:t xml:space="preserve"> AP </w:t>
      </w:r>
      <w:r>
        <w:rPr>
          <w:iCs/>
          <w:lang w:eastAsia="ko-KR"/>
        </w:rPr>
        <w:t>a</w:t>
      </w:r>
      <w:r w:rsidRPr="00FA0AC3">
        <w:rPr>
          <w:iCs/>
          <w:lang w:eastAsia="ko-KR"/>
        </w:rPr>
        <w:t xml:space="preserve">nd </w:t>
      </w:r>
      <w:r>
        <w:rPr>
          <w:iCs/>
          <w:lang w:eastAsia="ko-KR"/>
        </w:rPr>
        <w:t xml:space="preserve">it is </w:t>
      </w:r>
      <w:r w:rsidRPr="00FA0AC3">
        <w:rPr>
          <w:iCs/>
          <w:lang w:eastAsia="ko-KR"/>
        </w:rPr>
        <w:t>set to zero otherwise.</w:t>
      </w:r>
    </w:p>
    <w:p w:rsidR="001E0BD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E4444A">
        <w:rPr>
          <w:iCs/>
          <w:lang w:eastAsia="ko-KR"/>
        </w:rPr>
        <w:t xml:space="preserve">The </w:t>
      </w:r>
      <w:r>
        <w:rPr>
          <w:iCs/>
          <w:lang w:eastAsia="ko-KR"/>
        </w:rPr>
        <w:t>PCP</w:t>
      </w:r>
      <w:r w:rsidRPr="00E4444A">
        <w:rPr>
          <w:iCs/>
          <w:lang w:eastAsia="ko-KR"/>
        </w:rPr>
        <w:t xml:space="preserve"> field specifies </w:t>
      </w:r>
      <w:r>
        <w:rPr>
          <w:iCs/>
          <w:lang w:eastAsia="ko-KR"/>
        </w:rPr>
        <w:t xml:space="preserve">whether the STA can function as a PCP </w:t>
      </w:r>
      <w:r w:rsidRPr="00E4444A">
        <w:rPr>
          <w:iCs/>
          <w:lang w:eastAsia="ko-KR"/>
        </w:rPr>
        <w:t xml:space="preserve">on the channel </w:t>
      </w:r>
      <w:r>
        <w:rPr>
          <w:iCs/>
          <w:lang w:eastAsia="ko-KR"/>
        </w:rPr>
        <w:t xml:space="preserve">and band </w:t>
      </w:r>
      <w:r w:rsidRPr="00E4444A">
        <w:rPr>
          <w:iCs/>
          <w:lang w:eastAsia="ko-KR"/>
        </w:rPr>
        <w:t>indi</w:t>
      </w:r>
      <w:r>
        <w:rPr>
          <w:iCs/>
          <w:lang w:eastAsia="ko-KR"/>
        </w:rPr>
        <w:t>c</w:t>
      </w:r>
      <w:r w:rsidRPr="00E4444A">
        <w:rPr>
          <w:iCs/>
          <w:lang w:eastAsia="ko-KR"/>
        </w:rPr>
        <w:t>ated</w:t>
      </w:r>
      <w:r>
        <w:rPr>
          <w:iCs/>
          <w:lang w:eastAsia="ko-KR"/>
        </w:rPr>
        <w:t xml:space="preserve"> </w:t>
      </w:r>
      <w:r w:rsidRPr="00E4444A">
        <w:rPr>
          <w:iCs/>
          <w:lang w:eastAsia="ko-KR"/>
        </w:rPr>
        <w:t xml:space="preserve">in the element. It is set to </w:t>
      </w:r>
      <w:r>
        <w:rPr>
          <w:iCs/>
          <w:lang w:eastAsia="ko-KR"/>
        </w:rPr>
        <w:t>one</w:t>
      </w:r>
      <w:r w:rsidRPr="00E4444A">
        <w:rPr>
          <w:iCs/>
          <w:lang w:eastAsia="ko-KR"/>
        </w:rPr>
        <w:t xml:space="preserve"> when the STA </w:t>
      </w:r>
      <w:r>
        <w:rPr>
          <w:iCs/>
          <w:lang w:eastAsia="ko-KR"/>
        </w:rPr>
        <w:t>is capable to function as a</w:t>
      </w:r>
      <w:r w:rsidRPr="00E4444A">
        <w:rPr>
          <w:iCs/>
          <w:lang w:eastAsia="ko-KR"/>
        </w:rPr>
        <w:t xml:space="preserve"> </w:t>
      </w:r>
      <w:r>
        <w:rPr>
          <w:iCs/>
          <w:lang w:eastAsia="ko-KR"/>
        </w:rPr>
        <w:t>PCP</w:t>
      </w:r>
      <w:r w:rsidRPr="00E4444A">
        <w:rPr>
          <w:iCs/>
          <w:lang w:eastAsia="ko-KR"/>
        </w:rPr>
        <w:t xml:space="preserve"> </w:t>
      </w:r>
      <w:r>
        <w:rPr>
          <w:iCs/>
          <w:lang w:eastAsia="ko-KR"/>
        </w:rPr>
        <w:t>a</w:t>
      </w:r>
      <w:r w:rsidRPr="00E4444A">
        <w:rPr>
          <w:iCs/>
          <w:lang w:eastAsia="ko-KR"/>
        </w:rPr>
        <w:t xml:space="preserve">nd </w:t>
      </w:r>
      <w:r>
        <w:rPr>
          <w:iCs/>
          <w:lang w:eastAsia="ko-KR"/>
        </w:rPr>
        <w:t xml:space="preserve">it is </w:t>
      </w:r>
      <w:r w:rsidRPr="00E4444A">
        <w:rPr>
          <w:iCs/>
          <w:lang w:eastAsia="ko-KR"/>
        </w:rPr>
        <w:t>set to zero otherwise.</w:t>
      </w:r>
    </w:p>
    <w:p w:rsidR="001E0BD3" w:rsidRPr="00FA0AC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FA0AC3">
        <w:rPr>
          <w:iCs/>
          <w:lang w:eastAsia="ko-KR"/>
        </w:rPr>
        <w:t xml:space="preserve">The DLS field </w:t>
      </w:r>
      <w:r>
        <w:rPr>
          <w:iCs/>
          <w:lang w:eastAsia="ko-KR"/>
        </w:rPr>
        <w:t xml:space="preserve">is set to one to </w:t>
      </w:r>
      <w:r w:rsidRPr="00FA0AC3">
        <w:rPr>
          <w:iCs/>
          <w:lang w:eastAsia="ko-KR"/>
        </w:rPr>
        <w:t xml:space="preserve">indicate that the STA can perform a DLS on the channel </w:t>
      </w:r>
      <w:r>
        <w:rPr>
          <w:iCs/>
          <w:lang w:eastAsia="ko-KR"/>
        </w:rPr>
        <w:t xml:space="preserve">and band </w:t>
      </w:r>
      <w:r w:rsidRPr="00FA0AC3">
        <w:rPr>
          <w:iCs/>
          <w:lang w:eastAsia="ko-KR"/>
        </w:rPr>
        <w:t>indicated in the element.</w:t>
      </w:r>
      <w:r>
        <w:rPr>
          <w:iCs/>
          <w:lang w:eastAsia="ko-KR"/>
        </w:rPr>
        <w:t xml:space="preserve"> Otherwise, it is set to zero.</w:t>
      </w:r>
    </w:p>
    <w:p w:rsidR="001E0BD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E4444A">
        <w:rPr>
          <w:iCs/>
          <w:lang w:eastAsia="ko-KR"/>
        </w:rPr>
        <w:lastRenderedPageBreak/>
        <w:t xml:space="preserve">The </w:t>
      </w:r>
      <w:r>
        <w:rPr>
          <w:iCs/>
          <w:lang w:eastAsia="ko-KR"/>
        </w:rPr>
        <w:t>T</w:t>
      </w:r>
      <w:r w:rsidRPr="00E4444A">
        <w:rPr>
          <w:iCs/>
          <w:lang w:eastAsia="ko-KR"/>
        </w:rPr>
        <w:t xml:space="preserve">DLS field </w:t>
      </w:r>
      <w:r>
        <w:rPr>
          <w:iCs/>
          <w:lang w:eastAsia="ko-KR"/>
        </w:rPr>
        <w:t>is set to one to indicate</w:t>
      </w:r>
      <w:r w:rsidRPr="00E4444A">
        <w:rPr>
          <w:iCs/>
          <w:lang w:eastAsia="ko-KR"/>
        </w:rPr>
        <w:t xml:space="preserve"> that the STA can perform a </w:t>
      </w:r>
      <w:r>
        <w:rPr>
          <w:iCs/>
          <w:lang w:eastAsia="ko-KR"/>
        </w:rPr>
        <w:t>T</w:t>
      </w:r>
      <w:r w:rsidRPr="00E4444A">
        <w:rPr>
          <w:iCs/>
          <w:lang w:eastAsia="ko-KR"/>
        </w:rPr>
        <w:t xml:space="preserve">DLS on the channel </w:t>
      </w:r>
      <w:r>
        <w:rPr>
          <w:iCs/>
          <w:lang w:eastAsia="ko-KR"/>
        </w:rPr>
        <w:t xml:space="preserve">and band </w:t>
      </w:r>
      <w:r w:rsidRPr="00E4444A">
        <w:rPr>
          <w:iCs/>
          <w:lang w:eastAsia="ko-KR"/>
        </w:rPr>
        <w:t>indicated in the element.</w:t>
      </w:r>
      <w:r>
        <w:rPr>
          <w:iCs/>
          <w:lang w:eastAsia="ko-KR"/>
        </w:rPr>
        <w:t xml:space="preserve"> Otherwise, it is set to zero.</w:t>
      </w:r>
    </w:p>
    <w:p w:rsidR="001E0BD3" w:rsidRPr="00FA0AC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FA0AC3">
        <w:rPr>
          <w:iCs/>
          <w:lang w:eastAsia="ko-KR"/>
        </w:rPr>
        <w:t xml:space="preserve">The IBSS field </w:t>
      </w:r>
      <w:r>
        <w:rPr>
          <w:iCs/>
          <w:lang w:eastAsia="ko-KR"/>
        </w:rPr>
        <w:t xml:space="preserve">is set to one to </w:t>
      </w:r>
      <w:r w:rsidRPr="00FA0AC3">
        <w:rPr>
          <w:iCs/>
          <w:lang w:eastAsia="ko-KR"/>
        </w:rPr>
        <w:t xml:space="preserve">indicate that the STA is able to support IBSS on the channel </w:t>
      </w:r>
      <w:r>
        <w:rPr>
          <w:iCs/>
          <w:lang w:eastAsia="ko-KR"/>
        </w:rPr>
        <w:t xml:space="preserve">and band </w:t>
      </w:r>
      <w:r w:rsidRPr="00FA0AC3">
        <w:rPr>
          <w:iCs/>
          <w:lang w:eastAsia="ko-KR"/>
        </w:rPr>
        <w:t>indicated in the element.</w:t>
      </w:r>
      <w:r>
        <w:rPr>
          <w:iCs/>
          <w:lang w:eastAsia="ko-KR"/>
        </w:rPr>
        <w:t xml:space="preserve"> Otherwise, it is set to zero.</w:t>
      </w:r>
    </w:p>
    <w:p w:rsidR="001E0BD3" w:rsidRPr="00FA0AC3" w:rsidRDefault="001E0BD3" w:rsidP="001E0BD3">
      <w:pPr>
        <w:autoSpaceDE w:val="0"/>
        <w:autoSpaceDN w:val="0"/>
        <w:adjustRightInd w:val="0"/>
        <w:rPr>
          <w:iCs/>
          <w:lang w:eastAsia="ko-KR"/>
        </w:rPr>
      </w:pPr>
    </w:p>
    <w:p w:rsidR="00806F82" w:rsidRDefault="00806F82" w:rsidP="005A6037">
      <w:pPr>
        <w:autoSpaceDE w:val="0"/>
        <w:autoSpaceDN w:val="0"/>
        <w:adjustRightInd w:val="0"/>
        <w:rPr>
          <w:rFonts w:ascii="TimesNewRoman" w:hAnsi="TimesNewRoman" w:cs="TimesNewRoman"/>
        </w:rPr>
      </w:pPr>
      <w:r w:rsidRPr="00134D7A">
        <w:rPr>
          <w:rFonts w:ascii="TimesNewRoman" w:hAnsi="TimesNewRoman" w:cs="TimesNewRoman"/>
        </w:rPr>
        <w:t xml:space="preserve">The </w:t>
      </w:r>
      <w:r w:rsidRPr="00134D7A">
        <w:t>FSTSessionTimeOut</w:t>
      </w:r>
      <w:r w:rsidRPr="00134D7A">
        <w:rPr>
          <w:rFonts w:ascii="TimesNewRoman" w:hAnsi="TimesNewRoman" w:cs="TimesNewRoman"/>
        </w:rPr>
        <w:t xml:space="preserve"> field is used in the FST </w:t>
      </w:r>
      <w:r w:rsidR="00134DF4">
        <w:rPr>
          <w:rFonts w:ascii="TimesNewRoman" w:hAnsi="TimesNewRoman" w:cs="TimesNewRoman"/>
        </w:rPr>
        <w:t xml:space="preserve">Setup </w:t>
      </w:r>
      <w:r w:rsidRPr="00134D7A">
        <w:rPr>
          <w:rFonts w:ascii="TimesNewRoman" w:hAnsi="TimesNewRoman" w:cs="TimesNewRoman"/>
        </w:rPr>
        <w:t xml:space="preserve">Request frame to indicate the timeout value for FST session setup protocol as defined in 11.34.1. The </w:t>
      </w:r>
      <w:r w:rsidRPr="00134D7A">
        <w:t>FSTSessionTimeOut</w:t>
      </w:r>
      <w:r w:rsidRPr="00134D7A">
        <w:rPr>
          <w:rFonts w:ascii="TimesNewRoman" w:hAnsi="TimesNewRoman" w:cs="TimesNewRoman"/>
        </w:rPr>
        <w:t xml:space="preserve"> field contains the duration, in TUs, after which the FST setup is terminated</w:t>
      </w:r>
      <w:r w:rsidR="00883ACE" w:rsidRPr="00134D7A">
        <w:rPr>
          <w:rFonts w:ascii="TimesNewRoman" w:hAnsi="TimesNewRoman" w:cs="TimesNewRoman"/>
        </w:rPr>
        <w:t>.</w:t>
      </w:r>
      <w:r w:rsidR="00466031">
        <w:rPr>
          <w:rFonts w:ascii="TimesNewRoman" w:hAnsi="TimesNewRoman" w:cs="TimesNewRoman"/>
        </w:rPr>
        <w:t xml:space="preserve"> </w:t>
      </w:r>
    </w:p>
    <w:p w:rsidR="001E0BD3" w:rsidRDefault="001E0BD3" w:rsidP="005A6037">
      <w:pPr>
        <w:autoSpaceDE w:val="0"/>
        <w:autoSpaceDN w:val="0"/>
        <w:adjustRightInd w:val="0"/>
        <w:rPr>
          <w:rFonts w:ascii="TimesNewRoman" w:hAnsi="TimesNewRoman" w:cs="TimesNewRoman"/>
        </w:rPr>
      </w:pPr>
    </w:p>
    <w:p w:rsidR="006F05FB" w:rsidRDefault="006F05FB" w:rsidP="006F05FB">
      <w:pPr>
        <w:outlineLvl w:val="0"/>
      </w:pPr>
      <w:r w:rsidRPr="00BA0F5B">
        <w:t>The STA MAC Address field contains the MAC address that the transmitting STA uses while operating on the channel indicated in this element. The STA MAC Address field is not present in this element if the STA MAC Address Present field is set to zero.</w:t>
      </w:r>
    </w:p>
    <w:p w:rsidR="00A65C25" w:rsidRDefault="00A65C25" w:rsidP="006F05FB">
      <w:pPr>
        <w:outlineLvl w:val="0"/>
      </w:pPr>
    </w:p>
    <w:p w:rsidR="006F05FB" w:rsidRPr="00A65C25" w:rsidRDefault="00A65C25" w:rsidP="00A65C25">
      <w:pPr>
        <w:outlineLvl w:val="0"/>
      </w:pPr>
      <w:r w:rsidRPr="0074797E">
        <w:rPr>
          <w:rFonts w:eastAsia="Arial Unicode MS"/>
          <w:bCs/>
          <w:iCs/>
          <w:lang w:eastAsia="ar-SA" w:bidi="ar-SA"/>
        </w:rPr>
        <w:t xml:space="preserve">The 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st field are defined in 7.3.2.25</w:t>
      </w:r>
      <w:r>
        <w:rPr>
          <w:rFonts w:eastAsia="Arial Unicode MS"/>
          <w:bCs/>
          <w:iCs/>
          <w:lang w:eastAsia="ar-SA" w:bidi="ar-SA"/>
        </w:rPr>
        <w:t xml:space="preserve">. </w:t>
      </w:r>
      <w:r w:rsidR="00BA7D0E">
        <w:rPr>
          <w:rFonts w:eastAsia="Arial Unicode MS"/>
          <w:bCs/>
          <w:iCs/>
          <w:lang w:eastAsia="ar-SA" w:bidi="ar-SA"/>
        </w:rPr>
        <w:t xml:space="preserve">These fields are not present in this element if the </w:t>
      </w:r>
      <w:r w:rsidR="00BA7D0E" w:rsidRPr="000C208C">
        <w:rPr>
          <w:rFonts w:eastAsia="Arial Unicode MS"/>
          <w:bCs/>
          <w:iCs/>
          <w:lang w:eastAsia="ar-SA" w:bidi="ar-SA"/>
        </w:rPr>
        <w:t>Pairwise Cipher Suite Present</w:t>
      </w:r>
      <w:r w:rsidR="00BA7D0E">
        <w:rPr>
          <w:rFonts w:eastAsia="Arial Unicode MS"/>
          <w:bCs/>
          <w:iCs/>
          <w:lang w:eastAsia="ar-SA" w:bidi="ar-SA"/>
        </w:rPr>
        <w:t xml:space="preserve"> field is set to zero.</w:t>
      </w:r>
      <w:r w:rsidR="00080054">
        <w:rPr>
          <w:rFonts w:eastAsia="Arial Unicode MS"/>
          <w:bCs/>
          <w:iCs/>
          <w:lang w:eastAsia="ar-SA" w:bidi="ar-SA"/>
        </w:rPr>
        <w:t xml:space="preserve"> </w:t>
      </w:r>
    </w:p>
    <w:p w:rsidR="00DA2EE4" w:rsidRPr="00BA0F5B" w:rsidRDefault="009F7E53" w:rsidP="003701DB">
      <w:pPr>
        <w:pStyle w:val="Heading4"/>
        <w:numPr>
          <w:ilvl w:val="3"/>
          <w:numId w:val="152"/>
        </w:numPr>
      </w:pPr>
      <w:bookmarkStart w:id="682" w:name="_Toc259716939"/>
      <w:r w:rsidRPr="00BA0F5B">
        <w:t>A</w:t>
      </w:r>
      <w:r w:rsidR="00F725E7" w:rsidRPr="00BA0F5B">
        <w:t>DDBA extension element</w:t>
      </w:r>
      <w:bookmarkEnd w:id="682"/>
      <w:r w:rsidR="00F725E7" w:rsidRPr="00BA0F5B">
        <w:t xml:space="preserve"> </w:t>
      </w:r>
    </w:p>
    <w:p w:rsidR="000D2976" w:rsidRPr="00BA0F5B" w:rsidRDefault="000D2976" w:rsidP="000D2976">
      <w:r w:rsidRPr="00BA0F5B">
        <w:t>The ADDBA extension element is shown in</w:t>
      </w:r>
      <w:r w:rsidR="00DC5EC2">
        <w:t xml:space="preserve"> </w:t>
      </w:r>
      <w:r w:rsidR="00BD151C">
        <w:fldChar w:fldCharType="begin"/>
      </w:r>
      <w:r w:rsidR="00DC5EC2">
        <w:instrText xml:space="preserve"> REF _Ref251599205 \h </w:instrText>
      </w:r>
      <w:r w:rsidR="00BD151C">
        <w:fldChar w:fldCharType="separate"/>
      </w:r>
      <w:r w:rsidR="003E4210">
        <w:t xml:space="preserve">Figure </w:t>
      </w:r>
      <w:r w:rsidR="003E4210">
        <w:rPr>
          <w:noProof/>
        </w:rPr>
        <w:t>53</w:t>
      </w:r>
      <w:r w:rsidR="00BD151C">
        <w:fldChar w:fldCharType="end"/>
      </w:r>
      <w:r w:rsidRPr="00BA0F5B">
        <w:t>.</w:t>
      </w:r>
    </w:p>
    <w:p w:rsidR="000D2976" w:rsidRPr="00BA0F5B" w:rsidRDefault="000D2976" w:rsidP="00DA2EE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3"/>
        <w:gridCol w:w="1443"/>
        <w:gridCol w:w="1008"/>
        <w:gridCol w:w="3192"/>
      </w:tblGrid>
      <w:tr w:rsidR="000D2976" w:rsidRPr="00066F65" w:rsidTr="00D0037C">
        <w:trPr>
          <w:jc w:val="center"/>
        </w:trPr>
        <w:tc>
          <w:tcPr>
            <w:tcW w:w="1443" w:type="dxa"/>
          </w:tcPr>
          <w:p w:rsidR="000D2976" w:rsidRPr="00BA0F5B" w:rsidRDefault="000D2976" w:rsidP="00D0037C">
            <w:pPr>
              <w:jc w:val="both"/>
              <w:rPr>
                <w:rFonts w:eastAsia="SimSun"/>
              </w:rPr>
            </w:pPr>
          </w:p>
        </w:tc>
        <w:tc>
          <w:tcPr>
            <w:tcW w:w="1443" w:type="dxa"/>
          </w:tcPr>
          <w:p w:rsidR="000D2976" w:rsidRPr="00BA0F5B" w:rsidRDefault="000D2976" w:rsidP="00D0037C">
            <w:pPr>
              <w:jc w:val="both"/>
              <w:rPr>
                <w:rFonts w:eastAsia="SimSun"/>
              </w:rPr>
            </w:pPr>
            <w:r w:rsidRPr="00BA0F5B">
              <w:rPr>
                <w:rFonts w:eastAsia="SimSun"/>
              </w:rPr>
              <w:t>Element ID</w:t>
            </w:r>
          </w:p>
        </w:tc>
        <w:tc>
          <w:tcPr>
            <w:tcW w:w="1008" w:type="dxa"/>
          </w:tcPr>
          <w:p w:rsidR="000D2976" w:rsidRPr="00BA0F5B" w:rsidRDefault="000D2976" w:rsidP="00D0037C">
            <w:pPr>
              <w:jc w:val="both"/>
              <w:rPr>
                <w:rFonts w:eastAsia="SimSun"/>
              </w:rPr>
            </w:pPr>
            <w:r w:rsidRPr="00BA0F5B">
              <w:rPr>
                <w:rFonts w:eastAsia="SimSun"/>
              </w:rPr>
              <w:t>Length</w:t>
            </w:r>
          </w:p>
        </w:tc>
        <w:tc>
          <w:tcPr>
            <w:tcW w:w="3192" w:type="dxa"/>
          </w:tcPr>
          <w:p w:rsidR="000D2976" w:rsidRPr="00BA0F5B" w:rsidRDefault="006D5265" w:rsidP="00D0037C">
            <w:pPr>
              <w:jc w:val="both"/>
              <w:rPr>
                <w:rFonts w:eastAsia="SimSun"/>
              </w:rPr>
            </w:pPr>
            <w:r w:rsidRPr="00BA0F5B">
              <w:rPr>
                <w:rFonts w:eastAsia="SimSun"/>
              </w:rPr>
              <w:t>ADDBA capabilities</w:t>
            </w:r>
          </w:p>
        </w:tc>
      </w:tr>
      <w:tr w:rsidR="000D2976" w:rsidRPr="00066F65" w:rsidTr="00D0037C">
        <w:trPr>
          <w:jc w:val="center"/>
        </w:trPr>
        <w:tc>
          <w:tcPr>
            <w:tcW w:w="1443" w:type="dxa"/>
          </w:tcPr>
          <w:p w:rsidR="000D2976" w:rsidRPr="00BA0F5B" w:rsidRDefault="000D2976" w:rsidP="00D0037C">
            <w:pPr>
              <w:jc w:val="both"/>
              <w:rPr>
                <w:rFonts w:eastAsia="SimSun"/>
              </w:rPr>
            </w:pPr>
            <w:r w:rsidRPr="00BA0F5B">
              <w:rPr>
                <w:rFonts w:eastAsia="SimSun"/>
              </w:rPr>
              <w:t>Octets:</w:t>
            </w:r>
          </w:p>
        </w:tc>
        <w:tc>
          <w:tcPr>
            <w:tcW w:w="1443" w:type="dxa"/>
          </w:tcPr>
          <w:p w:rsidR="000D2976" w:rsidRPr="00BA0F5B" w:rsidRDefault="000D2976" w:rsidP="006D5265">
            <w:pPr>
              <w:jc w:val="center"/>
              <w:rPr>
                <w:rFonts w:eastAsia="SimSun"/>
              </w:rPr>
            </w:pPr>
            <w:r w:rsidRPr="00BA0F5B">
              <w:rPr>
                <w:rFonts w:eastAsia="SimSun"/>
              </w:rPr>
              <w:t>1</w:t>
            </w:r>
          </w:p>
        </w:tc>
        <w:tc>
          <w:tcPr>
            <w:tcW w:w="1008" w:type="dxa"/>
          </w:tcPr>
          <w:p w:rsidR="000D2976" w:rsidRPr="00BA0F5B" w:rsidRDefault="000D2976" w:rsidP="006D5265">
            <w:pPr>
              <w:jc w:val="center"/>
              <w:rPr>
                <w:rFonts w:eastAsia="SimSun"/>
              </w:rPr>
            </w:pPr>
            <w:r w:rsidRPr="00BA0F5B">
              <w:rPr>
                <w:rFonts w:eastAsia="SimSun"/>
              </w:rPr>
              <w:t>1</w:t>
            </w:r>
          </w:p>
        </w:tc>
        <w:tc>
          <w:tcPr>
            <w:tcW w:w="3192" w:type="dxa"/>
          </w:tcPr>
          <w:p w:rsidR="000D2976" w:rsidRPr="00BA0F5B" w:rsidRDefault="000D2976" w:rsidP="006D5265">
            <w:pPr>
              <w:jc w:val="center"/>
              <w:rPr>
                <w:rFonts w:eastAsia="SimSun"/>
              </w:rPr>
            </w:pPr>
            <w:r w:rsidRPr="00BA0F5B">
              <w:rPr>
                <w:rFonts w:eastAsia="SimSun"/>
              </w:rPr>
              <w:t>1</w:t>
            </w:r>
          </w:p>
        </w:tc>
      </w:tr>
    </w:tbl>
    <w:p w:rsidR="00DA2EE4" w:rsidRPr="00066F65" w:rsidRDefault="005D1B3F" w:rsidP="005D1B3F">
      <w:pPr>
        <w:pStyle w:val="Caption"/>
      </w:pPr>
      <w:bookmarkStart w:id="683" w:name="_Ref251599205"/>
      <w:bookmarkStart w:id="684" w:name="_Toc233015304"/>
      <w:bookmarkStart w:id="685" w:name="_Toc259717485"/>
      <w:r>
        <w:t xml:space="preserve">Figure </w:t>
      </w:r>
      <w:r w:rsidR="00BD151C">
        <w:fldChar w:fldCharType="begin"/>
      </w:r>
      <w:r w:rsidR="00801316">
        <w:instrText xml:space="preserve"> SEQ Figure \* ARABIC </w:instrText>
      </w:r>
      <w:r w:rsidR="00BD151C">
        <w:fldChar w:fldCharType="separate"/>
      </w:r>
      <w:r w:rsidR="003E4210">
        <w:rPr>
          <w:noProof/>
        </w:rPr>
        <w:t>53</w:t>
      </w:r>
      <w:r w:rsidR="00BD151C">
        <w:fldChar w:fldCharType="end"/>
      </w:r>
      <w:bookmarkEnd w:id="683"/>
      <w:r w:rsidR="000D2976" w:rsidRPr="00066F65">
        <w:t xml:space="preserve"> </w:t>
      </w:r>
      <w:r w:rsidR="00DA2EE4" w:rsidRPr="00066F65">
        <w:rPr>
          <w:lang w:val="fr-FR"/>
        </w:rPr>
        <w:t xml:space="preserve">– </w:t>
      </w:r>
      <w:bookmarkEnd w:id="684"/>
      <w:r w:rsidR="00DA2EE4" w:rsidRPr="00066F65">
        <w:rPr>
          <w:lang w:val="fr-FR"/>
        </w:rPr>
        <w:t>ADDBA extension</w:t>
      </w:r>
      <w:bookmarkEnd w:id="685"/>
    </w:p>
    <w:p w:rsidR="00DA2EE4" w:rsidRPr="00BA0F5B" w:rsidRDefault="00DA2EE4" w:rsidP="00DA2EE4"/>
    <w:p w:rsidR="006D5265" w:rsidRPr="00BA0F5B" w:rsidRDefault="006D5265" w:rsidP="00DA2EE4">
      <w:r w:rsidRPr="00BA0F5B">
        <w:t>The ADDBA capabilities field is shown in</w:t>
      </w:r>
      <w:r w:rsidR="00DC5EC2">
        <w:t xml:space="preserve"> </w:t>
      </w:r>
      <w:r w:rsidR="00BD151C">
        <w:fldChar w:fldCharType="begin"/>
      </w:r>
      <w:r w:rsidR="00DC5EC2">
        <w:instrText xml:space="preserve"> REF _Ref251599206 \h </w:instrText>
      </w:r>
      <w:r w:rsidR="00BD151C">
        <w:fldChar w:fldCharType="separate"/>
      </w:r>
      <w:r w:rsidR="003E4210">
        <w:t xml:space="preserve">Figure </w:t>
      </w:r>
      <w:r w:rsidR="003E4210">
        <w:rPr>
          <w:noProof/>
        </w:rPr>
        <w:t>54</w:t>
      </w:r>
      <w:r w:rsidR="00BD151C">
        <w:fldChar w:fldCharType="end"/>
      </w:r>
      <w:r w:rsidRPr="00BA0F5B">
        <w:t>.</w:t>
      </w:r>
    </w:p>
    <w:p w:rsidR="006D5265" w:rsidRPr="00BA0F5B" w:rsidRDefault="006D5265" w:rsidP="00DA2EE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77"/>
        <w:gridCol w:w="1989"/>
        <w:gridCol w:w="1109"/>
      </w:tblGrid>
      <w:tr w:rsidR="00DA2EE4" w:rsidRPr="00066F65" w:rsidTr="008E382B">
        <w:trPr>
          <w:jc w:val="center"/>
        </w:trPr>
        <w:tc>
          <w:tcPr>
            <w:tcW w:w="0" w:type="auto"/>
          </w:tcPr>
          <w:p w:rsidR="00DA2EE4" w:rsidRPr="00BA0F5B" w:rsidRDefault="00DA2EE4" w:rsidP="00D0037C">
            <w:pPr>
              <w:jc w:val="both"/>
              <w:rPr>
                <w:rFonts w:eastAsia="MS Mincho"/>
              </w:rPr>
            </w:pPr>
          </w:p>
        </w:tc>
        <w:tc>
          <w:tcPr>
            <w:tcW w:w="0" w:type="auto"/>
          </w:tcPr>
          <w:p w:rsidR="00DA2EE4" w:rsidRPr="00BA0F5B" w:rsidRDefault="00DA2EE4" w:rsidP="00D0037C">
            <w:pPr>
              <w:jc w:val="both"/>
              <w:rPr>
                <w:rFonts w:eastAsia="MS Mincho"/>
              </w:rPr>
            </w:pPr>
            <w:r w:rsidRPr="00BA0F5B">
              <w:rPr>
                <w:rFonts w:eastAsia="MS Mincho"/>
              </w:rPr>
              <w:t>No-Fragmentation</w:t>
            </w:r>
          </w:p>
        </w:tc>
        <w:tc>
          <w:tcPr>
            <w:tcW w:w="0" w:type="auto"/>
          </w:tcPr>
          <w:p w:rsidR="00DA2EE4" w:rsidRPr="00BA0F5B" w:rsidRDefault="00DA2EE4" w:rsidP="00D0037C">
            <w:pPr>
              <w:jc w:val="both"/>
              <w:rPr>
                <w:rFonts w:eastAsia="MS Mincho"/>
              </w:rPr>
            </w:pPr>
            <w:r w:rsidRPr="00BA0F5B">
              <w:rPr>
                <w:rFonts w:eastAsia="MS Mincho"/>
              </w:rPr>
              <w:t>Reserved</w:t>
            </w:r>
          </w:p>
        </w:tc>
      </w:tr>
      <w:tr w:rsidR="00DA2EE4" w:rsidRPr="00066F65" w:rsidTr="008E382B">
        <w:trPr>
          <w:jc w:val="center"/>
        </w:trPr>
        <w:tc>
          <w:tcPr>
            <w:tcW w:w="0" w:type="auto"/>
          </w:tcPr>
          <w:p w:rsidR="00DA2EE4" w:rsidRPr="00BA0F5B" w:rsidRDefault="00DA2EE4" w:rsidP="00D0037C">
            <w:pPr>
              <w:jc w:val="both"/>
              <w:rPr>
                <w:rFonts w:eastAsia="MS Mincho"/>
              </w:rPr>
            </w:pPr>
            <w:r w:rsidRPr="00BA0F5B">
              <w:rPr>
                <w:rFonts w:eastAsia="MS Mincho"/>
              </w:rPr>
              <w:t>Bit</w:t>
            </w:r>
            <w:r w:rsidR="000D2976" w:rsidRPr="00BA0F5B">
              <w:rPr>
                <w:rFonts w:eastAsia="MS Mincho"/>
              </w:rPr>
              <w:t>:</w:t>
            </w:r>
          </w:p>
        </w:tc>
        <w:tc>
          <w:tcPr>
            <w:tcW w:w="0" w:type="auto"/>
          </w:tcPr>
          <w:p w:rsidR="00DA2EE4" w:rsidRPr="00BA0F5B" w:rsidRDefault="000D2976" w:rsidP="006D5265">
            <w:pPr>
              <w:jc w:val="center"/>
              <w:rPr>
                <w:rFonts w:eastAsia="MS Mincho"/>
              </w:rPr>
            </w:pPr>
            <w:r w:rsidRPr="00BA0F5B">
              <w:rPr>
                <w:rFonts w:eastAsia="MS Mincho"/>
              </w:rPr>
              <w:t>B</w:t>
            </w:r>
            <w:r w:rsidR="00DA2EE4" w:rsidRPr="00BA0F5B">
              <w:rPr>
                <w:rFonts w:eastAsia="MS Mincho"/>
              </w:rPr>
              <w:t>0</w:t>
            </w:r>
          </w:p>
        </w:tc>
        <w:tc>
          <w:tcPr>
            <w:tcW w:w="0" w:type="auto"/>
          </w:tcPr>
          <w:p w:rsidR="00DA2EE4" w:rsidRPr="00BA0F5B" w:rsidRDefault="000D2976" w:rsidP="006D5265">
            <w:pPr>
              <w:jc w:val="center"/>
              <w:rPr>
                <w:rFonts w:eastAsia="MS Mincho"/>
              </w:rPr>
            </w:pPr>
            <w:r w:rsidRPr="00BA0F5B">
              <w:rPr>
                <w:rFonts w:eastAsia="MS Mincho"/>
              </w:rPr>
              <w:t>B</w:t>
            </w:r>
            <w:r w:rsidR="00DA2EE4" w:rsidRPr="00BA0F5B">
              <w:rPr>
                <w:rFonts w:eastAsia="MS Mincho"/>
              </w:rPr>
              <w:t>1-</w:t>
            </w:r>
            <w:r w:rsidRPr="00BA0F5B">
              <w:rPr>
                <w:rFonts w:eastAsia="MS Mincho"/>
              </w:rPr>
              <w:t>B</w:t>
            </w:r>
            <w:r w:rsidR="00DA2EE4" w:rsidRPr="00BA0F5B">
              <w:rPr>
                <w:rFonts w:eastAsia="MS Mincho"/>
              </w:rPr>
              <w:t>7</w:t>
            </w:r>
          </w:p>
        </w:tc>
      </w:tr>
    </w:tbl>
    <w:p w:rsidR="00DA2EE4" w:rsidRPr="00066F65" w:rsidRDefault="005D1B3F" w:rsidP="005D1B3F">
      <w:pPr>
        <w:pStyle w:val="Caption"/>
      </w:pPr>
      <w:bookmarkStart w:id="686" w:name="_Ref251599206"/>
      <w:bookmarkStart w:id="687" w:name="_Toc259717486"/>
      <w:r>
        <w:t xml:space="preserve">Figure </w:t>
      </w:r>
      <w:r w:rsidR="00BD151C">
        <w:fldChar w:fldCharType="begin"/>
      </w:r>
      <w:r w:rsidR="00801316">
        <w:instrText xml:space="preserve"> SEQ Figure \* ARABIC </w:instrText>
      </w:r>
      <w:r w:rsidR="00BD151C">
        <w:fldChar w:fldCharType="separate"/>
      </w:r>
      <w:r w:rsidR="003E4210">
        <w:rPr>
          <w:noProof/>
        </w:rPr>
        <w:t>54</w:t>
      </w:r>
      <w:r w:rsidR="00BD151C">
        <w:fldChar w:fldCharType="end"/>
      </w:r>
      <w:bookmarkEnd w:id="686"/>
      <w:r w:rsidR="00077165" w:rsidRPr="00066F65">
        <w:t xml:space="preserve"> </w:t>
      </w:r>
      <w:r w:rsidR="00DA2EE4" w:rsidRPr="00066F65">
        <w:rPr>
          <w:lang w:val="fr-FR"/>
        </w:rPr>
        <w:t>– ADDBA capabilities</w:t>
      </w:r>
      <w:bookmarkEnd w:id="687"/>
    </w:p>
    <w:p w:rsidR="00DA2EE4" w:rsidRPr="00BA0F5B" w:rsidRDefault="00DA2EE4" w:rsidP="00DA2EE4">
      <w:pPr>
        <w:autoSpaceDE w:val="0"/>
        <w:autoSpaceDN w:val="0"/>
        <w:adjustRightInd w:val="0"/>
        <w:rPr>
          <w:color w:val="000000"/>
        </w:rPr>
      </w:pPr>
      <w:r w:rsidRPr="00BA0F5B">
        <w:rPr>
          <w:color w:val="000000"/>
        </w:rPr>
        <w:t xml:space="preserve">ADDBA extension </w:t>
      </w:r>
      <w:r w:rsidR="00F264C8" w:rsidRPr="00BA0F5B">
        <w:rPr>
          <w:color w:val="000000"/>
        </w:rPr>
        <w:t>element</w:t>
      </w:r>
      <w:r w:rsidRPr="00BA0F5B">
        <w:rPr>
          <w:color w:val="000000"/>
        </w:rPr>
        <w:t xml:space="preserve"> may be included in the ADDBA request and response action frames. The ADDBA request or ADDBA response or both may contain the </w:t>
      </w:r>
      <w:r w:rsidR="00F264C8" w:rsidRPr="00BA0F5B">
        <w:rPr>
          <w:color w:val="000000"/>
        </w:rPr>
        <w:t>element</w:t>
      </w:r>
      <w:r w:rsidRPr="00BA0F5B">
        <w:rPr>
          <w:color w:val="000000"/>
        </w:rPr>
        <w:t>.</w:t>
      </w:r>
    </w:p>
    <w:p w:rsidR="000D2976" w:rsidRPr="00BA0F5B" w:rsidRDefault="000D2976" w:rsidP="00DA2EE4">
      <w:pPr>
        <w:autoSpaceDE w:val="0"/>
        <w:autoSpaceDN w:val="0"/>
        <w:adjustRightInd w:val="0"/>
        <w:rPr>
          <w:color w:val="000000"/>
        </w:rPr>
      </w:pPr>
    </w:p>
    <w:p w:rsidR="00DA2EE4" w:rsidRPr="00BA0F5B" w:rsidRDefault="00DA2EE4" w:rsidP="00DA2EE4">
      <w:pPr>
        <w:autoSpaceDE w:val="0"/>
        <w:autoSpaceDN w:val="0"/>
        <w:adjustRightInd w:val="0"/>
        <w:rPr>
          <w:rFonts w:ascii="Arial" w:hAnsi="Arial"/>
          <w:color w:val="000000"/>
        </w:rPr>
      </w:pPr>
      <w:r w:rsidRPr="00BA0F5B">
        <w:rPr>
          <w:color w:val="000000"/>
        </w:rPr>
        <w:t>No-Fragmentation field determines whether a fragmented MSDU may be carried in the MPDU sent under the Block Ack agreement. When set to 1 in the ADDBA request frame</w:t>
      </w:r>
      <w:r w:rsidR="000C208C">
        <w:rPr>
          <w:color w:val="000000"/>
        </w:rPr>
        <w:t>,</w:t>
      </w:r>
      <w:r w:rsidRPr="00BA0F5B">
        <w:rPr>
          <w:color w:val="000000"/>
        </w:rPr>
        <w:t xml:space="preserve"> it indicates that the originator is not fragmenting sent MSDUs. When set to 1 in the ADDBA response frame</w:t>
      </w:r>
      <w:r w:rsidR="000C208C">
        <w:rPr>
          <w:color w:val="000000"/>
        </w:rPr>
        <w:t>,</w:t>
      </w:r>
      <w:r w:rsidRPr="00BA0F5B">
        <w:rPr>
          <w:color w:val="000000"/>
        </w:rPr>
        <w:t xml:space="preserve"> it indicates that the recipient is not capable to receive fragmented MSDUs.</w:t>
      </w:r>
    </w:p>
    <w:p w:rsidR="000432E8" w:rsidRPr="00BA0F5B" w:rsidRDefault="000432E8" w:rsidP="000D7AA1">
      <w:pPr>
        <w:autoSpaceDE w:val="0"/>
        <w:autoSpaceDN w:val="0"/>
        <w:adjustRightInd w:val="0"/>
        <w:rPr>
          <w:sz w:val="22"/>
        </w:rPr>
      </w:pPr>
    </w:p>
    <w:p w:rsidR="00454245" w:rsidRPr="00BA0F5B" w:rsidRDefault="009C40D9" w:rsidP="003701DB">
      <w:pPr>
        <w:pStyle w:val="Heading4"/>
        <w:numPr>
          <w:ilvl w:val="3"/>
          <w:numId w:val="152"/>
        </w:numPr>
      </w:pPr>
      <w:bookmarkStart w:id="688" w:name="_Ref244236138"/>
      <w:r w:rsidRPr="00BA0F5B">
        <w:t xml:space="preserve"> </w:t>
      </w:r>
      <w:bookmarkStart w:id="689" w:name="_Toc259716940"/>
      <w:r w:rsidR="00454245" w:rsidRPr="00BA0F5B">
        <w:t>Next PCP List element</w:t>
      </w:r>
      <w:bookmarkEnd w:id="688"/>
      <w:bookmarkEnd w:id="689"/>
      <w:r w:rsidR="00454245" w:rsidRPr="00BA0F5B">
        <w:t xml:space="preserve"> </w:t>
      </w:r>
    </w:p>
    <w:p w:rsidR="000432E8" w:rsidRPr="00BA0F5B" w:rsidRDefault="000432E8" w:rsidP="002E4B0C">
      <w:pPr>
        <w:autoSpaceDE w:val="0"/>
        <w:autoSpaceDN w:val="0"/>
        <w:adjustRightInd w:val="0"/>
        <w:rPr>
          <w:b/>
        </w:rPr>
      </w:pPr>
      <w:r w:rsidRPr="00BA0F5B">
        <w:t xml:space="preserve">The </w:t>
      </w:r>
      <w:r w:rsidRPr="00BA0F5B">
        <w:rPr>
          <w:rFonts w:hint="eastAsia"/>
        </w:rPr>
        <w:t>Next</w:t>
      </w:r>
      <w:r w:rsidRPr="00BA0F5B">
        <w:t xml:space="preserve"> </w:t>
      </w:r>
      <w:r w:rsidRPr="00BA0F5B">
        <w:rPr>
          <w:rFonts w:hint="eastAsia"/>
        </w:rPr>
        <w:t>PCP List</w:t>
      </w:r>
      <w:r w:rsidRPr="00BA0F5B">
        <w:t xml:space="preserve"> </w:t>
      </w:r>
      <w:r w:rsidR="00F264C8" w:rsidRPr="00BA0F5B">
        <w:t>element</w:t>
      </w:r>
      <w:r w:rsidRPr="00BA0F5B">
        <w:t xml:space="preserve"> contains one or more </w:t>
      </w:r>
      <w:r w:rsidRPr="00BA0F5B">
        <w:rPr>
          <w:rFonts w:hint="eastAsia"/>
        </w:rPr>
        <w:t>AID of NextPCP i fields as shown in</w:t>
      </w:r>
      <w:r w:rsidR="00DC5EC2">
        <w:t xml:space="preserve"> </w:t>
      </w:r>
      <w:r w:rsidR="00BD151C">
        <w:fldChar w:fldCharType="begin"/>
      </w:r>
      <w:r w:rsidR="00DC5EC2">
        <w:instrText xml:space="preserve"> REF _Ref251599207 \h </w:instrText>
      </w:r>
      <w:r w:rsidR="00BD151C">
        <w:fldChar w:fldCharType="separate"/>
      </w:r>
      <w:r w:rsidR="003E4210">
        <w:t xml:space="preserve">Figure </w:t>
      </w:r>
      <w:r w:rsidR="003E4210">
        <w:rPr>
          <w:noProof/>
        </w:rPr>
        <w:t>55</w:t>
      </w:r>
      <w:r w:rsidR="00BD151C">
        <w:fldChar w:fldCharType="end"/>
      </w:r>
      <w:r w:rsidR="00D543A7" w:rsidRPr="00BA0F5B">
        <w:t>.</w:t>
      </w:r>
    </w:p>
    <w:p w:rsidR="000432E8" w:rsidRPr="00BA0F5B" w:rsidRDefault="000432E8" w:rsidP="000432E8">
      <w:pPr>
        <w:autoSpaceDE w:val="0"/>
        <w:autoSpaceDN w:val="0"/>
        <w:adjustRightInd w:val="0"/>
        <w:rPr>
          <w:b/>
          <w:sz w:val="27"/>
        </w:rPr>
      </w:pP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tblPr>
      <w:tblGrid>
        <w:gridCol w:w="1174"/>
        <w:gridCol w:w="1261"/>
        <w:gridCol w:w="981"/>
        <w:gridCol w:w="1819"/>
        <w:gridCol w:w="1819"/>
        <w:gridCol w:w="1017"/>
        <w:gridCol w:w="1839"/>
      </w:tblGrid>
      <w:tr w:rsidR="004B38AB" w:rsidRPr="00066F65" w:rsidTr="00BE5683">
        <w:trPr>
          <w:cantSplit/>
          <w:trHeight w:val="20"/>
          <w:jc w:val="center"/>
        </w:trPr>
        <w:tc>
          <w:tcPr>
            <w:tcW w:w="592" w:type="pct"/>
          </w:tcPr>
          <w:p w:rsidR="004B38AB" w:rsidRPr="00BA0F5B" w:rsidRDefault="004B38AB" w:rsidP="00DA54E8">
            <w:pPr>
              <w:pStyle w:val="TableCaption"/>
              <w:spacing w:line="240" w:lineRule="auto"/>
              <w:rPr>
                <w:b w:val="0"/>
                <w:sz w:val="24"/>
              </w:rPr>
            </w:pPr>
          </w:p>
        </w:tc>
        <w:tc>
          <w:tcPr>
            <w:tcW w:w="636" w:type="pct"/>
          </w:tcPr>
          <w:p w:rsidR="004B38AB" w:rsidRPr="00BA0F5B" w:rsidRDefault="004B38AB" w:rsidP="00DA54E8">
            <w:pPr>
              <w:adjustRightInd w:val="0"/>
              <w:jc w:val="center"/>
            </w:pPr>
            <w:r w:rsidRPr="00BA0F5B">
              <w:rPr>
                <w:rFonts w:hint="eastAsia"/>
              </w:rPr>
              <w:t>Element ID</w:t>
            </w:r>
          </w:p>
        </w:tc>
        <w:tc>
          <w:tcPr>
            <w:tcW w:w="495" w:type="pct"/>
          </w:tcPr>
          <w:p w:rsidR="004B38AB" w:rsidRPr="00BA0F5B" w:rsidRDefault="004B38AB" w:rsidP="00DA54E8">
            <w:pPr>
              <w:adjustRightInd w:val="0"/>
              <w:jc w:val="center"/>
            </w:pPr>
            <w:r w:rsidRPr="00BA0F5B">
              <w:rPr>
                <w:rFonts w:hint="eastAsia"/>
              </w:rPr>
              <w:t>Length</w:t>
            </w:r>
          </w:p>
        </w:tc>
        <w:tc>
          <w:tcPr>
            <w:tcW w:w="918" w:type="pct"/>
          </w:tcPr>
          <w:p w:rsidR="004B38AB" w:rsidRPr="00BA0F5B" w:rsidRDefault="004B38AB" w:rsidP="00DA54E8">
            <w:pPr>
              <w:adjustRightInd w:val="0"/>
              <w:jc w:val="center"/>
            </w:pPr>
            <w:r w:rsidRPr="00BA0F5B">
              <w:rPr>
                <w:rFonts w:hint="eastAsia"/>
              </w:rPr>
              <w:t>Token</w:t>
            </w:r>
            <w:r w:rsidRPr="00BA0F5B">
              <w:t xml:space="preserve"> </w:t>
            </w:r>
          </w:p>
        </w:tc>
        <w:tc>
          <w:tcPr>
            <w:tcW w:w="918" w:type="pct"/>
          </w:tcPr>
          <w:p w:rsidR="004B38AB" w:rsidRPr="00BA0F5B" w:rsidRDefault="004B38AB" w:rsidP="00DA54E8">
            <w:pPr>
              <w:adjustRightInd w:val="0"/>
              <w:jc w:val="center"/>
            </w:pPr>
            <w:r w:rsidRPr="00BA0F5B">
              <w:rPr>
                <w:rFonts w:hint="eastAsia"/>
              </w:rPr>
              <w:t>AID of</w:t>
            </w:r>
            <w:r w:rsidR="00BE5683" w:rsidRPr="00BA0F5B">
              <w:t xml:space="preserve"> </w:t>
            </w:r>
            <w:r w:rsidRPr="00BA0F5B">
              <w:rPr>
                <w:rFonts w:hint="eastAsia"/>
              </w:rPr>
              <w:t>NextPCP 1</w:t>
            </w:r>
          </w:p>
        </w:tc>
        <w:tc>
          <w:tcPr>
            <w:tcW w:w="513" w:type="pct"/>
          </w:tcPr>
          <w:p w:rsidR="004B38AB" w:rsidRPr="00BA0F5B" w:rsidRDefault="004B38AB" w:rsidP="00DA54E8">
            <w:pPr>
              <w:adjustRightInd w:val="0"/>
              <w:jc w:val="center"/>
            </w:pPr>
            <w:r w:rsidRPr="00BA0F5B">
              <w:t>…</w:t>
            </w:r>
          </w:p>
        </w:tc>
        <w:tc>
          <w:tcPr>
            <w:tcW w:w="928" w:type="pct"/>
          </w:tcPr>
          <w:p w:rsidR="004B38AB" w:rsidRPr="00BA0F5B" w:rsidRDefault="004B38AB" w:rsidP="00DA54E8">
            <w:pPr>
              <w:adjustRightInd w:val="0"/>
              <w:jc w:val="center"/>
            </w:pPr>
            <w:r w:rsidRPr="00BA0F5B">
              <w:rPr>
                <w:rFonts w:hint="eastAsia"/>
              </w:rPr>
              <w:t>AID of</w:t>
            </w:r>
            <w:r w:rsidR="00BE5683" w:rsidRPr="00BA0F5B">
              <w:t xml:space="preserve"> </w:t>
            </w:r>
            <w:r w:rsidRPr="00BA0F5B">
              <w:rPr>
                <w:rFonts w:hint="eastAsia"/>
              </w:rPr>
              <w:t>NextPCP n</w:t>
            </w:r>
          </w:p>
        </w:tc>
      </w:tr>
      <w:tr w:rsidR="004B38AB" w:rsidRPr="00066F65" w:rsidTr="00BE5683">
        <w:trPr>
          <w:cantSplit/>
          <w:trHeight w:val="20"/>
          <w:jc w:val="center"/>
        </w:trPr>
        <w:tc>
          <w:tcPr>
            <w:tcW w:w="592" w:type="pct"/>
          </w:tcPr>
          <w:p w:rsidR="004B38AB" w:rsidRPr="00BA0F5B" w:rsidRDefault="004B38AB" w:rsidP="00DA54E8">
            <w:pPr>
              <w:pStyle w:val="TableText"/>
              <w:spacing w:line="240" w:lineRule="auto"/>
              <w:jc w:val="center"/>
              <w:rPr>
                <w:sz w:val="24"/>
              </w:rPr>
            </w:pPr>
            <w:r w:rsidRPr="00BA0F5B">
              <w:rPr>
                <w:rFonts w:hint="eastAsia"/>
                <w:sz w:val="24"/>
              </w:rPr>
              <w:t>Octets</w:t>
            </w:r>
            <w:r w:rsidRPr="00BA0F5B">
              <w:rPr>
                <w:sz w:val="24"/>
              </w:rPr>
              <w:t>:</w:t>
            </w:r>
          </w:p>
        </w:tc>
        <w:tc>
          <w:tcPr>
            <w:tcW w:w="636" w:type="pct"/>
          </w:tcPr>
          <w:p w:rsidR="004B38AB" w:rsidRPr="00BA0F5B" w:rsidRDefault="004B38AB" w:rsidP="00DA54E8">
            <w:pPr>
              <w:pStyle w:val="TableText"/>
              <w:spacing w:line="240" w:lineRule="auto"/>
              <w:jc w:val="center"/>
              <w:rPr>
                <w:sz w:val="24"/>
              </w:rPr>
            </w:pPr>
            <w:r w:rsidRPr="00BA0F5B">
              <w:rPr>
                <w:rFonts w:hint="eastAsia"/>
                <w:sz w:val="24"/>
              </w:rPr>
              <w:t>1</w:t>
            </w:r>
          </w:p>
        </w:tc>
        <w:tc>
          <w:tcPr>
            <w:tcW w:w="495" w:type="pct"/>
          </w:tcPr>
          <w:p w:rsidR="004B38AB" w:rsidRPr="00BA0F5B" w:rsidRDefault="004B38AB" w:rsidP="00DA54E8">
            <w:pPr>
              <w:pStyle w:val="TableText"/>
              <w:spacing w:line="240" w:lineRule="auto"/>
              <w:jc w:val="center"/>
              <w:rPr>
                <w:sz w:val="24"/>
              </w:rPr>
            </w:pPr>
            <w:r w:rsidRPr="00BA0F5B">
              <w:rPr>
                <w:rFonts w:hint="eastAsia"/>
                <w:sz w:val="24"/>
              </w:rPr>
              <w:t>1</w:t>
            </w:r>
          </w:p>
        </w:tc>
        <w:tc>
          <w:tcPr>
            <w:tcW w:w="918" w:type="pct"/>
          </w:tcPr>
          <w:p w:rsidR="004B38AB" w:rsidRPr="00BA0F5B" w:rsidRDefault="004B38AB" w:rsidP="00DA54E8">
            <w:pPr>
              <w:pStyle w:val="TableText"/>
              <w:spacing w:line="240" w:lineRule="auto"/>
              <w:jc w:val="center"/>
              <w:rPr>
                <w:sz w:val="24"/>
              </w:rPr>
            </w:pPr>
            <w:r w:rsidRPr="00BA0F5B">
              <w:rPr>
                <w:sz w:val="24"/>
              </w:rPr>
              <w:t>1</w:t>
            </w:r>
          </w:p>
        </w:tc>
        <w:tc>
          <w:tcPr>
            <w:tcW w:w="918" w:type="pct"/>
          </w:tcPr>
          <w:p w:rsidR="004B38AB" w:rsidRPr="00BA0F5B" w:rsidRDefault="004B38AB" w:rsidP="00DA54E8">
            <w:pPr>
              <w:pStyle w:val="TableText"/>
              <w:spacing w:line="240" w:lineRule="auto"/>
              <w:jc w:val="center"/>
              <w:rPr>
                <w:sz w:val="24"/>
              </w:rPr>
            </w:pPr>
            <w:r w:rsidRPr="00BA0F5B">
              <w:rPr>
                <w:rFonts w:hint="eastAsia"/>
                <w:sz w:val="24"/>
              </w:rPr>
              <w:t>1</w:t>
            </w:r>
          </w:p>
        </w:tc>
        <w:tc>
          <w:tcPr>
            <w:tcW w:w="513" w:type="pct"/>
          </w:tcPr>
          <w:p w:rsidR="004B38AB" w:rsidRPr="00BA0F5B" w:rsidRDefault="004B38AB" w:rsidP="00DA54E8">
            <w:pPr>
              <w:pStyle w:val="TableText"/>
              <w:spacing w:line="240" w:lineRule="auto"/>
              <w:jc w:val="center"/>
              <w:rPr>
                <w:sz w:val="24"/>
              </w:rPr>
            </w:pPr>
            <w:r w:rsidRPr="00BA0F5B">
              <w:rPr>
                <w:sz w:val="24"/>
              </w:rPr>
              <w:t>…</w:t>
            </w:r>
          </w:p>
        </w:tc>
        <w:tc>
          <w:tcPr>
            <w:tcW w:w="928" w:type="pct"/>
          </w:tcPr>
          <w:p w:rsidR="004B38AB" w:rsidRPr="00BA0F5B" w:rsidRDefault="004B38AB" w:rsidP="00DA54E8">
            <w:pPr>
              <w:pStyle w:val="TableText"/>
              <w:spacing w:line="240" w:lineRule="auto"/>
              <w:jc w:val="center"/>
              <w:rPr>
                <w:sz w:val="24"/>
              </w:rPr>
            </w:pPr>
            <w:r w:rsidRPr="00BA0F5B">
              <w:rPr>
                <w:rFonts w:hint="eastAsia"/>
                <w:sz w:val="24"/>
              </w:rPr>
              <w:t>1</w:t>
            </w:r>
          </w:p>
        </w:tc>
      </w:tr>
    </w:tbl>
    <w:p w:rsidR="000432E8" w:rsidRPr="009448FC" w:rsidRDefault="005D1B3F" w:rsidP="005D1B3F">
      <w:pPr>
        <w:pStyle w:val="Caption"/>
        <w:rPr>
          <w:b w:val="0"/>
          <w:sz w:val="27"/>
        </w:rPr>
      </w:pPr>
      <w:bookmarkStart w:id="690" w:name="_Ref251599207"/>
      <w:bookmarkStart w:id="691" w:name="_Toc259717487"/>
      <w:r>
        <w:t xml:space="preserve">Figure </w:t>
      </w:r>
      <w:r w:rsidR="00BD151C">
        <w:fldChar w:fldCharType="begin"/>
      </w:r>
      <w:r w:rsidR="00801316">
        <w:instrText xml:space="preserve"> SEQ Figure \* ARABIC </w:instrText>
      </w:r>
      <w:r w:rsidR="00BD151C">
        <w:fldChar w:fldCharType="separate"/>
      </w:r>
      <w:r w:rsidR="003E4210">
        <w:rPr>
          <w:noProof/>
        </w:rPr>
        <w:t>55</w:t>
      </w:r>
      <w:r w:rsidR="00BD151C">
        <w:fldChar w:fldCharType="end"/>
      </w:r>
      <w:bookmarkEnd w:id="690"/>
      <w:r w:rsidR="000432E8" w:rsidRPr="00066F65">
        <w:t xml:space="preserve"> </w:t>
      </w:r>
      <w:r w:rsidR="00077165" w:rsidRPr="00066F65">
        <w:t xml:space="preserve">– </w:t>
      </w:r>
      <w:r w:rsidR="000432E8" w:rsidRPr="00066F65">
        <w:t>Next PCP List</w:t>
      </w:r>
      <w:bookmarkEnd w:id="691"/>
    </w:p>
    <w:p w:rsidR="00077165" w:rsidRPr="009448FC" w:rsidRDefault="00077165" w:rsidP="000432E8">
      <w:pPr>
        <w:autoSpaceDE w:val="0"/>
        <w:autoSpaceDN w:val="0"/>
        <w:adjustRightInd w:val="0"/>
      </w:pPr>
    </w:p>
    <w:p w:rsidR="00D543A7" w:rsidRPr="009448FC" w:rsidRDefault="005119FD" w:rsidP="000432E8">
      <w:pPr>
        <w:autoSpaceDE w:val="0"/>
        <w:autoSpaceDN w:val="0"/>
        <w:adjustRightInd w:val="0"/>
        <w:rPr>
          <w:b/>
        </w:rPr>
      </w:pPr>
      <w:r w:rsidRPr="009448FC">
        <w:rPr>
          <w:rFonts w:hint="eastAsia"/>
        </w:rPr>
        <w:t xml:space="preserve">The Token field is set to zero when the PBSS is initialized and incremented each time the NextPCP List is updated. </w:t>
      </w:r>
    </w:p>
    <w:p w:rsidR="00D543A7" w:rsidRPr="009448FC" w:rsidRDefault="00D543A7" w:rsidP="000432E8">
      <w:pPr>
        <w:autoSpaceDE w:val="0"/>
        <w:autoSpaceDN w:val="0"/>
        <w:adjustRightInd w:val="0"/>
        <w:rPr>
          <w:b/>
        </w:rPr>
      </w:pPr>
    </w:p>
    <w:p w:rsidR="000432E8" w:rsidRPr="009448FC" w:rsidRDefault="000432E8" w:rsidP="000432E8">
      <w:pPr>
        <w:autoSpaceDE w:val="0"/>
        <w:autoSpaceDN w:val="0"/>
        <w:adjustRightInd w:val="0"/>
      </w:pPr>
      <w:r w:rsidRPr="009448FC">
        <w:rPr>
          <w:rFonts w:hint="eastAsia"/>
        </w:rPr>
        <w:t xml:space="preserve">Each AID of NextPCP i field contains the AID value of a STA. The AID values are </w:t>
      </w:r>
      <w:r w:rsidRPr="009448FC">
        <w:t>listed in</w:t>
      </w:r>
      <w:r w:rsidRPr="009448FC">
        <w:rPr>
          <w:rFonts w:hint="eastAsia"/>
        </w:rPr>
        <w:t xml:space="preserve"> the order corresponding to the ordered list of STA(s) on the NextPCP List.</w:t>
      </w:r>
    </w:p>
    <w:p w:rsidR="001F3751" w:rsidRPr="009448FC" w:rsidRDefault="001F3751" w:rsidP="000432E8">
      <w:pPr>
        <w:autoSpaceDE w:val="0"/>
        <w:autoSpaceDN w:val="0"/>
        <w:adjustRightInd w:val="0"/>
      </w:pPr>
    </w:p>
    <w:p w:rsidR="009B4D73" w:rsidRPr="009448FC" w:rsidRDefault="00674775" w:rsidP="003701DB">
      <w:pPr>
        <w:pStyle w:val="Heading4"/>
        <w:numPr>
          <w:ilvl w:val="3"/>
          <w:numId w:val="152"/>
        </w:numPr>
      </w:pPr>
      <w:r w:rsidRPr="009448FC">
        <w:t xml:space="preserve"> </w:t>
      </w:r>
      <w:bookmarkStart w:id="692" w:name="_Toc259716941"/>
      <w:r w:rsidR="009B4D73" w:rsidRPr="009448FC">
        <w:t xml:space="preserve">PCP </w:t>
      </w:r>
      <w:r w:rsidR="00872F89" w:rsidRPr="009448FC">
        <w:t xml:space="preserve">Handover </w:t>
      </w:r>
      <w:r w:rsidR="009B4D73" w:rsidRPr="009448FC">
        <w:t>element</w:t>
      </w:r>
      <w:bookmarkEnd w:id="692"/>
      <w:r w:rsidR="009B4D73" w:rsidRPr="009448FC">
        <w:t xml:space="preserve"> </w:t>
      </w:r>
    </w:p>
    <w:p w:rsidR="001F563D" w:rsidRPr="009448FC" w:rsidRDefault="00CB5FA5" w:rsidP="00224824">
      <w:r w:rsidRPr="009448FC">
        <w:t xml:space="preserve">The PCP Handover </w:t>
      </w:r>
      <w:r w:rsidR="00F264C8" w:rsidRPr="009448FC">
        <w:t>element</w:t>
      </w:r>
      <w:r w:rsidRPr="009448FC">
        <w:t xml:space="preserve"> is used to indicate which STA will become the new PCP following a handover procedure. </w:t>
      </w:r>
      <w:r w:rsidR="001F563D" w:rsidRPr="009448FC">
        <w:t xml:space="preserve">The PCP Handover </w:t>
      </w:r>
      <w:r w:rsidR="00F264C8" w:rsidRPr="009448FC">
        <w:t>element</w:t>
      </w:r>
      <w:r w:rsidR="001F563D" w:rsidRPr="009448FC">
        <w:t xml:space="preserve"> is defined in </w:t>
      </w:r>
      <w:r w:rsidR="00BD151C">
        <w:fldChar w:fldCharType="begin"/>
      </w:r>
      <w:r w:rsidR="001F563D">
        <w:instrText xml:space="preserve"> REF _Ref242675243 \h </w:instrText>
      </w:r>
      <w:r w:rsidR="00BD151C">
        <w:fldChar w:fldCharType="separate"/>
      </w:r>
      <w:r w:rsidR="003E4210" w:rsidRPr="00066F65">
        <w:t xml:space="preserve">Figure </w:t>
      </w:r>
      <w:r w:rsidR="003E4210">
        <w:rPr>
          <w:noProof/>
        </w:rPr>
        <w:t>56</w:t>
      </w:r>
      <w:r w:rsidR="00BD151C">
        <w:fldChar w:fldCharType="end"/>
      </w:r>
      <w:r w:rsidR="001F563D" w:rsidRPr="009448FC">
        <w:t>.</w:t>
      </w:r>
    </w:p>
    <w:p w:rsidR="001F563D" w:rsidRPr="009448FC" w:rsidRDefault="001F563D" w:rsidP="00224824"/>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1685"/>
        <w:gridCol w:w="1440"/>
        <w:gridCol w:w="1980"/>
        <w:gridCol w:w="1980"/>
      </w:tblGrid>
      <w:tr w:rsidR="00D0037C" w:rsidRPr="00066F65" w:rsidTr="00D0037C">
        <w:tc>
          <w:tcPr>
            <w:tcW w:w="1195" w:type="dxa"/>
          </w:tcPr>
          <w:p w:rsidR="00224824" w:rsidRPr="009448FC" w:rsidRDefault="00224824" w:rsidP="00010A08">
            <w:pPr>
              <w:autoSpaceDE w:val="0"/>
              <w:autoSpaceDN w:val="0"/>
              <w:adjustRightInd w:val="0"/>
              <w:jc w:val="center"/>
              <w:rPr>
                <w:rFonts w:eastAsia="SimSun"/>
              </w:rPr>
            </w:pPr>
          </w:p>
        </w:tc>
        <w:tc>
          <w:tcPr>
            <w:tcW w:w="1685" w:type="dxa"/>
          </w:tcPr>
          <w:p w:rsidR="00224824" w:rsidRPr="009448FC" w:rsidRDefault="00224824" w:rsidP="00010A08">
            <w:pPr>
              <w:autoSpaceDE w:val="0"/>
              <w:autoSpaceDN w:val="0"/>
              <w:adjustRightInd w:val="0"/>
              <w:jc w:val="center"/>
              <w:rPr>
                <w:rFonts w:eastAsia="SimSun"/>
              </w:rPr>
            </w:pPr>
            <w:r w:rsidRPr="009448FC">
              <w:rPr>
                <w:rFonts w:eastAsia="SimSun"/>
              </w:rPr>
              <w:t>Element ID</w:t>
            </w:r>
          </w:p>
        </w:tc>
        <w:tc>
          <w:tcPr>
            <w:tcW w:w="1440" w:type="dxa"/>
          </w:tcPr>
          <w:p w:rsidR="00224824" w:rsidRPr="009448FC" w:rsidRDefault="00224824" w:rsidP="00010A08">
            <w:pPr>
              <w:autoSpaceDE w:val="0"/>
              <w:autoSpaceDN w:val="0"/>
              <w:adjustRightInd w:val="0"/>
              <w:jc w:val="center"/>
              <w:rPr>
                <w:rFonts w:eastAsia="SimSun"/>
              </w:rPr>
            </w:pPr>
            <w:r w:rsidRPr="009448FC">
              <w:rPr>
                <w:rFonts w:eastAsia="SimSun"/>
              </w:rPr>
              <w:t>Length</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New PCP AID</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Remaining BIs</w:t>
            </w:r>
          </w:p>
        </w:tc>
      </w:tr>
      <w:tr w:rsidR="00D0037C" w:rsidRPr="00066F65" w:rsidTr="00D0037C">
        <w:tc>
          <w:tcPr>
            <w:tcW w:w="1195" w:type="dxa"/>
          </w:tcPr>
          <w:p w:rsidR="00224824" w:rsidRPr="009448FC" w:rsidRDefault="00224824" w:rsidP="00010A08">
            <w:pPr>
              <w:autoSpaceDE w:val="0"/>
              <w:autoSpaceDN w:val="0"/>
              <w:adjustRightInd w:val="0"/>
              <w:jc w:val="center"/>
              <w:rPr>
                <w:rFonts w:eastAsia="SimSun"/>
              </w:rPr>
            </w:pPr>
            <w:r w:rsidRPr="009448FC">
              <w:rPr>
                <w:rFonts w:eastAsia="SimSun"/>
              </w:rPr>
              <w:t>Octets</w:t>
            </w:r>
            <w:r w:rsidR="007D555D" w:rsidRPr="009448FC">
              <w:rPr>
                <w:rFonts w:eastAsia="SimSun"/>
              </w:rPr>
              <w:t>:</w:t>
            </w:r>
          </w:p>
        </w:tc>
        <w:tc>
          <w:tcPr>
            <w:tcW w:w="1685" w:type="dxa"/>
          </w:tcPr>
          <w:p w:rsidR="00224824" w:rsidRPr="009448FC" w:rsidRDefault="00224824" w:rsidP="00010A08">
            <w:pPr>
              <w:autoSpaceDE w:val="0"/>
              <w:autoSpaceDN w:val="0"/>
              <w:adjustRightInd w:val="0"/>
              <w:jc w:val="center"/>
              <w:rPr>
                <w:rFonts w:eastAsia="SimSun"/>
              </w:rPr>
            </w:pPr>
            <w:r w:rsidRPr="009448FC">
              <w:rPr>
                <w:rFonts w:eastAsia="SimSun"/>
              </w:rPr>
              <w:t>1</w:t>
            </w:r>
          </w:p>
        </w:tc>
        <w:tc>
          <w:tcPr>
            <w:tcW w:w="1440" w:type="dxa"/>
          </w:tcPr>
          <w:p w:rsidR="00224824" w:rsidRPr="009448FC" w:rsidRDefault="00224824" w:rsidP="00010A08">
            <w:pPr>
              <w:autoSpaceDE w:val="0"/>
              <w:autoSpaceDN w:val="0"/>
              <w:adjustRightInd w:val="0"/>
              <w:jc w:val="center"/>
              <w:rPr>
                <w:rFonts w:eastAsia="SimSun"/>
              </w:rPr>
            </w:pPr>
            <w:r w:rsidRPr="009448FC">
              <w:rPr>
                <w:rFonts w:eastAsia="SimSun"/>
              </w:rPr>
              <w:t>1</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1</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1</w:t>
            </w:r>
          </w:p>
        </w:tc>
      </w:tr>
    </w:tbl>
    <w:p w:rsidR="00224824" w:rsidRPr="00066F65" w:rsidRDefault="00224824" w:rsidP="00BA5BC4">
      <w:pPr>
        <w:pStyle w:val="Caption"/>
        <w:rPr>
          <w:szCs w:val="24"/>
        </w:rPr>
      </w:pPr>
      <w:bookmarkStart w:id="693" w:name="_Ref242675243"/>
      <w:bookmarkStart w:id="694" w:name="_Toc259717488"/>
      <w:r w:rsidRPr="00066F65">
        <w:t xml:space="preserve">Figure </w:t>
      </w:r>
      <w:r w:rsidR="00BD151C">
        <w:fldChar w:fldCharType="begin"/>
      </w:r>
      <w:r w:rsidR="00801316">
        <w:instrText xml:space="preserve"> SEQ Figure \* ARABIC </w:instrText>
      </w:r>
      <w:r w:rsidR="00BD151C">
        <w:fldChar w:fldCharType="separate"/>
      </w:r>
      <w:r w:rsidR="003E4210">
        <w:rPr>
          <w:noProof/>
        </w:rPr>
        <w:t>56</w:t>
      </w:r>
      <w:r w:rsidR="00BD151C">
        <w:fldChar w:fldCharType="end"/>
      </w:r>
      <w:bookmarkEnd w:id="693"/>
      <w:r w:rsidRPr="00066F65">
        <w:t xml:space="preserve"> </w:t>
      </w:r>
      <w:r w:rsidR="001F563D" w:rsidRPr="00066F65">
        <w:t xml:space="preserve">– </w:t>
      </w:r>
      <w:r w:rsidRPr="00066F65">
        <w:t>PCP Handover</w:t>
      </w:r>
      <w:bookmarkEnd w:id="694"/>
    </w:p>
    <w:p w:rsidR="00224824" w:rsidRPr="009448FC" w:rsidRDefault="00224824" w:rsidP="00CB5FA5">
      <w:pPr>
        <w:autoSpaceDE w:val="0"/>
        <w:autoSpaceDN w:val="0"/>
        <w:adjustRightInd w:val="0"/>
      </w:pPr>
    </w:p>
    <w:p w:rsidR="00224824" w:rsidRPr="009448FC" w:rsidRDefault="00224824" w:rsidP="00224824">
      <w:pPr>
        <w:autoSpaceDE w:val="0"/>
        <w:autoSpaceDN w:val="0"/>
        <w:adjustRightInd w:val="0"/>
      </w:pPr>
      <w:r w:rsidRPr="009448FC">
        <w:t>The New PCP AID field indicates the AID of the new PCP following a handover.</w:t>
      </w:r>
    </w:p>
    <w:p w:rsidR="00224824" w:rsidRPr="009448FC" w:rsidRDefault="00224824" w:rsidP="00224824">
      <w:pPr>
        <w:autoSpaceDE w:val="0"/>
        <w:autoSpaceDN w:val="0"/>
        <w:adjustRightInd w:val="0"/>
      </w:pPr>
    </w:p>
    <w:p w:rsidR="003E35E9" w:rsidRPr="009448FC" w:rsidRDefault="00224824" w:rsidP="008838B3">
      <w:pPr>
        <w:autoSpaceDE w:val="0"/>
        <w:autoSpaceDN w:val="0"/>
        <w:adjustRightInd w:val="0"/>
      </w:pPr>
      <w:r w:rsidRPr="009448FC">
        <w:t xml:space="preserve">The Remaining BIs field indicates the number of BIs, from the BI in which this </w:t>
      </w:r>
      <w:r w:rsidR="00F264C8" w:rsidRPr="009448FC">
        <w:t>element</w:t>
      </w:r>
      <w:r w:rsidRPr="009448FC">
        <w:t xml:space="preserve"> is transmitted, remaining until the handover takes effect. </w:t>
      </w:r>
    </w:p>
    <w:p w:rsidR="007D555D" w:rsidRPr="009448FC" w:rsidRDefault="0015705D" w:rsidP="003701DB">
      <w:pPr>
        <w:pStyle w:val="Heading4"/>
        <w:numPr>
          <w:ilvl w:val="3"/>
          <w:numId w:val="152"/>
        </w:numPr>
      </w:pPr>
      <w:bookmarkStart w:id="695" w:name="_Toc259716942"/>
      <w:bookmarkStart w:id="696" w:name="_Ref245985848"/>
      <w:r>
        <w:t>Link Margin</w:t>
      </w:r>
      <w:r w:rsidR="00466031">
        <w:t xml:space="preserve"> </w:t>
      </w:r>
      <w:r w:rsidR="002E7191" w:rsidRPr="009448FC">
        <w:t>e</w:t>
      </w:r>
      <w:r w:rsidR="003E35E9" w:rsidRPr="009448FC">
        <w:t>lement</w:t>
      </w:r>
      <w:bookmarkEnd w:id="695"/>
      <w:r w:rsidR="007108BE" w:rsidRPr="009448FC">
        <w:t xml:space="preserve"> </w:t>
      </w:r>
      <w:bookmarkEnd w:id="696"/>
    </w:p>
    <w:p w:rsidR="000F1DD7" w:rsidRPr="009448FC" w:rsidRDefault="000F1DD7" w:rsidP="002D1FC7">
      <w:pPr>
        <w:widowControl w:val="0"/>
        <w:autoSpaceDE w:val="0"/>
        <w:autoSpaceDN w:val="0"/>
        <w:adjustRightInd w:val="0"/>
      </w:pPr>
      <w:r w:rsidRPr="009448FC">
        <w:t xml:space="preserve">The format of the Link </w:t>
      </w:r>
      <w:r w:rsidR="0015705D">
        <w:t>Margin</w:t>
      </w:r>
      <w:r w:rsidRPr="009448FC">
        <w:t xml:space="preserve"> element is shown in </w:t>
      </w:r>
      <w:r w:rsidR="00BD151C" w:rsidRPr="009448FC">
        <w:fldChar w:fldCharType="begin"/>
      </w:r>
      <w:r w:rsidR="00397D0B" w:rsidRPr="009448FC">
        <w:instrText xml:space="preserve"> REF _Ref245984357 \h </w:instrText>
      </w:r>
      <w:r w:rsidR="00BD151C" w:rsidRPr="009448FC">
        <w:fldChar w:fldCharType="separate"/>
      </w:r>
      <w:r w:rsidR="003E4210" w:rsidRPr="00066F65">
        <w:t xml:space="preserve">Figure </w:t>
      </w:r>
      <w:r w:rsidR="003E4210">
        <w:rPr>
          <w:noProof/>
        </w:rPr>
        <w:t>57</w:t>
      </w:r>
      <w:r w:rsidR="00BD151C" w:rsidRPr="009448FC">
        <w:fldChar w:fldCharType="end"/>
      </w:r>
      <w:r w:rsidRPr="009448FC">
        <w:t>.</w:t>
      </w:r>
      <w:r w:rsidR="007D555D" w:rsidRPr="009448FC">
        <w:t xml:space="preserve"> </w:t>
      </w:r>
      <w:r w:rsidRPr="009448FC">
        <w:t xml:space="preserve">The Link </w:t>
      </w:r>
      <w:r w:rsidR="0015705D">
        <w:t>Margin</w:t>
      </w:r>
      <w:r w:rsidRPr="009448FC">
        <w:t xml:space="preserve"> element is included in a Link </w:t>
      </w:r>
      <w:r w:rsidR="0015705D">
        <w:t>Margin</w:t>
      </w:r>
      <w:r w:rsidRPr="009448FC">
        <w:t xml:space="preserve"> </w:t>
      </w:r>
      <w:r w:rsidR="007D555D" w:rsidRPr="009448FC">
        <w:t xml:space="preserve">Response </w:t>
      </w:r>
      <w:r w:rsidRPr="009448FC">
        <w:t>frame</w:t>
      </w:r>
      <w:r w:rsidR="00DA54E8" w:rsidRPr="009448FC">
        <w:t>.</w:t>
      </w:r>
    </w:p>
    <w:p w:rsidR="000F1DD7" w:rsidRDefault="000F1DD7" w:rsidP="000F1DD7">
      <w:pPr>
        <w:widowControl w:val="0"/>
        <w:autoSpaceDE w:val="0"/>
        <w:autoSpaceDN w:val="0"/>
        <w:adjustRightInd w:val="0"/>
      </w:pPr>
    </w:p>
    <w:tbl>
      <w:tblPr>
        <w:tblW w:w="0" w:type="auto"/>
        <w:jc w:val="center"/>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56"/>
        <w:gridCol w:w="1417"/>
        <w:gridCol w:w="992"/>
        <w:gridCol w:w="1110"/>
        <w:gridCol w:w="723"/>
        <w:gridCol w:w="1082"/>
        <w:gridCol w:w="958"/>
        <w:gridCol w:w="1843"/>
      </w:tblGrid>
      <w:tr w:rsidR="006E77E1" w:rsidRPr="00F13140" w:rsidTr="006E77E1">
        <w:trPr>
          <w:jc w:val="center"/>
        </w:trPr>
        <w:tc>
          <w:tcPr>
            <w:tcW w:w="956" w:type="dxa"/>
            <w:vAlign w:val="center"/>
          </w:tcPr>
          <w:p w:rsidR="006E77E1" w:rsidRPr="00F13140" w:rsidRDefault="006E77E1" w:rsidP="00A84959">
            <w:pPr>
              <w:jc w:val="center"/>
            </w:pPr>
          </w:p>
        </w:tc>
        <w:tc>
          <w:tcPr>
            <w:tcW w:w="1417" w:type="dxa"/>
            <w:vAlign w:val="center"/>
          </w:tcPr>
          <w:p w:rsidR="006E77E1" w:rsidRPr="00F13140" w:rsidRDefault="006E77E1" w:rsidP="00A84959">
            <w:pPr>
              <w:jc w:val="center"/>
            </w:pPr>
            <w:r w:rsidRPr="00F13140">
              <w:t>Element ID</w:t>
            </w:r>
          </w:p>
        </w:tc>
        <w:tc>
          <w:tcPr>
            <w:tcW w:w="992" w:type="dxa"/>
            <w:vAlign w:val="center"/>
          </w:tcPr>
          <w:p w:rsidR="006E77E1" w:rsidRPr="00F13140" w:rsidRDefault="006E77E1" w:rsidP="00A84959">
            <w:pPr>
              <w:jc w:val="center"/>
            </w:pPr>
            <w:r w:rsidRPr="00F13140">
              <w:t>Length</w:t>
            </w:r>
          </w:p>
        </w:tc>
        <w:tc>
          <w:tcPr>
            <w:tcW w:w="1110" w:type="dxa"/>
            <w:vAlign w:val="center"/>
          </w:tcPr>
          <w:p w:rsidR="006E77E1" w:rsidRDefault="006E77E1" w:rsidP="00A84959">
            <w:pPr>
              <w:jc w:val="center"/>
            </w:pPr>
            <w:r>
              <w:t>A</w:t>
            </w:r>
            <w:r>
              <w:rPr>
                <w:rFonts w:hint="eastAsia"/>
              </w:rPr>
              <w:t>ction</w:t>
            </w:r>
          </w:p>
          <w:p w:rsidR="006E77E1" w:rsidRPr="00F13140" w:rsidRDefault="006E77E1" w:rsidP="00A84959">
            <w:pPr>
              <w:jc w:val="center"/>
            </w:pPr>
          </w:p>
        </w:tc>
        <w:tc>
          <w:tcPr>
            <w:tcW w:w="723" w:type="dxa"/>
            <w:vAlign w:val="center"/>
          </w:tcPr>
          <w:p w:rsidR="006E77E1" w:rsidRPr="00F13140" w:rsidRDefault="006E77E1" w:rsidP="00A84959">
            <w:pPr>
              <w:jc w:val="center"/>
            </w:pPr>
            <w:r w:rsidRPr="00F13140">
              <w:t>MCS</w:t>
            </w:r>
          </w:p>
        </w:tc>
        <w:tc>
          <w:tcPr>
            <w:tcW w:w="1082" w:type="dxa"/>
            <w:vAlign w:val="center"/>
          </w:tcPr>
          <w:p w:rsidR="006E77E1" w:rsidRPr="00F13140" w:rsidRDefault="006E77E1" w:rsidP="00A84959">
            <w:pPr>
              <w:jc w:val="center"/>
            </w:pPr>
            <w:r w:rsidRPr="00F13140">
              <w:t>Link Margin</w:t>
            </w:r>
          </w:p>
        </w:tc>
        <w:tc>
          <w:tcPr>
            <w:tcW w:w="958" w:type="dxa"/>
          </w:tcPr>
          <w:p w:rsidR="006E77E1" w:rsidRDefault="006E77E1" w:rsidP="00A84959">
            <w:pPr>
              <w:jc w:val="center"/>
            </w:pPr>
            <w:r>
              <w:t>SNR</w:t>
            </w:r>
          </w:p>
          <w:p w:rsidR="006E77E1" w:rsidRPr="00F13140" w:rsidRDefault="006E77E1" w:rsidP="00A84959">
            <w:pPr>
              <w:jc w:val="center"/>
            </w:pPr>
          </w:p>
        </w:tc>
        <w:tc>
          <w:tcPr>
            <w:tcW w:w="1843" w:type="dxa"/>
            <w:vAlign w:val="center"/>
          </w:tcPr>
          <w:p w:rsidR="006E77E1" w:rsidRPr="00F13140" w:rsidRDefault="006E77E1" w:rsidP="00A84959">
            <w:pPr>
              <w:jc w:val="center"/>
            </w:pPr>
            <w:r w:rsidRPr="00F13140">
              <w:t>Reference Timestamp</w:t>
            </w:r>
          </w:p>
        </w:tc>
      </w:tr>
      <w:tr w:rsidR="006E77E1" w:rsidRPr="00F13140" w:rsidTr="006E77E1">
        <w:trPr>
          <w:jc w:val="center"/>
        </w:trPr>
        <w:tc>
          <w:tcPr>
            <w:tcW w:w="956" w:type="dxa"/>
            <w:vAlign w:val="center"/>
          </w:tcPr>
          <w:p w:rsidR="006E77E1" w:rsidRPr="00F13140" w:rsidRDefault="006E77E1" w:rsidP="00A84959">
            <w:pPr>
              <w:jc w:val="center"/>
            </w:pPr>
            <w:r w:rsidRPr="00F13140">
              <w:t>Octets:</w:t>
            </w:r>
          </w:p>
        </w:tc>
        <w:tc>
          <w:tcPr>
            <w:tcW w:w="1417" w:type="dxa"/>
            <w:vAlign w:val="center"/>
          </w:tcPr>
          <w:p w:rsidR="006E77E1" w:rsidRPr="00F13140" w:rsidRDefault="006E77E1" w:rsidP="00A84959">
            <w:pPr>
              <w:jc w:val="center"/>
            </w:pPr>
            <w:r w:rsidRPr="00F13140">
              <w:t>1</w:t>
            </w:r>
          </w:p>
        </w:tc>
        <w:tc>
          <w:tcPr>
            <w:tcW w:w="992" w:type="dxa"/>
            <w:vAlign w:val="center"/>
          </w:tcPr>
          <w:p w:rsidR="006E77E1" w:rsidRPr="00F13140" w:rsidRDefault="006E77E1" w:rsidP="00A84959">
            <w:pPr>
              <w:jc w:val="center"/>
            </w:pPr>
            <w:r w:rsidRPr="00F13140">
              <w:t>1</w:t>
            </w:r>
          </w:p>
        </w:tc>
        <w:tc>
          <w:tcPr>
            <w:tcW w:w="1110" w:type="dxa"/>
          </w:tcPr>
          <w:p w:rsidR="006E77E1" w:rsidRPr="00F13140" w:rsidRDefault="006E77E1" w:rsidP="00A84959">
            <w:pPr>
              <w:jc w:val="center"/>
              <w:rPr>
                <w:lang w:eastAsia="ko-KR"/>
              </w:rPr>
            </w:pPr>
            <w:r>
              <w:rPr>
                <w:rFonts w:hint="eastAsia"/>
                <w:lang w:eastAsia="ko-KR"/>
              </w:rPr>
              <w:t>1</w:t>
            </w:r>
          </w:p>
        </w:tc>
        <w:tc>
          <w:tcPr>
            <w:tcW w:w="723" w:type="dxa"/>
            <w:vAlign w:val="center"/>
          </w:tcPr>
          <w:p w:rsidR="006E77E1" w:rsidRPr="00F13140" w:rsidRDefault="006E77E1" w:rsidP="00A84959">
            <w:pPr>
              <w:jc w:val="center"/>
              <w:rPr>
                <w:lang w:eastAsia="ko-KR"/>
              </w:rPr>
            </w:pPr>
            <w:r w:rsidRPr="00F13140">
              <w:t>1</w:t>
            </w:r>
          </w:p>
        </w:tc>
        <w:tc>
          <w:tcPr>
            <w:tcW w:w="1082" w:type="dxa"/>
            <w:vAlign w:val="center"/>
          </w:tcPr>
          <w:p w:rsidR="006E77E1" w:rsidRPr="00F13140" w:rsidRDefault="006E77E1" w:rsidP="00A84959">
            <w:pPr>
              <w:jc w:val="center"/>
            </w:pPr>
            <w:r w:rsidRPr="00F13140">
              <w:t>1</w:t>
            </w:r>
          </w:p>
        </w:tc>
        <w:tc>
          <w:tcPr>
            <w:tcW w:w="958" w:type="dxa"/>
          </w:tcPr>
          <w:p w:rsidR="006E77E1" w:rsidRPr="00F13140" w:rsidRDefault="006E77E1" w:rsidP="00A84959">
            <w:pPr>
              <w:jc w:val="center"/>
            </w:pPr>
            <w:r>
              <w:t>1</w:t>
            </w:r>
          </w:p>
        </w:tc>
        <w:tc>
          <w:tcPr>
            <w:tcW w:w="1843" w:type="dxa"/>
            <w:vAlign w:val="center"/>
          </w:tcPr>
          <w:p w:rsidR="006E77E1" w:rsidRPr="00F13140" w:rsidRDefault="006E77E1" w:rsidP="00A84959">
            <w:pPr>
              <w:jc w:val="center"/>
            </w:pPr>
            <w:r w:rsidRPr="00F13140">
              <w:t>4</w:t>
            </w:r>
          </w:p>
        </w:tc>
      </w:tr>
    </w:tbl>
    <w:p w:rsidR="000F1DD7" w:rsidRPr="00066F65" w:rsidRDefault="00A331C5" w:rsidP="00BA5BC4">
      <w:pPr>
        <w:pStyle w:val="Caption"/>
      </w:pPr>
      <w:bookmarkStart w:id="697" w:name="_Ref245984357"/>
      <w:bookmarkStart w:id="698" w:name="_Toc259717489"/>
      <w:r w:rsidRPr="00066F65">
        <w:t xml:space="preserve">Figure </w:t>
      </w:r>
      <w:r w:rsidR="00BD151C">
        <w:fldChar w:fldCharType="begin"/>
      </w:r>
      <w:r w:rsidR="00801316">
        <w:instrText xml:space="preserve"> SEQ Figure \* ARABIC </w:instrText>
      </w:r>
      <w:r w:rsidR="00BD151C">
        <w:fldChar w:fldCharType="separate"/>
      </w:r>
      <w:r w:rsidR="003E4210">
        <w:rPr>
          <w:noProof/>
        </w:rPr>
        <w:t>57</w:t>
      </w:r>
      <w:r w:rsidR="00BD151C">
        <w:fldChar w:fldCharType="end"/>
      </w:r>
      <w:bookmarkEnd w:id="697"/>
      <w:r w:rsidRPr="00066F65">
        <w:t xml:space="preserve"> – Link </w:t>
      </w:r>
      <w:r w:rsidR="0015705D">
        <w:t>Margin</w:t>
      </w:r>
      <w:r w:rsidRPr="00066F65">
        <w:t xml:space="preserve"> element</w:t>
      </w:r>
      <w:bookmarkEnd w:id="698"/>
    </w:p>
    <w:p w:rsidR="0081206A" w:rsidRPr="00F13140" w:rsidRDefault="0081206A" w:rsidP="00367157">
      <w:pPr>
        <w:widowControl w:val="0"/>
        <w:autoSpaceDE w:val="0"/>
        <w:autoSpaceDN w:val="0"/>
        <w:adjustRightInd w:val="0"/>
        <w:rPr>
          <w:lang w:eastAsia="ko-KR"/>
        </w:rPr>
      </w:pPr>
      <w:r w:rsidRPr="00F13140">
        <w:t xml:space="preserve">The </w:t>
      </w:r>
      <w:r>
        <w:rPr>
          <w:rFonts w:hint="eastAsia"/>
          <w:lang w:eastAsia="ko-KR"/>
        </w:rPr>
        <w:t>Action</w:t>
      </w:r>
      <w:r w:rsidRPr="00F13140">
        <w:t xml:space="preserve"> field is set to a </w:t>
      </w:r>
      <w:r>
        <w:rPr>
          <w:rFonts w:hint="eastAsia"/>
          <w:lang w:eastAsia="ko-KR"/>
        </w:rPr>
        <w:t>preferred action</w:t>
      </w:r>
      <w:r w:rsidRPr="00F13140">
        <w:t xml:space="preserve"> that the STA sending this element recommends that the STA indicated in the RA field of the Link </w:t>
      </w:r>
      <w:r>
        <w:rPr>
          <w:rFonts w:hint="eastAsia"/>
          <w:lang w:eastAsia="ko-KR"/>
        </w:rPr>
        <w:t>Margin</w:t>
      </w:r>
      <w:r w:rsidRPr="00F13140">
        <w:t xml:space="preserve"> Response frame </w:t>
      </w:r>
      <w:r>
        <w:rPr>
          <w:rFonts w:hint="eastAsia"/>
          <w:lang w:eastAsia="ko-KR"/>
        </w:rPr>
        <w:t>execute</w:t>
      </w:r>
      <w:r w:rsidRPr="00F13140">
        <w:t xml:space="preserve">. The method by which the sending STA determines a suitable </w:t>
      </w:r>
      <w:r>
        <w:rPr>
          <w:rFonts w:hint="eastAsia"/>
          <w:lang w:eastAsia="ko-KR"/>
        </w:rPr>
        <w:t>action</w:t>
      </w:r>
      <w:r w:rsidRPr="00F13140">
        <w:t xml:space="preserve"> for the peer STA is implementation specific.</w:t>
      </w:r>
      <w:r>
        <w:rPr>
          <w:rFonts w:hint="eastAsia"/>
          <w:lang w:eastAsia="ko-KR"/>
        </w:rPr>
        <w:t xml:space="preserve"> The action field is defined in </w:t>
      </w:r>
      <w:r w:rsidR="00BD151C">
        <w:rPr>
          <w:lang w:eastAsia="ko-KR"/>
        </w:rPr>
        <w:fldChar w:fldCharType="begin"/>
      </w:r>
      <w:r w:rsidR="00367157">
        <w:rPr>
          <w:lang w:eastAsia="ko-KR"/>
        </w:rPr>
        <w:instrText xml:space="preserve"> </w:instrText>
      </w:r>
      <w:r w:rsidR="00367157">
        <w:rPr>
          <w:rFonts w:hint="eastAsia"/>
          <w:lang w:eastAsia="ko-KR"/>
        </w:rPr>
        <w:instrText>REF _Ref251686540 \r \h</w:instrText>
      </w:r>
      <w:r w:rsidR="00367157">
        <w:rPr>
          <w:lang w:eastAsia="ko-KR"/>
        </w:rPr>
        <w:instrText xml:space="preserve"> </w:instrText>
      </w:r>
      <w:r w:rsidR="00BD151C">
        <w:rPr>
          <w:lang w:eastAsia="ko-KR"/>
        </w:rPr>
      </w:r>
      <w:r w:rsidR="00BD151C">
        <w:rPr>
          <w:lang w:eastAsia="ko-KR"/>
        </w:rPr>
        <w:fldChar w:fldCharType="separate"/>
      </w:r>
      <w:r w:rsidR="003E4210">
        <w:rPr>
          <w:lang w:eastAsia="ko-KR"/>
        </w:rPr>
        <w:t>7.3.2.105.1</w:t>
      </w:r>
      <w:r w:rsidR="00BD151C">
        <w:rPr>
          <w:lang w:eastAsia="ko-KR"/>
        </w:rPr>
        <w:fldChar w:fldCharType="end"/>
      </w:r>
      <w:r>
        <w:rPr>
          <w:rFonts w:hint="eastAsia"/>
          <w:lang w:eastAsia="ko-KR"/>
        </w:rPr>
        <w:t>.</w:t>
      </w:r>
    </w:p>
    <w:p w:rsidR="0081206A" w:rsidRDefault="0081206A" w:rsidP="007D555D">
      <w:pPr>
        <w:widowControl w:val="0"/>
        <w:autoSpaceDE w:val="0"/>
        <w:autoSpaceDN w:val="0"/>
        <w:adjustRightInd w:val="0"/>
      </w:pPr>
    </w:p>
    <w:p w:rsidR="007D555D" w:rsidRPr="00230D7A" w:rsidRDefault="007D555D" w:rsidP="00BF1848">
      <w:pPr>
        <w:widowControl w:val="0"/>
        <w:autoSpaceDE w:val="0"/>
        <w:autoSpaceDN w:val="0"/>
        <w:adjustRightInd w:val="0"/>
        <w:rPr>
          <w:lang w:eastAsia="ko-KR"/>
        </w:rPr>
      </w:pPr>
      <w:r w:rsidRPr="00230D7A">
        <w:t xml:space="preserve">The MCS field is set to a MCS value that the STA sending this element recommends </w:t>
      </w:r>
      <w:r w:rsidR="00305FA5" w:rsidRPr="00230D7A">
        <w:t>that</w:t>
      </w:r>
      <w:r w:rsidRPr="00230D7A">
        <w:t xml:space="preserve"> the STA indicated in the RA field of the Link </w:t>
      </w:r>
      <w:r w:rsidR="0015705D">
        <w:t>Margin</w:t>
      </w:r>
      <w:r w:rsidRPr="00230D7A">
        <w:t xml:space="preserve"> Response frame </w:t>
      </w:r>
      <w:r w:rsidR="00305FA5" w:rsidRPr="00230D7A">
        <w:t xml:space="preserve">use </w:t>
      </w:r>
      <w:r w:rsidRPr="00230D7A">
        <w:t xml:space="preserve">to transmit frames </w:t>
      </w:r>
      <w:r w:rsidR="00305FA5" w:rsidRPr="00230D7A">
        <w:t>to this</w:t>
      </w:r>
      <w:r w:rsidRPr="00230D7A">
        <w:t xml:space="preserve"> STA.</w:t>
      </w:r>
      <w:r w:rsidR="00305FA5" w:rsidRPr="00230D7A">
        <w:t xml:space="preserve"> </w:t>
      </w:r>
      <w:r w:rsidRPr="00230D7A">
        <w:t xml:space="preserve">The method by which the </w:t>
      </w:r>
      <w:r w:rsidR="00305FA5" w:rsidRPr="00230D7A">
        <w:t>sending</w:t>
      </w:r>
      <w:r w:rsidRPr="00230D7A">
        <w:t xml:space="preserve"> STA determines a suitable MCS for the peer STA is implementation specific.</w:t>
      </w:r>
      <w:r w:rsidR="00BF1848" w:rsidRPr="00BF1848">
        <w:rPr>
          <w:rFonts w:hint="eastAsia"/>
          <w:lang w:eastAsia="ko-KR"/>
        </w:rPr>
        <w:t xml:space="preserve"> </w:t>
      </w:r>
      <w:r w:rsidR="002C457F">
        <w:rPr>
          <w:rFonts w:hint="eastAsia"/>
          <w:lang w:eastAsia="ko-KR"/>
        </w:rPr>
        <w:t xml:space="preserve">The MCS </w:t>
      </w:r>
      <w:r w:rsidR="001D26D6">
        <w:rPr>
          <w:lang w:eastAsia="ko-KR"/>
        </w:rPr>
        <w:t xml:space="preserve">field </w:t>
      </w:r>
      <w:r w:rsidR="002C457F">
        <w:rPr>
          <w:rFonts w:hint="eastAsia"/>
          <w:lang w:eastAsia="ko-KR"/>
        </w:rPr>
        <w:t xml:space="preserve">is ignored </w:t>
      </w:r>
      <w:r w:rsidR="002C457F">
        <w:rPr>
          <w:lang w:eastAsia="ko-KR"/>
        </w:rPr>
        <w:t>if</w:t>
      </w:r>
      <w:r w:rsidR="00BF1848">
        <w:rPr>
          <w:rFonts w:hint="eastAsia"/>
          <w:lang w:eastAsia="ko-KR"/>
        </w:rPr>
        <w:t xml:space="preserve"> the Action field is </w:t>
      </w:r>
      <w:r w:rsidR="002C457F">
        <w:rPr>
          <w:lang w:eastAsia="ko-KR"/>
        </w:rPr>
        <w:t xml:space="preserve">not </w:t>
      </w:r>
      <w:r w:rsidR="00894A3F">
        <w:rPr>
          <w:lang w:eastAsia="ko-KR"/>
        </w:rPr>
        <w:t xml:space="preserve">set to </w:t>
      </w:r>
      <w:r w:rsidR="00BF1848">
        <w:rPr>
          <w:lang w:eastAsia="ko-KR"/>
        </w:rPr>
        <w:t>‘</w:t>
      </w:r>
      <w:r w:rsidR="00BF1848">
        <w:rPr>
          <w:rFonts w:hint="eastAsia"/>
          <w:lang w:eastAsia="ko-KR"/>
        </w:rPr>
        <w:t>1</w:t>
      </w:r>
      <w:r w:rsidR="00BF1848">
        <w:rPr>
          <w:lang w:eastAsia="ko-KR"/>
        </w:rPr>
        <w:t>’</w:t>
      </w:r>
      <w:r w:rsidR="00894A3F">
        <w:rPr>
          <w:rFonts w:hint="eastAsia"/>
          <w:lang w:eastAsia="ko-KR"/>
        </w:rPr>
        <w:t xml:space="preserve"> (change MCS)</w:t>
      </w:r>
      <w:r w:rsidR="00894A3F">
        <w:rPr>
          <w:lang w:eastAsia="ko-KR"/>
        </w:rPr>
        <w:t xml:space="preserve"> or ‘4’ (</w:t>
      </w:r>
      <w:r w:rsidR="00894A3F" w:rsidRPr="00BE1B6E">
        <w:rPr>
          <w:rFonts w:asciiTheme="majorBidi" w:hAnsiTheme="majorBidi" w:cstheme="majorBidi"/>
        </w:rPr>
        <w:t>Power conserve mode</w:t>
      </w:r>
      <w:r w:rsidR="00894A3F">
        <w:rPr>
          <w:rFonts w:asciiTheme="majorBidi" w:hAnsiTheme="majorBidi" w:cstheme="majorBidi"/>
        </w:rPr>
        <w:t>).</w:t>
      </w:r>
    </w:p>
    <w:p w:rsidR="00305FA5" w:rsidRPr="00230D7A" w:rsidRDefault="00305FA5" w:rsidP="007D555D">
      <w:pPr>
        <w:widowControl w:val="0"/>
        <w:autoSpaceDE w:val="0"/>
        <w:autoSpaceDN w:val="0"/>
        <w:adjustRightInd w:val="0"/>
      </w:pPr>
    </w:p>
    <w:p w:rsidR="007D555D" w:rsidRDefault="007D555D" w:rsidP="007D555D">
      <w:pPr>
        <w:widowControl w:val="0"/>
        <w:autoSpaceDE w:val="0"/>
        <w:autoSpaceDN w:val="0"/>
        <w:adjustRightInd w:val="0"/>
      </w:pPr>
      <w:r w:rsidRPr="00230D7A">
        <w:t xml:space="preserve">The Link </w:t>
      </w:r>
      <w:r w:rsidR="00676338" w:rsidRPr="00230D7A">
        <w:t>M</w:t>
      </w:r>
      <w:r w:rsidRPr="00230D7A">
        <w:t xml:space="preserve">argin field contains the measured link margin of data frames received from the STA indicated in the RA field of the Link </w:t>
      </w:r>
      <w:r w:rsidR="0015705D">
        <w:t>Margin</w:t>
      </w:r>
      <w:r w:rsidRPr="00230D7A">
        <w:t xml:space="preserve"> </w:t>
      </w:r>
      <w:r w:rsidR="00305FA5" w:rsidRPr="00230D7A">
        <w:t>R</w:t>
      </w:r>
      <w:r w:rsidRPr="00230D7A">
        <w:t xml:space="preserve">esponse </w:t>
      </w:r>
      <w:r w:rsidR="00305FA5" w:rsidRPr="00230D7A">
        <w:t>f</w:t>
      </w:r>
      <w:r w:rsidRPr="00230D7A">
        <w:t>rame and is coded as a 2’s complement signed integer in units of decibels. The measurement method of Link Margin is beyond the scope of this specification.</w:t>
      </w:r>
    </w:p>
    <w:p w:rsidR="00D91714" w:rsidRDefault="00D91714" w:rsidP="007D555D">
      <w:pPr>
        <w:widowControl w:val="0"/>
        <w:autoSpaceDE w:val="0"/>
        <w:autoSpaceDN w:val="0"/>
        <w:adjustRightInd w:val="0"/>
      </w:pPr>
    </w:p>
    <w:p w:rsidR="00D91714" w:rsidRPr="00F1420F" w:rsidRDefault="00D91714" w:rsidP="007D555D">
      <w:pPr>
        <w:widowControl w:val="0"/>
        <w:autoSpaceDE w:val="0"/>
        <w:autoSpaceDN w:val="0"/>
        <w:adjustRightInd w:val="0"/>
      </w:pPr>
      <w:r w:rsidRPr="00F1420F">
        <w:t xml:space="preserve">The SNR field </w:t>
      </w:r>
      <w:r w:rsidR="00F1420F" w:rsidRPr="00F1420F">
        <w:t>indicates the SNR measured during the reception of a PHY packet.</w:t>
      </w:r>
      <w:r w:rsidR="0009331E">
        <w:t xml:space="preserve"> </w:t>
      </w:r>
      <w:r w:rsidR="00F1420F" w:rsidRPr="00F1420F">
        <w:t xml:space="preserve">Values are -10dB to </w:t>
      </w:r>
      <w:r w:rsidR="00F1420F" w:rsidRPr="00F1420F">
        <w:lastRenderedPageBreak/>
        <w:t>53.7</w:t>
      </w:r>
      <w:r w:rsidR="00ED6DDE">
        <w:t>5</w:t>
      </w:r>
      <w:r w:rsidR="00F1420F" w:rsidRPr="00F1420F">
        <w:t>dB in 0.25dB steps</w:t>
      </w:r>
      <w:r w:rsidR="00F1420F">
        <w:t>.</w:t>
      </w:r>
      <w:r w:rsidR="00F1420F" w:rsidRPr="00F1420F">
        <w:t xml:space="preserve"> </w:t>
      </w:r>
    </w:p>
    <w:p w:rsidR="007D555D" w:rsidRPr="00F1420F" w:rsidRDefault="007D555D" w:rsidP="007D555D">
      <w:pPr>
        <w:widowControl w:val="0"/>
        <w:autoSpaceDE w:val="0"/>
        <w:autoSpaceDN w:val="0"/>
        <w:adjustRightInd w:val="0"/>
      </w:pPr>
    </w:p>
    <w:p w:rsidR="000F1DD7" w:rsidRPr="00230D7A" w:rsidRDefault="007D555D" w:rsidP="007D555D">
      <w:pPr>
        <w:widowControl w:val="0"/>
        <w:autoSpaceDE w:val="0"/>
        <w:autoSpaceDN w:val="0"/>
        <w:adjustRightInd w:val="0"/>
      </w:pPr>
      <w:r w:rsidRPr="00230D7A">
        <w:rPr>
          <w:rFonts w:ascii="TimesNewRomanPSMT" w:hAnsi="TimesNewRomanPSMT"/>
        </w:rPr>
        <w:t xml:space="preserve">The Reference </w:t>
      </w:r>
      <w:r w:rsidR="00676338" w:rsidRPr="00230D7A">
        <w:rPr>
          <w:rFonts w:ascii="TimesNewRomanPSMT" w:hAnsi="TimesNewRomanPSMT"/>
        </w:rPr>
        <w:t>T</w:t>
      </w:r>
      <w:r w:rsidRPr="00230D7A">
        <w:rPr>
          <w:rFonts w:ascii="TimesNewRomanPSMT" w:hAnsi="TimesNewRomanPSMT"/>
        </w:rPr>
        <w:t xml:space="preserve">imestamp </w:t>
      </w:r>
      <w:r w:rsidR="00305FA5" w:rsidRPr="00230D7A">
        <w:rPr>
          <w:rFonts w:ascii="TimesNewRomanPSMT" w:hAnsi="TimesNewRomanPSMT"/>
        </w:rPr>
        <w:t xml:space="preserve">field </w:t>
      </w:r>
      <w:r w:rsidRPr="00230D7A">
        <w:rPr>
          <w:rFonts w:ascii="TimesNewRomanPSMT" w:hAnsi="TimesNewRomanPSMT"/>
        </w:rPr>
        <w:t xml:space="preserve">contains the lower four octets of the TSF timer value sampled at the instant that the MAC received the PHY-CCA.indication(IDLE) signal that corresponds to the end of the reception of the PPDU that was used to generate the feedback information contained in the Link </w:t>
      </w:r>
      <w:r w:rsidR="0015705D">
        <w:rPr>
          <w:rFonts w:ascii="TimesNewRomanPSMT" w:hAnsi="TimesNewRomanPSMT"/>
        </w:rPr>
        <w:t>Margin</w:t>
      </w:r>
      <w:r w:rsidRPr="00230D7A">
        <w:rPr>
          <w:rFonts w:ascii="TimesNewRomanPSMT" w:hAnsi="TimesNewRomanPSMT"/>
        </w:rPr>
        <w:t xml:space="preserve"> Response frame.</w:t>
      </w:r>
    </w:p>
    <w:p w:rsidR="000F58C1" w:rsidRDefault="000F58C1" w:rsidP="00E56B03">
      <w:pPr>
        <w:autoSpaceDE w:val="0"/>
        <w:autoSpaceDN w:val="0"/>
        <w:adjustRightInd w:val="0"/>
        <w:rPr>
          <w:sz w:val="22"/>
        </w:rPr>
      </w:pPr>
    </w:p>
    <w:p w:rsidR="001173E1" w:rsidRDefault="00F3021A" w:rsidP="003701DB">
      <w:pPr>
        <w:pStyle w:val="Heading5"/>
        <w:numPr>
          <w:ilvl w:val="4"/>
          <w:numId w:val="152"/>
        </w:numPr>
      </w:pPr>
      <w:bookmarkStart w:id="699" w:name="_Ref251686540"/>
      <w:bookmarkStart w:id="700" w:name="_Toc259716943"/>
      <w:r w:rsidRPr="00F3021A">
        <w:t>Action field</w:t>
      </w:r>
      <w:bookmarkEnd w:id="699"/>
      <w:bookmarkEnd w:id="700"/>
      <w:r w:rsidR="00D11F2E">
        <w:t xml:space="preserve"> </w:t>
      </w:r>
    </w:p>
    <w:p w:rsidR="005C2D79" w:rsidRDefault="005C2D79" w:rsidP="003D162F">
      <w:pPr>
        <w:rPr>
          <w:lang w:eastAsia="ko-KR"/>
        </w:rPr>
      </w:pPr>
      <w:r w:rsidRPr="009B13F7">
        <w:t xml:space="preserve">The </w:t>
      </w:r>
      <w:r>
        <w:rPr>
          <w:rFonts w:hint="eastAsia"/>
          <w:lang w:eastAsia="ko-KR"/>
        </w:rPr>
        <w:t xml:space="preserve">Action field values are defined in </w:t>
      </w:r>
      <w:r w:rsidR="00BD151C">
        <w:rPr>
          <w:lang w:eastAsia="ko-KR"/>
        </w:rPr>
        <w:fldChar w:fldCharType="begin"/>
      </w:r>
      <w:r w:rsidR="003D162F">
        <w:rPr>
          <w:lang w:eastAsia="ko-KR"/>
        </w:rPr>
        <w:instrText xml:space="preserve"> </w:instrText>
      </w:r>
      <w:r w:rsidR="003D162F">
        <w:rPr>
          <w:rFonts w:hint="eastAsia"/>
          <w:lang w:eastAsia="ko-KR"/>
        </w:rPr>
        <w:instrText>REF _Ref251686681 \h</w:instrText>
      </w:r>
      <w:r w:rsidR="003D162F">
        <w:rPr>
          <w:lang w:eastAsia="ko-KR"/>
        </w:rPr>
        <w:instrText xml:space="preserve"> </w:instrText>
      </w:r>
      <w:r w:rsidR="00BD151C">
        <w:rPr>
          <w:lang w:eastAsia="ko-KR"/>
        </w:rPr>
      </w:r>
      <w:r w:rsidR="00BD151C">
        <w:rPr>
          <w:lang w:eastAsia="ko-KR"/>
        </w:rPr>
        <w:fldChar w:fldCharType="separate"/>
      </w:r>
      <w:r w:rsidR="003E4210">
        <w:t xml:space="preserve">Table </w:t>
      </w:r>
      <w:r w:rsidR="003E4210">
        <w:rPr>
          <w:noProof/>
        </w:rPr>
        <w:t>18</w:t>
      </w:r>
      <w:r w:rsidR="00BD151C">
        <w:rPr>
          <w:lang w:eastAsia="ko-KR"/>
        </w:rPr>
        <w:fldChar w:fldCharType="end"/>
      </w:r>
      <w:r>
        <w:rPr>
          <w:rFonts w:hint="eastAsia"/>
          <w:lang w:eastAsia="ko-KR"/>
        </w:rPr>
        <w:t>.</w:t>
      </w:r>
    </w:p>
    <w:p w:rsidR="005C2D79" w:rsidRPr="00680D6C" w:rsidRDefault="005C2D79" w:rsidP="005C2D79">
      <w:pPr>
        <w:rPr>
          <w:lang w:eastAsia="ko-KR"/>
        </w:rPr>
      </w:pPr>
    </w:p>
    <w:p w:rsidR="005C2D79" w:rsidRPr="00C53DC9" w:rsidRDefault="003D162F" w:rsidP="003D162F">
      <w:pPr>
        <w:pStyle w:val="Caption"/>
      </w:pPr>
      <w:bookmarkStart w:id="701" w:name="_Ref251686681"/>
      <w:bookmarkStart w:id="702" w:name="_Toc259717596"/>
      <w:r>
        <w:t xml:space="preserve">Table </w:t>
      </w:r>
      <w:r w:rsidR="00BD151C">
        <w:fldChar w:fldCharType="begin"/>
      </w:r>
      <w:r w:rsidR="00801316">
        <w:instrText xml:space="preserve"> SEQ Table \* ARABIC </w:instrText>
      </w:r>
      <w:r w:rsidR="00BD151C">
        <w:fldChar w:fldCharType="separate"/>
      </w:r>
      <w:r w:rsidR="003E4210">
        <w:rPr>
          <w:noProof/>
        </w:rPr>
        <w:t>18</w:t>
      </w:r>
      <w:r w:rsidR="00BD151C">
        <w:fldChar w:fldCharType="end"/>
      </w:r>
      <w:bookmarkEnd w:id="701"/>
      <w:r w:rsidR="00A84959">
        <w:t xml:space="preserve"> </w:t>
      </w:r>
      <w:r w:rsidR="005C2D79" w:rsidRPr="00C53DC9">
        <w:rPr>
          <w:lang w:eastAsia="ko-KR"/>
        </w:rPr>
        <w:t>–</w:t>
      </w:r>
      <w:r w:rsidR="00A84959">
        <w:rPr>
          <w:lang w:eastAsia="ko-KR"/>
        </w:rPr>
        <w:t xml:space="preserve"> </w:t>
      </w:r>
      <w:r w:rsidR="005C2D79" w:rsidRPr="00C53DC9">
        <w:rPr>
          <w:rFonts w:hint="eastAsia"/>
          <w:lang w:eastAsia="ko-KR"/>
        </w:rPr>
        <w:t>Action field values</w:t>
      </w:r>
      <w:bookmarkEnd w:id="702"/>
    </w:p>
    <w:tbl>
      <w:tblPr>
        <w:tblW w:w="0" w:type="auto"/>
        <w:jc w:val="center"/>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3118"/>
      </w:tblGrid>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Preferred Action Value</w:t>
            </w:r>
          </w:p>
        </w:tc>
        <w:tc>
          <w:tcPr>
            <w:tcW w:w="3118" w:type="dxa"/>
            <w:vAlign w:val="center"/>
          </w:tcPr>
          <w:p w:rsidR="005C2D79" w:rsidRPr="00CF6D4E" w:rsidRDefault="005C2D79" w:rsidP="00A84959">
            <w:pPr>
              <w:jc w:val="center"/>
              <w:rPr>
                <w:lang w:eastAsia="ko-KR"/>
              </w:rPr>
            </w:pPr>
            <w:r w:rsidRPr="00CF6D4E">
              <w:rPr>
                <w:rFonts w:hint="eastAsia"/>
                <w:lang w:eastAsia="ko-KR"/>
              </w:rPr>
              <w:t>Meaning</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0</w:t>
            </w:r>
          </w:p>
        </w:tc>
        <w:tc>
          <w:tcPr>
            <w:tcW w:w="3118" w:type="dxa"/>
            <w:vAlign w:val="center"/>
          </w:tcPr>
          <w:p w:rsidR="005C2D79" w:rsidRPr="00CF6D4E" w:rsidRDefault="005C2D79" w:rsidP="00A84959">
            <w:pPr>
              <w:rPr>
                <w:lang w:eastAsia="ko-KR"/>
              </w:rPr>
            </w:pPr>
            <w:r w:rsidRPr="00CF6D4E">
              <w:rPr>
                <w:rFonts w:hint="eastAsia"/>
                <w:lang w:eastAsia="ko-KR"/>
              </w:rPr>
              <w:t xml:space="preserve">No </w:t>
            </w:r>
            <w:r>
              <w:rPr>
                <w:lang w:eastAsia="ko-KR"/>
              </w:rPr>
              <w:t>Preference</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1</w:t>
            </w:r>
          </w:p>
        </w:tc>
        <w:tc>
          <w:tcPr>
            <w:tcW w:w="3118" w:type="dxa"/>
            <w:vAlign w:val="center"/>
          </w:tcPr>
          <w:p w:rsidR="005C2D79" w:rsidRPr="00CF6D4E" w:rsidRDefault="005C2D79" w:rsidP="00A84959">
            <w:pPr>
              <w:rPr>
                <w:lang w:eastAsia="ko-KR"/>
              </w:rPr>
            </w:pPr>
            <w:r w:rsidRPr="00CF6D4E">
              <w:rPr>
                <w:rFonts w:hint="eastAsia"/>
                <w:lang w:eastAsia="ko-KR"/>
              </w:rPr>
              <w:t>Change MCS</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Pr>
                <w:rFonts w:hint="eastAsia"/>
                <w:lang w:eastAsia="ko-KR"/>
              </w:rPr>
              <w:t>2</w:t>
            </w:r>
          </w:p>
        </w:tc>
        <w:tc>
          <w:tcPr>
            <w:tcW w:w="3118" w:type="dxa"/>
            <w:vAlign w:val="center"/>
          </w:tcPr>
          <w:p w:rsidR="005C2D79" w:rsidRPr="00CF6D4E" w:rsidRDefault="005C2D79" w:rsidP="00A84959">
            <w:pPr>
              <w:rPr>
                <w:lang w:eastAsia="ko-KR"/>
              </w:rPr>
            </w:pPr>
            <w:r w:rsidRPr="00CF6D4E">
              <w:rPr>
                <w:rFonts w:hint="eastAsia"/>
                <w:lang w:eastAsia="ko-KR"/>
              </w:rPr>
              <w:t>Change Transmit Power</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3</w:t>
            </w:r>
          </w:p>
        </w:tc>
        <w:tc>
          <w:tcPr>
            <w:tcW w:w="3118" w:type="dxa"/>
            <w:vAlign w:val="center"/>
          </w:tcPr>
          <w:p w:rsidR="005C2D79" w:rsidRPr="00CF6D4E" w:rsidRDefault="005C2D79" w:rsidP="00A84959">
            <w:pPr>
              <w:rPr>
                <w:lang w:eastAsia="ko-KR"/>
              </w:rPr>
            </w:pPr>
            <w:r w:rsidRPr="00CF6D4E">
              <w:rPr>
                <w:rFonts w:hint="eastAsia"/>
                <w:lang w:eastAsia="ko-KR"/>
              </w:rPr>
              <w:t>Fast Session Transfer (FST)</w:t>
            </w:r>
          </w:p>
        </w:tc>
      </w:tr>
      <w:tr w:rsidR="00BE1B6E" w:rsidRPr="00CF6D4E" w:rsidTr="00A84959">
        <w:trPr>
          <w:jc w:val="center"/>
        </w:trPr>
        <w:tc>
          <w:tcPr>
            <w:tcW w:w="2247" w:type="dxa"/>
            <w:vAlign w:val="center"/>
          </w:tcPr>
          <w:p w:rsidR="00BE1B6E" w:rsidRPr="00BE1B6E" w:rsidRDefault="00BE1B6E" w:rsidP="00A84959">
            <w:pPr>
              <w:jc w:val="center"/>
              <w:rPr>
                <w:rFonts w:asciiTheme="majorBidi" w:hAnsiTheme="majorBidi" w:cstheme="majorBidi"/>
                <w:lang w:eastAsia="ko-KR"/>
              </w:rPr>
            </w:pPr>
            <w:r w:rsidRPr="00BE1B6E">
              <w:rPr>
                <w:rFonts w:asciiTheme="majorBidi" w:hAnsiTheme="majorBidi" w:cstheme="majorBidi"/>
                <w:lang w:eastAsia="ko-KR"/>
              </w:rPr>
              <w:t>4</w:t>
            </w:r>
          </w:p>
        </w:tc>
        <w:tc>
          <w:tcPr>
            <w:tcW w:w="3118" w:type="dxa"/>
            <w:vAlign w:val="center"/>
          </w:tcPr>
          <w:p w:rsidR="00BE1B6E" w:rsidRPr="00BE1B6E" w:rsidRDefault="00BE1B6E" w:rsidP="00A84959">
            <w:pPr>
              <w:rPr>
                <w:rFonts w:asciiTheme="majorBidi" w:hAnsiTheme="majorBidi" w:cstheme="majorBidi"/>
                <w:lang w:eastAsia="ko-KR"/>
              </w:rPr>
            </w:pPr>
            <w:r w:rsidRPr="00BE1B6E">
              <w:rPr>
                <w:rFonts w:asciiTheme="majorBidi" w:hAnsiTheme="majorBidi" w:cstheme="majorBidi"/>
              </w:rPr>
              <w:t>Power conserve mode</w:t>
            </w:r>
            <w:r>
              <w:rPr>
                <w:rFonts w:asciiTheme="majorBidi" w:hAnsiTheme="majorBidi" w:cstheme="majorBidi"/>
              </w:rPr>
              <w:t xml:space="preserve"> </w:t>
            </w:r>
          </w:p>
        </w:tc>
      </w:tr>
      <w:tr w:rsidR="005C2D79" w:rsidRPr="00CF6D4E" w:rsidTr="00A84959">
        <w:trPr>
          <w:jc w:val="center"/>
        </w:trPr>
        <w:tc>
          <w:tcPr>
            <w:tcW w:w="2247" w:type="dxa"/>
            <w:vAlign w:val="center"/>
          </w:tcPr>
          <w:p w:rsidR="005C2D79" w:rsidRPr="00CF6D4E" w:rsidRDefault="00753499" w:rsidP="00A84959">
            <w:pPr>
              <w:jc w:val="center"/>
              <w:rPr>
                <w:lang w:eastAsia="ko-KR"/>
              </w:rPr>
            </w:pPr>
            <w:r>
              <w:rPr>
                <w:lang w:eastAsia="ko-KR"/>
              </w:rPr>
              <w:t>5-7</w:t>
            </w:r>
          </w:p>
        </w:tc>
        <w:tc>
          <w:tcPr>
            <w:tcW w:w="3118" w:type="dxa"/>
            <w:vAlign w:val="center"/>
          </w:tcPr>
          <w:p w:rsidR="005C2D79" w:rsidRPr="00CF6D4E" w:rsidRDefault="00D23764" w:rsidP="00A84959">
            <w:pPr>
              <w:rPr>
                <w:lang w:eastAsia="ko-KR"/>
              </w:rPr>
            </w:pPr>
            <w:r>
              <w:rPr>
                <w:lang w:eastAsia="ko-KR"/>
              </w:rPr>
              <w:t>R</w:t>
            </w:r>
            <w:r w:rsidR="005C2D79">
              <w:rPr>
                <w:rFonts w:hint="eastAsia"/>
                <w:lang w:eastAsia="ko-KR"/>
              </w:rPr>
              <w:t>eserved</w:t>
            </w:r>
          </w:p>
        </w:tc>
      </w:tr>
    </w:tbl>
    <w:p w:rsidR="001173E1" w:rsidRDefault="001173E1" w:rsidP="00E56B03">
      <w:pPr>
        <w:autoSpaceDE w:val="0"/>
        <w:autoSpaceDN w:val="0"/>
        <w:adjustRightInd w:val="0"/>
        <w:rPr>
          <w:sz w:val="22"/>
        </w:rPr>
      </w:pPr>
    </w:p>
    <w:p w:rsidR="002B7DE3" w:rsidRPr="009448FC" w:rsidRDefault="002B7DE3" w:rsidP="003701DB">
      <w:pPr>
        <w:pStyle w:val="Heading4"/>
        <w:numPr>
          <w:ilvl w:val="3"/>
          <w:numId w:val="152"/>
        </w:numPr>
      </w:pPr>
      <w:bookmarkStart w:id="703" w:name="_Ref251673506"/>
      <w:bookmarkStart w:id="704" w:name="_Toc259716944"/>
      <w:r>
        <w:t>Switching Stream</w:t>
      </w:r>
      <w:r w:rsidRPr="009448FC">
        <w:t xml:space="preserve"> element</w:t>
      </w:r>
      <w:bookmarkEnd w:id="703"/>
      <w:bookmarkEnd w:id="704"/>
      <w:r w:rsidRPr="009448FC">
        <w:t xml:space="preserve"> </w:t>
      </w:r>
    </w:p>
    <w:p w:rsidR="002E7191" w:rsidRPr="00E7337D" w:rsidRDefault="00D757E8" w:rsidP="00E56B03">
      <w:pPr>
        <w:autoSpaceDE w:val="0"/>
        <w:autoSpaceDN w:val="0"/>
        <w:adjustRightInd w:val="0"/>
      </w:pPr>
      <w:r>
        <w:t>The Switching stream</w:t>
      </w:r>
      <w:r w:rsidR="002E7191" w:rsidRPr="006C124E">
        <w:t xml:space="preserve"> element indicates the streams that the transmitting STA requests to be switched to the new band of operation. The format of the Stream Switching element is shown in </w:t>
      </w:r>
      <w:fldSimple w:instr=" REF _Ref246119231 \h  \* MERGEFORMAT ">
        <w:r w:rsidR="003E4210" w:rsidRPr="00066F65">
          <w:t xml:space="preserve">Figure </w:t>
        </w:r>
        <w:r w:rsidR="003E4210">
          <w:rPr>
            <w:noProof/>
          </w:rPr>
          <w:t>58</w:t>
        </w:r>
      </w:fldSimple>
      <w:r w:rsidR="002E7191" w:rsidRPr="00E7337D">
        <w:t>.</w:t>
      </w:r>
    </w:p>
    <w:p w:rsidR="002E7191" w:rsidRPr="00E7337D" w:rsidRDefault="002E7191" w:rsidP="00E56B03">
      <w:pPr>
        <w:autoSpaceDE w:val="0"/>
        <w:autoSpaceDN w:val="0"/>
        <w:adjustRightInd w:val="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131"/>
        <w:gridCol w:w="896"/>
        <w:gridCol w:w="993"/>
        <w:gridCol w:w="1027"/>
        <w:gridCol w:w="1230"/>
        <w:gridCol w:w="1863"/>
        <w:gridCol w:w="2080"/>
      </w:tblGrid>
      <w:tr w:rsidR="00F54CA3" w:rsidRPr="00066F65" w:rsidTr="00F54CA3">
        <w:trPr>
          <w:cantSplit/>
          <w:jc w:val="center"/>
        </w:trPr>
        <w:tc>
          <w:tcPr>
            <w:tcW w:w="0" w:type="auto"/>
          </w:tcPr>
          <w:p w:rsidR="00F54CA3" w:rsidRPr="00E7337D" w:rsidRDefault="00F54CA3" w:rsidP="002E7191">
            <w:pPr>
              <w:jc w:val="both"/>
              <w:rPr>
                <w:rFonts w:eastAsia="SimSun"/>
              </w:rPr>
            </w:pPr>
          </w:p>
        </w:tc>
        <w:tc>
          <w:tcPr>
            <w:tcW w:w="0" w:type="auto"/>
          </w:tcPr>
          <w:p w:rsidR="00F54CA3" w:rsidRPr="00E7337D" w:rsidRDefault="00F54CA3" w:rsidP="002E7191">
            <w:pPr>
              <w:jc w:val="both"/>
              <w:rPr>
                <w:rFonts w:eastAsia="SimSun"/>
              </w:rPr>
            </w:pPr>
            <w:r w:rsidRPr="00E7337D">
              <w:rPr>
                <w:rFonts w:eastAsia="SimSun"/>
              </w:rPr>
              <w:t>Element ID</w:t>
            </w:r>
          </w:p>
        </w:tc>
        <w:tc>
          <w:tcPr>
            <w:tcW w:w="0" w:type="auto"/>
          </w:tcPr>
          <w:p w:rsidR="00F54CA3" w:rsidRPr="00E7337D" w:rsidRDefault="00F54CA3" w:rsidP="002E7191">
            <w:pPr>
              <w:jc w:val="both"/>
              <w:rPr>
                <w:rFonts w:eastAsia="SimSun"/>
              </w:rPr>
            </w:pPr>
            <w:r w:rsidRPr="00E7337D">
              <w:rPr>
                <w:rFonts w:eastAsia="SimSun"/>
              </w:rPr>
              <w:t>Length</w:t>
            </w:r>
          </w:p>
        </w:tc>
        <w:tc>
          <w:tcPr>
            <w:tcW w:w="0" w:type="auto"/>
          </w:tcPr>
          <w:p w:rsidR="00F54CA3" w:rsidRPr="00285230" w:rsidRDefault="00F54CA3" w:rsidP="00285230">
            <w:pPr>
              <w:jc w:val="center"/>
              <w:rPr>
                <w:rFonts w:eastAsia="SimSun"/>
                <w:szCs w:val="22"/>
              </w:rPr>
            </w:pPr>
            <w:r>
              <w:rPr>
                <w:rFonts w:eastAsia="SimSun"/>
                <w:szCs w:val="22"/>
              </w:rPr>
              <w:t>Old Band ID</w:t>
            </w:r>
          </w:p>
        </w:tc>
        <w:tc>
          <w:tcPr>
            <w:tcW w:w="0" w:type="auto"/>
          </w:tcPr>
          <w:p w:rsidR="00F54CA3" w:rsidRDefault="00F54CA3" w:rsidP="00285230">
            <w:pPr>
              <w:jc w:val="center"/>
              <w:rPr>
                <w:rFonts w:eastAsia="SimSun"/>
                <w:szCs w:val="22"/>
              </w:rPr>
            </w:pPr>
            <w:r>
              <w:rPr>
                <w:rFonts w:eastAsia="SimSun"/>
                <w:szCs w:val="22"/>
              </w:rPr>
              <w:t>New Band ID</w:t>
            </w:r>
          </w:p>
        </w:tc>
        <w:tc>
          <w:tcPr>
            <w:tcW w:w="0" w:type="auto"/>
          </w:tcPr>
          <w:p w:rsidR="00F54CA3" w:rsidRPr="00285230" w:rsidRDefault="00F54CA3" w:rsidP="00285230">
            <w:pPr>
              <w:jc w:val="center"/>
              <w:rPr>
                <w:rFonts w:eastAsia="SimSun"/>
                <w:szCs w:val="22"/>
              </w:rPr>
            </w:pPr>
            <w:r>
              <w:rPr>
                <w:rFonts w:eastAsia="SimSun"/>
                <w:szCs w:val="22"/>
              </w:rPr>
              <w:t>Non-QoS frames</w:t>
            </w:r>
          </w:p>
        </w:tc>
        <w:tc>
          <w:tcPr>
            <w:tcW w:w="0" w:type="auto"/>
          </w:tcPr>
          <w:p w:rsidR="00F54CA3" w:rsidRPr="00E7337D" w:rsidRDefault="00F54CA3" w:rsidP="002E7191">
            <w:pPr>
              <w:jc w:val="center"/>
              <w:rPr>
                <w:rFonts w:eastAsia="SimSun"/>
              </w:rPr>
            </w:pPr>
            <w:r w:rsidRPr="00E7337D">
              <w:rPr>
                <w:rFonts w:eastAsia="SimSun"/>
              </w:rPr>
              <w:t>Number of Streams switching</w:t>
            </w:r>
          </w:p>
        </w:tc>
        <w:tc>
          <w:tcPr>
            <w:tcW w:w="0" w:type="auto"/>
          </w:tcPr>
          <w:p w:rsidR="00F54CA3" w:rsidRPr="00E7337D" w:rsidRDefault="00F54CA3" w:rsidP="002E7191">
            <w:pPr>
              <w:jc w:val="center"/>
              <w:rPr>
                <w:rFonts w:eastAsia="SimSun"/>
              </w:rPr>
            </w:pPr>
            <w:r w:rsidRPr="00E7337D">
              <w:rPr>
                <w:rFonts w:eastAsia="SimSun"/>
              </w:rPr>
              <w:t>Switching Parameters</w:t>
            </w:r>
          </w:p>
        </w:tc>
      </w:tr>
      <w:tr w:rsidR="00F54CA3" w:rsidRPr="00066F65" w:rsidTr="00F54CA3">
        <w:trPr>
          <w:jc w:val="center"/>
        </w:trPr>
        <w:tc>
          <w:tcPr>
            <w:tcW w:w="0" w:type="auto"/>
          </w:tcPr>
          <w:p w:rsidR="00F54CA3" w:rsidRPr="00E7337D" w:rsidRDefault="00F54CA3" w:rsidP="002E7191">
            <w:pPr>
              <w:jc w:val="both"/>
              <w:rPr>
                <w:rFonts w:eastAsia="SimSun"/>
              </w:rPr>
            </w:pPr>
            <w:r w:rsidRPr="00E7337D">
              <w:rPr>
                <w:rFonts w:eastAsia="SimSun"/>
              </w:rPr>
              <w:t>Octets:</w:t>
            </w:r>
          </w:p>
        </w:tc>
        <w:tc>
          <w:tcPr>
            <w:tcW w:w="0" w:type="auto"/>
          </w:tcPr>
          <w:p w:rsidR="00F54CA3" w:rsidRPr="00E7337D" w:rsidRDefault="00F54CA3" w:rsidP="002E7191">
            <w:pPr>
              <w:jc w:val="center"/>
              <w:rPr>
                <w:rFonts w:eastAsia="SimSun"/>
              </w:rPr>
            </w:pPr>
            <w:r w:rsidRPr="00E7337D">
              <w:rPr>
                <w:rFonts w:eastAsia="SimSun"/>
              </w:rPr>
              <w:t>1</w:t>
            </w:r>
          </w:p>
        </w:tc>
        <w:tc>
          <w:tcPr>
            <w:tcW w:w="0" w:type="auto"/>
          </w:tcPr>
          <w:p w:rsidR="00F54CA3" w:rsidRPr="00E7337D" w:rsidRDefault="00F54CA3" w:rsidP="002E7191">
            <w:pPr>
              <w:jc w:val="center"/>
              <w:rPr>
                <w:rFonts w:eastAsia="SimSun"/>
              </w:rPr>
            </w:pPr>
            <w:r w:rsidRPr="00E7337D">
              <w:rPr>
                <w:rFonts w:eastAsia="SimSun"/>
              </w:rPr>
              <w:t>1</w:t>
            </w:r>
          </w:p>
        </w:tc>
        <w:tc>
          <w:tcPr>
            <w:tcW w:w="0" w:type="auto"/>
          </w:tcPr>
          <w:p w:rsidR="00F54CA3" w:rsidRPr="001363F5" w:rsidRDefault="00F54CA3" w:rsidP="002E7191">
            <w:pPr>
              <w:jc w:val="center"/>
              <w:rPr>
                <w:rFonts w:eastAsia="SimSun"/>
                <w:szCs w:val="22"/>
              </w:rPr>
            </w:pPr>
            <w:r w:rsidRPr="001363F5">
              <w:rPr>
                <w:rFonts w:eastAsia="SimSun"/>
                <w:szCs w:val="22"/>
              </w:rPr>
              <w:t>1</w:t>
            </w:r>
          </w:p>
        </w:tc>
        <w:tc>
          <w:tcPr>
            <w:tcW w:w="0" w:type="auto"/>
          </w:tcPr>
          <w:p w:rsidR="00F54CA3" w:rsidRPr="001363F5" w:rsidRDefault="00F54CA3" w:rsidP="002E7191">
            <w:pPr>
              <w:jc w:val="center"/>
              <w:rPr>
                <w:rFonts w:eastAsia="SimSun"/>
                <w:szCs w:val="22"/>
              </w:rPr>
            </w:pPr>
            <w:r w:rsidRPr="001363F5">
              <w:rPr>
                <w:rFonts w:eastAsia="SimSun"/>
                <w:szCs w:val="22"/>
              </w:rPr>
              <w:t>1</w:t>
            </w:r>
          </w:p>
        </w:tc>
        <w:tc>
          <w:tcPr>
            <w:tcW w:w="0" w:type="auto"/>
          </w:tcPr>
          <w:p w:rsidR="00F54CA3" w:rsidRPr="001363F5" w:rsidRDefault="00F54CA3" w:rsidP="002E7191">
            <w:pPr>
              <w:jc w:val="center"/>
              <w:rPr>
                <w:rFonts w:eastAsia="SimSun"/>
                <w:szCs w:val="22"/>
              </w:rPr>
            </w:pPr>
            <w:r w:rsidRPr="001363F5">
              <w:rPr>
                <w:rFonts w:eastAsia="SimSun"/>
                <w:szCs w:val="22"/>
              </w:rPr>
              <w:t>1</w:t>
            </w:r>
          </w:p>
        </w:tc>
        <w:tc>
          <w:tcPr>
            <w:tcW w:w="0" w:type="auto"/>
          </w:tcPr>
          <w:p w:rsidR="00F54CA3" w:rsidRPr="00E7337D" w:rsidRDefault="00F54CA3" w:rsidP="002E7191">
            <w:pPr>
              <w:jc w:val="center"/>
              <w:rPr>
                <w:rFonts w:eastAsia="SimSun"/>
              </w:rPr>
            </w:pPr>
            <w:r w:rsidRPr="00E7337D">
              <w:rPr>
                <w:rFonts w:eastAsia="SimSun"/>
              </w:rPr>
              <w:t>1</w:t>
            </w:r>
          </w:p>
        </w:tc>
        <w:tc>
          <w:tcPr>
            <w:tcW w:w="0" w:type="auto"/>
          </w:tcPr>
          <w:p w:rsidR="00F54CA3" w:rsidRPr="00E7337D" w:rsidRDefault="005B4015" w:rsidP="002E7191">
            <w:pPr>
              <w:jc w:val="center"/>
              <w:rPr>
                <w:rFonts w:eastAsia="SimSun"/>
              </w:rPr>
            </w:pPr>
            <w:r>
              <w:rPr>
                <w:rFonts w:eastAsia="SimSun"/>
              </w:rPr>
              <w:t>2</w:t>
            </w:r>
            <w:r w:rsidR="00F54CA3" w:rsidRPr="00E7337D">
              <w:rPr>
                <w:rFonts w:eastAsia="SimSun"/>
              </w:rPr>
              <w:t xml:space="preserve"> * Number of Streams switching</w:t>
            </w:r>
            <w:r>
              <w:rPr>
                <w:rFonts w:eastAsia="SimSun"/>
                <w:szCs w:val="22"/>
              </w:rPr>
              <w:t xml:space="preserve"> </w:t>
            </w:r>
          </w:p>
        </w:tc>
      </w:tr>
    </w:tbl>
    <w:p w:rsidR="002E7191" w:rsidRPr="00066F65" w:rsidRDefault="002E7191" w:rsidP="00BA5BC4">
      <w:pPr>
        <w:pStyle w:val="Caption"/>
        <w:rPr>
          <w:sz w:val="22"/>
          <w:szCs w:val="22"/>
        </w:rPr>
      </w:pPr>
      <w:bookmarkStart w:id="705" w:name="_Ref246119231"/>
      <w:bookmarkStart w:id="706" w:name="_Toc259717490"/>
      <w:r w:rsidRPr="00066F65">
        <w:t xml:space="preserve">Figure </w:t>
      </w:r>
      <w:r w:rsidR="00BD151C">
        <w:fldChar w:fldCharType="begin"/>
      </w:r>
      <w:r w:rsidR="00801316">
        <w:instrText xml:space="preserve"> SEQ Figure \* ARABIC </w:instrText>
      </w:r>
      <w:r w:rsidR="00BD151C">
        <w:fldChar w:fldCharType="separate"/>
      </w:r>
      <w:r w:rsidR="003E4210">
        <w:rPr>
          <w:noProof/>
        </w:rPr>
        <w:t>58</w:t>
      </w:r>
      <w:r w:rsidR="00BD151C">
        <w:fldChar w:fldCharType="end"/>
      </w:r>
      <w:bookmarkEnd w:id="705"/>
      <w:r w:rsidRPr="00066F65">
        <w:t xml:space="preserve"> – Switching stream element format</w:t>
      </w:r>
      <w:bookmarkEnd w:id="706"/>
    </w:p>
    <w:p w:rsidR="00920F53" w:rsidRDefault="00920F53" w:rsidP="00920F53"/>
    <w:p w:rsidR="00920F53" w:rsidRDefault="00920F53" w:rsidP="00920F53">
      <w:r>
        <w:t xml:space="preserve">The </w:t>
      </w:r>
      <w:r w:rsidR="00FE3AC6">
        <w:t xml:space="preserve">Old </w:t>
      </w:r>
      <w:r>
        <w:t>Band ID field specifies the frequency band to which the information carried in this element is related to. It is set to 1 for LB, 2 for HB, 3 for UB and the value 0 is reserved.</w:t>
      </w:r>
    </w:p>
    <w:p w:rsidR="00FE3AC6" w:rsidRDefault="00FE3AC6" w:rsidP="00920F53"/>
    <w:p w:rsidR="00FE3AC6" w:rsidRDefault="00FE3AC6" w:rsidP="00FE3AC6">
      <w:r>
        <w:t>The New Band ID field specifies the frequency band to which the information contained in the Stream ID in New Band subfield of this element is related to. It is set to 1 for LB, 2 for HB, 3 for UB and the value 0 is reserved.</w:t>
      </w:r>
      <w:r w:rsidRPr="00FE3AC6">
        <w:t xml:space="preserve"> </w:t>
      </w:r>
    </w:p>
    <w:p w:rsidR="00920F53" w:rsidRDefault="00920F53" w:rsidP="00920F53"/>
    <w:p w:rsidR="00920F53" w:rsidRDefault="00C64623" w:rsidP="00C64623">
      <w:r>
        <w:t>The Non-QoS data frames field specifies whether non-QoS data frames can be transmitted in the frequency band indicated in the New Band ID field. If set to zero, non-QoS data frames cannot be transmitted in the frequency band indicated in the New Band ID field. If set to one, non-QoS data frames can be transmitted in the frequency band indicated in the New Band ID field.</w:t>
      </w:r>
    </w:p>
    <w:p w:rsidR="00920F53" w:rsidRPr="00BD7A03" w:rsidRDefault="00920F53" w:rsidP="00BD7A03">
      <w:pPr>
        <w:autoSpaceDE w:val="0"/>
        <w:autoSpaceDN w:val="0"/>
        <w:adjustRightInd w:val="0"/>
        <w:rPr>
          <w:sz w:val="22"/>
        </w:rPr>
      </w:pPr>
    </w:p>
    <w:p w:rsidR="002E7191" w:rsidRPr="00BD7A03" w:rsidRDefault="002E7191" w:rsidP="002E7191">
      <w:r w:rsidRPr="00BD7A03">
        <w:t xml:space="preserve">The Number of streams switching field specifies the number of streams to be switched. </w:t>
      </w:r>
    </w:p>
    <w:p w:rsidR="002E7191" w:rsidRPr="00BD7A03" w:rsidRDefault="002E7191" w:rsidP="002E7191"/>
    <w:p w:rsidR="002E7191" w:rsidRDefault="002E7191" w:rsidP="002E7191">
      <w:pPr>
        <w:autoSpaceDE w:val="0"/>
        <w:autoSpaceDN w:val="0"/>
        <w:adjustRightInd w:val="0"/>
      </w:pPr>
      <w:r w:rsidRPr="00BD7A03">
        <w:t xml:space="preserve">The format of Switching Parameters field is shown in </w:t>
      </w:r>
      <w:fldSimple w:instr=" REF _Ref246119234 \h  \* MERGEFORMAT ">
        <w:r w:rsidR="003E4210" w:rsidRPr="00066F65">
          <w:t xml:space="preserve">Figure </w:t>
        </w:r>
        <w:r w:rsidR="003E4210">
          <w:rPr>
            <w:noProof/>
          </w:rPr>
          <w:t>59</w:t>
        </w:r>
      </w:fldSimple>
      <w:r w:rsidRPr="00BD7A03">
        <w:t>.</w:t>
      </w:r>
    </w:p>
    <w:p w:rsidR="00C64623" w:rsidRDefault="00BE5866" w:rsidP="002E7191">
      <w:pPr>
        <w:autoSpaceDE w:val="0"/>
        <w:autoSpaceDN w:val="0"/>
        <w:adjustRightInd w:val="0"/>
      </w:pP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1297"/>
        <w:gridCol w:w="1196"/>
        <w:gridCol w:w="1343"/>
        <w:gridCol w:w="1242"/>
        <w:gridCol w:w="2161"/>
        <w:gridCol w:w="1131"/>
        <w:gridCol w:w="1131"/>
      </w:tblGrid>
      <w:tr w:rsidR="000602CA" w:rsidRPr="004811C9" w:rsidTr="000602CA">
        <w:trPr>
          <w:jc w:val="center"/>
        </w:trPr>
        <w:tc>
          <w:tcPr>
            <w:tcW w:w="304" w:type="pct"/>
          </w:tcPr>
          <w:p w:rsidR="000602CA" w:rsidRPr="00495E44" w:rsidRDefault="000602CA" w:rsidP="00377195">
            <w:pPr>
              <w:jc w:val="center"/>
              <w:rPr>
                <w:rFonts w:eastAsia="SimSun"/>
                <w:szCs w:val="22"/>
              </w:rPr>
            </w:pPr>
          </w:p>
        </w:tc>
        <w:tc>
          <w:tcPr>
            <w:tcW w:w="1232" w:type="pct"/>
            <w:gridSpan w:val="2"/>
          </w:tcPr>
          <w:p w:rsidR="000602CA" w:rsidRPr="00495E44" w:rsidRDefault="000602CA" w:rsidP="00377195">
            <w:pPr>
              <w:jc w:val="center"/>
              <w:rPr>
                <w:rFonts w:eastAsia="SimSun"/>
                <w:szCs w:val="22"/>
              </w:rPr>
            </w:pPr>
            <w:r>
              <w:rPr>
                <w:rFonts w:eastAsia="SimSun"/>
                <w:szCs w:val="22"/>
              </w:rPr>
              <w:t>Stream ID in Old Band</w:t>
            </w:r>
          </w:p>
        </w:tc>
        <w:tc>
          <w:tcPr>
            <w:tcW w:w="1278" w:type="pct"/>
            <w:gridSpan w:val="2"/>
          </w:tcPr>
          <w:p w:rsidR="000602CA" w:rsidRPr="00495E44" w:rsidRDefault="000602CA" w:rsidP="00377195">
            <w:pPr>
              <w:jc w:val="center"/>
              <w:rPr>
                <w:rFonts w:eastAsia="SimSun"/>
                <w:szCs w:val="22"/>
              </w:rPr>
            </w:pPr>
            <w:r w:rsidRPr="00495E44">
              <w:rPr>
                <w:rFonts w:eastAsia="SimSun"/>
                <w:szCs w:val="22"/>
              </w:rPr>
              <w:t xml:space="preserve">Stream </w:t>
            </w:r>
            <w:r>
              <w:rPr>
                <w:rFonts w:eastAsia="SimSun"/>
                <w:szCs w:val="22"/>
              </w:rPr>
              <w:t>ID in New Band</w:t>
            </w:r>
          </w:p>
        </w:tc>
        <w:tc>
          <w:tcPr>
            <w:tcW w:w="1068" w:type="pct"/>
          </w:tcPr>
          <w:p w:rsidR="000602CA" w:rsidRPr="00495E44" w:rsidRDefault="000602CA" w:rsidP="00377195">
            <w:pPr>
              <w:jc w:val="center"/>
              <w:rPr>
                <w:rFonts w:eastAsia="SimSun"/>
                <w:szCs w:val="22"/>
              </w:rPr>
            </w:pPr>
            <w:r>
              <w:rPr>
                <w:rFonts w:eastAsia="SimSun"/>
                <w:szCs w:val="22"/>
              </w:rPr>
              <w:t>Stream ID in New Band Valid</w:t>
            </w:r>
          </w:p>
        </w:tc>
        <w:tc>
          <w:tcPr>
            <w:tcW w:w="559" w:type="pct"/>
          </w:tcPr>
          <w:p w:rsidR="000602CA" w:rsidRDefault="000602CA" w:rsidP="00377195">
            <w:pPr>
              <w:jc w:val="center"/>
              <w:rPr>
                <w:rFonts w:eastAsia="SimSun"/>
                <w:szCs w:val="22"/>
              </w:rPr>
            </w:pPr>
            <w:r>
              <w:rPr>
                <w:iCs/>
              </w:rPr>
              <w:t>LLT type</w:t>
            </w:r>
          </w:p>
        </w:tc>
        <w:tc>
          <w:tcPr>
            <w:tcW w:w="559" w:type="pct"/>
          </w:tcPr>
          <w:p w:rsidR="000602CA" w:rsidRPr="00495E44" w:rsidRDefault="000602CA" w:rsidP="00377195">
            <w:pPr>
              <w:jc w:val="center"/>
              <w:rPr>
                <w:rFonts w:eastAsia="SimSun"/>
                <w:szCs w:val="22"/>
              </w:rPr>
            </w:pPr>
            <w:r>
              <w:rPr>
                <w:rFonts w:eastAsia="SimSun"/>
                <w:szCs w:val="22"/>
              </w:rPr>
              <w:t>Reserved</w:t>
            </w:r>
          </w:p>
        </w:tc>
      </w:tr>
      <w:tr w:rsidR="000602CA" w:rsidRPr="004811C9" w:rsidTr="000602CA">
        <w:trPr>
          <w:trHeight w:val="296"/>
          <w:jc w:val="center"/>
        </w:trPr>
        <w:tc>
          <w:tcPr>
            <w:tcW w:w="304" w:type="pct"/>
          </w:tcPr>
          <w:p w:rsidR="000602CA" w:rsidRPr="00495E44" w:rsidRDefault="000602CA" w:rsidP="00377195">
            <w:pPr>
              <w:jc w:val="center"/>
              <w:rPr>
                <w:rFonts w:eastAsia="SimSun"/>
                <w:szCs w:val="22"/>
              </w:rPr>
            </w:pPr>
          </w:p>
        </w:tc>
        <w:tc>
          <w:tcPr>
            <w:tcW w:w="641" w:type="pct"/>
          </w:tcPr>
          <w:p w:rsidR="000602CA" w:rsidRPr="00495E44" w:rsidRDefault="000602CA" w:rsidP="00377195">
            <w:pPr>
              <w:jc w:val="center"/>
              <w:rPr>
                <w:rFonts w:eastAsia="SimSun"/>
                <w:szCs w:val="22"/>
              </w:rPr>
            </w:pPr>
            <w:r>
              <w:rPr>
                <w:rFonts w:eastAsia="SimSun"/>
                <w:szCs w:val="22"/>
              </w:rPr>
              <w:t>TID/TSID</w:t>
            </w:r>
          </w:p>
        </w:tc>
        <w:tc>
          <w:tcPr>
            <w:tcW w:w="591" w:type="pct"/>
          </w:tcPr>
          <w:p w:rsidR="000602CA" w:rsidRPr="00495E44" w:rsidRDefault="000602CA" w:rsidP="00377195">
            <w:pPr>
              <w:jc w:val="center"/>
              <w:rPr>
                <w:rFonts w:eastAsia="SimSun"/>
                <w:szCs w:val="22"/>
              </w:rPr>
            </w:pPr>
            <w:r>
              <w:rPr>
                <w:rFonts w:eastAsia="SimSun"/>
                <w:szCs w:val="22"/>
              </w:rPr>
              <w:t>Direction</w:t>
            </w:r>
          </w:p>
        </w:tc>
        <w:tc>
          <w:tcPr>
            <w:tcW w:w="664" w:type="pct"/>
          </w:tcPr>
          <w:p w:rsidR="000602CA" w:rsidRPr="00495E44" w:rsidRDefault="000602CA" w:rsidP="00377195">
            <w:pPr>
              <w:jc w:val="center"/>
              <w:rPr>
                <w:rFonts w:eastAsia="SimSun"/>
                <w:szCs w:val="22"/>
              </w:rPr>
            </w:pPr>
            <w:r>
              <w:rPr>
                <w:rFonts w:eastAsia="SimSun"/>
                <w:szCs w:val="22"/>
              </w:rPr>
              <w:t>TID/TSID</w:t>
            </w:r>
          </w:p>
        </w:tc>
        <w:tc>
          <w:tcPr>
            <w:tcW w:w="614" w:type="pct"/>
          </w:tcPr>
          <w:p w:rsidR="000602CA" w:rsidRPr="00495E44" w:rsidRDefault="000602CA" w:rsidP="00377195">
            <w:pPr>
              <w:jc w:val="center"/>
              <w:rPr>
                <w:rFonts w:eastAsia="SimSun"/>
                <w:szCs w:val="22"/>
              </w:rPr>
            </w:pPr>
            <w:r>
              <w:rPr>
                <w:rFonts w:eastAsia="SimSun"/>
                <w:szCs w:val="22"/>
              </w:rPr>
              <w:t>Direction</w:t>
            </w:r>
          </w:p>
        </w:tc>
        <w:tc>
          <w:tcPr>
            <w:tcW w:w="1068" w:type="pct"/>
          </w:tcPr>
          <w:p w:rsidR="000602CA" w:rsidRPr="00495E44" w:rsidRDefault="000602CA" w:rsidP="00377195">
            <w:pPr>
              <w:jc w:val="center"/>
              <w:rPr>
                <w:rFonts w:eastAsia="SimSun"/>
                <w:szCs w:val="22"/>
              </w:rPr>
            </w:pPr>
          </w:p>
        </w:tc>
        <w:tc>
          <w:tcPr>
            <w:tcW w:w="559" w:type="pct"/>
          </w:tcPr>
          <w:p w:rsidR="000602CA" w:rsidRPr="00495E44" w:rsidRDefault="000602CA" w:rsidP="00377195">
            <w:pPr>
              <w:jc w:val="center"/>
              <w:rPr>
                <w:rFonts w:eastAsia="SimSun"/>
                <w:szCs w:val="22"/>
              </w:rPr>
            </w:pPr>
          </w:p>
        </w:tc>
        <w:tc>
          <w:tcPr>
            <w:tcW w:w="559" w:type="pct"/>
          </w:tcPr>
          <w:p w:rsidR="000602CA" w:rsidRPr="00495E44" w:rsidRDefault="000602CA" w:rsidP="00377195">
            <w:pPr>
              <w:jc w:val="center"/>
              <w:rPr>
                <w:rFonts w:eastAsia="SimSun"/>
                <w:szCs w:val="22"/>
              </w:rPr>
            </w:pPr>
          </w:p>
        </w:tc>
      </w:tr>
      <w:tr w:rsidR="000602CA" w:rsidRPr="004811C9" w:rsidTr="000602CA">
        <w:trPr>
          <w:jc w:val="center"/>
        </w:trPr>
        <w:tc>
          <w:tcPr>
            <w:tcW w:w="304" w:type="pct"/>
          </w:tcPr>
          <w:p w:rsidR="000602CA" w:rsidRPr="00495E44" w:rsidRDefault="000602CA" w:rsidP="00377195">
            <w:pPr>
              <w:jc w:val="center"/>
              <w:rPr>
                <w:rFonts w:eastAsia="SimSun"/>
                <w:szCs w:val="22"/>
              </w:rPr>
            </w:pPr>
            <w:r>
              <w:rPr>
                <w:rFonts w:eastAsia="SimSun"/>
                <w:szCs w:val="22"/>
              </w:rPr>
              <w:t>Bits</w:t>
            </w:r>
          </w:p>
        </w:tc>
        <w:tc>
          <w:tcPr>
            <w:tcW w:w="641" w:type="pct"/>
          </w:tcPr>
          <w:p w:rsidR="000602CA" w:rsidRPr="00495E44" w:rsidRDefault="000602CA" w:rsidP="00377195">
            <w:pPr>
              <w:jc w:val="center"/>
              <w:rPr>
                <w:rFonts w:eastAsia="SimSun"/>
                <w:szCs w:val="22"/>
              </w:rPr>
            </w:pPr>
            <w:r w:rsidRPr="00495E44">
              <w:rPr>
                <w:rFonts w:eastAsia="SimSun"/>
                <w:szCs w:val="22"/>
              </w:rPr>
              <w:t>4</w:t>
            </w:r>
          </w:p>
        </w:tc>
        <w:tc>
          <w:tcPr>
            <w:tcW w:w="591" w:type="pct"/>
          </w:tcPr>
          <w:p w:rsidR="000602CA" w:rsidRPr="00495E44" w:rsidRDefault="000602CA" w:rsidP="00377195">
            <w:pPr>
              <w:jc w:val="center"/>
              <w:rPr>
                <w:rFonts w:eastAsia="SimSun"/>
                <w:szCs w:val="22"/>
              </w:rPr>
            </w:pPr>
            <w:r>
              <w:rPr>
                <w:rFonts w:eastAsia="SimSun"/>
                <w:szCs w:val="22"/>
              </w:rPr>
              <w:t>1</w:t>
            </w:r>
          </w:p>
        </w:tc>
        <w:tc>
          <w:tcPr>
            <w:tcW w:w="664" w:type="pct"/>
          </w:tcPr>
          <w:p w:rsidR="000602CA" w:rsidRPr="00495E44" w:rsidRDefault="000602CA" w:rsidP="00377195">
            <w:pPr>
              <w:jc w:val="center"/>
              <w:rPr>
                <w:rFonts w:eastAsia="SimSun"/>
                <w:szCs w:val="22"/>
              </w:rPr>
            </w:pPr>
            <w:r>
              <w:rPr>
                <w:rFonts w:eastAsia="SimSun"/>
                <w:szCs w:val="22"/>
              </w:rPr>
              <w:t>4</w:t>
            </w:r>
          </w:p>
        </w:tc>
        <w:tc>
          <w:tcPr>
            <w:tcW w:w="614" w:type="pct"/>
          </w:tcPr>
          <w:p w:rsidR="000602CA" w:rsidRPr="00495E44" w:rsidRDefault="000602CA" w:rsidP="00377195">
            <w:pPr>
              <w:jc w:val="center"/>
              <w:rPr>
                <w:rFonts w:eastAsia="SimSun"/>
                <w:szCs w:val="22"/>
              </w:rPr>
            </w:pPr>
            <w:r>
              <w:rPr>
                <w:rFonts w:eastAsia="SimSun"/>
                <w:szCs w:val="22"/>
              </w:rPr>
              <w:t>1</w:t>
            </w:r>
          </w:p>
        </w:tc>
        <w:tc>
          <w:tcPr>
            <w:tcW w:w="1068" w:type="pct"/>
          </w:tcPr>
          <w:p w:rsidR="000602CA" w:rsidRPr="00495E44" w:rsidRDefault="000602CA" w:rsidP="00377195">
            <w:pPr>
              <w:jc w:val="center"/>
              <w:rPr>
                <w:rFonts w:eastAsia="SimSun"/>
                <w:szCs w:val="22"/>
              </w:rPr>
            </w:pPr>
            <w:r>
              <w:rPr>
                <w:rFonts w:eastAsia="SimSun"/>
                <w:szCs w:val="22"/>
              </w:rPr>
              <w:t>1</w:t>
            </w:r>
          </w:p>
        </w:tc>
        <w:tc>
          <w:tcPr>
            <w:tcW w:w="559" w:type="pct"/>
          </w:tcPr>
          <w:p w:rsidR="000602CA" w:rsidRDefault="000602CA" w:rsidP="00377195">
            <w:pPr>
              <w:jc w:val="center"/>
              <w:rPr>
                <w:rFonts w:eastAsia="SimSun"/>
                <w:szCs w:val="22"/>
              </w:rPr>
            </w:pPr>
            <w:r>
              <w:rPr>
                <w:rFonts w:eastAsia="SimSun"/>
                <w:szCs w:val="22"/>
              </w:rPr>
              <w:t>1</w:t>
            </w:r>
          </w:p>
        </w:tc>
        <w:tc>
          <w:tcPr>
            <w:tcW w:w="559" w:type="pct"/>
          </w:tcPr>
          <w:p w:rsidR="000602CA" w:rsidRPr="00495E44" w:rsidRDefault="000602CA" w:rsidP="00377195">
            <w:pPr>
              <w:jc w:val="center"/>
              <w:rPr>
                <w:rFonts w:eastAsia="SimSun"/>
                <w:szCs w:val="22"/>
              </w:rPr>
            </w:pPr>
            <w:r>
              <w:rPr>
                <w:rFonts w:eastAsia="SimSun"/>
                <w:szCs w:val="22"/>
              </w:rPr>
              <w:t>4</w:t>
            </w:r>
          </w:p>
        </w:tc>
      </w:tr>
    </w:tbl>
    <w:p w:rsidR="002E7191" w:rsidRPr="00066F65" w:rsidRDefault="002E7191" w:rsidP="00BA5BC4">
      <w:pPr>
        <w:pStyle w:val="Caption"/>
        <w:rPr>
          <w:sz w:val="22"/>
          <w:szCs w:val="22"/>
        </w:rPr>
      </w:pPr>
      <w:bookmarkStart w:id="707" w:name="_Ref246119234"/>
      <w:bookmarkStart w:id="708" w:name="_Toc259717491"/>
      <w:r w:rsidRPr="00066F65">
        <w:t xml:space="preserve">Figure </w:t>
      </w:r>
      <w:r w:rsidR="00BD151C">
        <w:fldChar w:fldCharType="begin"/>
      </w:r>
      <w:r w:rsidR="00801316">
        <w:instrText xml:space="preserve"> SEQ Figure \* ARABIC </w:instrText>
      </w:r>
      <w:r w:rsidR="00BD151C">
        <w:fldChar w:fldCharType="separate"/>
      </w:r>
      <w:r w:rsidR="003E4210">
        <w:rPr>
          <w:noProof/>
        </w:rPr>
        <w:t>59</w:t>
      </w:r>
      <w:r w:rsidR="00BD151C">
        <w:fldChar w:fldCharType="end"/>
      </w:r>
      <w:bookmarkEnd w:id="707"/>
      <w:r w:rsidRPr="00066F65">
        <w:t xml:space="preserve"> – Switching parameters field format</w:t>
      </w:r>
      <w:bookmarkEnd w:id="708"/>
    </w:p>
    <w:p w:rsidR="002E7191" w:rsidRDefault="002E7191" w:rsidP="00E56B03">
      <w:pPr>
        <w:autoSpaceDE w:val="0"/>
        <w:autoSpaceDN w:val="0"/>
        <w:adjustRightInd w:val="0"/>
        <w:rPr>
          <w:sz w:val="22"/>
        </w:rPr>
      </w:pPr>
    </w:p>
    <w:p w:rsidR="00684671" w:rsidRPr="00684671" w:rsidRDefault="00684671" w:rsidP="00684671">
      <w:r>
        <w:rPr>
          <w:iCs/>
        </w:rPr>
        <w:t xml:space="preserve">The Stream ID in Old Band and Stream ID in New Band subfields are comprised of the TID/TSID and Direction subfields. The subfields within the Stream ID in New Band subfield are reserved if the Stream ID in New Band Valid subfield is set to zero. </w:t>
      </w:r>
    </w:p>
    <w:p w:rsidR="00684671" w:rsidRDefault="00684671" w:rsidP="00684671">
      <w:pPr>
        <w:rPr>
          <w:szCs w:val="22"/>
        </w:rPr>
      </w:pPr>
    </w:p>
    <w:p w:rsidR="00684671" w:rsidRDefault="00684671" w:rsidP="00684671">
      <w:pPr>
        <w:rPr>
          <w:szCs w:val="22"/>
        </w:rPr>
      </w:pPr>
      <w:r>
        <w:rPr>
          <w:szCs w:val="22"/>
        </w:rPr>
        <w:t>The TID/TSID subfield specifies the stream in the corresponding band.</w:t>
      </w:r>
    </w:p>
    <w:p w:rsidR="00684671" w:rsidRPr="00804313" w:rsidRDefault="00684671" w:rsidP="00684671">
      <w:pPr>
        <w:rPr>
          <w:szCs w:val="22"/>
        </w:rPr>
      </w:pPr>
    </w:p>
    <w:p w:rsidR="00684671" w:rsidRDefault="00684671" w:rsidP="00684671">
      <w:pPr>
        <w:rPr>
          <w:szCs w:val="22"/>
        </w:rPr>
      </w:pPr>
      <w:r w:rsidRPr="00804313">
        <w:rPr>
          <w:szCs w:val="22"/>
        </w:rPr>
        <w:t xml:space="preserve">The </w:t>
      </w:r>
      <w:r>
        <w:rPr>
          <w:szCs w:val="22"/>
        </w:rPr>
        <w:t>D</w:t>
      </w:r>
      <w:r w:rsidRPr="00804313">
        <w:rPr>
          <w:szCs w:val="22"/>
        </w:rPr>
        <w:t xml:space="preserve">irection field specifies whether the STA transmitting this element is the source or destination of the </w:t>
      </w:r>
      <w:r>
        <w:rPr>
          <w:szCs w:val="22"/>
        </w:rPr>
        <w:t xml:space="preserve">corresponding </w:t>
      </w:r>
      <w:r w:rsidRPr="00804313">
        <w:rPr>
          <w:szCs w:val="22"/>
        </w:rPr>
        <w:t xml:space="preserve">TID/TSID. It is set to zero to indicate that the STA transmitting this element is the source of the TID/TSID, and it is set to one otherwise. </w:t>
      </w:r>
    </w:p>
    <w:p w:rsidR="00684671" w:rsidRDefault="00684671" w:rsidP="00684671">
      <w:pPr>
        <w:rPr>
          <w:szCs w:val="22"/>
        </w:rPr>
      </w:pPr>
    </w:p>
    <w:p w:rsidR="002B7DE3" w:rsidRDefault="00684671" w:rsidP="00316D18">
      <w:pPr>
        <w:rPr>
          <w:szCs w:val="22"/>
        </w:rPr>
      </w:pPr>
      <w:r>
        <w:rPr>
          <w:szCs w:val="22"/>
        </w:rPr>
        <w:t>Stream ID in New Band Valid subfield is set to 1 if the information contained in the Stream ID in New Band subfield is valid, that is, the TID/TSID specified within the Stream ID in New Band subfield has been established in the band identified in the New Band ID field. The Stream ID in New Band Valid subfield is set to 0 otherwise.</w:t>
      </w:r>
      <w:bookmarkStart w:id="709" w:name="_Toc246683653"/>
    </w:p>
    <w:p w:rsidR="000602CA" w:rsidRDefault="000602CA" w:rsidP="00316D18">
      <w:pPr>
        <w:rPr>
          <w:szCs w:val="22"/>
        </w:rPr>
      </w:pPr>
    </w:p>
    <w:p w:rsidR="00925638" w:rsidRDefault="000602CA" w:rsidP="00316D18">
      <w:pPr>
        <w:rPr>
          <w:szCs w:val="22"/>
        </w:rPr>
      </w:pPr>
      <w:r>
        <w:rPr>
          <w:szCs w:val="22"/>
        </w:rPr>
        <w:t xml:space="preserve">The LLT type field is set one to indicate that the stream-based Link Loss Countdown is used for the stream identified by the Stream ID in Old Band subfield. </w:t>
      </w:r>
      <w:r w:rsidR="00925638">
        <w:rPr>
          <w:szCs w:val="22"/>
        </w:rPr>
        <w:t>The LLT type field is set zero to indicate that the STA-based Link Loss Countdown is used for the stream identified by the Stream ID in Old Band subfield. This field is reserved when the LLT field within the FST Setup Request or FST Setup Response frame containing this element is set to zero.</w:t>
      </w:r>
    </w:p>
    <w:p w:rsidR="000602CA" w:rsidRDefault="000602CA" w:rsidP="00316D18">
      <w:pPr>
        <w:rPr>
          <w:szCs w:val="22"/>
        </w:rPr>
      </w:pPr>
    </w:p>
    <w:p w:rsidR="002B7DE3" w:rsidRPr="009448FC" w:rsidRDefault="002B7DE3" w:rsidP="003701DB">
      <w:pPr>
        <w:pStyle w:val="Heading4"/>
        <w:numPr>
          <w:ilvl w:val="3"/>
          <w:numId w:val="152"/>
        </w:numPr>
      </w:pPr>
      <w:bookmarkStart w:id="710" w:name="_Ref252032107"/>
      <w:bookmarkStart w:id="711" w:name="_Ref252032138"/>
      <w:bookmarkStart w:id="712" w:name="_Ref252032220"/>
      <w:bookmarkStart w:id="713" w:name="_Ref251673468"/>
      <w:bookmarkStart w:id="714" w:name="_Toc259716945"/>
      <w:r w:rsidRPr="009F492F">
        <w:rPr>
          <w:lang w:eastAsia="ko-KR"/>
        </w:rPr>
        <w:t>Session Transition element</w:t>
      </w:r>
      <w:bookmarkEnd w:id="710"/>
      <w:bookmarkEnd w:id="711"/>
      <w:bookmarkEnd w:id="712"/>
      <w:bookmarkEnd w:id="713"/>
      <w:bookmarkEnd w:id="714"/>
      <w:r w:rsidR="00D11F2E">
        <w:rPr>
          <w:lang w:eastAsia="ko-KR"/>
        </w:rPr>
        <w:t xml:space="preserve"> </w:t>
      </w:r>
    </w:p>
    <w:bookmarkEnd w:id="709"/>
    <w:p w:rsidR="0033582A" w:rsidRDefault="0033582A" w:rsidP="007A4975">
      <w:r>
        <w:t xml:space="preserve">The Session Transition Information element is formatted as illustrated in </w:t>
      </w:r>
      <w:r w:rsidR="00BD151C">
        <w:fldChar w:fldCharType="begin"/>
      </w:r>
      <w:r w:rsidR="007A4975">
        <w:instrText xml:space="preserve"> REF _Ref250643123 \h </w:instrText>
      </w:r>
      <w:r w:rsidR="00BD151C">
        <w:fldChar w:fldCharType="separate"/>
      </w:r>
      <w:r w:rsidR="003E4210">
        <w:t xml:space="preserve">Figure </w:t>
      </w:r>
      <w:r w:rsidR="003E4210">
        <w:rPr>
          <w:noProof/>
        </w:rPr>
        <w:t>60</w:t>
      </w:r>
      <w:r w:rsidR="00BD151C">
        <w:fldChar w:fldCharType="end"/>
      </w:r>
      <w:r>
        <w:t>.</w:t>
      </w:r>
    </w:p>
    <w:p w:rsidR="0033582A" w:rsidRDefault="0033582A" w:rsidP="0033582A">
      <w:pPr>
        <w:rPr>
          <w:bCs/>
        </w:rPr>
      </w:pPr>
    </w:p>
    <w:tbl>
      <w:tblPr>
        <w:tblW w:w="951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016"/>
        <w:gridCol w:w="896"/>
        <w:gridCol w:w="764"/>
        <w:gridCol w:w="950"/>
        <w:gridCol w:w="723"/>
        <w:gridCol w:w="763"/>
        <w:gridCol w:w="1123"/>
        <w:gridCol w:w="723"/>
        <w:gridCol w:w="723"/>
        <w:gridCol w:w="1123"/>
      </w:tblGrid>
      <w:tr w:rsidR="001117D5" w:rsidRPr="002A422A" w:rsidTr="001117D5">
        <w:trPr>
          <w:jc w:val="center"/>
        </w:trPr>
        <w:tc>
          <w:tcPr>
            <w:tcW w:w="896" w:type="dxa"/>
            <w:vMerge w:val="restart"/>
          </w:tcPr>
          <w:p w:rsidR="001117D5" w:rsidRPr="002A422A" w:rsidRDefault="001117D5" w:rsidP="00BA5BC4">
            <w:pPr>
              <w:jc w:val="both"/>
              <w:rPr>
                <w:rFonts w:eastAsia="SimSun"/>
              </w:rPr>
            </w:pPr>
          </w:p>
        </w:tc>
        <w:tc>
          <w:tcPr>
            <w:tcW w:w="1016" w:type="dxa"/>
            <w:vMerge w:val="restart"/>
          </w:tcPr>
          <w:p w:rsidR="001117D5" w:rsidRPr="002A422A" w:rsidRDefault="001117D5" w:rsidP="00BA5BC4">
            <w:pPr>
              <w:jc w:val="both"/>
              <w:rPr>
                <w:rFonts w:eastAsia="SimSun"/>
              </w:rPr>
            </w:pPr>
            <w:r w:rsidRPr="002A422A">
              <w:rPr>
                <w:rFonts w:eastAsia="SimSun"/>
              </w:rPr>
              <w:t>Element ID</w:t>
            </w:r>
          </w:p>
        </w:tc>
        <w:tc>
          <w:tcPr>
            <w:tcW w:w="896" w:type="dxa"/>
            <w:vMerge w:val="restart"/>
          </w:tcPr>
          <w:p w:rsidR="001117D5" w:rsidRPr="002A422A" w:rsidRDefault="001117D5" w:rsidP="00BA5BC4">
            <w:pPr>
              <w:jc w:val="both"/>
              <w:rPr>
                <w:rFonts w:eastAsia="SimSun"/>
              </w:rPr>
            </w:pPr>
            <w:r w:rsidRPr="002A422A">
              <w:rPr>
                <w:rFonts w:eastAsia="SimSun"/>
              </w:rPr>
              <w:t>Length</w:t>
            </w:r>
          </w:p>
        </w:tc>
        <w:tc>
          <w:tcPr>
            <w:tcW w:w="764" w:type="dxa"/>
            <w:vMerge w:val="restart"/>
          </w:tcPr>
          <w:p w:rsidR="001117D5" w:rsidRPr="002A422A" w:rsidRDefault="001117D5" w:rsidP="00BA5BC4">
            <w:pPr>
              <w:jc w:val="both"/>
              <w:rPr>
                <w:rFonts w:eastAsia="SimSun"/>
              </w:rPr>
            </w:pPr>
            <w:r w:rsidRPr="002A422A">
              <w:rPr>
                <w:rFonts w:eastAsia="SimSun"/>
              </w:rPr>
              <w:t>FSTS ID</w:t>
            </w:r>
          </w:p>
        </w:tc>
        <w:tc>
          <w:tcPr>
            <w:tcW w:w="767" w:type="dxa"/>
            <w:vMerge w:val="restart"/>
          </w:tcPr>
          <w:p w:rsidR="001117D5" w:rsidRDefault="001117D5" w:rsidP="00BA5BC4">
            <w:pPr>
              <w:jc w:val="center"/>
              <w:rPr>
                <w:rFonts w:eastAsia="SimSun"/>
              </w:rPr>
            </w:pPr>
            <w:r>
              <w:rPr>
                <w:rFonts w:eastAsia="SimSun"/>
              </w:rPr>
              <w:t xml:space="preserve">Session </w:t>
            </w:r>
          </w:p>
          <w:p w:rsidR="001117D5" w:rsidRPr="002A422A" w:rsidRDefault="001117D5" w:rsidP="00BA5BC4">
            <w:pPr>
              <w:jc w:val="center"/>
              <w:rPr>
                <w:rFonts w:eastAsia="SimSun"/>
              </w:rPr>
            </w:pPr>
            <w:r>
              <w:rPr>
                <w:rFonts w:eastAsia="SimSun"/>
              </w:rPr>
              <w:t>type</w:t>
            </w:r>
          </w:p>
        </w:tc>
        <w:tc>
          <w:tcPr>
            <w:tcW w:w="2609" w:type="dxa"/>
            <w:gridSpan w:val="3"/>
          </w:tcPr>
          <w:p w:rsidR="001117D5" w:rsidRPr="002A422A" w:rsidRDefault="001117D5" w:rsidP="00BA5BC4">
            <w:pPr>
              <w:jc w:val="center"/>
              <w:rPr>
                <w:rFonts w:eastAsia="SimSun"/>
              </w:rPr>
            </w:pPr>
            <w:r w:rsidRPr="002A422A">
              <w:rPr>
                <w:rFonts w:eastAsia="SimSun"/>
              </w:rPr>
              <w:t>New Band</w:t>
            </w:r>
          </w:p>
        </w:tc>
        <w:tc>
          <w:tcPr>
            <w:tcW w:w="2569" w:type="dxa"/>
            <w:gridSpan w:val="3"/>
          </w:tcPr>
          <w:p w:rsidR="001117D5" w:rsidRPr="002A422A" w:rsidRDefault="001117D5" w:rsidP="00BA5BC4">
            <w:pPr>
              <w:jc w:val="center"/>
              <w:rPr>
                <w:rFonts w:eastAsia="SimSun"/>
              </w:rPr>
            </w:pPr>
            <w:r w:rsidRPr="002A422A">
              <w:rPr>
                <w:rFonts w:eastAsia="SimSun"/>
              </w:rPr>
              <w:t>Old Band</w:t>
            </w:r>
          </w:p>
        </w:tc>
      </w:tr>
      <w:tr w:rsidR="001117D5" w:rsidRPr="002A422A" w:rsidTr="001117D5">
        <w:trPr>
          <w:jc w:val="center"/>
        </w:trPr>
        <w:tc>
          <w:tcPr>
            <w:tcW w:w="896" w:type="dxa"/>
            <w:vMerge/>
          </w:tcPr>
          <w:p w:rsidR="001117D5" w:rsidRPr="002A422A" w:rsidRDefault="001117D5" w:rsidP="00BA5BC4">
            <w:pPr>
              <w:jc w:val="both"/>
              <w:rPr>
                <w:rFonts w:eastAsia="SimSun"/>
              </w:rPr>
            </w:pPr>
          </w:p>
        </w:tc>
        <w:tc>
          <w:tcPr>
            <w:tcW w:w="1016" w:type="dxa"/>
            <w:vMerge/>
          </w:tcPr>
          <w:p w:rsidR="001117D5" w:rsidRPr="002A422A" w:rsidRDefault="001117D5" w:rsidP="00BA5BC4">
            <w:pPr>
              <w:jc w:val="both"/>
              <w:rPr>
                <w:rFonts w:eastAsia="SimSun"/>
              </w:rPr>
            </w:pPr>
          </w:p>
        </w:tc>
        <w:tc>
          <w:tcPr>
            <w:tcW w:w="896" w:type="dxa"/>
            <w:vMerge/>
          </w:tcPr>
          <w:p w:rsidR="001117D5" w:rsidRPr="002A422A" w:rsidRDefault="001117D5" w:rsidP="00BA5BC4">
            <w:pPr>
              <w:jc w:val="both"/>
              <w:rPr>
                <w:rFonts w:eastAsia="SimSun"/>
              </w:rPr>
            </w:pPr>
          </w:p>
        </w:tc>
        <w:tc>
          <w:tcPr>
            <w:tcW w:w="764" w:type="dxa"/>
            <w:vMerge/>
          </w:tcPr>
          <w:p w:rsidR="001117D5" w:rsidRPr="002A422A" w:rsidRDefault="001117D5" w:rsidP="00BA5BC4">
            <w:pPr>
              <w:jc w:val="both"/>
              <w:rPr>
                <w:rFonts w:eastAsia="SimSun"/>
              </w:rPr>
            </w:pPr>
          </w:p>
        </w:tc>
        <w:tc>
          <w:tcPr>
            <w:tcW w:w="767" w:type="dxa"/>
            <w:vMerge/>
          </w:tcPr>
          <w:p w:rsidR="001117D5" w:rsidRPr="002A422A" w:rsidRDefault="001117D5" w:rsidP="00377195">
            <w:pPr>
              <w:jc w:val="center"/>
              <w:rPr>
                <w:rFonts w:eastAsia="SimSun"/>
              </w:rPr>
            </w:pPr>
          </w:p>
        </w:tc>
        <w:tc>
          <w:tcPr>
            <w:tcW w:w="723" w:type="dxa"/>
          </w:tcPr>
          <w:p w:rsidR="001117D5" w:rsidRPr="002A422A" w:rsidRDefault="001117D5" w:rsidP="00BA5BC4">
            <w:pPr>
              <w:jc w:val="both"/>
              <w:rPr>
                <w:rFonts w:eastAsia="SimSun"/>
              </w:rPr>
            </w:pPr>
            <w:r w:rsidRPr="002A422A">
              <w:rPr>
                <w:rFonts w:eastAsia="SimSun"/>
              </w:rPr>
              <w:t>Band ID</w:t>
            </w:r>
          </w:p>
        </w:tc>
        <w:tc>
          <w:tcPr>
            <w:tcW w:w="763" w:type="dxa"/>
          </w:tcPr>
          <w:p w:rsidR="001117D5" w:rsidRPr="002A422A" w:rsidRDefault="001117D5" w:rsidP="00BA5BC4">
            <w:pPr>
              <w:jc w:val="both"/>
              <w:rPr>
                <w:rFonts w:eastAsia="SimSun"/>
              </w:rPr>
            </w:pPr>
            <w:r w:rsidRPr="002A422A">
              <w:rPr>
                <w:rFonts w:eastAsia="SimSun"/>
              </w:rPr>
              <w:t>Setup</w:t>
            </w:r>
          </w:p>
        </w:tc>
        <w:tc>
          <w:tcPr>
            <w:tcW w:w="1123" w:type="dxa"/>
          </w:tcPr>
          <w:p w:rsidR="001117D5" w:rsidRPr="002A422A" w:rsidRDefault="001117D5" w:rsidP="00BA5BC4">
            <w:pPr>
              <w:jc w:val="center"/>
              <w:rPr>
                <w:rFonts w:eastAsia="SimSun"/>
              </w:rPr>
            </w:pPr>
            <w:r w:rsidRPr="002A422A">
              <w:rPr>
                <w:rFonts w:eastAsia="SimSun"/>
              </w:rPr>
              <w:t>operation</w:t>
            </w:r>
          </w:p>
        </w:tc>
        <w:tc>
          <w:tcPr>
            <w:tcW w:w="723" w:type="dxa"/>
          </w:tcPr>
          <w:p w:rsidR="001117D5" w:rsidRPr="002A422A" w:rsidRDefault="001117D5" w:rsidP="00BA5BC4">
            <w:pPr>
              <w:jc w:val="center"/>
              <w:rPr>
                <w:rFonts w:eastAsia="SimSun"/>
              </w:rPr>
            </w:pPr>
            <w:r w:rsidRPr="002A422A">
              <w:rPr>
                <w:rFonts w:eastAsia="SimSun"/>
              </w:rPr>
              <w:t>Band ID</w:t>
            </w:r>
          </w:p>
        </w:tc>
        <w:tc>
          <w:tcPr>
            <w:tcW w:w="723" w:type="dxa"/>
          </w:tcPr>
          <w:p w:rsidR="001117D5" w:rsidRPr="002A422A" w:rsidRDefault="001117D5" w:rsidP="00BA5BC4">
            <w:pPr>
              <w:jc w:val="center"/>
              <w:rPr>
                <w:rFonts w:eastAsia="SimSun"/>
              </w:rPr>
            </w:pPr>
            <w:r w:rsidRPr="002A422A">
              <w:rPr>
                <w:rFonts w:eastAsia="SimSun"/>
              </w:rPr>
              <w:t>setup</w:t>
            </w:r>
          </w:p>
        </w:tc>
        <w:tc>
          <w:tcPr>
            <w:tcW w:w="1123" w:type="dxa"/>
          </w:tcPr>
          <w:p w:rsidR="001117D5" w:rsidRPr="002A422A" w:rsidRDefault="001117D5" w:rsidP="00BA5BC4">
            <w:pPr>
              <w:jc w:val="center"/>
              <w:rPr>
                <w:rFonts w:eastAsia="SimSun"/>
              </w:rPr>
            </w:pPr>
            <w:r w:rsidRPr="002A422A">
              <w:rPr>
                <w:rFonts w:eastAsia="SimSun"/>
              </w:rPr>
              <w:t>operation</w:t>
            </w:r>
          </w:p>
        </w:tc>
      </w:tr>
      <w:tr w:rsidR="001117D5" w:rsidRPr="002A422A" w:rsidTr="001117D5">
        <w:trPr>
          <w:jc w:val="center"/>
        </w:trPr>
        <w:tc>
          <w:tcPr>
            <w:tcW w:w="896" w:type="dxa"/>
          </w:tcPr>
          <w:p w:rsidR="001117D5" w:rsidRPr="002A422A" w:rsidRDefault="001117D5" w:rsidP="00BA5BC4">
            <w:pPr>
              <w:jc w:val="both"/>
              <w:rPr>
                <w:rFonts w:eastAsia="SimSun"/>
              </w:rPr>
            </w:pPr>
            <w:r w:rsidRPr="002A422A">
              <w:rPr>
                <w:rFonts w:eastAsia="SimSun"/>
              </w:rPr>
              <w:t>Octets:</w:t>
            </w:r>
          </w:p>
        </w:tc>
        <w:tc>
          <w:tcPr>
            <w:tcW w:w="1016" w:type="dxa"/>
          </w:tcPr>
          <w:p w:rsidR="001117D5" w:rsidRPr="002A422A" w:rsidRDefault="001117D5" w:rsidP="00BA5BC4">
            <w:pPr>
              <w:jc w:val="center"/>
              <w:rPr>
                <w:rFonts w:eastAsia="SimSun"/>
              </w:rPr>
            </w:pPr>
            <w:r w:rsidRPr="002A422A">
              <w:rPr>
                <w:rFonts w:eastAsia="SimSun"/>
              </w:rPr>
              <w:t>1</w:t>
            </w:r>
          </w:p>
        </w:tc>
        <w:tc>
          <w:tcPr>
            <w:tcW w:w="896" w:type="dxa"/>
          </w:tcPr>
          <w:p w:rsidR="001117D5" w:rsidRPr="002A422A" w:rsidRDefault="001117D5" w:rsidP="00BA5BC4">
            <w:pPr>
              <w:jc w:val="center"/>
              <w:rPr>
                <w:rFonts w:eastAsia="SimSun"/>
              </w:rPr>
            </w:pPr>
            <w:r w:rsidRPr="002A422A">
              <w:rPr>
                <w:rFonts w:eastAsia="SimSun"/>
              </w:rPr>
              <w:t>1</w:t>
            </w:r>
          </w:p>
        </w:tc>
        <w:tc>
          <w:tcPr>
            <w:tcW w:w="764" w:type="dxa"/>
          </w:tcPr>
          <w:p w:rsidR="001117D5" w:rsidRPr="002A422A" w:rsidRDefault="001117D5" w:rsidP="00BA5BC4">
            <w:pPr>
              <w:jc w:val="center"/>
              <w:rPr>
                <w:rFonts w:eastAsia="SimSun"/>
              </w:rPr>
            </w:pPr>
            <w:r w:rsidRPr="002A422A">
              <w:rPr>
                <w:rFonts w:eastAsia="SimSun"/>
              </w:rPr>
              <w:t>4</w:t>
            </w:r>
          </w:p>
        </w:tc>
        <w:tc>
          <w:tcPr>
            <w:tcW w:w="767" w:type="dxa"/>
          </w:tcPr>
          <w:p w:rsidR="001117D5" w:rsidRDefault="001117D5" w:rsidP="00BA5BC4">
            <w:pPr>
              <w:jc w:val="center"/>
              <w:rPr>
                <w:rFonts w:eastAsia="SimSun"/>
              </w:rPr>
            </w:pPr>
            <w:r>
              <w:rPr>
                <w:rFonts w:eastAsia="SimSun"/>
              </w:rPr>
              <w:t>1</w:t>
            </w:r>
          </w:p>
        </w:tc>
        <w:tc>
          <w:tcPr>
            <w:tcW w:w="723" w:type="dxa"/>
          </w:tcPr>
          <w:p w:rsidR="001117D5" w:rsidRPr="002A422A" w:rsidRDefault="001117D5" w:rsidP="00BA5BC4">
            <w:pPr>
              <w:jc w:val="center"/>
              <w:rPr>
                <w:rFonts w:eastAsia="SimSun"/>
              </w:rPr>
            </w:pPr>
            <w:r>
              <w:rPr>
                <w:rFonts w:eastAsia="SimSun"/>
              </w:rPr>
              <w:t>1</w:t>
            </w:r>
          </w:p>
        </w:tc>
        <w:tc>
          <w:tcPr>
            <w:tcW w:w="763" w:type="dxa"/>
          </w:tcPr>
          <w:p w:rsidR="001117D5" w:rsidRPr="002A422A" w:rsidRDefault="001117D5" w:rsidP="00BA5BC4">
            <w:pPr>
              <w:jc w:val="center"/>
              <w:rPr>
                <w:rFonts w:eastAsia="SimSun"/>
              </w:rPr>
            </w:pPr>
            <w:r w:rsidRPr="002A422A">
              <w:rPr>
                <w:rFonts w:eastAsia="SimSun"/>
              </w:rPr>
              <w:t>1</w:t>
            </w:r>
          </w:p>
        </w:tc>
        <w:tc>
          <w:tcPr>
            <w:tcW w:w="1123" w:type="dxa"/>
          </w:tcPr>
          <w:p w:rsidR="001117D5" w:rsidRPr="002A422A" w:rsidRDefault="001117D5" w:rsidP="00BA5BC4">
            <w:pPr>
              <w:jc w:val="center"/>
              <w:rPr>
                <w:rFonts w:eastAsia="SimSun"/>
              </w:rPr>
            </w:pPr>
            <w:r w:rsidRPr="002A422A">
              <w:rPr>
                <w:rFonts w:eastAsia="SimSun"/>
              </w:rPr>
              <w:t>1</w:t>
            </w:r>
          </w:p>
        </w:tc>
        <w:tc>
          <w:tcPr>
            <w:tcW w:w="723" w:type="dxa"/>
          </w:tcPr>
          <w:p w:rsidR="001117D5" w:rsidRPr="002A422A" w:rsidRDefault="001117D5" w:rsidP="00BA5BC4">
            <w:pPr>
              <w:jc w:val="center"/>
              <w:rPr>
                <w:rFonts w:eastAsia="SimSun"/>
              </w:rPr>
            </w:pPr>
            <w:r>
              <w:rPr>
                <w:rFonts w:eastAsia="SimSun"/>
              </w:rPr>
              <w:t>1</w:t>
            </w:r>
          </w:p>
        </w:tc>
        <w:tc>
          <w:tcPr>
            <w:tcW w:w="723" w:type="dxa"/>
          </w:tcPr>
          <w:p w:rsidR="001117D5" w:rsidRPr="002A422A" w:rsidRDefault="001117D5" w:rsidP="00BA5BC4">
            <w:pPr>
              <w:jc w:val="center"/>
              <w:rPr>
                <w:rFonts w:eastAsia="SimSun"/>
              </w:rPr>
            </w:pPr>
            <w:r w:rsidRPr="002A422A">
              <w:rPr>
                <w:rFonts w:eastAsia="SimSun"/>
              </w:rPr>
              <w:t>1</w:t>
            </w:r>
          </w:p>
        </w:tc>
        <w:tc>
          <w:tcPr>
            <w:tcW w:w="1123" w:type="dxa"/>
          </w:tcPr>
          <w:p w:rsidR="001117D5" w:rsidRPr="002A422A" w:rsidRDefault="001117D5" w:rsidP="00BA5BC4">
            <w:pPr>
              <w:jc w:val="center"/>
              <w:rPr>
                <w:rFonts w:eastAsia="SimSun"/>
              </w:rPr>
            </w:pPr>
            <w:r w:rsidRPr="002A422A">
              <w:rPr>
                <w:rFonts w:eastAsia="SimSun"/>
              </w:rPr>
              <w:t>1</w:t>
            </w:r>
          </w:p>
        </w:tc>
      </w:tr>
    </w:tbl>
    <w:p w:rsidR="0033582A" w:rsidRDefault="001773DE" w:rsidP="001773DE">
      <w:pPr>
        <w:pStyle w:val="Caption"/>
      </w:pPr>
      <w:bookmarkStart w:id="715" w:name="_Ref250643123"/>
      <w:bookmarkStart w:id="716" w:name="_Toc246679864"/>
      <w:bookmarkStart w:id="717" w:name="_Toc259717492"/>
      <w:r>
        <w:t xml:space="preserve">Figure </w:t>
      </w:r>
      <w:r w:rsidR="00BD151C">
        <w:fldChar w:fldCharType="begin"/>
      </w:r>
      <w:r w:rsidR="00801316">
        <w:instrText xml:space="preserve"> SEQ Figure \* ARABIC </w:instrText>
      </w:r>
      <w:r w:rsidR="00BD151C">
        <w:fldChar w:fldCharType="separate"/>
      </w:r>
      <w:r w:rsidR="003E4210">
        <w:rPr>
          <w:noProof/>
        </w:rPr>
        <w:t>60</w:t>
      </w:r>
      <w:r w:rsidR="00BD151C">
        <w:fldChar w:fldCharType="end"/>
      </w:r>
      <w:bookmarkEnd w:id="715"/>
      <w:r w:rsidR="00A40BBC">
        <w:t xml:space="preserve"> </w:t>
      </w:r>
      <w:r w:rsidR="0033582A" w:rsidRPr="008E3BFE">
        <w:t>–</w:t>
      </w:r>
      <w:r w:rsidR="0033582A">
        <w:t xml:space="preserve"> Session Transition element</w:t>
      </w:r>
      <w:r w:rsidR="0033582A" w:rsidRPr="008E3BFE">
        <w:t xml:space="preserve"> format</w:t>
      </w:r>
      <w:bookmarkEnd w:id="716"/>
      <w:bookmarkEnd w:id="717"/>
    </w:p>
    <w:p w:rsidR="0033582A" w:rsidRDefault="0033582A" w:rsidP="0033582A"/>
    <w:p w:rsidR="0033582A" w:rsidRDefault="0033582A" w:rsidP="00BE39EC">
      <w:r>
        <w:t xml:space="preserve">The FSTS ID field contains the identification of the </w:t>
      </w:r>
      <w:r w:rsidRPr="005E7E1B">
        <w:t xml:space="preserve">FST </w:t>
      </w:r>
      <w:r>
        <w:t>s</w:t>
      </w:r>
      <w:r w:rsidRPr="005E7E1B">
        <w:t>ession</w:t>
      </w:r>
      <w:r>
        <w:t xml:space="preserve"> established between a pair of STAs as allocated by the initiator (</w:t>
      </w:r>
      <w:r w:rsidR="00BD151C">
        <w:fldChar w:fldCharType="begin"/>
      </w:r>
      <w:r w:rsidR="00BE39EC">
        <w:instrText xml:space="preserve"> REF _Ref246664738 \r \h </w:instrText>
      </w:r>
      <w:r w:rsidR="00BD151C">
        <w:fldChar w:fldCharType="separate"/>
      </w:r>
      <w:r w:rsidR="003E4210">
        <w:t>011.34</w:t>
      </w:r>
      <w:r w:rsidR="00BD151C">
        <w:fldChar w:fldCharType="end"/>
      </w:r>
      <w:r>
        <w:t>).</w:t>
      </w:r>
    </w:p>
    <w:p w:rsidR="00556C6C" w:rsidRDefault="00556C6C" w:rsidP="00BE39EC"/>
    <w:p w:rsidR="00556C6C" w:rsidRPr="00FA0AC3" w:rsidRDefault="00556C6C" w:rsidP="00A56B8E">
      <w:pPr>
        <w:autoSpaceDE w:val="0"/>
        <w:autoSpaceDN w:val="0"/>
        <w:adjustRightInd w:val="0"/>
        <w:rPr>
          <w:iCs/>
          <w:lang w:eastAsia="ko-KR"/>
        </w:rPr>
      </w:pPr>
      <w:r w:rsidRPr="00FA0AC3">
        <w:rPr>
          <w:iCs/>
          <w:lang w:eastAsia="ko-KR"/>
        </w:rPr>
        <w:t xml:space="preserve">The Session type field is defined as shown in </w:t>
      </w:r>
      <w:r w:rsidR="00BD151C">
        <w:rPr>
          <w:iCs/>
          <w:lang w:eastAsia="ko-KR"/>
        </w:rPr>
        <w:fldChar w:fldCharType="begin"/>
      </w:r>
      <w:r w:rsidR="00A56B8E">
        <w:rPr>
          <w:iCs/>
          <w:lang w:eastAsia="ko-KR"/>
        </w:rPr>
        <w:instrText xml:space="preserve"> REF _Ref251598909 \h </w:instrText>
      </w:r>
      <w:r w:rsidR="00BD151C">
        <w:rPr>
          <w:iCs/>
          <w:lang w:eastAsia="ko-KR"/>
        </w:rPr>
      </w:r>
      <w:r w:rsidR="00BD151C">
        <w:rPr>
          <w:iCs/>
          <w:lang w:eastAsia="ko-KR"/>
        </w:rPr>
        <w:fldChar w:fldCharType="separate"/>
      </w:r>
      <w:r w:rsidR="003E4210">
        <w:t xml:space="preserve">Figure </w:t>
      </w:r>
      <w:r w:rsidR="003E4210">
        <w:rPr>
          <w:noProof/>
        </w:rPr>
        <w:t>61</w:t>
      </w:r>
      <w:r w:rsidR="00BD151C">
        <w:rPr>
          <w:iCs/>
          <w:lang w:eastAsia="ko-KR"/>
        </w:rPr>
        <w:fldChar w:fldCharType="end"/>
      </w:r>
      <w:r w:rsidR="00A56B8E">
        <w:rPr>
          <w:iCs/>
          <w:lang w:eastAsia="ko-KR"/>
        </w:rPr>
        <w:t xml:space="preserve"> </w:t>
      </w:r>
      <w:r w:rsidRPr="00FA0AC3">
        <w:rPr>
          <w:iCs/>
          <w:lang w:eastAsia="ko-KR"/>
        </w:rPr>
        <w:t xml:space="preserve">and indicates the type of connection/session </w:t>
      </w:r>
      <w:r>
        <w:rPr>
          <w:iCs/>
          <w:lang w:eastAsia="ko-KR"/>
        </w:rPr>
        <w:t>that is intended to be set up in the new band for this FST session</w:t>
      </w:r>
      <w:r w:rsidRPr="00FA0AC3">
        <w:rPr>
          <w:iCs/>
          <w:lang w:eastAsia="ko-KR"/>
        </w:rPr>
        <w:t>.</w:t>
      </w:r>
    </w:p>
    <w:p w:rsidR="00556C6C" w:rsidRPr="00FA0AC3" w:rsidRDefault="00556C6C" w:rsidP="00556C6C">
      <w:pPr>
        <w:autoSpaceDE w:val="0"/>
        <w:autoSpaceDN w:val="0"/>
        <w:adjustRightInd w:val="0"/>
        <w:rPr>
          <w:iCs/>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2009"/>
      </w:tblGrid>
      <w:tr w:rsidR="00556C6C" w:rsidRPr="004075AD" w:rsidTr="00377195">
        <w:trPr>
          <w:jc w:val="center"/>
        </w:trPr>
        <w:tc>
          <w:tcPr>
            <w:tcW w:w="0" w:type="auto"/>
          </w:tcPr>
          <w:p w:rsidR="00556C6C" w:rsidRPr="004075AD" w:rsidRDefault="00556C6C" w:rsidP="00377195">
            <w:pPr>
              <w:jc w:val="center"/>
              <w:rPr>
                <w:rFonts w:eastAsia="Malgun Gothic"/>
                <w:b/>
                <w:szCs w:val="22"/>
                <w:lang w:eastAsia="ko-KR"/>
              </w:rPr>
            </w:pPr>
            <w:r w:rsidRPr="004075AD">
              <w:rPr>
                <w:rFonts w:eastAsia="Malgun Gothic"/>
                <w:b/>
                <w:szCs w:val="22"/>
                <w:lang w:eastAsia="ko-KR"/>
              </w:rPr>
              <w:lastRenderedPageBreak/>
              <w:t>Value</w:t>
            </w:r>
          </w:p>
        </w:tc>
        <w:tc>
          <w:tcPr>
            <w:tcW w:w="0" w:type="auto"/>
          </w:tcPr>
          <w:p w:rsidR="00556C6C" w:rsidRPr="004075AD" w:rsidRDefault="00556C6C" w:rsidP="00377195">
            <w:pPr>
              <w:jc w:val="center"/>
              <w:rPr>
                <w:rFonts w:eastAsia="Malgun Gothic"/>
                <w:b/>
                <w:szCs w:val="22"/>
                <w:lang w:eastAsia="ko-KR"/>
              </w:rPr>
            </w:pPr>
            <w:r w:rsidRPr="004075AD">
              <w:rPr>
                <w:rFonts w:eastAsia="Malgun Gothic"/>
                <w:b/>
                <w:szCs w:val="22"/>
                <w:lang w:eastAsia="ko-KR"/>
              </w:rPr>
              <w:t>Session type</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0</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Infrastructure BSS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1</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IBSS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2</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DLS</w:t>
            </w:r>
          </w:p>
        </w:tc>
      </w:tr>
      <w:tr w:rsidR="00556C6C" w:rsidRPr="004075AD" w:rsidTr="00377195">
        <w:trPr>
          <w:jc w:val="center"/>
        </w:trPr>
        <w:tc>
          <w:tcPr>
            <w:tcW w:w="0" w:type="auto"/>
          </w:tcPr>
          <w:p w:rsidR="00556C6C" w:rsidRPr="004075AD" w:rsidRDefault="00556C6C" w:rsidP="00377195">
            <w:pPr>
              <w:jc w:val="center"/>
              <w:rPr>
                <w:rFonts w:eastAsia="SimSun"/>
                <w:szCs w:val="22"/>
              </w:rPr>
            </w:pPr>
            <w:r w:rsidRPr="004075AD">
              <w:rPr>
                <w:rFonts w:eastAsia="Malgun Gothic"/>
                <w:szCs w:val="22"/>
                <w:lang w:eastAsia="ko-KR"/>
              </w:rPr>
              <w:t>3</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TDLS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4</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PBSS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5-255</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Reserved</w:t>
            </w:r>
          </w:p>
        </w:tc>
      </w:tr>
    </w:tbl>
    <w:p w:rsidR="00556C6C" w:rsidRPr="00B44929" w:rsidRDefault="00B44929" w:rsidP="00B44929">
      <w:pPr>
        <w:pStyle w:val="Caption"/>
      </w:pPr>
      <w:bookmarkStart w:id="718" w:name="_Ref251598909"/>
      <w:bookmarkStart w:id="719" w:name="_Toc259717493"/>
      <w:r>
        <w:t xml:space="preserve">Figure </w:t>
      </w:r>
      <w:r w:rsidR="00BD151C">
        <w:fldChar w:fldCharType="begin"/>
      </w:r>
      <w:r w:rsidR="00801316">
        <w:instrText xml:space="preserve"> SEQ Figure \* ARABIC </w:instrText>
      </w:r>
      <w:r w:rsidR="00BD151C">
        <w:fldChar w:fldCharType="separate"/>
      </w:r>
      <w:r w:rsidR="003E4210">
        <w:rPr>
          <w:noProof/>
        </w:rPr>
        <w:t>61</w:t>
      </w:r>
      <w:r w:rsidR="00BD151C">
        <w:fldChar w:fldCharType="end"/>
      </w:r>
      <w:bookmarkEnd w:id="718"/>
      <w:r w:rsidR="001363F5">
        <w:t xml:space="preserve"> </w:t>
      </w:r>
      <w:r w:rsidR="00556C6C" w:rsidRPr="00A95361">
        <w:rPr>
          <w:sz w:val="28"/>
          <w:lang w:eastAsia="ko-KR"/>
        </w:rPr>
        <w:t>–</w:t>
      </w:r>
      <w:r w:rsidR="00556C6C" w:rsidRPr="00FA0AC3">
        <w:rPr>
          <w:sz w:val="28"/>
        </w:rPr>
        <w:t xml:space="preserve"> </w:t>
      </w:r>
      <w:r w:rsidR="00556C6C" w:rsidRPr="00A405D5">
        <w:rPr>
          <w:szCs w:val="18"/>
        </w:rPr>
        <w:t xml:space="preserve">Session </w:t>
      </w:r>
      <w:r w:rsidR="00556C6C" w:rsidRPr="00A405D5">
        <w:rPr>
          <w:szCs w:val="18"/>
          <w:lang w:eastAsia="ko-KR"/>
        </w:rPr>
        <w:t>t</w:t>
      </w:r>
      <w:r w:rsidR="00556C6C" w:rsidRPr="00A405D5">
        <w:rPr>
          <w:szCs w:val="18"/>
        </w:rPr>
        <w:t>ype field</w:t>
      </w:r>
      <w:r w:rsidR="00556C6C" w:rsidRPr="00A405D5">
        <w:rPr>
          <w:szCs w:val="18"/>
          <w:lang w:eastAsia="ko-KR"/>
        </w:rPr>
        <w:t xml:space="preserve"> format</w:t>
      </w:r>
      <w:bookmarkEnd w:id="719"/>
    </w:p>
    <w:p w:rsidR="00556C6C" w:rsidRPr="00FA0AC3" w:rsidRDefault="00556C6C" w:rsidP="00556C6C">
      <w:pPr>
        <w:autoSpaceDE w:val="0"/>
        <w:autoSpaceDN w:val="0"/>
        <w:adjustRightInd w:val="0"/>
        <w:rPr>
          <w:iCs/>
          <w:lang w:eastAsia="ko-KR"/>
        </w:rPr>
      </w:pPr>
      <w:r w:rsidRPr="00FA0AC3">
        <w:rPr>
          <w:iCs/>
          <w:lang w:eastAsia="ko-KR"/>
        </w:rPr>
        <w:t>When the Session type field is set to IBSS</w:t>
      </w:r>
      <w:r>
        <w:rPr>
          <w:iCs/>
          <w:lang w:eastAsia="ko-KR"/>
        </w:rPr>
        <w:t xml:space="preserve"> and the</w:t>
      </w:r>
      <w:r w:rsidRPr="00FA0AC3">
        <w:rPr>
          <w:iCs/>
          <w:lang w:eastAsia="ko-KR"/>
        </w:rPr>
        <w:t xml:space="preserve"> STA Role field </w:t>
      </w:r>
      <w:r>
        <w:rPr>
          <w:iCs/>
          <w:lang w:eastAsia="ko-KR"/>
        </w:rPr>
        <w:t xml:space="preserve">within the </w:t>
      </w:r>
      <w:r w:rsidR="00493DD7">
        <w:rPr>
          <w:iCs/>
          <w:lang w:eastAsia="ko-KR"/>
        </w:rPr>
        <w:t>Multi-band</w:t>
      </w:r>
      <w:r>
        <w:rPr>
          <w:iCs/>
          <w:lang w:eastAsia="ko-KR"/>
        </w:rPr>
        <w:t xml:space="preserve"> element </w:t>
      </w:r>
      <w:r w:rsidRPr="00FA0AC3">
        <w:rPr>
          <w:iCs/>
          <w:lang w:eastAsia="ko-KR"/>
        </w:rPr>
        <w:t xml:space="preserve">is set to </w:t>
      </w:r>
      <w:r>
        <w:rPr>
          <w:iCs/>
          <w:lang w:eastAsia="ko-KR"/>
        </w:rPr>
        <w:t>IBSS STA</w:t>
      </w:r>
      <w:r w:rsidRPr="00FA0AC3">
        <w:rPr>
          <w:iCs/>
          <w:lang w:eastAsia="ko-KR"/>
        </w:rPr>
        <w:t xml:space="preserve">, BSSID field </w:t>
      </w:r>
      <w:r>
        <w:rPr>
          <w:iCs/>
          <w:lang w:eastAsia="ko-KR"/>
        </w:rPr>
        <w:t xml:space="preserve">within the </w:t>
      </w:r>
      <w:r w:rsidR="00493DD7">
        <w:rPr>
          <w:iCs/>
          <w:lang w:eastAsia="ko-KR"/>
        </w:rPr>
        <w:t>Multi-band</w:t>
      </w:r>
      <w:r>
        <w:rPr>
          <w:iCs/>
          <w:lang w:eastAsia="ko-KR"/>
        </w:rPr>
        <w:t xml:space="preserve"> element </w:t>
      </w:r>
      <w:r w:rsidRPr="00FA0AC3">
        <w:rPr>
          <w:iCs/>
          <w:lang w:eastAsia="ko-KR"/>
        </w:rPr>
        <w:t>contain</w:t>
      </w:r>
      <w:r>
        <w:rPr>
          <w:iCs/>
          <w:lang w:eastAsia="ko-KR"/>
        </w:rPr>
        <w:t>s</w:t>
      </w:r>
      <w:r w:rsidRPr="00FA0AC3">
        <w:rPr>
          <w:iCs/>
          <w:lang w:eastAsia="ko-KR"/>
        </w:rPr>
        <w:t xml:space="preserve"> </w:t>
      </w:r>
      <w:r>
        <w:rPr>
          <w:iCs/>
          <w:lang w:eastAsia="ko-KR"/>
        </w:rPr>
        <w:t>the</w:t>
      </w:r>
      <w:r w:rsidRPr="00FA0AC3">
        <w:rPr>
          <w:iCs/>
          <w:lang w:eastAsia="ko-KR"/>
        </w:rPr>
        <w:t xml:space="preserve"> MAC address of the </w:t>
      </w:r>
      <w:r>
        <w:rPr>
          <w:iCs/>
          <w:lang w:eastAsia="ko-KR"/>
        </w:rPr>
        <w:t>BSSID of the IBSS</w:t>
      </w:r>
      <w:r w:rsidRPr="00FA0AC3">
        <w:rPr>
          <w:iCs/>
          <w:lang w:eastAsia="ko-KR"/>
        </w:rPr>
        <w:t>. It means that the transmitting STA is not associated in AP and it may want to perform IBSS mode with the peer STA.</w:t>
      </w:r>
    </w:p>
    <w:p w:rsidR="0033582A" w:rsidRDefault="0033582A" w:rsidP="0033582A">
      <w:pPr>
        <w:autoSpaceDE w:val="0"/>
        <w:autoSpaceDN w:val="0"/>
        <w:adjustRightInd w:val="0"/>
        <w:rPr>
          <w:rFonts w:ascii="TimesNewRoman" w:hAnsi="TimesNewRoman" w:cs="TimesNewRoman"/>
        </w:rPr>
      </w:pPr>
    </w:p>
    <w:p w:rsidR="0033582A" w:rsidRDefault="0033582A" w:rsidP="00C62372">
      <w:pPr>
        <w:autoSpaceDE w:val="0"/>
        <w:autoSpaceDN w:val="0"/>
        <w:adjustRightInd w:val="0"/>
      </w:pPr>
      <w:r>
        <w:t>The New Band and Old Band fields are used for the signaling described in</w:t>
      </w:r>
      <w:r w:rsidR="00C62372">
        <w:t xml:space="preserve"> </w:t>
      </w:r>
      <w:r w:rsidR="00BD151C">
        <w:fldChar w:fldCharType="begin"/>
      </w:r>
      <w:r w:rsidR="00C62372">
        <w:instrText xml:space="preserve"> REF _Ref250643074 \r \h </w:instrText>
      </w:r>
      <w:r w:rsidR="00BD151C">
        <w:fldChar w:fldCharType="separate"/>
      </w:r>
      <w:r w:rsidR="003E4210">
        <w:t>11.34.1</w:t>
      </w:r>
      <w:r w:rsidR="00BD151C">
        <w:fldChar w:fldCharType="end"/>
      </w:r>
      <w:r>
        <w:t xml:space="preserve">. Each of the New Band and Old Band field contain a Band ID subfield, a Setup subfield and an Operation subfield. </w:t>
      </w:r>
    </w:p>
    <w:p w:rsidR="0033582A" w:rsidRDefault="0033582A" w:rsidP="0033582A">
      <w:pPr>
        <w:autoSpaceDE w:val="0"/>
        <w:autoSpaceDN w:val="0"/>
        <w:adjustRightInd w:val="0"/>
      </w:pPr>
    </w:p>
    <w:p w:rsidR="0065405C" w:rsidRDefault="0033582A" w:rsidP="00316D18">
      <w:pPr>
        <w:autoSpaceDE w:val="0"/>
        <w:autoSpaceDN w:val="0"/>
        <w:adjustRightInd w:val="0"/>
      </w:pPr>
      <w:r>
        <w:t xml:space="preserve">The Band ID subfield is defined in </w:t>
      </w:r>
      <w:r w:rsidR="00BD151C">
        <w:fldChar w:fldCharType="begin"/>
      </w:r>
      <w:r w:rsidR="001773DE">
        <w:instrText xml:space="preserve"> REF _Ref244241162 \r \h </w:instrText>
      </w:r>
      <w:r w:rsidR="00BD151C">
        <w:fldChar w:fldCharType="separate"/>
      </w:r>
      <w:r w:rsidR="003E4210">
        <w:t>7.3.2.101</w:t>
      </w:r>
      <w:r w:rsidR="00BD151C">
        <w:fldChar w:fldCharType="end"/>
      </w:r>
      <w:r w:rsidR="00141D21">
        <w:t>.</w:t>
      </w:r>
    </w:p>
    <w:p w:rsidR="00141D21" w:rsidRDefault="00BE5866" w:rsidP="00316D18">
      <w:pPr>
        <w:autoSpaceDE w:val="0"/>
        <w:autoSpaceDN w:val="0"/>
        <w:adjustRightInd w:val="0"/>
      </w:pPr>
      <w:r>
        <w:t xml:space="preserve"> </w:t>
      </w:r>
    </w:p>
    <w:p w:rsidR="00141D21" w:rsidRDefault="00141D21" w:rsidP="00316D18">
      <w:pPr>
        <w:autoSpaceDE w:val="0"/>
        <w:autoSpaceDN w:val="0"/>
        <w:adjustRightInd w:val="0"/>
      </w:pPr>
      <w:r w:rsidRPr="00141D21">
        <w:t>The Setup subfield is set to one to indicate that the STA transmitting this element has an FST Session established with the STA that the frame containing this element is addressed and in the band indicated within the Band ID subfield. Otherwise, it is set to zero. Other values are reserved.</w:t>
      </w:r>
    </w:p>
    <w:p w:rsidR="00141D21" w:rsidRDefault="00141D21" w:rsidP="00316D18">
      <w:pPr>
        <w:autoSpaceDE w:val="0"/>
        <w:autoSpaceDN w:val="0"/>
        <w:adjustRightInd w:val="0"/>
      </w:pPr>
    </w:p>
    <w:p w:rsidR="00141D21" w:rsidRDefault="00141D21" w:rsidP="00316D18">
      <w:pPr>
        <w:autoSpaceDE w:val="0"/>
        <w:autoSpaceDN w:val="0"/>
        <w:adjustRightInd w:val="0"/>
      </w:pPr>
      <w:r w:rsidRPr="00141D21">
        <w:t>The Operation subfield is set to one to indicate that the STA is operating in the band indicated within the Band ID subfield. Otherwise, it is set to zero. Other values are reserved.</w:t>
      </w:r>
    </w:p>
    <w:p w:rsidR="00141D21" w:rsidRPr="00316D18" w:rsidRDefault="00141D21" w:rsidP="00316D18">
      <w:pPr>
        <w:autoSpaceDE w:val="0"/>
        <w:autoSpaceDN w:val="0"/>
        <w:adjustRightInd w:val="0"/>
      </w:pPr>
    </w:p>
    <w:p w:rsidR="002B7DE3" w:rsidRPr="009448FC" w:rsidRDefault="002B7DE3" w:rsidP="003701DB">
      <w:pPr>
        <w:pStyle w:val="Heading4"/>
        <w:numPr>
          <w:ilvl w:val="3"/>
          <w:numId w:val="152"/>
        </w:numPr>
      </w:pPr>
      <w:bookmarkStart w:id="720" w:name="_Ref251666007"/>
      <w:bookmarkStart w:id="721" w:name="_Toc259716946"/>
      <w:r>
        <w:rPr>
          <w:lang w:eastAsia="ko-KR"/>
        </w:rPr>
        <w:t>Dynamic Tone Pairing (DTP) Report element</w:t>
      </w:r>
      <w:bookmarkEnd w:id="720"/>
      <w:bookmarkEnd w:id="721"/>
      <w:r w:rsidRPr="009448FC">
        <w:t xml:space="preserve"> </w:t>
      </w:r>
    </w:p>
    <w:p w:rsidR="001D49DB" w:rsidRDefault="001D49DB" w:rsidP="002E7191">
      <w:pPr>
        <w:autoSpaceDE w:val="0"/>
        <w:autoSpaceDN w:val="0"/>
        <w:adjustRightInd w:val="0"/>
        <w:rPr>
          <w:sz w:val="22"/>
        </w:rPr>
      </w:pPr>
    </w:p>
    <w:p w:rsidR="0065405C" w:rsidRDefault="0065405C" w:rsidP="0065405C">
      <w:r w:rsidRPr="002C6558">
        <w:t xml:space="preserve">The </w:t>
      </w:r>
      <w:r>
        <w:t>DTP R</w:t>
      </w:r>
      <w:r w:rsidRPr="002C6558">
        <w:t xml:space="preserve">eport element </w:t>
      </w:r>
      <w:r>
        <w:t>is included in the DTP Response frame.</w:t>
      </w:r>
      <w:r w:rsidRPr="002C6558">
        <w:t xml:space="preserve"> The format of the </w:t>
      </w:r>
      <w:r>
        <w:t>DTP</w:t>
      </w:r>
      <w:r w:rsidRPr="002C6558">
        <w:t xml:space="preserve"> Report</w:t>
      </w:r>
      <w:r>
        <w:t xml:space="preserve"> element is shown in</w:t>
      </w:r>
      <w:r w:rsidR="001D49DB">
        <w:t xml:space="preserve"> </w:t>
      </w:r>
      <w:r w:rsidR="00BD151C">
        <w:fldChar w:fldCharType="begin"/>
      </w:r>
      <w:r w:rsidR="001D49DB">
        <w:instrText xml:space="preserve"> REF _Ref251506146 \h </w:instrText>
      </w:r>
      <w:r w:rsidR="00BD151C">
        <w:fldChar w:fldCharType="separate"/>
      </w:r>
      <w:r w:rsidR="003E4210">
        <w:t xml:space="preserve">Table </w:t>
      </w:r>
      <w:r w:rsidR="003E4210">
        <w:rPr>
          <w:noProof/>
        </w:rPr>
        <w:t>19</w:t>
      </w:r>
      <w:r w:rsidR="00BD151C">
        <w:fldChar w:fldCharType="end"/>
      </w:r>
      <w:r w:rsidRPr="002C6558">
        <w:t>.</w:t>
      </w:r>
    </w:p>
    <w:p w:rsidR="0065405C" w:rsidRDefault="0065405C" w:rsidP="0065405C"/>
    <w:p w:rsidR="001D49DB" w:rsidRDefault="001D49DB" w:rsidP="001D49DB">
      <w:pPr>
        <w:pStyle w:val="Caption"/>
      </w:pPr>
      <w:bookmarkStart w:id="722" w:name="_Ref251506146"/>
      <w:bookmarkStart w:id="723" w:name="_Toc259717597"/>
      <w:r>
        <w:t xml:space="preserve">Table </w:t>
      </w:r>
      <w:r w:rsidR="00BD151C">
        <w:fldChar w:fldCharType="begin"/>
      </w:r>
      <w:r w:rsidR="00801316">
        <w:instrText xml:space="preserve"> SEQ Table \* ARABIC </w:instrText>
      </w:r>
      <w:r w:rsidR="00BD151C">
        <w:fldChar w:fldCharType="separate"/>
      </w:r>
      <w:r w:rsidR="003E4210">
        <w:rPr>
          <w:noProof/>
        </w:rPr>
        <w:t>19</w:t>
      </w:r>
      <w:r w:rsidR="00BD151C">
        <w:fldChar w:fldCharType="end"/>
      </w:r>
      <w:bookmarkEnd w:id="722"/>
      <w:r>
        <w:t xml:space="preserve"> – DTP Report element</w:t>
      </w:r>
      <w:bookmarkEnd w:id="7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2"/>
        <w:gridCol w:w="3372"/>
        <w:gridCol w:w="3372"/>
      </w:tblGrid>
      <w:tr w:rsidR="0065405C" w:rsidTr="0065405C">
        <w:tc>
          <w:tcPr>
            <w:tcW w:w="3372" w:type="dxa"/>
          </w:tcPr>
          <w:p w:rsidR="0065405C" w:rsidRPr="00B35848" w:rsidRDefault="0065405C" w:rsidP="0065405C">
            <w:pPr>
              <w:jc w:val="both"/>
              <w:rPr>
                <w:rFonts w:eastAsia="SimSun"/>
              </w:rPr>
            </w:pPr>
            <w:r w:rsidRPr="00B35848">
              <w:rPr>
                <w:rFonts w:eastAsia="SimSun"/>
              </w:rPr>
              <w:t>Element ID</w:t>
            </w:r>
          </w:p>
        </w:tc>
        <w:tc>
          <w:tcPr>
            <w:tcW w:w="3372" w:type="dxa"/>
          </w:tcPr>
          <w:p w:rsidR="0065405C" w:rsidRPr="00B35848" w:rsidRDefault="0065405C" w:rsidP="0065405C">
            <w:pPr>
              <w:jc w:val="both"/>
              <w:rPr>
                <w:rFonts w:eastAsia="SimSun"/>
              </w:rPr>
            </w:pPr>
            <w:r w:rsidRPr="00B35848">
              <w:rPr>
                <w:rFonts w:eastAsia="SimSun"/>
              </w:rPr>
              <w:t>8 bits</w:t>
            </w:r>
          </w:p>
        </w:tc>
        <w:tc>
          <w:tcPr>
            <w:tcW w:w="3372" w:type="dxa"/>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Length</w:t>
            </w:r>
          </w:p>
        </w:tc>
        <w:tc>
          <w:tcPr>
            <w:tcW w:w="3372" w:type="dxa"/>
          </w:tcPr>
          <w:p w:rsidR="0065405C" w:rsidRPr="00B35848" w:rsidRDefault="0065405C" w:rsidP="0065405C">
            <w:pPr>
              <w:jc w:val="both"/>
              <w:rPr>
                <w:rFonts w:eastAsia="SimSun"/>
              </w:rPr>
            </w:pPr>
            <w:r w:rsidRPr="00B35848">
              <w:rPr>
                <w:rFonts w:eastAsia="SimSun"/>
              </w:rPr>
              <w:t>8 bits</w:t>
            </w:r>
          </w:p>
        </w:tc>
        <w:tc>
          <w:tcPr>
            <w:tcW w:w="3372" w:type="dxa"/>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GroupPairIndex(0)</w:t>
            </w:r>
          </w:p>
        </w:tc>
        <w:tc>
          <w:tcPr>
            <w:tcW w:w="3372" w:type="dxa"/>
          </w:tcPr>
          <w:p w:rsidR="0065405C" w:rsidRPr="00B35848" w:rsidRDefault="0065405C" w:rsidP="0065405C">
            <w:pPr>
              <w:jc w:val="both"/>
              <w:rPr>
                <w:rFonts w:eastAsia="SimSun"/>
              </w:rPr>
            </w:pPr>
            <w:r w:rsidRPr="00B35848">
              <w:rPr>
                <w:rFonts w:eastAsia="SimSun"/>
              </w:rPr>
              <w:t>6 bits</w:t>
            </w:r>
          </w:p>
        </w:tc>
        <w:tc>
          <w:tcPr>
            <w:tcW w:w="3372" w:type="dxa"/>
            <w:vMerge w:val="restart"/>
            <w:vAlign w:val="center"/>
          </w:tcPr>
          <w:p w:rsidR="0065405C" w:rsidRPr="00B35848" w:rsidRDefault="0065405C" w:rsidP="0065405C">
            <w:pPr>
              <w:jc w:val="both"/>
              <w:rPr>
                <w:rFonts w:eastAsia="SimSun"/>
              </w:rPr>
            </w:pPr>
            <w:r w:rsidRPr="00B35848">
              <w:rPr>
                <w:rFonts w:eastAsia="SimSun"/>
              </w:rPr>
              <w:t xml:space="preserve">Index of </w:t>
            </w:r>
            <w:r w:rsidRPr="00B35848">
              <w:rPr>
                <w:rFonts w:eastAsia="SimSun"/>
                <w:i/>
              </w:rPr>
              <w:t>n</w:t>
            </w:r>
            <w:r w:rsidRPr="00B35848">
              <w:rPr>
                <w:rFonts w:eastAsia="SimSun"/>
              </w:rPr>
              <w:t xml:space="preserve">-th DTP group pair in the range 0 to </w:t>
            </w:r>
            <w:r w:rsidRPr="00B35848">
              <w:rPr>
                <w:rFonts w:eastAsia="SimSun"/>
                <w:i/>
              </w:rPr>
              <w:t>N</w:t>
            </w:r>
            <w:r w:rsidRPr="00B35848">
              <w:rPr>
                <w:rFonts w:eastAsia="SimSun"/>
                <w:i/>
                <w:vertAlign w:val="subscript"/>
              </w:rPr>
              <w:t>G</w:t>
            </w:r>
            <w:r w:rsidRPr="00B35848">
              <w:rPr>
                <w:rFonts w:eastAsia="SimSun"/>
              </w:rPr>
              <w:t xml:space="preserve">-1, for </w:t>
            </w:r>
            <w:r w:rsidRPr="00B35848">
              <w:rPr>
                <w:rFonts w:eastAsia="SimSun"/>
                <w:i/>
              </w:rPr>
              <w:t>n</w:t>
            </w:r>
            <w:r w:rsidRPr="00B35848">
              <w:rPr>
                <w:rFonts w:eastAsia="SimSun"/>
              </w:rPr>
              <w:t xml:space="preserve"> = 0,1,2,…,</w:t>
            </w:r>
            <w:r w:rsidRPr="00B35848">
              <w:rPr>
                <w:rFonts w:eastAsia="SimSun"/>
                <w:i/>
              </w:rPr>
              <w:t>N</w:t>
            </w:r>
            <w:r w:rsidRPr="00B35848">
              <w:rPr>
                <w:rFonts w:eastAsia="SimSun"/>
                <w:i/>
                <w:vertAlign w:val="subscript"/>
              </w:rPr>
              <w:t>G</w:t>
            </w:r>
            <w:r w:rsidRPr="00B35848">
              <w:rPr>
                <w:rFonts w:eastAsia="SimSun"/>
              </w:rPr>
              <w:t>-1</w:t>
            </w:r>
            <w:r>
              <w:rPr>
                <w:rFonts w:eastAsia="SimSun"/>
              </w:rPr>
              <w:t xml:space="preserve"> where </w:t>
            </w:r>
            <w:r w:rsidRPr="005068A4">
              <w:rPr>
                <w:rFonts w:eastAsia="SimSun"/>
                <w:i/>
              </w:rPr>
              <w:t>N</w:t>
            </w:r>
            <w:r w:rsidRPr="005068A4">
              <w:rPr>
                <w:rFonts w:eastAsia="SimSun"/>
                <w:i/>
                <w:vertAlign w:val="subscript"/>
              </w:rPr>
              <w:t>G</w:t>
            </w:r>
            <w:r>
              <w:rPr>
                <w:rFonts w:eastAsia="SimSun"/>
              </w:rPr>
              <w:t>=42</w:t>
            </w:r>
          </w:p>
        </w:tc>
      </w:tr>
      <w:tr w:rsidR="0065405C" w:rsidTr="0065405C">
        <w:tc>
          <w:tcPr>
            <w:tcW w:w="3372" w:type="dxa"/>
          </w:tcPr>
          <w:p w:rsidR="0065405C" w:rsidRPr="00B35848" w:rsidRDefault="0065405C" w:rsidP="0065405C">
            <w:pPr>
              <w:jc w:val="both"/>
              <w:rPr>
                <w:rFonts w:eastAsia="SimSun"/>
              </w:rPr>
            </w:pPr>
            <w:r w:rsidRPr="00B35848">
              <w:rPr>
                <w:rFonts w:eastAsia="SimSun"/>
              </w:rPr>
              <w:t>GroupPairIndex(1)</w:t>
            </w:r>
          </w:p>
        </w:tc>
        <w:tc>
          <w:tcPr>
            <w:tcW w:w="3372" w:type="dxa"/>
          </w:tcPr>
          <w:p w:rsidR="0065405C" w:rsidRPr="00B35848" w:rsidRDefault="0065405C" w:rsidP="0065405C">
            <w:pPr>
              <w:jc w:val="both"/>
              <w:rPr>
                <w:rFonts w:eastAsia="SimSun"/>
              </w:rPr>
            </w:pPr>
            <w:r w:rsidRPr="00B35848">
              <w:rPr>
                <w:rFonts w:eastAsia="SimSun"/>
              </w:rPr>
              <w:t>6 bits</w:t>
            </w:r>
          </w:p>
        </w:tc>
        <w:tc>
          <w:tcPr>
            <w:tcW w:w="3372" w:type="dxa"/>
            <w:vMerge/>
          </w:tcPr>
          <w:p w:rsidR="0065405C" w:rsidRPr="00B35848" w:rsidRDefault="0065405C" w:rsidP="0065405C">
            <w:pPr>
              <w:spacing w:before="240"/>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w:t>
            </w:r>
          </w:p>
        </w:tc>
        <w:tc>
          <w:tcPr>
            <w:tcW w:w="3372" w:type="dxa"/>
          </w:tcPr>
          <w:p w:rsidR="0065405C" w:rsidRPr="00B35848" w:rsidRDefault="0065405C" w:rsidP="0065405C">
            <w:pPr>
              <w:jc w:val="both"/>
              <w:rPr>
                <w:rFonts w:eastAsia="SimSun"/>
              </w:rPr>
            </w:pPr>
            <w:r w:rsidRPr="00B35848">
              <w:rPr>
                <w:rFonts w:eastAsia="SimSun"/>
              </w:rPr>
              <w:t>…</w:t>
            </w:r>
          </w:p>
        </w:tc>
        <w:tc>
          <w:tcPr>
            <w:tcW w:w="3372" w:type="dxa"/>
            <w:vMerge/>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GroupPairIndex(</w:t>
            </w:r>
            <w:r w:rsidRPr="00B35848">
              <w:rPr>
                <w:rFonts w:eastAsia="SimSun"/>
                <w:i/>
              </w:rPr>
              <w:t>N</w:t>
            </w:r>
            <w:r w:rsidRPr="00B35848">
              <w:rPr>
                <w:rFonts w:eastAsia="SimSun"/>
                <w:i/>
                <w:vertAlign w:val="subscript"/>
              </w:rPr>
              <w:t>G</w:t>
            </w:r>
            <w:r w:rsidRPr="00B35848">
              <w:rPr>
                <w:rFonts w:eastAsia="SimSun"/>
              </w:rPr>
              <w:t>-1)</w:t>
            </w:r>
          </w:p>
        </w:tc>
        <w:tc>
          <w:tcPr>
            <w:tcW w:w="3372" w:type="dxa"/>
          </w:tcPr>
          <w:p w:rsidR="0065405C" w:rsidRPr="00B35848" w:rsidRDefault="0065405C" w:rsidP="0065405C">
            <w:pPr>
              <w:jc w:val="both"/>
              <w:rPr>
                <w:rFonts w:eastAsia="SimSun"/>
              </w:rPr>
            </w:pPr>
            <w:r w:rsidRPr="00B35848">
              <w:rPr>
                <w:rFonts w:eastAsia="SimSun"/>
              </w:rPr>
              <w:t>6 bits</w:t>
            </w:r>
          </w:p>
        </w:tc>
        <w:tc>
          <w:tcPr>
            <w:tcW w:w="3372" w:type="dxa"/>
            <w:vMerge/>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Zero pad</w:t>
            </w:r>
          </w:p>
        </w:tc>
        <w:tc>
          <w:tcPr>
            <w:tcW w:w="3372" w:type="dxa"/>
          </w:tcPr>
          <w:p w:rsidR="0065405C" w:rsidRPr="00B35848" w:rsidRDefault="0065405C" w:rsidP="0065405C">
            <w:pPr>
              <w:jc w:val="both"/>
              <w:rPr>
                <w:rFonts w:eastAsia="SimSun"/>
              </w:rPr>
            </w:pPr>
            <w:r>
              <w:rPr>
                <w:rFonts w:eastAsia="SimSun"/>
              </w:rPr>
              <w:t>4</w:t>
            </w:r>
            <w:r w:rsidRPr="00B35848">
              <w:rPr>
                <w:rFonts w:eastAsia="SimSun"/>
              </w:rPr>
              <w:t xml:space="preserve"> bits</w:t>
            </w:r>
          </w:p>
        </w:tc>
        <w:tc>
          <w:tcPr>
            <w:tcW w:w="3372" w:type="dxa"/>
          </w:tcPr>
          <w:p w:rsidR="0065405C" w:rsidRPr="00B35848" w:rsidRDefault="0065405C" w:rsidP="00D23764">
            <w:pPr>
              <w:jc w:val="both"/>
              <w:rPr>
                <w:rFonts w:eastAsia="SimSun"/>
              </w:rPr>
            </w:pPr>
            <w:r w:rsidRPr="00B35848">
              <w:rPr>
                <w:rFonts w:eastAsia="SimSun"/>
              </w:rPr>
              <w:t xml:space="preserve">Zero padding to make the DTP Feedback </w:t>
            </w:r>
            <w:r w:rsidR="00D23764">
              <w:rPr>
                <w:rFonts w:eastAsia="SimSun"/>
              </w:rPr>
              <w:t>e</w:t>
            </w:r>
            <w:r w:rsidRPr="00B35848">
              <w:rPr>
                <w:rFonts w:eastAsia="SimSun"/>
              </w:rPr>
              <w:t>lement length a multiple of 8 bits</w:t>
            </w:r>
          </w:p>
        </w:tc>
      </w:tr>
    </w:tbl>
    <w:p w:rsidR="0065405C" w:rsidRDefault="0065405C" w:rsidP="0065405C"/>
    <w:p w:rsidR="0065405C" w:rsidRDefault="0065405C" w:rsidP="0065405C">
      <w:r>
        <w:t>GroupPairIndex(</w:t>
      </w:r>
      <w:r w:rsidRPr="0088372C">
        <w:rPr>
          <w:i/>
        </w:rPr>
        <w:t>n</w:t>
      </w:r>
      <w:r>
        <w:t xml:space="preserve">) subfields for </w:t>
      </w:r>
      <w:r w:rsidRPr="0088372C">
        <w:rPr>
          <w:i/>
        </w:rPr>
        <w:t>n</w:t>
      </w:r>
      <w:r>
        <w:t>=0,1,..,</w:t>
      </w:r>
      <w:r w:rsidRPr="0088372C">
        <w:rPr>
          <w:i/>
        </w:rPr>
        <w:t>N</w:t>
      </w:r>
      <w:r w:rsidRPr="0088372C">
        <w:rPr>
          <w:i/>
          <w:vertAlign w:val="subscript"/>
        </w:rPr>
        <w:t>G</w:t>
      </w:r>
      <w:r w:rsidRPr="002500E1">
        <w:t>-1</w:t>
      </w:r>
      <w:r>
        <w:t xml:space="preserve">(where </w:t>
      </w:r>
      <w:r w:rsidRPr="00FC3FEC">
        <w:rPr>
          <w:i/>
        </w:rPr>
        <w:t>N</w:t>
      </w:r>
      <w:r w:rsidRPr="00FC3FEC">
        <w:rPr>
          <w:i/>
          <w:vertAlign w:val="subscript"/>
        </w:rPr>
        <w:t>G</w:t>
      </w:r>
      <w:r>
        <w:t xml:space="preserve">=42) indicate DTP groups which in turn determines how pairs of SQPSK symbols are mapped to OFDM tones when DTP is enabled, as described in </w:t>
      </w:r>
      <w:r w:rsidR="00BD151C">
        <w:fldChar w:fldCharType="begin"/>
      </w:r>
      <w:r w:rsidR="00BF23E6">
        <w:instrText xml:space="preserve"> REF _Ref251766478 \r \h </w:instrText>
      </w:r>
      <w:r w:rsidR="00BD151C">
        <w:fldChar w:fldCharType="separate"/>
      </w:r>
      <w:r w:rsidR="003E4210">
        <w:t>21.5.3.2.3.5.2</w:t>
      </w:r>
      <w:r w:rsidR="00BD151C">
        <w:fldChar w:fldCharType="end"/>
      </w:r>
      <w:r>
        <w:t>. Valid values of GroupPairIndex(</w:t>
      </w:r>
      <w:r>
        <w:rPr>
          <w:i/>
        </w:rPr>
        <w:t>n</w:t>
      </w:r>
      <w:r>
        <w:t xml:space="preserve">) are in the range of 0 to </w:t>
      </w:r>
      <w:r w:rsidRPr="0088372C">
        <w:rPr>
          <w:i/>
        </w:rPr>
        <w:t>N</w:t>
      </w:r>
      <w:r w:rsidRPr="0088372C">
        <w:rPr>
          <w:i/>
          <w:vertAlign w:val="subscript"/>
        </w:rPr>
        <w:t>G</w:t>
      </w:r>
      <w:r w:rsidRPr="002500E1">
        <w:t>-1</w:t>
      </w:r>
      <w:r>
        <w:t xml:space="preserve">. </w:t>
      </w:r>
      <w:r>
        <w:lastRenderedPageBreak/>
        <w:t>Furthermore valid values of GroupPairIndex(0), GroupPairIndex(</w:t>
      </w:r>
      <w:r w:rsidRPr="002500E1">
        <w:t>1</w:t>
      </w:r>
      <w:r>
        <w:t>),…,</w:t>
      </w:r>
      <w:r w:rsidRPr="002500E1">
        <w:t xml:space="preserve"> </w:t>
      </w:r>
      <w:r>
        <w:t>GroupPairIndex(</w:t>
      </w:r>
      <w:r>
        <w:rPr>
          <w:i/>
        </w:rPr>
        <w:t>N</w:t>
      </w:r>
      <w:r w:rsidRPr="002500E1">
        <w:rPr>
          <w:i/>
          <w:vertAlign w:val="subscript"/>
        </w:rPr>
        <w:t>G</w:t>
      </w:r>
      <w:r>
        <w:rPr>
          <w:i/>
        </w:rPr>
        <w:t>-1</w:t>
      </w:r>
      <w:r>
        <w:t xml:space="preserve">) are distinct and therefore represent a permutation of integers 0 to </w:t>
      </w:r>
      <w:r w:rsidRPr="0088372C">
        <w:rPr>
          <w:i/>
        </w:rPr>
        <w:t>N</w:t>
      </w:r>
      <w:r w:rsidRPr="0088372C">
        <w:rPr>
          <w:i/>
          <w:vertAlign w:val="subscript"/>
        </w:rPr>
        <w:t>G</w:t>
      </w:r>
      <w:r w:rsidRPr="002500E1">
        <w:t>-1</w:t>
      </w:r>
      <w:r>
        <w:t>.</w:t>
      </w:r>
      <w:r w:rsidR="00BE1F31">
        <w:t xml:space="preserve"> </w:t>
      </w:r>
    </w:p>
    <w:p w:rsidR="0065405C" w:rsidRDefault="0065405C" w:rsidP="0065405C"/>
    <w:p w:rsidR="0065405C" w:rsidRPr="002C6558" w:rsidRDefault="0065405C" w:rsidP="0065405C">
      <w:pPr>
        <w:outlineLvl w:val="0"/>
      </w:pPr>
      <w:r>
        <w:t>All</w:t>
      </w:r>
      <w:r w:rsidRPr="002C6558">
        <w:t xml:space="preserve"> numeric fields are encoded in unsigned binary, least significant bit first.</w:t>
      </w:r>
    </w:p>
    <w:p w:rsidR="0065405C" w:rsidRDefault="0065405C" w:rsidP="002E7191">
      <w:pPr>
        <w:autoSpaceDE w:val="0"/>
        <w:autoSpaceDN w:val="0"/>
        <w:adjustRightInd w:val="0"/>
        <w:rPr>
          <w:sz w:val="22"/>
        </w:rPr>
      </w:pPr>
    </w:p>
    <w:p w:rsidR="002B7DE3" w:rsidRPr="009448FC" w:rsidRDefault="002B7DE3" w:rsidP="003701DB">
      <w:pPr>
        <w:pStyle w:val="Heading4"/>
        <w:numPr>
          <w:ilvl w:val="3"/>
          <w:numId w:val="152"/>
        </w:numPr>
      </w:pPr>
      <w:bookmarkStart w:id="724" w:name="_Toc259716947"/>
      <w:r>
        <w:rPr>
          <w:lang w:eastAsia="ko-KR"/>
        </w:rPr>
        <w:t>Cluster Report element</w:t>
      </w:r>
      <w:bookmarkEnd w:id="724"/>
      <w:r w:rsidRPr="009448FC">
        <w:t xml:space="preserve"> </w:t>
      </w:r>
    </w:p>
    <w:p w:rsidR="001D49DB" w:rsidRDefault="001D49DB" w:rsidP="002E7191">
      <w:pPr>
        <w:autoSpaceDE w:val="0"/>
        <w:autoSpaceDN w:val="0"/>
        <w:adjustRightInd w:val="0"/>
        <w:rPr>
          <w:sz w:val="22"/>
        </w:rPr>
      </w:pPr>
    </w:p>
    <w:p w:rsidR="001D49DB" w:rsidRPr="00587B90" w:rsidRDefault="001D49DB" w:rsidP="001D49DB">
      <w:pPr>
        <w:widowControl w:val="0"/>
        <w:autoSpaceDE w:val="0"/>
        <w:autoSpaceDN w:val="0"/>
        <w:adjustRightInd w:val="0"/>
      </w:pPr>
      <w:r w:rsidRPr="00587B90">
        <w:t>The format of the Cluster Report element is shown in</w:t>
      </w:r>
      <w:r w:rsidR="004A49C3">
        <w:t xml:space="preserve"> </w:t>
      </w:r>
      <w:r w:rsidR="00BD151C">
        <w:fldChar w:fldCharType="begin"/>
      </w:r>
      <w:r w:rsidR="004A49C3">
        <w:instrText xml:space="preserve"> REF _Ref251506301 \h </w:instrText>
      </w:r>
      <w:r w:rsidR="00BD151C">
        <w:fldChar w:fldCharType="separate"/>
      </w:r>
      <w:r w:rsidR="003E4210">
        <w:t xml:space="preserve">Figure </w:t>
      </w:r>
      <w:r w:rsidR="003E4210">
        <w:rPr>
          <w:noProof/>
        </w:rPr>
        <w:t>62</w:t>
      </w:r>
      <w:r w:rsidR="00BD151C">
        <w:fldChar w:fldCharType="end"/>
      </w:r>
      <w:r w:rsidRPr="00587B90">
        <w:t>. The Cluster Report element is included in management action frames, such as the Announce and the Information Response frames, transmitted to the PCP/AP of the BSS.</w:t>
      </w:r>
    </w:p>
    <w:p w:rsidR="001D49DB" w:rsidRPr="00587B90" w:rsidRDefault="001D49DB" w:rsidP="001D49DB">
      <w:pPr>
        <w:widowControl w:val="0"/>
        <w:autoSpaceDE w:val="0"/>
        <w:autoSpaceDN w:val="0"/>
        <w:adjustRightInd w:val="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96"/>
        <w:gridCol w:w="1091"/>
        <w:gridCol w:w="896"/>
        <w:gridCol w:w="1239"/>
        <w:gridCol w:w="1544"/>
        <w:gridCol w:w="1613"/>
        <w:gridCol w:w="1554"/>
        <w:gridCol w:w="1283"/>
      </w:tblGrid>
      <w:tr w:rsidR="008B7C7C" w:rsidRPr="00587B90" w:rsidTr="004075AD">
        <w:trPr>
          <w:trHeight w:val="872"/>
          <w:jc w:val="center"/>
        </w:trPr>
        <w:tc>
          <w:tcPr>
            <w:tcW w:w="0" w:type="auto"/>
          </w:tcPr>
          <w:p w:rsidR="008B7C7C" w:rsidRPr="00587B90" w:rsidRDefault="008B7C7C" w:rsidP="00191018"/>
        </w:tc>
        <w:tc>
          <w:tcPr>
            <w:tcW w:w="0" w:type="auto"/>
          </w:tcPr>
          <w:p w:rsidR="008B7C7C" w:rsidRPr="00587B90" w:rsidRDefault="008B7C7C" w:rsidP="00191018">
            <w:r w:rsidRPr="00587B90">
              <w:t>Element ID</w:t>
            </w:r>
          </w:p>
        </w:tc>
        <w:tc>
          <w:tcPr>
            <w:tcW w:w="0" w:type="auto"/>
          </w:tcPr>
          <w:p w:rsidR="008B7C7C" w:rsidRPr="00587B90" w:rsidRDefault="008B7C7C" w:rsidP="00191018">
            <w:r w:rsidRPr="00587B90">
              <w:t>Length</w:t>
            </w:r>
          </w:p>
        </w:tc>
        <w:tc>
          <w:tcPr>
            <w:tcW w:w="0" w:type="auto"/>
          </w:tcPr>
          <w:p w:rsidR="008B7C7C" w:rsidRDefault="008B7C7C" w:rsidP="00191018">
            <w:r>
              <w:t>Cluster report control</w:t>
            </w:r>
          </w:p>
          <w:p w:rsidR="008B7C7C" w:rsidRPr="00587B90" w:rsidRDefault="008B7C7C" w:rsidP="00191018"/>
        </w:tc>
        <w:tc>
          <w:tcPr>
            <w:tcW w:w="0" w:type="auto"/>
          </w:tcPr>
          <w:p w:rsidR="008B7C7C" w:rsidRPr="00587B90" w:rsidRDefault="008B7C7C" w:rsidP="00191018">
            <w:r w:rsidRPr="00587B90">
              <w:t>Reference Timestamp</w:t>
            </w:r>
          </w:p>
        </w:tc>
        <w:tc>
          <w:tcPr>
            <w:tcW w:w="0" w:type="auto"/>
          </w:tcPr>
          <w:p w:rsidR="008B7C7C" w:rsidRPr="00587B90" w:rsidRDefault="008B7C7C" w:rsidP="00191018">
            <w:pPr>
              <w:autoSpaceDE w:val="0"/>
              <w:autoSpaceDN w:val="0"/>
              <w:adjustRightInd w:val="0"/>
            </w:pPr>
            <w:r w:rsidRPr="00587B90">
              <w:rPr>
                <w:rFonts w:ascii="TimesNewRomanPSMT" w:hAnsi="TimesNewRomanPSMT" w:cs="TimesNewRomanPSMT"/>
                <w:lang w:bidi="ar-SA"/>
              </w:rPr>
              <w:t>PCP/AP Clustering Control</w:t>
            </w:r>
          </w:p>
        </w:tc>
        <w:tc>
          <w:tcPr>
            <w:tcW w:w="0" w:type="auto"/>
          </w:tcPr>
          <w:p w:rsidR="008B7C7C" w:rsidRPr="00587B90" w:rsidRDefault="008B7C7C" w:rsidP="00191018">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Extended Schedule Element</w:t>
            </w:r>
          </w:p>
        </w:tc>
        <w:tc>
          <w:tcPr>
            <w:tcW w:w="0" w:type="auto"/>
          </w:tcPr>
          <w:p w:rsidR="008B7C7C" w:rsidRPr="00587B90" w:rsidRDefault="008B7C7C" w:rsidP="00191018">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TSCONST</w:t>
            </w:r>
          </w:p>
        </w:tc>
      </w:tr>
      <w:tr w:rsidR="008B7C7C" w:rsidRPr="00587B90" w:rsidTr="008B7C7C">
        <w:trPr>
          <w:jc w:val="center"/>
        </w:trPr>
        <w:tc>
          <w:tcPr>
            <w:tcW w:w="0" w:type="auto"/>
          </w:tcPr>
          <w:p w:rsidR="008B7C7C" w:rsidRPr="00587B90" w:rsidRDefault="008B7C7C" w:rsidP="00191018">
            <w:r w:rsidRPr="00587B90">
              <w:t>Octets:</w:t>
            </w:r>
          </w:p>
        </w:tc>
        <w:tc>
          <w:tcPr>
            <w:tcW w:w="0" w:type="auto"/>
          </w:tcPr>
          <w:p w:rsidR="008B7C7C" w:rsidRPr="00587B90" w:rsidRDefault="008B7C7C" w:rsidP="00191018">
            <w:pPr>
              <w:jc w:val="center"/>
            </w:pPr>
            <w:r w:rsidRPr="00587B90">
              <w:t>1</w:t>
            </w:r>
          </w:p>
        </w:tc>
        <w:tc>
          <w:tcPr>
            <w:tcW w:w="0" w:type="auto"/>
          </w:tcPr>
          <w:p w:rsidR="008B7C7C" w:rsidRPr="00587B90" w:rsidRDefault="008B7C7C" w:rsidP="00191018">
            <w:pPr>
              <w:jc w:val="center"/>
            </w:pPr>
            <w:r w:rsidRPr="00587B90">
              <w:t>1</w:t>
            </w:r>
          </w:p>
        </w:tc>
        <w:tc>
          <w:tcPr>
            <w:tcW w:w="0" w:type="auto"/>
          </w:tcPr>
          <w:p w:rsidR="008B7C7C" w:rsidRPr="00587B90" w:rsidRDefault="008B7C7C" w:rsidP="00191018">
            <w:pPr>
              <w:jc w:val="center"/>
            </w:pPr>
            <w:r>
              <w:t>1</w:t>
            </w:r>
          </w:p>
        </w:tc>
        <w:tc>
          <w:tcPr>
            <w:tcW w:w="0" w:type="auto"/>
          </w:tcPr>
          <w:p w:rsidR="008B7C7C" w:rsidRPr="00587B90" w:rsidRDefault="008B7C7C" w:rsidP="00191018">
            <w:pPr>
              <w:jc w:val="center"/>
            </w:pPr>
            <w:r w:rsidRPr="00587B90">
              <w:t>4</w:t>
            </w:r>
          </w:p>
        </w:tc>
        <w:tc>
          <w:tcPr>
            <w:tcW w:w="0" w:type="auto"/>
          </w:tcPr>
          <w:p w:rsidR="008B7C7C" w:rsidRPr="00587B90" w:rsidRDefault="008B7C7C" w:rsidP="00191018">
            <w:pPr>
              <w:jc w:val="center"/>
            </w:pPr>
            <w:r w:rsidRPr="00587B90">
              <w:t>8</w:t>
            </w:r>
          </w:p>
        </w:tc>
        <w:tc>
          <w:tcPr>
            <w:tcW w:w="0" w:type="auto"/>
          </w:tcPr>
          <w:p w:rsidR="008B7C7C" w:rsidRPr="00587B90" w:rsidRDefault="008B7C7C" w:rsidP="00191018">
            <w:pPr>
              <w:jc w:val="center"/>
            </w:pPr>
            <w:r w:rsidRPr="00587B90">
              <w:t>15-255</w:t>
            </w:r>
          </w:p>
        </w:tc>
        <w:tc>
          <w:tcPr>
            <w:tcW w:w="0" w:type="auto"/>
          </w:tcPr>
          <w:p w:rsidR="008B7C7C" w:rsidRPr="00587B90" w:rsidRDefault="008B7C7C" w:rsidP="00191018">
            <w:pPr>
              <w:jc w:val="center"/>
            </w:pPr>
            <w:r w:rsidRPr="00587B90">
              <w:t>Variable</w:t>
            </w:r>
          </w:p>
        </w:tc>
      </w:tr>
    </w:tbl>
    <w:p w:rsidR="004A49C3" w:rsidRDefault="004A49C3" w:rsidP="004A49C3">
      <w:pPr>
        <w:pStyle w:val="Caption"/>
      </w:pPr>
      <w:bookmarkStart w:id="725" w:name="_Ref251506301"/>
      <w:bookmarkStart w:id="726" w:name="_Toc259717494"/>
      <w:bookmarkStart w:id="727" w:name="_Toc250669672"/>
      <w:r>
        <w:t xml:space="preserve">Figure </w:t>
      </w:r>
      <w:r w:rsidR="00BD151C">
        <w:fldChar w:fldCharType="begin"/>
      </w:r>
      <w:r w:rsidR="00801316">
        <w:instrText xml:space="preserve"> SEQ Figure \* ARABIC </w:instrText>
      </w:r>
      <w:r w:rsidR="00BD151C">
        <w:fldChar w:fldCharType="separate"/>
      </w:r>
      <w:r w:rsidR="003E4210">
        <w:rPr>
          <w:noProof/>
        </w:rPr>
        <w:t>62</w:t>
      </w:r>
      <w:r w:rsidR="00BD151C">
        <w:fldChar w:fldCharType="end"/>
      </w:r>
      <w:bookmarkEnd w:id="725"/>
      <w:r>
        <w:t xml:space="preserve"> – Cluster Report element</w:t>
      </w:r>
      <w:bookmarkEnd w:id="726"/>
    </w:p>
    <w:bookmarkEnd w:id="727"/>
    <w:p w:rsidR="008A4838" w:rsidRDefault="00BE5866" w:rsidP="00F543BC">
      <w:r>
        <w:t xml:space="preserve"> </w:t>
      </w:r>
    </w:p>
    <w:p w:rsidR="00F543BC" w:rsidRDefault="00F543BC" w:rsidP="00106EF4">
      <w:r>
        <w:t xml:space="preserve">The Cluster report control field is defined in </w:t>
      </w:r>
      <w:r w:rsidR="00BD151C">
        <w:fldChar w:fldCharType="begin"/>
      </w:r>
      <w:r w:rsidR="00106EF4">
        <w:instrText xml:space="preserve"> REF _Ref256195225 \h </w:instrText>
      </w:r>
      <w:r w:rsidR="00BD151C">
        <w:fldChar w:fldCharType="separate"/>
      </w:r>
      <w:r w:rsidR="003E4210">
        <w:t xml:space="preserve">Figure </w:t>
      </w:r>
      <w:r w:rsidR="003E4210">
        <w:rPr>
          <w:noProof/>
        </w:rPr>
        <w:t>63</w:t>
      </w:r>
      <w:r w:rsidR="00BD151C">
        <w:fldChar w:fldCharType="end"/>
      </w:r>
      <w:r>
        <w:t>.</w:t>
      </w:r>
    </w:p>
    <w:p w:rsidR="00F543BC" w:rsidRDefault="00F543BC" w:rsidP="00F543B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70"/>
        <w:gridCol w:w="1663"/>
        <w:gridCol w:w="1543"/>
        <w:gridCol w:w="1849"/>
        <w:gridCol w:w="2036"/>
        <w:gridCol w:w="1109"/>
      </w:tblGrid>
      <w:tr w:rsidR="00F543BC" w:rsidRPr="00587B90" w:rsidTr="00D02A7A">
        <w:trPr>
          <w:jc w:val="center"/>
        </w:trPr>
        <w:tc>
          <w:tcPr>
            <w:tcW w:w="0" w:type="auto"/>
          </w:tcPr>
          <w:p w:rsidR="00F543BC" w:rsidRPr="00587B90" w:rsidRDefault="00F543BC" w:rsidP="00D02A7A"/>
        </w:tc>
        <w:tc>
          <w:tcPr>
            <w:tcW w:w="0" w:type="auto"/>
          </w:tcPr>
          <w:p w:rsidR="00F543BC" w:rsidRPr="00587B90" w:rsidRDefault="00F543BC" w:rsidP="00D02A7A">
            <w:r>
              <w:t>Cluster request</w:t>
            </w:r>
          </w:p>
        </w:tc>
        <w:tc>
          <w:tcPr>
            <w:tcW w:w="0" w:type="auto"/>
          </w:tcPr>
          <w:p w:rsidR="00F543BC" w:rsidRPr="00587B90" w:rsidRDefault="00F543BC" w:rsidP="00D02A7A">
            <w:r>
              <w:t>Cluster report</w:t>
            </w:r>
          </w:p>
        </w:tc>
        <w:tc>
          <w:tcPr>
            <w:tcW w:w="0" w:type="auto"/>
          </w:tcPr>
          <w:p w:rsidR="00F543BC" w:rsidRPr="00587B90" w:rsidRDefault="00F543BC" w:rsidP="00D02A7A">
            <w:r>
              <w:t>Schedule present</w:t>
            </w:r>
          </w:p>
        </w:tc>
        <w:tc>
          <w:tcPr>
            <w:tcW w:w="0" w:type="auto"/>
          </w:tcPr>
          <w:p w:rsidR="00F543BC" w:rsidRPr="00587B90" w:rsidRDefault="00F543BC" w:rsidP="00D02A7A">
            <w:r>
              <w:t>TSCONST present</w:t>
            </w:r>
          </w:p>
        </w:tc>
        <w:tc>
          <w:tcPr>
            <w:tcW w:w="0" w:type="auto"/>
          </w:tcPr>
          <w:p w:rsidR="00F543BC" w:rsidRDefault="00F543BC" w:rsidP="00D02A7A">
            <w:r>
              <w:t>Reserved</w:t>
            </w:r>
          </w:p>
        </w:tc>
      </w:tr>
      <w:tr w:rsidR="00F543BC" w:rsidRPr="00587B90" w:rsidTr="00D02A7A">
        <w:trPr>
          <w:jc w:val="center"/>
        </w:trPr>
        <w:tc>
          <w:tcPr>
            <w:tcW w:w="0" w:type="auto"/>
          </w:tcPr>
          <w:p w:rsidR="00F543BC" w:rsidRPr="00587B90" w:rsidRDefault="00F543BC" w:rsidP="00D02A7A">
            <w:r>
              <w:t>Bits</w:t>
            </w:r>
            <w:r w:rsidRPr="00587B90">
              <w:t>:</w:t>
            </w:r>
          </w:p>
        </w:tc>
        <w:tc>
          <w:tcPr>
            <w:tcW w:w="0" w:type="auto"/>
          </w:tcPr>
          <w:p w:rsidR="00F543BC" w:rsidRPr="00587B90" w:rsidRDefault="00F543BC" w:rsidP="00D02A7A">
            <w:pPr>
              <w:jc w:val="center"/>
            </w:pPr>
            <w:r w:rsidRPr="00587B90">
              <w:t>1</w:t>
            </w:r>
          </w:p>
        </w:tc>
        <w:tc>
          <w:tcPr>
            <w:tcW w:w="0" w:type="auto"/>
          </w:tcPr>
          <w:p w:rsidR="00F543BC" w:rsidRPr="00587B90" w:rsidRDefault="00F543BC" w:rsidP="00D02A7A">
            <w:pPr>
              <w:jc w:val="center"/>
            </w:pPr>
            <w:r w:rsidRPr="00587B90">
              <w:t>1</w:t>
            </w:r>
          </w:p>
        </w:tc>
        <w:tc>
          <w:tcPr>
            <w:tcW w:w="0" w:type="auto"/>
          </w:tcPr>
          <w:p w:rsidR="00F543BC" w:rsidRPr="00587B90" w:rsidRDefault="00F543BC" w:rsidP="00D02A7A">
            <w:pPr>
              <w:jc w:val="center"/>
            </w:pPr>
            <w:r>
              <w:t>1</w:t>
            </w:r>
          </w:p>
        </w:tc>
        <w:tc>
          <w:tcPr>
            <w:tcW w:w="0" w:type="auto"/>
          </w:tcPr>
          <w:p w:rsidR="00F543BC" w:rsidRPr="00587B90" w:rsidRDefault="00F543BC" w:rsidP="00D02A7A">
            <w:pPr>
              <w:jc w:val="center"/>
            </w:pPr>
            <w:r>
              <w:t>1</w:t>
            </w:r>
          </w:p>
        </w:tc>
        <w:tc>
          <w:tcPr>
            <w:tcW w:w="0" w:type="auto"/>
          </w:tcPr>
          <w:p w:rsidR="00F543BC" w:rsidRDefault="00F543BC" w:rsidP="00D02A7A">
            <w:pPr>
              <w:jc w:val="center"/>
            </w:pPr>
            <w:r>
              <w:t>4</w:t>
            </w:r>
          </w:p>
        </w:tc>
      </w:tr>
    </w:tbl>
    <w:p w:rsidR="00F543BC" w:rsidRDefault="00F543BC" w:rsidP="00F543BC">
      <w:pPr>
        <w:pStyle w:val="Caption"/>
      </w:pPr>
      <w:bookmarkStart w:id="728" w:name="_Ref256195225"/>
      <w:bookmarkStart w:id="729" w:name="_Toc259717495"/>
      <w:r>
        <w:t xml:space="preserve">Figure </w:t>
      </w:r>
      <w:r w:rsidR="00BD151C">
        <w:fldChar w:fldCharType="begin"/>
      </w:r>
      <w:r>
        <w:instrText xml:space="preserve"> SEQ Figure \* ARABIC </w:instrText>
      </w:r>
      <w:r w:rsidR="00BD151C">
        <w:fldChar w:fldCharType="separate"/>
      </w:r>
      <w:r w:rsidR="003E4210">
        <w:rPr>
          <w:noProof/>
        </w:rPr>
        <w:t>63</w:t>
      </w:r>
      <w:r w:rsidR="00BD151C">
        <w:fldChar w:fldCharType="end"/>
      </w:r>
      <w:bookmarkEnd w:id="728"/>
      <w:r>
        <w:t xml:space="preserve"> – Cluster report control field</w:t>
      </w:r>
      <w:bookmarkEnd w:id="729"/>
    </w:p>
    <w:p w:rsidR="00F543BC" w:rsidRDefault="00F543BC" w:rsidP="00F543BC"/>
    <w:p w:rsidR="00F543BC" w:rsidRDefault="00F543BC" w:rsidP="00F543BC">
      <w:r>
        <w:t>The Cluster request subfield is set to one to indicate that the STA is requesting the PCP/AP to start or continue PCP/AP clustering (</w:t>
      </w:r>
      <w:r w:rsidR="00BD151C">
        <w:fldChar w:fldCharType="begin"/>
      </w:r>
      <w:r w:rsidR="00A4352C">
        <w:instrText xml:space="preserve"> REF _Ref246666269 \r \h </w:instrText>
      </w:r>
      <w:r w:rsidR="00BD151C">
        <w:fldChar w:fldCharType="separate"/>
      </w:r>
      <w:r w:rsidR="003E4210">
        <w:t>9.24</w:t>
      </w:r>
      <w:r w:rsidR="00BD151C">
        <w:fldChar w:fldCharType="end"/>
      </w:r>
      <w:r>
        <w:t>). This field is ignored when set to zero.</w:t>
      </w:r>
    </w:p>
    <w:p w:rsidR="00F543BC" w:rsidRDefault="00F543BC" w:rsidP="00F543BC"/>
    <w:p w:rsidR="00F543BC" w:rsidRDefault="00F543BC" w:rsidP="00F543BC">
      <w:r>
        <w:t>The Cluster report subfield is set to one to indicate that this element contains a cluster report. If this subfield is set to one, the Reference Timestamp and PCP/AP Clustering Control fields are present in this element. Otherwise if the Cluster report subfield is set to zero, none of the Reference Timestamp, PCP/AP Clustering Control, Extended Schedule Element and TSCONST fields are present in this element.</w:t>
      </w:r>
    </w:p>
    <w:p w:rsidR="00F543BC" w:rsidRDefault="00F543BC" w:rsidP="00F543BC"/>
    <w:p w:rsidR="00F543BC" w:rsidRDefault="00F543BC" w:rsidP="00F543BC">
      <w:r>
        <w:t xml:space="preserve">The Schedule present subfield is valid only if the Cluster report subfield is set to one, otherwise it is ignored. The Schedule present subfield is set to one to indicate that the Extended Schedule Element field is present in this element. Otherwise, the Extended Schedule Element field is not present in this element. </w:t>
      </w:r>
    </w:p>
    <w:p w:rsidR="00F543BC" w:rsidRDefault="00F543BC" w:rsidP="00F543BC"/>
    <w:p w:rsidR="00F543BC" w:rsidRDefault="00F543BC" w:rsidP="00F543BC">
      <w:r>
        <w:t>The TSCONST present subfield is valid only if the Cluster report subfield is set to one, otherwise it is ignored. The TSCONST present subfield is set to one to indicate that the TSCONST field is present in this element. Otherwise, the TSCONST field is not present in this element.</w:t>
      </w:r>
      <w:r w:rsidR="00BE5866">
        <w:t xml:space="preserve"> </w:t>
      </w:r>
    </w:p>
    <w:p w:rsidR="00F543BC" w:rsidRPr="00587B90" w:rsidRDefault="00F543BC" w:rsidP="001D49DB">
      <w:pPr>
        <w:widowControl w:val="0"/>
        <w:autoSpaceDE w:val="0"/>
        <w:autoSpaceDN w:val="0"/>
        <w:adjustRightInd w:val="0"/>
        <w:outlineLvl w:val="0"/>
      </w:pPr>
    </w:p>
    <w:p w:rsidR="001D49DB" w:rsidRPr="00587B90" w:rsidRDefault="001D49DB" w:rsidP="001D49DB">
      <w:pPr>
        <w:autoSpaceDE w:val="0"/>
        <w:autoSpaceDN w:val="0"/>
        <w:adjustRightInd w:val="0"/>
        <w:rPr>
          <w:rFonts w:ascii="TimesNewRomanPSMT" w:hAnsi="TimesNewRomanPSMT"/>
        </w:rPr>
      </w:pPr>
      <w:r w:rsidRPr="00587B90">
        <w:rPr>
          <w:rFonts w:ascii="TimesNewRomanPSMT" w:hAnsi="TimesNewRomanPSMT"/>
        </w:rPr>
        <w:t xml:space="preserve">The Reference Timestamp field contains the lower four octets of the TSF timer value sampled at the instant that a STA’s MAC received a mmWave Beacon from a PCP/AP different than the PCP/AP of the BSS the STA participates, for which the </w:t>
      </w:r>
      <w:r w:rsidRPr="00587B90">
        <w:rPr>
          <w:rFonts w:ascii="TimesNewRomanPSMT" w:hAnsi="TimesNewRomanPSMT" w:cs="TimesNewRomanPSMT"/>
          <w:lang w:bidi="ar-SA"/>
        </w:rPr>
        <w:t xml:space="preserve">PCP/AP Clustering Control field is included in the </w:t>
      </w:r>
      <w:r w:rsidRPr="00587B90">
        <w:rPr>
          <w:rFonts w:ascii="TimesNewRomanPSMT" w:hAnsi="TimesNewRomanPSMT" w:cs="TimesNewRomanPSMT"/>
          <w:lang w:bidi="ar-SA"/>
        </w:rPr>
        <w:lastRenderedPageBreak/>
        <w:t>received mmWave Beacon frame, and for which the value of the Cluster ID field within the PCP/AP Clustering Control field is different than the MAC address of the STA’s PCP/AP</w:t>
      </w:r>
      <w:r w:rsidRPr="00587B90">
        <w:rPr>
          <w:rFonts w:ascii="TimesNewRomanPSMT" w:hAnsi="TimesNewRomanPSMT"/>
        </w:rPr>
        <w:t>.</w:t>
      </w:r>
    </w:p>
    <w:p w:rsidR="001D49DB" w:rsidRPr="00587B90" w:rsidRDefault="001D49DB" w:rsidP="001D49DB">
      <w:pPr>
        <w:autoSpaceDE w:val="0"/>
        <w:autoSpaceDN w:val="0"/>
        <w:adjustRightInd w:val="0"/>
        <w:rPr>
          <w:rFonts w:ascii="TimesNewRomanPSMT" w:hAnsi="TimesNewRomanPSMT"/>
        </w:rPr>
      </w:pPr>
    </w:p>
    <w:p w:rsidR="001D49DB" w:rsidRPr="00587B90" w:rsidRDefault="001D49DB" w:rsidP="001D49DB">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 xml:space="preserve">The PCP/AP Clustering Control is defined in </w:t>
      </w:r>
      <w:r w:rsidR="00BD151C">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_Ref236726090 \r \h </w:instrText>
      </w:r>
      <w:r w:rsidR="00BD151C">
        <w:rPr>
          <w:rFonts w:ascii="TimesNewRomanPSMT" w:hAnsi="TimesNewRomanPSMT" w:cs="TimesNewRomanPSMT"/>
          <w:lang w:bidi="ar-SA"/>
        </w:rPr>
      </w:r>
      <w:r w:rsidR="00BD151C">
        <w:rPr>
          <w:rFonts w:ascii="TimesNewRomanPSMT" w:hAnsi="TimesNewRomanPSMT" w:cs="TimesNewRomanPSMT"/>
          <w:lang w:bidi="ar-SA"/>
        </w:rPr>
        <w:fldChar w:fldCharType="separate"/>
      </w:r>
      <w:r w:rsidR="003E4210">
        <w:rPr>
          <w:rFonts w:ascii="TimesNewRomanPSMT" w:hAnsi="TimesNewRomanPSMT" w:cs="TimesNewRomanPSMT"/>
          <w:lang w:bidi="ar-SA"/>
        </w:rPr>
        <w:t>7.2.4.1</w:t>
      </w:r>
      <w:r w:rsidR="00BD151C">
        <w:rPr>
          <w:rFonts w:ascii="TimesNewRomanPSMT" w:hAnsi="TimesNewRomanPSMT" w:cs="TimesNewRomanPSMT"/>
          <w:lang w:bidi="ar-SA"/>
        </w:rPr>
        <w:fldChar w:fldCharType="end"/>
      </w:r>
      <w:r w:rsidRPr="00587B90">
        <w:rPr>
          <w:rFonts w:ascii="TimesNewRomanPSMT" w:hAnsi="TimesNewRomanPSMT" w:cs="TimesNewRomanPSMT"/>
          <w:lang w:bidi="ar-SA"/>
        </w:rPr>
        <w:t>, and contains the PCP/AP Clustering Control received in the mmWave Beacon that generated this report.</w:t>
      </w:r>
    </w:p>
    <w:p w:rsidR="001D49DB" w:rsidRPr="00587B90" w:rsidRDefault="001D49DB" w:rsidP="001D49DB">
      <w:pPr>
        <w:autoSpaceDE w:val="0"/>
        <w:autoSpaceDN w:val="0"/>
        <w:adjustRightInd w:val="0"/>
        <w:jc w:val="both"/>
      </w:pPr>
    </w:p>
    <w:p w:rsidR="001D49DB" w:rsidRPr="00587B90" w:rsidRDefault="001D49DB" w:rsidP="001D49DB">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 xml:space="preserve">The Extended Schedule Element field is defined in </w:t>
      </w:r>
      <w:r w:rsidR="00BD151C">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_Ref244244225 \r \h </w:instrText>
      </w:r>
      <w:r w:rsidR="00BD151C">
        <w:rPr>
          <w:rFonts w:ascii="TimesNewRomanPSMT" w:hAnsi="TimesNewRomanPSMT" w:cs="TimesNewRomanPSMT"/>
          <w:lang w:bidi="ar-SA"/>
        </w:rPr>
      </w:r>
      <w:r w:rsidR="00BD151C">
        <w:rPr>
          <w:rFonts w:ascii="TimesNewRomanPSMT" w:hAnsi="TimesNewRomanPSMT" w:cs="TimesNewRomanPSMT"/>
          <w:lang w:bidi="ar-SA"/>
        </w:rPr>
        <w:fldChar w:fldCharType="separate"/>
      </w:r>
      <w:r w:rsidR="003E4210">
        <w:rPr>
          <w:rFonts w:ascii="TimesNewRomanPSMT" w:hAnsi="TimesNewRomanPSMT" w:cs="TimesNewRomanPSMT"/>
          <w:lang w:bidi="ar-SA"/>
        </w:rPr>
        <w:t>7.3.2.95</w:t>
      </w:r>
      <w:r w:rsidR="00BD151C">
        <w:rPr>
          <w:rFonts w:ascii="TimesNewRomanPSMT" w:hAnsi="TimesNewRomanPSMT" w:cs="TimesNewRomanPSMT"/>
          <w:lang w:bidi="ar-SA"/>
        </w:rPr>
        <w:fldChar w:fldCharType="end"/>
      </w:r>
      <w:r w:rsidRPr="00587B90">
        <w:rPr>
          <w:rFonts w:ascii="TimesNewRomanPSMT" w:hAnsi="TimesNewRomanPSMT" w:cs="TimesNewRomanPSMT"/>
          <w:lang w:bidi="ar-SA"/>
        </w:rPr>
        <w:t>, and contains the Extended Schedule element received in the mmWave Beacon that generated this report. If an Extended Schedule element is not present in the received mmWave Beacon, this field is set to all zeros.</w:t>
      </w:r>
    </w:p>
    <w:p w:rsidR="001D49DB" w:rsidRPr="00587B90" w:rsidRDefault="001D49DB" w:rsidP="001D49DB">
      <w:pPr>
        <w:autoSpaceDE w:val="0"/>
        <w:autoSpaceDN w:val="0"/>
        <w:adjustRightInd w:val="0"/>
        <w:jc w:val="both"/>
      </w:pPr>
    </w:p>
    <w:p w:rsidR="001D49DB" w:rsidRDefault="001D49DB" w:rsidP="001D49DB">
      <w:pPr>
        <w:autoSpaceDE w:val="0"/>
        <w:autoSpaceDN w:val="0"/>
        <w:adjustRightInd w:val="0"/>
        <w:rPr>
          <w:sz w:val="22"/>
        </w:rPr>
      </w:pPr>
      <w:r w:rsidRPr="00587B90">
        <w:rPr>
          <w:lang w:bidi="ar-SA"/>
        </w:rPr>
        <w:t xml:space="preserve">The TS Scheduling Constraint (TSCONST) field is defined in </w:t>
      </w:r>
      <w:r w:rsidR="00BD151C">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_Ref251506373 \r \h </w:instrText>
      </w:r>
      <w:r w:rsidR="00BD151C">
        <w:rPr>
          <w:rFonts w:ascii="TimesNewRomanPSMT" w:hAnsi="TimesNewRomanPSMT" w:cs="TimesNewRomanPSMT"/>
          <w:lang w:bidi="ar-SA"/>
        </w:rPr>
      </w:r>
      <w:r w:rsidR="00BD151C">
        <w:rPr>
          <w:rFonts w:ascii="TimesNewRomanPSMT" w:hAnsi="TimesNewRomanPSMT" w:cs="TimesNewRomanPSMT"/>
          <w:lang w:bidi="ar-SA"/>
        </w:rPr>
        <w:fldChar w:fldCharType="separate"/>
      </w:r>
      <w:r w:rsidR="003E4210">
        <w:rPr>
          <w:rFonts w:ascii="TimesNewRomanPSMT" w:hAnsi="TimesNewRomanPSMT" w:cs="TimesNewRomanPSMT"/>
          <w:lang w:bidi="ar-SA"/>
        </w:rPr>
        <w:t>7.3.2.97</w:t>
      </w:r>
      <w:r w:rsidR="00BD151C">
        <w:rPr>
          <w:rFonts w:ascii="TimesNewRomanPSMT" w:hAnsi="TimesNewRomanPSMT" w:cs="TimesNewRomanPSMT"/>
          <w:lang w:bidi="ar-SA"/>
        </w:rPr>
        <w:fldChar w:fldCharType="end"/>
      </w:r>
      <w:r w:rsidRPr="00587B90">
        <w:rPr>
          <w:lang w:bidi="ar-SA"/>
        </w:rPr>
        <w:t xml:space="preserve"> and specifies periods of time with respect to the TBTT of the BI of the BSS the STA participates where the STA experiences poor channel conditions, such as due to interference.</w:t>
      </w:r>
    </w:p>
    <w:p w:rsidR="001D49DB" w:rsidRDefault="001D49DB" w:rsidP="002E7191">
      <w:pPr>
        <w:autoSpaceDE w:val="0"/>
        <w:autoSpaceDN w:val="0"/>
        <w:adjustRightInd w:val="0"/>
        <w:rPr>
          <w:lang w:bidi="ar-SA"/>
        </w:rPr>
      </w:pPr>
    </w:p>
    <w:p w:rsidR="00C94205" w:rsidRPr="009448FC" w:rsidRDefault="00C94205" w:rsidP="00C94205">
      <w:pPr>
        <w:pStyle w:val="Heading4"/>
        <w:numPr>
          <w:ilvl w:val="3"/>
          <w:numId w:val="152"/>
        </w:numPr>
      </w:pPr>
      <w:bookmarkStart w:id="730" w:name="_Ref259712244"/>
      <w:bookmarkStart w:id="731" w:name="_Ref259712245"/>
      <w:bookmarkStart w:id="732" w:name="_Toc259716948"/>
      <w:r>
        <w:rPr>
          <w:lang w:eastAsia="ko-KR"/>
        </w:rPr>
        <w:t>Relay Capabilities element</w:t>
      </w:r>
      <w:bookmarkEnd w:id="730"/>
      <w:bookmarkEnd w:id="731"/>
      <w:bookmarkEnd w:id="732"/>
      <w:r w:rsidRPr="009448FC">
        <w:t xml:space="preserve"> </w:t>
      </w:r>
    </w:p>
    <w:p w:rsidR="00C94205" w:rsidRDefault="00C94205" w:rsidP="002E7191">
      <w:pPr>
        <w:autoSpaceDE w:val="0"/>
        <w:autoSpaceDN w:val="0"/>
        <w:adjustRightInd w:val="0"/>
        <w:rPr>
          <w:lang w:bidi="ar-SA"/>
        </w:rPr>
      </w:pPr>
    </w:p>
    <w:p w:rsidR="00C94205" w:rsidRPr="00C94205" w:rsidRDefault="00C94205" w:rsidP="00C94205">
      <w:pPr>
        <w:autoSpaceDE w:val="0"/>
        <w:autoSpaceDN w:val="0"/>
        <w:adjustRightInd w:val="0"/>
        <w:rPr>
          <w:lang w:bidi="ar-SA"/>
        </w:rPr>
      </w:pPr>
      <w:r w:rsidRPr="00C94205">
        <w:rPr>
          <w:lang w:bidi="ar-SA"/>
        </w:rPr>
        <w:t>A STA which intends to participate in relay operation advertizes its capabilities through the Relay Capabilities element. The Relay Capabilities element is defined in</w:t>
      </w:r>
      <w:r>
        <w:rPr>
          <w:lang w:bidi="ar-SA"/>
        </w:rPr>
        <w:t xml:space="preserve"> </w:t>
      </w:r>
      <w:r w:rsidR="00BD151C">
        <w:rPr>
          <w:lang w:bidi="ar-SA"/>
        </w:rPr>
        <w:fldChar w:fldCharType="begin"/>
      </w:r>
      <w:r>
        <w:rPr>
          <w:lang w:bidi="ar-SA"/>
        </w:rPr>
        <w:instrText xml:space="preserve"> REF _Ref259708036 \h </w:instrText>
      </w:r>
      <w:r w:rsidR="00BD151C">
        <w:rPr>
          <w:lang w:bidi="ar-SA"/>
        </w:rPr>
      </w:r>
      <w:r w:rsidR="00BD151C">
        <w:rPr>
          <w:lang w:bidi="ar-SA"/>
        </w:rPr>
        <w:fldChar w:fldCharType="separate"/>
      </w:r>
      <w:r w:rsidR="003E4210">
        <w:t xml:space="preserve">Figure </w:t>
      </w:r>
      <w:r w:rsidR="003E4210">
        <w:rPr>
          <w:noProof/>
        </w:rPr>
        <w:t>64</w:t>
      </w:r>
      <w:r w:rsidR="00BD151C">
        <w:rPr>
          <w:lang w:bidi="ar-SA"/>
        </w:rPr>
        <w:fldChar w:fldCharType="end"/>
      </w:r>
      <w:r w:rsidRPr="00C94205">
        <w:rPr>
          <w:lang w:bidi="ar-SA"/>
        </w:rPr>
        <w:t xml:space="preserve">. </w:t>
      </w:r>
    </w:p>
    <w:p w:rsidR="00C94205" w:rsidRPr="00E55F0A" w:rsidRDefault="00C94205" w:rsidP="00C94205">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840"/>
        <w:gridCol w:w="2257"/>
      </w:tblGrid>
      <w:tr w:rsidR="00C94205" w:rsidRPr="001D7F82" w:rsidTr="00C94205">
        <w:trPr>
          <w:jc w:val="center"/>
        </w:trPr>
        <w:tc>
          <w:tcPr>
            <w:tcW w:w="0" w:type="auto"/>
          </w:tcPr>
          <w:p w:rsidR="00C94205" w:rsidRPr="00DA36D4" w:rsidRDefault="00C94205" w:rsidP="00C94205">
            <w:pPr>
              <w:rPr>
                <w:rFonts w:eastAsia="PMingLiU"/>
              </w:rPr>
            </w:pPr>
            <w:r w:rsidRPr="00DA36D4">
              <w:rPr>
                <w:rFonts w:eastAsia="PMingLiU"/>
                <w:sz w:val="22"/>
                <w:szCs w:val="22"/>
              </w:rPr>
              <w:t>Element  ID</w:t>
            </w:r>
          </w:p>
        </w:tc>
        <w:tc>
          <w:tcPr>
            <w:tcW w:w="0" w:type="auto"/>
          </w:tcPr>
          <w:p w:rsidR="00C94205" w:rsidRPr="00DA36D4" w:rsidRDefault="00C94205" w:rsidP="00C94205">
            <w:pPr>
              <w:rPr>
                <w:rFonts w:eastAsia="PMingLiU"/>
              </w:rPr>
            </w:pPr>
            <w:r w:rsidRPr="00DA36D4">
              <w:rPr>
                <w:rFonts w:eastAsia="PMingLiU"/>
                <w:sz w:val="22"/>
                <w:szCs w:val="22"/>
              </w:rPr>
              <w:t>Length</w:t>
            </w:r>
          </w:p>
        </w:tc>
        <w:tc>
          <w:tcPr>
            <w:tcW w:w="0" w:type="auto"/>
          </w:tcPr>
          <w:p w:rsidR="00C94205" w:rsidRPr="00DA36D4" w:rsidRDefault="00C94205" w:rsidP="00C94205">
            <w:pPr>
              <w:rPr>
                <w:rFonts w:eastAsia="PMingLiU"/>
              </w:rPr>
            </w:pPr>
            <w:r w:rsidRPr="00DA36D4">
              <w:rPr>
                <w:rFonts w:eastAsia="PMingLiU"/>
                <w:sz w:val="22"/>
                <w:szCs w:val="22"/>
              </w:rPr>
              <w:t>Relay Capabilities Info</w:t>
            </w:r>
          </w:p>
        </w:tc>
      </w:tr>
      <w:tr w:rsidR="00C94205" w:rsidRPr="001D7F82" w:rsidTr="00C94205">
        <w:trPr>
          <w:jc w:val="center"/>
        </w:trPr>
        <w:tc>
          <w:tcPr>
            <w:tcW w:w="0" w:type="auto"/>
          </w:tcPr>
          <w:p w:rsidR="00C94205" w:rsidRPr="00DA36D4" w:rsidRDefault="00C94205" w:rsidP="00C94205">
            <w:pPr>
              <w:rPr>
                <w:rFonts w:eastAsia="PMingLiU"/>
              </w:rPr>
            </w:pPr>
            <w:r w:rsidRPr="00E55F0A">
              <w:rPr>
                <w:rFonts w:eastAsia="SimSun"/>
                <w:sz w:val="22"/>
                <w:szCs w:val="22"/>
              </w:rPr>
              <w:t>Octets:</w:t>
            </w:r>
            <w:r w:rsidRPr="00DA36D4">
              <w:rPr>
                <w:rFonts w:eastAsia="PMingLiU"/>
                <w:sz w:val="22"/>
                <w:szCs w:val="22"/>
              </w:rPr>
              <w:t>1</w:t>
            </w:r>
          </w:p>
        </w:tc>
        <w:tc>
          <w:tcPr>
            <w:tcW w:w="0" w:type="auto"/>
          </w:tcPr>
          <w:p w:rsidR="00C94205" w:rsidRPr="00DA36D4" w:rsidRDefault="00C94205" w:rsidP="00C94205">
            <w:pPr>
              <w:rPr>
                <w:rFonts w:eastAsia="PMingLiU"/>
              </w:rPr>
            </w:pPr>
            <w:r w:rsidRPr="00DA36D4">
              <w:rPr>
                <w:rFonts w:eastAsia="PMingLiU"/>
                <w:sz w:val="22"/>
                <w:szCs w:val="22"/>
              </w:rPr>
              <w:t>1</w:t>
            </w:r>
          </w:p>
        </w:tc>
        <w:tc>
          <w:tcPr>
            <w:tcW w:w="0" w:type="auto"/>
          </w:tcPr>
          <w:p w:rsidR="00C94205" w:rsidRPr="00DA36D4" w:rsidRDefault="00A66A9E" w:rsidP="00C94205">
            <w:pPr>
              <w:rPr>
                <w:rFonts w:eastAsia="PMingLiU"/>
              </w:rPr>
            </w:pPr>
            <w:r>
              <w:rPr>
                <w:rFonts w:eastAsia="PMingLiU"/>
                <w:sz w:val="22"/>
                <w:szCs w:val="22"/>
              </w:rPr>
              <w:t>2</w:t>
            </w:r>
          </w:p>
        </w:tc>
      </w:tr>
    </w:tbl>
    <w:p w:rsidR="00C94205" w:rsidRDefault="00C94205" w:rsidP="00C94205">
      <w:pPr>
        <w:pStyle w:val="Caption"/>
        <w:rPr>
          <w:rFonts w:ascii="Times New Roman" w:hAnsi="Times New Roman"/>
          <w:sz w:val="22"/>
          <w:szCs w:val="22"/>
        </w:rPr>
      </w:pPr>
      <w:bookmarkStart w:id="733" w:name="_Ref259708036"/>
      <w:bookmarkStart w:id="734" w:name="_Toc259717496"/>
      <w:r>
        <w:t xml:space="preserve">Figure </w:t>
      </w:r>
      <w:fldSimple w:instr=" SEQ Figure \* ARABIC ">
        <w:r w:rsidR="003E4210">
          <w:rPr>
            <w:noProof/>
          </w:rPr>
          <w:t>64</w:t>
        </w:r>
      </w:fldSimple>
      <w:bookmarkEnd w:id="733"/>
      <w:r>
        <w:t xml:space="preserve"> – Relay capabilities element format</w:t>
      </w:r>
      <w:bookmarkEnd w:id="734"/>
    </w:p>
    <w:p w:rsidR="00C94205" w:rsidRPr="00E55F0A" w:rsidRDefault="00C94205" w:rsidP="00C94205">
      <w:pPr>
        <w:rPr>
          <w:sz w:val="22"/>
          <w:szCs w:val="22"/>
        </w:rPr>
      </w:pPr>
    </w:p>
    <w:p w:rsidR="00C94205" w:rsidRPr="00C94205" w:rsidRDefault="00C94205" w:rsidP="00C94205">
      <w:pPr>
        <w:autoSpaceDE w:val="0"/>
        <w:autoSpaceDN w:val="0"/>
        <w:adjustRightInd w:val="0"/>
        <w:rPr>
          <w:lang w:bidi="ar-SA"/>
        </w:rPr>
      </w:pPr>
      <w:r w:rsidRPr="00C94205">
        <w:rPr>
          <w:lang w:bidi="ar-SA"/>
        </w:rPr>
        <w:t>The Relay Capabilities Info field is defined in</w:t>
      </w:r>
      <w:r>
        <w:rPr>
          <w:lang w:bidi="ar-SA"/>
        </w:rPr>
        <w:t xml:space="preserve"> </w:t>
      </w:r>
      <w:r w:rsidR="00BD151C">
        <w:rPr>
          <w:lang w:bidi="ar-SA"/>
        </w:rPr>
        <w:fldChar w:fldCharType="begin"/>
      </w:r>
      <w:r>
        <w:rPr>
          <w:lang w:bidi="ar-SA"/>
        </w:rPr>
        <w:instrText xml:space="preserve"> REF _Ref259708037 \h </w:instrText>
      </w:r>
      <w:r w:rsidR="00BD151C">
        <w:rPr>
          <w:lang w:bidi="ar-SA"/>
        </w:rPr>
      </w:r>
      <w:r w:rsidR="00BD151C">
        <w:rPr>
          <w:lang w:bidi="ar-SA"/>
        </w:rPr>
        <w:fldChar w:fldCharType="separate"/>
      </w:r>
      <w:r w:rsidR="003E4210">
        <w:t xml:space="preserve">Figure </w:t>
      </w:r>
      <w:r w:rsidR="003E4210">
        <w:rPr>
          <w:noProof/>
        </w:rPr>
        <w:t>65</w:t>
      </w:r>
      <w:r w:rsidR="00BD151C">
        <w:rPr>
          <w:lang w:bidi="ar-SA"/>
        </w:rPr>
        <w:fldChar w:fldCharType="end"/>
      </w:r>
      <w:r w:rsidRPr="00C94205">
        <w:rPr>
          <w:lang w:bidi="ar-SA"/>
        </w:rPr>
        <w:t>.</w:t>
      </w:r>
    </w:p>
    <w:p w:rsidR="00C94205" w:rsidRPr="00E55F0A" w:rsidRDefault="00C94205" w:rsidP="00C94205">
      <w:pPr>
        <w:rPr>
          <w:sz w:val="22"/>
          <w:szCs w:val="22"/>
        </w:rPr>
      </w:pPr>
      <w:r w:rsidRPr="00E55F0A">
        <w:rPr>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1417"/>
        <w:gridCol w:w="960"/>
        <w:gridCol w:w="1124"/>
        <w:gridCol w:w="728"/>
        <w:gridCol w:w="923"/>
        <w:gridCol w:w="1161"/>
        <w:gridCol w:w="868"/>
        <w:gridCol w:w="1226"/>
        <w:gridCol w:w="1224"/>
      </w:tblGrid>
      <w:tr w:rsidR="00A66A9E" w:rsidRPr="00A66A9E" w:rsidTr="00A66A9E">
        <w:trPr>
          <w:jc w:val="center"/>
        </w:trPr>
        <w:tc>
          <w:tcPr>
            <w:tcW w:w="219" w:type="pct"/>
          </w:tcPr>
          <w:p w:rsidR="00A66A9E" w:rsidRPr="00A66A9E" w:rsidRDefault="00A66A9E" w:rsidP="00C94205">
            <w:pPr>
              <w:rPr>
                <w:rFonts w:eastAsia="PMingLiU"/>
                <w:sz w:val="20"/>
              </w:rPr>
            </w:pPr>
          </w:p>
        </w:tc>
        <w:tc>
          <w:tcPr>
            <w:tcW w:w="703" w:type="pct"/>
          </w:tcPr>
          <w:p w:rsidR="00A66A9E" w:rsidRPr="00A66A9E" w:rsidRDefault="00A66A9E" w:rsidP="00C94205">
            <w:pPr>
              <w:rPr>
                <w:rFonts w:eastAsia="PMingLiU"/>
                <w:sz w:val="20"/>
              </w:rPr>
            </w:pPr>
            <w:r w:rsidRPr="00A66A9E">
              <w:rPr>
                <w:rFonts w:eastAsia="PMingLiU"/>
                <w:sz w:val="20"/>
                <w:szCs w:val="22"/>
              </w:rPr>
              <w:t xml:space="preserve">Relay Supportability </w:t>
            </w:r>
          </w:p>
        </w:tc>
        <w:tc>
          <w:tcPr>
            <w:tcW w:w="477" w:type="pct"/>
          </w:tcPr>
          <w:p w:rsidR="00A66A9E" w:rsidRPr="00A66A9E" w:rsidRDefault="00A66A9E" w:rsidP="00C94205">
            <w:pPr>
              <w:rPr>
                <w:rFonts w:eastAsia="PMingLiU"/>
                <w:sz w:val="20"/>
              </w:rPr>
            </w:pPr>
            <w:r w:rsidRPr="00A66A9E">
              <w:rPr>
                <w:rFonts w:eastAsia="PMingLiU"/>
                <w:sz w:val="20"/>
                <w:szCs w:val="22"/>
              </w:rPr>
              <w:t>Relay Usability</w:t>
            </w:r>
          </w:p>
        </w:tc>
        <w:tc>
          <w:tcPr>
            <w:tcW w:w="558" w:type="pct"/>
          </w:tcPr>
          <w:p w:rsidR="00A66A9E" w:rsidRPr="00A66A9E" w:rsidRDefault="00A66A9E" w:rsidP="00C94205">
            <w:pPr>
              <w:rPr>
                <w:rFonts w:eastAsia="PMingLiU"/>
                <w:sz w:val="20"/>
              </w:rPr>
            </w:pPr>
            <w:r w:rsidRPr="00A66A9E">
              <w:rPr>
                <w:rFonts w:eastAsia="PMingLiU"/>
                <w:sz w:val="20"/>
                <w:szCs w:val="22"/>
              </w:rPr>
              <w:t>Relay Permission</w:t>
            </w:r>
          </w:p>
        </w:tc>
        <w:tc>
          <w:tcPr>
            <w:tcW w:w="361" w:type="pct"/>
          </w:tcPr>
          <w:p w:rsidR="00A66A9E" w:rsidRPr="00A66A9E" w:rsidRDefault="00A66A9E" w:rsidP="00C94205">
            <w:pPr>
              <w:rPr>
                <w:rFonts w:eastAsia="PMingLiU"/>
                <w:sz w:val="20"/>
              </w:rPr>
            </w:pPr>
            <w:r w:rsidRPr="00A66A9E">
              <w:rPr>
                <w:rFonts w:eastAsia="PMingLiU"/>
                <w:sz w:val="20"/>
                <w:szCs w:val="22"/>
              </w:rPr>
              <w:t>A/C</w:t>
            </w:r>
          </w:p>
          <w:p w:rsidR="00A66A9E" w:rsidRPr="00A66A9E" w:rsidRDefault="00A66A9E" w:rsidP="00C94205">
            <w:pPr>
              <w:rPr>
                <w:rFonts w:eastAsia="PMingLiU"/>
                <w:sz w:val="20"/>
              </w:rPr>
            </w:pPr>
            <w:r w:rsidRPr="00A66A9E">
              <w:rPr>
                <w:rFonts w:eastAsia="PMingLiU"/>
                <w:sz w:val="20"/>
                <w:szCs w:val="22"/>
              </w:rPr>
              <w:t>Power</w:t>
            </w:r>
          </w:p>
        </w:tc>
        <w:tc>
          <w:tcPr>
            <w:tcW w:w="460" w:type="pct"/>
          </w:tcPr>
          <w:p w:rsidR="00A66A9E" w:rsidRPr="00A66A9E" w:rsidRDefault="00A66A9E" w:rsidP="00C94205">
            <w:pPr>
              <w:rPr>
                <w:rFonts w:eastAsia="PMingLiU"/>
                <w:sz w:val="20"/>
              </w:rPr>
            </w:pPr>
            <w:r w:rsidRPr="00A66A9E">
              <w:rPr>
                <w:rFonts w:eastAsia="PMingLiU"/>
                <w:sz w:val="20"/>
                <w:szCs w:val="22"/>
              </w:rPr>
              <w:t>Mobility</w:t>
            </w:r>
          </w:p>
        </w:tc>
        <w:tc>
          <w:tcPr>
            <w:tcW w:w="576" w:type="pct"/>
          </w:tcPr>
          <w:p w:rsidR="00A66A9E" w:rsidRPr="00A66A9E" w:rsidRDefault="00A66A9E" w:rsidP="00C94205">
            <w:pPr>
              <w:rPr>
                <w:rFonts w:eastAsia="PMingLiU"/>
                <w:sz w:val="20"/>
                <w:lang w:eastAsia="ko-KR"/>
              </w:rPr>
            </w:pPr>
            <w:r w:rsidRPr="00A66A9E">
              <w:rPr>
                <w:rFonts w:eastAsia="PMingLiU"/>
                <w:sz w:val="20"/>
                <w:szCs w:val="22"/>
              </w:rPr>
              <w:t xml:space="preserve">Relay </w:t>
            </w:r>
          </w:p>
          <w:p w:rsidR="00A66A9E" w:rsidRPr="00A66A9E" w:rsidRDefault="00A66A9E" w:rsidP="00C94205">
            <w:pPr>
              <w:rPr>
                <w:rFonts w:eastAsia="PMingLiU"/>
                <w:sz w:val="20"/>
              </w:rPr>
            </w:pPr>
            <w:r w:rsidRPr="00A66A9E">
              <w:rPr>
                <w:rFonts w:eastAsia="PMingLiU"/>
                <w:sz w:val="20"/>
                <w:szCs w:val="22"/>
                <w:lang w:eastAsia="ko-KR"/>
              </w:rPr>
              <w:t>Preference</w:t>
            </w:r>
          </w:p>
        </w:tc>
        <w:tc>
          <w:tcPr>
            <w:tcW w:w="431" w:type="pct"/>
          </w:tcPr>
          <w:p w:rsidR="00A66A9E" w:rsidRPr="00A66A9E" w:rsidRDefault="00A66A9E" w:rsidP="00C94205">
            <w:pPr>
              <w:rPr>
                <w:rFonts w:eastAsia="PMingLiU"/>
                <w:sz w:val="20"/>
              </w:rPr>
            </w:pPr>
            <w:r w:rsidRPr="00A66A9E">
              <w:rPr>
                <w:rFonts w:eastAsia="PMingLiU"/>
                <w:sz w:val="20"/>
                <w:szCs w:val="22"/>
              </w:rPr>
              <w:t>Duplex</w:t>
            </w:r>
          </w:p>
        </w:tc>
        <w:tc>
          <w:tcPr>
            <w:tcW w:w="608" w:type="pct"/>
          </w:tcPr>
          <w:p w:rsidR="00A66A9E" w:rsidRPr="00A66A9E" w:rsidRDefault="00A66A9E" w:rsidP="00C94205">
            <w:pPr>
              <w:rPr>
                <w:rFonts w:eastAsia="PMingLiU"/>
                <w:sz w:val="20"/>
              </w:rPr>
            </w:pPr>
            <w:r w:rsidRPr="00A66A9E">
              <w:rPr>
                <w:rFonts w:eastAsia="PMingLiU"/>
                <w:sz w:val="20"/>
                <w:szCs w:val="22"/>
              </w:rPr>
              <w:t>Cooperation</w:t>
            </w:r>
          </w:p>
        </w:tc>
        <w:tc>
          <w:tcPr>
            <w:tcW w:w="608" w:type="pct"/>
          </w:tcPr>
          <w:p w:rsidR="00A66A9E" w:rsidRPr="00A66A9E" w:rsidRDefault="00A66A9E" w:rsidP="00C94205">
            <w:pPr>
              <w:rPr>
                <w:rFonts w:eastAsia="PMingLiU"/>
                <w:sz w:val="20"/>
                <w:szCs w:val="22"/>
              </w:rPr>
            </w:pPr>
            <w:r w:rsidRPr="00A66A9E">
              <w:rPr>
                <w:rFonts w:eastAsia="PMingLiU"/>
                <w:sz w:val="20"/>
                <w:szCs w:val="22"/>
              </w:rPr>
              <w:t>Reserved</w:t>
            </w:r>
          </w:p>
        </w:tc>
      </w:tr>
      <w:tr w:rsidR="00A66A9E" w:rsidRPr="001D7F82" w:rsidTr="00A66A9E">
        <w:trPr>
          <w:jc w:val="center"/>
        </w:trPr>
        <w:tc>
          <w:tcPr>
            <w:tcW w:w="219" w:type="pct"/>
          </w:tcPr>
          <w:p w:rsidR="00A66A9E" w:rsidRPr="00DA36D4" w:rsidRDefault="00A66A9E" w:rsidP="00C94205">
            <w:pPr>
              <w:rPr>
                <w:rFonts w:eastAsia="PMingLiU"/>
              </w:rPr>
            </w:pPr>
            <w:r w:rsidRPr="00DA36D4">
              <w:rPr>
                <w:rFonts w:eastAsia="PMingLiU"/>
                <w:sz w:val="22"/>
                <w:szCs w:val="22"/>
              </w:rPr>
              <w:t>Bit</w:t>
            </w:r>
          </w:p>
        </w:tc>
        <w:tc>
          <w:tcPr>
            <w:tcW w:w="703" w:type="pct"/>
          </w:tcPr>
          <w:p w:rsidR="00A66A9E" w:rsidRPr="00DA36D4" w:rsidRDefault="00A66A9E" w:rsidP="00C94205">
            <w:pPr>
              <w:rPr>
                <w:rFonts w:eastAsia="PMingLiU"/>
              </w:rPr>
            </w:pPr>
            <w:r w:rsidRPr="00DA36D4">
              <w:rPr>
                <w:rFonts w:eastAsia="PMingLiU"/>
                <w:sz w:val="22"/>
                <w:szCs w:val="22"/>
              </w:rPr>
              <w:t xml:space="preserve"> B0</w:t>
            </w:r>
          </w:p>
        </w:tc>
        <w:tc>
          <w:tcPr>
            <w:tcW w:w="477" w:type="pct"/>
          </w:tcPr>
          <w:p w:rsidR="00A66A9E" w:rsidRPr="00DA36D4" w:rsidRDefault="00A66A9E" w:rsidP="00C94205">
            <w:pPr>
              <w:rPr>
                <w:rFonts w:eastAsia="PMingLiU"/>
              </w:rPr>
            </w:pPr>
            <w:r w:rsidRPr="00DA36D4">
              <w:rPr>
                <w:rFonts w:eastAsia="PMingLiU"/>
                <w:sz w:val="22"/>
                <w:szCs w:val="22"/>
              </w:rPr>
              <w:t>B1</w:t>
            </w:r>
          </w:p>
        </w:tc>
        <w:tc>
          <w:tcPr>
            <w:tcW w:w="558" w:type="pct"/>
          </w:tcPr>
          <w:p w:rsidR="00A66A9E" w:rsidRPr="00DA36D4" w:rsidRDefault="00A66A9E" w:rsidP="00C94205">
            <w:pPr>
              <w:rPr>
                <w:rFonts w:eastAsia="PMingLiU"/>
              </w:rPr>
            </w:pPr>
            <w:r w:rsidRPr="00DA36D4">
              <w:rPr>
                <w:rFonts w:eastAsia="PMingLiU"/>
                <w:sz w:val="22"/>
                <w:szCs w:val="22"/>
              </w:rPr>
              <w:t>B2</w:t>
            </w:r>
          </w:p>
        </w:tc>
        <w:tc>
          <w:tcPr>
            <w:tcW w:w="361" w:type="pct"/>
          </w:tcPr>
          <w:p w:rsidR="00A66A9E" w:rsidRPr="00DA36D4" w:rsidRDefault="00A66A9E" w:rsidP="00C94205">
            <w:pPr>
              <w:keepNext/>
              <w:rPr>
                <w:rFonts w:eastAsia="PMingLiU"/>
              </w:rPr>
            </w:pPr>
            <w:r w:rsidRPr="00DA36D4">
              <w:rPr>
                <w:rFonts w:eastAsia="PMingLiU"/>
                <w:sz w:val="22"/>
                <w:szCs w:val="22"/>
              </w:rPr>
              <w:t>B3</w:t>
            </w:r>
          </w:p>
        </w:tc>
        <w:tc>
          <w:tcPr>
            <w:tcW w:w="460" w:type="pct"/>
          </w:tcPr>
          <w:p w:rsidR="00A66A9E" w:rsidRPr="00DA36D4" w:rsidRDefault="00A66A9E" w:rsidP="00C94205">
            <w:pPr>
              <w:keepNext/>
              <w:rPr>
                <w:rFonts w:eastAsia="PMingLiU"/>
              </w:rPr>
            </w:pPr>
            <w:r w:rsidRPr="00DA36D4">
              <w:rPr>
                <w:rFonts w:eastAsia="PMingLiU"/>
                <w:sz w:val="22"/>
                <w:szCs w:val="22"/>
              </w:rPr>
              <w:t>B4</w:t>
            </w:r>
          </w:p>
        </w:tc>
        <w:tc>
          <w:tcPr>
            <w:tcW w:w="576" w:type="pct"/>
          </w:tcPr>
          <w:p w:rsidR="00A66A9E" w:rsidRPr="00DA36D4" w:rsidRDefault="00A66A9E" w:rsidP="00C94205">
            <w:pPr>
              <w:keepNext/>
              <w:rPr>
                <w:rFonts w:eastAsia="PMingLiU"/>
              </w:rPr>
            </w:pPr>
            <w:r w:rsidRPr="00DA36D4">
              <w:rPr>
                <w:rFonts w:eastAsia="PMingLiU"/>
                <w:sz w:val="22"/>
                <w:szCs w:val="22"/>
              </w:rPr>
              <w:t>B5</w:t>
            </w:r>
          </w:p>
        </w:tc>
        <w:tc>
          <w:tcPr>
            <w:tcW w:w="431" w:type="pct"/>
          </w:tcPr>
          <w:p w:rsidR="00A66A9E" w:rsidRPr="00DA36D4" w:rsidRDefault="00A66A9E" w:rsidP="00C94205">
            <w:pPr>
              <w:keepNext/>
              <w:rPr>
                <w:rFonts w:eastAsia="PMingLiU"/>
                <w:lang w:eastAsia="ko-KR"/>
              </w:rPr>
            </w:pPr>
            <w:r w:rsidRPr="00DA36D4">
              <w:rPr>
                <w:rFonts w:eastAsia="PMingLiU"/>
                <w:sz w:val="22"/>
                <w:szCs w:val="22"/>
              </w:rPr>
              <w:t>B6</w:t>
            </w:r>
            <w:r w:rsidRPr="00DA36D4">
              <w:rPr>
                <w:rFonts w:eastAsia="PMingLiU"/>
                <w:sz w:val="22"/>
                <w:szCs w:val="22"/>
                <w:lang w:eastAsia="ko-KR"/>
              </w:rPr>
              <w:t>-B7</w:t>
            </w:r>
          </w:p>
        </w:tc>
        <w:tc>
          <w:tcPr>
            <w:tcW w:w="608" w:type="pct"/>
          </w:tcPr>
          <w:p w:rsidR="00A66A9E" w:rsidRPr="00DA36D4" w:rsidRDefault="00A66A9E" w:rsidP="00C94205">
            <w:pPr>
              <w:keepNext/>
              <w:rPr>
                <w:rFonts w:eastAsia="PMingLiU"/>
              </w:rPr>
            </w:pPr>
            <w:r w:rsidRPr="00DA36D4">
              <w:rPr>
                <w:rFonts w:eastAsia="PMingLiU"/>
                <w:sz w:val="22"/>
                <w:szCs w:val="22"/>
              </w:rPr>
              <w:t>B8</w:t>
            </w:r>
          </w:p>
        </w:tc>
        <w:tc>
          <w:tcPr>
            <w:tcW w:w="608" w:type="pct"/>
          </w:tcPr>
          <w:p w:rsidR="00A66A9E" w:rsidRPr="00DA36D4" w:rsidRDefault="00A66A9E" w:rsidP="00C94205">
            <w:pPr>
              <w:keepNext/>
              <w:rPr>
                <w:rFonts w:eastAsia="PMingLiU"/>
                <w:sz w:val="22"/>
                <w:szCs w:val="22"/>
              </w:rPr>
            </w:pPr>
            <w:r>
              <w:rPr>
                <w:rFonts w:eastAsia="PMingLiU"/>
                <w:sz w:val="22"/>
                <w:szCs w:val="22"/>
              </w:rPr>
              <w:t>B9-B15</w:t>
            </w:r>
          </w:p>
        </w:tc>
      </w:tr>
    </w:tbl>
    <w:p w:rsidR="00C94205" w:rsidRDefault="00C94205" w:rsidP="00C94205">
      <w:pPr>
        <w:pStyle w:val="Caption"/>
        <w:rPr>
          <w:rFonts w:ascii="Times New Roman" w:hAnsi="Times New Roman"/>
          <w:sz w:val="22"/>
          <w:szCs w:val="22"/>
        </w:rPr>
      </w:pPr>
      <w:bookmarkStart w:id="735" w:name="_Ref259708037"/>
      <w:bookmarkStart w:id="736" w:name="_Toc259717497"/>
      <w:r>
        <w:t xml:space="preserve">Figure </w:t>
      </w:r>
      <w:fldSimple w:instr=" SEQ Figure \* ARABIC ">
        <w:r w:rsidR="003E4210">
          <w:rPr>
            <w:noProof/>
          </w:rPr>
          <w:t>65</w:t>
        </w:r>
      </w:fldSimple>
      <w:bookmarkEnd w:id="735"/>
      <w:r>
        <w:t xml:space="preserve"> – Relay capabilities info field</w:t>
      </w:r>
      <w:bookmarkEnd w:id="736"/>
    </w:p>
    <w:p w:rsidR="00C94205" w:rsidRPr="00E55F0A" w:rsidRDefault="00C94205" w:rsidP="00C94205">
      <w:pPr>
        <w:rPr>
          <w:sz w:val="22"/>
          <w:szCs w:val="22"/>
          <w:lang w:eastAsia="ko-KR"/>
        </w:rPr>
      </w:pPr>
    </w:p>
    <w:p w:rsidR="00C94205" w:rsidRDefault="00C94205" w:rsidP="00C94205">
      <w:pPr>
        <w:autoSpaceDE w:val="0"/>
        <w:autoSpaceDN w:val="0"/>
        <w:adjustRightInd w:val="0"/>
        <w:rPr>
          <w:lang w:bidi="ar-SA"/>
        </w:rPr>
      </w:pPr>
      <w:r w:rsidRPr="00C94205">
        <w:rPr>
          <w:lang w:bidi="ar-SA"/>
        </w:rPr>
        <w:t xml:space="preserve">The subfields of the Relay Capabilities Info field are defined in </w:t>
      </w:r>
      <w:r w:rsidR="00BD151C">
        <w:rPr>
          <w:lang w:bidi="ar-SA"/>
        </w:rPr>
        <w:fldChar w:fldCharType="begin"/>
      </w:r>
      <w:r>
        <w:rPr>
          <w:lang w:bidi="ar-SA"/>
        </w:rPr>
        <w:instrText xml:space="preserve"> REF _Ref259708049 \h </w:instrText>
      </w:r>
      <w:r w:rsidR="00BD151C">
        <w:rPr>
          <w:lang w:bidi="ar-SA"/>
        </w:rPr>
      </w:r>
      <w:r w:rsidR="00BD151C">
        <w:rPr>
          <w:lang w:bidi="ar-SA"/>
        </w:rPr>
        <w:fldChar w:fldCharType="separate"/>
      </w:r>
      <w:r w:rsidR="003E4210">
        <w:t xml:space="preserve">Table </w:t>
      </w:r>
      <w:r w:rsidR="003E4210">
        <w:rPr>
          <w:noProof/>
        </w:rPr>
        <w:t>20</w:t>
      </w:r>
      <w:r w:rsidR="00BD151C">
        <w:rPr>
          <w:lang w:bidi="ar-SA"/>
        </w:rPr>
        <w:fldChar w:fldCharType="end"/>
      </w:r>
      <w:r w:rsidRPr="00C94205">
        <w:rPr>
          <w:lang w:bidi="ar-SA"/>
        </w:rPr>
        <w:t>.</w:t>
      </w:r>
    </w:p>
    <w:p w:rsidR="00C94205" w:rsidRPr="00C94205" w:rsidRDefault="00C94205" w:rsidP="00C94205">
      <w:pPr>
        <w:autoSpaceDE w:val="0"/>
        <w:autoSpaceDN w:val="0"/>
        <w:adjustRightInd w:val="0"/>
        <w:rPr>
          <w:lang w:bidi="ar-SA"/>
        </w:rPr>
      </w:pPr>
    </w:p>
    <w:p w:rsidR="00C94205" w:rsidRPr="00C94205" w:rsidRDefault="00C94205" w:rsidP="00C94205">
      <w:pPr>
        <w:pStyle w:val="Caption"/>
      </w:pPr>
      <w:bookmarkStart w:id="737" w:name="_Ref259708049"/>
      <w:bookmarkStart w:id="738" w:name="_Toc259717598"/>
      <w:r>
        <w:t xml:space="preserve">Table </w:t>
      </w:r>
      <w:fldSimple w:instr=" SEQ Table \* ARABIC ">
        <w:r w:rsidR="003E4210">
          <w:rPr>
            <w:noProof/>
          </w:rPr>
          <w:t>20</w:t>
        </w:r>
      </w:fldSimple>
      <w:bookmarkEnd w:id="737"/>
      <w:r>
        <w:t xml:space="preserve"> – Subfields of the relay capabilities info field</w:t>
      </w:r>
      <w:bookmarkEnd w:id="7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5"/>
        <w:gridCol w:w="3874"/>
        <w:gridCol w:w="4777"/>
      </w:tblGrid>
      <w:tr w:rsidR="00C94205" w:rsidRPr="001D7F82" w:rsidTr="00C94205">
        <w:tc>
          <w:tcPr>
            <w:tcW w:w="0" w:type="auto"/>
          </w:tcPr>
          <w:p w:rsidR="00C94205" w:rsidRPr="00C94205" w:rsidRDefault="00C94205" w:rsidP="00C94205">
            <w:pPr>
              <w:jc w:val="center"/>
              <w:rPr>
                <w:rFonts w:eastAsia="PMingLiU"/>
                <w:b/>
                <w:sz w:val="20"/>
              </w:rPr>
            </w:pPr>
            <w:r w:rsidRPr="00C94205">
              <w:rPr>
                <w:rFonts w:eastAsia="PMingLiU"/>
                <w:b/>
                <w:sz w:val="20"/>
              </w:rPr>
              <w:t>Subfield</w:t>
            </w:r>
          </w:p>
        </w:tc>
        <w:tc>
          <w:tcPr>
            <w:tcW w:w="0" w:type="auto"/>
          </w:tcPr>
          <w:p w:rsidR="00C94205" w:rsidRPr="00C94205" w:rsidRDefault="00C94205" w:rsidP="00C94205">
            <w:pPr>
              <w:jc w:val="center"/>
              <w:rPr>
                <w:rFonts w:eastAsia="PMingLiU"/>
                <w:b/>
                <w:sz w:val="20"/>
              </w:rPr>
            </w:pPr>
            <w:r w:rsidRPr="00C94205">
              <w:rPr>
                <w:rFonts w:eastAsia="PMingLiU"/>
                <w:b/>
                <w:sz w:val="20"/>
              </w:rPr>
              <w:t>Definition</w:t>
            </w:r>
          </w:p>
        </w:tc>
        <w:tc>
          <w:tcPr>
            <w:tcW w:w="0" w:type="auto"/>
          </w:tcPr>
          <w:p w:rsidR="00C94205" w:rsidRPr="00C94205" w:rsidRDefault="00C94205" w:rsidP="00C94205">
            <w:pPr>
              <w:jc w:val="center"/>
              <w:rPr>
                <w:rFonts w:eastAsia="PMingLiU"/>
                <w:b/>
                <w:sz w:val="20"/>
              </w:rPr>
            </w:pPr>
            <w:r w:rsidRPr="00C94205">
              <w:rPr>
                <w:rFonts w:eastAsia="PMingLiU"/>
                <w:b/>
                <w:sz w:val="20"/>
              </w:rPr>
              <w:t>Encoding</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w:t>
            </w:r>
            <w:r>
              <w:rPr>
                <w:rFonts w:eastAsia="PMingLiU"/>
                <w:sz w:val="20"/>
                <w:lang w:eastAsia="ko-KR"/>
              </w:rPr>
              <w:t>Support</w:t>
            </w:r>
            <w:r w:rsidR="00A66A9E">
              <w:rPr>
                <w:rFonts w:eastAsia="PMingLiU"/>
                <w:sz w:val="20"/>
                <w:lang w:eastAsia="ko-KR"/>
              </w:rPr>
              <w:t>ability</w:t>
            </w:r>
          </w:p>
        </w:tc>
        <w:tc>
          <w:tcPr>
            <w:tcW w:w="0" w:type="auto"/>
          </w:tcPr>
          <w:p w:rsidR="00C94205" w:rsidRPr="00DA36D4" w:rsidRDefault="00C94205" w:rsidP="00C94205">
            <w:pPr>
              <w:rPr>
                <w:rFonts w:eastAsia="PMingLiU"/>
                <w:sz w:val="20"/>
              </w:rPr>
            </w:pPr>
            <w:r w:rsidRPr="00DA36D4">
              <w:rPr>
                <w:rFonts w:eastAsia="PMingLiU"/>
                <w:sz w:val="20"/>
              </w:rPr>
              <w:t>Indicates that STA is capable of relaying via itself by transmitting and receiving frames between a pair of other STAs. A STA capable of relaying support is named “relay STA”.</w:t>
            </w:r>
          </w:p>
        </w:tc>
        <w:tc>
          <w:tcPr>
            <w:tcW w:w="0" w:type="auto"/>
          </w:tcPr>
          <w:p w:rsidR="00C94205" w:rsidRPr="00DA36D4" w:rsidRDefault="00C94205" w:rsidP="00C94205">
            <w:pPr>
              <w:rPr>
                <w:rFonts w:eastAsia="PMingLiU"/>
                <w:sz w:val="20"/>
              </w:rPr>
            </w:pPr>
            <w:r w:rsidRPr="00DA36D4">
              <w:rPr>
                <w:rFonts w:eastAsia="PMingLiU"/>
                <w:sz w:val="20"/>
              </w:rPr>
              <w:t xml:space="preserve">Set to 1 if STA is relay </w:t>
            </w:r>
            <w:r>
              <w:rPr>
                <w:rFonts w:eastAsia="PMingLiU"/>
                <w:sz w:val="20"/>
              </w:rPr>
              <w:t xml:space="preserve">supportable. </w:t>
            </w:r>
            <w:r w:rsidRPr="00DA36D4">
              <w:rPr>
                <w:rFonts w:eastAsia="PMingLiU"/>
                <w:sz w:val="20"/>
              </w:rPr>
              <w:t>Otherwise set to 0</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w:t>
            </w:r>
            <w:r>
              <w:rPr>
                <w:rFonts w:eastAsia="PMingLiU"/>
                <w:sz w:val="20"/>
                <w:lang w:eastAsia="ko-KR"/>
              </w:rPr>
              <w:t>Usability</w:t>
            </w:r>
          </w:p>
        </w:tc>
        <w:tc>
          <w:tcPr>
            <w:tcW w:w="0" w:type="auto"/>
          </w:tcPr>
          <w:p w:rsidR="00C94205" w:rsidRPr="00DA36D4" w:rsidRDefault="00C94205" w:rsidP="00C94205">
            <w:pPr>
              <w:rPr>
                <w:rFonts w:eastAsia="PMingLiU"/>
                <w:sz w:val="20"/>
              </w:rPr>
            </w:pPr>
            <w:r w:rsidRPr="00DA36D4">
              <w:rPr>
                <w:rFonts w:eastAsia="PMingLiU"/>
                <w:sz w:val="20"/>
              </w:rPr>
              <w:t xml:space="preserve">Indicates that STA is capable of using frame-relaying through a relay STA. </w:t>
            </w:r>
          </w:p>
        </w:tc>
        <w:tc>
          <w:tcPr>
            <w:tcW w:w="0" w:type="auto"/>
          </w:tcPr>
          <w:p w:rsidR="00C94205" w:rsidRPr="00DA36D4" w:rsidRDefault="00C94205" w:rsidP="00C94205">
            <w:pPr>
              <w:rPr>
                <w:rFonts w:eastAsia="PMingLiU"/>
                <w:sz w:val="20"/>
              </w:rPr>
            </w:pPr>
            <w:r w:rsidRPr="00DA36D4">
              <w:rPr>
                <w:rFonts w:eastAsia="PMingLiU"/>
                <w:sz w:val="20"/>
              </w:rPr>
              <w:t>Set to 1 if STA is relay usabl</w:t>
            </w:r>
            <w:r>
              <w:rPr>
                <w:rFonts w:eastAsia="PMingLiU"/>
                <w:sz w:val="20"/>
                <w:lang w:eastAsia="ko-KR"/>
              </w:rPr>
              <w:t xml:space="preserve">e. </w:t>
            </w:r>
            <w:r w:rsidRPr="00DA36D4">
              <w:rPr>
                <w:rFonts w:eastAsia="PMingLiU"/>
                <w:sz w:val="20"/>
              </w:rPr>
              <w:t>Otherwise set to 0</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Permission </w:t>
            </w:r>
          </w:p>
        </w:tc>
        <w:tc>
          <w:tcPr>
            <w:tcW w:w="0" w:type="auto"/>
          </w:tcPr>
          <w:p w:rsidR="00C94205" w:rsidRPr="00DA36D4" w:rsidRDefault="00C94205" w:rsidP="00C94205">
            <w:pPr>
              <w:rPr>
                <w:rFonts w:eastAsia="PMingLiU"/>
                <w:sz w:val="20"/>
              </w:rPr>
            </w:pPr>
            <w:r w:rsidRPr="00DA36D4">
              <w:rPr>
                <w:rFonts w:eastAsia="PMingLiU"/>
                <w:sz w:val="20"/>
              </w:rPr>
              <w:t>Indicates whether the PCP/AP allows relay operation (11.37) to be used within the PCP/AP’s BSS. This field is ignored when transmitted by a non-PCP/non-AP STA.</w:t>
            </w:r>
          </w:p>
        </w:tc>
        <w:tc>
          <w:tcPr>
            <w:tcW w:w="0" w:type="auto"/>
          </w:tcPr>
          <w:p w:rsidR="00C94205" w:rsidRPr="00DA36D4" w:rsidRDefault="00C94205" w:rsidP="00C94205">
            <w:pPr>
              <w:rPr>
                <w:rFonts w:eastAsia="PMingLiU"/>
                <w:sz w:val="20"/>
              </w:rPr>
            </w:pPr>
            <w:r w:rsidRPr="00DA36D4">
              <w:rPr>
                <w:rFonts w:eastAsia="PMingLiU"/>
                <w:sz w:val="20"/>
              </w:rPr>
              <w:t>Set to 0 if relay operation is not allowed in the BSS</w:t>
            </w:r>
            <w:r>
              <w:rPr>
                <w:rFonts w:eastAsia="PMingLiU"/>
                <w:sz w:val="20"/>
              </w:rPr>
              <w:t xml:space="preserve">. </w:t>
            </w:r>
            <w:r w:rsidRPr="00DA36D4">
              <w:rPr>
                <w:rFonts w:eastAsia="PMingLiU"/>
                <w:sz w:val="20"/>
              </w:rPr>
              <w:t>Set to 1 if relay operation is allowed in the BSS</w:t>
            </w:r>
            <w:r>
              <w:rPr>
                <w:rFonts w:eastAsia="PMingLiU"/>
                <w:sz w:val="20"/>
              </w:rPr>
              <w:t>.</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A/C Power</w:t>
            </w:r>
          </w:p>
        </w:tc>
        <w:tc>
          <w:tcPr>
            <w:tcW w:w="0" w:type="auto"/>
          </w:tcPr>
          <w:p w:rsidR="00C94205" w:rsidRPr="00DA36D4" w:rsidRDefault="00C94205" w:rsidP="00C94205">
            <w:pPr>
              <w:rPr>
                <w:rFonts w:eastAsia="PMingLiU"/>
                <w:sz w:val="20"/>
              </w:rPr>
            </w:pPr>
            <w:r w:rsidRPr="00DA36D4">
              <w:rPr>
                <w:rFonts w:eastAsia="PMingLiU"/>
                <w:sz w:val="20"/>
              </w:rPr>
              <w:t>Indicates that relay STA is capable of obtaining A/C power</w:t>
            </w:r>
          </w:p>
        </w:tc>
        <w:tc>
          <w:tcPr>
            <w:tcW w:w="0" w:type="auto"/>
          </w:tcPr>
          <w:p w:rsidR="00C94205" w:rsidRPr="00DA36D4" w:rsidRDefault="00C94205" w:rsidP="00C94205">
            <w:pPr>
              <w:rPr>
                <w:rFonts w:eastAsia="PMingLiU"/>
                <w:sz w:val="20"/>
              </w:rPr>
            </w:pPr>
            <w:r w:rsidRPr="00DA36D4">
              <w:rPr>
                <w:rFonts w:eastAsia="PMingLiU"/>
                <w:sz w:val="20"/>
              </w:rPr>
              <w:t>Set to 1 if relay STA is capable of being supplied by A/C power</w:t>
            </w:r>
            <w:r>
              <w:rPr>
                <w:rFonts w:eastAsia="PMingLiU"/>
                <w:sz w:val="20"/>
              </w:rPr>
              <w:t xml:space="preserve">. </w:t>
            </w:r>
            <w:r w:rsidRPr="00DA36D4">
              <w:rPr>
                <w:rFonts w:eastAsia="PMingLiU"/>
                <w:sz w:val="20"/>
              </w:rPr>
              <w:t>Otherwise set to 0</w:t>
            </w:r>
            <w:r>
              <w:rPr>
                <w:rFonts w:eastAsia="PMingLiU"/>
                <w:sz w:val="20"/>
              </w:rPr>
              <w:t>.</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lastRenderedPageBreak/>
              <w:t>Mobility</w:t>
            </w:r>
          </w:p>
        </w:tc>
        <w:tc>
          <w:tcPr>
            <w:tcW w:w="0" w:type="auto"/>
          </w:tcPr>
          <w:p w:rsidR="00C94205" w:rsidRPr="00DA36D4" w:rsidRDefault="00C94205" w:rsidP="00C94205">
            <w:pPr>
              <w:rPr>
                <w:rFonts w:eastAsia="PMingLiU"/>
                <w:sz w:val="20"/>
              </w:rPr>
            </w:pPr>
            <w:r w:rsidRPr="00DA36D4">
              <w:rPr>
                <w:rFonts w:eastAsia="PMingLiU"/>
                <w:sz w:val="20"/>
              </w:rPr>
              <w:t>Indicates that relay STA is capable of support mobility</w:t>
            </w:r>
          </w:p>
        </w:tc>
        <w:tc>
          <w:tcPr>
            <w:tcW w:w="0" w:type="auto"/>
          </w:tcPr>
          <w:p w:rsidR="00C94205" w:rsidRPr="00DA36D4" w:rsidRDefault="00C94205" w:rsidP="00C94205">
            <w:pPr>
              <w:rPr>
                <w:rFonts w:eastAsia="PMingLiU"/>
                <w:sz w:val="20"/>
              </w:rPr>
            </w:pPr>
            <w:r w:rsidRPr="00DA36D4">
              <w:rPr>
                <w:rFonts w:eastAsia="PMingLiU"/>
                <w:sz w:val="20"/>
              </w:rPr>
              <w:t xml:space="preserve">Set to 1 if relay STA is capable </w:t>
            </w:r>
            <w:r>
              <w:rPr>
                <w:rFonts w:eastAsia="PMingLiU"/>
                <w:sz w:val="20"/>
              </w:rPr>
              <w:t>to</w:t>
            </w:r>
            <w:r w:rsidRPr="00DA36D4">
              <w:rPr>
                <w:rFonts w:eastAsia="PMingLiU"/>
                <w:sz w:val="20"/>
              </w:rPr>
              <w:t xml:space="preserve"> support mobility</w:t>
            </w:r>
            <w:r>
              <w:rPr>
                <w:rFonts w:eastAsia="PMingLiU"/>
                <w:sz w:val="20"/>
              </w:rPr>
              <w:t xml:space="preserve">. </w:t>
            </w:r>
            <w:r w:rsidRPr="00DA36D4">
              <w:rPr>
                <w:rFonts w:eastAsia="PMingLiU"/>
                <w:sz w:val="20"/>
              </w:rPr>
              <w:t>Otherwise set to 0</w:t>
            </w:r>
            <w:r>
              <w:rPr>
                <w:rFonts w:eastAsia="PMingLiU"/>
                <w:sz w:val="20"/>
              </w:rPr>
              <w:t>.</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w:t>
            </w:r>
            <w:r w:rsidRPr="00DA36D4">
              <w:rPr>
                <w:rFonts w:eastAsia="PMingLiU"/>
                <w:sz w:val="20"/>
                <w:lang w:eastAsia="ko-KR"/>
              </w:rPr>
              <w:t>Preference</w:t>
            </w:r>
          </w:p>
        </w:tc>
        <w:tc>
          <w:tcPr>
            <w:tcW w:w="0" w:type="auto"/>
          </w:tcPr>
          <w:p w:rsidR="00C94205" w:rsidRPr="00DA36D4" w:rsidRDefault="00C94205" w:rsidP="00C94205">
            <w:pPr>
              <w:rPr>
                <w:rFonts w:eastAsia="PMingLiU"/>
                <w:sz w:val="20"/>
              </w:rPr>
            </w:pPr>
            <w:r w:rsidRPr="00DA36D4">
              <w:rPr>
                <w:rFonts w:eastAsia="PMingLiU"/>
                <w:sz w:val="20"/>
              </w:rPr>
              <w:t xml:space="preserve">Indicates that </w:t>
            </w:r>
            <w:r w:rsidRPr="00DA36D4">
              <w:rPr>
                <w:rFonts w:eastAsia="PMingLiU"/>
                <w:sz w:val="20"/>
                <w:lang w:eastAsia="ko-KR"/>
              </w:rPr>
              <w:t xml:space="preserve">a STA </w:t>
            </w:r>
            <w:r>
              <w:rPr>
                <w:rFonts w:eastAsia="PMingLiU"/>
                <w:sz w:val="20"/>
              </w:rPr>
              <w:t>prefers</w:t>
            </w:r>
            <w:r w:rsidRPr="00DA36D4">
              <w:rPr>
                <w:rFonts w:eastAsia="PMingLiU"/>
                <w:sz w:val="20"/>
              </w:rPr>
              <w:t xml:space="preserve"> to become </w:t>
            </w:r>
            <w:r>
              <w:rPr>
                <w:rFonts w:eastAsia="PMingLiU"/>
                <w:sz w:val="20"/>
                <w:lang w:eastAsia="ko-KR"/>
              </w:rPr>
              <w:t>RSUS</w:t>
            </w:r>
            <w:r w:rsidRPr="00DA36D4">
              <w:rPr>
                <w:rFonts w:eastAsia="PMingLiU"/>
                <w:sz w:val="20"/>
                <w:lang w:eastAsia="ko-KR"/>
              </w:rPr>
              <w:t xml:space="preserve"> </w:t>
            </w:r>
            <w:r w:rsidRPr="00DA36D4">
              <w:rPr>
                <w:rFonts w:eastAsia="PMingLiU"/>
                <w:sz w:val="20"/>
              </w:rPr>
              <w:t xml:space="preserve">rather than </w:t>
            </w:r>
            <w:r w:rsidRPr="00DA36D4">
              <w:rPr>
                <w:rFonts w:eastAsia="PMingLiU"/>
                <w:sz w:val="20"/>
                <w:lang w:eastAsia="ko-KR"/>
              </w:rPr>
              <w:t>RUS</w:t>
            </w:r>
          </w:p>
        </w:tc>
        <w:tc>
          <w:tcPr>
            <w:tcW w:w="0" w:type="auto"/>
          </w:tcPr>
          <w:p w:rsidR="00A66A9E" w:rsidRPr="00DA36D4" w:rsidRDefault="00C94205" w:rsidP="00C94205">
            <w:pPr>
              <w:rPr>
                <w:rFonts w:eastAsia="PMingLiU"/>
                <w:sz w:val="20"/>
                <w:lang w:eastAsia="ko-KR"/>
              </w:rPr>
            </w:pPr>
            <w:r w:rsidRPr="00DA36D4">
              <w:rPr>
                <w:rFonts w:eastAsia="PMingLiU"/>
                <w:sz w:val="20"/>
              </w:rPr>
              <w:t xml:space="preserve">Set to 1 if </w:t>
            </w:r>
            <w:r w:rsidRPr="00DA36D4">
              <w:rPr>
                <w:rFonts w:eastAsia="PMingLiU"/>
                <w:sz w:val="20"/>
                <w:lang w:eastAsia="ko-KR"/>
              </w:rPr>
              <w:t xml:space="preserve">a </w:t>
            </w:r>
            <w:r w:rsidRPr="00DA36D4">
              <w:rPr>
                <w:rFonts w:eastAsia="PMingLiU"/>
                <w:sz w:val="20"/>
              </w:rPr>
              <w:t xml:space="preserve">STA </w:t>
            </w:r>
            <w:r>
              <w:rPr>
                <w:rFonts w:eastAsia="PMingLiU"/>
                <w:sz w:val="20"/>
              </w:rPr>
              <w:t xml:space="preserve">prefers </w:t>
            </w:r>
            <w:r w:rsidRPr="00DA36D4">
              <w:rPr>
                <w:rFonts w:eastAsia="PMingLiU"/>
                <w:sz w:val="20"/>
                <w:lang w:eastAsia="ko-KR"/>
              </w:rPr>
              <w:t xml:space="preserve">to be </w:t>
            </w:r>
            <w:r>
              <w:rPr>
                <w:rFonts w:eastAsia="PMingLiU"/>
                <w:sz w:val="20"/>
                <w:lang w:eastAsia="ko-KR"/>
              </w:rPr>
              <w:t>RSUS</w:t>
            </w:r>
            <w:r w:rsidRPr="00DA36D4">
              <w:rPr>
                <w:rFonts w:eastAsia="PMingLiU"/>
                <w:sz w:val="20"/>
                <w:lang w:eastAsia="ko-KR"/>
              </w:rPr>
              <w:t>.</w:t>
            </w:r>
            <w:r w:rsidR="00A66A9E">
              <w:rPr>
                <w:rFonts w:eastAsia="PMingLiU"/>
                <w:sz w:val="20"/>
                <w:lang w:eastAsia="ko-KR"/>
              </w:rPr>
              <w:t xml:space="preserve"> Otherwise set to 0.</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Duplex</w:t>
            </w:r>
          </w:p>
        </w:tc>
        <w:tc>
          <w:tcPr>
            <w:tcW w:w="0" w:type="auto"/>
          </w:tcPr>
          <w:p w:rsidR="00C94205" w:rsidRPr="00DA36D4" w:rsidRDefault="00C94205" w:rsidP="00C94205">
            <w:pPr>
              <w:rPr>
                <w:rFonts w:eastAsia="PMingLiU"/>
                <w:sz w:val="20"/>
                <w:lang w:eastAsia="ko-KR"/>
              </w:rPr>
            </w:pPr>
            <w:r w:rsidRPr="00DA36D4">
              <w:rPr>
                <w:rFonts w:eastAsia="PMingLiU"/>
                <w:sz w:val="20"/>
              </w:rPr>
              <w:t xml:space="preserve">Indicates whether </w:t>
            </w:r>
            <w:r w:rsidRPr="00DA36D4">
              <w:rPr>
                <w:rFonts w:eastAsia="PMingLiU"/>
                <w:sz w:val="20"/>
                <w:lang w:eastAsia="ko-KR"/>
              </w:rPr>
              <w:t xml:space="preserve">a </w:t>
            </w:r>
            <w:r w:rsidR="00A66A9E">
              <w:rPr>
                <w:rFonts w:eastAsia="PMingLiU"/>
                <w:sz w:val="20"/>
                <w:lang w:eastAsia="ko-KR"/>
              </w:rPr>
              <w:t xml:space="preserve">relay </w:t>
            </w:r>
            <w:r w:rsidRPr="00DA36D4">
              <w:rPr>
                <w:rFonts w:eastAsia="PMingLiU"/>
                <w:sz w:val="20"/>
                <w:lang w:eastAsia="ko-KR"/>
              </w:rPr>
              <w:t xml:space="preserve">STA </w:t>
            </w:r>
            <w:r w:rsidRPr="00DA36D4">
              <w:rPr>
                <w:rFonts w:eastAsia="PMingLiU"/>
                <w:sz w:val="20"/>
              </w:rPr>
              <w:t xml:space="preserve">is capable of </w:t>
            </w:r>
            <w:r w:rsidRPr="00DA36D4">
              <w:rPr>
                <w:rFonts w:eastAsia="PMingLiU"/>
                <w:sz w:val="20"/>
                <w:lang w:eastAsia="ko-KR"/>
              </w:rPr>
              <w:t>FD/AF or HD/DF.</w:t>
            </w:r>
          </w:p>
        </w:tc>
        <w:tc>
          <w:tcPr>
            <w:tcW w:w="0" w:type="auto"/>
          </w:tcPr>
          <w:p w:rsidR="00C94205" w:rsidRPr="00DA36D4" w:rsidRDefault="00C94205" w:rsidP="00C94205">
            <w:pPr>
              <w:rPr>
                <w:rFonts w:eastAsia="PMingLiU"/>
                <w:sz w:val="20"/>
              </w:rPr>
            </w:pPr>
            <w:r w:rsidRPr="00DA36D4">
              <w:rPr>
                <w:rFonts w:eastAsia="PMingLiU"/>
                <w:sz w:val="20"/>
              </w:rPr>
              <w:t xml:space="preserve">Set to </w:t>
            </w:r>
            <w:r w:rsidRPr="00DA36D4">
              <w:rPr>
                <w:rFonts w:eastAsia="PMingLiU"/>
                <w:sz w:val="20"/>
                <w:lang w:eastAsia="ko-KR"/>
              </w:rPr>
              <w:t>0</w:t>
            </w:r>
            <w:r w:rsidRPr="00DA36D4">
              <w:rPr>
                <w:rFonts w:eastAsia="PMingLiU"/>
                <w:sz w:val="20"/>
              </w:rPr>
              <w:t xml:space="preserve">1 if relay STA is </w:t>
            </w:r>
            <w:r w:rsidRPr="00DA36D4">
              <w:rPr>
                <w:rFonts w:eastAsia="PMingLiU"/>
                <w:sz w:val="20"/>
                <w:lang w:eastAsia="ko-KR"/>
              </w:rPr>
              <w:t xml:space="preserve">not </w:t>
            </w:r>
            <w:r w:rsidRPr="00DA36D4">
              <w:rPr>
                <w:rFonts w:eastAsia="PMingLiU"/>
                <w:sz w:val="20"/>
              </w:rPr>
              <w:t xml:space="preserve">capable of </w:t>
            </w:r>
            <w:r w:rsidRPr="00DA36D4">
              <w:rPr>
                <w:rFonts w:eastAsia="PMingLiU"/>
                <w:sz w:val="20"/>
                <w:lang w:eastAsia="ko-KR"/>
              </w:rPr>
              <w:t xml:space="preserve">HD/DF but only capable of </w:t>
            </w:r>
            <w:r w:rsidRPr="00DA36D4">
              <w:rPr>
                <w:rFonts w:eastAsia="PMingLiU"/>
                <w:sz w:val="20"/>
              </w:rPr>
              <w:t>FD/AF.</w:t>
            </w:r>
            <w:r>
              <w:rPr>
                <w:rFonts w:eastAsia="PMingLiU"/>
                <w:sz w:val="20"/>
              </w:rPr>
              <w:t xml:space="preserve"> </w:t>
            </w:r>
            <w:r w:rsidRPr="00DA36D4">
              <w:rPr>
                <w:rFonts w:eastAsia="PMingLiU"/>
                <w:sz w:val="20"/>
              </w:rPr>
              <w:t xml:space="preserve">Set to </w:t>
            </w:r>
            <w:r w:rsidRPr="00DA36D4">
              <w:rPr>
                <w:rFonts w:eastAsia="PMingLiU"/>
                <w:sz w:val="20"/>
                <w:lang w:eastAsia="ko-KR"/>
              </w:rPr>
              <w:t>1</w:t>
            </w:r>
            <w:r w:rsidRPr="00DA36D4">
              <w:rPr>
                <w:rFonts w:eastAsia="PMingLiU"/>
                <w:sz w:val="20"/>
              </w:rPr>
              <w:t>0 if relay STA is capable of HD/DF</w:t>
            </w:r>
            <w:r w:rsidRPr="00DA36D4">
              <w:rPr>
                <w:rFonts w:eastAsia="PMingLiU"/>
                <w:sz w:val="20"/>
                <w:lang w:eastAsia="ko-KR"/>
              </w:rPr>
              <w:t xml:space="preserve"> but not capable of FD/AF</w:t>
            </w:r>
            <w:r w:rsidRPr="00DA36D4">
              <w:rPr>
                <w:rFonts w:eastAsia="PMingLiU"/>
                <w:sz w:val="20"/>
              </w:rPr>
              <w:t>.</w:t>
            </w:r>
            <w:r>
              <w:rPr>
                <w:rFonts w:eastAsia="PMingLiU"/>
                <w:sz w:val="20"/>
              </w:rPr>
              <w:t xml:space="preserve"> </w:t>
            </w:r>
            <w:r w:rsidRPr="00DA36D4">
              <w:rPr>
                <w:rFonts w:eastAsia="PMingLiU"/>
                <w:sz w:val="20"/>
                <w:lang w:eastAsia="ko-KR"/>
              </w:rPr>
              <w:t>Set to 11 if relay STA is capable of both HD/DF and FD/AF.</w:t>
            </w:r>
            <w:r>
              <w:rPr>
                <w:rFonts w:eastAsia="PMingLiU"/>
                <w:sz w:val="20"/>
                <w:lang w:eastAsia="ko-KR"/>
              </w:rPr>
              <w:t xml:space="preserve"> The value </w:t>
            </w:r>
            <w:r w:rsidRPr="00DA36D4">
              <w:rPr>
                <w:rFonts w:eastAsia="PMingLiU"/>
                <w:sz w:val="20"/>
                <w:lang w:eastAsia="ko-KR"/>
              </w:rPr>
              <w:t>00 is reserved.</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Cooperation</w:t>
            </w:r>
          </w:p>
        </w:tc>
        <w:tc>
          <w:tcPr>
            <w:tcW w:w="0" w:type="auto"/>
          </w:tcPr>
          <w:p w:rsidR="00C94205" w:rsidRPr="00DA36D4" w:rsidRDefault="00C94205" w:rsidP="00C94205">
            <w:pPr>
              <w:rPr>
                <w:rFonts w:eastAsia="PMingLiU"/>
                <w:sz w:val="20"/>
              </w:rPr>
            </w:pPr>
            <w:r w:rsidRPr="00DA36D4">
              <w:rPr>
                <w:rFonts w:eastAsia="PMingLiU"/>
                <w:sz w:val="20"/>
              </w:rPr>
              <w:t>Indicates whether a STA is capable of supporting Link cooperating.</w:t>
            </w:r>
          </w:p>
        </w:tc>
        <w:tc>
          <w:tcPr>
            <w:tcW w:w="0" w:type="auto"/>
          </w:tcPr>
          <w:p w:rsidR="00C94205" w:rsidRPr="00DA36D4" w:rsidRDefault="00C94205" w:rsidP="00C94205">
            <w:pPr>
              <w:rPr>
                <w:rFonts w:eastAsia="PMingLiU"/>
                <w:sz w:val="20"/>
              </w:rPr>
            </w:pPr>
            <w:r w:rsidRPr="00DA36D4">
              <w:rPr>
                <w:rFonts w:eastAsia="PMingLiU"/>
                <w:sz w:val="20"/>
              </w:rPr>
              <w:t>Set to 1 if a STA supports</w:t>
            </w:r>
            <w:r w:rsidRPr="00DA36D4">
              <w:rPr>
                <w:rFonts w:eastAsia="PMingLiU"/>
                <w:sz w:val="20"/>
                <w:lang w:eastAsia="ko-KR"/>
              </w:rPr>
              <w:t xml:space="preserve"> both</w:t>
            </w:r>
            <w:r w:rsidRPr="00DA36D4">
              <w:rPr>
                <w:rFonts w:eastAsia="PMingLiU"/>
                <w:sz w:val="20"/>
              </w:rPr>
              <w:t xml:space="preserve"> Link cooperating</w:t>
            </w:r>
            <w:r w:rsidRPr="00DA36D4">
              <w:rPr>
                <w:rFonts w:eastAsia="PMingLiU"/>
                <w:sz w:val="20"/>
                <w:lang w:eastAsia="ko-KR"/>
              </w:rPr>
              <w:t xml:space="preserve"> type</w:t>
            </w:r>
            <w:r w:rsidRPr="00DA36D4">
              <w:rPr>
                <w:rFonts w:eastAsia="PMingLiU"/>
                <w:sz w:val="20"/>
              </w:rPr>
              <w:t xml:space="preserve"> </w:t>
            </w:r>
            <w:r w:rsidRPr="00DA36D4">
              <w:rPr>
                <w:rFonts w:eastAsia="PMingLiU"/>
                <w:sz w:val="20"/>
                <w:lang w:eastAsia="ko-KR"/>
              </w:rPr>
              <w:t>and</w:t>
            </w:r>
            <w:r w:rsidRPr="00DA36D4">
              <w:rPr>
                <w:rFonts w:eastAsia="PMingLiU"/>
                <w:sz w:val="20"/>
              </w:rPr>
              <w:t xml:space="preserve"> Link switching</w:t>
            </w:r>
            <w:r w:rsidRPr="00DA36D4">
              <w:rPr>
                <w:rFonts w:eastAsia="PMingLiU"/>
                <w:sz w:val="20"/>
                <w:lang w:eastAsia="ko-KR"/>
              </w:rPr>
              <w:t xml:space="preserve"> type</w:t>
            </w:r>
            <w:r w:rsidRPr="00DA36D4">
              <w:rPr>
                <w:rFonts w:eastAsia="PMingLiU"/>
                <w:sz w:val="20"/>
              </w:rPr>
              <w:t>.</w:t>
            </w:r>
            <w:r>
              <w:rPr>
                <w:rFonts w:eastAsia="PMingLiU"/>
                <w:sz w:val="20"/>
              </w:rPr>
              <w:t xml:space="preserve"> </w:t>
            </w:r>
            <w:r w:rsidRPr="00DA36D4">
              <w:rPr>
                <w:rFonts w:eastAsia="PMingLiU"/>
                <w:sz w:val="20"/>
              </w:rPr>
              <w:t xml:space="preserve">Set to 0 if a STA supports </w:t>
            </w:r>
            <w:r>
              <w:rPr>
                <w:rFonts w:eastAsia="PMingLiU"/>
                <w:sz w:val="20"/>
              </w:rPr>
              <w:t xml:space="preserve">only </w:t>
            </w:r>
            <w:r w:rsidRPr="00DA36D4">
              <w:rPr>
                <w:rFonts w:eastAsia="PMingLiU"/>
                <w:sz w:val="20"/>
              </w:rPr>
              <w:t xml:space="preserve">Link switching or if </w:t>
            </w:r>
            <w:r>
              <w:rPr>
                <w:rFonts w:eastAsia="PMingLiU"/>
                <w:sz w:val="20"/>
              </w:rPr>
              <w:t xml:space="preserve">the </w:t>
            </w:r>
            <w:r w:rsidRPr="00DA36D4">
              <w:rPr>
                <w:rFonts w:eastAsia="PMingLiU"/>
                <w:sz w:val="20"/>
              </w:rPr>
              <w:t xml:space="preserve">Duplex </w:t>
            </w:r>
            <w:r>
              <w:rPr>
                <w:rFonts w:eastAsia="PMingLiU"/>
                <w:sz w:val="20"/>
              </w:rPr>
              <w:t xml:space="preserve">field </w:t>
            </w:r>
            <w:r w:rsidRPr="00DA36D4">
              <w:rPr>
                <w:rFonts w:eastAsia="PMingLiU"/>
                <w:sz w:val="20"/>
              </w:rPr>
              <w:t>is set to 01.</w:t>
            </w:r>
          </w:p>
        </w:tc>
      </w:tr>
    </w:tbl>
    <w:p w:rsidR="00C94205" w:rsidRDefault="00C94205" w:rsidP="002E7191">
      <w:pPr>
        <w:autoSpaceDE w:val="0"/>
        <w:autoSpaceDN w:val="0"/>
        <w:adjustRightInd w:val="0"/>
        <w:rPr>
          <w:lang w:bidi="ar-SA"/>
        </w:rPr>
      </w:pPr>
    </w:p>
    <w:p w:rsidR="00C94205" w:rsidRPr="009448FC" w:rsidRDefault="00C94205" w:rsidP="00C94205">
      <w:pPr>
        <w:pStyle w:val="Heading4"/>
        <w:numPr>
          <w:ilvl w:val="3"/>
          <w:numId w:val="152"/>
        </w:numPr>
      </w:pPr>
      <w:bookmarkStart w:id="739" w:name="_Ref259712240"/>
      <w:bookmarkStart w:id="740" w:name="_Ref259712241"/>
      <w:bookmarkStart w:id="741" w:name="_Toc259716949"/>
      <w:r>
        <w:rPr>
          <w:lang w:eastAsia="ko-KR"/>
        </w:rPr>
        <w:t>Relay transfer parameter set element</w:t>
      </w:r>
      <w:bookmarkEnd w:id="739"/>
      <w:bookmarkEnd w:id="740"/>
      <w:bookmarkEnd w:id="741"/>
    </w:p>
    <w:p w:rsidR="00C94205" w:rsidRDefault="00C94205" w:rsidP="002E7191">
      <w:pPr>
        <w:autoSpaceDE w:val="0"/>
        <w:autoSpaceDN w:val="0"/>
        <w:adjustRightInd w:val="0"/>
        <w:rPr>
          <w:lang w:bidi="ar-SA"/>
        </w:rPr>
      </w:pPr>
    </w:p>
    <w:p w:rsidR="00C94205" w:rsidRPr="001F768F" w:rsidRDefault="00C94205" w:rsidP="00C94205">
      <w:r w:rsidRPr="001F768F">
        <w:t xml:space="preserve">A </w:t>
      </w:r>
      <w:r w:rsidRPr="001F768F">
        <w:rPr>
          <w:lang w:eastAsia="ko-KR"/>
        </w:rPr>
        <w:t>source RUS</w:t>
      </w:r>
      <w:r w:rsidRPr="001F768F">
        <w:t xml:space="preserve"> which intends to </w:t>
      </w:r>
      <w:r w:rsidRPr="001F768F">
        <w:rPr>
          <w:lang w:eastAsia="ko-KR"/>
        </w:rPr>
        <w:t>transfer frames via an RSUS</w:t>
      </w:r>
      <w:r w:rsidRPr="001F768F">
        <w:t xml:space="preserve"> advertizes </w:t>
      </w:r>
      <w:r w:rsidRPr="001F768F">
        <w:rPr>
          <w:lang w:eastAsia="ko-KR"/>
        </w:rPr>
        <w:t xml:space="preserve">the parameters for the relay operation with the </w:t>
      </w:r>
      <w:r w:rsidRPr="001F768F">
        <w:t xml:space="preserve">transmission of a Relay </w:t>
      </w:r>
      <w:r w:rsidRPr="001F768F">
        <w:rPr>
          <w:lang w:eastAsia="ko-KR"/>
        </w:rPr>
        <w:t>Transfer Parameter Set</w:t>
      </w:r>
      <w:r w:rsidRPr="001F768F">
        <w:t xml:space="preserve"> element. The Relay </w:t>
      </w:r>
      <w:r w:rsidRPr="001F768F">
        <w:rPr>
          <w:lang w:eastAsia="ko-KR"/>
        </w:rPr>
        <w:t>Transfer Parameter Set</w:t>
      </w:r>
      <w:r w:rsidRPr="001F768F">
        <w:t xml:space="preserve"> element is defined in</w:t>
      </w:r>
      <w:r w:rsidR="001F768F" w:rsidRPr="001F768F">
        <w:t xml:space="preserve"> </w:t>
      </w:r>
      <w:r w:rsidR="00BD151C">
        <w:fldChar w:fldCharType="begin"/>
      </w:r>
      <w:r w:rsidR="001F768F">
        <w:instrText xml:space="preserve"> REF _Ref259708231 \h </w:instrText>
      </w:r>
      <w:r w:rsidR="00BD151C">
        <w:fldChar w:fldCharType="separate"/>
      </w:r>
      <w:r w:rsidR="003E4210">
        <w:t xml:space="preserve">Figure </w:t>
      </w:r>
      <w:r w:rsidR="003E4210">
        <w:rPr>
          <w:noProof/>
        </w:rPr>
        <w:t>66</w:t>
      </w:r>
      <w:r w:rsidR="00BD151C">
        <w:fldChar w:fldCharType="end"/>
      </w:r>
      <w:r w:rsidRPr="001F768F">
        <w:t xml:space="preserve">. </w:t>
      </w:r>
    </w:p>
    <w:p w:rsidR="00C94205" w:rsidRPr="001D7782" w:rsidRDefault="00C94205" w:rsidP="00C94205">
      <w:pPr>
        <w:rPr>
          <w:sz w:val="22"/>
          <w:szCs w:val="22"/>
        </w:rPr>
      </w:pPr>
    </w:p>
    <w:tbl>
      <w:tblPr>
        <w:tblW w:w="0" w:type="auto"/>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
        <w:gridCol w:w="840"/>
        <w:gridCol w:w="2476"/>
      </w:tblGrid>
      <w:tr w:rsidR="00C94205" w:rsidRPr="001D7F82" w:rsidTr="00C94205">
        <w:trPr>
          <w:jc w:val="center"/>
        </w:trPr>
        <w:tc>
          <w:tcPr>
            <w:tcW w:w="1337" w:type="dxa"/>
          </w:tcPr>
          <w:p w:rsidR="00C94205" w:rsidRPr="00DA36D4" w:rsidRDefault="00C94205" w:rsidP="00C94205">
            <w:pPr>
              <w:rPr>
                <w:rFonts w:eastAsia="PMingLiU"/>
              </w:rPr>
            </w:pPr>
            <w:r w:rsidRPr="00DA36D4">
              <w:rPr>
                <w:rFonts w:eastAsia="PMingLiU"/>
                <w:sz w:val="22"/>
                <w:szCs w:val="22"/>
              </w:rPr>
              <w:t>Element ID</w:t>
            </w:r>
          </w:p>
        </w:tc>
        <w:tc>
          <w:tcPr>
            <w:tcW w:w="0" w:type="auto"/>
          </w:tcPr>
          <w:p w:rsidR="00C94205" w:rsidRPr="00DA36D4" w:rsidRDefault="00C94205" w:rsidP="00C94205">
            <w:pPr>
              <w:rPr>
                <w:rFonts w:eastAsia="PMingLiU"/>
              </w:rPr>
            </w:pPr>
            <w:r w:rsidRPr="00DA36D4">
              <w:rPr>
                <w:rFonts w:eastAsia="PMingLiU"/>
                <w:sz w:val="22"/>
                <w:szCs w:val="22"/>
              </w:rPr>
              <w:t>Length</w:t>
            </w:r>
          </w:p>
        </w:tc>
        <w:tc>
          <w:tcPr>
            <w:tcW w:w="0" w:type="auto"/>
          </w:tcPr>
          <w:p w:rsidR="00C94205" w:rsidRPr="00DA36D4" w:rsidRDefault="00C94205" w:rsidP="00C94205">
            <w:pPr>
              <w:rPr>
                <w:rFonts w:eastAsia="PMingLiU"/>
              </w:rPr>
            </w:pPr>
            <w:r w:rsidRPr="00DA36D4">
              <w:rPr>
                <w:rFonts w:eastAsia="PMingLiU"/>
                <w:sz w:val="22"/>
                <w:szCs w:val="22"/>
              </w:rPr>
              <w:t xml:space="preserve">Relay </w:t>
            </w:r>
            <w:r w:rsidRPr="00DA36D4">
              <w:rPr>
                <w:rFonts w:eastAsia="PMingLiU"/>
                <w:sz w:val="22"/>
                <w:szCs w:val="22"/>
                <w:lang w:eastAsia="ko-KR"/>
              </w:rPr>
              <w:t>Transfer Parameter</w:t>
            </w:r>
          </w:p>
        </w:tc>
      </w:tr>
      <w:tr w:rsidR="00C94205" w:rsidRPr="001D7F82" w:rsidTr="00C94205">
        <w:trPr>
          <w:jc w:val="center"/>
        </w:trPr>
        <w:tc>
          <w:tcPr>
            <w:tcW w:w="1337" w:type="dxa"/>
          </w:tcPr>
          <w:p w:rsidR="00C94205" w:rsidRPr="00DA36D4" w:rsidRDefault="00C94205" w:rsidP="00C94205">
            <w:pPr>
              <w:rPr>
                <w:rFonts w:eastAsia="PMingLiU"/>
              </w:rPr>
            </w:pPr>
            <w:r w:rsidRPr="00E55F0A">
              <w:rPr>
                <w:rFonts w:eastAsia="SimSun"/>
                <w:sz w:val="22"/>
                <w:szCs w:val="22"/>
              </w:rPr>
              <w:t>Octets:</w:t>
            </w:r>
            <w:r w:rsidRPr="00DA36D4">
              <w:rPr>
                <w:rFonts w:eastAsia="PMingLiU"/>
                <w:sz w:val="22"/>
                <w:szCs w:val="22"/>
              </w:rPr>
              <w:t>1</w:t>
            </w:r>
          </w:p>
        </w:tc>
        <w:tc>
          <w:tcPr>
            <w:tcW w:w="0" w:type="auto"/>
          </w:tcPr>
          <w:p w:rsidR="00C94205" w:rsidRPr="00DA36D4" w:rsidRDefault="00C94205" w:rsidP="00C94205">
            <w:pPr>
              <w:rPr>
                <w:rFonts w:eastAsia="PMingLiU"/>
              </w:rPr>
            </w:pPr>
            <w:r w:rsidRPr="00DA36D4">
              <w:rPr>
                <w:rFonts w:eastAsia="PMingLiU"/>
                <w:sz w:val="22"/>
                <w:szCs w:val="22"/>
              </w:rPr>
              <w:t>1</w:t>
            </w:r>
          </w:p>
        </w:tc>
        <w:tc>
          <w:tcPr>
            <w:tcW w:w="0" w:type="auto"/>
          </w:tcPr>
          <w:p w:rsidR="00C94205" w:rsidRPr="00DA36D4" w:rsidRDefault="00C94205" w:rsidP="00C94205">
            <w:pPr>
              <w:rPr>
                <w:rFonts w:eastAsia="PMingLiU"/>
                <w:lang w:eastAsia="ko-KR"/>
              </w:rPr>
            </w:pPr>
            <w:r w:rsidRPr="00DA36D4">
              <w:rPr>
                <w:rFonts w:eastAsia="PMingLiU"/>
                <w:sz w:val="22"/>
                <w:szCs w:val="22"/>
                <w:lang w:eastAsia="ko-KR"/>
              </w:rPr>
              <w:t>8</w:t>
            </w:r>
          </w:p>
        </w:tc>
      </w:tr>
    </w:tbl>
    <w:p w:rsidR="001F768F" w:rsidRDefault="001F768F" w:rsidP="001F768F">
      <w:pPr>
        <w:pStyle w:val="Caption"/>
        <w:rPr>
          <w:rFonts w:ascii="Times New Roman" w:hAnsi="Times New Roman"/>
          <w:sz w:val="22"/>
          <w:szCs w:val="22"/>
        </w:rPr>
      </w:pPr>
      <w:bookmarkStart w:id="742" w:name="_Ref259708231"/>
      <w:bookmarkStart w:id="743" w:name="_Toc259717498"/>
      <w:r>
        <w:t xml:space="preserve">Figure </w:t>
      </w:r>
      <w:fldSimple w:instr=" SEQ Figure \* ARABIC ">
        <w:r w:rsidR="003E4210">
          <w:rPr>
            <w:noProof/>
          </w:rPr>
          <w:t>66</w:t>
        </w:r>
      </w:fldSimple>
      <w:bookmarkEnd w:id="742"/>
      <w:r>
        <w:t xml:space="preserve"> – Relay transfer parameter set element format</w:t>
      </w:r>
      <w:bookmarkEnd w:id="743"/>
    </w:p>
    <w:p w:rsidR="00C94205" w:rsidRPr="00E55F0A" w:rsidRDefault="00C94205" w:rsidP="00C94205">
      <w:pPr>
        <w:rPr>
          <w:sz w:val="22"/>
          <w:szCs w:val="22"/>
        </w:rPr>
      </w:pPr>
    </w:p>
    <w:p w:rsidR="00C94205" w:rsidRPr="001F768F" w:rsidRDefault="00C94205" w:rsidP="00C94205">
      <w:pPr>
        <w:rPr>
          <w:lang w:eastAsia="ko-KR"/>
        </w:rPr>
      </w:pPr>
      <w:r w:rsidRPr="001F768F">
        <w:rPr>
          <w:lang w:eastAsia="ko-KR"/>
        </w:rPr>
        <w:t>The Relay Transfer Parameter field is defined in</w:t>
      </w:r>
      <w:r w:rsidR="001F768F" w:rsidRPr="001F768F">
        <w:rPr>
          <w:lang w:eastAsia="ko-KR"/>
        </w:rPr>
        <w:t xml:space="preserve"> </w:t>
      </w:r>
      <w:fldSimple w:instr=" REF _Ref259708234 \h  \* MERGEFORMAT ">
        <w:r w:rsidR="003E4210">
          <w:rPr>
            <w:lang w:eastAsia="ko-KR"/>
          </w:rPr>
          <w:t>Figure 67</w:t>
        </w:r>
      </w:fldSimple>
      <w:r w:rsidRPr="001F768F">
        <w:rPr>
          <w:lang w:eastAsia="ko-KR"/>
        </w:rPr>
        <w:t>.</w:t>
      </w:r>
    </w:p>
    <w:p w:rsidR="00C94205" w:rsidRPr="00E55F0A" w:rsidRDefault="00C94205" w:rsidP="00C94205">
      <w:pPr>
        <w:rPr>
          <w:sz w:val="22"/>
          <w:szCs w:val="22"/>
        </w:rPr>
      </w:pPr>
      <w:r w:rsidRPr="00E55F0A">
        <w:rPr>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993"/>
        <w:gridCol w:w="1377"/>
        <w:gridCol w:w="730"/>
        <w:gridCol w:w="1035"/>
        <w:gridCol w:w="1313"/>
        <w:gridCol w:w="1246"/>
        <w:gridCol w:w="841"/>
        <w:gridCol w:w="999"/>
        <w:gridCol w:w="1035"/>
      </w:tblGrid>
      <w:tr w:rsidR="00C94205" w:rsidRPr="001D7F82" w:rsidTr="00C94205">
        <w:trPr>
          <w:jc w:val="center"/>
        </w:trPr>
        <w:tc>
          <w:tcPr>
            <w:tcW w:w="197" w:type="pct"/>
          </w:tcPr>
          <w:p w:rsidR="00C94205" w:rsidRPr="00DA36D4" w:rsidRDefault="00C94205" w:rsidP="00C94205">
            <w:pPr>
              <w:rPr>
                <w:rFonts w:eastAsia="PMingLiU"/>
              </w:rPr>
            </w:pPr>
          </w:p>
        </w:tc>
        <w:tc>
          <w:tcPr>
            <w:tcW w:w="527" w:type="pct"/>
          </w:tcPr>
          <w:p w:rsidR="00C94205" w:rsidRPr="00DA36D4" w:rsidRDefault="00C94205" w:rsidP="00C94205">
            <w:pPr>
              <w:rPr>
                <w:rFonts w:eastAsia="PMingLiU"/>
              </w:rPr>
            </w:pPr>
            <w:r w:rsidRPr="00DA36D4">
              <w:rPr>
                <w:rFonts w:eastAsia="PMingLiU"/>
                <w:sz w:val="22"/>
                <w:szCs w:val="22"/>
                <w:lang w:eastAsia="ko-KR"/>
              </w:rPr>
              <w:t>Duplex-Mode</w:t>
            </w:r>
            <w:r w:rsidRPr="00DA36D4">
              <w:rPr>
                <w:rFonts w:eastAsia="PMingLiU"/>
                <w:sz w:val="22"/>
                <w:szCs w:val="22"/>
              </w:rPr>
              <w:t xml:space="preserve"> </w:t>
            </w:r>
          </w:p>
        </w:tc>
        <w:tc>
          <w:tcPr>
            <w:tcW w:w="706" w:type="pct"/>
          </w:tcPr>
          <w:p w:rsidR="00C94205" w:rsidRPr="00DA36D4" w:rsidRDefault="00C94205" w:rsidP="00C94205">
            <w:pPr>
              <w:rPr>
                <w:rFonts w:eastAsia="PMingLiU"/>
              </w:rPr>
            </w:pPr>
            <w:r w:rsidRPr="00DA36D4">
              <w:rPr>
                <w:rFonts w:eastAsia="PMingLiU"/>
                <w:sz w:val="22"/>
                <w:szCs w:val="22"/>
                <w:lang w:eastAsia="ko-KR"/>
              </w:rPr>
              <w:t>Cooperation-Mode</w:t>
            </w:r>
          </w:p>
        </w:tc>
        <w:tc>
          <w:tcPr>
            <w:tcW w:w="387" w:type="pct"/>
          </w:tcPr>
          <w:p w:rsidR="00C94205" w:rsidRPr="00DA36D4" w:rsidRDefault="00C94205" w:rsidP="00C94205">
            <w:pPr>
              <w:rPr>
                <w:rFonts w:eastAsia="PMingLiU"/>
                <w:lang w:eastAsia="ko-KR"/>
              </w:rPr>
            </w:pPr>
            <w:r w:rsidRPr="00DA36D4">
              <w:rPr>
                <w:rFonts w:eastAsia="PMingLiU"/>
                <w:sz w:val="22"/>
                <w:szCs w:val="22"/>
                <w:lang w:eastAsia="ko-KR"/>
              </w:rPr>
              <w:t>Tx-Mode</w:t>
            </w:r>
          </w:p>
        </w:tc>
        <w:tc>
          <w:tcPr>
            <w:tcW w:w="421" w:type="pct"/>
          </w:tcPr>
          <w:p w:rsidR="00C94205" w:rsidRPr="00DA36D4" w:rsidRDefault="00C94205" w:rsidP="00C94205">
            <w:pPr>
              <w:rPr>
                <w:rFonts w:eastAsia="PMingLiU"/>
                <w:lang w:eastAsia="ko-KR"/>
              </w:rPr>
            </w:pPr>
            <w:r w:rsidRPr="00DA36D4">
              <w:rPr>
                <w:rFonts w:eastAsia="PMingLiU"/>
                <w:sz w:val="22"/>
                <w:szCs w:val="22"/>
                <w:lang w:eastAsia="ko-KR"/>
              </w:rPr>
              <w:t>Reserved</w:t>
            </w:r>
          </w:p>
        </w:tc>
        <w:tc>
          <w:tcPr>
            <w:tcW w:w="706" w:type="pct"/>
          </w:tcPr>
          <w:p w:rsidR="00C94205" w:rsidRPr="00DA36D4" w:rsidRDefault="00C94205" w:rsidP="00C94205">
            <w:pPr>
              <w:rPr>
                <w:rFonts w:eastAsia="PMingLiU"/>
              </w:rPr>
            </w:pPr>
            <w:r w:rsidRPr="00DA36D4">
              <w:rPr>
                <w:rFonts w:eastAsia="PMingLiU"/>
                <w:sz w:val="22"/>
                <w:szCs w:val="22"/>
                <w:lang w:eastAsia="ko-KR"/>
              </w:rPr>
              <w:t>Link Change Interval</w:t>
            </w:r>
          </w:p>
        </w:tc>
        <w:tc>
          <w:tcPr>
            <w:tcW w:w="652" w:type="pct"/>
          </w:tcPr>
          <w:p w:rsidR="00C94205" w:rsidRPr="00DA36D4" w:rsidRDefault="00C94205" w:rsidP="00C94205">
            <w:pPr>
              <w:rPr>
                <w:rFonts w:eastAsia="PMingLiU"/>
              </w:rPr>
            </w:pPr>
            <w:r w:rsidRPr="00DA36D4">
              <w:rPr>
                <w:rFonts w:eastAsia="PMingLiU"/>
                <w:sz w:val="22"/>
                <w:szCs w:val="22"/>
                <w:lang w:eastAsia="ko-KR"/>
              </w:rPr>
              <w:t>Data Sensing Time</w:t>
            </w:r>
          </w:p>
        </w:tc>
        <w:tc>
          <w:tcPr>
            <w:tcW w:w="452" w:type="pct"/>
          </w:tcPr>
          <w:p w:rsidR="00C94205" w:rsidRPr="00DA36D4" w:rsidRDefault="00C94205" w:rsidP="00C94205">
            <w:pPr>
              <w:rPr>
                <w:rFonts w:eastAsia="PMingLiU"/>
              </w:rPr>
            </w:pPr>
            <w:r w:rsidRPr="00DA36D4">
              <w:rPr>
                <w:rFonts w:eastAsia="PMingLiU"/>
                <w:sz w:val="22"/>
                <w:szCs w:val="22"/>
                <w:lang w:eastAsia="ko-KR"/>
              </w:rPr>
              <w:t xml:space="preserve">First Period </w:t>
            </w:r>
          </w:p>
        </w:tc>
        <w:tc>
          <w:tcPr>
            <w:tcW w:w="530" w:type="pct"/>
          </w:tcPr>
          <w:p w:rsidR="00C94205" w:rsidRPr="00DA36D4" w:rsidRDefault="00C94205" w:rsidP="00C94205">
            <w:pPr>
              <w:rPr>
                <w:rFonts w:eastAsia="PMingLiU"/>
              </w:rPr>
            </w:pPr>
            <w:r w:rsidRPr="00DA36D4">
              <w:rPr>
                <w:rFonts w:eastAsia="PMingLiU"/>
                <w:sz w:val="22"/>
                <w:szCs w:val="22"/>
                <w:lang w:eastAsia="ko-KR"/>
              </w:rPr>
              <w:t xml:space="preserve">Second Period </w:t>
            </w:r>
          </w:p>
        </w:tc>
        <w:tc>
          <w:tcPr>
            <w:tcW w:w="421" w:type="pct"/>
          </w:tcPr>
          <w:p w:rsidR="00C94205" w:rsidRPr="00DA36D4" w:rsidRDefault="00C94205" w:rsidP="00C94205">
            <w:pPr>
              <w:rPr>
                <w:rFonts w:eastAsia="PMingLiU"/>
                <w:lang w:eastAsia="ko-KR"/>
              </w:rPr>
            </w:pPr>
          </w:p>
          <w:p w:rsidR="00C94205" w:rsidRPr="00DA36D4" w:rsidRDefault="00C94205" w:rsidP="00C94205">
            <w:pPr>
              <w:rPr>
                <w:rFonts w:eastAsia="PMingLiU"/>
                <w:lang w:eastAsia="ko-KR"/>
              </w:rPr>
            </w:pPr>
            <w:r w:rsidRPr="00DA36D4">
              <w:rPr>
                <w:rFonts w:eastAsia="PMingLiU"/>
                <w:sz w:val="22"/>
                <w:szCs w:val="22"/>
                <w:lang w:eastAsia="ko-KR"/>
              </w:rPr>
              <w:t>Reserved</w:t>
            </w:r>
          </w:p>
        </w:tc>
      </w:tr>
      <w:tr w:rsidR="00C94205" w:rsidRPr="001D7F82" w:rsidTr="00C94205">
        <w:trPr>
          <w:jc w:val="center"/>
        </w:trPr>
        <w:tc>
          <w:tcPr>
            <w:tcW w:w="197" w:type="pct"/>
          </w:tcPr>
          <w:p w:rsidR="00C94205" w:rsidRPr="00DA36D4" w:rsidRDefault="00C94205" w:rsidP="00C94205">
            <w:pPr>
              <w:rPr>
                <w:rFonts w:eastAsia="PMingLiU"/>
              </w:rPr>
            </w:pPr>
            <w:r w:rsidRPr="00DA36D4">
              <w:rPr>
                <w:rFonts w:eastAsia="PMingLiU"/>
                <w:sz w:val="22"/>
                <w:szCs w:val="22"/>
              </w:rPr>
              <w:t>Bit:</w:t>
            </w:r>
          </w:p>
        </w:tc>
        <w:tc>
          <w:tcPr>
            <w:tcW w:w="527" w:type="pct"/>
          </w:tcPr>
          <w:p w:rsidR="00C94205" w:rsidRPr="00DA36D4" w:rsidRDefault="00C94205" w:rsidP="00C94205">
            <w:pPr>
              <w:rPr>
                <w:rFonts w:eastAsia="PMingLiU"/>
                <w:lang w:eastAsia="ko-KR"/>
              </w:rPr>
            </w:pPr>
            <w:r w:rsidRPr="00DA36D4">
              <w:rPr>
                <w:rFonts w:eastAsia="PMingLiU"/>
                <w:sz w:val="22"/>
                <w:szCs w:val="22"/>
              </w:rPr>
              <w:t xml:space="preserve"> B0</w:t>
            </w:r>
          </w:p>
        </w:tc>
        <w:tc>
          <w:tcPr>
            <w:tcW w:w="706" w:type="pct"/>
          </w:tcPr>
          <w:p w:rsidR="00C94205" w:rsidRPr="00DA36D4" w:rsidRDefault="00C94205" w:rsidP="00C94205">
            <w:pPr>
              <w:rPr>
                <w:rFonts w:eastAsia="PMingLiU"/>
              </w:rPr>
            </w:pPr>
            <w:r w:rsidRPr="00DA36D4">
              <w:rPr>
                <w:rFonts w:eastAsia="PMingLiU"/>
                <w:sz w:val="22"/>
                <w:szCs w:val="22"/>
              </w:rPr>
              <w:t>B1</w:t>
            </w:r>
          </w:p>
        </w:tc>
        <w:tc>
          <w:tcPr>
            <w:tcW w:w="387" w:type="pct"/>
          </w:tcPr>
          <w:p w:rsidR="00C94205" w:rsidRPr="00DA36D4" w:rsidRDefault="00C94205" w:rsidP="00C94205">
            <w:pPr>
              <w:rPr>
                <w:rFonts w:eastAsia="PMingLiU"/>
              </w:rPr>
            </w:pPr>
            <w:r w:rsidRPr="00DA36D4">
              <w:rPr>
                <w:rFonts w:eastAsia="PMingLiU"/>
                <w:sz w:val="22"/>
                <w:szCs w:val="22"/>
              </w:rPr>
              <w:t>B2</w:t>
            </w:r>
          </w:p>
        </w:tc>
        <w:tc>
          <w:tcPr>
            <w:tcW w:w="421" w:type="pct"/>
          </w:tcPr>
          <w:p w:rsidR="00C94205" w:rsidRPr="00DA36D4" w:rsidRDefault="00C94205" w:rsidP="00C94205">
            <w:pPr>
              <w:rPr>
                <w:rFonts w:eastAsia="PMingLiU"/>
                <w:lang w:eastAsia="ko-KR"/>
              </w:rPr>
            </w:pPr>
            <w:r w:rsidRPr="00DA36D4">
              <w:rPr>
                <w:rFonts w:eastAsia="PMingLiU"/>
                <w:sz w:val="22"/>
                <w:szCs w:val="22"/>
                <w:lang w:eastAsia="ko-KR"/>
              </w:rPr>
              <w:t>B3-B7</w:t>
            </w:r>
          </w:p>
        </w:tc>
        <w:tc>
          <w:tcPr>
            <w:tcW w:w="706" w:type="pct"/>
          </w:tcPr>
          <w:p w:rsidR="00C94205" w:rsidRPr="00DA36D4" w:rsidRDefault="00C94205" w:rsidP="00C94205">
            <w:pPr>
              <w:keepNext/>
              <w:rPr>
                <w:rFonts w:eastAsia="PMingLiU"/>
                <w:lang w:eastAsia="ko-KR"/>
              </w:rPr>
            </w:pPr>
            <w:r w:rsidRPr="00DA36D4">
              <w:rPr>
                <w:rFonts w:eastAsia="PMingLiU"/>
                <w:sz w:val="22"/>
                <w:szCs w:val="22"/>
              </w:rPr>
              <w:t>B</w:t>
            </w:r>
            <w:r w:rsidRPr="00DA36D4">
              <w:rPr>
                <w:rFonts w:eastAsia="PMingLiU"/>
                <w:sz w:val="22"/>
                <w:szCs w:val="22"/>
                <w:lang w:eastAsia="ko-KR"/>
              </w:rPr>
              <w:t>8-B15</w:t>
            </w:r>
          </w:p>
        </w:tc>
        <w:tc>
          <w:tcPr>
            <w:tcW w:w="652" w:type="pct"/>
          </w:tcPr>
          <w:p w:rsidR="00C94205" w:rsidRPr="00DA36D4" w:rsidRDefault="00C94205" w:rsidP="00C94205">
            <w:pPr>
              <w:keepNext/>
              <w:rPr>
                <w:rFonts w:eastAsia="PMingLiU"/>
              </w:rPr>
            </w:pPr>
            <w:r w:rsidRPr="00DA36D4">
              <w:rPr>
                <w:rFonts w:eastAsia="PMingLiU"/>
                <w:sz w:val="22"/>
                <w:szCs w:val="22"/>
              </w:rPr>
              <w:t>B</w:t>
            </w:r>
            <w:r w:rsidRPr="00DA36D4">
              <w:rPr>
                <w:rFonts w:eastAsia="PMingLiU"/>
                <w:sz w:val="22"/>
                <w:szCs w:val="22"/>
                <w:lang w:eastAsia="ko-KR"/>
              </w:rPr>
              <w:t>16-B23</w:t>
            </w:r>
          </w:p>
        </w:tc>
        <w:tc>
          <w:tcPr>
            <w:tcW w:w="452" w:type="pct"/>
          </w:tcPr>
          <w:p w:rsidR="00C94205" w:rsidRPr="00DA36D4" w:rsidRDefault="00C94205" w:rsidP="00C94205">
            <w:pPr>
              <w:keepNext/>
              <w:rPr>
                <w:rFonts w:eastAsia="PMingLiU"/>
              </w:rPr>
            </w:pPr>
            <w:r w:rsidRPr="00DA36D4">
              <w:rPr>
                <w:rFonts w:eastAsia="PMingLiU"/>
                <w:sz w:val="22"/>
                <w:szCs w:val="22"/>
              </w:rPr>
              <w:t>B</w:t>
            </w:r>
            <w:r w:rsidRPr="00DA36D4">
              <w:rPr>
                <w:rFonts w:eastAsia="PMingLiU"/>
                <w:sz w:val="22"/>
                <w:szCs w:val="22"/>
                <w:lang w:eastAsia="ko-KR"/>
              </w:rPr>
              <w:t>24-B39</w:t>
            </w:r>
          </w:p>
        </w:tc>
        <w:tc>
          <w:tcPr>
            <w:tcW w:w="530" w:type="pct"/>
          </w:tcPr>
          <w:p w:rsidR="00C94205" w:rsidRPr="00DA36D4" w:rsidRDefault="00C94205" w:rsidP="00C94205">
            <w:pPr>
              <w:keepNext/>
              <w:rPr>
                <w:rFonts w:eastAsia="PMingLiU"/>
                <w:lang w:eastAsia="ko-KR"/>
              </w:rPr>
            </w:pPr>
            <w:r w:rsidRPr="00DA36D4">
              <w:rPr>
                <w:rFonts w:eastAsia="PMingLiU"/>
                <w:sz w:val="22"/>
                <w:szCs w:val="22"/>
              </w:rPr>
              <w:t>B</w:t>
            </w:r>
            <w:r w:rsidRPr="00DA36D4">
              <w:rPr>
                <w:rFonts w:eastAsia="PMingLiU"/>
                <w:sz w:val="22"/>
                <w:szCs w:val="22"/>
                <w:lang w:eastAsia="ko-KR"/>
              </w:rPr>
              <w:t>40-B55</w:t>
            </w:r>
          </w:p>
        </w:tc>
        <w:tc>
          <w:tcPr>
            <w:tcW w:w="421" w:type="pct"/>
          </w:tcPr>
          <w:p w:rsidR="00C94205" w:rsidRPr="00DA36D4" w:rsidRDefault="00C94205" w:rsidP="00C94205">
            <w:pPr>
              <w:keepNext/>
              <w:rPr>
                <w:rFonts w:eastAsia="PMingLiU"/>
              </w:rPr>
            </w:pPr>
            <w:r w:rsidRPr="00DA36D4">
              <w:rPr>
                <w:rFonts w:eastAsia="PMingLiU"/>
                <w:sz w:val="22"/>
                <w:szCs w:val="22"/>
              </w:rPr>
              <w:t>B</w:t>
            </w:r>
            <w:r w:rsidRPr="00DA36D4">
              <w:rPr>
                <w:rFonts w:eastAsia="PMingLiU"/>
                <w:sz w:val="22"/>
                <w:szCs w:val="22"/>
                <w:lang w:eastAsia="ko-KR"/>
              </w:rPr>
              <w:t>56-</w:t>
            </w:r>
            <w:r w:rsidRPr="00DA36D4">
              <w:rPr>
                <w:rFonts w:eastAsia="PMingLiU"/>
                <w:sz w:val="22"/>
                <w:szCs w:val="22"/>
              </w:rPr>
              <w:t>B</w:t>
            </w:r>
            <w:r w:rsidRPr="00DA36D4">
              <w:rPr>
                <w:rFonts w:eastAsia="PMingLiU"/>
                <w:sz w:val="22"/>
                <w:szCs w:val="22"/>
                <w:lang w:eastAsia="ko-KR"/>
              </w:rPr>
              <w:t>63</w:t>
            </w:r>
          </w:p>
        </w:tc>
      </w:tr>
    </w:tbl>
    <w:p w:rsidR="001F768F" w:rsidRDefault="001F768F" w:rsidP="001F768F">
      <w:pPr>
        <w:pStyle w:val="Caption"/>
        <w:rPr>
          <w:rFonts w:ascii="Times New Roman" w:hAnsi="Times New Roman"/>
          <w:sz w:val="22"/>
          <w:szCs w:val="22"/>
        </w:rPr>
      </w:pPr>
      <w:bookmarkStart w:id="744" w:name="_Ref259708234"/>
      <w:bookmarkStart w:id="745" w:name="_Toc259717499"/>
      <w:r>
        <w:t xml:space="preserve">Figure </w:t>
      </w:r>
      <w:fldSimple w:instr=" SEQ Figure \* ARABIC ">
        <w:r w:rsidR="003E4210">
          <w:rPr>
            <w:noProof/>
          </w:rPr>
          <w:t>67</w:t>
        </w:r>
      </w:fldSimple>
      <w:bookmarkEnd w:id="744"/>
      <w:r>
        <w:t xml:space="preserve"> – Relay transfer parameter field</w:t>
      </w:r>
      <w:bookmarkEnd w:id="745"/>
    </w:p>
    <w:p w:rsidR="00C94205" w:rsidRPr="00E55F0A" w:rsidRDefault="00C94205" w:rsidP="00C94205">
      <w:pPr>
        <w:rPr>
          <w:sz w:val="22"/>
          <w:szCs w:val="22"/>
          <w:lang w:eastAsia="ko-KR"/>
        </w:rPr>
      </w:pPr>
    </w:p>
    <w:p w:rsidR="00C94205" w:rsidRPr="001F768F" w:rsidRDefault="00C94205" w:rsidP="00C94205">
      <w:pPr>
        <w:rPr>
          <w:lang w:eastAsia="ko-KR"/>
        </w:rPr>
      </w:pPr>
      <w:r w:rsidRPr="001F768F">
        <w:rPr>
          <w:lang w:eastAsia="ko-KR"/>
        </w:rPr>
        <w:t>The Duplex-Mode subfield indicates that the source RUS set the duplex mode of the RSUS involved in RLS. The Duplex-Mode subfield value is set to 0 if the RSUS operates in HD/DF mode. It is set to 1 if the RSUS operates in FD/AF mode.</w:t>
      </w:r>
    </w:p>
    <w:p w:rsidR="00C94205" w:rsidRPr="001F768F" w:rsidRDefault="00C94205" w:rsidP="00C94205">
      <w:pPr>
        <w:rPr>
          <w:lang w:eastAsia="ko-KR"/>
        </w:rPr>
      </w:pPr>
    </w:p>
    <w:p w:rsidR="00C94205" w:rsidRPr="001F768F" w:rsidRDefault="00C94205" w:rsidP="00C94205">
      <w:pPr>
        <w:rPr>
          <w:lang w:eastAsia="ko-KR"/>
        </w:rPr>
      </w:pPr>
      <w:r w:rsidRPr="001F768F">
        <w:rPr>
          <w:lang w:eastAsia="ko-KR"/>
        </w:rPr>
        <w:t>The Cooperation-Mode subfield indicates whether the source RUS sets the link cooperating of the RSUS involved in RLS or not. This subfield is valid only when the RSUS is capable of link cooperating type and Duplex-Mode subfield is set to 0. Otherwise this subfield is ignored. The Cooperation-Mode subfield value is set to 0 if the RSUS operates in link switching type. It is set to 1 if the RSUS operates in link cooperation type.</w:t>
      </w:r>
    </w:p>
    <w:p w:rsidR="00C94205" w:rsidRPr="001F768F" w:rsidRDefault="00C94205" w:rsidP="00C94205">
      <w:pPr>
        <w:rPr>
          <w:lang w:eastAsia="ko-KR"/>
        </w:rPr>
      </w:pPr>
    </w:p>
    <w:p w:rsidR="00C94205" w:rsidRPr="001F768F" w:rsidRDefault="00C94205" w:rsidP="001F768F">
      <w:pPr>
        <w:rPr>
          <w:lang w:eastAsia="ko-KR"/>
        </w:rPr>
      </w:pPr>
      <w:r w:rsidRPr="001F768F">
        <w:rPr>
          <w:lang w:eastAsia="ko-KR"/>
        </w:rPr>
        <w:t>The Tx-Mode subfield indicates that the source RUS sets the transmission mode of the RSUS involved in RLS. This subfield is valid only when the RSUS is capable of link–switching type and Duplex-Mode subfield is set to 1. Otherwise this subfield is ignored. The Tx-Mode subfield value is set to 0 if a group of three STAs involved in the RLS operates in Normal mode, as defined in 11.37.1.3.2. It is set to 1 if the group operates in Alternation mode, as defined in 11.37.1.3.2.</w:t>
      </w:r>
    </w:p>
    <w:p w:rsidR="00C94205" w:rsidRPr="001F768F" w:rsidRDefault="00C94205" w:rsidP="001F768F">
      <w:pPr>
        <w:rPr>
          <w:lang w:eastAsia="ko-KR"/>
        </w:rPr>
      </w:pPr>
    </w:p>
    <w:p w:rsidR="00C94205" w:rsidRPr="001F768F" w:rsidRDefault="00C94205" w:rsidP="00C94205">
      <w:pPr>
        <w:rPr>
          <w:lang w:eastAsia="ko-KR"/>
        </w:rPr>
      </w:pPr>
      <w:r w:rsidRPr="001F768F">
        <w:rPr>
          <w:lang w:eastAsia="ko-KR"/>
        </w:rPr>
        <w:lastRenderedPageBreak/>
        <w:t>The Link Change Interval subfield indicates when the link of frame transmission between source RUS and destination RUS is changed. From the start position of one reserved contiguous SP, every time instant of Link Change Interval can have an opportunity to change the link. Within one Link Change Interval, only one link is used for frame transfer. The unit of this field is microseconds. This subfield is used only when the group involved in the RLS operates in link switching type.</w:t>
      </w:r>
    </w:p>
    <w:p w:rsidR="00C94205" w:rsidRPr="001F768F" w:rsidRDefault="00C94205" w:rsidP="00C94205">
      <w:pPr>
        <w:rPr>
          <w:lang w:eastAsia="ko-KR"/>
        </w:rPr>
      </w:pPr>
    </w:p>
    <w:p w:rsidR="00C94205" w:rsidRPr="001F768F" w:rsidRDefault="00C94205" w:rsidP="001F768F">
      <w:pPr>
        <w:rPr>
          <w:lang w:eastAsia="ko-KR"/>
        </w:rPr>
      </w:pPr>
      <w:r w:rsidRPr="001F768F">
        <w:rPr>
          <w:lang w:eastAsia="ko-KR"/>
        </w:rPr>
        <w:t>The Data Sensing Time subfield indicates the defer time offset from the time instant of the next Link Change Interval when the link switching occurs. By default, it is set to SIFS plus SBIFS. This subfield is used only when the STAs involved in the RLS operate in link switching with Tx-Mode that is set to 0.</w:t>
      </w:r>
    </w:p>
    <w:p w:rsidR="00C94205" w:rsidRPr="001F768F" w:rsidRDefault="00C94205" w:rsidP="001F768F">
      <w:pPr>
        <w:rPr>
          <w:lang w:eastAsia="ko-KR"/>
        </w:rPr>
      </w:pPr>
    </w:p>
    <w:p w:rsidR="00C94205" w:rsidRPr="001F768F" w:rsidRDefault="00C94205" w:rsidP="001F768F">
      <w:pPr>
        <w:rPr>
          <w:lang w:eastAsia="ko-KR"/>
        </w:rPr>
      </w:pPr>
      <w:r w:rsidRPr="001F768F">
        <w:rPr>
          <w:lang w:eastAsia="ko-KR"/>
        </w:rPr>
        <w:t>The First Period subfield indicates the period of the source RUS-RSUS link in which the source RUS and RSUS exchange frames. This subfield is used only when HD/DF RSUS operates in link switching type.</w:t>
      </w:r>
    </w:p>
    <w:p w:rsidR="00C94205" w:rsidRPr="001F768F" w:rsidRDefault="00C94205" w:rsidP="001F768F">
      <w:pPr>
        <w:rPr>
          <w:lang w:eastAsia="ko-KR"/>
        </w:rPr>
      </w:pPr>
    </w:p>
    <w:p w:rsidR="00C94205" w:rsidRDefault="00C94205" w:rsidP="001F768F">
      <w:pPr>
        <w:rPr>
          <w:lang w:eastAsia="ko-KR"/>
        </w:rPr>
      </w:pPr>
      <w:r w:rsidRPr="001F768F">
        <w:rPr>
          <w:lang w:eastAsia="ko-KR"/>
        </w:rPr>
        <w:t>The Second Period subfield indicates the period of the RSUS-destination RUS link in which the RSUS and destination RUS exchange frames and the following period of the RSUS-source RUS link in which the RSUS informs the source RUS of finishing one frame transfer. This subfield is used only when HD/DF RSUS operates in link switching type.</w:t>
      </w:r>
    </w:p>
    <w:p w:rsidR="00C94205" w:rsidRPr="00DF0EF0" w:rsidRDefault="00C94205" w:rsidP="002E7191">
      <w:pPr>
        <w:autoSpaceDE w:val="0"/>
        <w:autoSpaceDN w:val="0"/>
        <w:adjustRightInd w:val="0"/>
        <w:rPr>
          <w:lang w:bidi="ar-SA"/>
        </w:rPr>
      </w:pPr>
    </w:p>
    <w:p w:rsidR="00DF0EF0" w:rsidRPr="00DF0EF0" w:rsidRDefault="00DF0EF0" w:rsidP="002E7191">
      <w:pPr>
        <w:autoSpaceDE w:val="0"/>
        <w:autoSpaceDN w:val="0"/>
        <w:adjustRightInd w:val="0"/>
        <w:rPr>
          <w:i/>
          <w:lang w:bidi="ar-SA"/>
        </w:rPr>
      </w:pPr>
      <w:r w:rsidRPr="00DF0EF0">
        <w:rPr>
          <w:i/>
          <w:lang w:bidi="ar-SA"/>
        </w:rPr>
        <w:t>.11 Editor Note: insert the following subclause</w:t>
      </w:r>
    </w:p>
    <w:p w:rsidR="00DF0EF0" w:rsidRPr="00DF0EF0" w:rsidRDefault="00DF0EF0" w:rsidP="002E7191">
      <w:pPr>
        <w:autoSpaceDE w:val="0"/>
        <w:autoSpaceDN w:val="0"/>
        <w:adjustRightInd w:val="0"/>
        <w:rPr>
          <w:lang w:bidi="ar-SA"/>
        </w:rPr>
      </w:pPr>
    </w:p>
    <w:p w:rsidR="00B23D68" w:rsidRDefault="00B23D68" w:rsidP="00B23D68">
      <w:pPr>
        <w:pStyle w:val="Heading2"/>
      </w:pPr>
      <w:bookmarkStart w:id="746" w:name="_Toc259716950"/>
      <w:r>
        <w:t>7.3a Fields that are used in Management and Extension frame bodies and Control frames</w:t>
      </w:r>
      <w:bookmarkEnd w:id="746"/>
    </w:p>
    <w:p w:rsidR="00B23D68" w:rsidRPr="00DF0EF0" w:rsidRDefault="00B23D68" w:rsidP="002E7191">
      <w:pPr>
        <w:autoSpaceDE w:val="0"/>
        <w:autoSpaceDN w:val="0"/>
        <w:adjustRightInd w:val="0"/>
      </w:pPr>
    </w:p>
    <w:p w:rsidR="00DF0EF0" w:rsidRPr="00DF33B1" w:rsidRDefault="00DF0EF0" w:rsidP="00DF0EF0">
      <w:pPr>
        <w:pStyle w:val="Heading3"/>
      </w:pPr>
      <w:bookmarkStart w:id="747" w:name="_Ref253745297"/>
      <w:bookmarkStart w:id="748" w:name="_Ref253745298"/>
      <w:bookmarkStart w:id="749" w:name="_Ref253745301"/>
      <w:bookmarkStart w:id="750" w:name="_Toc259716951"/>
      <w:r>
        <w:t xml:space="preserve">7.3a.1 </w:t>
      </w:r>
      <w:r w:rsidRPr="00DF33B1">
        <w:t xml:space="preserve">Sector </w:t>
      </w:r>
      <w:r w:rsidR="00335390">
        <w:t>S</w:t>
      </w:r>
      <w:r w:rsidRPr="00DF33B1">
        <w:t>weep field</w:t>
      </w:r>
      <w:bookmarkEnd w:id="747"/>
      <w:bookmarkEnd w:id="748"/>
      <w:bookmarkEnd w:id="749"/>
      <w:bookmarkEnd w:id="750"/>
    </w:p>
    <w:p w:rsidR="00DF0EF0" w:rsidRPr="00DF33B1" w:rsidRDefault="00DF0EF0" w:rsidP="00DF0EF0"/>
    <w:p w:rsidR="00DF0EF0" w:rsidRPr="00DF33B1" w:rsidRDefault="00682971" w:rsidP="00DF0EF0">
      <w:r>
        <w:t xml:space="preserve">The format of the </w:t>
      </w:r>
      <w:r w:rsidR="00DF0EF0" w:rsidRPr="00DF33B1">
        <w:t xml:space="preserve">sector sweep </w:t>
      </w:r>
      <w:r>
        <w:t xml:space="preserve">(SS) </w:t>
      </w:r>
      <w:r w:rsidR="00DF0EF0" w:rsidRPr="00DF33B1">
        <w:t xml:space="preserve">field </w:t>
      </w:r>
      <w:r>
        <w:t xml:space="preserve">is </w:t>
      </w:r>
      <w:r w:rsidR="00DF0EF0" w:rsidRPr="00DF33B1">
        <w:t>shown in</w:t>
      </w:r>
      <w:r w:rsidR="00A26FD3">
        <w:t xml:space="preserve"> </w:t>
      </w:r>
      <w:r w:rsidR="00BD151C">
        <w:fldChar w:fldCharType="begin"/>
      </w:r>
      <w:r w:rsidR="00A26FD3">
        <w:instrText xml:space="preserve"> REF _Ref253746315 \h </w:instrText>
      </w:r>
      <w:r w:rsidR="00BD151C">
        <w:fldChar w:fldCharType="separate"/>
      </w:r>
      <w:r w:rsidR="003E4210" w:rsidRPr="00066F65">
        <w:t xml:space="preserve">Figure </w:t>
      </w:r>
      <w:r w:rsidR="003E4210">
        <w:rPr>
          <w:noProof/>
        </w:rPr>
        <w:t>68</w:t>
      </w:r>
      <w:r w:rsidR="00BD151C">
        <w:fldChar w:fldCharType="end"/>
      </w:r>
      <w:r w:rsidR="00DF0EF0" w:rsidRPr="00DF33B1">
        <w:t>.</w:t>
      </w:r>
    </w:p>
    <w:p w:rsidR="00DF0EF0" w:rsidRPr="00066F65" w:rsidRDefault="00DF0EF0" w:rsidP="00DF0EF0">
      <w:pPr>
        <w:rPr>
          <w:b/>
          <w:i/>
          <w:color w:val="FF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123"/>
        <w:gridCol w:w="1123"/>
        <w:gridCol w:w="1143"/>
        <w:gridCol w:w="1343"/>
        <w:gridCol w:w="1557"/>
      </w:tblGrid>
      <w:tr w:rsidR="00DF0EF0" w:rsidRPr="00066F65" w:rsidTr="009F4839">
        <w:trPr>
          <w:jc w:val="center"/>
        </w:trPr>
        <w:tc>
          <w:tcPr>
            <w:tcW w:w="0" w:type="auto"/>
          </w:tcPr>
          <w:p w:rsidR="00DF0EF0" w:rsidRPr="00DF33B1" w:rsidRDefault="00DF0EF0" w:rsidP="009F4839">
            <w:pPr>
              <w:jc w:val="both"/>
              <w:rPr>
                <w:rFonts w:eastAsia="SimSun"/>
              </w:rPr>
            </w:pPr>
          </w:p>
        </w:tc>
        <w:tc>
          <w:tcPr>
            <w:tcW w:w="0" w:type="auto"/>
          </w:tcPr>
          <w:p w:rsidR="00DF0EF0" w:rsidRPr="00DF33B1" w:rsidRDefault="00DF0EF0" w:rsidP="009F4839">
            <w:pPr>
              <w:jc w:val="both"/>
              <w:rPr>
                <w:rFonts w:eastAsia="SimSun"/>
              </w:rPr>
            </w:pPr>
            <w:r w:rsidRPr="00DF33B1">
              <w:rPr>
                <w:rFonts w:eastAsia="SimSun"/>
              </w:rPr>
              <w:t>Direction</w:t>
            </w:r>
          </w:p>
        </w:tc>
        <w:tc>
          <w:tcPr>
            <w:tcW w:w="0" w:type="auto"/>
          </w:tcPr>
          <w:p w:rsidR="00DF0EF0" w:rsidRPr="00DF33B1" w:rsidRDefault="00DF0EF0" w:rsidP="009F4839">
            <w:pPr>
              <w:jc w:val="both"/>
              <w:rPr>
                <w:rFonts w:eastAsia="SimSun"/>
              </w:rPr>
            </w:pPr>
            <w:r w:rsidRPr="00DF33B1">
              <w:rPr>
                <w:rFonts w:eastAsia="SimSun"/>
              </w:rPr>
              <w:t>CDOWN</w:t>
            </w:r>
          </w:p>
        </w:tc>
        <w:tc>
          <w:tcPr>
            <w:tcW w:w="0" w:type="auto"/>
          </w:tcPr>
          <w:p w:rsidR="00DF0EF0" w:rsidRPr="00DF33B1" w:rsidRDefault="00DF0EF0" w:rsidP="009F4839">
            <w:pPr>
              <w:jc w:val="center"/>
              <w:rPr>
                <w:rFonts w:eastAsia="SimSun"/>
              </w:rPr>
            </w:pPr>
            <w:r w:rsidRPr="00DF33B1">
              <w:rPr>
                <w:rFonts w:eastAsia="SimSun"/>
              </w:rPr>
              <w:t>Sector ID</w:t>
            </w:r>
          </w:p>
        </w:tc>
        <w:tc>
          <w:tcPr>
            <w:tcW w:w="0" w:type="auto"/>
          </w:tcPr>
          <w:p w:rsidR="00DF0EF0" w:rsidRPr="00DF33B1" w:rsidRDefault="00DF0EF0" w:rsidP="009F4839">
            <w:pPr>
              <w:jc w:val="both"/>
              <w:rPr>
                <w:rFonts w:eastAsia="SimSun"/>
              </w:rPr>
            </w:pPr>
            <w:r w:rsidRPr="00DF33B1">
              <w:rPr>
                <w:rFonts w:eastAsia="SimSun"/>
              </w:rPr>
              <w:t>Ant</w:t>
            </w:r>
            <w:r>
              <w:rPr>
                <w:rFonts w:eastAsia="SimSun"/>
              </w:rPr>
              <w:t>enna</w:t>
            </w:r>
            <w:r w:rsidRPr="00DF33B1">
              <w:rPr>
                <w:rFonts w:eastAsia="SimSun"/>
              </w:rPr>
              <w:t xml:space="preserve"> ID</w:t>
            </w:r>
          </w:p>
        </w:tc>
        <w:tc>
          <w:tcPr>
            <w:tcW w:w="0" w:type="auto"/>
          </w:tcPr>
          <w:p w:rsidR="00DF0EF0" w:rsidRPr="00DF33B1" w:rsidRDefault="009428C8" w:rsidP="009F4839">
            <w:pPr>
              <w:jc w:val="center"/>
              <w:rPr>
                <w:rFonts w:eastAsia="SimSun"/>
              </w:rPr>
            </w:pPr>
            <w:r>
              <w:rPr>
                <w:rFonts w:eastAsia="SimSun"/>
              </w:rPr>
              <w:t>RXSS Length</w:t>
            </w:r>
          </w:p>
        </w:tc>
      </w:tr>
      <w:tr w:rsidR="00DF0EF0" w:rsidRPr="00066F65" w:rsidTr="009F4839">
        <w:trPr>
          <w:jc w:val="center"/>
        </w:trPr>
        <w:tc>
          <w:tcPr>
            <w:tcW w:w="0" w:type="auto"/>
          </w:tcPr>
          <w:p w:rsidR="00DF0EF0" w:rsidRPr="00DF33B1" w:rsidRDefault="00DF0EF0" w:rsidP="009F4839">
            <w:pPr>
              <w:jc w:val="both"/>
              <w:rPr>
                <w:rFonts w:eastAsia="SimSun"/>
              </w:rPr>
            </w:pPr>
            <w:r w:rsidRPr="00DF33B1">
              <w:rPr>
                <w:rFonts w:eastAsia="SimSun"/>
              </w:rPr>
              <w:t>Bits:</w:t>
            </w:r>
          </w:p>
        </w:tc>
        <w:tc>
          <w:tcPr>
            <w:tcW w:w="0" w:type="auto"/>
          </w:tcPr>
          <w:p w:rsidR="00DF0EF0" w:rsidRPr="00DF33B1" w:rsidRDefault="00DF0EF0" w:rsidP="009F4839">
            <w:pPr>
              <w:jc w:val="center"/>
              <w:rPr>
                <w:rFonts w:eastAsia="SimSun"/>
              </w:rPr>
            </w:pPr>
            <w:r w:rsidRPr="00DF33B1">
              <w:rPr>
                <w:rFonts w:eastAsia="SimSun"/>
              </w:rPr>
              <w:t>1</w:t>
            </w:r>
          </w:p>
        </w:tc>
        <w:tc>
          <w:tcPr>
            <w:tcW w:w="0" w:type="auto"/>
          </w:tcPr>
          <w:p w:rsidR="00DF0EF0" w:rsidRPr="00DF33B1" w:rsidRDefault="00DF0EF0" w:rsidP="009F4839">
            <w:pPr>
              <w:jc w:val="center"/>
              <w:rPr>
                <w:rFonts w:eastAsia="SimSun"/>
              </w:rPr>
            </w:pPr>
            <w:r w:rsidRPr="00DF33B1">
              <w:rPr>
                <w:rFonts w:eastAsia="SimSun"/>
              </w:rPr>
              <w:t>9</w:t>
            </w:r>
          </w:p>
        </w:tc>
        <w:tc>
          <w:tcPr>
            <w:tcW w:w="0" w:type="auto"/>
          </w:tcPr>
          <w:p w:rsidR="00DF0EF0" w:rsidRPr="00DF33B1" w:rsidRDefault="00DF0EF0" w:rsidP="009F4839">
            <w:pPr>
              <w:jc w:val="center"/>
              <w:rPr>
                <w:rFonts w:eastAsia="SimSun"/>
              </w:rPr>
            </w:pPr>
            <w:r w:rsidRPr="00DF33B1">
              <w:rPr>
                <w:rFonts w:eastAsia="SimSun"/>
              </w:rPr>
              <w:t>6</w:t>
            </w:r>
          </w:p>
        </w:tc>
        <w:tc>
          <w:tcPr>
            <w:tcW w:w="0" w:type="auto"/>
          </w:tcPr>
          <w:p w:rsidR="00DF0EF0" w:rsidRPr="00DF33B1" w:rsidRDefault="00DF0EF0" w:rsidP="009F4839">
            <w:pPr>
              <w:jc w:val="center"/>
              <w:rPr>
                <w:rFonts w:eastAsia="SimSun"/>
              </w:rPr>
            </w:pPr>
            <w:r w:rsidRPr="00DF33B1">
              <w:rPr>
                <w:rFonts w:eastAsia="SimSun"/>
              </w:rPr>
              <w:t>2</w:t>
            </w:r>
          </w:p>
        </w:tc>
        <w:tc>
          <w:tcPr>
            <w:tcW w:w="0" w:type="auto"/>
          </w:tcPr>
          <w:p w:rsidR="00DF0EF0" w:rsidRPr="00DF33B1" w:rsidRDefault="00DF0EF0" w:rsidP="009F4839">
            <w:pPr>
              <w:jc w:val="center"/>
              <w:rPr>
                <w:rFonts w:eastAsia="SimSun"/>
              </w:rPr>
            </w:pPr>
            <w:r>
              <w:rPr>
                <w:rFonts w:eastAsia="SimSun"/>
              </w:rPr>
              <w:t>6</w:t>
            </w:r>
          </w:p>
        </w:tc>
      </w:tr>
    </w:tbl>
    <w:p w:rsidR="00DF0EF0" w:rsidRPr="00066F65" w:rsidRDefault="00DF0EF0" w:rsidP="00DF0EF0">
      <w:pPr>
        <w:pStyle w:val="Caption"/>
      </w:pPr>
      <w:bookmarkStart w:id="751" w:name="_Ref253746315"/>
      <w:bookmarkStart w:id="752" w:name="_Ref253746313"/>
      <w:bookmarkStart w:id="753" w:name="_Toc259717500"/>
      <w:r w:rsidRPr="00066F65">
        <w:t xml:space="preserve">Figure </w:t>
      </w:r>
      <w:r w:rsidR="00BD151C">
        <w:fldChar w:fldCharType="begin"/>
      </w:r>
      <w:r w:rsidR="00801316">
        <w:instrText xml:space="preserve"> SEQ Figure \* ARABIC </w:instrText>
      </w:r>
      <w:r w:rsidR="00BD151C">
        <w:fldChar w:fldCharType="separate"/>
      </w:r>
      <w:r w:rsidR="003E4210">
        <w:rPr>
          <w:noProof/>
        </w:rPr>
        <w:t>68</w:t>
      </w:r>
      <w:r w:rsidR="00BD151C">
        <w:fldChar w:fldCharType="end"/>
      </w:r>
      <w:bookmarkEnd w:id="751"/>
      <w:r w:rsidRPr="00066F65">
        <w:t xml:space="preserve"> – SS field format</w:t>
      </w:r>
      <w:bookmarkEnd w:id="752"/>
      <w:bookmarkEnd w:id="753"/>
    </w:p>
    <w:p w:rsidR="00DF0EF0" w:rsidRPr="00DF33B1" w:rsidRDefault="00080054" w:rsidP="00DF0EF0">
      <w:r>
        <w:t xml:space="preserve"> </w:t>
      </w:r>
    </w:p>
    <w:p w:rsidR="00DF0EF0" w:rsidRPr="00DF33B1" w:rsidRDefault="00DF0EF0" w:rsidP="00DF0EF0">
      <w:r w:rsidRPr="00DF33B1">
        <w:t>The Direction field is set to 0 to indicate that the frame is transmitted by the initiator and set to 1 to indicate that the frame is transmitted by the responder.</w:t>
      </w:r>
    </w:p>
    <w:p w:rsidR="00DF0EF0" w:rsidRPr="00DF33B1" w:rsidRDefault="00DF0EF0" w:rsidP="00DF0EF0"/>
    <w:p w:rsidR="00DF0EF0" w:rsidRPr="00DF33B1" w:rsidRDefault="00DF0EF0" w:rsidP="00DF0EF0">
      <w:r w:rsidRPr="00DF33B1">
        <w:t xml:space="preserve">The CDOWN field is a down-counter indicating the number of </w:t>
      </w:r>
      <w:r w:rsidR="009D537D" w:rsidRPr="009D537D">
        <w:t xml:space="preserve">remaining mmWave Beacon </w:t>
      </w:r>
      <w:r w:rsidR="00682971">
        <w:t>frame</w:t>
      </w:r>
      <w:r w:rsidRPr="00DF33B1">
        <w:t xml:space="preserve"> </w:t>
      </w:r>
      <w:r w:rsidR="009D537D" w:rsidRPr="009D537D">
        <w:t xml:space="preserve">transmissions </w:t>
      </w:r>
      <w:r w:rsidRPr="00DF33B1">
        <w:t>in the BT</w:t>
      </w:r>
      <w:r w:rsidR="009D537D" w:rsidRPr="009D537D">
        <w:t>, or the number of remaining SS frame transmissions to the end of the TXSS/RXSS or the allocation, whichever comes first</w:t>
      </w:r>
      <w:r w:rsidRPr="00DF33B1">
        <w:t>. This field is set to 0 in the last frame mmWave Beacon and SS frame transmission. Possible values range from 0-</w:t>
      </w:r>
      <w:r>
        <w:t>511</w:t>
      </w:r>
      <w:r w:rsidRPr="00DF33B1">
        <w:t>.</w:t>
      </w:r>
    </w:p>
    <w:p w:rsidR="00DF0EF0" w:rsidRPr="00DF33B1" w:rsidRDefault="00DF0EF0" w:rsidP="00DF0EF0"/>
    <w:p w:rsidR="00DF0EF0" w:rsidRPr="009448FC" w:rsidRDefault="00DF0EF0" w:rsidP="00DF0EF0">
      <w:r w:rsidRPr="009448FC">
        <w:t>The Sector ID field is set to indicate the sector number through which the frame containing this SS field is transmitted from.</w:t>
      </w:r>
    </w:p>
    <w:p w:rsidR="00DF0EF0" w:rsidRPr="009448FC" w:rsidRDefault="00DF0EF0" w:rsidP="00DF0EF0"/>
    <w:p w:rsidR="00DF0EF0" w:rsidRDefault="00DF0EF0" w:rsidP="00DF0EF0">
      <w:r w:rsidRPr="009448FC">
        <w:t>The Ant</w:t>
      </w:r>
      <w:r>
        <w:t>enna</w:t>
      </w:r>
      <w:r w:rsidRPr="009448FC">
        <w:t xml:space="preserve"> ID field indicates the antenna the transmitter is currently using </w:t>
      </w:r>
      <w:r>
        <w:t>for</w:t>
      </w:r>
      <w:r w:rsidRPr="009448FC">
        <w:t xml:space="preserve"> this transmission.</w:t>
      </w:r>
    </w:p>
    <w:p w:rsidR="009428C8" w:rsidRDefault="00BE5866" w:rsidP="00DF0EF0">
      <w:r>
        <w:lastRenderedPageBreak/>
        <w:t xml:space="preserve"> </w:t>
      </w:r>
    </w:p>
    <w:p w:rsidR="009428C8" w:rsidRPr="009448FC" w:rsidRDefault="009428C8" w:rsidP="00DF0EF0">
      <w:r w:rsidRPr="007B2D72">
        <w:t xml:space="preserve">The RXSS Length field is valid only </w:t>
      </w:r>
      <w:r>
        <w:t xml:space="preserve">when transmitted in a CBP and is </w:t>
      </w:r>
      <w:r w:rsidRPr="007B2D72">
        <w:t xml:space="preserve">ignored otherwise. The RXSS Length field specifies the length of a </w:t>
      </w:r>
      <w:r>
        <w:t xml:space="preserve">receive </w:t>
      </w:r>
      <w:r w:rsidRPr="007B2D72">
        <w:t xml:space="preserve">sector sweep </w:t>
      </w:r>
      <w:r>
        <w:t>per antenna</w:t>
      </w:r>
      <w:r w:rsidR="00D11F2E">
        <w:t xml:space="preserve"> </w:t>
      </w:r>
      <w:r w:rsidRPr="007B2D72">
        <w:t xml:space="preserve">required by the </w:t>
      </w:r>
      <w:r>
        <w:t xml:space="preserve">transmitting </w:t>
      </w:r>
      <w:r w:rsidRPr="007B2D72">
        <w:t>STA, and is defined in units of a SS frame.</w:t>
      </w:r>
      <w:r>
        <w:t xml:space="preserve"> The RXSS Length field shall be set to the value of the RXSS Length field in the transmitting STA’s mmWave Capabilities element.</w:t>
      </w:r>
    </w:p>
    <w:p w:rsidR="00DF0EF0" w:rsidRPr="009448FC" w:rsidRDefault="00DF0EF0" w:rsidP="00DF0EF0"/>
    <w:p w:rsidR="00DF0EF0" w:rsidRDefault="00DF0EF0" w:rsidP="00DF0EF0">
      <w:pPr>
        <w:pStyle w:val="Heading3"/>
      </w:pPr>
      <w:bookmarkStart w:id="754" w:name="_Ref253745302"/>
      <w:bookmarkStart w:id="755" w:name="_Ref253745357"/>
      <w:bookmarkStart w:id="756" w:name="_Toc259716952"/>
      <w:r>
        <w:t xml:space="preserve">7.3a.2 </w:t>
      </w:r>
      <w:r w:rsidRPr="009448FC">
        <w:t>SP Info field</w:t>
      </w:r>
      <w:bookmarkEnd w:id="754"/>
      <w:bookmarkEnd w:id="755"/>
      <w:bookmarkEnd w:id="756"/>
    </w:p>
    <w:p w:rsidR="00DF0EF0" w:rsidRPr="00DF0EF0" w:rsidRDefault="00DF0EF0" w:rsidP="00DF0EF0"/>
    <w:p w:rsidR="00DF0EF0" w:rsidRPr="00DF33B1" w:rsidRDefault="00DF0EF0" w:rsidP="00DF0EF0">
      <w:r w:rsidRPr="009448FC">
        <w:t>The format of the SP Info field is defined in</w:t>
      </w:r>
      <w:r w:rsidR="00A26FD3">
        <w:t xml:space="preserve"> </w:t>
      </w:r>
      <w:r w:rsidR="00BD151C">
        <w:fldChar w:fldCharType="begin"/>
      </w:r>
      <w:r w:rsidR="00A26FD3">
        <w:instrText xml:space="preserve"> REF _Ref253746316 \h </w:instrText>
      </w:r>
      <w:r w:rsidR="00BD151C">
        <w:fldChar w:fldCharType="separate"/>
      </w:r>
      <w:r w:rsidR="003E4210" w:rsidRPr="00066F65">
        <w:t xml:space="preserve">Figure </w:t>
      </w:r>
      <w:r w:rsidR="003E4210">
        <w:rPr>
          <w:noProof/>
        </w:rPr>
        <w:t>69</w:t>
      </w:r>
      <w:r w:rsidR="00BD151C">
        <w:fldChar w:fldCharType="end"/>
      </w:r>
      <w:r w:rsidRPr="00DF33B1">
        <w:t>.</w:t>
      </w:r>
    </w:p>
    <w:p w:rsidR="00DF0EF0" w:rsidRPr="00DF33B1" w:rsidRDefault="00DF0EF0" w:rsidP="00DF0E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
        <w:gridCol w:w="974"/>
        <w:gridCol w:w="1374"/>
        <w:gridCol w:w="1555"/>
        <w:gridCol w:w="1460"/>
        <w:gridCol w:w="1397"/>
        <w:gridCol w:w="1407"/>
      </w:tblGrid>
      <w:tr w:rsidR="00DF0EF0" w:rsidRPr="00066F65" w:rsidTr="009F4839">
        <w:trPr>
          <w:jc w:val="center"/>
        </w:trPr>
        <w:tc>
          <w:tcPr>
            <w:tcW w:w="761" w:type="dxa"/>
          </w:tcPr>
          <w:p w:rsidR="00DF0EF0" w:rsidRPr="00DF33B1" w:rsidRDefault="00DF0EF0" w:rsidP="009F4839">
            <w:pPr>
              <w:jc w:val="both"/>
              <w:rPr>
                <w:rFonts w:eastAsia="SimSun"/>
              </w:rPr>
            </w:pPr>
          </w:p>
        </w:tc>
        <w:tc>
          <w:tcPr>
            <w:tcW w:w="974" w:type="dxa"/>
          </w:tcPr>
          <w:p w:rsidR="00DF0EF0" w:rsidRPr="00DF33B1" w:rsidRDefault="00DF0EF0" w:rsidP="009F4839">
            <w:pPr>
              <w:jc w:val="both"/>
              <w:rPr>
                <w:rFonts w:eastAsia="SimSun"/>
              </w:rPr>
            </w:pPr>
            <w:r w:rsidRPr="00DF33B1">
              <w:rPr>
                <w:rFonts w:eastAsia="SimSun"/>
              </w:rPr>
              <w:t>TID</w:t>
            </w:r>
          </w:p>
        </w:tc>
        <w:tc>
          <w:tcPr>
            <w:tcW w:w="1374" w:type="dxa"/>
          </w:tcPr>
          <w:p w:rsidR="00DF0EF0" w:rsidRPr="00DF33B1" w:rsidRDefault="00DF0EF0" w:rsidP="009F4839">
            <w:pPr>
              <w:jc w:val="both"/>
              <w:rPr>
                <w:rFonts w:eastAsia="SimSun"/>
              </w:rPr>
            </w:pPr>
            <w:r w:rsidRPr="00DF33B1">
              <w:rPr>
                <w:rFonts w:eastAsia="SimSun"/>
              </w:rPr>
              <w:t>SPType</w:t>
            </w:r>
          </w:p>
        </w:tc>
        <w:tc>
          <w:tcPr>
            <w:tcW w:w="1555" w:type="dxa"/>
          </w:tcPr>
          <w:p w:rsidR="00DF0EF0" w:rsidRPr="00DF33B1" w:rsidRDefault="00DF0EF0" w:rsidP="009F4839">
            <w:pPr>
              <w:jc w:val="both"/>
              <w:rPr>
                <w:rFonts w:eastAsia="SimSun"/>
              </w:rPr>
            </w:pPr>
            <w:r w:rsidRPr="00DF33B1">
              <w:rPr>
                <w:rFonts w:eastAsia="SimSun"/>
              </w:rPr>
              <w:t>Source AID</w:t>
            </w:r>
          </w:p>
        </w:tc>
        <w:tc>
          <w:tcPr>
            <w:tcW w:w="1460" w:type="dxa"/>
          </w:tcPr>
          <w:p w:rsidR="00DF0EF0" w:rsidRPr="00DF33B1" w:rsidRDefault="00DF0EF0" w:rsidP="009F4839">
            <w:pPr>
              <w:jc w:val="both"/>
              <w:rPr>
                <w:rFonts w:eastAsia="SimSun"/>
              </w:rPr>
            </w:pPr>
            <w:r w:rsidRPr="00DF33B1">
              <w:rPr>
                <w:rFonts w:eastAsia="SimSun"/>
              </w:rPr>
              <w:t>Destination AID</w:t>
            </w:r>
          </w:p>
        </w:tc>
        <w:tc>
          <w:tcPr>
            <w:tcW w:w="1397" w:type="dxa"/>
          </w:tcPr>
          <w:p w:rsidR="00DF0EF0" w:rsidRPr="00DF33B1" w:rsidRDefault="00DF0EF0" w:rsidP="009F4839">
            <w:pPr>
              <w:jc w:val="both"/>
              <w:rPr>
                <w:rFonts w:eastAsia="SimSun"/>
              </w:rPr>
            </w:pPr>
            <w:r w:rsidRPr="00DF33B1">
              <w:rPr>
                <w:rFonts w:eastAsia="SimSun"/>
              </w:rPr>
              <w:t>SP Duration</w:t>
            </w:r>
          </w:p>
        </w:tc>
        <w:tc>
          <w:tcPr>
            <w:tcW w:w="1407" w:type="dxa"/>
          </w:tcPr>
          <w:p w:rsidR="00DF0EF0" w:rsidRPr="00DF33B1" w:rsidRDefault="00DF0EF0" w:rsidP="009F4839">
            <w:pPr>
              <w:jc w:val="both"/>
              <w:rPr>
                <w:rFonts w:eastAsia="SimSun"/>
              </w:rPr>
            </w:pPr>
            <w:r w:rsidRPr="00DF33B1">
              <w:rPr>
                <w:rFonts w:eastAsia="SimSun"/>
              </w:rPr>
              <w:t>Reserved</w:t>
            </w:r>
          </w:p>
        </w:tc>
      </w:tr>
      <w:tr w:rsidR="00DF0EF0" w:rsidRPr="00066F65" w:rsidTr="009F4839">
        <w:trPr>
          <w:jc w:val="center"/>
        </w:trPr>
        <w:tc>
          <w:tcPr>
            <w:tcW w:w="761" w:type="dxa"/>
          </w:tcPr>
          <w:p w:rsidR="00DF0EF0" w:rsidRPr="009448FC" w:rsidRDefault="00DF0EF0" w:rsidP="009F4839">
            <w:pPr>
              <w:jc w:val="both"/>
              <w:rPr>
                <w:rFonts w:eastAsia="SimSun"/>
              </w:rPr>
            </w:pPr>
            <w:r w:rsidRPr="009448FC">
              <w:rPr>
                <w:rFonts w:eastAsia="SimSun"/>
              </w:rPr>
              <w:t>Bits:</w:t>
            </w:r>
          </w:p>
        </w:tc>
        <w:tc>
          <w:tcPr>
            <w:tcW w:w="974" w:type="dxa"/>
          </w:tcPr>
          <w:p w:rsidR="00DF0EF0" w:rsidRPr="009448FC" w:rsidRDefault="00DF0EF0" w:rsidP="009F4839">
            <w:pPr>
              <w:jc w:val="both"/>
              <w:rPr>
                <w:rFonts w:eastAsia="SimSun"/>
              </w:rPr>
            </w:pPr>
            <w:r w:rsidRPr="009448FC">
              <w:rPr>
                <w:rFonts w:eastAsia="SimSun"/>
              </w:rPr>
              <w:t>B0-B3</w:t>
            </w:r>
          </w:p>
        </w:tc>
        <w:tc>
          <w:tcPr>
            <w:tcW w:w="1374" w:type="dxa"/>
          </w:tcPr>
          <w:p w:rsidR="00DF0EF0" w:rsidRPr="009448FC" w:rsidRDefault="00DF0EF0" w:rsidP="009F4839">
            <w:pPr>
              <w:jc w:val="both"/>
              <w:rPr>
                <w:rFonts w:eastAsia="SimSun"/>
              </w:rPr>
            </w:pPr>
            <w:r w:rsidRPr="009448FC">
              <w:rPr>
                <w:rFonts w:eastAsia="SimSun"/>
              </w:rPr>
              <w:t>B4</w:t>
            </w:r>
          </w:p>
        </w:tc>
        <w:tc>
          <w:tcPr>
            <w:tcW w:w="1555" w:type="dxa"/>
          </w:tcPr>
          <w:p w:rsidR="00DF0EF0" w:rsidRPr="009448FC" w:rsidRDefault="00DF0EF0" w:rsidP="009F4839">
            <w:pPr>
              <w:keepNext/>
              <w:jc w:val="both"/>
              <w:rPr>
                <w:rFonts w:eastAsia="SimSun"/>
              </w:rPr>
            </w:pPr>
            <w:r w:rsidRPr="009448FC">
              <w:rPr>
                <w:rFonts w:eastAsia="SimSun"/>
              </w:rPr>
              <w:t>B5-B12</w:t>
            </w:r>
          </w:p>
        </w:tc>
        <w:tc>
          <w:tcPr>
            <w:tcW w:w="1460" w:type="dxa"/>
          </w:tcPr>
          <w:p w:rsidR="00DF0EF0" w:rsidRPr="009448FC" w:rsidRDefault="00DF0EF0" w:rsidP="009F4839">
            <w:pPr>
              <w:keepNext/>
              <w:jc w:val="both"/>
              <w:rPr>
                <w:rFonts w:eastAsia="SimSun"/>
              </w:rPr>
            </w:pPr>
            <w:r w:rsidRPr="009448FC">
              <w:rPr>
                <w:rFonts w:eastAsia="SimSun"/>
              </w:rPr>
              <w:t>B13-B20</w:t>
            </w:r>
          </w:p>
        </w:tc>
        <w:tc>
          <w:tcPr>
            <w:tcW w:w="1397" w:type="dxa"/>
          </w:tcPr>
          <w:p w:rsidR="00DF0EF0" w:rsidRPr="009448FC" w:rsidRDefault="00DF0EF0" w:rsidP="009F4839">
            <w:pPr>
              <w:keepNext/>
              <w:jc w:val="both"/>
              <w:rPr>
                <w:rFonts w:eastAsia="SimSun"/>
              </w:rPr>
            </w:pPr>
            <w:r w:rsidRPr="009448FC">
              <w:rPr>
                <w:rFonts w:eastAsia="SimSun"/>
              </w:rPr>
              <w:t>B21-B36</w:t>
            </w:r>
          </w:p>
        </w:tc>
        <w:tc>
          <w:tcPr>
            <w:tcW w:w="1407" w:type="dxa"/>
          </w:tcPr>
          <w:p w:rsidR="00DF0EF0" w:rsidRPr="009448FC" w:rsidDel="00233F0D" w:rsidRDefault="00DF0EF0" w:rsidP="009F4839">
            <w:pPr>
              <w:jc w:val="both"/>
              <w:rPr>
                <w:rFonts w:eastAsia="SimSun"/>
              </w:rPr>
            </w:pPr>
            <w:r w:rsidRPr="009448FC">
              <w:rPr>
                <w:rFonts w:eastAsia="SimSun"/>
              </w:rPr>
              <w:t>B3</w:t>
            </w:r>
            <w:r>
              <w:rPr>
                <w:rFonts w:eastAsia="SimSun"/>
              </w:rPr>
              <w:t>7</w:t>
            </w:r>
            <w:r w:rsidRPr="009448FC">
              <w:rPr>
                <w:rFonts w:eastAsia="SimSun"/>
              </w:rPr>
              <w:t>-B39</w:t>
            </w:r>
          </w:p>
        </w:tc>
      </w:tr>
    </w:tbl>
    <w:p w:rsidR="00DF0EF0" w:rsidRPr="00066F65" w:rsidRDefault="00DF0EF0" w:rsidP="00DF0EF0">
      <w:pPr>
        <w:pStyle w:val="Caption"/>
      </w:pPr>
      <w:bookmarkStart w:id="757" w:name="_Ref253746316"/>
      <w:bookmarkStart w:id="758" w:name="_Ref253746314"/>
      <w:bookmarkStart w:id="759" w:name="_Toc259717501"/>
      <w:r w:rsidRPr="00066F65">
        <w:t xml:space="preserve">Figure </w:t>
      </w:r>
      <w:r w:rsidR="00BD151C">
        <w:fldChar w:fldCharType="begin"/>
      </w:r>
      <w:r w:rsidR="00801316">
        <w:instrText xml:space="preserve"> SEQ Figure \* ARABIC </w:instrText>
      </w:r>
      <w:r w:rsidR="00BD151C">
        <w:fldChar w:fldCharType="separate"/>
      </w:r>
      <w:r w:rsidR="003E4210">
        <w:rPr>
          <w:noProof/>
        </w:rPr>
        <w:t>69</w:t>
      </w:r>
      <w:r w:rsidR="00BD151C">
        <w:fldChar w:fldCharType="end"/>
      </w:r>
      <w:bookmarkEnd w:id="757"/>
      <w:r w:rsidRPr="00066F65">
        <w:t xml:space="preserve"> – SP Info field format</w:t>
      </w:r>
      <w:bookmarkEnd w:id="758"/>
      <w:bookmarkEnd w:id="759"/>
    </w:p>
    <w:p w:rsidR="00DF0EF0" w:rsidRPr="009448FC" w:rsidRDefault="00DF0EF0" w:rsidP="00DF0EF0"/>
    <w:p w:rsidR="00DF0EF0" w:rsidRPr="009448FC" w:rsidRDefault="00DF0EF0" w:rsidP="00DF0EF0">
      <w:r w:rsidRPr="009448FC">
        <w:t>The TID subfield in the SP Info field identifies the TC or TS for the SP request or grant.</w:t>
      </w:r>
    </w:p>
    <w:p w:rsidR="00DF0EF0" w:rsidRPr="009448FC" w:rsidRDefault="00DF0EF0" w:rsidP="00DF0EF0"/>
    <w:p w:rsidR="00DF0EF0" w:rsidRPr="009448FC" w:rsidRDefault="00DF0EF0" w:rsidP="00DF0EF0">
      <w:r w:rsidRPr="009448FC">
        <w:t xml:space="preserve">The SPType field is defined in the </w:t>
      </w:r>
      <w:r w:rsidR="00BD151C">
        <w:fldChar w:fldCharType="begin"/>
      </w:r>
      <w:r>
        <w:instrText xml:space="preserve"> REF _Ref244245455 \n \h </w:instrText>
      </w:r>
      <w:r w:rsidR="00BD151C">
        <w:fldChar w:fldCharType="separate"/>
      </w:r>
      <w:r w:rsidR="003E4210">
        <w:t>7.3.2.95</w:t>
      </w:r>
      <w:r w:rsidR="00BD151C">
        <w:fldChar w:fldCharType="end"/>
      </w:r>
      <w:r w:rsidRPr="009448FC">
        <w:t>.</w:t>
      </w:r>
    </w:p>
    <w:p w:rsidR="00DF0EF0" w:rsidRPr="009448FC" w:rsidRDefault="00DF0EF0" w:rsidP="00DF0EF0"/>
    <w:p w:rsidR="00DF0EF0" w:rsidRPr="009448FC" w:rsidRDefault="00DF0EF0" w:rsidP="00DF0EF0">
      <w:r w:rsidRPr="009448FC">
        <w:t xml:space="preserve">The Source AID field identifies the STA that is the source of the SP. </w:t>
      </w:r>
    </w:p>
    <w:p w:rsidR="00DF0EF0" w:rsidRPr="009448FC" w:rsidRDefault="00DF0EF0" w:rsidP="00DF0EF0"/>
    <w:p w:rsidR="00DF0EF0" w:rsidRPr="009448FC" w:rsidRDefault="00DF0EF0" w:rsidP="00DF0EF0">
      <w:r w:rsidRPr="009448FC">
        <w:t xml:space="preserve">The Destination AID field identifies the STA that is the destination of the SP. </w:t>
      </w:r>
    </w:p>
    <w:p w:rsidR="00DF0EF0" w:rsidRPr="009448FC" w:rsidRDefault="00DF0EF0" w:rsidP="00DF0EF0"/>
    <w:p w:rsidR="00DF0EF0" w:rsidRDefault="00DF0EF0" w:rsidP="00DF0EF0">
      <w:r w:rsidRPr="009448FC">
        <w:t xml:space="preserve">When the SP Info field is transmitted within an SPR frame, the SP Duration field contains the duration requested in microseconds. When the SP Info field is transmitted within a Grant frame, the SP Duration field contains the remaining time </w:t>
      </w:r>
      <w:r w:rsidRPr="00CB148A">
        <w:t xml:space="preserve">to the end of the SP, CBP or TXOP allocation (see </w:t>
      </w:r>
      <w:r w:rsidR="00BD151C">
        <w:fldChar w:fldCharType="begin"/>
      </w:r>
      <w:r>
        <w:instrText xml:space="preserve"> REF _Ref244079150 \r \h </w:instrText>
      </w:r>
      <w:r w:rsidR="00BD151C">
        <w:fldChar w:fldCharType="separate"/>
      </w:r>
      <w:r w:rsidR="003E4210">
        <w:t>9.23.7</w:t>
      </w:r>
      <w:r w:rsidR="00BD151C">
        <w:fldChar w:fldCharType="end"/>
      </w:r>
      <w:r>
        <w:t xml:space="preserve">, </w:t>
      </w:r>
      <w:r w:rsidR="00BD151C">
        <w:fldChar w:fldCharType="begin"/>
      </w:r>
      <w:r w:rsidR="00515A1B">
        <w:instrText xml:space="preserve"> REF _Ref253745295 \r \h </w:instrText>
      </w:r>
      <w:r w:rsidR="00BD151C">
        <w:fldChar w:fldCharType="separate"/>
      </w:r>
      <w:r w:rsidR="003E4210">
        <w:t>9.23.8</w:t>
      </w:r>
      <w:r w:rsidR="00BD151C">
        <w:fldChar w:fldCharType="end"/>
      </w:r>
      <w:r>
        <w:t xml:space="preserve">, </w:t>
      </w:r>
      <w:r w:rsidR="00BD151C">
        <w:fldChar w:fldCharType="begin"/>
      </w:r>
      <w:r>
        <w:instrText xml:space="preserve"> REF _Ref244079318 \r \h </w:instrText>
      </w:r>
      <w:r w:rsidR="00BD151C">
        <w:fldChar w:fldCharType="separate"/>
      </w:r>
      <w:r w:rsidR="003E4210">
        <w:t>9.23.9</w:t>
      </w:r>
      <w:r w:rsidR="00BD151C">
        <w:fldChar w:fldCharType="end"/>
      </w:r>
      <w:r w:rsidRPr="00CB148A">
        <w:t>)</w:t>
      </w:r>
      <w:r w:rsidRPr="009448FC">
        <w:t xml:space="preserve">. </w:t>
      </w:r>
    </w:p>
    <w:p w:rsidR="00DF0EF0" w:rsidRDefault="00DF0EF0" w:rsidP="00DF0EF0"/>
    <w:p w:rsidR="00DF0EF0" w:rsidRDefault="00DF0EF0" w:rsidP="00DF0EF0">
      <w:pPr>
        <w:pStyle w:val="Heading3"/>
      </w:pPr>
      <w:bookmarkStart w:id="760" w:name="_Ref253745299"/>
      <w:bookmarkStart w:id="761" w:name="_Toc259716953"/>
      <w:r>
        <w:t xml:space="preserve">7.3a.3 </w:t>
      </w:r>
      <w:r w:rsidRPr="009448FC">
        <w:t>Sector Sweep Feedback field</w:t>
      </w:r>
      <w:bookmarkEnd w:id="760"/>
      <w:bookmarkEnd w:id="761"/>
    </w:p>
    <w:p w:rsidR="00DF0EF0" w:rsidRPr="00DF0EF0" w:rsidRDefault="00DF0EF0" w:rsidP="00DF0EF0"/>
    <w:p w:rsidR="00DF0EF0" w:rsidRPr="009448FC" w:rsidRDefault="00DF0EF0" w:rsidP="00DF0EF0">
      <w:pPr>
        <w:jc w:val="both"/>
      </w:pPr>
      <w:r>
        <w:t xml:space="preserve">The format of the </w:t>
      </w:r>
      <w:r w:rsidRPr="009448FC">
        <w:t xml:space="preserve">SS </w:t>
      </w:r>
      <w:r w:rsidRPr="009448FC">
        <w:rPr>
          <w:rFonts w:hint="eastAsia"/>
        </w:rPr>
        <w:t xml:space="preserve">Feedback </w:t>
      </w:r>
      <w:r w:rsidRPr="009448FC">
        <w:t xml:space="preserve">field </w:t>
      </w:r>
      <w:r>
        <w:t xml:space="preserve">is </w:t>
      </w:r>
      <w:r w:rsidRPr="009448FC">
        <w:t>shown in</w:t>
      </w:r>
      <w:r w:rsidR="00A26FD3">
        <w:t xml:space="preserve"> </w:t>
      </w:r>
      <w:r w:rsidR="00BD151C">
        <w:fldChar w:fldCharType="begin"/>
      </w:r>
      <w:r w:rsidR="00A26FD3">
        <w:instrText xml:space="preserve"> REF _Ref253746317 \h </w:instrText>
      </w:r>
      <w:r w:rsidR="00BD151C">
        <w:fldChar w:fldCharType="separate"/>
      </w:r>
      <w:r w:rsidR="003E4210" w:rsidRPr="00066F65">
        <w:t xml:space="preserve">Figure </w:t>
      </w:r>
      <w:r w:rsidR="003E4210">
        <w:rPr>
          <w:noProof/>
        </w:rPr>
        <w:t>70</w:t>
      </w:r>
      <w:r w:rsidR="00BD151C">
        <w:fldChar w:fldCharType="end"/>
      </w:r>
      <w:r w:rsidRPr="009448FC">
        <w:t>.</w:t>
      </w:r>
    </w:p>
    <w:p w:rsidR="00DF0EF0" w:rsidRPr="009448FC" w:rsidRDefault="00DF0EF0" w:rsidP="00DF0EF0">
      <w:pPr>
        <w:jc w:val="both"/>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2043"/>
        <w:gridCol w:w="1701"/>
        <w:gridCol w:w="1701"/>
        <w:gridCol w:w="1701"/>
        <w:gridCol w:w="1701"/>
      </w:tblGrid>
      <w:tr w:rsidR="00DF0EF0" w:rsidRPr="00066F65" w:rsidTr="009F4839">
        <w:trPr>
          <w:trHeight w:val="56"/>
          <w:jc w:val="center"/>
        </w:trPr>
        <w:tc>
          <w:tcPr>
            <w:tcW w:w="670" w:type="dxa"/>
          </w:tcPr>
          <w:p w:rsidR="00DF0EF0" w:rsidRPr="009448FC" w:rsidRDefault="00DF0EF0" w:rsidP="009F4839">
            <w:pPr>
              <w:jc w:val="center"/>
              <w:rPr>
                <w:rFonts w:eastAsia="SimSun"/>
              </w:rPr>
            </w:pPr>
          </w:p>
        </w:tc>
        <w:tc>
          <w:tcPr>
            <w:tcW w:w="2043" w:type="dxa"/>
          </w:tcPr>
          <w:p w:rsidR="00DF0EF0" w:rsidRPr="009448FC" w:rsidRDefault="00DF0EF0" w:rsidP="009F4839">
            <w:pPr>
              <w:jc w:val="center"/>
              <w:rPr>
                <w:rFonts w:eastAsia="Malgun Gothic"/>
              </w:rPr>
            </w:pPr>
            <w:r w:rsidRPr="009448FC">
              <w:rPr>
                <w:rFonts w:eastAsia="Malgun Gothic"/>
              </w:rPr>
              <w:t>S</w:t>
            </w:r>
            <w:r w:rsidRPr="009448FC">
              <w:rPr>
                <w:rFonts w:eastAsia="Malgun Gothic" w:hint="eastAsia"/>
              </w:rPr>
              <w:t>ector select</w:t>
            </w:r>
          </w:p>
        </w:tc>
        <w:tc>
          <w:tcPr>
            <w:tcW w:w="1701" w:type="dxa"/>
          </w:tcPr>
          <w:p w:rsidR="00DF0EF0" w:rsidRPr="009448FC" w:rsidRDefault="00DF0EF0" w:rsidP="009F4839">
            <w:pPr>
              <w:jc w:val="center"/>
              <w:rPr>
                <w:rFonts w:eastAsia="Malgun Gothic"/>
              </w:rPr>
            </w:pPr>
            <w:r>
              <w:rPr>
                <w:rFonts w:eastAsia="Malgun Gothic"/>
              </w:rPr>
              <w:t>Antenna select</w:t>
            </w:r>
          </w:p>
        </w:tc>
        <w:tc>
          <w:tcPr>
            <w:tcW w:w="1701" w:type="dxa"/>
          </w:tcPr>
          <w:p w:rsidR="00DF0EF0" w:rsidRPr="009448FC" w:rsidRDefault="00DF0EF0" w:rsidP="009F4839">
            <w:pPr>
              <w:jc w:val="center"/>
              <w:rPr>
                <w:rFonts w:eastAsia="Malgun Gothic"/>
              </w:rPr>
            </w:pPr>
            <w:r w:rsidRPr="009448FC">
              <w:rPr>
                <w:rFonts w:eastAsia="Malgun Gothic" w:hint="eastAsia"/>
              </w:rPr>
              <w:t>SNR Report</w:t>
            </w:r>
          </w:p>
        </w:tc>
        <w:tc>
          <w:tcPr>
            <w:tcW w:w="1701" w:type="dxa"/>
          </w:tcPr>
          <w:p w:rsidR="00DF0EF0" w:rsidRPr="009448FC" w:rsidRDefault="00DF0EF0" w:rsidP="009F4839">
            <w:pPr>
              <w:jc w:val="center"/>
              <w:rPr>
                <w:rFonts w:eastAsia="Malgun Gothic"/>
              </w:rPr>
            </w:pPr>
            <w:r>
              <w:rPr>
                <w:rFonts w:eastAsia="Malgun Gothic"/>
              </w:rPr>
              <w:t>Poll required</w:t>
            </w:r>
          </w:p>
        </w:tc>
        <w:tc>
          <w:tcPr>
            <w:tcW w:w="1701" w:type="dxa"/>
          </w:tcPr>
          <w:p w:rsidR="00DF0EF0" w:rsidRPr="009448FC" w:rsidRDefault="00DF0EF0" w:rsidP="009F4839">
            <w:pPr>
              <w:jc w:val="center"/>
              <w:rPr>
                <w:rFonts w:eastAsia="Malgun Gothic"/>
              </w:rPr>
            </w:pPr>
            <w:r>
              <w:rPr>
                <w:rFonts w:eastAsia="Malgun Gothic"/>
              </w:rPr>
              <w:t>Reserved</w:t>
            </w:r>
          </w:p>
        </w:tc>
      </w:tr>
      <w:tr w:rsidR="00DF0EF0" w:rsidRPr="00066F65" w:rsidTr="009F4839">
        <w:trPr>
          <w:trHeight w:val="56"/>
          <w:jc w:val="center"/>
        </w:trPr>
        <w:tc>
          <w:tcPr>
            <w:tcW w:w="670" w:type="dxa"/>
          </w:tcPr>
          <w:p w:rsidR="00DF0EF0" w:rsidRPr="009448FC" w:rsidRDefault="00DF0EF0" w:rsidP="009F4839">
            <w:pPr>
              <w:jc w:val="center"/>
              <w:rPr>
                <w:rFonts w:eastAsia="Malgun Gothic"/>
              </w:rPr>
            </w:pPr>
            <w:r w:rsidRPr="009448FC">
              <w:rPr>
                <w:rFonts w:eastAsia="Malgun Gothic" w:hint="eastAsia"/>
              </w:rPr>
              <w:t>Bits:</w:t>
            </w:r>
          </w:p>
        </w:tc>
        <w:tc>
          <w:tcPr>
            <w:tcW w:w="2043" w:type="dxa"/>
          </w:tcPr>
          <w:p w:rsidR="00DF0EF0" w:rsidRPr="009448FC" w:rsidRDefault="00DF0EF0" w:rsidP="009F4839">
            <w:pPr>
              <w:jc w:val="center"/>
              <w:rPr>
                <w:rFonts w:eastAsia="Malgun Gothic"/>
              </w:rPr>
            </w:pPr>
            <w:r w:rsidRPr="009448FC">
              <w:rPr>
                <w:rFonts w:eastAsia="Malgun Gothic" w:hint="eastAsia"/>
              </w:rPr>
              <w:t>6</w:t>
            </w:r>
          </w:p>
        </w:tc>
        <w:tc>
          <w:tcPr>
            <w:tcW w:w="1701" w:type="dxa"/>
          </w:tcPr>
          <w:p w:rsidR="00DF0EF0" w:rsidRPr="009448FC" w:rsidRDefault="00DF0EF0" w:rsidP="009F4839">
            <w:pPr>
              <w:jc w:val="center"/>
              <w:rPr>
                <w:rFonts w:eastAsia="Malgun Gothic"/>
              </w:rPr>
            </w:pPr>
            <w:r>
              <w:rPr>
                <w:rFonts w:eastAsia="Malgun Gothic"/>
              </w:rPr>
              <w:t>2</w:t>
            </w:r>
          </w:p>
        </w:tc>
        <w:tc>
          <w:tcPr>
            <w:tcW w:w="1701" w:type="dxa"/>
          </w:tcPr>
          <w:p w:rsidR="00DF0EF0" w:rsidRPr="009448FC" w:rsidRDefault="00DF0EF0" w:rsidP="009F4839">
            <w:pPr>
              <w:jc w:val="center"/>
              <w:rPr>
                <w:rFonts w:eastAsia="Malgun Gothic"/>
              </w:rPr>
            </w:pPr>
            <w:r w:rsidRPr="009448FC">
              <w:rPr>
                <w:rFonts w:eastAsia="Malgun Gothic" w:hint="eastAsia"/>
              </w:rPr>
              <w:t>8</w:t>
            </w:r>
          </w:p>
        </w:tc>
        <w:tc>
          <w:tcPr>
            <w:tcW w:w="1701" w:type="dxa"/>
          </w:tcPr>
          <w:p w:rsidR="00DF0EF0" w:rsidRPr="009448FC" w:rsidRDefault="00DF0EF0" w:rsidP="009F4839">
            <w:pPr>
              <w:jc w:val="center"/>
              <w:rPr>
                <w:rFonts w:eastAsia="Malgun Gothic"/>
              </w:rPr>
            </w:pPr>
            <w:r>
              <w:rPr>
                <w:rFonts w:eastAsia="Malgun Gothic"/>
              </w:rPr>
              <w:t>1</w:t>
            </w:r>
          </w:p>
        </w:tc>
        <w:tc>
          <w:tcPr>
            <w:tcW w:w="1701" w:type="dxa"/>
          </w:tcPr>
          <w:p w:rsidR="00DF0EF0" w:rsidRDefault="00DF0EF0" w:rsidP="009F4839">
            <w:pPr>
              <w:jc w:val="center"/>
              <w:rPr>
                <w:rFonts w:eastAsia="Malgun Gothic"/>
              </w:rPr>
            </w:pPr>
            <w:r>
              <w:rPr>
                <w:rFonts w:eastAsia="Malgun Gothic"/>
              </w:rPr>
              <w:t>7</w:t>
            </w:r>
          </w:p>
        </w:tc>
      </w:tr>
    </w:tbl>
    <w:p w:rsidR="00DF0EF0" w:rsidRPr="009448FC" w:rsidRDefault="00DF0EF0" w:rsidP="00DF0EF0">
      <w:pPr>
        <w:pStyle w:val="Caption"/>
        <w:rPr>
          <w:b w:val="0"/>
        </w:rPr>
      </w:pPr>
      <w:bookmarkStart w:id="762" w:name="_Ref253746317"/>
      <w:bookmarkStart w:id="763" w:name="_Toc259717502"/>
      <w:r w:rsidRPr="00066F65">
        <w:t xml:space="preserve">Figure </w:t>
      </w:r>
      <w:r w:rsidR="00BD151C">
        <w:fldChar w:fldCharType="begin"/>
      </w:r>
      <w:r w:rsidR="00801316">
        <w:instrText xml:space="preserve"> SEQ Figure \* ARABIC </w:instrText>
      </w:r>
      <w:r w:rsidR="00BD151C">
        <w:fldChar w:fldCharType="separate"/>
      </w:r>
      <w:r w:rsidR="003E4210">
        <w:rPr>
          <w:noProof/>
        </w:rPr>
        <w:t>70</w:t>
      </w:r>
      <w:r w:rsidR="00BD151C">
        <w:fldChar w:fldCharType="end"/>
      </w:r>
      <w:bookmarkEnd w:id="762"/>
      <w:r w:rsidRPr="00066F65">
        <w:t xml:space="preserve"> – SS Feedback field format</w:t>
      </w:r>
      <w:bookmarkEnd w:id="763"/>
    </w:p>
    <w:p w:rsidR="00DF0EF0" w:rsidRPr="009448FC" w:rsidRDefault="00DF0EF0" w:rsidP="00DF0EF0">
      <w:pPr>
        <w:jc w:val="both"/>
      </w:pPr>
    </w:p>
    <w:p w:rsidR="00DF0EF0" w:rsidRPr="009448FC" w:rsidRDefault="00DF0EF0" w:rsidP="00DF0EF0">
      <w:r w:rsidRPr="009448FC">
        <w:t xml:space="preserve">The Sector select field is a feedback containing the </w:t>
      </w:r>
      <w:r>
        <w:t>value of the Sector ID</w:t>
      </w:r>
      <w:r w:rsidRPr="009448FC">
        <w:t xml:space="preserve"> </w:t>
      </w:r>
      <w:r>
        <w:t>sub</w:t>
      </w:r>
      <w:r w:rsidRPr="009448FC">
        <w:t xml:space="preserve">field </w:t>
      </w:r>
      <w:r>
        <w:t>of the SS field with</w:t>
      </w:r>
      <w:r w:rsidRPr="009448FC">
        <w:t xml:space="preserve">in the </w:t>
      </w:r>
      <w:r>
        <w:t>frame</w:t>
      </w:r>
      <w:r w:rsidRPr="009448FC">
        <w:t xml:space="preserve"> that was received with best quality in the immediat</w:t>
      </w:r>
      <w:r>
        <w:t>ely preceding sector sweep</w:t>
      </w:r>
      <w:r w:rsidRPr="009448FC">
        <w:t xml:space="preserve">. The determination of which packet was received with best quality is implementation dependent. Possible values of this field range from 0-63. </w:t>
      </w:r>
    </w:p>
    <w:p w:rsidR="00DF0EF0" w:rsidRDefault="00DF0EF0" w:rsidP="00DF0EF0">
      <w:r>
        <w:t xml:space="preserve"> </w:t>
      </w:r>
    </w:p>
    <w:p w:rsidR="00DF0EF0" w:rsidRPr="009448FC" w:rsidRDefault="00DF0EF0" w:rsidP="00DF0EF0">
      <w:r w:rsidRPr="009448FC">
        <w:t>The Ant</w:t>
      </w:r>
      <w:r>
        <w:t>enna</w:t>
      </w:r>
      <w:r w:rsidRPr="009448FC">
        <w:t xml:space="preserve"> select field is a feedback indicating the </w:t>
      </w:r>
      <w:r>
        <w:t xml:space="preserve">value of the </w:t>
      </w:r>
      <w:r w:rsidRPr="009448FC">
        <w:t>Ant</w:t>
      </w:r>
      <w:r>
        <w:t>enna</w:t>
      </w:r>
      <w:r w:rsidRPr="009448FC">
        <w:t xml:space="preserve"> ID </w:t>
      </w:r>
      <w:r>
        <w:t>subfield of the SS field within the frame that</w:t>
      </w:r>
      <w:r w:rsidRPr="009448FC">
        <w:t xml:space="preserve"> was received with best quality in the immediat</w:t>
      </w:r>
      <w:r>
        <w:t>ely preceding</w:t>
      </w:r>
      <w:r w:rsidRPr="009448FC">
        <w:t xml:space="preserve"> sector sweep. The determination of which </w:t>
      </w:r>
      <w:r>
        <w:t xml:space="preserve">frame </w:t>
      </w:r>
      <w:r w:rsidRPr="009448FC">
        <w:t>was received with best quality is implementation dependent.</w:t>
      </w:r>
    </w:p>
    <w:p w:rsidR="00DF0EF0" w:rsidRPr="009448FC" w:rsidRDefault="00DF0EF0" w:rsidP="00DF0EF0"/>
    <w:p w:rsidR="00DF0EF0" w:rsidRPr="009448FC" w:rsidRDefault="00DF0EF0" w:rsidP="00DF0EF0">
      <w:r w:rsidRPr="009448FC">
        <w:t xml:space="preserve">The SNR Report field is set to the value of the SNR from the </w:t>
      </w:r>
      <w:r>
        <w:t>frame</w:t>
      </w:r>
      <w:r w:rsidRPr="009448FC">
        <w:t xml:space="preserve"> that was received with best quality during the immediat</w:t>
      </w:r>
      <w:r>
        <w:t xml:space="preserve">ely preceding sector sweep, and which </w:t>
      </w:r>
      <w:r w:rsidRPr="009448FC">
        <w:t xml:space="preserve">is indicated in the sector select field. This field is encoded as 8-bit two’s complement value of </w:t>
      </w:r>
      <w:r w:rsidRPr="009448FC">
        <w:rPr>
          <w:position w:val="-10"/>
        </w:rPr>
        <w:object w:dxaOrig="1440" w:dyaOrig="320">
          <v:shape id="_x0000_i1038" type="#_x0000_t75" style="width:1in;height:15.4pt" o:ole="">
            <v:imagedata r:id="rId122" o:title=""/>
          </v:shape>
          <o:OLEObject Type="Embed" ProgID="Equation.DSMT4" ShapeID="_x0000_i1038" DrawAspect="Content" ObjectID="_1334048220" r:id="rId123"/>
        </w:object>
      </w:r>
      <w:r w:rsidRPr="009448FC">
        <w:t>, where SNR is measured in dB. This covers from -10dB to 53.75dB in 0.25dB steps</w:t>
      </w:r>
      <w:r w:rsidRPr="009448FC">
        <w:rPr>
          <w:rFonts w:hint="eastAsia"/>
        </w:rPr>
        <w:t>.</w:t>
      </w:r>
    </w:p>
    <w:p w:rsidR="00DF0EF0" w:rsidRDefault="00DF0EF0" w:rsidP="00DF0EF0">
      <w:r>
        <w:t xml:space="preserve"> </w:t>
      </w:r>
    </w:p>
    <w:p w:rsidR="00DF0EF0" w:rsidRDefault="00DF0EF0" w:rsidP="00DF0EF0">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 xml:space="preserve">The Poll required field is set to one by a non-AP/non-PCP STA to indicate that it requires the AP/PCP to initiate communication with the non-AP/non-PCP. This field is set to zero to indicate that the non-AP/non-PCP has no preference whether or not the PCP/AP initiates the communication. </w:t>
      </w:r>
      <w:r w:rsidRPr="00F2657F">
        <w:rPr>
          <w:rFonts w:ascii="TimesNewRomanPSMT" w:hAnsi="TimesNewRomanPSMT" w:cs="TimesNewRomanPSMT"/>
          <w:lang w:bidi="ar-SA"/>
        </w:rPr>
        <w:t xml:space="preserve">This field is ignored when transmitted by </w:t>
      </w:r>
      <w:r w:rsidR="00543C60">
        <w:rPr>
          <w:rFonts w:ascii="TimesNewRomanPSMT" w:hAnsi="TimesNewRomanPSMT" w:cs="TimesNewRomanPSMT"/>
          <w:lang w:bidi="ar-SA"/>
        </w:rPr>
        <w:t>an</w:t>
      </w:r>
      <w:r w:rsidRPr="00F2657F">
        <w:rPr>
          <w:rFonts w:ascii="TimesNewRomanPSMT" w:hAnsi="TimesNewRomanPSMT" w:cs="TimesNewRomanPSMT"/>
          <w:lang w:bidi="ar-SA"/>
        </w:rPr>
        <w:t xml:space="preserve"> PCP/AP.</w:t>
      </w:r>
      <w:r w:rsidR="00080054">
        <w:rPr>
          <w:rFonts w:ascii="TimesNewRomanPSMT" w:hAnsi="TimesNewRomanPSMT" w:cs="TimesNewRomanPSMT"/>
          <w:lang w:bidi="ar-SA"/>
        </w:rPr>
        <w:t xml:space="preserve"> </w:t>
      </w:r>
    </w:p>
    <w:p w:rsidR="00DF0EF0" w:rsidRPr="009448FC" w:rsidRDefault="00DF0EF0" w:rsidP="00DF0EF0">
      <w:pPr>
        <w:autoSpaceDE w:val="0"/>
        <w:autoSpaceDN w:val="0"/>
        <w:adjustRightInd w:val="0"/>
      </w:pPr>
    </w:p>
    <w:p w:rsidR="00DF0EF0" w:rsidRPr="009448FC" w:rsidRDefault="00DF0EF0" w:rsidP="00DF0EF0">
      <w:pPr>
        <w:pStyle w:val="Heading3"/>
      </w:pPr>
      <w:bookmarkStart w:id="764" w:name="_Ref253745300"/>
      <w:bookmarkStart w:id="765" w:name="_Ref253745392"/>
      <w:bookmarkStart w:id="766" w:name="_Toc259716954"/>
      <w:r>
        <w:t xml:space="preserve">7.3a.4 </w:t>
      </w:r>
      <w:r w:rsidRPr="009448FC">
        <w:t xml:space="preserve">BRP Request </w:t>
      </w:r>
      <w:r>
        <w:t>f</w:t>
      </w:r>
      <w:r w:rsidRPr="009448FC">
        <w:t>ield</w:t>
      </w:r>
      <w:bookmarkEnd w:id="764"/>
      <w:bookmarkEnd w:id="765"/>
      <w:bookmarkEnd w:id="766"/>
    </w:p>
    <w:p w:rsidR="00DF0EF0" w:rsidRPr="009448FC" w:rsidRDefault="00DF0EF0" w:rsidP="00DF0EF0"/>
    <w:p w:rsidR="00DF0EF0" w:rsidRPr="009448FC" w:rsidRDefault="00DF0EF0" w:rsidP="00DF0EF0">
      <w:r w:rsidRPr="009448FC">
        <w:t>The BRP Request field is defined in</w:t>
      </w:r>
      <w:r w:rsidR="00A26FD3">
        <w:t xml:space="preserve"> </w:t>
      </w:r>
      <w:r w:rsidR="00BD151C">
        <w:fldChar w:fldCharType="begin"/>
      </w:r>
      <w:r w:rsidR="00A26FD3">
        <w:instrText xml:space="preserve"> REF _Ref253746318 \h </w:instrText>
      </w:r>
      <w:r w:rsidR="00BD151C">
        <w:fldChar w:fldCharType="separate"/>
      </w:r>
      <w:r w:rsidR="003E4210" w:rsidRPr="00066F65">
        <w:t xml:space="preserve">Figure </w:t>
      </w:r>
      <w:r w:rsidR="003E4210">
        <w:rPr>
          <w:noProof/>
        </w:rPr>
        <w:t>71</w:t>
      </w:r>
      <w:r w:rsidR="00BD151C">
        <w:fldChar w:fldCharType="end"/>
      </w:r>
      <w:r w:rsidRPr="009448FC">
        <w:t>.</w:t>
      </w:r>
    </w:p>
    <w:p w:rsidR="00DF0EF0" w:rsidRPr="009448FC" w:rsidRDefault="00DF0EF0" w:rsidP="00DF0E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962"/>
        <w:gridCol w:w="1026"/>
        <w:gridCol w:w="1023"/>
        <w:gridCol w:w="1004"/>
        <w:gridCol w:w="1023"/>
        <w:gridCol w:w="1023"/>
        <w:gridCol w:w="1068"/>
        <w:gridCol w:w="871"/>
        <w:gridCol w:w="1120"/>
      </w:tblGrid>
      <w:tr w:rsidR="00DF0EF0" w:rsidRPr="00066F65" w:rsidTr="009F4839">
        <w:tc>
          <w:tcPr>
            <w:tcW w:w="996" w:type="dxa"/>
          </w:tcPr>
          <w:p w:rsidR="00DF0EF0" w:rsidRPr="009448FC" w:rsidRDefault="00DF0EF0" w:rsidP="009F4839">
            <w:pPr>
              <w:jc w:val="both"/>
              <w:rPr>
                <w:rFonts w:eastAsia="SimSun"/>
              </w:rPr>
            </w:pPr>
          </w:p>
        </w:tc>
        <w:tc>
          <w:tcPr>
            <w:tcW w:w="962" w:type="dxa"/>
          </w:tcPr>
          <w:p w:rsidR="00DF0EF0" w:rsidRPr="009448FC" w:rsidRDefault="00DF0EF0" w:rsidP="009F4839">
            <w:pPr>
              <w:jc w:val="both"/>
              <w:rPr>
                <w:rFonts w:eastAsia="SimSun"/>
              </w:rPr>
            </w:pPr>
            <w:r w:rsidRPr="009448FC">
              <w:rPr>
                <w:rFonts w:eastAsia="SimSun"/>
              </w:rPr>
              <w:t>L-RX</w:t>
            </w:r>
          </w:p>
        </w:tc>
        <w:tc>
          <w:tcPr>
            <w:tcW w:w="1026" w:type="dxa"/>
          </w:tcPr>
          <w:p w:rsidR="00DF0EF0" w:rsidRPr="009448FC" w:rsidRDefault="00DF0EF0" w:rsidP="009F4839">
            <w:pPr>
              <w:jc w:val="both"/>
              <w:rPr>
                <w:rFonts w:eastAsia="SimSun"/>
              </w:rPr>
            </w:pPr>
            <w:r w:rsidRPr="009448FC">
              <w:rPr>
                <w:rFonts w:eastAsia="SimSun"/>
              </w:rPr>
              <w:t>TX-TRN-REQ</w:t>
            </w:r>
          </w:p>
        </w:tc>
        <w:tc>
          <w:tcPr>
            <w:tcW w:w="1023" w:type="dxa"/>
          </w:tcPr>
          <w:p w:rsidR="00DF0EF0" w:rsidRPr="009448FC" w:rsidRDefault="00DF0EF0" w:rsidP="009F4839">
            <w:pPr>
              <w:jc w:val="both"/>
              <w:rPr>
                <w:rFonts w:eastAsia="SimSun"/>
              </w:rPr>
            </w:pPr>
            <w:r w:rsidRPr="009448FC">
              <w:rPr>
                <w:rFonts w:eastAsia="SimSun"/>
              </w:rPr>
              <w:t>MID-REQ</w:t>
            </w:r>
          </w:p>
        </w:tc>
        <w:tc>
          <w:tcPr>
            <w:tcW w:w="1004" w:type="dxa"/>
          </w:tcPr>
          <w:p w:rsidR="00DF0EF0" w:rsidRPr="009448FC" w:rsidRDefault="00DF0EF0" w:rsidP="009F4839">
            <w:pPr>
              <w:jc w:val="both"/>
              <w:rPr>
                <w:rFonts w:eastAsia="SimSun"/>
              </w:rPr>
            </w:pPr>
            <w:r w:rsidRPr="009448FC">
              <w:rPr>
                <w:rFonts w:eastAsia="SimSun"/>
              </w:rPr>
              <w:t>BC-REQ</w:t>
            </w:r>
          </w:p>
        </w:tc>
        <w:tc>
          <w:tcPr>
            <w:tcW w:w="1023" w:type="dxa"/>
          </w:tcPr>
          <w:p w:rsidR="00DF0EF0" w:rsidRPr="009448FC" w:rsidRDefault="00DF0EF0" w:rsidP="009F4839">
            <w:pPr>
              <w:jc w:val="both"/>
              <w:rPr>
                <w:rFonts w:eastAsia="SimSun"/>
              </w:rPr>
            </w:pPr>
            <w:r w:rsidRPr="009448FC">
              <w:rPr>
                <w:rFonts w:eastAsia="SimSun"/>
              </w:rPr>
              <w:t>MID-Grant</w:t>
            </w:r>
          </w:p>
        </w:tc>
        <w:tc>
          <w:tcPr>
            <w:tcW w:w="1023" w:type="dxa"/>
          </w:tcPr>
          <w:p w:rsidR="00DF0EF0" w:rsidRPr="009448FC" w:rsidRDefault="00DF0EF0" w:rsidP="009F4839">
            <w:pPr>
              <w:jc w:val="both"/>
              <w:rPr>
                <w:rFonts w:eastAsia="SimSun"/>
              </w:rPr>
            </w:pPr>
            <w:r w:rsidRPr="009448FC">
              <w:rPr>
                <w:rFonts w:eastAsia="SimSun"/>
              </w:rPr>
              <w:t>BC-Grant</w:t>
            </w:r>
          </w:p>
        </w:tc>
        <w:tc>
          <w:tcPr>
            <w:tcW w:w="1068" w:type="dxa"/>
          </w:tcPr>
          <w:p w:rsidR="00DF0EF0" w:rsidRPr="009448FC" w:rsidRDefault="00DF0EF0" w:rsidP="009F4839">
            <w:pPr>
              <w:jc w:val="both"/>
              <w:rPr>
                <w:rFonts w:eastAsia="SimSun"/>
              </w:rPr>
            </w:pPr>
            <w:r w:rsidRPr="009448FC">
              <w:rPr>
                <w:rFonts w:eastAsia="SimSun"/>
              </w:rPr>
              <w:t>Chan-FBCK-CAP</w:t>
            </w:r>
          </w:p>
        </w:tc>
        <w:tc>
          <w:tcPr>
            <w:tcW w:w="871" w:type="dxa"/>
          </w:tcPr>
          <w:p w:rsidR="00DF0EF0" w:rsidRPr="009448FC" w:rsidRDefault="00DF0EF0" w:rsidP="009F4839">
            <w:pPr>
              <w:jc w:val="both"/>
              <w:rPr>
                <w:rFonts w:eastAsia="SimSun"/>
              </w:rPr>
            </w:pPr>
            <w:r>
              <w:rPr>
                <w:rFonts w:eastAsia="SimSun"/>
              </w:rPr>
              <w:t>TX Sector ID</w:t>
            </w:r>
          </w:p>
        </w:tc>
        <w:tc>
          <w:tcPr>
            <w:tcW w:w="1120" w:type="dxa"/>
          </w:tcPr>
          <w:p w:rsidR="00DF0EF0" w:rsidRPr="009448FC" w:rsidRDefault="00DF0EF0" w:rsidP="009F4839">
            <w:pPr>
              <w:jc w:val="both"/>
              <w:rPr>
                <w:rFonts w:eastAsia="SimSun"/>
              </w:rPr>
            </w:pPr>
            <w:r w:rsidRPr="009448FC">
              <w:rPr>
                <w:rFonts w:eastAsia="SimSun"/>
              </w:rPr>
              <w:t>Reserved</w:t>
            </w:r>
          </w:p>
        </w:tc>
      </w:tr>
      <w:tr w:rsidR="00DF0EF0" w:rsidRPr="00066F65" w:rsidTr="009F4839">
        <w:tc>
          <w:tcPr>
            <w:tcW w:w="996" w:type="dxa"/>
          </w:tcPr>
          <w:p w:rsidR="00DF0EF0" w:rsidRPr="009448FC" w:rsidRDefault="00DF0EF0" w:rsidP="009F4839">
            <w:pPr>
              <w:jc w:val="both"/>
              <w:rPr>
                <w:rFonts w:eastAsia="SimSun"/>
              </w:rPr>
            </w:pPr>
            <w:r w:rsidRPr="009448FC">
              <w:rPr>
                <w:rFonts w:eastAsia="SimSun"/>
              </w:rPr>
              <w:t>Bits:</w:t>
            </w:r>
          </w:p>
        </w:tc>
        <w:tc>
          <w:tcPr>
            <w:tcW w:w="962" w:type="dxa"/>
          </w:tcPr>
          <w:p w:rsidR="00DF0EF0" w:rsidRPr="009448FC" w:rsidRDefault="00DF0EF0" w:rsidP="009F4839">
            <w:pPr>
              <w:jc w:val="both"/>
              <w:rPr>
                <w:rFonts w:eastAsia="SimSun"/>
              </w:rPr>
            </w:pPr>
            <w:r w:rsidRPr="009448FC">
              <w:rPr>
                <w:rFonts w:eastAsia="SimSun"/>
              </w:rPr>
              <w:t>6</w:t>
            </w:r>
          </w:p>
        </w:tc>
        <w:tc>
          <w:tcPr>
            <w:tcW w:w="1026" w:type="dxa"/>
          </w:tcPr>
          <w:p w:rsidR="00DF0EF0" w:rsidRPr="009448FC" w:rsidRDefault="00DF0EF0" w:rsidP="009F4839">
            <w:pPr>
              <w:jc w:val="both"/>
              <w:rPr>
                <w:rFonts w:eastAsia="SimSun"/>
              </w:rPr>
            </w:pPr>
            <w:r w:rsidRPr="009448FC">
              <w:rPr>
                <w:rFonts w:eastAsia="SimSun"/>
              </w:rPr>
              <w:t>1</w:t>
            </w:r>
          </w:p>
        </w:tc>
        <w:tc>
          <w:tcPr>
            <w:tcW w:w="1023" w:type="dxa"/>
          </w:tcPr>
          <w:p w:rsidR="00DF0EF0" w:rsidRPr="009448FC" w:rsidRDefault="00DF0EF0" w:rsidP="009F4839">
            <w:pPr>
              <w:jc w:val="both"/>
              <w:rPr>
                <w:rFonts w:eastAsia="SimSun"/>
              </w:rPr>
            </w:pPr>
            <w:r w:rsidRPr="009448FC">
              <w:rPr>
                <w:rFonts w:eastAsia="SimSun"/>
              </w:rPr>
              <w:t>1</w:t>
            </w:r>
          </w:p>
        </w:tc>
        <w:tc>
          <w:tcPr>
            <w:tcW w:w="1004" w:type="dxa"/>
          </w:tcPr>
          <w:p w:rsidR="00DF0EF0" w:rsidRPr="009448FC" w:rsidRDefault="00DF0EF0" w:rsidP="009F4839">
            <w:pPr>
              <w:jc w:val="both"/>
              <w:rPr>
                <w:rFonts w:eastAsia="SimSun"/>
              </w:rPr>
            </w:pPr>
            <w:r w:rsidRPr="009448FC">
              <w:rPr>
                <w:rFonts w:eastAsia="SimSun"/>
              </w:rPr>
              <w:t>1</w:t>
            </w:r>
          </w:p>
        </w:tc>
        <w:tc>
          <w:tcPr>
            <w:tcW w:w="1023" w:type="dxa"/>
          </w:tcPr>
          <w:p w:rsidR="00DF0EF0" w:rsidRPr="009448FC" w:rsidRDefault="00DF0EF0" w:rsidP="009F4839">
            <w:pPr>
              <w:jc w:val="both"/>
              <w:rPr>
                <w:rFonts w:eastAsia="SimSun"/>
              </w:rPr>
            </w:pPr>
            <w:r w:rsidRPr="009448FC">
              <w:rPr>
                <w:rFonts w:eastAsia="SimSun"/>
              </w:rPr>
              <w:t>1</w:t>
            </w:r>
          </w:p>
        </w:tc>
        <w:tc>
          <w:tcPr>
            <w:tcW w:w="1023" w:type="dxa"/>
          </w:tcPr>
          <w:p w:rsidR="00DF0EF0" w:rsidRPr="009448FC" w:rsidRDefault="00DF0EF0" w:rsidP="009F4839">
            <w:pPr>
              <w:jc w:val="both"/>
              <w:rPr>
                <w:rFonts w:eastAsia="SimSun"/>
              </w:rPr>
            </w:pPr>
            <w:r w:rsidRPr="009448FC">
              <w:rPr>
                <w:rFonts w:eastAsia="SimSun"/>
              </w:rPr>
              <w:t>1</w:t>
            </w:r>
          </w:p>
        </w:tc>
        <w:tc>
          <w:tcPr>
            <w:tcW w:w="1068" w:type="dxa"/>
          </w:tcPr>
          <w:p w:rsidR="00DF0EF0" w:rsidRPr="009448FC" w:rsidRDefault="00DF0EF0" w:rsidP="009F4839">
            <w:pPr>
              <w:jc w:val="both"/>
              <w:rPr>
                <w:rFonts w:eastAsia="SimSun"/>
              </w:rPr>
            </w:pPr>
            <w:r w:rsidRPr="009448FC">
              <w:rPr>
                <w:rFonts w:eastAsia="SimSun"/>
              </w:rPr>
              <w:t>1</w:t>
            </w:r>
          </w:p>
        </w:tc>
        <w:tc>
          <w:tcPr>
            <w:tcW w:w="871" w:type="dxa"/>
          </w:tcPr>
          <w:p w:rsidR="00DF0EF0" w:rsidRPr="009448FC" w:rsidRDefault="00DF0EF0" w:rsidP="009F4839">
            <w:pPr>
              <w:jc w:val="both"/>
              <w:rPr>
                <w:rFonts w:eastAsia="SimSun"/>
              </w:rPr>
            </w:pPr>
            <w:r>
              <w:rPr>
                <w:rFonts w:eastAsia="SimSun"/>
              </w:rPr>
              <w:t>6</w:t>
            </w:r>
          </w:p>
        </w:tc>
        <w:tc>
          <w:tcPr>
            <w:tcW w:w="1120" w:type="dxa"/>
          </w:tcPr>
          <w:p w:rsidR="00DF0EF0" w:rsidRPr="009448FC" w:rsidRDefault="00DF0EF0" w:rsidP="009F4839">
            <w:pPr>
              <w:jc w:val="both"/>
              <w:rPr>
                <w:rFonts w:eastAsia="SimSun"/>
              </w:rPr>
            </w:pPr>
            <w:r>
              <w:rPr>
                <w:rFonts w:eastAsia="SimSun"/>
              </w:rPr>
              <w:t>6</w:t>
            </w:r>
          </w:p>
        </w:tc>
      </w:tr>
    </w:tbl>
    <w:p w:rsidR="00DF0EF0" w:rsidRPr="00066F65" w:rsidRDefault="00DF0EF0" w:rsidP="00DF0EF0">
      <w:pPr>
        <w:pStyle w:val="Caption"/>
      </w:pPr>
      <w:bookmarkStart w:id="767" w:name="_Ref253746318"/>
      <w:bookmarkStart w:id="768" w:name="_Toc259717503"/>
      <w:r w:rsidRPr="00066F65">
        <w:t xml:space="preserve">Figure </w:t>
      </w:r>
      <w:r w:rsidR="00BD151C">
        <w:fldChar w:fldCharType="begin"/>
      </w:r>
      <w:r w:rsidR="00801316">
        <w:instrText xml:space="preserve"> SEQ Figure \* ARABIC </w:instrText>
      </w:r>
      <w:r w:rsidR="00BD151C">
        <w:fldChar w:fldCharType="separate"/>
      </w:r>
      <w:r w:rsidR="003E4210">
        <w:rPr>
          <w:noProof/>
        </w:rPr>
        <w:t>71</w:t>
      </w:r>
      <w:r w:rsidR="00BD151C">
        <w:fldChar w:fldCharType="end"/>
      </w:r>
      <w:bookmarkEnd w:id="767"/>
      <w:r w:rsidRPr="00066F65">
        <w:t xml:space="preserve"> – BRP Request field format</w:t>
      </w:r>
      <w:bookmarkEnd w:id="768"/>
      <w:r w:rsidR="00D11F2E">
        <w:t xml:space="preserve"> </w:t>
      </w:r>
    </w:p>
    <w:p w:rsidR="00DF0EF0" w:rsidRPr="009448FC" w:rsidRDefault="00DF0EF0" w:rsidP="00DF0EF0"/>
    <w:p w:rsidR="00DF0EF0" w:rsidRPr="009448FC" w:rsidRDefault="00DF0EF0" w:rsidP="00DF0EF0">
      <w:r w:rsidRPr="009448FC">
        <w:t xml:space="preserve">The L-RX field indicates the compressed number of TRN-R subfields requested by the transmitting STA as part of beam refinement. To obtain the desired number of TRN-R subfieds, the value of the L-RX field is multiplied by 4. Possible values range form 0-16, corresponding to 0-64 TRN-R fields. If the field is set to zero, the transmitting STA does not need receiver training as part of beam refinement. </w:t>
      </w:r>
    </w:p>
    <w:p w:rsidR="00DF0EF0" w:rsidRPr="009448FC" w:rsidRDefault="00DF0EF0" w:rsidP="00DF0EF0"/>
    <w:p w:rsidR="00DF0EF0" w:rsidRPr="009448FC" w:rsidRDefault="00DF0EF0" w:rsidP="00DF0EF0">
      <w:r w:rsidRPr="009448FC">
        <w:t xml:space="preserve">The TX-TRN-REQ field is set to one to indicate that the STA needs transmit training. It is set to zero otherwise. </w:t>
      </w:r>
    </w:p>
    <w:p w:rsidR="00DF0EF0" w:rsidRPr="009448FC" w:rsidRDefault="00DF0EF0" w:rsidP="00DF0EF0"/>
    <w:p w:rsidR="00DF0EF0" w:rsidRPr="009448FC" w:rsidRDefault="00DF0EF0" w:rsidP="00DF0EF0">
      <w:r w:rsidRPr="009448FC">
        <w:t xml:space="preserve">A STA sets the MID-REQ field to one in SS-Feedback or BRP frames to indicate a request for an I/R-MID </w:t>
      </w:r>
      <w:r w:rsidR="0035004A">
        <w:t>sub-</w:t>
      </w:r>
      <w:r w:rsidRPr="009448FC">
        <w:t xml:space="preserve">phase. In case an R-MID </w:t>
      </w:r>
      <w:r w:rsidR="0035004A">
        <w:t xml:space="preserve">sub-phase </w:t>
      </w:r>
      <w:r w:rsidRPr="009448FC">
        <w:t>is requested, the STA can include information on the TX sector IDs to be used by the STA receiving this request. The STA receiving this request sets the MID-grant field in SS-ACK or BRP frames to one to grant this request or otherwise sets it to zero.</w:t>
      </w:r>
    </w:p>
    <w:p w:rsidR="00DF0EF0" w:rsidRPr="009448FC" w:rsidRDefault="00DF0EF0" w:rsidP="00DF0EF0"/>
    <w:p w:rsidR="00DF0EF0" w:rsidRPr="009448FC" w:rsidRDefault="00DF0EF0" w:rsidP="00DF0EF0">
      <w:r w:rsidRPr="009448FC">
        <w:t xml:space="preserve">A STA sets the BC-REQ field to one in SS-Feedback or BRP frames to indicate a request for an I/R-BC </w:t>
      </w:r>
      <w:r w:rsidR="0035004A">
        <w:t>sub-</w:t>
      </w:r>
      <w:r w:rsidRPr="009448FC">
        <w:t xml:space="preserve">phase. In case an R-BC </w:t>
      </w:r>
      <w:r w:rsidR="0035004A">
        <w:t xml:space="preserve">sub-phase </w:t>
      </w:r>
      <w:r w:rsidRPr="009448FC">
        <w:t>is requested, the STA can include information on the TX sector IDs to be used by the STA receiving this request. The STA receiving this request sets the BC-grant field in SS-ACK or BRP to one to grant this request or otherwise sets it to zero.</w:t>
      </w:r>
    </w:p>
    <w:p w:rsidR="00DF0EF0" w:rsidRPr="009448FC" w:rsidRDefault="00DF0EF0" w:rsidP="00DF0EF0"/>
    <w:p w:rsidR="00DF0EF0" w:rsidRDefault="00DF0EF0" w:rsidP="00DF0EF0">
      <w:r w:rsidRPr="009448FC">
        <w:t>The Chan-FBCK-CAP field indicates a capability to return channel measurement during beam refinement. If it is set to zero, the STA can only return BS-FBCK during beam refinement.</w:t>
      </w:r>
    </w:p>
    <w:p w:rsidR="00DF0EF0" w:rsidRDefault="00DF0EF0" w:rsidP="00DF0EF0"/>
    <w:p w:rsidR="00B23D68" w:rsidRPr="00DF0EF0" w:rsidRDefault="00DF0EF0" w:rsidP="00DF0EF0">
      <w:pPr>
        <w:autoSpaceDE w:val="0"/>
        <w:autoSpaceDN w:val="0"/>
        <w:adjustRightInd w:val="0"/>
      </w:pPr>
      <w:r>
        <w:t>The TX sector ID field indicates the Sector ID that is used when transmitting the packet.</w:t>
      </w:r>
      <w:r w:rsidR="00D11F2E">
        <w:t xml:space="preserve"> </w:t>
      </w:r>
      <w:r>
        <w:t>If the packet is transmitted using a pattern that is not a sector that has been used in the sector sweep, the value of this field is set to 0x63.</w:t>
      </w:r>
      <w:r w:rsidR="00D11F2E">
        <w:t xml:space="preserve"> </w:t>
      </w:r>
    </w:p>
    <w:p w:rsidR="00B23D68" w:rsidRDefault="00B23D68" w:rsidP="002E7191">
      <w:pPr>
        <w:autoSpaceDE w:val="0"/>
        <w:autoSpaceDN w:val="0"/>
        <w:adjustRightInd w:val="0"/>
      </w:pPr>
    </w:p>
    <w:p w:rsidR="00DF0EF0" w:rsidRDefault="00DF0EF0" w:rsidP="00DF0EF0">
      <w:pPr>
        <w:pStyle w:val="Heading3"/>
      </w:pPr>
      <w:bookmarkStart w:id="769" w:name="_Ref253745303"/>
      <w:bookmarkStart w:id="770" w:name="_Toc259716955"/>
      <w:r>
        <w:t xml:space="preserve">7.3a.5 Beamforming </w:t>
      </w:r>
      <w:r w:rsidR="00335390">
        <w:t>C</w:t>
      </w:r>
      <w:r>
        <w:t>ontrol field</w:t>
      </w:r>
      <w:bookmarkEnd w:id="769"/>
      <w:bookmarkEnd w:id="770"/>
    </w:p>
    <w:p w:rsidR="00DF0EF0" w:rsidRPr="00D716C8" w:rsidRDefault="00DF0EF0" w:rsidP="002E7191">
      <w:pPr>
        <w:autoSpaceDE w:val="0"/>
        <w:autoSpaceDN w:val="0"/>
        <w:adjustRightInd w:val="0"/>
      </w:pPr>
    </w:p>
    <w:p w:rsidR="009F4839" w:rsidRPr="00D716C8" w:rsidRDefault="009D537D" w:rsidP="009F4839">
      <w:r w:rsidRPr="009D537D">
        <w:rPr>
          <w:rFonts w:eastAsia="Batang"/>
        </w:rPr>
        <w:t xml:space="preserve">The beamforming control field is formatted as shown in </w:t>
      </w:r>
      <w:fldSimple w:instr=" REF _Ref253746319 \h  \* MERGEFORMAT ">
        <w:r w:rsidR="003E4210" w:rsidRPr="00066F65">
          <w:t xml:space="preserve">Figure </w:t>
        </w:r>
        <w:r w:rsidR="003E4210">
          <w:rPr>
            <w:noProof/>
          </w:rPr>
          <w:t>72</w:t>
        </w:r>
      </w:fldSimple>
      <w:r w:rsidRPr="009D537D">
        <w:rPr>
          <w:rFonts w:eastAsia="Batang"/>
        </w:rPr>
        <w:t>.</w:t>
      </w:r>
    </w:p>
    <w:p w:rsidR="009F4839" w:rsidRPr="00D716C8" w:rsidRDefault="009F4839" w:rsidP="009F483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482"/>
        <w:gridCol w:w="1898"/>
        <w:gridCol w:w="2157"/>
        <w:gridCol w:w="1586"/>
        <w:gridCol w:w="1404"/>
      </w:tblGrid>
      <w:tr w:rsidR="009F4839" w:rsidRPr="00066F65" w:rsidTr="00852AD9">
        <w:tc>
          <w:tcPr>
            <w:tcW w:w="291" w:type="pct"/>
          </w:tcPr>
          <w:p w:rsidR="009F4839" w:rsidRPr="007B2D72" w:rsidRDefault="009F4839" w:rsidP="009F4839">
            <w:pPr>
              <w:jc w:val="both"/>
              <w:rPr>
                <w:rFonts w:eastAsia="SimSun"/>
              </w:rPr>
            </w:pPr>
          </w:p>
        </w:tc>
        <w:tc>
          <w:tcPr>
            <w:tcW w:w="1227" w:type="pct"/>
          </w:tcPr>
          <w:p w:rsidR="009F4839" w:rsidRPr="007B2D72" w:rsidRDefault="009F4839" w:rsidP="009F4839">
            <w:pPr>
              <w:jc w:val="both"/>
              <w:rPr>
                <w:rFonts w:eastAsia="SimSun"/>
              </w:rPr>
            </w:pPr>
            <w:r w:rsidRPr="007B2D72">
              <w:rPr>
                <w:rFonts w:eastAsia="SimSun"/>
              </w:rPr>
              <w:t>Beamforming Training</w:t>
            </w:r>
          </w:p>
        </w:tc>
        <w:tc>
          <w:tcPr>
            <w:tcW w:w="938" w:type="pct"/>
          </w:tcPr>
          <w:p w:rsidR="009F4839" w:rsidRPr="007B2D72" w:rsidRDefault="009F4839" w:rsidP="009F4839">
            <w:pPr>
              <w:jc w:val="both"/>
              <w:rPr>
                <w:rFonts w:eastAsia="SimSun"/>
              </w:rPr>
            </w:pPr>
            <w:r w:rsidRPr="007B2D72">
              <w:rPr>
                <w:rFonts w:eastAsia="SimSun"/>
              </w:rPr>
              <w:t>Initiator T/RXSS</w:t>
            </w:r>
          </w:p>
        </w:tc>
        <w:tc>
          <w:tcPr>
            <w:tcW w:w="1066" w:type="pct"/>
          </w:tcPr>
          <w:p w:rsidR="009F4839" w:rsidRPr="007B2D72" w:rsidRDefault="009F4839" w:rsidP="009F4839">
            <w:pPr>
              <w:jc w:val="both"/>
              <w:rPr>
                <w:rFonts w:eastAsia="SimSun"/>
              </w:rPr>
            </w:pPr>
            <w:r w:rsidRPr="007B2D72">
              <w:rPr>
                <w:rFonts w:eastAsia="SimSun"/>
              </w:rPr>
              <w:t>Responder T/RXSS</w:t>
            </w:r>
          </w:p>
        </w:tc>
        <w:tc>
          <w:tcPr>
            <w:tcW w:w="784" w:type="pct"/>
          </w:tcPr>
          <w:p w:rsidR="009F4839" w:rsidRPr="007B2D72" w:rsidRDefault="009F4839" w:rsidP="009F4839">
            <w:pPr>
              <w:jc w:val="both"/>
              <w:rPr>
                <w:rFonts w:eastAsia="SimSun"/>
              </w:rPr>
            </w:pPr>
            <w:r w:rsidRPr="007B2D72">
              <w:rPr>
                <w:rFonts w:eastAsia="SimSun"/>
              </w:rPr>
              <w:t>RXSS Length</w:t>
            </w:r>
          </w:p>
        </w:tc>
        <w:tc>
          <w:tcPr>
            <w:tcW w:w="694" w:type="pct"/>
          </w:tcPr>
          <w:p w:rsidR="009F4839" w:rsidRPr="007B2D72" w:rsidRDefault="009F4839" w:rsidP="009F4839">
            <w:pPr>
              <w:jc w:val="both"/>
              <w:rPr>
                <w:rFonts w:eastAsia="SimSun"/>
              </w:rPr>
            </w:pPr>
            <w:r w:rsidRPr="007B2D72">
              <w:rPr>
                <w:rFonts w:eastAsia="SimSun"/>
              </w:rPr>
              <w:t>Reserved</w:t>
            </w:r>
          </w:p>
        </w:tc>
      </w:tr>
      <w:tr w:rsidR="009F4839" w:rsidRPr="00066F65" w:rsidTr="00852AD9">
        <w:tc>
          <w:tcPr>
            <w:tcW w:w="291" w:type="pct"/>
          </w:tcPr>
          <w:p w:rsidR="009F4839" w:rsidRPr="007B2D72" w:rsidRDefault="009F4839" w:rsidP="009F4839">
            <w:pPr>
              <w:jc w:val="both"/>
              <w:rPr>
                <w:rFonts w:eastAsia="SimSun"/>
              </w:rPr>
            </w:pPr>
            <w:r w:rsidRPr="007B2D72">
              <w:rPr>
                <w:rFonts w:eastAsia="SimSun"/>
              </w:rPr>
              <w:t>Bit:</w:t>
            </w:r>
          </w:p>
        </w:tc>
        <w:tc>
          <w:tcPr>
            <w:tcW w:w="1227" w:type="pct"/>
          </w:tcPr>
          <w:p w:rsidR="009F4839" w:rsidRPr="007B2D72" w:rsidRDefault="009F4839" w:rsidP="009F4839">
            <w:pPr>
              <w:jc w:val="center"/>
              <w:rPr>
                <w:rFonts w:eastAsia="SimSun"/>
              </w:rPr>
            </w:pPr>
            <w:r w:rsidRPr="007B2D72">
              <w:rPr>
                <w:rFonts w:eastAsia="SimSun"/>
              </w:rPr>
              <w:t>B0</w:t>
            </w:r>
          </w:p>
        </w:tc>
        <w:tc>
          <w:tcPr>
            <w:tcW w:w="938" w:type="pct"/>
          </w:tcPr>
          <w:p w:rsidR="009F4839" w:rsidRPr="007B2D72" w:rsidRDefault="009F4839" w:rsidP="009F4839">
            <w:pPr>
              <w:jc w:val="center"/>
              <w:rPr>
                <w:rFonts w:eastAsia="SimSun"/>
              </w:rPr>
            </w:pPr>
            <w:r w:rsidRPr="007B2D72">
              <w:rPr>
                <w:rFonts w:eastAsia="SimSun"/>
              </w:rPr>
              <w:t>B1</w:t>
            </w:r>
          </w:p>
        </w:tc>
        <w:tc>
          <w:tcPr>
            <w:tcW w:w="1066" w:type="pct"/>
          </w:tcPr>
          <w:p w:rsidR="009F4839" w:rsidRPr="007B2D72" w:rsidRDefault="009F4839" w:rsidP="009F4839">
            <w:pPr>
              <w:jc w:val="center"/>
              <w:rPr>
                <w:rFonts w:eastAsia="SimSun"/>
              </w:rPr>
            </w:pPr>
            <w:r w:rsidRPr="007B2D72">
              <w:rPr>
                <w:rFonts w:eastAsia="SimSun"/>
              </w:rPr>
              <w:t>B2</w:t>
            </w:r>
          </w:p>
        </w:tc>
        <w:tc>
          <w:tcPr>
            <w:tcW w:w="784" w:type="pct"/>
          </w:tcPr>
          <w:p w:rsidR="00FD28FC" w:rsidRDefault="009F4839">
            <w:pPr>
              <w:jc w:val="center"/>
              <w:rPr>
                <w:rFonts w:eastAsia="SimSun"/>
              </w:rPr>
            </w:pPr>
            <w:r w:rsidRPr="007B2D72">
              <w:rPr>
                <w:rFonts w:eastAsia="SimSun"/>
              </w:rPr>
              <w:t>B3-</w:t>
            </w:r>
            <w:r w:rsidR="00852AD9" w:rsidRPr="007B2D72">
              <w:rPr>
                <w:rFonts w:eastAsia="SimSun"/>
              </w:rPr>
              <w:t>B</w:t>
            </w:r>
            <w:r w:rsidR="00852AD9">
              <w:rPr>
                <w:rFonts w:eastAsia="SimSun"/>
                <w:rtl/>
              </w:rPr>
              <w:t>8</w:t>
            </w:r>
          </w:p>
        </w:tc>
        <w:tc>
          <w:tcPr>
            <w:tcW w:w="694" w:type="pct"/>
          </w:tcPr>
          <w:p w:rsidR="00FD28FC" w:rsidRDefault="00852AD9">
            <w:pPr>
              <w:jc w:val="center"/>
              <w:rPr>
                <w:rFonts w:eastAsia="SimSun"/>
              </w:rPr>
            </w:pPr>
            <w:r w:rsidRPr="007B2D72">
              <w:rPr>
                <w:rFonts w:eastAsia="SimSun"/>
              </w:rPr>
              <w:t>B</w:t>
            </w:r>
            <w:r>
              <w:rPr>
                <w:rFonts w:eastAsia="SimSun"/>
                <w:rtl/>
              </w:rPr>
              <w:t>9</w:t>
            </w:r>
            <w:r w:rsidR="009F4839" w:rsidRPr="007B2D72">
              <w:rPr>
                <w:rFonts w:eastAsia="SimSun"/>
              </w:rPr>
              <w:t>-B15</w:t>
            </w:r>
          </w:p>
        </w:tc>
      </w:tr>
    </w:tbl>
    <w:p w:rsidR="009F4839" w:rsidRPr="00066F65" w:rsidRDefault="009F4839" w:rsidP="009F4839">
      <w:pPr>
        <w:pStyle w:val="Caption"/>
        <w:rPr>
          <w:lang w:bidi="he-IL"/>
        </w:rPr>
      </w:pPr>
      <w:bookmarkStart w:id="771" w:name="_Ref253746319"/>
      <w:bookmarkStart w:id="772" w:name="_Toc259717504"/>
      <w:r w:rsidRPr="00066F65">
        <w:t xml:space="preserve">Figure </w:t>
      </w:r>
      <w:r w:rsidR="00BD151C">
        <w:fldChar w:fldCharType="begin"/>
      </w:r>
      <w:r w:rsidR="00801316">
        <w:instrText xml:space="preserve"> SEQ Figure \* ARABIC </w:instrText>
      </w:r>
      <w:r w:rsidR="00BD151C">
        <w:fldChar w:fldCharType="separate"/>
      </w:r>
      <w:r w:rsidR="003E4210">
        <w:rPr>
          <w:noProof/>
        </w:rPr>
        <w:t>72</w:t>
      </w:r>
      <w:r w:rsidR="00BD151C">
        <w:fldChar w:fldCharType="end"/>
      </w:r>
      <w:bookmarkEnd w:id="771"/>
      <w:r w:rsidRPr="00066F65">
        <w:t xml:space="preserve"> – BF Control field format</w:t>
      </w:r>
      <w:bookmarkEnd w:id="772"/>
      <w:r w:rsidR="00080054">
        <w:rPr>
          <w:rFonts w:hint="cs"/>
          <w:rtl/>
          <w:lang w:bidi="he-IL"/>
        </w:rPr>
        <w:t xml:space="preserve"> </w:t>
      </w:r>
    </w:p>
    <w:p w:rsidR="009F4839" w:rsidRPr="001D49DB" w:rsidRDefault="009F4839" w:rsidP="009F4839"/>
    <w:p w:rsidR="009F4839" w:rsidRPr="001D49DB" w:rsidRDefault="009F4839" w:rsidP="009F4839">
      <w:r w:rsidRPr="001D49DB">
        <w:rPr>
          <w:rFonts w:eastAsia="Batang"/>
        </w:rPr>
        <w:t xml:space="preserve">The Beamforming Training field is set to 1 to indicate that the source STA intends to initiate beamforming training with the destination STA at the start of the SP and set to 0 otherwise. If the Beamforming Training field is set to 0, the Initiator T/RXSS, </w:t>
      </w:r>
      <w:r w:rsidRPr="001D49DB">
        <w:t>Responder T/RXSS, and RXSS Length fields are ignored.</w:t>
      </w:r>
    </w:p>
    <w:p w:rsidR="009F4839" w:rsidRPr="001D49DB" w:rsidRDefault="009F4839" w:rsidP="009F4839"/>
    <w:p w:rsidR="009F4839" w:rsidRPr="007B2D72" w:rsidRDefault="009F4839" w:rsidP="009F4839">
      <w:r w:rsidRPr="001D49DB">
        <w:t>The Initia</w:t>
      </w:r>
      <w:r w:rsidRPr="007B2D72">
        <w:t>tor T/RXSS field is set to 1 to indicate that the source STA will start the beamforming training with a initiator TXSS. This field is set to 0 to indicate that the source station will start the BF training with a initiator RXSS.</w:t>
      </w:r>
    </w:p>
    <w:p w:rsidR="009F4839" w:rsidRPr="007B2D72" w:rsidRDefault="009F4839" w:rsidP="009F4839"/>
    <w:p w:rsidR="009F4839" w:rsidRPr="007B2D72" w:rsidRDefault="009F4839" w:rsidP="009F4839">
      <w:r w:rsidRPr="007B2D72">
        <w:t xml:space="preserve">The Responder T/RXSS field is set to 1 to indicate that the destination STA will start the RSS with a responder TXSS. This field is set to 0 to indicate that the destination station is to initiate the RSS with a responder RXSS. If the initiator T/RXSS field is set to 0, the Responder T/RXSS field is set to one. If the Responder T/RXSS field is set to zero, the Initiator T/RXSS field is </w:t>
      </w:r>
      <w:r w:rsidR="00771E22">
        <w:t>set to one</w:t>
      </w:r>
      <w:r w:rsidRPr="007B2D72">
        <w:t>.</w:t>
      </w:r>
    </w:p>
    <w:p w:rsidR="009F4839" w:rsidRPr="007B2D72" w:rsidRDefault="00D76EF4" w:rsidP="009F4839">
      <w:pPr>
        <w:rPr>
          <w:rFonts w:eastAsia="Batang"/>
          <w:sz w:val="23"/>
        </w:rPr>
      </w:pPr>
      <w:r>
        <w:rPr>
          <w:rFonts w:eastAsia="Batang"/>
          <w:sz w:val="23"/>
        </w:rPr>
        <w:t xml:space="preserve"> </w:t>
      </w:r>
    </w:p>
    <w:p w:rsidR="00DF0EF0" w:rsidRPr="00DF0EF0" w:rsidRDefault="009F4839" w:rsidP="00BE5866">
      <w:pPr>
        <w:autoSpaceDE w:val="0"/>
        <w:autoSpaceDN w:val="0"/>
        <w:adjustRightInd w:val="0"/>
      </w:pPr>
      <w:r w:rsidRPr="007B2D72">
        <w:t>The RXSS Length field is valid only if the initiator T/RXSS or Responder T/RXSS field is set to 0 and is ignored otherwise</w:t>
      </w:r>
      <w:r w:rsidR="00BE5866">
        <w:t>.</w:t>
      </w:r>
      <w:r w:rsidR="002D1F84">
        <w:rPr>
          <w:rFonts w:hint="cs"/>
          <w:rtl/>
        </w:rPr>
        <w:t xml:space="preserve"> </w:t>
      </w:r>
      <w:r w:rsidR="00DB7530">
        <w:t>R</w:t>
      </w:r>
      <w:r w:rsidR="00DB7530" w:rsidRPr="007444E8">
        <w:t xml:space="preserve">XSS </w:t>
      </w:r>
      <w:r w:rsidR="007444E8" w:rsidRPr="007444E8">
        <w:t xml:space="preserve">Length field specifes the total number of SS frames </w:t>
      </w:r>
      <w:r w:rsidR="00DB7530">
        <w:t>that are transmitted</w:t>
      </w:r>
      <w:r w:rsidR="007444E8" w:rsidRPr="007444E8">
        <w:t xml:space="preserve"> as part of an RXSS, from each of the transmitter antennas</w:t>
      </w:r>
      <w:r w:rsidRPr="007B2D72">
        <w:t>, and is defined in units of a SS frame.</w:t>
      </w:r>
      <w:r w:rsidR="0070790A">
        <w:t xml:space="preserve"> If the RXSS Length field is set with respect to the source STA, it shall </w:t>
      </w:r>
      <w:r w:rsidR="00E93D60">
        <w:t>be set to</w:t>
      </w:r>
      <w:r w:rsidR="0070790A">
        <w:t xml:space="preserve"> the value of the RXSS Length field in the source STA’s mmWave Capabilities element. </w:t>
      </w:r>
      <w:r w:rsidR="00EE4565">
        <w:t xml:space="preserve">If the RXSS Length field is set with respect to the destination STA, it shall </w:t>
      </w:r>
      <w:r w:rsidR="00E93D60">
        <w:t xml:space="preserve">be set to </w:t>
      </w:r>
      <w:r w:rsidR="00EE4565">
        <w:t>the value of the RXSS Length field in the destination STA’s mmWave Capabilities element.</w:t>
      </w:r>
    </w:p>
    <w:p w:rsidR="00FB0624" w:rsidRPr="00F66519" w:rsidRDefault="00F9296B" w:rsidP="003701DB">
      <w:pPr>
        <w:pStyle w:val="Heading2"/>
        <w:numPr>
          <w:ilvl w:val="1"/>
          <w:numId w:val="38"/>
        </w:numPr>
      </w:pPr>
      <w:bookmarkStart w:id="773" w:name="_Toc235400273"/>
      <w:bookmarkStart w:id="774" w:name="_Ref243987801"/>
      <w:bookmarkStart w:id="775" w:name="_Toc259716956"/>
      <w:r w:rsidRPr="00066F65">
        <w:t xml:space="preserve">Action </w:t>
      </w:r>
      <w:r w:rsidR="000C208C">
        <w:t>f</w:t>
      </w:r>
      <w:r w:rsidRPr="00066F65">
        <w:t>rame format details</w:t>
      </w:r>
      <w:bookmarkEnd w:id="773"/>
      <w:bookmarkEnd w:id="774"/>
      <w:bookmarkEnd w:id="775"/>
    </w:p>
    <w:p w:rsidR="00877812" w:rsidRPr="00120E53" w:rsidRDefault="008C36FC" w:rsidP="003701DB">
      <w:pPr>
        <w:pStyle w:val="Heading3"/>
        <w:numPr>
          <w:ilvl w:val="2"/>
          <w:numId w:val="25"/>
        </w:numPr>
      </w:pPr>
      <w:bookmarkStart w:id="776" w:name="_Toc232842663"/>
      <w:bookmarkStart w:id="777" w:name="_Toc232933628"/>
      <w:bookmarkStart w:id="778" w:name="_Toc232934260"/>
      <w:bookmarkStart w:id="779" w:name="_Toc232934760"/>
      <w:bookmarkStart w:id="780" w:name="_Toc232939397"/>
      <w:bookmarkStart w:id="781" w:name="_Toc207098894"/>
      <w:bookmarkStart w:id="782" w:name="_Toc207099502"/>
      <w:bookmarkStart w:id="783" w:name="_Toc207100421"/>
      <w:bookmarkStart w:id="784" w:name="_Toc207348343"/>
      <w:bookmarkStart w:id="785" w:name="_Toc215582717"/>
      <w:bookmarkStart w:id="786" w:name="_Toc235400275"/>
      <w:bookmarkStart w:id="787" w:name="_Toc259716957"/>
      <w:bookmarkEnd w:id="776"/>
      <w:bookmarkEnd w:id="777"/>
      <w:bookmarkEnd w:id="778"/>
      <w:bookmarkEnd w:id="779"/>
      <w:bookmarkEnd w:id="780"/>
      <w:r w:rsidRPr="00F66519">
        <w:t>QoS Action frame details</w:t>
      </w:r>
      <w:bookmarkEnd w:id="781"/>
      <w:bookmarkEnd w:id="782"/>
      <w:bookmarkEnd w:id="783"/>
      <w:bookmarkEnd w:id="784"/>
      <w:bookmarkEnd w:id="785"/>
      <w:bookmarkEnd w:id="786"/>
      <w:bookmarkEnd w:id="787"/>
    </w:p>
    <w:p w:rsidR="00877812" w:rsidRPr="000C208C" w:rsidRDefault="00877812" w:rsidP="00877812">
      <w:pPr>
        <w:rPr>
          <w:i/>
          <w:iCs/>
        </w:rPr>
      </w:pPr>
      <w:r>
        <w:rPr>
          <w:i/>
          <w:iCs/>
        </w:rPr>
        <w:t>.11</w:t>
      </w:r>
      <w:r w:rsidRPr="00286D90">
        <w:rPr>
          <w:i/>
          <w:iCs/>
        </w:rPr>
        <w:t xml:space="preserve"> editor note: </w:t>
      </w:r>
      <w:r>
        <w:rPr>
          <w:i/>
          <w:iCs/>
        </w:rPr>
        <w:t xml:space="preserve">add following text at end of subclause </w:t>
      </w:r>
      <w:r w:rsidRPr="000C208C">
        <w:rPr>
          <w:i/>
          <w:iCs/>
        </w:rPr>
        <w:t>7.4.2 QoS Action frame details</w:t>
      </w:r>
    </w:p>
    <w:p w:rsidR="00877812" w:rsidRDefault="00877812" w:rsidP="00877812"/>
    <w:p w:rsidR="00877812" w:rsidRPr="00676537" w:rsidRDefault="00877812" w:rsidP="00CA497C">
      <w:pPr>
        <w:rPr>
          <w:u w:val="single"/>
        </w:rPr>
      </w:pPr>
      <w:r w:rsidRPr="00676537">
        <w:rPr>
          <w:u w:val="single"/>
        </w:rPr>
        <w:t>Two variants are defined for the ADDTS frames: Basic ADDTS frame variant and Extended mmWave ADDTS frame variant. The basic ADDTS frames contain the TSPEC element as defined in 7.3.2.30. The extended mmWave ADDTS frames contain the extended mmWave TSPEC as defined in 7.3.2.97.</w:t>
      </w:r>
      <w:r w:rsidR="00D11F2E">
        <w:rPr>
          <w:u w:val="single"/>
        </w:rPr>
        <w:t xml:space="preserve"> </w:t>
      </w:r>
      <w:r w:rsidRPr="00676537">
        <w:rPr>
          <w:u w:val="single"/>
        </w:rPr>
        <w:t xml:space="preserve">The variant of the frame is indicated by the Element ID in the fourth field of the ADDTS request frame body (Table 7-46) and sixth field of the ADDTS response frame body (Table 7-47). The Element ID is the first octet of each of these fields. The encoding of the ADDTS frame variants is </w:t>
      </w:r>
      <w:r w:rsidR="00370CE2">
        <w:rPr>
          <w:u w:val="single"/>
        </w:rPr>
        <w:t>shown</w:t>
      </w:r>
      <w:r w:rsidRPr="00676537">
        <w:rPr>
          <w:u w:val="single"/>
        </w:rPr>
        <w:t xml:space="preserve"> </w:t>
      </w:r>
      <w:r w:rsidRPr="000C208C">
        <w:rPr>
          <w:u w:val="single"/>
        </w:rPr>
        <w:t xml:space="preserve">in </w:t>
      </w:r>
      <w:fldSimple w:instr=" REF _Ref251605966 \h  \* MERGEFORMAT ">
        <w:r w:rsidR="003E4210" w:rsidRPr="003E4210">
          <w:rPr>
            <w:u w:val="single"/>
          </w:rPr>
          <w:t xml:space="preserve">Table </w:t>
        </w:r>
        <w:r w:rsidR="003E4210" w:rsidRPr="003E4210">
          <w:rPr>
            <w:noProof/>
            <w:u w:val="single"/>
          </w:rPr>
          <w:t>21</w:t>
        </w:r>
      </w:fldSimple>
      <w:r w:rsidR="00CA497C" w:rsidRPr="000C208C">
        <w:rPr>
          <w:u w:val="single"/>
        </w:rPr>
        <w:t xml:space="preserve"> </w:t>
      </w:r>
      <w:r w:rsidRPr="000C208C">
        <w:rPr>
          <w:u w:val="single"/>
        </w:rPr>
        <w:t xml:space="preserve">and </w:t>
      </w:r>
      <w:fldSimple w:instr=" REF _Ref251605967 \h  \* MERGEFORMAT ">
        <w:r w:rsidR="003E4210" w:rsidRPr="003E4210">
          <w:rPr>
            <w:u w:val="single"/>
          </w:rPr>
          <w:t xml:space="preserve">Table </w:t>
        </w:r>
        <w:r w:rsidR="003E4210" w:rsidRPr="003E4210">
          <w:rPr>
            <w:noProof/>
            <w:u w:val="single"/>
          </w:rPr>
          <w:t>22</w:t>
        </w:r>
      </w:fldSimple>
      <w:r w:rsidR="0087795D" w:rsidRPr="000C208C">
        <w:rPr>
          <w:u w:val="single"/>
        </w:rPr>
        <w:t>.</w:t>
      </w:r>
    </w:p>
    <w:p w:rsidR="00877812" w:rsidRPr="00676537" w:rsidRDefault="00877812" w:rsidP="00877812">
      <w:pPr>
        <w:rPr>
          <w:u w:val="single"/>
        </w:rPr>
      </w:pPr>
    </w:p>
    <w:p w:rsidR="00877812" w:rsidRDefault="00A115AE" w:rsidP="00A115AE">
      <w:pPr>
        <w:pStyle w:val="Caption"/>
      </w:pPr>
      <w:bookmarkStart w:id="788" w:name="_Ref251605966"/>
      <w:bookmarkStart w:id="789" w:name="_Toc259717599"/>
      <w:r>
        <w:t xml:space="preserve">Table </w:t>
      </w:r>
      <w:r w:rsidR="00BD151C">
        <w:fldChar w:fldCharType="begin"/>
      </w:r>
      <w:r w:rsidR="00801316">
        <w:instrText xml:space="preserve"> SEQ Table \* ARABIC </w:instrText>
      </w:r>
      <w:r w:rsidR="00BD151C">
        <w:fldChar w:fldCharType="separate"/>
      </w:r>
      <w:r w:rsidR="003E4210">
        <w:rPr>
          <w:noProof/>
        </w:rPr>
        <w:t>21</w:t>
      </w:r>
      <w:r w:rsidR="00BD151C">
        <w:fldChar w:fldCharType="end"/>
      </w:r>
      <w:bookmarkEnd w:id="788"/>
      <w:r w:rsidR="00024BDB">
        <w:t xml:space="preserve"> – </w:t>
      </w:r>
      <w:r>
        <w:t>Encoding of the ADDTS request variant</w:t>
      </w:r>
      <w:bookmarkEnd w:id="7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1"/>
        <w:gridCol w:w="3351"/>
      </w:tblGrid>
      <w:tr w:rsidR="00877812" w:rsidTr="00AF6C8D">
        <w:trPr>
          <w:jc w:val="center"/>
        </w:trPr>
        <w:tc>
          <w:tcPr>
            <w:tcW w:w="3891" w:type="dxa"/>
          </w:tcPr>
          <w:p w:rsidR="00877812" w:rsidRDefault="00877812" w:rsidP="00AF6C8D">
            <w:pPr>
              <w:tabs>
                <w:tab w:val="left" w:pos="1924"/>
              </w:tabs>
              <w:rPr>
                <w:lang w:eastAsia="ko-KR"/>
              </w:rPr>
            </w:pPr>
            <w:r>
              <w:rPr>
                <w:lang w:eastAsia="ko-KR"/>
              </w:rPr>
              <w:lastRenderedPageBreak/>
              <w:t>Element</w:t>
            </w:r>
            <w:r w:rsidR="00D11F2E">
              <w:rPr>
                <w:lang w:eastAsia="ko-KR"/>
              </w:rPr>
              <w:t xml:space="preserve"> </w:t>
            </w:r>
            <w:r>
              <w:rPr>
                <w:lang w:eastAsia="ko-KR"/>
              </w:rPr>
              <w:t>ID of fourth field of ADDTS request frame</w:t>
            </w:r>
          </w:p>
        </w:tc>
        <w:tc>
          <w:tcPr>
            <w:tcW w:w="3351" w:type="dxa"/>
          </w:tcPr>
          <w:p w:rsidR="00877812" w:rsidRDefault="00877812" w:rsidP="00AF6C8D">
            <w:pPr>
              <w:tabs>
                <w:tab w:val="left" w:pos="1924"/>
              </w:tabs>
              <w:rPr>
                <w:lang w:eastAsia="ko-KR"/>
              </w:rPr>
            </w:pPr>
            <w:r>
              <w:rPr>
                <w:lang w:eastAsia="ko-KR"/>
              </w:rPr>
              <w:t>ADDTS request frame variant</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13 (TSPEC)</w:t>
            </w:r>
          </w:p>
        </w:tc>
        <w:tc>
          <w:tcPr>
            <w:tcW w:w="3351" w:type="dxa"/>
          </w:tcPr>
          <w:p w:rsidR="00877812" w:rsidRDefault="00877812" w:rsidP="00AF6C8D">
            <w:pPr>
              <w:tabs>
                <w:tab w:val="left" w:pos="1924"/>
              </w:tabs>
              <w:rPr>
                <w:lang w:eastAsia="ko-KR"/>
              </w:rPr>
            </w:pPr>
            <w:r>
              <w:rPr>
                <w:lang w:eastAsia="ko-KR"/>
              </w:rPr>
              <w:t>Basic ADDTS request frame</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-ANA- (extended mmWave TSPEC)</w:t>
            </w:r>
          </w:p>
        </w:tc>
        <w:tc>
          <w:tcPr>
            <w:tcW w:w="3351" w:type="dxa"/>
          </w:tcPr>
          <w:p w:rsidR="00877812" w:rsidRDefault="00877812" w:rsidP="00AF6C8D">
            <w:pPr>
              <w:tabs>
                <w:tab w:val="left" w:pos="1924"/>
              </w:tabs>
              <w:rPr>
                <w:lang w:eastAsia="ko-KR"/>
              </w:rPr>
            </w:pPr>
            <w:r>
              <w:rPr>
                <w:lang w:eastAsia="ko-KR"/>
              </w:rPr>
              <w:t>Extended mmWave ADDTS request frame</w:t>
            </w:r>
          </w:p>
        </w:tc>
      </w:tr>
    </w:tbl>
    <w:p w:rsidR="00877812" w:rsidRDefault="00877812" w:rsidP="00877812">
      <w:pPr>
        <w:tabs>
          <w:tab w:val="left" w:pos="1924"/>
        </w:tabs>
        <w:rPr>
          <w:lang w:eastAsia="ko-KR"/>
        </w:rPr>
      </w:pPr>
    </w:p>
    <w:p w:rsidR="00877812" w:rsidRDefault="00877812" w:rsidP="00877812"/>
    <w:p w:rsidR="00A115AE" w:rsidRDefault="00A115AE" w:rsidP="00A115AE">
      <w:pPr>
        <w:pStyle w:val="Caption"/>
      </w:pPr>
      <w:bookmarkStart w:id="790" w:name="_Ref251605967"/>
      <w:bookmarkStart w:id="791" w:name="_Toc259717600"/>
      <w:r>
        <w:t xml:space="preserve">Table </w:t>
      </w:r>
      <w:r w:rsidR="00BD151C">
        <w:fldChar w:fldCharType="begin"/>
      </w:r>
      <w:r w:rsidR="00801316">
        <w:instrText xml:space="preserve"> SEQ Table \* ARABIC </w:instrText>
      </w:r>
      <w:r w:rsidR="00BD151C">
        <w:fldChar w:fldCharType="separate"/>
      </w:r>
      <w:r w:rsidR="003E4210">
        <w:rPr>
          <w:noProof/>
        </w:rPr>
        <w:t>22</w:t>
      </w:r>
      <w:r w:rsidR="00BD151C">
        <w:fldChar w:fldCharType="end"/>
      </w:r>
      <w:bookmarkEnd w:id="790"/>
      <w:r w:rsidR="00024BDB">
        <w:t xml:space="preserve"> – </w:t>
      </w:r>
      <w:r>
        <w:t>Encoding of the ADDTS response variant</w:t>
      </w:r>
      <w:bookmarkEnd w:id="7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1"/>
        <w:gridCol w:w="3351"/>
      </w:tblGrid>
      <w:tr w:rsidR="00877812" w:rsidTr="00AF6C8D">
        <w:trPr>
          <w:jc w:val="center"/>
        </w:trPr>
        <w:tc>
          <w:tcPr>
            <w:tcW w:w="3891" w:type="dxa"/>
          </w:tcPr>
          <w:p w:rsidR="00877812" w:rsidRDefault="00877812" w:rsidP="00AF6C8D">
            <w:pPr>
              <w:tabs>
                <w:tab w:val="left" w:pos="1924"/>
              </w:tabs>
              <w:rPr>
                <w:lang w:eastAsia="ko-KR"/>
              </w:rPr>
            </w:pPr>
            <w:r>
              <w:rPr>
                <w:lang w:eastAsia="ko-KR"/>
              </w:rPr>
              <w:t>Element</w:t>
            </w:r>
            <w:r w:rsidR="00D11F2E">
              <w:rPr>
                <w:lang w:eastAsia="ko-KR"/>
              </w:rPr>
              <w:t xml:space="preserve"> </w:t>
            </w:r>
            <w:r>
              <w:rPr>
                <w:lang w:eastAsia="ko-KR"/>
              </w:rPr>
              <w:t>ID of sixth field of ADDTS response frame</w:t>
            </w:r>
          </w:p>
        </w:tc>
        <w:tc>
          <w:tcPr>
            <w:tcW w:w="3351" w:type="dxa"/>
          </w:tcPr>
          <w:p w:rsidR="00877812" w:rsidRDefault="00877812" w:rsidP="00AF6C8D">
            <w:pPr>
              <w:tabs>
                <w:tab w:val="left" w:pos="1924"/>
              </w:tabs>
              <w:rPr>
                <w:lang w:eastAsia="ko-KR"/>
              </w:rPr>
            </w:pPr>
            <w:r>
              <w:rPr>
                <w:lang w:eastAsia="ko-KR"/>
              </w:rPr>
              <w:t>ADDTS response frame variant</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13 (TSPEC)</w:t>
            </w:r>
          </w:p>
        </w:tc>
        <w:tc>
          <w:tcPr>
            <w:tcW w:w="3351" w:type="dxa"/>
          </w:tcPr>
          <w:p w:rsidR="00877812" w:rsidRDefault="00877812" w:rsidP="00AF6C8D">
            <w:pPr>
              <w:tabs>
                <w:tab w:val="left" w:pos="1924"/>
              </w:tabs>
              <w:rPr>
                <w:lang w:eastAsia="ko-KR"/>
              </w:rPr>
            </w:pPr>
            <w:r>
              <w:rPr>
                <w:lang w:eastAsia="ko-KR"/>
              </w:rPr>
              <w:t>Basic ADDTS response frame</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-ANA- (extended mmWave TSPEC)</w:t>
            </w:r>
          </w:p>
        </w:tc>
        <w:tc>
          <w:tcPr>
            <w:tcW w:w="3351" w:type="dxa"/>
          </w:tcPr>
          <w:p w:rsidR="00877812" w:rsidRDefault="00877812" w:rsidP="00AF6C8D">
            <w:pPr>
              <w:tabs>
                <w:tab w:val="left" w:pos="1924"/>
              </w:tabs>
              <w:rPr>
                <w:lang w:eastAsia="ko-KR"/>
              </w:rPr>
            </w:pPr>
            <w:r>
              <w:rPr>
                <w:lang w:eastAsia="ko-KR"/>
              </w:rPr>
              <w:t>Extended mmWave ADDTS request frame</w:t>
            </w:r>
          </w:p>
        </w:tc>
      </w:tr>
    </w:tbl>
    <w:p w:rsidR="00877812" w:rsidRDefault="00877812" w:rsidP="00877812">
      <w:pPr>
        <w:jc w:val="center"/>
      </w:pPr>
    </w:p>
    <w:p w:rsidR="00877812" w:rsidRDefault="00877812" w:rsidP="00877812">
      <w:pPr>
        <w:rPr>
          <w:u w:val="single"/>
        </w:rPr>
      </w:pPr>
      <w:r w:rsidRPr="00396D37">
        <w:rPr>
          <w:u w:val="single"/>
        </w:rPr>
        <w:t xml:space="preserve">In </w:t>
      </w:r>
      <w:r>
        <w:rPr>
          <w:u w:val="single"/>
        </w:rPr>
        <w:t>subsequent sub clauses of this document,</w:t>
      </w:r>
      <w:r w:rsidRPr="00396D37">
        <w:rPr>
          <w:u w:val="single"/>
        </w:rPr>
        <w:t xml:space="preserve"> the </w:t>
      </w:r>
      <w:r>
        <w:rPr>
          <w:u w:val="single"/>
        </w:rPr>
        <w:t>use of the term</w:t>
      </w:r>
      <w:r w:rsidRPr="00396D37">
        <w:rPr>
          <w:u w:val="single"/>
        </w:rPr>
        <w:t xml:space="preserve"> ADDTS </w:t>
      </w:r>
      <w:r>
        <w:rPr>
          <w:u w:val="single"/>
        </w:rPr>
        <w:t xml:space="preserve">request/response </w:t>
      </w:r>
      <w:r w:rsidRPr="00396D37">
        <w:rPr>
          <w:u w:val="single"/>
        </w:rPr>
        <w:t xml:space="preserve">frame </w:t>
      </w:r>
      <w:r>
        <w:rPr>
          <w:u w:val="single"/>
        </w:rPr>
        <w:t>without the modifier “Extended mmWave”</w:t>
      </w:r>
      <w:r w:rsidRPr="00396D37">
        <w:rPr>
          <w:u w:val="single"/>
        </w:rPr>
        <w:t xml:space="preserve"> </w:t>
      </w:r>
      <w:r>
        <w:rPr>
          <w:u w:val="single"/>
        </w:rPr>
        <w:t>always refers to the Basic ADDTS request/response frame variant.</w:t>
      </w:r>
    </w:p>
    <w:p w:rsidR="00877812" w:rsidRDefault="00877812" w:rsidP="00877812"/>
    <w:p w:rsidR="004F15E4" w:rsidRPr="004F15E4" w:rsidRDefault="004F15E4" w:rsidP="004F15E4">
      <w:pPr>
        <w:rPr>
          <w:i/>
          <w:iCs/>
        </w:rPr>
      </w:pPr>
      <w:r>
        <w:rPr>
          <w:i/>
          <w:iCs/>
        </w:rPr>
        <w:t xml:space="preserve">.11 </w:t>
      </w:r>
      <w:r w:rsidRPr="00286D90">
        <w:rPr>
          <w:i/>
          <w:iCs/>
        </w:rPr>
        <w:t xml:space="preserve">editor note: modify </w:t>
      </w:r>
      <w:r w:rsidR="000C208C">
        <w:rPr>
          <w:i/>
          <w:iCs/>
        </w:rPr>
        <w:t>sub</w:t>
      </w:r>
      <w:r>
        <w:rPr>
          <w:i/>
          <w:iCs/>
        </w:rPr>
        <w:t>clauses 7.4.2.1 and 7.4.2.2 as follows</w:t>
      </w:r>
    </w:p>
    <w:p w:rsidR="002E7191" w:rsidRPr="00AF6C8D" w:rsidRDefault="005919E9" w:rsidP="003701DB">
      <w:pPr>
        <w:pStyle w:val="Heading4"/>
        <w:numPr>
          <w:ilvl w:val="3"/>
          <w:numId w:val="189"/>
        </w:numPr>
      </w:pPr>
      <w:bookmarkStart w:id="792" w:name="_Toc259716958"/>
      <w:r w:rsidRPr="007607F2">
        <w:rPr>
          <w:bCs/>
          <w:u w:val="single"/>
        </w:rPr>
        <w:t>Basic and Extended mmWave</w:t>
      </w:r>
      <w:r>
        <w:rPr>
          <w:bCs/>
        </w:rPr>
        <w:t xml:space="preserve"> </w:t>
      </w:r>
      <w:r w:rsidRPr="00D3349A">
        <w:rPr>
          <w:bCs/>
        </w:rPr>
        <w:t xml:space="preserve">ADDTS Request </w:t>
      </w:r>
      <w:r w:rsidR="0081574F">
        <w:rPr>
          <w:bCs/>
        </w:rPr>
        <w:t>f</w:t>
      </w:r>
      <w:r w:rsidRPr="00D3349A">
        <w:rPr>
          <w:bCs/>
        </w:rPr>
        <w:t>rame</w:t>
      </w:r>
      <w:r>
        <w:rPr>
          <w:bCs/>
        </w:rPr>
        <w:t xml:space="preserve"> formats</w:t>
      </w:r>
      <w:bookmarkEnd w:id="792"/>
    </w:p>
    <w:p w:rsidR="005919E9" w:rsidRPr="005919E9" w:rsidRDefault="005919E9" w:rsidP="003701DB">
      <w:pPr>
        <w:pStyle w:val="Heading5"/>
        <w:numPr>
          <w:ilvl w:val="4"/>
          <w:numId w:val="189"/>
        </w:numPr>
        <w:rPr>
          <w:u w:val="single"/>
          <w:lang w:eastAsia="ko-KR"/>
        </w:rPr>
      </w:pPr>
      <w:bookmarkStart w:id="793" w:name="_Toc259716959"/>
      <w:r w:rsidRPr="005919E9">
        <w:rPr>
          <w:u w:val="single"/>
        </w:rPr>
        <w:t xml:space="preserve">Basic ADDTS Request </w:t>
      </w:r>
      <w:r w:rsidR="0081574F">
        <w:rPr>
          <w:u w:val="single"/>
        </w:rPr>
        <w:t>f</w:t>
      </w:r>
      <w:r w:rsidRPr="005919E9">
        <w:rPr>
          <w:u w:val="single"/>
        </w:rPr>
        <w:t>rame variant</w:t>
      </w:r>
      <w:bookmarkEnd w:id="793"/>
    </w:p>
    <w:p w:rsidR="005919E9" w:rsidRDefault="005919E9" w:rsidP="00CC360F">
      <w:pPr>
        <w:tabs>
          <w:tab w:val="left" w:pos="1924"/>
        </w:tabs>
        <w:rPr>
          <w:b/>
          <w:bCs/>
          <w:i/>
          <w:iCs/>
          <w:color w:val="FF0000"/>
          <w:u w:val="single"/>
          <w:lang w:eastAsia="ko-KR"/>
        </w:rPr>
      </w:pPr>
    </w:p>
    <w:p w:rsidR="005919E9" w:rsidRDefault="005919E9" w:rsidP="005919E9">
      <w:pPr>
        <w:rPr>
          <w:i/>
          <w:iCs/>
          <w:color w:val="000000"/>
        </w:rPr>
      </w:pPr>
      <w:r>
        <w:rPr>
          <w:i/>
          <w:iCs/>
          <w:color w:val="000000"/>
        </w:rPr>
        <w:t xml:space="preserve">.11 editor note: rename the </w:t>
      </w:r>
      <w:r w:rsidRPr="00620559">
        <w:rPr>
          <w:i/>
          <w:iCs/>
          <w:color w:val="000000"/>
        </w:rPr>
        <w:t>Table 7-46</w:t>
      </w:r>
      <w:r>
        <w:rPr>
          <w:i/>
          <w:iCs/>
          <w:color w:val="000000"/>
        </w:rPr>
        <w:t xml:space="preserve"> </w:t>
      </w:r>
      <w:r w:rsidRPr="00620559">
        <w:rPr>
          <w:i/>
          <w:iCs/>
          <w:color w:val="000000"/>
        </w:rPr>
        <w:t>—</w:t>
      </w:r>
      <w:r>
        <w:rPr>
          <w:i/>
          <w:iCs/>
          <w:color w:val="000000"/>
        </w:rPr>
        <w:t xml:space="preserve">“Basic </w:t>
      </w:r>
      <w:r w:rsidRPr="00620559">
        <w:rPr>
          <w:i/>
          <w:iCs/>
          <w:color w:val="000000"/>
        </w:rPr>
        <w:t xml:space="preserve">ADDTS Request frame </w:t>
      </w:r>
      <w:r>
        <w:rPr>
          <w:i/>
          <w:iCs/>
          <w:color w:val="000000"/>
        </w:rPr>
        <w:t xml:space="preserve">variant” and add </w:t>
      </w:r>
      <w:r w:rsidRPr="00620559">
        <w:rPr>
          <w:i/>
          <w:iCs/>
          <w:color w:val="000000"/>
        </w:rPr>
        <w:t>line as follows:</w:t>
      </w:r>
    </w:p>
    <w:p w:rsidR="005919E9" w:rsidRDefault="005919E9" w:rsidP="005919E9">
      <w:pPr>
        <w:rPr>
          <w:i/>
          <w:i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1"/>
        <w:gridCol w:w="2534"/>
      </w:tblGrid>
      <w:tr w:rsidR="005919E9" w:rsidRPr="004C25C3" w:rsidTr="00AF6C8D">
        <w:trPr>
          <w:jc w:val="center"/>
        </w:trPr>
        <w:tc>
          <w:tcPr>
            <w:tcW w:w="1341" w:type="dxa"/>
          </w:tcPr>
          <w:p w:rsidR="005919E9" w:rsidRPr="00C60DB4" w:rsidRDefault="005919E9" w:rsidP="00AF6C8D">
            <w:pPr>
              <w:rPr>
                <w:color w:val="000000"/>
                <w:u w:val="single"/>
              </w:rPr>
            </w:pPr>
            <w:r w:rsidRPr="00C60DB4">
              <w:rPr>
                <w:color w:val="000000"/>
                <w:u w:val="single"/>
              </w:rPr>
              <w:t xml:space="preserve">Order </w:t>
            </w:r>
          </w:p>
        </w:tc>
        <w:tc>
          <w:tcPr>
            <w:tcW w:w="2534" w:type="dxa"/>
          </w:tcPr>
          <w:p w:rsidR="005919E9" w:rsidRPr="00C60DB4" w:rsidRDefault="005919E9" w:rsidP="00AF6C8D">
            <w:pPr>
              <w:rPr>
                <w:color w:val="000000"/>
                <w:u w:val="single"/>
              </w:rPr>
            </w:pPr>
            <w:r w:rsidRPr="00C60DB4">
              <w:rPr>
                <w:color w:val="000000"/>
                <w:u w:val="single"/>
              </w:rPr>
              <w:t>Information</w:t>
            </w:r>
          </w:p>
        </w:tc>
      </w:tr>
      <w:tr w:rsidR="005919E9" w:rsidRPr="004C25C3" w:rsidTr="00AF6C8D">
        <w:trPr>
          <w:jc w:val="center"/>
        </w:trPr>
        <w:tc>
          <w:tcPr>
            <w:tcW w:w="1341" w:type="dxa"/>
          </w:tcPr>
          <w:p w:rsidR="005919E9" w:rsidRPr="00C60DB4" w:rsidRDefault="005919E9" w:rsidP="00AF6C8D">
            <w:pPr>
              <w:rPr>
                <w:color w:val="000000"/>
                <w:u w:val="single"/>
              </w:rPr>
            </w:pPr>
            <w:r w:rsidRPr="00C60DB4">
              <w:rPr>
                <w:color w:val="000000"/>
                <w:u w:val="single"/>
              </w:rPr>
              <w:t>n+2</w:t>
            </w:r>
          </w:p>
        </w:tc>
        <w:tc>
          <w:tcPr>
            <w:tcW w:w="2534" w:type="dxa"/>
          </w:tcPr>
          <w:p w:rsidR="005919E9" w:rsidRPr="00C60DB4" w:rsidRDefault="005919E9" w:rsidP="00AF6C8D">
            <w:pPr>
              <w:rPr>
                <w:color w:val="000000"/>
                <w:u w:val="single"/>
              </w:rPr>
            </w:pPr>
            <w:r w:rsidRPr="00C60DB4">
              <w:rPr>
                <w:color w:val="000000"/>
                <w:u w:val="single"/>
              </w:rPr>
              <w:t>Multi-band (optional)</w:t>
            </w:r>
          </w:p>
        </w:tc>
      </w:tr>
    </w:tbl>
    <w:p w:rsidR="005919E9" w:rsidRDefault="005919E9" w:rsidP="005919E9">
      <w:pPr>
        <w:rPr>
          <w:i/>
          <w:iCs/>
          <w:color w:val="000000"/>
        </w:rPr>
      </w:pPr>
    </w:p>
    <w:p w:rsidR="005919E9" w:rsidRDefault="005919E9" w:rsidP="005919E9">
      <w:pPr>
        <w:rPr>
          <w:i/>
          <w:iCs/>
          <w:color w:val="000000"/>
        </w:rPr>
      </w:pPr>
      <w:r>
        <w:rPr>
          <w:i/>
          <w:iCs/>
          <w:color w:val="000000"/>
        </w:rPr>
        <w:t>.11 editor note: add at end of the subcaluse7.4.2.1.1:</w:t>
      </w:r>
    </w:p>
    <w:p w:rsidR="005919E9" w:rsidRDefault="005919E9" w:rsidP="005919E9">
      <w:pPr>
        <w:rPr>
          <w:i/>
          <w:iCs/>
          <w:color w:val="000000"/>
        </w:rPr>
      </w:pPr>
    </w:p>
    <w:p w:rsidR="005919E9" w:rsidRDefault="005919E9" w:rsidP="005919E9">
      <w:pPr>
        <w:tabs>
          <w:tab w:val="left" w:pos="1924"/>
        </w:tabs>
        <w:rPr>
          <w:u w:val="single"/>
        </w:rPr>
      </w:pPr>
      <w:r w:rsidRPr="005C2D5A">
        <w:rPr>
          <w:u w:val="single"/>
        </w:rPr>
        <w:t xml:space="preserve">When present in an ADDTS Request frame, the </w:t>
      </w:r>
      <w:r w:rsidR="00493DD7">
        <w:rPr>
          <w:u w:val="single"/>
        </w:rPr>
        <w:t>Multi-band</w:t>
      </w:r>
      <w:r w:rsidRPr="005C2D5A">
        <w:rPr>
          <w:u w:val="single"/>
        </w:rPr>
        <w:t xml:space="preserve"> element indicates to which regulatory class and channel </w:t>
      </w:r>
      <w:r>
        <w:rPr>
          <w:u w:val="single"/>
        </w:rPr>
        <w:t xml:space="preserve">number </w:t>
      </w:r>
      <w:r w:rsidRPr="005C2D5A">
        <w:rPr>
          <w:u w:val="single"/>
        </w:rPr>
        <w:t>the ADDTS Request frame applies and contains band specific information.</w:t>
      </w:r>
    </w:p>
    <w:p w:rsidR="002A10D8" w:rsidRDefault="002A10D8" w:rsidP="005919E9">
      <w:pPr>
        <w:tabs>
          <w:tab w:val="left" w:pos="1924"/>
        </w:tabs>
        <w:rPr>
          <w:u w:val="single"/>
        </w:rPr>
      </w:pPr>
    </w:p>
    <w:p w:rsidR="002A10D8" w:rsidRPr="005919E9" w:rsidRDefault="002A10D8" w:rsidP="003701DB">
      <w:pPr>
        <w:pStyle w:val="Heading5"/>
        <w:numPr>
          <w:ilvl w:val="4"/>
          <w:numId w:val="189"/>
        </w:numPr>
        <w:rPr>
          <w:u w:val="single"/>
          <w:lang w:eastAsia="ko-KR"/>
        </w:rPr>
      </w:pPr>
      <w:bookmarkStart w:id="794" w:name="_Toc259716960"/>
      <w:r>
        <w:rPr>
          <w:u w:val="single"/>
        </w:rPr>
        <w:t xml:space="preserve">Extended mmWave ADDTS Request </w:t>
      </w:r>
      <w:r w:rsidR="0081574F">
        <w:rPr>
          <w:u w:val="single"/>
        </w:rPr>
        <w:t>f</w:t>
      </w:r>
      <w:r>
        <w:rPr>
          <w:u w:val="single"/>
        </w:rPr>
        <w:t xml:space="preserve">rame </w:t>
      </w:r>
      <w:r w:rsidRPr="005919E9">
        <w:rPr>
          <w:u w:val="single"/>
        </w:rPr>
        <w:t>variant</w:t>
      </w:r>
      <w:bookmarkEnd w:id="794"/>
    </w:p>
    <w:p w:rsidR="002A10D8" w:rsidRDefault="002A10D8" w:rsidP="005919E9">
      <w:pPr>
        <w:tabs>
          <w:tab w:val="left" w:pos="1924"/>
        </w:tabs>
        <w:rPr>
          <w:strike/>
          <w:lang w:eastAsia="ko-KR"/>
        </w:rPr>
      </w:pPr>
    </w:p>
    <w:p w:rsidR="00286E8C" w:rsidRDefault="00286E8C" w:rsidP="00443A55">
      <w:pPr>
        <w:tabs>
          <w:tab w:val="left" w:pos="1924"/>
        </w:tabs>
        <w:rPr>
          <w:lang w:eastAsia="ko-KR"/>
        </w:rPr>
      </w:pPr>
      <w:r>
        <w:rPr>
          <w:lang w:eastAsia="ko-KR"/>
        </w:rPr>
        <w:t xml:space="preserve">The Extended mmWave ADDTS Request frame is used in a PBSS and in an infrastructure BSS operating in the UB. The frame body of the mmWave ADDTS Request frame contains the information shown in </w:t>
      </w:r>
      <w:r w:rsidR="00BD151C">
        <w:rPr>
          <w:lang w:eastAsia="ko-KR"/>
        </w:rPr>
        <w:fldChar w:fldCharType="begin"/>
      </w:r>
      <w:r w:rsidR="00443A55">
        <w:rPr>
          <w:lang w:eastAsia="ko-KR"/>
        </w:rPr>
        <w:instrText xml:space="preserve"> REF _Ref251605968 \h </w:instrText>
      </w:r>
      <w:r w:rsidR="00BD151C">
        <w:rPr>
          <w:lang w:eastAsia="ko-KR"/>
        </w:rPr>
      </w:r>
      <w:r w:rsidR="00BD151C">
        <w:rPr>
          <w:lang w:eastAsia="ko-KR"/>
        </w:rPr>
        <w:fldChar w:fldCharType="separate"/>
      </w:r>
      <w:r w:rsidR="003E4210">
        <w:t xml:space="preserve">Table </w:t>
      </w:r>
      <w:r w:rsidR="003E4210">
        <w:rPr>
          <w:noProof/>
        </w:rPr>
        <w:t>23</w:t>
      </w:r>
      <w:r w:rsidR="00BD151C">
        <w:rPr>
          <w:lang w:eastAsia="ko-KR"/>
        </w:rPr>
        <w:fldChar w:fldCharType="end"/>
      </w:r>
      <w:r w:rsidR="00443A55">
        <w:rPr>
          <w:lang w:eastAsia="ko-KR"/>
        </w:rPr>
        <w:t>.</w:t>
      </w:r>
    </w:p>
    <w:p w:rsidR="00286E8C" w:rsidRDefault="00286E8C" w:rsidP="00286E8C">
      <w:pPr>
        <w:tabs>
          <w:tab w:val="left" w:pos="1924"/>
        </w:tabs>
        <w:rPr>
          <w:lang w:eastAsia="ko-KR"/>
        </w:rPr>
      </w:pPr>
    </w:p>
    <w:p w:rsidR="00286E8C" w:rsidRPr="00510A16" w:rsidRDefault="00234A75" w:rsidP="00234A75">
      <w:pPr>
        <w:pStyle w:val="Caption"/>
        <w:rPr>
          <w:b w:val="0"/>
          <w:bCs/>
          <w:lang w:eastAsia="ko-KR"/>
        </w:rPr>
      </w:pPr>
      <w:bookmarkStart w:id="795" w:name="_Ref251605968"/>
      <w:bookmarkStart w:id="796" w:name="_Toc259717601"/>
      <w:r>
        <w:t xml:space="preserve">Table </w:t>
      </w:r>
      <w:r w:rsidR="00BD151C">
        <w:fldChar w:fldCharType="begin"/>
      </w:r>
      <w:r w:rsidR="00801316">
        <w:instrText xml:space="preserve"> SEQ Table \* ARABIC </w:instrText>
      </w:r>
      <w:r w:rsidR="00BD151C">
        <w:fldChar w:fldCharType="separate"/>
      </w:r>
      <w:r w:rsidR="003E4210">
        <w:rPr>
          <w:noProof/>
        </w:rPr>
        <w:t>23</w:t>
      </w:r>
      <w:r w:rsidR="00BD151C">
        <w:fldChar w:fldCharType="end"/>
      </w:r>
      <w:bookmarkEnd w:id="795"/>
      <w:r w:rsidR="00024BDB">
        <w:t xml:space="preserve"> </w:t>
      </w:r>
      <w:r w:rsidRPr="00510A16">
        <w:t>–</w:t>
      </w:r>
      <w:r>
        <w:t xml:space="preserve"> Extended mmWave </w:t>
      </w:r>
      <w:r w:rsidRPr="00510A16">
        <w:t xml:space="preserve">ADDTS Request frame </w:t>
      </w:r>
      <w:r>
        <w:t>variant</w:t>
      </w:r>
      <w:bookmarkEnd w:id="796"/>
    </w:p>
    <w:tbl>
      <w:tblPr>
        <w:tblW w:w="415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tblGrid>
      <w:tr w:rsidR="00286E8C" w:rsidRPr="006C749D" w:rsidTr="00AF6C8D">
        <w:trPr>
          <w:cantSplit/>
          <w:jc w:val="center"/>
        </w:trPr>
        <w:tc>
          <w:tcPr>
            <w:tcW w:w="1130" w:type="dxa"/>
            <w:tcBorders>
              <w:top w:val="single" w:sz="4" w:space="0" w:color="000000"/>
            </w:tcBorders>
          </w:tcPr>
          <w:p w:rsidR="00286E8C" w:rsidRPr="0093146A" w:rsidRDefault="00286E8C" w:rsidP="00AF6C8D">
            <w:pPr>
              <w:pStyle w:val="Table-Header"/>
              <w:snapToGrid w:val="0"/>
              <w:spacing w:before="0" w:after="0"/>
              <w:jc w:val="both"/>
              <w:rPr>
                <w:sz w:val="24"/>
                <w:szCs w:val="24"/>
              </w:rPr>
            </w:pPr>
            <w:r w:rsidRPr="0093146A">
              <w:rPr>
                <w:sz w:val="24"/>
                <w:szCs w:val="24"/>
              </w:rPr>
              <w:lastRenderedPageBreak/>
              <w:t>Order</w:t>
            </w:r>
          </w:p>
        </w:tc>
        <w:tc>
          <w:tcPr>
            <w:tcW w:w="3023" w:type="dxa"/>
            <w:tcBorders>
              <w:top w:val="single" w:sz="4" w:space="0" w:color="000000"/>
            </w:tcBorders>
          </w:tcPr>
          <w:p w:rsidR="00286E8C" w:rsidRPr="0093146A" w:rsidRDefault="00286E8C" w:rsidP="00AF6C8D">
            <w:pPr>
              <w:pStyle w:val="Table-Header"/>
              <w:snapToGrid w:val="0"/>
              <w:spacing w:before="0" w:after="0"/>
              <w:jc w:val="both"/>
              <w:rPr>
                <w:sz w:val="24"/>
                <w:szCs w:val="24"/>
              </w:rPr>
            </w:pPr>
            <w:r w:rsidRPr="0093146A">
              <w:rPr>
                <w:sz w:val="24"/>
                <w:szCs w:val="24"/>
              </w:rPr>
              <w:t>Information</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1</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Category</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2</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Action</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3</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Dialog token</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4</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u w:val="single"/>
              </w:rPr>
              <w:t>Extended mmWave TSPEC</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5-n</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TCLAS (optional)</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Pr>
                <w:rFonts w:ascii="Times New Roman" w:hAnsi="Times New Roman" w:cs="Times New Roman"/>
                <w:sz w:val="24"/>
                <w:szCs w:val="24"/>
              </w:rPr>
              <w:t>n</w:t>
            </w:r>
            <w:r w:rsidRPr="0093146A">
              <w:rPr>
                <w:rFonts w:ascii="Times New Roman" w:hAnsi="Times New Roman" w:cs="Times New Roman"/>
                <w:sz w:val="24"/>
                <w:szCs w:val="24"/>
              </w:rPr>
              <w:t>+1</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TCLAS Processing (optional)</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u w:val="single"/>
              </w:rPr>
            </w:pPr>
            <w:r>
              <w:rPr>
                <w:rFonts w:ascii="Times New Roman" w:hAnsi="Times New Roman" w:cs="Times New Roman"/>
                <w:sz w:val="24"/>
                <w:szCs w:val="24"/>
                <w:u w:val="single"/>
              </w:rPr>
              <w:t>n</w:t>
            </w:r>
            <w:r w:rsidRPr="0093146A">
              <w:rPr>
                <w:rFonts w:ascii="Times New Roman" w:hAnsi="Times New Roman" w:cs="Times New Roman"/>
                <w:sz w:val="24"/>
                <w:szCs w:val="24"/>
                <w:u w:val="single"/>
              </w:rPr>
              <w:t>+2</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u w:val="single"/>
              </w:rPr>
            </w:pPr>
            <w:r>
              <w:rPr>
                <w:rFonts w:ascii="Times New Roman" w:hAnsi="Times New Roman" w:cs="Times New Roman"/>
                <w:sz w:val="24"/>
                <w:szCs w:val="24"/>
                <w:u w:val="single"/>
              </w:rPr>
              <w:t>Multi-band (optional)</w:t>
            </w:r>
          </w:p>
        </w:tc>
      </w:tr>
    </w:tbl>
    <w:p w:rsidR="00286E8C" w:rsidRDefault="00286E8C" w:rsidP="00286E8C">
      <w:pPr>
        <w:tabs>
          <w:tab w:val="left" w:pos="1924"/>
        </w:tabs>
        <w:rPr>
          <w:lang w:eastAsia="ko-KR"/>
        </w:rPr>
      </w:pPr>
    </w:p>
    <w:p w:rsidR="00286E8C" w:rsidRDefault="00286E8C" w:rsidP="00286E8C">
      <w:pPr>
        <w:tabs>
          <w:tab w:val="left" w:pos="1924"/>
        </w:tabs>
        <w:rPr>
          <w:lang w:eastAsia="ko-KR"/>
        </w:rPr>
      </w:pPr>
      <w:r>
        <w:rPr>
          <w:lang w:eastAsia="ko-KR"/>
        </w:rPr>
        <w:t xml:space="preserve">The Dialog Token, TCLAS, and TCLAS Processing fields of this frame and the </w:t>
      </w:r>
      <w:r w:rsidRPr="00401CDB">
        <w:rPr>
          <w:lang w:eastAsia="ko-KR"/>
        </w:rPr>
        <w:t>Extended mmWave TSPEC</w:t>
      </w:r>
      <w:r>
        <w:rPr>
          <w:lang w:eastAsia="ko-KR"/>
        </w:rPr>
        <w:t xml:space="preserve"> parameters are contained in an MLME-ExtADDTS.request primitive that causes the frame to be sent. </w:t>
      </w:r>
    </w:p>
    <w:p w:rsidR="00286E8C" w:rsidRPr="00DC0C07" w:rsidRDefault="00286E8C" w:rsidP="00286E8C">
      <w:pPr>
        <w:tabs>
          <w:tab w:val="left" w:pos="1924"/>
        </w:tabs>
        <w:rPr>
          <w:lang w:eastAsia="ko-KR"/>
        </w:rPr>
      </w:pPr>
    </w:p>
    <w:p w:rsidR="00286E8C" w:rsidRDefault="00286E8C" w:rsidP="00286E8C">
      <w:pPr>
        <w:tabs>
          <w:tab w:val="left" w:pos="1924"/>
        </w:tabs>
        <w:rPr>
          <w:lang w:eastAsia="ko-KR"/>
        </w:rPr>
      </w:pPr>
      <w:r w:rsidRPr="003311C1">
        <w:rPr>
          <w:lang w:eastAsia="ko-KR"/>
        </w:rPr>
        <w:t xml:space="preserve">The </w:t>
      </w:r>
      <w:r w:rsidRPr="00547559">
        <w:rPr>
          <w:lang w:eastAsia="ko-KR"/>
        </w:rPr>
        <w:t>Extended mmWave TSPEC</w:t>
      </w:r>
      <w:r>
        <w:rPr>
          <w:lang w:eastAsia="ko-KR"/>
        </w:rPr>
        <w:t xml:space="preserve"> </w:t>
      </w:r>
      <w:r w:rsidRPr="003311C1">
        <w:rPr>
          <w:lang w:eastAsia="ko-KR"/>
        </w:rPr>
        <w:t>element contain</w:t>
      </w:r>
      <w:r>
        <w:rPr>
          <w:lang w:eastAsia="ko-KR"/>
        </w:rPr>
        <w:t>s</w:t>
      </w:r>
      <w:r w:rsidRPr="003311C1">
        <w:rPr>
          <w:lang w:eastAsia="ko-KR"/>
        </w:rPr>
        <w:t xml:space="preserve"> the QoS parameters that define </w:t>
      </w:r>
      <w:r>
        <w:rPr>
          <w:lang w:eastAsia="ko-KR"/>
        </w:rPr>
        <w:t>a</w:t>
      </w:r>
      <w:r w:rsidRPr="003311C1">
        <w:rPr>
          <w:lang w:eastAsia="ko-KR"/>
        </w:rPr>
        <w:t xml:space="preserve"> TS. </w:t>
      </w:r>
      <w:r>
        <w:rPr>
          <w:lang w:eastAsia="ko-KR"/>
        </w:rPr>
        <w:t>T</w:t>
      </w:r>
      <w:r w:rsidRPr="00547559">
        <w:rPr>
          <w:lang w:eastAsia="ko-KR"/>
        </w:rPr>
        <w:t xml:space="preserve">he TS is identified by the </w:t>
      </w:r>
      <w:r w:rsidRPr="00561E48">
        <w:rPr>
          <w:lang w:eastAsia="ko-KR"/>
        </w:rPr>
        <w:t>source STA MAC Address,</w:t>
      </w:r>
      <w:r w:rsidR="008D202D" w:rsidRPr="008D202D">
        <w:rPr>
          <w:lang w:eastAsia="ko-KR"/>
        </w:rPr>
        <w:t xml:space="preserve"> </w:t>
      </w:r>
      <w:r w:rsidRPr="00547559">
        <w:rPr>
          <w:lang w:eastAsia="ko-KR"/>
        </w:rPr>
        <w:t>TSID and destination AID within the Extended mmWave TSPEC element</w:t>
      </w:r>
      <w:r w:rsidRPr="003311C1">
        <w:rPr>
          <w:lang w:eastAsia="ko-KR"/>
        </w:rPr>
        <w:t>.</w:t>
      </w:r>
      <w:r w:rsidRPr="00D72BA4">
        <w:rPr>
          <w:lang w:eastAsia="ko-KR"/>
        </w:rPr>
        <w:t xml:space="preserve"> </w:t>
      </w:r>
    </w:p>
    <w:p w:rsidR="00BD568F" w:rsidRDefault="00BD568F" w:rsidP="00286E8C">
      <w:pPr>
        <w:tabs>
          <w:tab w:val="left" w:pos="1924"/>
        </w:tabs>
        <w:rPr>
          <w:lang w:eastAsia="ko-KR"/>
        </w:rPr>
      </w:pPr>
    </w:p>
    <w:p w:rsidR="00286E8C" w:rsidRDefault="00286E8C" w:rsidP="00286E8C">
      <w:pPr>
        <w:tabs>
          <w:tab w:val="left" w:pos="1924"/>
        </w:tabs>
        <w:rPr>
          <w:lang w:eastAsia="ko-KR"/>
        </w:rPr>
      </w:pPr>
      <w:r w:rsidRPr="00D72BA4">
        <w:rPr>
          <w:lang w:eastAsia="ko-KR"/>
        </w:rPr>
        <w:t xml:space="preserve">The TCLAS element </w:t>
      </w:r>
      <w:r>
        <w:rPr>
          <w:lang w:eastAsia="ko-KR"/>
        </w:rPr>
        <w:t>is optional and when present it is used by the</w:t>
      </w:r>
      <w:r w:rsidRPr="00D72BA4">
        <w:rPr>
          <w:lang w:eastAsia="ko-KR"/>
        </w:rPr>
        <w:t xml:space="preserve"> non-AP</w:t>
      </w:r>
      <w:r w:rsidRPr="00DC0C07">
        <w:rPr>
          <w:u w:val="single"/>
          <w:lang w:eastAsia="ko-KR"/>
        </w:rPr>
        <w:t>/</w:t>
      </w:r>
      <w:r w:rsidRPr="00561E48">
        <w:rPr>
          <w:lang w:eastAsia="ko-KR"/>
        </w:rPr>
        <w:t>non-PCP</w:t>
      </w:r>
      <w:r>
        <w:rPr>
          <w:lang w:eastAsia="ko-KR"/>
        </w:rPr>
        <w:t xml:space="preserve"> m</w:t>
      </w:r>
      <w:r w:rsidRPr="00D72BA4">
        <w:rPr>
          <w:lang w:eastAsia="ko-KR"/>
        </w:rPr>
        <w:t xml:space="preserve">STA that sends the </w:t>
      </w:r>
      <w:r>
        <w:rPr>
          <w:lang w:eastAsia="ko-KR"/>
        </w:rPr>
        <w:t xml:space="preserve">Extended mmWave </w:t>
      </w:r>
      <w:r w:rsidRPr="00D72BA4">
        <w:rPr>
          <w:lang w:eastAsia="ko-KR"/>
        </w:rPr>
        <w:t>ADDTS Request frame</w:t>
      </w:r>
      <w:r>
        <w:rPr>
          <w:lang w:eastAsia="ko-KR"/>
        </w:rPr>
        <w:t xml:space="preserve"> to other non-AP/non-PCP mSTA through AP/PCP mSTA to identify the destination non-AP/non-PCP mSTA of the ADDTS request frame. </w:t>
      </w:r>
      <w:r w:rsidRPr="00D72BA4">
        <w:rPr>
          <w:lang w:eastAsia="ko-KR"/>
        </w:rPr>
        <w:t xml:space="preserve">There may be one or more TCLAS elements in the </w:t>
      </w:r>
      <w:r>
        <w:rPr>
          <w:lang w:eastAsia="ko-KR"/>
        </w:rPr>
        <w:t xml:space="preserve">Extended mmWave </w:t>
      </w:r>
      <w:r w:rsidRPr="00D72BA4">
        <w:rPr>
          <w:lang w:eastAsia="ko-KR"/>
        </w:rPr>
        <w:t xml:space="preserve">ADDTS frame. The TCLAS Processing element is present when there </w:t>
      </w:r>
      <w:r>
        <w:rPr>
          <w:lang w:eastAsia="ko-KR"/>
        </w:rPr>
        <w:t>is</w:t>
      </w:r>
      <w:r w:rsidRPr="00D72BA4">
        <w:rPr>
          <w:lang w:eastAsia="ko-KR"/>
        </w:rPr>
        <w:t xml:space="preserve"> more than one TCLAS element</w:t>
      </w:r>
      <w:r>
        <w:rPr>
          <w:lang w:eastAsia="ko-KR"/>
        </w:rPr>
        <w:t>s.</w:t>
      </w:r>
      <w:r w:rsidR="00D11F2E">
        <w:rPr>
          <w:lang w:eastAsia="ko-KR"/>
        </w:rPr>
        <w:t xml:space="preserve"> </w:t>
      </w:r>
    </w:p>
    <w:p w:rsidR="00286E8C" w:rsidRDefault="00286E8C" w:rsidP="00286E8C">
      <w:pPr>
        <w:tabs>
          <w:tab w:val="left" w:pos="1924"/>
        </w:tabs>
        <w:rPr>
          <w:strike/>
          <w:lang w:eastAsia="ko-KR"/>
        </w:rPr>
      </w:pPr>
    </w:p>
    <w:p w:rsidR="005919E9" w:rsidRPr="00326635" w:rsidRDefault="00286E8C" w:rsidP="00326635">
      <w:pPr>
        <w:tabs>
          <w:tab w:val="left" w:pos="1924"/>
        </w:tabs>
        <w:rPr>
          <w:strike/>
          <w:lang w:eastAsia="ko-KR"/>
        </w:rPr>
      </w:pPr>
      <w:r w:rsidRPr="00547559">
        <w:t xml:space="preserve">When present in an </w:t>
      </w:r>
      <w:r>
        <w:t xml:space="preserve">Extended mmWave </w:t>
      </w:r>
      <w:r w:rsidRPr="00547559">
        <w:t xml:space="preserve">ADDTS Request frame, the </w:t>
      </w:r>
      <w:r w:rsidR="00493DD7">
        <w:t>Multi-band</w:t>
      </w:r>
      <w:r w:rsidRPr="00547559">
        <w:t xml:space="preserve"> element indicates to which regulatory class and channel number the </w:t>
      </w:r>
      <w:r>
        <w:t xml:space="preserve">Extended mmWave </w:t>
      </w:r>
      <w:r w:rsidRPr="00547559">
        <w:t>ADDTS Request frame applies and contains band specific information.</w:t>
      </w:r>
    </w:p>
    <w:p w:rsidR="008C36FC" w:rsidRDefault="00326635" w:rsidP="003701DB">
      <w:pPr>
        <w:pStyle w:val="Heading4"/>
        <w:numPr>
          <w:ilvl w:val="3"/>
          <w:numId w:val="189"/>
        </w:numPr>
        <w:rPr>
          <w:bCs/>
        </w:rPr>
      </w:pPr>
      <w:bookmarkStart w:id="797" w:name="_Toc235400277"/>
      <w:bookmarkStart w:id="798" w:name="_Ref256198048"/>
      <w:bookmarkStart w:id="799" w:name="_Toc259716961"/>
      <w:r w:rsidRPr="00682ABE">
        <w:rPr>
          <w:u w:val="single"/>
        </w:rPr>
        <w:t xml:space="preserve">Basic </w:t>
      </w:r>
      <w:bookmarkEnd w:id="797"/>
      <w:r w:rsidRPr="00682ABE">
        <w:rPr>
          <w:bCs/>
          <w:u w:val="single"/>
        </w:rPr>
        <w:t>and Extended mmWave</w:t>
      </w:r>
      <w:r>
        <w:rPr>
          <w:bCs/>
        </w:rPr>
        <w:t xml:space="preserve"> ADDTS Response</w:t>
      </w:r>
      <w:r w:rsidRPr="00D3349A">
        <w:rPr>
          <w:bCs/>
        </w:rPr>
        <w:t xml:space="preserve"> </w:t>
      </w:r>
      <w:r w:rsidR="0081574F">
        <w:rPr>
          <w:bCs/>
        </w:rPr>
        <w:t>f</w:t>
      </w:r>
      <w:r w:rsidRPr="00D3349A">
        <w:rPr>
          <w:bCs/>
        </w:rPr>
        <w:t>rame</w:t>
      </w:r>
      <w:r>
        <w:rPr>
          <w:bCs/>
        </w:rPr>
        <w:t xml:space="preserve"> formats</w:t>
      </w:r>
      <w:bookmarkEnd w:id="798"/>
      <w:bookmarkEnd w:id="799"/>
    </w:p>
    <w:p w:rsidR="00326635" w:rsidRPr="005919E9" w:rsidRDefault="00326635" w:rsidP="003701DB">
      <w:pPr>
        <w:pStyle w:val="Heading5"/>
        <w:numPr>
          <w:ilvl w:val="4"/>
          <w:numId w:val="189"/>
        </w:numPr>
        <w:rPr>
          <w:u w:val="single"/>
          <w:lang w:eastAsia="ko-KR"/>
        </w:rPr>
      </w:pPr>
      <w:bookmarkStart w:id="800" w:name="_Toc259716962"/>
      <w:r>
        <w:rPr>
          <w:u w:val="single"/>
        </w:rPr>
        <w:t>Basic ADDTS Response</w:t>
      </w:r>
      <w:r w:rsidRPr="005919E9">
        <w:rPr>
          <w:u w:val="single"/>
        </w:rPr>
        <w:t xml:space="preserve"> </w:t>
      </w:r>
      <w:r w:rsidR="0081574F">
        <w:rPr>
          <w:u w:val="single"/>
        </w:rPr>
        <w:t>f</w:t>
      </w:r>
      <w:r w:rsidRPr="005919E9">
        <w:rPr>
          <w:u w:val="single"/>
        </w:rPr>
        <w:t>rame variant</w:t>
      </w:r>
      <w:bookmarkEnd w:id="800"/>
    </w:p>
    <w:p w:rsidR="00326635" w:rsidRDefault="00326635" w:rsidP="00326635">
      <w:pPr>
        <w:tabs>
          <w:tab w:val="left" w:pos="1924"/>
        </w:tabs>
        <w:rPr>
          <w:b/>
          <w:bCs/>
          <w:i/>
          <w:iCs/>
          <w:color w:val="FF0000"/>
          <w:u w:val="single"/>
          <w:lang w:eastAsia="ko-KR"/>
        </w:rPr>
      </w:pPr>
    </w:p>
    <w:p w:rsidR="00266BD7" w:rsidRDefault="00266BD7" w:rsidP="00266BD7">
      <w:pPr>
        <w:rPr>
          <w:i/>
          <w:iCs/>
          <w:color w:val="000000"/>
        </w:rPr>
      </w:pPr>
      <w:r>
        <w:rPr>
          <w:i/>
          <w:iCs/>
          <w:color w:val="000000"/>
        </w:rPr>
        <w:t>.11 editor note: a</w:t>
      </w:r>
      <w:r w:rsidRPr="00620559">
        <w:rPr>
          <w:i/>
          <w:iCs/>
          <w:color w:val="000000"/>
        </w:rPr>
        <w:t xml:space="preserve">dd in the </w:t>
      </w:r>
      <w:r>
        <w:rPr>
          <w:i/>
          <w:iCs/>
          <w:color w:val="000000"/>
        </w:rPr>
        <w:t>Table 7-47</w:t>
      </w:r>
      <w:r w:rsidRPr="00620559">
        <w:rPr>
          <w:i/>
          <w:iCs/>
          <w:color w:val="000000"/>
        </w:rPr>
        <w:t>—</w:t>
      </w:r>
      <w:r>
        <w:rPr>
          <w:i/>
          <w:iCs/>
          <w:color w:val="000000"/>
        </w:rPr>
        <w:t>ADDTS Response</w:t>
      </w:r>
      <w:r w:rsidRPr="00620559">
        <w:rPr>
          <w:i/>
          <w:iCs/>
          <w:color w:val="000000"/>
        </w:rPr>
        <w:t xml:space="preserve"> frame body line as follows:</w:t>
      </w:r>
    </w:p>
    <w:p w:rsidR="00266BD7" w:rsidRDefault="00266BD7" w:rsidP="00266BD7">
      <w:pPr>
        <w:rPr>
          <w:i/>
          <w:i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1"/>
        <w:gridCol w:w="2534"/>
      </w:tblGrid>
      <w:tr w:rsidR="00266BD7" w:rsidRPr="004C25C3" w:rsidTr="002C10FA">
        <w:trPr>
          <w:jc w:val="center"/>
        </w:trPr>
        <w:tc>
          <w:tcPr>
            <w:tcW w:w="1341" w:type="dxa"/>
          </w:tcPr>
          <w:p w:rsidR="00266BD7" w:rsidRPr="00C60DB4" w:rsidRDefault="00266BD7" w:rsidP="002C10FA">
            <w:pPr>
              <w:rPr>
                <w:color w:val="000000"/>
                <w:u w:val="single"/>
              </w:rPr>
            </w:pPr>
            <w:r w:rsidRPr="00C60DB4">
              <w:rPr>
                <w:color w:val="000000"/>
                <w:u w:val="single"/>
              </w:rPr>
              <w:t xml:space="preserve">Order </w:t>
            </w:r>
          </w:p>
        </w:tc>
        <w:tc>
          <w:tcPr>
            <w:tcW w:w="2534" w:type="dxa"/>
          </w:tcPr>
          <w:p w:rsidR="00266BD7" w:rsidRPr="00C60DB4" w:rsidRDefault="00266BD7" w:rsidP="002C10FA">
            <w:pPr>
              <w:rPr>
                <w:color w:val="000000"/>
                <w:u w:val="single"/>
              </w:rPr>
            </w:pPr>
            <w:r w:rsidRPr="00C60DB4">
              <w:rPr>
                <w:color w:val="000000"/>
                <w:u w:val="single"/>
              </w:rPr>
              <w:t>Information</w:t>
            </w:r>
          </w:p>
        </w:tc>
      </w:tr>
      <w:tr w:rsidR="00266BD7" w:rsidRPr="004C25C3" w:rsidTr="002C10FA">
        <w:trPr>
          <w:jc w:val="center"/>
        </w:trPr>
        <w:tc>
          <w:tcPr>
            <w:tcW w:w="1341" w:type="dxa"/>
          </w:tcPr>
          <w:p w:rsidR="00266BD7" w:rsidRPr="00C60DB4" w:rsidRDefault="00266BD7" w:rsidP="002C10FA">
            <w:pPr>
              <w:rPr>
                <w:color w:val="000000"/>
                <w:u w:val="single"/>
              </w:rPr>
            </w:pPr>
            <w:r w:rsidRPr="00C60DB4">
              <w:rPr>
                <w:color w:val="000000"/>
                <w:u w:val="single"/>
              </w:rPr>
              <w:t>n+3</w:t>
            </w:r>
          </w:p>
        </w:tc>
        <w:tc>
          <w:tcPr>
            <w:tcW w:w="2534" w:type="dxa"/>
          </w:tcPr>
          <w:p w:rsidR="00266BD7" w:rsidRPr="00C60DB4" w:rsidRDefault="00266BD7" w:rsidP="002C10FA">
            <w:pPr>
              <w:rPr>
                <w:color w:val="000000"/>
                <w:u w:val="single"/>
              </w:rPr>
            </w:pPr>
            <w:r w:rsidRPr="00C60DB4">
              <w:rPr>
                <w:color w:val="000000"/>
                <w:u w:val="single"/>
              </w:rPr>
              <w:t>Multi-band (optional)</w:t>
            </w:r>
          </w:p>
        </w:tc>
      </w:tr>
    </w:tbl>
    <w:p w:rsidR="00266BD7" w:rsidRDefault="00266BD7" w:rsidP="00266BD7">
      <w:pPr>
        <w:tabs>
          <w:tab w:val="left" w:pos="1924"/>
        </w:tabs>
        <w:rPr>
          <w:lang w:eastAsia="ko-KR"/>
        </w:rPr>
      </w:pPr>
    </w:p>
    <w:p w:rsidR="00266BD7" w:rsidRDefault="00266BD7" w:rsidP="00266BD7">
      <w:pPr>
        <w:rPr>
          <w:i/>
          <w:iCs/>
          <w:color w:val="000000"/>
        </w:rPr>
      </w:pPr>
      <w:r>
        <w:rPr>
          <w:i/>
          <w:iCs/>
          <w:color w:val="000000"/>
        </w:rPr>
        <w:t>.11 editor note: add at end of the subcaluse</w:t>
      </w:r>
      <w:r w:rsidR="00C20047">
        <w:rPr>
          <w:i/>
          <w:iCs/>
          <w:color w:val="000000"/>
        </w:rPr>
        <w:t xml:space="preserve"> </w:t>
      </w:r>
      <w:r>
        <w:rPr>
          <w:i/>
          <w:iCs/>
          <w:color w:val="000000"/>
        </w:rPr>
        <w:t>7.4.2.2</w:t>
      </w:r>
      <w:r w:rsidRPr="00620559">
        <w:rPr>
          <w:i/>
          <w:iCs/>
          <w:color w:val="000000"/>
        </w:rPr>
        <w:t>.2</w:t>
      </w:r>
      <w:r>
        <w:rPr>
          <w:i/>
          <w:iCs/>
          <w:color w:val="000000"/>
        </w:rPr>
        <w:t>:</w:t>
      </w:r>
    </w:p>
    <w:p w:rsidR="00266BD7" w:rsidRDefault="00266BD7" w:rsidP="00266BD7">
      <w:pPr>
        <w:rPr>
          <w:i/>
          <w:iCs/>
          <w:color w:val="000000"/>
        </w:rPr>
      </w:pPr>
    </w:p>
    <w:p w:rsidR="00326635" w:rsidRPr="00266BD7" w:rsidRDefault="00266BD7" w:rsidP="00266BD7">
      <w:pPr>
        <w:tabs>
          <w:tab w:val="left" w:pos="1924"/>
        </w:tabs>
        <w:rPr>
          <w:strike/>
          <w:lang w:eastAsia="ko-KR"/>
        </w:rPr>
      </w:pPr>
      <w:r w:rsidRPr="005C2D5A">
        <w:rPr>
          <w:u w:val="single"/>
        </w:rPr>
        <w:t>When present in an ADDTS Re</w:t>
      </w:r>
      <w:r>
        <w:rPr>
          <w:u w:val="single"/>
        </w:rPr>
        <w:t>sponse</w:t>
      </w:r>
      <w:r w:rsidRPr="005C2D5A">
        <w:rPr>
          <w:u w:val="single"/>
        </w:rPr>
        <w:t xml:space="preserve"> frame, the </w:t>
      </w:r>
      <w:r w:rsidR="00493DD7">
        <w:rPr>
          <w:u w:val="single"/>
        </w:rPr>
        <w:t>Multi-band</w:t>
      </w:r>
      <w:r w:rsidRPr="005C2D5A">
        <w:rPr>
          <w:u w:val="single"/>
        </w:rPr>
        <w:t xml:space="preserve"> element indicates to which regulatory class and channel </w:t>
      </w:r>
      <w:r>
        <w:rPr>
          <w:u w:val="single"/>
        </w:rPr>
        <w:t xml:space="preserve">number </w:t>
      </w:r>
      <w:r w:rsidRPr="005C2D5A">
        <w:rPr>
          <w:u w:val="single"/>
        </w:rPr>
        <w:t>the ADDTS Request frame applies and contains band specific information.</w:t>
      </w:r>
    </w:p>
    <w:p w:rsidR="00326635" w:rsidRPr="005919E9" w:rsidRDefault="00326635" w:rsidP="003701DB">
      <w:pPr>
        <w:pStyle w:val="Heading5"/>
        <w:numPr>
          <w:ilvl w:val="4"/>
          <w:numId w:val="189"/>
        </w:numPr>
        <w:rPr>
          <w:u w:val="single"/>
          <w:lang w:eastAsia="ko-KR"/>
        </w:rPr>
      </w:pPr>
      <w:bookmarkStart w:id="801" w:name="_Toc259716963"/>
      <w:r>
        <w:rPr>
          <w:u w:val="single"/>
        </w:rPr>
        <w:t xml:space="preserve">Extended mmWave ADDTS Response </w:t>
      </w:r>
      <w:r w:rsidR="0081574F">
        <w:rPr>
          <w:u w:val="single"/>
        </w:rPr>
        <w:t>f</w:t>
      </w:r>
      <w:r>
        <w:rPr>
          <w:u w:val="single"/>
        </w:rPr>
        <w:t xml:space="preserve">rame </w:t>
      </w:r>
      <w:r w:rsidRPr="005919E9">
        <w:rPr>
          <w:u w:val="single"/>
        </w:rPr>
        <w:t>variant</w:t>
      </w:r>
      <w:bookmarkEnd w:id="801"/>
    </w:p>
    <w:p w:rsidR="00326635" w:rsidRDefault="00326635" w:rsidP="00326635">
      <w:pPr>
        <w:rPr>
          <w:lang w:bidi="ar-SA"/>
        </w:rPr>
      </w:pPr>
    </w:p>
    <w:p w:rsidR="00266BD7" w:rsidRDefault="00266BD7" w:rsidP="008C2AD4">
      <w:pPr>
        <w:tabs>
          <w:tab w:val="left" w:pos="1924"/>
        </w:tabs>
        <w:rPr>
          <w:lang w:eastAsia="ko-KR"/>
        </w:rPr>
      </w:pPr>
      <w:r>
        <w:rPr>
          <w:lang w:eastAsia="ko-KR"/>
        </w:rPr>
        <w:lastRenderedPageBreak/>
        <w:t xml:space="preserve">The </w:t>
      </w:r>
      <w:r w:rsidRPr="00401CDB">
        <w:rPr>
          <w:lang w:eastAsia="ko-KR"/>
        </w:rPr>
        <w:t xml:space="preserve">Extended mmWave </w:t>
      </w:r>
      <w:r>
        <w:rPr>
          <w:lang w:eastAsia="ko-KR"/>
        </w:rPr>
        <w:t xml:space="preserve">ADDTS Response frame is used in a PBSS and in an infrastructure BSS operating in the UB. The frame body of the Extended mmWave ADDTS Response contains the information shown in </w:t>
      </w:r>
      <w:r w:rsidR="00BD151C">
        <w:rPr>
          <w:lang w:eastAsia="ko-KR"/>
        </w:rPr>
        <w:fldChar w:fldCharType="begin"/>
      </w:r>
      <w:r w:rsidR="008C2AD4">
        <w:rPr>
          <w:lang w:eastAsia="ko-KR"/>
        </w:rPr>
        <w:instrText xml:space="preserve"> REF _Ref251605969 \h </w:instrText>
      </w:r>
      <w:r w:rsidR="00BD151C">
        <w:rPr>
          <w:lang w:eastAsia="ko-KR"/>
        </w:rPr>
      </w:r>
      <w:r w:rsidR="00BD151C">
        <w:rPr>
          <w:lang w:eastAsia="ko-KR"/>
        </w:rPr>
        <w:fldChar w:fldCharType="separate"/>
      </w:r>
      <w:r w:rsidR="003E4210">
        <w:t xml:space="preserve">Table </w:t>
      </w:r>
      <w:r w:rsidR="003E4210">
        <w:rPr>
          <w:noProof/>
        </w:rPr>
        <w:t>24</w:t>
      </w:r>
      <w:r w:rsidR="00BD151C">
        <w:rPr>
          <w:lang w:eastAsia="ko-KR"/>
        </w:rPr>
        <w:fldChar w:fldCharType="end"/>
      </w:r>
      <w:r w:rsidR="008C2AD4">
        <w:rPr>
          <w:lang w:eastAsia="ko-KR"/>
        </w:rPr>
        <w:t>.</w:t>
      </w:r>
    </w:p>
    <w:p w:rsidR="00266BD7" w:rsidRDefault="00266BD7" w:rsidP="00266BD7">
      <w:pPr>
        <w:tabs>
          <w:tab w:val="left" w:pos="1924"/>
        </w:tabs>
        <w:rPr>
          <w:lang w:eastAsia="ko-KR"/>
        </w:rPr>
      </w:pPr>
    </w:p>
    <w:p w:rsidR="00266BD7" w:rsidRPr="005244D3" w:rsidRDefault="008C2AD4" w:rsidP="008C2AD4">
      <w:pPr>
        <w:pStyle w:val="Caption"/>
        <w:rPr>
          <w:b w:val="0"/>
          <w:bCs/>
          <w:lang w:eastAsia="ko-KR"/>
        </w:rPr>
      </w:pPr>
      <w:bookmarkStart w:id="802" w:name="_Ref251605969"/>
      <w:bookmarkStart w:id="803" w:name="_Toc259717602"/>
      <w:r>
        <w:t xml:space="preserve">Table </w:t>
      </w:r>
      <w:r w:rsidR="00BD151C">
        <w:fldChar w:fldCharType="begin"/>
      </w:r>
      <w:r w:rsidR="00801316">
        <w:instrText xml:space="preserve"> SEQ Table \* ARABIC </w:instrText>
      </w:r>
      <w:r w:rsidR="00BD151C">
        <w:fldChar w:fldCharType="separate"/>
      </w:r>
      <w:r w:rsidR="003E4210">
        <w:rPr>
          <w:noProof/>
        </w:rPr>
        <w:t>24</w:t>
      </w:r>
      <w:r w:rsidR="00BD151C">
        <w:fldChar w:fldCharType="end"/>
      </w:r>
      <w:bookmarkEnd w:id="802"/>
      <w:r w:rsidR="00024BDB">
        <w:t xml:space="preserve"> </w:t>
      </w:r>
      <w:r w:rsidRPr="005244D3">
        <w:t>–</w:t>
      </w:r>
      <w:r>
        <w:t xml:space="preserve"> Extended mmWave </w:t>
      </w:r>
      <w:r w:rsidRPr="005244D3">
        <w:t xml:space="preserve">ADDTS Response frame </w:t>
      </w:r>
      <w:r>
        <w:t>variant</w:t>
      </w:r>
      <w:bookmarkEnd w:id="803"/>
    </w:p>
    <w:tbl>
      <w:tblPr>
        <w:tblW w:w="415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tblGrid>
      <w:tr w:rsidR="00266BD7" w:rsidRPr="006C749D" w:rsidTr="002C10FA">
        <w:trPr>
          <w:jc w:val="center"/>
        </w:trPr>
        <w:tc>
          <w:tcPr>
            <w:tcW w:w="1130" w:type="dxa"/>
            <w:tcBorders>
              <w:top w:val="single" w:sz="4" w:space="0" w:color="000000"/>
            </w:tcBorders>
          </w:tcPr>
          <w:p w:rsidR="00266BD7" w:rsidRPr="00BB2A24" w:rsidRDefault="00266BD7" w:rsidP="002C10FA">
            <w:pPr>
              <w:pStyle w:val="Table-Header"/>
              <w:snapToGrid w:val="0"/>
              <w:spacing w:before="0" w:after="0"/>
              <w:rPr>
                <w:sz w:val="22"/>
                <w:szCs w:val="22"/>
              </w:rPr>
            </w:pPr>
            <w:r w:rsidRPr="00BB2A24">
              <w:rPr>
                <w:sz w:val="22"/>
                <w:szCs w:val="22"/>
              </w:rPr>
              <w:t>Order</w:t>
            </w:r>
          </w:p>
        </w:tc>
        <w:tc>
          <w:tcPr>
            <w:tcW w:w="3023" w:type="dxa"/>
            <w:tcBorders>
              <w:top w:val="single" w:sz="4" w:space="0" w:color="000000"/>
            </w:tcBorders>
          </w:tcPr>
          <w:p w:rsidR="00266BD7" w:rsidRPr="00BB2A24" w:rsidRDefault="00266BD7" w:rsidP="002C10FA">
            <w:pPr>
              <w:pStyle w:val="Table-Header"/>
              <w:snapToGrid w:val="0"/>
              <w:spacing w:before="0" w:after="0"/>
              <w:rPr>
                <w:sz w:val="22"/>
                <w:szCs w:val="22"/>
              </w:rPr>
            </w:pPr>
            <w:r w:rsidRPr="00BB2A24">
              <w:rPr>
                <w:sz w:val="22"/>
                <w:szCs w:val="22"/>
              </w:rPr>
              <w:t>Information</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1</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Category</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2</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Action</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3</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Dialog token</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4</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Status code</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5</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TS Delay</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6</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Pr>
                <w:rFonts w:ascii="Times New Roman" w:hAnsi="Times New Roman" w:cs="Times New Roman"/>
                <w:sz w:val="24"/>
                <w:szCs w:val="24"/>
              </w:rPr>
              <w:t xml:space="preserve">Extended mmWave </w:t>
            </w:r>
            <w:r w:rsidRPr="00BD0068">
              <w:rPr>
                <w:rFonts w:ascii="Times New Roman" w:hAnsi="Times New Roman" w:cs="Times New Roman"/>
                <w:sz w:val="24"/>
                <w:szCs w:val="24"/>
              </w:rPr>
              <w:t xml:space="preserve">TSPEC </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7-n</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TCLAS (optional)</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n+1</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TCLAS Processing (optional)</w:t>
            </w:r>
          </w:p>
        </w:tc>
      </w:tr>
      <w:tr w:rsidR="00266BD7" w:rsidRPr="00BD0068" w:rsidTr="002C10FA">
        <w:trPr>
          <w:jc w:val="center"/>
        </w:trPr>
        <w:tc>
          <w:tcPr>
            <w:tcW w:w="1130" w:type="dxa"/>
          </w:tcPr>
          <w:p w:rsidR="00266BD7" w:rsidRPr="00BD0068" w:rsidRDefault="007C4963" w:rsidP="002C10FA">
            <w:pPr>
              <w:pStyle w:val="Table-Contents"/>
              <w:snapToGrid w:val="0"/>
              <w:spacing w:before="0" w:after="0"/>
              <w:rPr>
                <w:rFonts w:ascii="Times New Roman" w:hAnsi="Times New Roman" w:cs="Times New Roman"/>
                <w:sz w:val="24"/>
                <w:szCs w:val="24"/>
              </w:rPr>
            </w:pPr>
            <w:r>
              <w:rPr>
                <w:rFonts w:ascii="Times New Roman" w:hAnsi="Times New Roman" w:cs="Times New Roman"/>
                <w:sz w:val="24"/>
                <w:szCs w:val="24"/>
              </w:rPr>
              <w:t>n+2</w:t>
            </w:r>
          </w:p>
        </w:tc>
        <w:tc>
          <w:tcPr>
            <w:tcW w:w="3023" w:type="dxa"/>
          </w:tcPr>
          <w:p w:rsidR="00266BD7" w:rsidRPr="00BD0068" w:rsidRDefault="00370CE2" w:rsidP="002C10FA">
            <w:pPr>
              <w:pStyle w:val="Table-Contents"/>
              <w:snapToGrid w:val="0"/>
              <w:spacing w:before="0" w:after="0"/>
              <w:jc w:val="left"/>
              <w:rPr>
                <w:rFonts w:ascii="Times New Roman" w:hAnsi="Times New Roman" w:cs="Times New Roman"/>
                <w:sz w:val="24"/>
                <w:szCs w:val="24"/>
              </w:rPr>
            </w:pPr>
            <w:r>
              <w:rPr>
                <w:rFonts w:ascii="Times New Roman" w:hAnsi="Times New Roman" w:cs="Times New Roman"/>
                <w:sz w:val="24"/>
                <w:szCs w:val="24"/>
              </w:rPr>
              <w:t>Multi-</w:t>
            </w:r>
            <w:r w:rsidR="00266BD7">
              <w:rPr>
                <w:rFonts w:ascii="Times New Roman" w:hAnsi="Times New Roman" w:cs="Times New Roman"/>
                <w:sz w:val="24"/>
                <w:szCs w:val="24"/>
              </w:rPr>
              <w:t>band (optional)</w:t>
            </w:r>
          </w:p>
        </w:tc>
      </w:tr>
    </w:tbl>
    <w:p w:rsidR="00266BD7" w:rsidRDefault="00266BD7" w:rsidP="00266BD7">
      <w:pPr>
        <w:tabs>
          <w:tab w:val="left" w:pos="1924"/>
        </w:tabs>
        <w:rPr>
          <w:lang w:eastAsia="ko-KR"/>
        </w:rPr>
      </w:pPr>
    </w:p>
    <w:p w:rsidR="00266BD7" w:rsidRDefault="00266BD7" w:rsidP="00266BD7">
      <w:pPr>
        <w:tabs>
          <w:tab w:val="left" w:pos="1924"/>
        </w:tabs>
        <w:rPr>
          <w:lang w:eastAsia="ko-KR"/>
        </w:rPr>
      </w:pPr>
      <w:r w:rsidRPr="00595D38">
        <w:rPr>
          <w:lang w:eastAsia="ko-KR"/>
        </w:rPr>
        <w:t xml:space="preserve">The Dialog Token, TS Delay, </w:t>
      </w:r>
      <w:r>
        <w:rPr>
          <w:lang w:eastAsia="ko-KR"/>
        </w:rPr>
        <w:t xml:space="preserve">and </w:t>
      </w:r>
      <w:r w:rsidRPr="00401CDB">
        <w:rPr>
          <w:lang w:eastAsia="ko-KR"/>
        </w:rPr>
        <w:t>Extended mmWave TSPEC</w:t>
      </w:r>
      <w:r w:rsidRPr="00595D38">
        <w:rPr>
          <w:lang w:eastAsia="ko-KR"/>
        </w:rPr>
        <w:t xml:space="preserve"> in this frame are contained in</w:t>
      </w:r>
      <w:r>
        <w:rPr>
          <w:lang w:eastAsia="ko-KR"/>
        </w:rPr>
        <w:t xml:space="preserve"> </w:t>
      </w:r>
      <w:r w:rsidRPr="00595D38">
        <w:rPr>
          <w:lang w:eastAsia="ko-KR"/>
        </w:rPr>
        <w:t>an MLME-</w:t>
      </w:r>
      <w:r>
        <w:rPr>
          <w:lang w:eastAsia="ko-KR"/>
        </w:rPr>
        <w:t>Ext</w:t>
      </w:r>
      <w:r w:rsidRPr="00595D38">
        <w:rPr>
          <w:lang w:eastAsia="ko-KR"/>
        </w:rPr>
        <w:t>ADDTS.response primitive that causes the frame to be sent. The TS Delay information element</w:t>
      </w:r>
      <w:r>
        <w:rPr>
          <w:lang w:eastAsia="ko-KR"/>
        </w:rPr>
        <w:t xml:space="preserve"> </w:t>
      </w:r>
      <w:r w:rsidRPr="00595D38">
        <w:rPr>
          <w:lang w:eastAsia="ko-KR"/>
        </w:rPr>
        <w:t>is present in a</w:t>
      </w:r>
      <w:r>
        <w:rPr>
          <w:lang w:eastAsia="ko-KR"/>
        </w:rPr>
        <w:t>n</w:t>
      </w:r>
      <w:r w:rsidRPr="00595D38">
        <w:rPr>
          <w:lang w:eastAsia="ko-KR"/>
        </w:rPr>
        <w:t xml:space="preserve"> </w:t>
      </w:r>
      <w:r>
        <w:rPr>
          <w:lang w:eastAsia="ko-KR"/>
        </w:rPr>
        <w:t xml:space="preserve">Extended mmWave </w:t>
      </w:r>
      <w:r w:rsidRPr="00595D38">
        <w:rPr>
          <w:lang w:eastAsia="ko-KR"/>
        </w:rPr>
        <w:t>ADDTS Response frame only if the status code is set to 47.</w:t>
      </w:r>
    </w:p>
    <w:p w:rsidR="00266BD7" w:rsidRDefault="00266BD7" w:rsidP="00266BD7">
      <w:pPr>
        <w:tabs>
          <w:tab w:val="left" w:pos="1924"/>
        </w:tabs>
      </w:pPr>
    </w:p>
    <w:p w:rsidR="00266BD7" w:rsidRDefault="00266BD7" w:rsidP="00266BD7">
      <w:pPr>
        <w:rPr>
          <w:lang w:bidi="ar-SA"/>
        </w:rPr>
      </w:pPr>
      <w:r w:rsidRPr="00234A94">
        <w:t xml:space="preserve">When present in an Extended mmWave ADDTS Response frame, the </w:t>
      </w:r>
      <w:r w:rsidR="00493DD7">
        <w:t>Multi-band</w:t>
      </w:r>
      <w:r w:rsidRPr="00234A94">
        <w:t xml:space="preserve"> element indicates to which regulatory class and channel number the </w:t>
      </w:r>
      <w:r>
        <w:t xml:space="preserve">Extended mmWave </w:t>
      </w:r>
      <w:r w:rsidRPr="00234A94">
        <w:t>ADDTS Response frame applies and contains band specific information.</w:t>
      </w:r>
    </w:p>
    <w:p w:rsidR="00017BFE" w:rsidRPr="00AF6C8D" w:rsidRDefault="00017BFE" w:rsidP="00AF6C8D">
      <w:pPr>
        <w:rPr>
          <w:b/>
          <w:bCs/>
          <w:i/>
          <w:iCs/>
        </w:rPr>
      </w:pPr>
    </w:p>
    <w:p w:rsidR="0003257E" w:rsidRPr="009448FC" w:rsidRDefault="0003257E" w:rsidP="003701DB">
      <w:pPr>
        <w:pStyle w:val="Heading4"/>
        <w:numPr>
          <w:ilvl w:val="3"/>
          <w:numId w:val="189"/>
        </w:numPr>
      </w:pPr>
      <w:bookmarkStart w:id="804" w:name="_Toc235400278"/>
      <w:bookmarkStart w:id="805" w:name="_Toc259716964"/>
      <w:r w:rsidRPr="009448FC">
        <w:t xml:space="preserve">DELTS </w:t>
      </w:r>
      <w:r w:rsidR="00EE39DB">
        <w:t>f</w:t>
      </w:r>
      <w:r w:rsidRPr="009448FC">
        <w:t>rame format</w:t>
      </w:r>
      <w:bookmarkEnd w:id="804"/>
      <w:bookmarkEnd w:id="805"/>
    </w:p>
    <w:p w:rsidR="000610CF" w:rsidRDefault="000610CF" w:rsidP="009A4AB3">
      <w:pPr>
        <w:tabs>
          <w:tab w:val="left" w:pos="1924"/>
        </w:tabs>
      </w:pPr>
    </w:p>
    <w:p w:rsidR="000610CF" w:rsidRPr="00EE39DB" w:rsidRDefault="000610CF" w:rsidP="009A4AB3">
      <w:pPr>
        <w:tabs>
          <w:tab w:val="left" w:pos="1924"/>
        </w:tabs>
        <w:rPr>
          <w:i/>
        </w:rPr>
      </w:pPr>
      <w:r w:rsidRPr="00EE39DB">
        <w:rPr>
          <w:i/>
        </w:rPr>
        <w:t xml:space="preserve">.11 Editor Note: </w:t>
      </w:r>
      <w:r w:rsidR="00EE39DB" w:rsidRPr="00EE39DB">
        <w:rPr>
          <w:i/>
        </w:rPr>
        <w:t>change this subclause</w:t>
      </w:r>
      <w:r w:rsidRPr="00EE39DB">
        <w:rPr>
          <w:i/>
        </w:rPr>
        <w:t xml:space="preserve"> as indicated below</w:t>
      </w:r>
    </w:p>
    <w:p w:rsidR="000610CF" w:rsidRDefault="000610CF" w:rsidP="009A4AB3">
      <w:pPr>
        <w:tabs>
          <w:tab w:val="left" w:pos="1924"/>
        </w:tabs>
      </w:pPr>
    </w:p>
    <w:p w:rsidR="008C36FC" w:rsidRPr="009448FC" w:rsidRDefault="008C36FC" w:rsidP="00BA5BC4">
      <w:pPr>
        <w:pStyle w:val="Caption"/>
        <w:rPr>
          <w:b w:val="0"/>
        </w:rPr>
      </w:pPr>
      <w:bookmarkStart w:id="806" w:name="_Ref214768663"/>
      <w:bookmarkStart w:id="807" w:name="_Toc225065777"/>
      <w:bookmarkStart w:id="808" w:name="_Toc250654423"/>
      <w:r w:rsidRPr="00066F65">
        <w:t>Table</w:t>
      </w:r>
      <w:r w:rsidR="00EE1100" w:rsidRPr="00066F65">
        <w:t xml:space="preserve"> </w:t>
      </w:r>
      <w:bookmarkEnd w:id="806"/>
      <w:r w:rsidR="00EE39DB">
        <w:t>7-48</w:t>
      </w:r>
      <w:r w:rsidRPr="00066F65">
        <w:t xml:space="preserve"> – DELTS frame </w:t>
      </w:r>
      <w:bookmarkEnd w:id="807"/>
      <w:bookmarkEnd w:id="808"/>
      <w:r w:rsidR="00EE39DB">
        <w:t>body</w:t>
      </w:r>
    </w:p>
    <w:tbl>
      <w:tblPr>
        <w:tblW w:w="4153" w:type="dxa"/>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tblGrid>
      <w:tr w:rsidR="008C36FC" w:rsidRPr="00066F65" w:rsidTr="0004091F">
        <w:trPr>
          <w:jc w:val="center"/>
        </w:trPr>
        <w:tc>
          <w:tcPr>
            <w:tcW w:w="1130" w:type="dxa"/>
          </w:tcPr>
          <w:p w:rsidR="008C36FC" w:rsidRPr="009448FC" w:rsidRDefault="008C36FC" w:rsidP="004C1795">
            <w:pPr>
              <w:pStyle w:val="Table-Header"/>
              <w:snapToGrid w:val="0"/>
              <w:spacing w:before="0" w:after="0"/>
              <w:rPr>
                <w:sz w:val="22"/>
              </w:rPr>
            </w:pPr>
            <w:r w:rsidRPr="009448FC">
              <w:rPr>
                <w:sz w:val="22"/>
              </w:rPr>
              <w:t>Order</w:t>
            </w:r>
          </w:p>
        </w:tc>
        <w:tc>
          <w:tcPr>
            <w:tcW w:w="3023" w:type="dxa"/>
          </w:tcPr>
          <w:p w:rsidR="008C36FC" w:rsidRPr="009448FC" w:rsidRDefault="008C36FC" w:rsidP="004C1795">
            <w:pPr>
              <w:pStyle w:val="Table-Header"/>
              <w:snapToGrid w:val="0"/>
              <w:spacing w:before="0" w:after="0"/>
              <w:rPr>
                <w:sz w:val="22"/>
              </w:rPr>
            </w:pPr>
            <w:r w:rsidRPr="009448FC">
              <w:rPr>
                <w:sz w:val="22"/>
              </w:rPr>
              <w:t>Information</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3023"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3023"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3023" w:type="dxa"/>
          </w:tcPr>
          <w:p w:rsidR="008C36FC" w:rsidRPr="009448FC" w:rsidRDefault="00401CDB" w:rsidP="004C1795">
            <w:pPr>
              <w:pStyle w:val="Table-Contents"/>
              <w:snapToGrid w:val="0"/>
              <w:spacing w:before="0" w:after="0"/>
              <w:jc w:val="left"/>
              <w:rPr>
                <w:rFonts w:ascii="Times New Roman" w:hAnsi="Times New Roman"/>
                <w:sz w:val="24"/>
              </w:rPr>
            </w:pPr>
            <w:r w:rsidRPr="009448FC">
              <w:rPr>
                <w:rFonts w:ascii="Times New Roman" w:hAnsi="Times New Roman"/>
                <w:sz w:val="24"/>
              </w:rPr>
              <w:t>TS Info</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3023"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Reason code</w:t>
            </w:r>
          </w:p>
        </w:tc>
      </w:tr>
      <w:tr w:rsidR="00B1646E" w:rsidRPr="00066F65" w:rsidTr="0004091F">
        <w:trPr>
          <w:jc w:val="center"/>
        </w:trPr>
        <w:tc>
          <w:tcPr>
            <w:tcW w:w="1130" w:type="dxa"/>
          </w:tcPr>
          <w:p w:rsidR="00B1646E" w:rsidRPr="00066F65" w:rsidRDefault="00B1646E" w:rsidP="004C1795">
            <w:pPr>
              <w:pStyle w:val="Table-Contents"/>
              <w:snapToGrid w:val="0"/>
              <w:spacing w:before="0" w:after="0"/>
              <w:rPr>
                <w:rFonts w:ascii="Times New Roman" w:hAnsi="Times New Roman"/>
                <w:sz w:val="24"/>
                <w:szCs w:val="24"/>
                <w:u w:val="single"/>
              </w:rPr>
            </w:pPr>
            <w:r w:rsidRPr="00066F65">
              <w:rPr>
                <w:rFonts w:ascii="Times New Roman" w:hAnsi="Times New Roman"/>
                <w:sz w:val="24"/>
                <w:szCs w:val="24"/>
                <w:u w:val="single"/>
              </w:rPr>
              <w:t>5</w:t>
            </w:r>
          </w:p>
        </w:tc>
        <w:tc>
          <w:tcPr>
            <w:tcW w:w="3023" w:type="dxa"/>
          </w:tcPr>
          <w:p w:rsidR="00B1646E" w:rsidRPr="00066F65" w:rsidRDefault="00B1646E" w:rsidP="004C1795">
            <w:pPr>
              <w:pStyle w:val="Table-Contents"/>
              <w:snapToGrid w:val="0"/>
              <w:spacing w:before="0" w:after="0"/>
              <w:jc w:val="left"/>
              <w:rPr>
                <w:rFonts w:ascii="Times New Roman" w:hAnsi="Times New Roman" w:cs="Times New Roman"/>
                <w:sz w:val="24"/>
                <w:szCs w:val="24"/>
                <w:u w:val="single"/>
              </w:rPr>
            </w:pPr>
            <w:r w:rsidRPr="00066F65">
              <w:rPr>
                <w:rFonts w:ascii="Times New Roman" w:hAnsi="Times New Roman" w:cs="Times New Roman"/>
                <w:sz w:val="24"/>
                <w:szCs w:val="24"/>
                <w:u w:val="single"/>
                <w:lang w:eastAsia="ko-KR"/>
              </w:rPr>
              <w:t xml:space="preserve">Extended mmWave TS Info </w:t>
            </w:r>
          </w:p>
        </w:tc>
      </w:tr>
      <w:tr w:rsidR="00017BFE" w:rsidRPr="00066F65" w:rsidTr="0004091F">
        <w:trPr>
          <w:jc w:val="center"/>
        </w:trPr>
        <w:tc>
          <w:tcPr>
            <w:tcW w:w="1130" w:type="dxa"/>
          </w:tcPr>
          <w:p w:rsidR="00017BFE" w:rsidRPr="00066F65" w:rsidRDefault="00017BFE" w:rsidP="004C1795">
            <w:pPr>
              <w:pStyle w:val="Table-Contents"/>
              <w:snapToGrid w:val="0"/>
              <w:spacing w:before="0" w:after="0"/>
              <w:rPr>
                <w:rFonts w:ascii="Times New Roman" w:hAnsi="Times New Roman"/>
                <w:sz w:val="24"/>
                <w:szCs w:val="24"/>
                <w:u w:val="single"/>
              </w:rPr>
            </w:pPr>
            <w:r w:rsidRPr="00066F65">
              <w:rPr>
                <w:rFonts w:ascii="Times New Roman" w:hAnsi="Times New Roman"/>
                <w:sz w:val="24"/>
                <w:szCs w:val="24"/>
                <w:u w:val="single"/>
              </w:rPr>
              <w:t>6</w:t>
            </w:r>
          </w:p>
        </w:tc>
        <w:tc>
          <w:tcPr>
            <w:tcW w:w="3023" w:type="dxa"/>
          </w:tcPr>
          <w:p w:rsidR="00017BFE" w:rsidRPr="00066F65" w:rsidRDefault="00017BFE" w:rsidP="004C1795">
            <w:pPr>
              <w:pStyle w:val="Table-Contents"/>
              <w:snapToGrid w:val="0"/>
              <w:spacing w:before="0" w:after="0"/>
              <w:jc w:val="left"/>
              <w:rPr>
                <w:rFonts w:ascii="Times New Roman" w:hAnsi="Times New Roman" w:cs="Times New Roman"/>
                <w:sz w:val="24"/>
                <w:szCs w:val="24"/>
                <w:u w:val="single"/>
                <w:lang w:eastAsia="ko-KR"/>
              </w:rPr>
            </w:pPr>
            <w:r w:rsidRPr="00066F65">
              <w:rPr>
                <w:rFonts w:ascii="Times New Roman" w:hAnsi="Times New Roman" w:cs="Times New Roman"/>
                <w:sz w:val="24"/>
                <w:szCs w:val="24"/>
                <w:u w:val="single"/>
                <w:lang w:eastAsia="ko-KR"/>
              </w:rPr>
              <w:t>Multi-band (optional)</w:t>
            </w:r>
          </w:p>
        </w:tc>
      </w:tr>
    </w:tbl>
    <w:p w:rsidR="008C36FC" w:rsidRPr="009448FC" w:rsidRDefault="008C36FC" w:rsidP="0004091F"/>
    <w:p w:rsidR="008C36FC" w:rsidRPr="00EE39DB" w:rsidRDefault="008C36FC" w:rsidP="001A10A0">
      <w:pPr>
        <w:tabs>
          <w:tab w:val="left" w:pos="1924"/>
        </w:tabs>
        <w:rPr>
          <w:u w:val="single"/>
        </w:rPr>
      </w:pPr>
      <w:r w:rsidRPr="00EE39DB">
        <w:rPr>
          <w:u w:val="single"/>
        </w:rPr>
        <w:t xml:space="preserve">The TS Info field is present for a TS added with the TSPEC element and is defined in </w:t>
      </w:r>
      <w:fldSimple w:instr=" REF _Ref236725288 \r \h  \* MERGEFORMAT ">
        <w:r w:rsidR="003E4210" w:rsidRPr="003E4210">
          <w:rPr>
            <w:u w:val="single"/>
          </w:rPr>
          <w:t>7.3.2.30</w:t>
        </w:r>
      </w:fldSimple>
      <w:r w:rsidRPr="00EE39DB">
        <w:rPr>
          <w:u w:val="single"/>
        </w:rPr>
        <w:t xml:space="preserve">. The </w:t>
      </w:r>
      <w:r w:rsidR="00401CDB" w:rsidRPr="00EE39DB">
        <w:rPr>
          <w:u w:val="single"/>
        </w:rPr>
        <w:t>Extended mmWave TS Info</w:t>
      </w:r>
      <w:r w:rsidR="007C6345" w:rsidRPr="00EE39DB">
        <w:rPr>
          <w:u w:val="single"/>
        </w:rPr>
        <w:t xml:space="preserve"> </w:t>
      </w:r>
      <w:r w:rsidRPr="00EE39DB">
        <w:rPr>
          <w:u w:val="single"/>
        </w:rPr>
        <w:t xml:space="preserve">field is present for a TS added with the </w:t>
      </w:r>
      <w:r w:rsidR="00401CDB" w:rsidRPr="00EE39DB">
        <w:rPr>
          <w:u w:val="single"/>
        </w:rPr>
        <w:t>Extended mmWave TSPEC</w:t>
      </w:r>
      <w:r w:rsidR="00684638" w:rsidRPr="00EE39DB">
        <w:rPr>
          <w:u w:val="single"/>
        </w:rPr>
        <w:t xml:space="preserve"> </w:t>
      </w:r>
      <w:r w:rsidRPr="00EE39DB">
        <w:rPr>
          <w:u w:val="single"/>
        </w:rPr>
        <w:t xml:space="preserve">element and is defined in </w:t>
      </w:r>
      <w:fldSimple w:instr=" REF _Ref244234051 \r \h  \* MERGEFORMAT ">
        <w:r w:rsidR="003E4210" w:rsidRPr="003E4210">
          <w:rPr>
            <w:u w:val="single"/>
            <w:lang w:eastAsia="ko-KR"/>
          </w:rPr>
          <w:t>7.3.2.97</w:t>
        </w:r>
      </w:fldSimple>
      <w:r w:rsidRPr="00EE39DB">
        <w:rPr>
          <w:u w:val="single"/>
        </w:rPr>
        <w:t>.</w:t>
      </w:r>
    </w:p>
    <w:p w:rsidR="008C36FC" w:rsidRPr="009448FC" w:rsidRDefault="008C36FC" w:rsidP="0004091F">
      <w:pPr>
        <w:tabs>
          <w:tab w:val="left" w:pos="1924"/>
        </w:tabs>
      </w:pPr>
    </w:p>
    <w:p w:rsidR="008C36FC" w:rsidRPr="0081574F" w:rsidRDefault="008C36FC" w:rsidP="0004091F">
      <w:pPr>
        <w:tabs>
          <w:tab w:val="left" w:pos="1924"/>
        </w:tabs>
        <w:rPr>
          <w:u w:val="single"/>
        </w:rPr>
      </w:pPr>
      <w:r w:rsidRPr="0081574F">
        <w:rPr>
          <w:u w:val="single"/>
        </w:rPr>
        <w:lastRenderedPageBreak/>
        <w:t xml:space="preserve">A DELTS frame is used to delete a TS characterized by the TS Info </w:t>
      </w:r>
      <w:r w:rsidR="00EE39DB" w:rsidRPr="0081574F">
        <w:rPr>
          <w:u w:val="single"/>
        </w:rPr>
        <w:t xml:space="preserve">field </w:t>
      </w:r>
      <w:r w:rsidRPr="0081574F">
        <w:rPr>
          <w:u w:val="single"/>
        </w:rPr>
        <w:t xml:space="preserve">or </w:t>
      </w:r>
      <w:r w:rsidR="00EE39DB" w:rsidRPr="0081574F">
        <w:rPr>
          <w:u w:val="single"/>
        </w:rPr>
        <w:t xml:space="preserve">Extended mmWave TS </w:t>
      </w:r>
      <w:r w:rsidRPr="0081574F">
        <w:rPr>
          <w:u w:val="single"/>
        </w:rPr>
        <w:t>Info field in the frame. A DELTS frame may be sent from the HC or PCP to the source STA of that TS, or vice versa, to indicate an imperative request, to which no response is required from the recipient STA.</w:t>
      </w:r>
    </w:p>
    <w:p w:rsidR="00017BFE" w:rsidRPr="009448FC" w:rsidRDefault="00017BFE" w:rsidP="0004091F">
      <w:pPr>
        <w:tabs>
          <w:tab w:val="left" w:pos="1924"/>
        </w:tabs>
      </w:pPr>
    </w:p>
    <w:p w:rsidR="00017BFE" w:rsidRPr="009448FC" w:rsidRDefault="00017BFE" w:rsidP="0004091F">
      <w:pPr>
        <w:tabs>
          <w:tab w:val="left" w:pos="1924"/>
        </w:tabs>
      </w:pPr>
      <w:r w:rsidRPr="00066F65">
        <w:rPr>
          <w:u w:val="single"/>
        </w:rPr>
        <w:t xml:space="preserve">When present in an DELTS frame, the </w:t>
      </w:r>
      <w:r w:rsidR="00493DD7">
        <w:rPr>
          <w:u w:val="single"/>
        </w:rPr>
        <w:t>Multi-band</w:t>
      </w:r>
      <w:r w:rsidRPr="00066F65">
        <w:rPr>
          <w:u w:val="single"/>
        </w:rPr>
        <w:t xml:space="preserve"> element indicates to which regulatory class and channel number the DELTS frame applies to.</w:t>
      </w:r>
    </w:p>
    <w:p w:rsidR="00017BFE" w:rsidRPr="00066F65" w:rsidRDefault="00017BFE" w:rsidP="00017BFE">
      <w:pPr>
        <w:tabs>
          <w:tab w:val="left" w:pos="1924"/>
        </w:tabs>
        <w:rPr>
          <w:b/>
          <w:bCs/>
          <w:i/>
          <w:iCs/>
          <w:color w:val="FF0000"/>
          <w:u w:val="single"/>
          <w:lang w:eastAsia="ko-KR"/>
        </w:rPr>
      </w:pPr>
    </w:p>
    <w:p w:rsidR="00591C6E" w:rsidRPr="007459F7" w:rsidRDefault="008C36FC" w:rsidP="003701DB">
      <w:pPr>
        <w:pStyle w:val="Heading3"/>
        <w:numPr>
          <w:ilvl w:val="2"/>
          <w:numId w:val="57"/>
        </w:numPr>
      </w:pPr>
      <w:bookmarkStart w:id="809" w:name="_Toc207098896"/>
      <w:bookmarkStart w:id="810" w:name="_Toc207099504"/>
      <w:bookmarkStart w:id="811" w:name="_Toc207100423"/>
      <w:bookmarkStart w:id="812" w:name="_Toc207348345"/>
      <w:bookmarkStart w:id="813" w:name="_Toc215582719"/>
      <w:bookmarkStart w:id="814" w:name="_Toc235400279"/>
      <w:bookmarkStart w:id="815" w:name="_Toc259716965"/>
      <w:r w:rsidRPr="007459F7">
        <w:t>Block Ack Action frame details</w:t>
      </w:r>
      <w:bookmarkEnd w:id="809"/>
      <w:bookmarkEnd w:id="810"/>
      <w:bookmarkEnd w:id="811"/>
      <w:bookmarkEnd w:id="812"/>
      <w:bookmarkEnd w:id="813"/>
      <w:bookmarkEnd w:id="814"/>
      <w:bookmarkEnd w:id="815"/>
    </w:p>
    <w:p w:rsidR="00FB0624" w:rsidRPr="009448FC" w:rsidRDefault="00FB0624" w:rsidP="00FB0624">
      <w:pPr>
        <w:rPr>
          <w:b/>
        </w:rPr>
      </w:pPr>
    </w:p>
    <w:p w:rsidR="00FB0624" w:rsidRPr="007459F7" w:rsidRDefault="007459F7" w:rsidP="003701DB">
      <w:pPr>
        <w:pStyle w:val="Heading4"/>
        <w:numPr>
          <w:ilvl w:val="3"/>
          <w:numId w:val="168"/>
        </w:numPr>
      </w:pPr>
      <w:bookmarkStart w:id="816" w:name="_Toc259716966"/>
      <w:r w:rsidRPr="007459F7">
        <w:t>ADDBA Request frame format</w:t>
      </w:r>
      <w:bookmarkEnd w:id="816"/>
    </w:p>
    <w:p w:rsidR="00FB0624" w:rsidRDefault="00FB0624" w:rsidP="00FB0624">
      <w:pPr>
        <w:rPr>
          <w:iCs/>
        </w:rPr>
      </w:pPr>
      <w:r w:rsidRPr="001B359E">
        <w:rPr>
          <w:i/>
          <w:iCs/>
        </w:rPr>
        <w:t>.11 Editor note</w:t>
      </w:r>
      <w:r w:rsidRPr="00976DB9">
        <w:rPr>
          <w:i/>
          <w:iCs/>
        </w:rPr>
        <w:t>: insert the following row</w:t>
      </w:r>
      <w:r w:rsidR="000E20FA">
        <w:rPr>
          <w:i/>
          <w:iCs/>
        </w:rPr>
        <w:t>s</w:t>
      </w:r>
      <w:r w:rsidRPr="00976DB9">
        <w:rPr>
          <w:i/>
          <w:iCs/>
        </w:rPr>
        <w:t xml:space="preserve"> in</w:t>
      </w:r>
      <w:r>
        <w:rPr>
          <w:iCs/>
        </w:rPr>
        <w:t xml:space="preserve"> “Table 7-55 ADDBA Request frame body”</w:t>
      </w:r>
    </w:p>
    <w:p w:rsidR="00FB0624" w:rsidRDefault="00FB0624" w:rsidP="00FB0624">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096"/>
      </w:tblGrid>
      <w:tr w:rsidR="00FB0624" w:rsidTr="00AA4A31">
        <w:trPr>
          <w:jc w:val="center"/>
        </w:trPr>
        <w:tc>
          <w:tcPr>
            <w:tcW w:w="0" w:type="auto"/>
          </w:tcPr>
          <w:p w:rsidR="00FB0624" w:rsidRPr="00F82BC6" w:rsidRDefault="00FB0624" w:rsidP="00AA4A31">
            <w:pPr>
              <w:rPr>
                <w:iCs/>
              </w:rPr>
            </w:pPr>
            <w:r w:rsidRPr="00F82BC6">
              <w:rPr>
                <w:iCs/>
              </w:rPr>
              <w:t>7</w:t>
            </w:r>
          </w:p>
        </w:tc>
        <w:tc>
          <w:tcPr>
            <w:tcW w:w="0" w:type="auto"/>
          </w:tcPr>
          <w:p w:rsidR="00FB0624" w:rsidRPr="00F82BC6" w:rsidRDefault="00FB0624" w:rsidP="00AA4A31">
            <w:pPr>
              <w:rPr>
                <w:iCs/>
              </w:rPr>
            </w:pPr>
            <w:r w:rsidRPr="00F82BC6">
              <w:rPr>
                <w:iCs/>
              </w:rPr>
              <w:t>Multi-band (optional)</w:t>
            </w:r>
          </w:p>
        </w:tc>
      </w:tr>
      <w:tr w:rsidR="008E4EEA" w:rsidTr="00AA4A31">
        <w:trPr>
          <w:jc w:val="center"/>
        </w:trPr>
        <w:tc>
          <w:tcPr>
            <w:tcW w:w="0" w:type="auto"/>
          </w:tcPr>
          <w:p w:rsidR="008E4EEA" w:rsidRPr="00F82BC6" w:rsidRDefault="008E4EEA" w:rsidP="00377195">
            <w:pPr>
              <w:rPr>
                <w:iCs/>
              </w:rPr>
            </w:pPr>
            <w:r>
              <w:rPr>
                <w:iCs/>
              </w:rPr>
              <w:t>8</w:t>
            </w:r>
          </w:p>
        </w:tc>
        <w:tc>
          <w:tcPr>
            <w:tcW w:w="0" w:type="auto"/>
          </w:tcPr>
          <w:p w:rsidR="008E4EEA" w:rsidRPr="00F82BC6" w:rsidRDefault="008E4EEA" w:rsidP="00377195">
            <w:pPr>
              <w:rPr>
                <w:iCs/>
              </w:rPr>
            </w:pPr>
            <w:r>
              <w:rPr>
                <w:iCs/>
              </w:rPr>
              <w:t>TCLAS (optional)</w:t>
            </w:r>
          </w:p>
        </w:tc>
      </w:tr>
      <w:tr w:rsidR="00F2657F" w:rsidTr="00AA4A31">
        <w:trPr>
          <w:jc w:val="center"/>
        </w:trPr>
        <w:tc>
          <w:tcPr>
            <w:tcW w:w="0" w:type="auto"/>
          </w:tcPr>
          <w:p w:rsidR="00F2657F" w:rsidRDefault="00F2657F" w:rsidP="00377195">
            <w:pPr>
              <w:rPr>
                <w:iCs/>
              </w:rPr>
            </w:pPr>
            <w:r>
              <w:rPr>
                <w:iCs/>
              </w:rPr>
              <w:t>9</w:t>
            </w:r>
          </w:p>
        </w:tc>
        <w:tc>
          <w:tcPr>
            <w:tcW w:w="0" w:type="auto"/>
          </w:tcPr>
          <w:p w:rsidR="00F2657F" w:rsidRDefault="00F2657F" w:rsidP="00377195">
            <w:pPr>
              <w:rPr>
                <w:iCs/>
              </w:rPr>
            </w:pPr>
            <w:r>
              <w:rPr>
                <w:iCs/>
              </w:rPr>
              <w:t>ADDBA Extension (optional)</w:t>
            </w:r>
          </w:p>
        </w:tc>
      </w:tr>
    </w:tbl>
    <w:p w:rsidR="00FB0624" w:rsidRDefault="00BE5866" w:rsidP="00FB0624">
      <w:pPr>
        <w:rPr>
          <w:iCs/>
        </w:rPr>
      </w:pPr>
      <w:r>
        <w:rPr>
          <w:iCs/>
        </w:rPr>
        <w:t xml:space="preserve"> </w:t>
      </w:r>
    </w:p>
    <w:p w:rsidR="00FB0624" w:rsidRDefault="00FB0624" w:rsidP="00FB0624">
      <w:pPr>
        <w:autoSpaceDE w:val="0"/>
        <w:autoSpaceDN w:val="0"/>
        <w:adjustRightInd w:val="0"/>
        <w:rPr>
          <w:iCs/>
        </w:rPr>
      </w:pPr>
      <w:r w:rsidRPr="00045802">
        <w:rPr>
          <w:i/>
          <w:iCs/>
        </w:rPr>
        <w:t>.11 Editor note</w:t>
      </w:r>
      <w:r>
        <w:rPr>
          <w:iCs/>
        </w:rPr>
        <w:t xml:space="preserve">: </w:t>
      </w:r>
      <w:r w:rsidRPr="00976DB9">
        <w:rPr>
          <w:i/>
          <w:iCs/>
        </w:rPr>
        <w:t>insert the following paragraph as the last one:</w:t>
      </w:r>
      <w:r>
        <w:rPr>
          <w:iCs/>
        </w:rPr>
        <w:t xml:space="preserve"> “</w:t>
      </w:r>
      <w:r>
        <w:rPr>
          <w:rFonts w:ascii="TimesNewRomanPSMT" w:hAnsi="TimesNewRomanPSMT" w:cs="TimesNewRomanPSMT"/>
        </w:rPr>
        <w:t xml:space="preserve">When present in an ADDBA Request frame, the </w:t>
      </w:r>
      <w:r w:rsidR="00493DD7">
        <w:rPr>
          <w:rFonts w:ascii="TimesNewRomanPSMT" w:hAnsi="TimesNewRomanPSMT" w:cs="TimesNewRomanPSMT"/>
        </w:rPr>
        <w:t>Multi-band</w:t>
      </w:r>
      <w:r>
        <w:rPr>
          <w:rFonts w:ascii="TimesNewRomanPSMT" w:hAnsi="TimesNewRomanPSMT" w:cs="TimesNewRomanPSMT"/>
        </w:rPr>
        <w:t xml:space="preserve"> element indicates to which band ID, regulatory class and channel number the ADDBA Request frame applies to and contains band specific information.”</w:t>
      </w:r>
    </w:p>
    <w:p w:rsidR="00FB0624" w:rsidRDefault="00FB0624" w:rsidP="00FB0624">
      <w:pPr>
        <w:rPr>
          <w:iCs/>
        </w:rPr>
      </w:pPr>
    </w:p>
    <w:p w:rsidR="007459F7" w:rsidRPr="007459F7" w:rsidRDefault="007459F7" w:rsidP="003701DB">
      <w:pPr>
        <w:pStyle w:val="Heading4"/>
        <w:numPr>
          <w:ilvl w:val="3"/>
          <w:numId w:val="168"/>
        </w:numPr>
      </w:pPr>
      <w:bookmarkStart w:id="817" w:name="_Toc259716967"/>
      <w:r w:rsidRPr="007459F7">
        <w:t>ADDBA R</w:t>
      </w:r>
      <w:r>
        <w:t>esponse</w:t>
      </w:r>
      <w:r w:rsidRPr="007459F7">
        <w:t xml:space="preserve"> frame format</w:t>
      </w:r>
      <w:bookmarkEnd w:id="817"/>
    </w:p>
    <w:p w:rsidR="00FB0624" w:rsidRDefault="00FB0624" w:rsidP="00FB0624">
      <w:pPr>
        <w:rPr>
          <w:iCs/>
        </w:rPr>
      </w:pPr>
      <w:r w:rsidRPr="00045802">
        <w:rPr>
          <w:i/>
          <w:iCs/>
        </w:rPr>
        <w:t>.11 Editor note</w:t>
      </w:r>
      <w:r w:rsidRPr="00976DB9">
        <w:rPr>
          <w:i/>
          <w:iCs/>
        </w:rPr>
        <w:t>: insert the following row</w:t>
      </w:r>
      <w:r w:rsidR="000E20FA">
        <w:rPr>
          <w:i/>
          <w:iCs/>
        </w:rPr>
        <w:t>s</w:t>
      </w:r>
      <w:r w:rsidRPr="00976DB9">
        <w:rPr>
          <w:i/>
          <w:iCs/>
        </w:rPr>
        <w:t xml:space="preserve"> in</w:t>
      </w:r>
      <w:r>
        <w:rPr>
          <w:iCs/>
        </w:rPr>
        <w:t xml:space="preserve"> “Table 7-56 ADDBA Response frame body”</w:t>
      </w:r>
    </w:p>
    <w:p w:rsidR="00FB0624" w:rsidRDefault="00FB0624" w:rsidP="00FB0624">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096"/>
      </w:tblGrid>
      <w:tr w:rsidR="00FB0624" w:rsidTr="00AA4A31">
        <w:trPr>
          <w:jc w:val="center"/>
        </w:trPr>
        <w:tc>
          <w:tcPr>
            <w:tcW w:w="0" w:type="auto"/>
          </w:tcPr>
          <w:p w:rsidR="00FB0624" w:rsidRPr="00F82BC6" w:rsidRDefault="00FB0624" w:rsidP="00AA4A31">
            <w:pPr>
              <w:rPr>
                <w:iCs/>
              </w:rPr>
            </w:pPr>
            <w:r w:rsidRPr="00F82BC6">
              <w:rPr>
                <w:iCs/>
              </w:rPr>
              <w:t>7</w:t>
            </w:r>
          </w:p>
        </w:tc>
        <w:tc>
          <w:tcPr>
            <w:tcW w:w="0" w:type="auto"/>
          </w:tcPr>
          <w:p w:rsidR="00FB0624" w:rsidRPr="00F82BC6" w:rsidRDefault="00FB0624" w:rsidP="00AA4A31">
            <w:pPr>
              <w:rPr>
                <w:iCs/>
              </w:rPr>
            </w:pPr>
            <w:r w:rsidRPr="00F82BC6">
              <w:rPr>
                <w:iCs/>
              </w:rPr>
              <w:t>Multi-band (optional)</w:t>
            </w:r>
          </w:p>
        </w:tc>
      </w:tr>
      <w:tr w:rsidR="00C913A8" w:rsidTr="00AA4A31">
        <w:trPr>
          <w:jc w:val="center"/>
        </w:trPr>
        <w:tc>
          <w:tcPr>
            <w:tcW w:w="0" w:type="auto"/>
          </w:tcPr>
          <w:p w:rsidR="00C913A8" w:rsidRPr="00F82BC6" w:rsidRDefault="00C913A8" w:rsidP="00377195">
            <w:pPr>
              <w:rPr>
                <w:iCs/>
              </w:rPr>
            </w:pPr>
            <w:r>
              <w:rPr>
                <w:iCs/>
              </w:rPr>
              <w:t>8</w:t>
            </w:r>
          </w:p>
        </w:tc>
        <w:tc>
          <w:tcPr>
            <w:tcW w:w="0" w:type="auto"/>
          </w:tcPr>
          <w:p w:rsidR="00C913A8" w:rsidRPr="00F82BC6" w:rsidRDefault="00C913A8" w:rsidP="00377195">
            <w:pPr>
              <w:rPr>
                <w:iCs/>
              </w:rPr>
            </w:pPr>
            <w:r>
              <w:rPr>
                <w:iCs/>
              </w:rPr>
              <w:t>TCLAS (optional)</w:t>
            </w:r>
          </w:p>
        </w:tc>
      </w:tr>
      <w:tr w:rsidR="00F2657F" w:rsidTr="00AA4A31">
        <w:trPr>
          <w:jc w:val="center"/>
        </w:trPr>
        <w:tc>
          <w:tcPr>
            <w:tcW w:w="0" w:type="auto"/>
          </w:tcPr>
          <w:p w:rsidR="00F2657F" w:rsidRDefault="00F2657F" w:rsidP="00377195">
            <w:pPr>
              <w:rPr>
                <w:iCs/>
              </w:rPr>
            </w:pPr>
            <w:r>
              <w:rPr>
                <w:iCs/>
              </w:rPr>
              <w:t>9</w:t>
            </w:r>
          </w:p>
        </w:tc>
        <w:tc>
          <w:tcPr>
            <w:tcW w:w="0" w:type="auto"/>
          </w:tcPr>
          <w:p w:rsidR="00F2657F" w:rsidRDefault="00F2657F" w:rsidP="00377195">
            <w:pPr>
              <w:rPr>
                <w:iCs/>
              </w:rPr>
            </w:pPr>
            <w:r>
              <w:rPr>
                <w:iCs/>
              </w:rPr>
              <w:t>ADDBA Extension (optional)</w:t>
            </w:r>
          </w:p>
        </w:tc>
      </w:tr>
    </w:tbl>
    <w:p w:rsidR="00FB0624" w:rsidRDefault="00BE5866" w:rsidP="00FB0624">
      <w:pPr>
        <w:rPr>
          <w:iCs/>
        </w:rPr>
      </w:pPr>
      <w:r>
        <w:rPr>
          <w:iCs/>
        </w:rPr>
        <w:t xml:space="preserve"> </w:t>
      </w:r>
    </w:p>
    <w:p w:rsidR="00FB0624" w:rsidRDefault="00FB0624" w:rsidP="00FB0624">
      <w:pPr>
        <w:autoSpaceDE w:val="0"/>
        <w:autoSpaceDN w:val="0"/>
        <w:adjustRightInd w:val="0"/>
        <w:rPr>
          <w:iCs/>
        </w:rPr>
      </w:pPr>
      <w:r w:rsidRPr="00045802">
        <w:rPr>
          <w:i/>
          <w:iCs/>
        </w:rPr>
        <w:t>.11 Editor note</w:t>
      </w:r>
      <w:r>
        <w:rPr>
          <w:iCs/>
        </w:rPr>
        <w:t xml:space="preserve">: </w:t>
      </w:r>
      <w:r w:rsidRPr="00976DB9">
        <w:rPr>
          <w:i/>
          <w:iCs/>
        </w:rPr>
        <w:t>insert the following paragraph as the last one:</w:t>
      </w:r>
      <w:r>
        <w:rPr>
          <w:iCs/>
        </w:rPr>
        <w:t xml:space="preserve"> “</w:t>
      </w:r>
      <w:r>
        <w:rPr>
          <w:rFonts w:ascii="TimesNewRomanPSMT" w:hAnsi="TimesNewRomanPSMT" w:cs="TimesNewRomanPSMT"/>
        </w:rPr>
        <w:t xml:space="preserve">When present in an ADDBA Response frame, the </w:t>
      </w:r>
      <w:r w:rsidR="00493DD7">
        <w:rPr>
          <w:rFonts w:ascii="TimesNewRomanPSMT" w:hAnsi="TimesNewRomanPSMT" w:cs="TimesNewRomanPSMT"/>
        </w:rPr>
        <w:t>Multi-band</w:t>
      </w:r>
      <w:r>
        <w:rPr>
          <w:rFonts w:ascii="TimesNewRomanPSMT" w:hAnsi="TimesNewRomanPSMT" w:cs="TimesNewRomanPSMT"/>
        </w:rPr>
        <w:t xml:space="preserve"> element indicates to which band ID, regulatory class and channel number the ADDBA Response frame applies to and contains band specific information.”</w:t>
      </w:r>
    </w:p>
    <w:p w:rsidR="00FB0624" w:rsidRDefault="00FB0624" w:rsidP="00FB0624">
      <w:pPr>
        <w:rPr>
          <w:iCs/>
        </w:rPr>
      </w:pPr>
    </w:p>
    <w:p w:rsidR="00B01F1B" w:rsidRPr="007459F7" w:rsidRDefault="00B01F1B" w:rsidP="003701DB">
      <w:pPr>
        <w:pStyle w:val="Heading4"/>
        <w:numPr>
          <w:ilvl w:val="3"/>
          <w:numId w:val="168"/>
        </w:numPr>
      </w:pPr>
      <w:bookmarkStart w:id="818" w:name="_Toc259716968"/>
      <w:r>
        <w:t>DELBA</w:t>
      </w:r>
      <w:r w:rsidRPr="007459F7">
        <w:t xml:space="preserve"> frame format</w:t>
      </w:r>
      <w:bookmarkEnd w:id="818"/>
    </w:p>
    <w:p w:rsidR="00FB0624" w:rsidRDefault="00FB0624" w:rsidP="00FB0624">
      <w:pPr>
        <w:rPr>
          <w:iCs/>
        </w:rPr>
      </w:pPr>
      <w:r w:rsidRPr="00045802">
        <w:rPr>
          <w:i/>
          <w:iCs/>
        </w:rPr>
        <w:t>.11 Editor note</w:t>
      </w:r>
      <w:r w:rsidRPr="00976DB9">
        <w:rPr>
          <w:i/>
          <w:iCs/>
        </w:rPr>
        <w:t>: insert the following row</w:t>
      </w:r>
      <w:r w:rsidR="000E20FA">
        <w:rPr>
          <w:i/>
          <w:iCs/>
        </w:rPr>
        <w:t>s</w:t>
      </w:r>
      <w:r w:rsidRPr="00976DB9">
        <w:rPr>
          <w:i/>
          <w:iCs/>
        </w:rPr>
        <w:t xml:space="preserve"> in</w:t>
      </w:r>
      <w:r>
        <w:rPr>
          <w:iCs/>
        </w:rPr>
        <w:t xml:space="preserve"> “Table 7-57 DELBA frame body”</w:t>
      </w:r>
    </w:p>
    <w:p w:rsidR="00FB0624" w:rsidRDefault="00FB0624" w:rsidP="00FB0624">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2303"/>
      </w:tblGrid>
      <w:tr w:rsidR="00FB0624" w:rsidTr="00AA4A31">
        <w:trPr>
          <w:jc w:val="center"/>
        </w:trPr>
        <w:tc>
          <w:tcPr>
            <w:tcW w:w="0" w:type="auto"/>
          </w:tcPr>
          <w:p w:rsidR="00FB0624" w:rsidRPr="00F82BC6" w:rsidRDefault="00FB0624" w:rsidP="00AA4A31">
            <w:pPr>
              <w:rPr>
                <w:iCs/>
              </w:rPr>
            </w:pPr>
            <w:r w:rsidRPr="00F82BC6">
              <w:rPr>
                <w:iCs/>
              </w:rPr>
              <w:t>5</w:t>
            </w:r>
          </w:p>
        </w:tc>
        <w:tc>
          <w:tcPr>
            <w:tcW w:w="0" w:type="auto"/>
          </w:tcPr>
          <w:p w:rsidR="00FB0624" w:rsidRPr="00F82BC6" w:rsidRDefault="00FB0624" w:rsidP="00AA4A31">
            <w:pPr>
              <w:rPr>
                <w:iCs/>
              </w:rPr>
            </w:pPr>
            <w:r w:rsidRPr="00F82BC6">
              <w:rPr>
                <w:iCs/>
              </w:rPr>
              <w:t>Multi-band (optional)</w:t>
            </w:r>
          </w:p>
        </w:tc>
      </w:tr>
      <w:tr w:rsidR="00061DD6" w:rsidTr="00377195">
        <w:trPr>
          <w:jc w:val="center"/>
        </w:trPr>
        <w:tc>
          <w:tcPr>
            <w:tcW w:w="0" w:type="auto"/>
          </w:tcPr>
          <w:p w:rsidR="00061DD6" w:rsidRPr="00F82BC6" w:rsidRDefault="00061DD6" w:rsidP="00377195">
            <w:pPr>
              <w:rPr>
                <w:iCs/>
              </w:rPr>
            </w:pPr>
            <w:r>
              <w:rPr>
                <w:iCs/>
              </w:rPr>
              <w:t>6</w:t>
            </w:r>
          </w:p>
        </w:tc>
        <w:tc>
          <w:tcPr>
            <w:tcW w:w="0" w:type="auto"/>
          </w:tcPr>
          <w:p w:rsidR="00061DD6" w:rsidRPr="00F82BC6" w:rsidRDefault="00061DD6" w:rsidP="00377195">
            <w:pPr>
              <w:rPr>
                <w:iCs/>
              </w:rPr>
            </w:pPr>
            <w:r>
              <w:rPr>
                <w:iCs/>
              </w:rPr>
              <w:t>TCLAS (optional)</w:t>
            </w:r>
          </w:p>
        </w:tc>
      </w:tr>
    </w:tbl>
    <w:p w:rsidR="00FB0624" w:rsidRDefault="00FB0624" w:rsidP="00FB0624">
      <w:pPr>
        <w:rPr>
          <w:iCs/>
        </w:rPr>
      </w:pPr>
    </w:p>
    <w:p w:rsidR="00FB0624" w:rsidRDefault="00FB0624" w:rsidP="00FB0624">
      <w:pPr>
        <w:autoSpaceDE w:val="0"/>
        <w:autoSpaceDN w:val="0"/>
        <w:adjustRightInd w:val="0"/>
        <w:rPr>
          <w:iCs/>
        </w:rPr>
      </w:pPr>
      <w:r w:rsidRPr="00045802">
        <w:rPr>
          <w:i/>
          <w:iCs/>
        </w:rPr>
        <w:t>.11 Editor note</w:t>
      </w:r>
      <w:r>
        <w:rPr>
          <w:iCs/>
        </w:rPr>
        <w:t xml:space="preserve">: </w:t>
      </w:r>
      <w:r w:rsidRPr="00976DB9">
        <w:rPr>
          <w:i/>
          <w:iCs/>
        </w:rPr>
        <w:t>insert the following paragraph as the last one:</w:t>
      </w:r>
      <w:r>
        <w:rPr>
          <w:iCs/>
        </w:rPr>
        <w:t xml:space="preserve"> “</w:t>
      </w:r>
      <w:r>
        <w:rPr>
          <w:rFonts w:ascii="TimesNewRomanPSMT" w:hAnsi="TimesNewRomanPSMT" w:cs="TimesNewRomanPSMT"/>
        </w:rPr>
        <w:t xml:space="preserve">When present in an DELBA frame, the </w:t>
      </w:r>
      <w:r w:rsidR="00493DD7">
        <w:rPr>
          <w:rFonts w:ascii="TimesNewRomanPSMT" w:hAnsi="TimesNewRomanPSMT" w:cs="TimesNewRomanPSMT"/>
        </w:rPr>
        <w:t>Multi-band</w:t>
      </w:r>
      <w:r>
        <w:rPr>
          <w:rFonts w:ascii="TimesNewRomanPSMT" w:hAnsi="TimesNewRomanPSMT" w:cs="TimesNewRomanPSMT"/>
        </w:rPr>
        <w:t xml:space="preserve"> element indicates to which band ID, regulatory class and channel number the DELBA Request frame applies to.”</w:t>
      </w:r>
    </w:p>
    <w:p w:rsidR="00635C9C" w:rsidRPr="00F66519" w:rsidRDefault="00635C9C" w:rsidP="00635C9C"/>
    <w:p w:rsidR="008C36FC" w:rsidRPr="00F66519" w:rsidRDefault="00FB2A0E" w:rsidP="0004091F">
      <w:pPr>
        <w:rPr>
          <w:i/>
        </w:rPr>
      </w:pPr>
      <w:bookmarkStart w:id="819" w:name="_Toc215554812"/>
      <w:bookmarkStart w:id="820" w:name="_Toc215582726"/>
      <w:bookmarkEnd w:id="819"/>
      <w:bookmarkEnd w:id="820"/>
      <w:r w:rsidRPr="00F66519">
        <w:rPr>
          <w:i/>
        </w:rPr>
        <w:t>.11 Editor</w:t>
      </w:r>
      <w:r w:rsidR="00F9108F">
        <w:rPr>
          <w:i/>
        </w:rPr>
        <w:t xml:space="preserve"> Note:</w:t>
      </w:r>
      <w:r w:rsidRPr="00F66519">
        <w:rPr>
          <w:i/>
        </w:rPr>
        <w:t xml:space="preserve"> </w:t>
      </w:r>
      <w:r w:rsidR="008C36FC" w:rsidRPr="00F66519">
        <w:rPr>
          <w:i/>
        </w:rPr>
        <w:t xml:space="preserve">Insert the following </w:t>
      </w:r>
      <w:r w:rsidR="00F9108F">
        <w:rPr>
          <w:i/>
        </w:rPr>
        <w:t xml:space="preserve">subclauses </w:t>
      </w:r>
      <w:r w:rsidR="008C36FC" w:rsidRPr="00F66519">
        <w:rPr>
          <w:i/>
        </w:rPr>
        <w:t>after section 7.4.12 (from P802.11s amendment):</w:t>
      </w:r>
    </w:p>
    <w:p w:rsidR="008C36FC" w:rsidRPr="00F66519" w:rsidRDefault="008C36FC" w:rsidP="003701DB">
      <w:pPr>
        <w:pStyle w:val="Heading3"/>
        <w:numPr>
          <w:ilvl w:val="2"/>
          <w:numId w:val="26"/>
        </w:numPr>
      </w:pPr>
      <w:r w:rsidRPr="00F66519">
        <w:lastRenderedPageBreak/>
        <w:t xml:space="preserve"> </w:t>
      </w:r>
      <w:bookmarkStart w:id="821" w:name="_Toc235400284"/>
      <w:bookmarkStart w:id="822" w:name="_Ref243795550"/>
      <w:bookmarkStart w:id="823" w:name="_Toc259716969"/>
      <w:r w:rsidRPr="00F66519">
        <w:t>mmWave Action frame details</w:t>
      </w:r>
      <w:bookmarkEnd w:id="821"/>
      <w:bookmarkEnd w:id="822"/>
      <w:bookmarkEnd w:id="823"/>
    </w:p>
    <w:p w:rsidR="008C36FC" w:rsidRPr="00F66519" w:rsidRDefault="008C36FC" w:rsidP="0004091F"/>
    <w:p w:rsidR="008C36FC" w:rsidRPr="00F66519" w:rsidRDefault="008C36FC" w:rsidP="003701DB">
      <w:pPr>
        <w:pStyle w:val="Heading4"/>
        <w:numPr>
          <w:ilvl w:val="3"/>
          <w:numId w:val="27"/>
        </w:numPr>
      </w:pPr>
      <w:bookmarkStart w:id="824" w:name="_Toc235400285"/>
      <w:bookmarkStart w:id="825" w:name="_Toc259716970"/>
      <w:r w:rsidRPr="00F66519">
        <w:t>mmWave Action field</w:t>
      </w:r>
      <w:bookmarkEnd w:id="824"/>
      <w:bookmarkEnd w:id="825"/>
    </w:p>
    <w:p w:rsidR="00967976" w:rsidRPr="00F66519" w:rsidRDefault="00967976" w:rsidP="00976DB9"/>
    <w:p w:rsidR="00967976" w:rsidRPr="009448FC" w:rsidRDefault="00967976" w:rsidP="00967976">
      <w:r w:rsidRPr="00F66519">
        <w:t xml:space="preserve">The mmWave Action field values are defined in </w:t>
      </w:r>
      <w:r w:rsidR="00BD151C">
        <w:rPr>
          <w:lang w:bidi="ar-SA"/>
        </w:rPr>
        <w:fldChar w:fldCharType="begin"/>
      </w:r>
      <w:r>
        <w:rPr>
          <w:lang w:bidi="ar-SA"/>
        </w:rPr>
        <w:instrText xml:space="preserve"> REF _Ref236378110 \h </w:instrText>
      </w:r>
      <w:r w:rsidR="00BD151C">
        <w:rPr>
          <w:lang w:bidi="ar-SA"/>
        </w:rPr>
      </w:r>
      <w:r w:rsidR="00BD151C">
        <w:rPr>
          <w:lang w:bidi="ar-SA"/>
        </w:rPr>
        <w:fldChar w:fldCharType="separate"/>
      </w:r>
      <w:r w:rsidR="003E4210" w:rsidRPr="00066F65">
        <w:t xml:space="preserve">Table </w:t>
      </w:r>
      <w:r w:rsidR="003E4210">
        <w:rPr>
          <w:noProof/>
        </w:rPr>
        <w:t>25</w:t>
      </w:r>
      <w:r w:rsidR="00BD151C">
        <w:rPr>
          <w:lang w:bidi="ar-SA"/>
        </w:rPr>
        <w:fldChar w:fldCharType="end"/>
      </w:r>
      <w:r w:rsidRPr="009448FC">
        <w:t>.</w:t>
      </w:r>
    </w:p>
    <w:p w:rsidR="00967976" w:rsidRPr="009448FC" w:rsidRDefault="00967976" w:rsidP="00967976"/>
    <w:p w:rsidR="008C36FC" w:rsidRPr="00066F65" w:rsidRDefault="008C36FC" w:rsidP="009448FC">
      <w:pPr>
        <w:pStyle w:val="Caption"/>
        <w:keepNext/>
      </w:pPr>
      <w:bookmarkStart w:id="826" w:name="_Ref214852120"/>
      <w:bookmarkStart w:id="827" w:name="_Ref236378110"/>
      <w:bookmarkStart w:id="828" w:name="_Toc225065778"/>
      <w:bookmarkStart w:id="829" w:name="_Toc250654424"/>
      <w:bookmarkStart w:id="830" w:name="_Toc259717603"/>
      <w:r w:rsidRPr="00066F65">
        <w:t>Table</w:t>
      </w:r>
      <w:r w:rsidR="00BF368F" w:rsidRPr="00066F65">
        <w:t xml:space="preserve"> </w:t>
      </w:r>
      <w:r w:rsidR="00BD151C">
        <w:fldChar w:fldCharType="begin"/>
      </w:r>
      <w:r w:rsidR="00801316">
        <w:instrText xml:space="preserve"> SEQ Table \* ARABIC </w:instrText>
      </w:r>
      <w:r w:rsidR="00BD151C">
        <w:fldChar w:fldCharType="separate"/>
      </w:r>
      <w:r w:rsidR="003E4210">
        <w:rPr>
          <w:noProof/>
        </w:rPr>
        <w:t>25</w:t>
      </w:r>
      <w:r w:rsidR="00BD151C">
        <w:fldChar w:fldCharType="end"/>
      </w:r>
      <w:bookmarkEnd w:id="826"/>
      <w:bookmarkEnd w:id="827"/>
      <w:r w:rsidRPr="00066F65">
        <w:rPr>
          <w:noProof/>
        </w:rPr>
        <w:t xml:space="preserve"> </w:t>
      </w:r>
      <w:r w:rsidR="00F07751" w:rsidRPr="00066F65">
        <w:rPr>
          <w:noProof/>
        </w:rPr>
        <w:t xml:space="preserve">– </w:t>
      </w:r>
      <w:r w:rsidRPr="00066F65">
        <w:rPr>
          <w:noProof/>
        </w:rPr>
        <w:t>mmWave Action field values</w:t>
      </w:r>
      <w:bookmarkEnd w:id="828"/>
      <w:bookmarkEnd w:id="829"/>
      <w:bookmarkEnd w:id="8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4542"/>
      </w:tblGrid>
      <w:tr w:rsidR="008C36FC" w:rsidRPr="00066F65" w:rsidTr="0060464E">
        <w:trPr>
          <w:jc w:val="center"/>
        </w:trPr>
        <w:tc>
          <w:tcPr>
            <w:tcW w:w="0" w:type="auto"/>
          </w:tcPr>
          <w:p w:rsidR="008C36FC" w:rsidRPr="009448FC" w:rsidRDefault="008C36FC" w:rsidP="00D0037C">
            <w:pPr>
              <w:jc w:val="both"/>
              <w:rPr>
                <w:rFonts w:eastAsia="SimSun"/>
                <w:b/>
              </w:rPr>
            </w:pPr>
            <w:r w:rsidRPr="009448FC">
              <w:rPr>
                <w:rFonts w:eastAsia="SimSun"/>
                <w:b/>
              </w:rPr>
              <w:t>Action field value</w:t>
            </w:r>
          </w:p>
        </w:tc>
        <w:tc>
          <w:tcPr>
            <w:tcW w:w="0" w:type="auto"/>
          </w:tcPr>
          <w:p w:rsidR="008C36FC" w:rsidRPr="009448FC" w:rsidRDefault="008C36FC" w:rsidP="00D0037C">
            <w:pPr>
              <w:jc w:val="both"/>
              <w:rPr>
                <w:rFonts w:eastAsia="SimSun"/>
                <w:b/>
              </w:rPr>
            </w:pPr>
            <w:r w:rsidRPr="009448FC">
              <w:rPr>
                <w:rFonts w:eastAsia="SimSun"/>
                <w:b/>
              </w:rPr>
              <w:t>Meaning</w:t>
            </w:r>
          </w:p>
        </w:tc>
      </w:tr>
      <w:tr w:rsidR="008C36FC" w:rsidRPr="00066F65" w:rsidTr="0060464E">
        <w:trPr>
          <w:jc w:val="center"/>
        </w:trPr>
        <w:tc>
          <w:tcPr>
            <w:tcW w:w="0" w:type="auto"/>
          </w:tcPr>
          <w:p w:rsidR="008C36FC" w:rsidRPr="009448FC" w:rsidRDefault="008C36FC" w:rsidP="00D0037C">
            <w:pPr>
              <w:jc w:val="center"/>
              <w:rPr>
                <w:rFonts w:eastAsia="SimSun"/>
              </w:rPr>
            </w:pPr>
            <w:r w:rsidRPr="009448FC">
              <w:rPr>
                <w:rFonts w:eastAsia="SimSun"/>
              </w:rPr>
              <w:t>1</w:t>
            </w:r>
          </w:p>
        </w:tc>
        <w:tc>
          <w:tcPr>
            <w:tcW w:w="0" w:type="auto"/>
          </w:tcPr>
          <w:p w:rsidR="008C36FC" w:rsidRPr="009448FC" w:rsidRDefault="008C36FC" w:rsidP="00D0037C">
            <w:pPr>
              <w:jc w:val="both"/>
              <w:rPr>
                <w:rFonts w:eastAsia="SimSun"/>
              </w:rPr>
            </w:pPr>
            <w:r w:rsidRPr="009448FC">
              <w:rPr>
                <w:rFonts w:eastAsia="SimSun"/>
              </w:rPr>
              <w:t>Announce</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2</w:t>
            </w:r>
          </w:p>
        </w:tc>
        <w:tc>
          <w:tcPr>
            <w:tcW w:w="0" w:type="auto"/>
          </w:tcPr>
          <w:p w:rsidR="008C36FC" w:rsidRPr="009448FC" w:rsidRDefault="008C36FC" w:rsidP="00D0037C">
            <w:pPr>
              <w:jc w:val="both"/>
              <w:rPr>
                <w:rFonts w:eastAsia="SimSun"/>
              </w:rPr>
            </w:pPr>
            <w:r w:rsidRPr="009448FC">
              <w:rPr>
                <w:rFonts w:eastAsia="SimSun"/>
              </w:rPr>
              <w:t>Power Save Configuration Request</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3</w:t>
            </w:r>
          </w:p>
        </w:tc>
        <w:tc>
          <w:tcPr>
            <w:tcW w:w="0" w:type="auto"/>
          </w:tcPr>
          <w:p w:rsidR="008C36FC" w:rsidRPr="009448FC" w:rsidRDefault="008C36FC" w:rsidP="00C72B21">
            <w:pPr>
              <w:jc w:val="both"/>
              <w:rPr>
                <w:rFonts w:eastAsia="SimSun"/>
              </w:rPr>
            </w:pPr>
            <w:r w:rsidRPr="009448FC">
              <w:rPr>
                <w:rFonts w:eastAsia="SimSun"/>
              </w:rPr>
              <w:t xml:space="preserve">Power </w:t>
            </w:r>
            <w:r w:rsidR="006D22FC" w:rsidRPr="009448FC">
              <w:rPr>
                <w:rFonts w:eastAsia="SimSun"/>
              </w:rPr>
              <w:t>Save Configuration Response</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4</w:t>
            </w:r>
          </w:p>
        </w:tc>
        <w:tc>
          <w:tcPr>
            <w:tcW w:w="0" w:type="auto"/>
          </w:tcPr>
          <w:p w:rsidR="008C36FC" w:rsidRPr="009448FC" w:rsidRDefault="008C36FC" w:rsidP="00D0037C">
            <w:pPr>
              <w:jc w:val="both"/>
              <w:rPr>
                <w:rFonts w:eastAsia="SimSun"/>
              </w:rPr>
            </w:pPr>
            <w:r w:rsidRPr="009448FC">
              <w:rPr>
                <w:rFonts w:eastAsia="SimSun"/>
              </w:rPr>
              <w:t>Information Request</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5</w:t>
            </w:r>
          </w:p>
        </w:tc>
        <w:tc>
          <w:tcPr>
            <w:tcW w:w="0" w:type="auto"/>
          </w:tcPr>
          <w:p w:rsidR="008C36FC" w:rsidRPr="009448FC" w:rsidRDefault="008C36FC" w:rsidP="00D0037C">
            <w:pPr>
              <w:jc w:val="both"/>
              <w:rPr>
                <w:rFonts w:eastAsia="SimSun"/>
              </w:rPr>
            </w:pPr>
            <w:r w:rsidRPr="009448FC">
              <w:rPr>
                <w:rFonts w:eastAsia="SimSun"/>
              </w:rPr>
              <w:t>Information Response</w:t>
            </w:r>
          </w:p>
        </w:tc>
      </w:tr>
      <w:tr w:rsidR="00E16643" w:rsidRPr="00066F65" w:rsidTr="0060464E">
        <w:trPr>
          <w:jc w:val="center"/>
        </w:trPr>
        <w:tc>
          <w:tcPr>
            <w:tcW w:w="0" w:type="auto"/>
          </w:tcPr>
          <w:p w:rsidR="00E16643" w:rsidRPr="009448FC" w:rsidRDefault="00D376C1" w:rsidP="00D0037C">
            <w:pPr>
              <w:jc w:val="center"/>
              <w:rPr>
                <w:rFonts w:eastAsia="SimSun"/>
              </w:rPr>
            </w:pPr>
            <w:r w:rsidRPr="009448FC">
              <w:rPr>
                <w:rFonts w:eastAsia="SimSun"/>
              </w:rPr>
              <w:t>6</w:t>
            </w:r>
          </w:p>
        </w:tc>
        <w:tc>
          <w:tcPr>
            <w:tcW w:w="0" w:type="auto"/>
          </w:tcPr>
          <w:p w:rsidR="00E16643" w:rsidRPr="009448FC" w:rsidRDefault="00E16643" w:rsidP="00D0037C">
            <w:pPr>
              <w:jc w:val="both"/>
              <w:rPr>
                <w:rFonts w:eastAsia="SimSun"/>
              </w:rPr>
            </w:pPr>
            <w:r w:rsidRPr="009448FC">
              <w:rPr>
                <w:rFonts w:eastAsia="SimSun"/>
              </w:rPr>
              <w:t>Beam Refinement</w:t>
            </w:r>
          </w:p>
        </w:tc>
      </w:tr>
      <w:tr w:rsidR="00E75EC2" w:rsidRPr="00066F65" w:rsidDel="00056C6F" w:rsidTr="0060464E">
        <w:trPr>
          <w:jc w:val="center"/>
        </w:trPr>
        <w:tc>
          <w:tcPr>
            <w:tcW w:w="0" w:type="auto"/>
          </w:tcPr>
          <w:p w:rsidR="00E75EC2" w:rsidRPr="009448FC" w:rsidDel="00056C6F" w:rsidRDefault="00D376C1" w:rsidP="00D0037C">
            <w:pPr>
              <w:jc w:val="center"/>
              <w:rPr>
                <w:rFonts w:eastAsia="SimSun"/>
              </w:rPr>
            </w:pPr>
            <w:r w:rsidRPr="009448FC">
              <w:rPr>
                <w:rFonts w:eastAsia="SimSun"/>
              </w:rPr>
              <w:t>7</w:t>
            </w:r>
          </w:p>
        </w:tc>
        <w:tc>
          <w:tcPr>
            <w:tcW w:w="0" w:type="auto"/>
          </w:tcPr>
          <w:p w:rsidR="00E75EC2" w:rsidRPr="009448FC" w:rsidDel="00056C6F" w:rsidRDefault="00E75EC2" w:rsidP="00D0037C">
            <w:pPr>
              <w:jc w:val="both"/>
              <w:rPr>
                <w:rFonts w:eastAsia="SimSun"/>
              </w:rPr>
            </w:pPr>
            <w:r w:rsidRPr="009448FC">
              <w:rPr>
                <w:rFonts w:eastAsia="SimSun"/>
              </w:rPr>
              <w:t xml:space="preserve">Handover Request </w:t>
            </w:r>
          </w:p>
        </w:tc>
      </w:tr>
      <w:tr w:rsidR="00E75EC2" w:rsidRPr="00066F65" w:rsidDel="00056C6F" w:rsidTr="0060464E">
        <w:trPr>
          <w:jc w:val="center"/>
        </w:trPr>
        <w:tc>
          <w:tcPr>
            <w:tcW w:w="0" w:type="auto"/>
          </w:tcPr>
          <w:p w:rsidR="00E75EC2" w:rsidRPr="009448FC" w:rsidDel="00056C6F" w:rsidRDefault="00D376C1" w:rsidP="00D0037C">
            <w:pPr>
              <w:jc w:val="center"/>
              <w:rPr>
                <w:rFonts w:eastAsia="SimSun"/>
              </w:rPr>
            </w:pPr>
            <w:r w:rsidRPr="009448FC">
              <w:rPr>
                <w:rFonts w:eastAsia="SimSun"/>
              </w:rPr>
              <w:t>8</w:t>
            </w:r>
          </w:p>
        </w:tc>
        <w:tc>
          <w:tcPr>
            <w:tcW w:w="0" w:type="auto"/>
          </w:tcPr>
          <w:p w:rsidR="00E75EC2" w:rsidRPr="009448FC" w:rsidDel="00056C6F" w:rsidRDefault="00E75EC2" w:rsidP="00D0037C">
            <w:pPr>
              <w:jc w:val="both"/>
              <w:rPr>
                <w:rFonts w:eastAsia="SimSun"/>
              </w:rPr>
            </w:pPr>
            <w:r w:rsidRPr="009448FC">
              <w:rPr>
                <w:rFonts w:eastAsia="SimSun"/>
              </w:rPr>
              <w:t xml:space="preserve">Handover Response </w:t>
            </w:r>
          </w:p>
        </w:tc>
      </w:tr>
      <w:tr w:rsidR="00C72B21" w:rsidRPr="00066F65" w:rsidDel="00056C6F" w:rsidTr="0060464E">
        <w:trPr>
          <w:jc w:val="center"/>
        </w:trPr>
        <w:tc>
          <w:tcPr>
            <w:tcW w:w="0" w:type="auto"/>
          </w:tcPr>
          <w:p w:rsidR="00C72B21" w:rsidRPr="009448FC" w:rsidRDefault="00C72B21" w:rsidP="00D0037C">
            <w:pPr>
              <w:jc w:val="center"/>
              <w:rPr>
                <w:rFonts w:eastAsia="SimSun"/>
              </w:rPr>
            </w:pPr>
            <w:r w:rsidRPr="009448FC">
              <w:rPr>
                <w:rFonts w:eastAsia="SimSun"/>
              </w:rPr>
              <w:t>9</w:t>
            </w:r>
          </w:p>
        </w:tc>
        <w:tc>
          <w:tcPr>
            <w:tcW w:w="0" w:type="auto"/>
          </w:tcPr>
          <w:p w:rsidR="00C72B21" w:rsidRPr="009448FC" w:rsidRDefault="00C72B21" w:rsidP="0017564A">
            <w:pPr>
              <w:jc w:val="both"/>
              <w:rPr>
                <w:rFonts w:eastAsia="SimSun"/>
              </w:rPr>
            </w:pPr>
            <w:r w:rsidRPr="009448FC">
              <w:rPr>
                <w:rFonts w:eastAsia="SimSun"/>
              </w:rPr>
              <w:t xml:space="preserve">Link </w:t>
            </w:r>
            <w:r w:rsidR="0017564A">
              <w:rPr>
                <w:rFonts w:eastAsia="SimSun"/>
              </w:rPr>
              <w:t>Margin</w:t>
            </w:r>
            <w:r w:rsidRPr="009448FC">
              <w:rPr>
                <w:rFonts w:eastAsia="SimSun"/>
              </w:rPr>
              <w:t xml:space="preserve"> Request</w:t>
            </w:r>
          </w:p>
        </w:tc>
      </w:tr>
      <w:tr w:rsidR="00C72B21" w:rsidRPr="00066F65" w:rsidDel="00056C6F" w:rsidTr="0060464E">
        <w:trPr>
          <w:jc w:val="center"/>
        </w:trPr>
        <w:tc>
          <w:tcPr>
            <w:tcW w:w="0" w:type="auto"/>
          </w:tcPr>
          <w:p w:rsidR="00C72B21" w:rsidRPr="009448FC" w:rsidRDefault="00C72B21" w:rsidP="00D0037C">
            <w:pPr>
              <w:jc w:val="center"/>
              <w:rPr>
                <w:rFonts w:eastAsia="SimSun"/>
              </w:rPr>
            </w:pPr>
            <w:r w:rsidRPr="009448FC">
              <w:rPr>
                <w:rFonts w:eastAsia="SimSun"/>
              </w:rPr>
              <w:t>10</w:t>
            </w:r>
          </w:p>
        </w:tc>
        <w:tc>
          <w:tcPr>
            <w:tcW w:w="0" w:type="auto"/>
          </w:tcPr>
          <w:p w:rsidR="00C72B21" w:rsidRPr="009448FC" w:rsidRDefault="00C72B21" w:rsidP="00D0037C">
            <w:pPr>
              <w:jc w:val="both"/>
              <w:rPr>
                <w:rFonts w:eastAsia="SimSun"/>
              </w:rPr>
            </w:pPr>
            <w:r w:rsidRPr="009448FC">
              <w:rPr>
                <w:rFonts w:eastAsia="SimSun"/>
              </w:rPr>
              <w:t xml:space="preserve">Link </w:t>
            </w:r>
            <w:r w:rsidR="0017564A">
              <w:rPr>
                <w:rFonts w:eastAsia="SimSun"/>
              </w:rPr>
              <w:t>Margin</w:t>
            </w:r>
            <w:r w:rsidRPr="009448FC">
              <w:rPr>
                <w:rFonts w:eastAsia="SimSun"/>
              </w:rPr>
              <w:t xml:space="preserve"> Response</w:t>
            </w:r>
          </w:p>
        </w:tc>
      </w:tr>
      <w:tr w:rsidR="00115FAE" w:rsidRPr="00066F65" w:rsidDel="00056C6F" w:rsidTr="0060464E">
        <w:trPr>
          <w:jc w:val="center"/>
        </w:trPr>
        <w:tc>
          <w:tcPr>
            <w:tcW w:w="0" w:type="auto"/>
          </w:tcPr>
          <w:p w:rsidR="00115FAE" w:rsidRPr="009448FC" w:rsidRDefault="00115FAE" w:rsidP="00D0037C">
            <w:pPr>
              <w:jc w:val="center"/>
              <w:rPr>
                <w:rFonts w:eastAsia="SimSun"/>
              </w:rPr>
            </w:pPr>
            <w:r>
              <w:rPr>
                <w:rFonts w:eastAsia="SimSun"/>
              </w:rPr>
              <w:t>11</w:t>
            </w:r>
          </w:p>
        </w:tc>
        <w:tc>
          <w:tcPr>
            <w:tcW w:w="0" w:type="auto"/>
          </w:tcPr>
          <w:p w:rsidR="00115FAE" w:rsidRPr="009448FC" w:rsidRDefault="00115FAE" w:rsidP="00D0037C">
            <w:pPr>
              <w:jc w:val="both"/>
              <w:rPr>
                <w:rFonts w:eastAsia="SimSun"/>
              </w:rPr>
            </w:pPr>
            <w:r>
              <w:rPr>
                <w:rFonts w:eastAsia="SimSun"/>
              </w:rPr>
              <w:t>DTP Request</w:t>
            </w:r>
          </w:p>
        </w:tc>
      </w:tr>
      <w:tr w:rsidR="00115FAE" w:rsidRPr="00066F65" w:rsidDel="00056C6F" w:rsidTr="0060464E">
        <w:trPr>
          <w:jc w:val="center"/>
        </w:trPr>
        <w:tc>
          <w:tcPr>
            <w:tcW w:w="0" w:type="auto"/>
          </w:tcPr>
          <w:p w:rsidR="00115FAE" w:rsidRPr="009448FC" w:rsidRDefault="00115FAE" w:rsidP="00D0037C">
            <w:pPr>
              <w:jc w:val="center"/>
              <w:rPr>
                <w:rFonts w:eastAsia="SimSun"/>
              </w:rPr>
            </w:pPr>
            <w:r>
              <w:rPr>
                <w:rFonts w:eastAsia="SimSun"/>
              </w:rPr>
              <w:t>12</w:t>
            </w:r>
          </w:p>
        </w:tc>
        <w:tc>
          <w:tcPr>
            <w:tcW w:w="0" w:type="auto"/>
          </w:tcPr>
          <w:p w:rsidR="00115FAE" w:rsidRPr="009448FC" w:rsidRDefault="00115FAE" w:rsidP="00D0037C">
            <w:pPr>
              <w:jc w:val="both"/>
              <w:rPr>
                <w:rFonts w:eastAsia="SimSun"/>
              </w:rPr>
            </w:pPr>
            <w:r>
              <w:rPr>
                <w:rFonts w:eastAsia="SimSun"/>
              </w:rPr>
              <w:t>DTP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13</w:t>
            </w:r>
          </w:p>
        </w:tc>
        <w:tc>
          <w:tcPr>
            <w:tcW w:w="0" w:type="auto"/>
          </w:tcPr>
          <w:p w:rsidR="0060464E" w:rsidRPr="0060464E" w:rsidRDefault="0060464E" w:rsidP="0060464E">
            <w:pPr>
              <w:jc w:val="both"/>
              <w:rPr>
                <w:rFonts w:eastAsia="SimSun"/>
              </w:rPr>
            </w:pPr>
            <w:r w:rsidRPr="0060464E">
              <w:rPr>
                <w:rFonts w:eastAsia="SimSun"/>
              </w:rPr>
              <w:t>Relay Search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14</w:t>
            </w:r>
          </w:p>
        </w:tc>
        <w:tc>
          <w:tcPr>
            <w:tcW w:w="0" w:type="auto"/>
          </w:tcPr>
          <w:p w:rsidR="0060464E" w:rsidRPr="0060464E" w:rsidRDefault="0060464E" w:rsidP="0060464E">
            <w:pPr>
              <w:jc w:val="both"/>
              <w:rPr>
                <w:rFonts w:eastAsia="SimSun"/>
              </w:rPr>
            </w:pPr>
            <w:r w:rsidRPr="0060464E">
              <w:rPr>
                <w:rFonts w:eastAsia="SimSun"/>
              </w:rPr>
              <w:t>Relay Search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15</w:t>
            </w:r>
          </w:p>
        </w:tc>
        <w:tc>
          <w:tcPr>
            <w:tcW w:w="0" w:type="auto"/>
          </w:tcPr>
          <w:p w:rsidR="0060464E" w:rsidRPr="0060464E" w:rsidRDefault="0060464E" w:rsidP="0060464E">
            <w:pPr>
              <w:jc w:val="both"/>
              <w:rPr>
                <w:rFonts w:eastAsia="SimSun"/>
              </w:rPr>
            </w:pPr>
            <w:r w:rsidRPr="0060464E">
              <w:rPr>
                <w:rFonts w:eastAsia="SimSun"/>
              </w:rPr>
              <w:t>Multi-Relays Channel Measurement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16</w:t>
            </w:r>
          </w:p>
        </w:tc>
        <w:tc>
          <w:tcPr>
            <w:tcW w:w="0" w:type="auto"/>
          </w:tcPr>
          <w:p w:rsidR="0060464E" w:rsidRPr="0060464E" w:rsidRDefault="0060464E" w:rsidP="0060464E">
            <w:pPr>
              <w:jc w:val="both"/>
              <w:rPr>
                <w:rFonts w:eastAsia="SimSun"/>
              </w:rPr>
            </w:pPr>
            <w:r w:rsidRPr="0060464E">
              <w:rPr>
                <w:rFonts w:eastAsia="SimSun"/>
              </w:rPr>
              <w:t>Multi-Relays  Channel Measurement Report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17</w:t>
            </w:r>
          </w:p>
        </w:tc>
        <w:tc>
          <w:tcPr>
            <w:tcW w:w="0" w:type="auto"/>
          </w:tcPr>
          <w:p w:rsidR="0060464E" w:rsidRPr="0060464E" w:rsidRDefault="0060464E" w:rsidP="0060464E">
            <w:pPr>
              <w:jc w:val="both"/>
              <w:rPr>
                <w:rFonts w:eastAsia="SimSun"/>
              </w:rPr>
            </w:pPr>
            <w:r w:rsidRPr="0060464E">
              <w:rPr>
                <w:rFonts w:eastAsia="SimSun"/>
              </w:rPr>
              <w:t xml:space="preserve">RLS Request </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18</w:t>
            </w:r>
          </w:p>
        </w:tc>
        <w:tc>
          <w:tcPr>
            <w:tcW w:w="0" w:type="auto"/>
          </w:tcPr>
          <w:p w:rsidR="0060464E" w:rsidRPr="0060464E" w:rsidRDefault="0060464E" w:rsidP="0060464E">
            <w:pPr>
              <w:jc w:val="both"/>
              <w:rPr>
                <w:rFonts w:eastAsia="SimSun"/>
              </w:rPr>
            </w:pPr>
            <w:r w:rsidRPr="0060464E">
              <w:rPr>
                <w:rFonts w:eastAsia="SimSun"/>
              </w:rPr>
              <w:t>RLS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19</w:t>
            </w:r>
          </w:p>
        </w:tc>
        <w:tc>
          <w:tcPr>
            <w:tcW w:w="0" w:type="auto"/>
          </w:tcPr>
          <w:p w:rsidR="0060464E" w:rsidRPr="0060464E" w:rsidRDefault="0060464E" w:rsidP="0060464E">
            <w:pPr>
              <w:jc w:val="both"/>
              <w:rPr>
                <w:rFonts w:eastAsia="SimSun"/>
              </w:rPr>
            </w:pPr>
            <w:r w:rsidRPr="0060464E">
              <w:rPr>
                <w:rFonts w:eastAsia="SimSun"/>
              </w:rPr>
              <w:t>RLS Announcement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20</w:t>
            </w:r>
          </w:p>
        </w:tc>
        <w:tc>
          <w:tcPr>
            <w:tcW w:w="0" w:type="auto"/>
          </w:tcPr>
          <w:p w:rsidR="0060464E" w:rsidRPr="0060464E" w:rsidRDefault="0060464E" w:rsidP="0060464E">
            <w:pPr>
              <w:jc w:val="both"/>
              <w:rPr>
                <w:rFonts w:eastAsia="SimSun"/>
              </w:rPr>
            </w:pPr>
            <w:r w:rsidRPr="0060464E">
              <w:rPr>
                <w:rFonts w:eastAsia="SimSun"/>
              </w:rPr>
              <w:t>RLS Teardown</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21</w:t>
            </w:r>
          </w:p>
        </w:tc>
        <w:tc>
          <w:tcPr>
            <w:tcW w:w="0" w:type="auto"/>
          </w:tcPr>
          <w:p w:rsidR="0060464E" w:rsidRPr="0060464E" w:rsidRDefault="0060464E" w:rsidP="0060464E">
            <w:pPr>
              <w:jc w:val="both"/>
              <w:rPr>
                <w:rFonts w:eastAsia="SimSun"/>
              </w:rPr>
            </w:pPr>
            <w:r w:rsidRPr="0060464E">
              <w:rPr>
                <w:rFonts w:eastAsia="SimSun"/>
              </w:rPr>
              <w:t>Relay ACK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22</w:t>
            </w:r>
          </w:p>
        </w:tc>
        <w:tc>
          <w:tcPr>
            <w:tcW w:w="0" w:type="auto"/>
          </w:tcPr>
          <w:p w:rsidR="0060464E" w:rsidRPr="0060464E" w:rsidRDefault="0060464E" w:rsidP="0060464E">
            <w:pPr>
              <w:jc w:val="both"/>
              <w:rPr>
                <w:rFonts w:eastAsia="SimSun"/>
              </w:rPr>
            </w:pPr>
            <w:r w:rsidRPr="0060464E">
              <w:rPr>
                <w:rFonts w:eastAsia="SimSun"/>
              </w:rPr>
              <w:t>Relay ACK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23</w:t>
            </w:r>
          </w:p>
        </w:tc>
        <w:tc>
          <w:tcPr>
            <w:tcW w:w="0" w:type="auto"/>
          </w:tcPr>
          <w:p w:rsidR="0060464E" w:rsidRPr="0060464E" w:rsidRDefault="0060464E" w:rsidP="0060464E">
            <w:pPr>
              <w:jc w:val="both"/>
              <w:rPr>
                <w:rFonts w:eastAsia="SimSun"/>
              </w:rPr>
            </w:pPr>
            <w:r w:rsidRPr="0060464E">
              <w:rPr>
                <w:rFonts w:eastAsia="SimSun"/>
              </w:rPr>
              <w:t>TPA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24</w:t>
            </w:r>
          </w:p>
        </w:tc>
        <w:tc>
          <w:tcPr>
            <w:tcW w:w="0" w:type="auto"/>
          </w:tcPr>
          <w:p w:rsidR="0060464E" w:rsidRPr="0060464E" w:rsidRDefault="0060464E" w:rsidP="0060464E">
            <w:pPr>
              <w:jc w:val="both"/>
              <w:rPr>
                <w:rFonts w:eastAsia="SimSun"/>
              </w:rPr>
            </w:pPr>
            <w:r w:rsidRPr="0060464E">
              <w:rPr>
                <w:rFonts w:eastAsia="SimSun"/>
              </w:rPr>
              <w:t>TPA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25</w:t>
            </w:r>
          </w:p>
        </w:tc>
        <w:tc>
          <w:tcPr>
            <w:tcW w:w="0" w:type="auto"/>
          </w:tcPr>
          <w:p w:rsidR="0060464E" w:rsidRPr="0060464E" w:rsidRDefault="0060464E" w:rsidP="0060464E">
            <w:pPr>
              <w:jc w:val="both"/>
              <w:rPr>
                <w:rFonts w:eastAsia="SimSun"/>
              </w:rPr>
            </w:pPr>
            <w:r w:rsidRPr="0060464E">
              <w:rPr>
                <w:rFonts w:eastAsia="SimSun"/>
              </w:rPr>
              <w:t>TPA Report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26</w:t>
            </w:r>
          </w:p>
        </w:tc>
        <w:tc>
          <w:tcPr>
            <w:tcW w:w="0" w:type="auto"/>
          </w:tcPr>
          <w:p w:rsidR="0060464E" w:rsidRPr="0060464E" w:rsidRDefault="0060464E" w:rsidP="0060464E">
            <w:pPr>
              <w:jc w:val="both"/>
              <w:rPr>
                <w:rFonts w:eastAsia="SimSun"/>
              </w:rPr>
            </w:pPr>
            <w:r w:rsidRPr="0060464E">
              <w:rPr>
                <w:rFonts w:eastAsia="SimSun"/>
              </w:rPr>
              <w:t>ROC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27</w:t>
            </w:r>
          </w:p>
        </w:tc>
        <w:tc>
          <w:tcPr>
            <w:tcW w:w="0" w:type="auto"/>
          </w:tcPr>
          <w:p w:rsidR="0060464E" w:rsidRPr="0060464E" w:rsidRDefault="0060464E" w:rsidP="0060464E">
            <w:pPr>
              <w:jc w:val="both"/>
              <w:rPr>
                <w:rFonts w:eastAsia="SimSun"/>
              </w:rPr>
            </w:pPr>
            <w:r w:rsidRPr="0060464E">
              <w:rPr>
                <w:rFonts w:eastAsia="SimSun"/>
              </w:rPr>
              <w:t>ROC Response</w:t>
            </w:r>
          </w:p>
        </w:tc>
      </w:tr>
    </w:tbl>
    <w:p w:rsidR="008C36FC" w:rsidRPr="009448FC" w:rsidRDefault="00115FAE" w:rsidP="0004091F">
      <w:r>
        <w:t xml:space="preserve"> </w:t>
      </w:r>
    </w:p>
    <w:p w:rsidR="008C36FC" w:rsidRPr="009448FC" w:rsidRDefault="008C36FC" w:rsidP="003701DB">
      <w:pPr>
        <w:pStyle w:val="Heading4"/>
        <w:numPr>
          <w:ilvl w:val="3"/>
          <w:numId w:val="27"/>
        </w:numPr>
      </w:pPr>
      <w:bookmarkStart w:id="831" w:name="_Ref236369174"/>
      <w:bookmarkStart w:id="832" w:name="_Ref236369185"/>
      <w:bookmarkStart w:id="833" w:name="_Toc235400286"/>
      <w:bookmarkStart w:id="834" w:name="_Toc259716971"/>
      <w:r w:rsidRPr="009448FC">
        <w:t>Announce</w:t>
      </w:r>
      <w:bookmarkEnd w:id="831"/>
      <w:bookmarkEnd w:id="832"/>
      <w:bookmarkEnd w:id="833"/>
      <w:bookmarkEnd w:id="834"/>
    </w:p>
    <w:p w:rsidR="00D376C1" w:rsidRPr="009448FC" w:rsidRDefault="008C36FC" w:rsidP="0004091F">
      <w:r w:rsidRPr="009448FC">
        <w:t xml:space="preserve">The Announce frame is an Action or and Action No Ack frame of category mmWave. The format of the frame body is shown in </w:t>
      </w:r>
      <w:r w:rsidR="00BD151C">
        <w:fldChar w:fldCharType="begin"/>
      </w:r>
      <w:r>
        <w:instrText xml:space="preserve"> REF _Ref214852786 \h </w:instrText>
      </w:r>
      <w:r w:rsidR="00BD151C">
        <w:fldChar w:fldCharType="separate"/>
      </w:r>
      <w:r w:rsidR="003E4210" w:rsidRPr="00066F65">
        <w:t xml:space="preserve">Table </w:t>
      </w:r>
      <w:r w:rsidR="003E4210">
        <w:rPr>
          <w:noProof/>
        </w:rPr>
        <w:t>26</w:t>
      </w:r>
      <w:r w:rsidR="00BD151C">
        <w:fldChar w:fldCharType="end"/>
      </w:r>
      <w:r w:rsidRPr="009448FC">
        <w:t>.</w:t>
      </w:r>
    </w:p>
    <w:p w:rsidR="00D376C1" w:rsidRPr="009448FC" w:rsidRDefault="00D376C1" w:rsidP="0004091F"/>
    <w:p w:rsidR="008C36FC" w:rsidRPr="009448FC" w:rsidRDefault="007373B3" w:rsidP="0004091F">
      <w:r w:rsidRPr="009448FC">
        <w:t xml:space="preserve">Announce frames can </w:t>
      </w:r>
      <w:r w:rsidR="00D376C1" w:rsidRPr="009448FC">
        <w:t xml:space="preserve">be transmitted during the AT period of a BI and can </w:t>
      </w:r>
      <w:r w:rsidRPr="009448FC">
        <w:t>perform function</w:t>
      </w:r>
      <w:r w:rsidR="0082035A">
        <w:t>s including</w:t>
      </w:r>
      <w:r w:rsidRPr="009448FC">
        <w:t xml:space="preserve"> of a mmWave Beacon frame, </w:t>
      </w:r>
      <w:r w:rsidR="00D376C1" w:rsidRPr="009448FC">
        <w:t>but since this frame can be transmitted directionally to a STA it</w:t>
      </w:r>
      <w:r w:rsidRPr="009448FC">
        <w:t xml:space="preserve"> can provide a much more spectrally efficient access than using a mmWave Beacon frame.</w:t>
      </w:r>
    </w:p>
    <w:p w:rsidR="00967976" w:rsidRPr="009448FC" w:rsidRDefault="00967976" w:rsidP="0004091F"/>
    <w:p w:rsidR="008C36FC" w:rsidRPr="00066F65" w:rsidRDefault="008C36FC" w:rsidP="009448FC">
      <w:pPr>
        <w:pStyle w:val="Caption"/>
        <w:keepNext/>
      </w:pPr>
      <w:bookmarkStart w:id="835" w:name="_Ref214852786"/>
      <w:bookmarkStart w:id="836" w:name="_Toc225065779"/>
      <w:bookmarkStart w:id="837" w:name="_Toc250654425"/>
      <w:bookmarkStart w:id="838" w:name="_Toc259717604"/>
      <w:r w:rsidRPr="00066F65">
        <w:lastRenderedPageBreak/>
        <w:t>Table</w:t>
      </w:r>
      <w:r w:rsidR="00BF368F" w:rsidRPr="00066F65">
        <w:t xml:space="preserve"> </w:t>
      </w:r>
      <w:r w:rsidR="00BD151C">
        <w:fldChar w:fldCharType="begin"/>
      </w:r>
      <w:r w:rsidR="00801316">
        <w:instrText xml:space="preserve"> SEQ Table \* ARABIC </w:instrText>
      </w:r>
      <w:r w:rsidR="00BD151C">
        <w:fldChar w:fldCharType="separate"/>
      </w:r>
      <w:r w:rsidR="003E4210">
        <w:rPr>
          <w:noProof/>
        </w:rPr>
        <w:t>26</w:t>
      </w:r>
      <w:r w:rsidR="00BD151C">
        <w:fldChar w:fldCharType="end"/>
      </w:r>
      <w:bookmarkEnd w:id="835"/>
      <w:r w:rsidRPr="00066F65">
        <w:t xml:space="preserve"> </w:t>
      </w:r>
      <w:r w:rsidR="00F07751" w:rsidRPr="00066F65">
        <w:t xml:space="preserve">– </w:t>
      </w:r>
      <w:r w:rsidRPr="00066F65">
        <w:t>Announce</w:t>
      </w:r>
      <w:bookmarkEnd w:id="836"/>
      <w:bookmarkEnd w:id="837"/>
      <w:bookmarkEnd w:id="8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9236"/>
      </w:tblGrid>
      <w:tr w:rsidR="008C36FC" w:rsidRPr="00066F65" w:rsidTr="003C4898">
        <w:trPr>
          <w:jc w:val="center"/>
        </w:trPr>
        <w:tc>
          <w:tcPr>
            <w:tcW w:w="0" w:type="auto"/>
          </w:tcPr>
          <w:p w:rsidR="008C36FC" w:rsidRPr="009448FC" w:rsidRDefault="008C36FC" w:rsidP="00D0037C">
            <w:pPr>
              <w:jc w:val="both"/>
              <w:rPr>
                <w:rFonts w:eastAsia="SimSun"/>
                <w:b/>
              </w:rPr>
            </w:pPr>
            <w:r w:rsidRPr="009448FC">
              <w:rPr>
                <w:rFonts w:eastAsia="SimSun"/>
                <w:b/>
              </w:rPr>
              <w:t xml:space="preserve">Order </w:t>
            </w:r>
          </w:p>
        </w:tc>
        <w:tc>
          <w:tcPr>
            <w:tcW w:w="0" w:type="auto"/>
          </w:tcPr>
          <w:p w:rsidR="008C36FC" w:rsidRPr="009448FC" w:rsidRDefault="008C36FC" w:rsidP="00D0037C">
            <w:pPr>
              <w:jc w:val="both"/>
              <w:rPr>
                <w:rFonts w:eastAsia="SimSun"/>
                <w:b/>
              </w:rPr>
            </w:pPr>
            <w:r w:rsidRPr="009448FC">
              <w:rPr>
                <w:rFonts w:eastAsia="SimSun"/>
                <w:b/>
              </w:rPr>
              <w:t>Information</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1</w:t>
            </w:r>
          </w:p>
        </w:tc>
        <w:tc>
          <w:tcPr>
            <w:tcW w:w="0" w:type="auto"/>
          </w:tcPr>
          <w:p w:rsidR="008C36FC" w:rsidRPr="009448FC" w:rsidRDefault="008C36FC" w:rsidP="00D0037C">
            <w:pPr>
              <w:jc w:val="both"/>
              <w:rPr>
                <w:rFonts w:eastAsia="SimSun"/>
              </w:rPr>
            </w:pPr>
            <w:r w:rsidRPr="009448FC">
              <w:rPr>
                <w:rFonts w:eastAsia="SimSun"/>
              </w:rPr>
              <w:t>Category</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2</w:t>
            </w:r>
          </w:p>
        </w:tc>
        <w:tc>
          <w:tcPr>
            <w:tcW w:w="0" w:type="auto"/>
          </w:tcPr>
          <w:p w:rsidR="008C36FC" w:rsidRPr="009448FC" w:rsidRDefault="008C36FC" w:rsidP="00D0037C">
            <w:pPr>
              <w:jc w:val="both"/>
              <w:rPr>
                <w:rFonts w:eastAsia="SimSun"/>
              </w:rPr>
            </w:pPr>
            <w:r w:rsidRPr="009448FC">
              <w:rPr>
                <w:rFonts w:eastAsia="SimSun"/>
              </w:rPr>
              <w:t>Action</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3</w:t>
            </w:r>
          </w:p>
        </w:tc>
        <w:tc>
          <w:tcPr>
            <w:tcW w:w="0" w:type="auto"/>
          </w:tcPr>
          <w:p w:rsidR="008C36FC" w:rsidRPr="009448FC" w:rsidRDefault="008C36FC" w:rsidP="00D0037C">
            <w:pPr>
              <w:jc w:val="both"/>
              <w:rPr>
                <w:rFonts w:eastAsia="SimSun"/>
              </w:rPr>
            </w:pPr>
            <w:r w:rsidRPr="009448FC">
              <w:rPr>
                <w:rFonts w:eastAsia="SimSun"/>
              </w:rPr>
              <w:t>Timestamp</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4</w:t>
            </w:r>
          </w:p>
        </w:tc>
        <w:tc>
          <w:tcPr>
            <w:tcW w:w="0" w:type="auto"/>
          </w:tcPr>
          <w:p w:rsidR="008C36FC" w:rsidRPr="009448FC" w:rsidRDefault="008C36FC" w:rsidP="00D0037C">
            <w:pPr>
              <w:jc w:val="both"/>
              <w:rPr>
                <w:rFonts w:eastAsia="SimSun"/>
              </w:rPr>
            </w:pPr>
            <w:r w:rsidRPr="009448FC">
              <w:rPr>
                <w:rFonts w:eastAsia="SimSun"/>
              </w:rPr>
              <w:t>Beacon Interval</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5</w:t>
            </w:r>
          </w:p>
        </w:tc>
        <w:tc>
          <w:tcPr>
            <w:tcW w:w="0" w:type="auto"/>
          </w:tcPr>
          <w:p w:rsidR="008C36FC" w:rsidRPr="009448FC" w:rsidRDefault="008C36FC" w:rsidP="00D0037C">
            <w:pPr>
              <w:jc w:val="both"/>
              <w:rPr>
                <w:rFonts w:eastAsia="SimSun"/>
              </w:rPr>
            </w:pPr>
            <w:r w:rsidRPr="009448FC">
              <w:rPr>
                <w:rFonts w:eastAsia="SimSun"/>
              </w:rPr>
              <w:t>SSID (optional)</w:t>
            </w:r>
          </w:p>
        </w:tc>
      </w:tr>
      <w:tr w:rsidR="008C36FC" w:rsidRPr="00066F65" w:rsidTr="003C4898">
        <w:trPr>
          <w:jc w:val="center"/>
        </w:trPr>
        <w:tc>
          <w:tcPr>
            <w:tcW w:w="0" w:type="auto"/>
          </w:tcPr>
          <w:p w:rsidR="008C36FC" w:rsidRPr="009448FC" w:rsidRDefault="003C4898" w:rsidP="00D0037C">
            <w:pPr>
              <w:jc w:val="center"/>
              <w:rPr>
                <w:rFonts w:eastAsia="SimSun"/>
              </w:rPr>
            </w:pPr>
            <w:r>
              <w:rPr>
                <w:rFonts w:eastAsia="SimSun"/>
              </w:rPr>
              <w:t>Last - 1</w:t>
            </w:r>
          </w:p>
        </w:tc>
        <w:tc>
          <w:tcPr>
            <w:tcW w:w="0" w:type="auto"/>
          </w:tcPr>
          <w:p w:rsidR="008C36FC" w:rsidRPr="009448FC" w:rsidRDefault="003C4898" w:rsidP="00D0037C">
            <w:pPr>
              <w:jc w:val="both"/>
              <w:rPr>
                <w:rFonts w:eastAsia="SimSun"/>
              </w:rPr>
            </w:pPr>
            <w:r w:rsidRPr="00C3271C">
              <w:t xml:space="preserve">One or more </w:t>
            </w:r>
            <w:r w:rsidRPr="00D0037C">
              <w:rPr>
                <w:rFonts w:eastAsia="SimSun"/>
              </w:rPr>
              <w:t xml:space="preserve">resource and/or capability related </w:t>
            </w:r>
            <w:r w:rsidRPr="00C3271C">
              <w:t>information elements may appear in this frame. These information elements follow all other information elements that are not vendor-specific information elements and preced</w:t>
            </w:r>
            <w:r>
              <w:t>e</w:t>
            </w:r>
            <w:r w:rsidRPr="00C3271C">
              <w:t xml:space="preserve"> all other information elements that are vendor-specific information elements that are part of the Last field in the Action frame.</w:t>
            </w:r>
          </w:p>
        </w:tc>
      </w:tr>
    </w:tbl>
    <w:p w:rsidR="008C36FC" w:rsidRPr="003C4898" w:rsidRDefault="008C36FC" w:rsidP="0004091F"/>
    <w:p w:rsidR="00D376C1" w:rsidRPr="009448FC" w:rsidRDefault="00D376C1" w:rsidP="00D376C1">
      <w:r w:rsidRPr="009448FC">
        <w:t xml:space="preserve">The Category field is set to the category for mmWave,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D376C1" w:rsidRPr="009448FC" w:rsidRDefault="00D376C1" w:rsidP="00D376C1"/>
    <w:p w:rsidR="00D376C1" w:rsidRPr="009448FC" w:rsidRDefault="00D376C1" w:rsidP="00D376C1">
      <w:r w:rsidRPr="009448FC">
        <w:t xml:space="preserve">The Action field is set to the value corresponding to Announce specified in </w:t>
      </w:r>
      <w:r w:rsidR="00BD151C" w:rsidRPr="009448FC">
        <w:fldChar w:fldCharType="begin"/>
      </w:r>
      <w:r w:rsidRPr="009448FC">
        <w:instrText xml:space="preserve"> REF _Ref236378110 \h </w:instrText>
      </w:r>
      <w:r w:rsidR="00BD151C" w:rsidRPr="009448FC">
        <w:fldChar w:fldCharType="separate"/>
      </w:r>
      <w:r w:rsidR="003E4210" w:rsidRPr="00066F65">
        <w:t xml:space="preserve">Table </w:t>
      </w:r>
      <w:r w:rsidR="003E4210">
        <w:rPr>
          <w:noProof/>
        </w:rPr>
        <w:t>25</w:t>
      </w:r>
      <w:r w:rsidR="00BD151C" w:rsidRPr="009448FC">
        <w:fldChar w:fldCharType="end"/>
      </w:r>
      <w:r w:rsidRPr="009448FC">
        <w:t xml:space="preserve">. </w:t>
      </w:r>
    </w:p>
    <w:p w:rsidR="007373B3" w:rsidRPr="009448FC" w:rsidRDefault="007373B3" w:rsidP="0004091F">
      <w:pPr>
        <w:outlineLvl w:val="0"/>
      </w:pPr>
    </w:p>
    <w:p w:rsidR="00BD0474" w:rsidRPr="009448FC" w:rsidRDefault="00BD0474" w:rsidP="0004091F">
      <w:pPr>
        <w:outlineLvl w:val="0"/>
      </w:pPr>
      <w:r w:rsidRPr="009448FC">
        <w:t>Any number of information elements can be included within an Announce frame, including the Extended Schedule element.</w:t>
      </w:r>
    </w:p>
    <w:p w:rsidR="00BD0474" w:rsidRPr="009448FC" w:rsidRDefault="00BD0474" w:rsidP="0004091F">
      <w:pPr>
        <w:outlineLvl w:val="0"/>
      </w:pPr>
    </w:p>
    <w:p w:rsidR="008C36FC" w:rsidRPr="009448FC" w:rsidRDefault="008C36FC" w:rsidP="003701DB">
      <w:pPr>
        <w:pStyle w:val="Heading4"/>
        <w:numPr>
          <w:ilvl w:val="3"/>
          <w:numId w:val="27"/>
        </w:numPr>
      </w:pPr>
      <w:bookmarkStart w:id="839" w:name="_Toc235400288"/>
      <w:bookmarkStart w:id="840" w:name="_Toc259716972"/>
      <w:r w:rsidRPr="009448FC">
        <w:t>Power Save Configuration Request</w:t>
      </w:r>
      <w:bookmarkEnd w:id="839"/>
      <w:bookmarkEnd w:id="840"/>
    </w:p>
    <w:p w:rsidR="008C36FC" w:rsidRPr="009448FC" w:rsidRDefault="008C36FC" w:rsidP="00077165">
      <w:pPr>
        <w:tabs>
          <w:tab w:val="left" w:pos="1924"/>
        </w:tabs>
      </w:pPr>
      <w:r w:rsidRPr="009448FC">
        <w:t xml:space="preserve">The frame body of </w:t>
      </w:r>
      <w:r w:rsidR="00077165" w:rsidRPr="009448FC">
        <w:t xml:space="preserve">the </w:t>
      </w:r>
      <w:r w:rsidRPr="009448FC">
        <w:t xml:space="preserve">Power Save Configuration Request </w:t>
      </w:r>
      <w:r w:rsidR="00077165" w:rsidRPr="009448FC">
        <w:t xml:space="preserve">(PSC-REQ) frame </w:t>
      </w:r>
      <w:r w:rsidR="007A4BA6">
        <w:t>is</w:t>
      </w:r>
      <w:r w:rsidRPr="009448FC">
        <w:t xml:space="preserve"> shown in</w:t>
      </w:r>
      <w:r w:rsidR="00077165" w:rsidRPr="009448FC">
        <w:t xml:space="preserve"> </w:t>
      </w:r>
      <w:r w:rsidR="00BD151C" w:rsidRPr="009448FC">
        <w:fldChar w:fldCharType="begin"/>
      </w:r>
      <w:r w:rsidR="00077165" w:rsidRPr="009448FC">
        <w:instrText xml:space="preserve"> REF _Ref236545522 \h </w:instrText>
      </w:r>
      <w:r w:rsidR="00BD151C" w:rsidRPr="009448FC">
        <w:fldChar w:fldCharType="separate"/>
      </w:r>
      <w:r w:rsidR="003E4210" w:rsidRPr="00066F65">
        <w:t xml:space="preserve">Table </w:t>
      </w:r>
      <w:r w:rsidR="003E4210">
        <w:rPr>
          <w:noProof/>
        </w:rPr>
        <w:t>27</w:t>
      </w:r>
      <w:r w:rsidR="00BD151C" w:rsidRPr="009448FC">
        <w:fldChar w:fldCharType="end"/>
      </w:r>
      <w:r w:rsidRPr="009448FC">
        <w:t xml:space="preserve">. </w:t>
      </w:r>
    </w:p>
    <w:p w:rsidR="008C36FC" w:rsidRPr="009448FC" w:rsidRDefault="008C36FC" w:rsidP="00400B53">
      <w:pPr>
        <w:rPr>
          <w:b/>
        </w:rPr>
      </w:pPr>
    </w:p>
    <w:p w:rsidR="0089314B" w:rsidRPr="009448FC" w:rsidRDefault="0089314B" w:rsidP="00BA5BC4">
      <w:pPr>
        <w:pStyle w:val="Caption"/>
        <w:rPr>
          <w:b w:val="0"/>
        </w:rPr>
      </w:pPr>
      <w:bookmarkStart w:id="841" w:name="_Ref236545522"/>
      <w:bookmarkStart w:id="842" w:name="_Toc250654426"/>
      <w:bookmarkStart w:id="843" w:name="_Toc259717605"/>
      <w:r w:rsidRPr="00066F65">
        <w:t xml:space="preserve">Table </w:t>
      </w:r>
      <w:r w:rsidR="00BD151C">
        <w:fldChar w:fldCharType="begin"/>
      </w:r>
      <w:r w:rsidR="00801316">
        <w:instrText xml:space="preserve"> SEQ Table \* ARABIC </w:instrText>
      </w:r>
      <w:r w:rsidR="00BD151C">
        <w:fldChar w:fldCharType="separate"/>
      </w:r>
      <w:r w:rsidR="003E4210">
        <w:rPr>
          <w:noProof/>
        </w:rPr>
        <w:t>27</w:t>
      </w:r>
      <w:r w:rsidR="00BD151C">
        <w:fldChar w:fldCharType="end"/>
      </w:r>
      <w:bookmarkEnd w:id="841"/>
      <w:r w:rsidRPr="00066F65">
        <w:t xml:space="preserve"> – Power Save Configuration Request</w:t>
      </w:r>
      <w:bookmarkEnd w:id="842"/>
      <w:bookmarkEnd w:id="843"/>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856"/>
        <w:gridCol w:w="3782"/>
      </w:tblGrid>
      <w:tr w:rsidR="008C36FC" w:rsidRPr="00066F65" w:rsidTr="00D376C1">
        <w:trPr>
          <w:jc w:val="center"/>
        </w:trPr>
        <w:tc>
          <w:tcPr>
            <w:tcW w:w="0" w:type="auto"/>
          </w:tcPr>
          <w:p w:rsidR="008C36FC" w:rsidRPr="009448FC" w:rsidRDefault="008C36FC" w:rsidP="00077165">
            <w:pPr>
              <w:pStyle w:val="Table-Header"/>
              <w:snapToGrid w:val="0"/>
              <w:spacing w:before="0" w:after="0"/>
              <w:rPr>
                <w:sz w:val="24"/>
              </w:rPr>
            </w:pPr>
            <w:r w:rsidRPr="009448FC">
              <w:rPr>
                <w:sz w:val="24"/>
              </w:rPr>
              <w:t>Order</w:t>
            </w:r>
          </w:p>
        </w:tc>
        <w:tc>
          <w:tcPr>
            <w:tcW w:w="0" w:type="auto"/>
          </w:tcPr>
          <w:p w:rsidR="008C36FC" w:rsidRPr="009448FC" w:rsidRDefault="008C36FC" w:rsidP="00077165">
            <w:pPr>
              <w:pStyle w:val="Table-Header"/>
              <w:snapToGrid w:val="0"/>
              <w:spacing w:before="0" w:after="0"/>
              <w:rPr>
                <w:sz w:val="24"/>
              </w:rPr>
            </w:pPr>
            <w:r w:rsidRPr="009448FC">
              <w:rPr>
                <w:sz w:val="24"/>
              </w:rPr>
              <w:t>Information</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Power Management</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Wakeup Schedule </w:t>
            </w:r>
            <w:r w:rsidR="00F264C8" w:rsidRPr="009448FC">
              <w:rPr>
                <w:rFonts w:ascii="Times New Roman" w:hAnsi="Times New Roman"/>
                <w:sz w:val="24"/>
              </w:rPr>
              <w:t>element</w:t>
            </w:r>
            <w:r w:rsidRPr="009448FC">
              <w:rPr>
                <w:rFonts w:ascii="Times New Roman" w:hAnsi="Times New Roman"/>
                <w:sz w:val="24"/>
              </w:rPr>
              <w:t xml:space="preserve"> (optional)</w:t>
            </w:r>
          </w:p>
        </w:tc>
      </w:tr>
    </w:tbl>
    <w:p w:rsidR="00077165" w:rsidRPr="009448FC" w:rsidRDefault="00077165" w:rsidP="007A606B">
      <w:pPr>
        <w:tabs>
          <w:tab w:val="left" w:pos="1924"/>
        </w:tabs>
      </w:pPr>
    </w:p>
    <w:p w:rsidR="00077165" w:rsidRPr="009448FC" w:rsidRDefault="00077165" w:rsidP="00077165">
      <w:r w:rsidRPr="009448FC">
        <w:t xml:space="preserve">The Category field is set to the category for mmWave,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077165" w:rsidRPr="009448FC" w:rsidRDefault="00077165" w:rsidP="00077165"/>
    <w:p w:rsidR="00077165" w:rsidRPr="009448FC" w:rsidRDefault="00077165" w:rsidP="00077165">
      <w:r w:rsidRPr="009448FC">
        <w:t xml:space="preserve">The Action field is set to the value corresponding to Power Save Configuration Request specified in </w:t>
      </w:r>
      <w:r w:rsidR="00BD151C" w:rsidRPr="009448FC">
        <w:fldChar w:fldCharType="begin"/>
      </w:r>
      <w:r w:rsidRPr="009448FC">
        <w:instrText xml:space="preserve"> REF _Ref236378110 \h </w:instrText>
      </w:r>
      <w:r w:rsidR="00BD151C" w:rsidRPr="009448FC">
        <w:fldChar w:fldCharType="separate"/>
      </w:r>
      <w:r w:rsidR="003E4210" w:rsidRPr="00066F65">
        <w:t xml:space="preserve">Table </w:t>
      </w:r>
      <w:r w:rsidR="003E4210">
        <w:rPr>
          <w:noProof/>
        </w:rPr>
        <w:t>25</w:t>
      </w:r>
      <w:r w:rsidR="00BD151C" w:rsidRPr="009448FC">
        <w:fldChar w:fldCharType="end"/>
      </w:r>
      <w:r w:rsidRPr="009448FC">
        <w:t xml:space="preserve">. </w:t>
      </w:r>
    </w:p>
    <w:p w:rsidR="00077165" w:rsidRPr="009448FC" w:rsidRDefault="00077165" w:rsidP="007A606B">
      <w:pPr>
        <w:tabs>
          <w:tab w:val="left" w:pos="1924"/>
        </w:tabs>
      </w:pPr>
    </w:p>
    <w:p w:rsidR="007A606B" w:rsidRPr="009448FC" w:rsidRDefault="007A606B" w:rsidP="007A606B">
      <w:pPr>
        <w:tabs>
          <w:tab w:val="left" w:pos="1924"/>
        </w:tabs>
      </w:pPr>
      <w:r w:rsidRPr="009448FC">
        <w:t>The length of the Power Management (PM) field is one octet. Setting the PM field to 0 indicates a transition from power save mode to active mode. Setting the PM field to 1 indicates a transition from active mode to power save mode. All other values are reserved.</w:t>
      </w:r>
    </w:p>
    <w:p w:rsidR="007A606B" w:rsidRPr="009448FC" w:rsidRDefault="007A606B" w:rsidP="007A606B">
      <w:pPr>
        <w:tabs>
          <w:tab w:val="left" w:pos="1924"/>
        </w:tabs>
      </w:pPr>
    </w:p>
    <w:p w:rsidR="007A606B" w:rsidRPr="009448FC" w:rsidRDefault="003420C3" w:rsidP="003420C3">
      <w:pPr>
        <w:tabs>
          <w:tab w:val="left" w:pos="1924"/>
        </w:tabs>
      </w:pPr>
      <w:r w:rsidRPr="009448FC">
        <w:t xml:space="preserve">The Wakeup Schedule is defined in </w:t>
      </w:r>
      <w:r w:rsidR="00BD151C" w:rsidRPr="009448FC">
        <w:fldChar w:fldCharType="begin"/>
      </w:r>
      <w:r w:rsidRPr="009448FC">
        <w:instrText xml:space="preserve"> REF _Ref244246247 \n \h </w:instrText>
      </w:r>
      <w:r w:rsidR="00BD151C" w:rsidRPr="009448FC">
        <w:fldChar w:fldCharType="separate"/>
      </w:r>
      <w:r w:rsidR="003E4210">
        <w:t>7.3.2.94</w:t>
      </w:r>
      <w:r w:rsidR="00BD151C" w:rsidRPr="009448FC">
        <w:fldChar w:fldCharType="end"/>
      </w:r>
      <w:r w:rsidRPr="009448FC">
        <w:t xml:space="preserve"> </w:t>
      </w:r>
      <w:r w:rsidR="00BD151C" w:rsidRPr="009448FC">
        <w:fldChar w:fldCharType="begin"/>
      </w:r>
      <w:r w:rsidRPr="009448FC">
        <w:instrText xml:space="preserve"> REF _Ref244246260 \h </w:instrText>
      </w:r>
      <w:r w:rsidR="00BD151C" w:rsidRPr="009448FC">
        <w:fldChar w:fldCharType="separate"/>
      </w:r>
      <w:r w:rsidR="003E4210" w:rsidRPr="009448FC">
        <w:t>Wakeup Schedule element</w:t>
      </w:r>
      <w:r w:rsidR="00BD151C" w:rsidRPr="009448FC">
        <w:fldChar w:fldCharType="end"/>
      </w:r>
      <w:r w:rsidR="00D376C1" w:rsidRPr="009448FC">
        <w:t>.</w:t>
      </w:r>
    </w:p>
    <w:p w:rsidR="007A606B" w:rsidRPr="009448FC" w:rsidRDefault="007A606B" w:rsidP="00400B53">
      <w:pPr>
        <w:rPr>
          <w:b/>
        </w:rPr>
      </w:pPr>
    </w:p>
    <w:p w:rsidR="008C36FC" w:rsidRPr="009448FC" w:rsidRDefault="008C36FC" w:rsidP="003701DB">
      <w:pPr>
        <w:pStyle w:val="Heading4"/>
        <w:numPr>
          <w:ilvl w:val="3"/>
          <w:numId w:val="27"/>
        </w:numPr>
      </w:pPr>
      <w:bookmarkStart w:id="844" w:name="_Toc235400289"/>
      <w:bookmarkStart w:id="845" w:name="_Toc259716973"/>
      <w:r w:rsidRPr="009448FC">
        <w:t>Power Save Configuration Response</w:t>
      </w:r>
      <w:bookmarkEnd w:id="844"/>
      <w:bookmarkEnd w:id="845"/>
    </w:p>
    <w:p w:rsidR="008C36FC" w:rsidRPr="009448FC" w:rsidRDefault="008C36FC" w:rsidP="00077165">
      <w:pPr>
        <w:tabs>
          <w:tab w:val="left" w:pos="1924"/>
        </w:tabs>
      </w:pPr>
      <w:r w:rsidRPr="009448FC">
        <w:t xml:space="preserve">The frame body of </w:t>
      </w:r>
      <w:r w:rsidR="00077165" w:rsidRPr="009448FC">
        <w:t xml:space="preserve">the </w:t>
      </w:r>
      <w:r w:rsidRPr="009448FC">
        <w:t xml:space="preserve">Power </w:t>
      </w:r>
      <w:r w:rsidR="00224CE7" w:rsidRPr="009448FC">
        <w:t xml:space="preserve">Save Configuration Response </w:t>
      </w:r>
      <w:r w:rsidR="00C54D46" w:rsidRPr="009448FC">
        <w:t>(PSC-RSP)</w:t>
      </w:r>
      <w:r w:rsidRPr="009448FC">
        <w:t xml:space="preserve"> </w:t>
      </w:r>
      <w:r w:rsidR="00077165" w:rsidRPr="009448FC">
        <w:t xml:space="preserve">frame </w:t>
      </w:r>
      <w:r w:rsidR="007A4BA6">
        <w:t>is</w:t>
      </w:r>
      <w:r w:rsidRPr="009448FC">
        <w:t xml:space="preserve"> shown in</w:t>
      </w:r>
      <w:r w:rsidR="00077165" w:rsidRPr="009448FC">
        <w:t xml:space="preserve"> </w:t>
      </w:r>
      <w:r w:rsidR="00BD151C" w:rsidRPr="009448FC">
        <w:fldChar w:fldCharType="begin"/>
      </w:r>
      <w:r w:rsidR="00077165" w:rsidRPr="009448FC">
        <w:instrText xml:space="preserve"> REF _Ref236545435 \h </w:instrText>
      </w:r>
      <w:r w:rsidR="00BD151C" w:rsidRPr="009448FC">
        <w:fldChar w:fldCharType="separate"/>
      </w:r>
      <w:r w:rsidR="003E4210" w:rsidRPr="00066F65">
        <w:t xml:space="preserve">Table </w:t>
      </w:r>
      <w:r w:rsidR="003E4210">
        <w:rPr>
          <w:noProof/>
        </w:rPr>
        <w:t>28</w:t>
      </w:r>
      <w:r w:rsidR="00BD151C" w:rsidRPr="009448FC">
        <w:fldChar w:fldCharType="end"/>
      </w:r>
      <w:r w:rsidRPr="009448FC">
        <w:t xml:space="preserve">. </w:t>
      </w:r>
    </w:p>
    <w:p w:rsidR="00CC1E32" w:rsidRPr="009448FC" w:rsidRDefault="00CC1E32" w:rsidP="00400B53">
      <w:pPr>
        <w:tabs>
          <w:tab w:val="left" w:pos="1924"/>
        </w:tabs>
      </w:pPr>
    </w:p>
    <w:p w:rsidR="00CC1E32" w:rsidRPr="009448FC" w:rsidRDefault="00CC1E32" w:rsidP="00BA5BC4">
      <w:pPr>
        <w:pStyle w:val="Caption"/>
        <w:rPr>
          <w:b w:val="0"/>
        </w:rPr>
      </w:pPr>
      <w:bookmarkStart w:id="846" w:name="_Ref236545435"/>
      <w:bookmarkStart w:id="847" w:name="_Toc250654427"/>
      <w:bookmarkStart w:id="848" w:name="_Toc259717606"/>
      <w:r w:rsidRPr="00066F65">
        <w:lastRenderedPageBreak/>
        <w:t xml:space="preserve">Table </w:t>
      </w:r>
      <w:r w:rsidR="00BD151C">
        <w:fldChar w:fldCharType="begin"/>
      </w:r>
      <w:r w:rsidR="00801316">
        <w:instrText xml:space="preserve"> SEQ Table \* ARABIC </w:instrText>
      </w:r>
      <w:r w:rsidR="00BD151C">
        <w:fldChar w:fldCharType="separate"/>
      </w:r>
      <w:r w:rsidR="003E4210">
        <w:rPr>
          <w:noProof/>
        </w:rPr>
        <w:t>28</w:t>
      </w:r>
      <w:r w:rsidR="00BD151C">
        <w:fldChar w:fldCharType="end"/>
      </w:r>
      <w:bookmarkEnd w:id="846"/>
      <w:r w:rsidRPr="00066F65">
        <w:t xml:space="preserve"> – Power Save Configuration Response</w:t>
      </w:r>
      <w:bookmarkEnd w:id="847"/>
      <w:bookmarkEnd w:id="848"/>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856"/>
        <w:gridCol w:w="3782"/>
      </w:tblGrid>
      <w:tr w:rsidR="008C36FC" w:rsidRPr="00066F65" w:rsidTr="00BD0474">
        <w:trPr>
          <w:jc w:val="center"/>
        </w:trPr>
        <w:tc>
          <w:tcPr>
            <w:tcW w:w="0" w:type="auto"/>
          </w:tcPr>
          <w:p w:rsidR="008C36FC" w:rsidRPr="009448FC" w:rsidRDefault="008C36FC" w:rsidP="00077165">
            <w:pPr>
              <w:pStyle w:val="Table-Header"/>
              <w:snapToGrid w:val="0"/>
              <w:spacing w:before="0" w:after="0"/>
              <w:rPr>
                <w:sz w:val="24"/>
              </w:rPr>
            </w:pPr>
            <w:r w:rsidRPr="009448FC">
              <w:rPr>
                <w:sz w:val="24"/>
              </w:rPr>
              <w:t>Order</w:t>
            </w:r>
          </w:p>
        </w:tc>
        <w:tc>
          <w:tcPr>
            <w:tcW w:w="0" w:type="auto"/>
          </w:tcPr>
          <w:p w:rsidR="008C36FC" w:rsidRPr="009448FC" w:rsidRDefault="008C36FC" w:rsidP="00077165">
            <w:pPr>
              <w:pStyle w:val="Table-Header"/>
              <w:snapToGrid w:val="0"/>
              <w:spacing w:before="0" w:after="0"/>
              <w:rPr>
                <w:sz w:val="24"/>
              </w:rPr>
            </w:pPr>
            <w:r w:rsidRPr="009448FC">
              <w:rPr>
                <w:sz w:val="24"/>
              </w:rPr>
              <w:t>Information</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Status Code</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Wakeup Schedule </w:t>
            </w:r>
            <w:r w:rsidR="00F264C8" w:rsidRPr="009448FC">
              <w:rPr>
                <w:rFonts w:ascii="Times New Roman" w:hAnsi="Times New Roman"/>
                <w:sz w:val="24"/>
              </w:rPr>
              <w:t>element</w:t>
            </w:r>
            <w:r w:rsidRPr="009448FC">
              <w:rPr>
                <w:rFonts w:ascii="Times New Roman" w:hAnsi="Times New Roman"/>
                <w:sz w:val="24"/>
              </w:rPr>
              <w:t xml:space="preserve"> (optional)</w:t>
            </w:r>
          </w:p>
        </w:tc>
      </w:tr>
    </w:tbl>
    <w:p w:rsidR="008C36FC" w:rsidRPr="009448FC" w:rsidRDefault="008C36FC" w:rsidP="00C03515"/>
    <w:p w:rsidR="00077165" w:rsidRPr="009448FC" w:rsidRDefault="00077165" w:rsidP="00077165">
      <w:r w:rsidRPr="009448FC">
        <w:t xml:space="preserve">The Category field is set to the category for mmWave,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077165" w:rsidRPr="009448FC" w:rsidRDefault="00077165" w:rsidP="00077165"/>
    <w:p w:rsidR="00077165" w:rsidRPr="009448FC" w:rsidRDefault="00077165" w:rsidP="00077165">
      <w:r w:rsidRPr="009448FC">
        <w:t xml:space="preserve">The Action field is set to the value corresponding to Power Save Configuration Response 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9448FC">
        <w:t xml:space="preserve">. </w:t>
      </w:r>
    </w:p>
    <w:p w:rsidR="00077165" w:rsidRDefault="00077165" w:rsidP="00C03515"/>
    <w:p w:rsidR="007A4BA6" w:rsidRDefault="007A4BA6" w:rsidP="00C03515">
      <w:r>
        <w:t xml:space="preserve">The Status Code field is defined in </w:t>
      </w:r>
      <w:r w:rsidR="00BD151C">
        <w:fldChar w:fldCharType="begin"/>
      </w:r>
      <w:r>
        <w:instrText xml:space="preserve"> REF _Ref251929235 \r \h </w:instrText>
      </w:r>
      <w:r w:rsidR="00BD151C">
        <w:fldChar w:fldCharType="separate"/>
      </w:r>
      <w:r w:rsidR="003E4210">
        <w:t>7.3.1.9</w:t>
      </w:r>
      <w:r w:rsidR="00BD151C">
        <w:fldChar w:fldCharType="end"/>
      </w:r>
      <w:r>
        <w:t>.</w:t>
      </w:r>
    </w:p>
    <w:p w:rsidR="007A4BA6" w:rsidRDefault="007A4BA6" w:rsidP="00C03515"/>
    <w:p w:rsidR="007A4BA6" w:rsidRPr="009448FC" w:rsidRDefault="007A4BA6" w:rsidP="007A4BA6">
      <w:pPr>
        <w:tabs>
          <w:tab w:val="left" w:pos="1924"/>
        </w:tabs>
      </w:pPr>
      <w:r w:rsidRPr="009448FC">
        <w:t xml:space="preserve">The Wakeup Schedule is defined in </w:t>
      </w:r>
      <w:r w:rsidR="00BD151C" w:rsidRPr="009448FC">
        <w:fldChar w:fldCharType="begin"/>
      </w:r>
      <w:r w:rsidRPr="009448FC">
        <w:instrText xml:space="preserve"> REF _Ref244246247 \n \h </w:instrText>
      </w:r>
      <w:r w:rsidR="00BD151C" w:rsidRPr="009448FC">
        <w:fldChar w:fldCharType="separate"/>
      </w:r>
      <w:r w:rsidR="003E4210">
        <w:t>7.3.2.94</w:t>
      </w:r>
      <w:r w:rsidR="00BD151C" w:rsidRPr="009448FC">
        <w:fldChar w:fldCharType="end"/>
      </w:r>
      <w:r w:rsidRPr="009448FC">
        <w:t xml:space="preserve"> </w:t>
      </w:r>
      <w:r w:rsidR="00BD151C" w:rsidRPr="009448FC">
        <w:fldChar w:fldCharType="begin"/>
      </w:r>
      <w:r w:rsidRPr="009448FC">
        <w:instrText xml:space="preserve"> REF _Ref244246260 \h </w:instrText>
      </w:r>
      <w:r w:rsidR="00BD151C" w:rsidRPr="009448FC">
        <w:fldChar w:fldCharType="separate"/>
      </w:r>
      <w:r w:rsidR="003E4210" w:rsidRPr="009448FC">
        <w:t>Wakeup Schedule element</w:t>
      </w:r>
      <w:r w:rsidR="00BD151C" w:rsidRPr="009448FC">
        <w:fldChar w:fldCharType="end"/>
      </w:r>
      <w:r w:rsidRPr="009448FC">
        <w:t>.</w:t>
      </w:r>
    </w:p>
    <w:p w:rsidR="007A4BA6" w:rsidRPr="009448FC" w:rsidRDefault="007A4BA6" w:rsidP="00C03515"/>
    <w:p w:rsidR="008C36FC" w:rsidRPr="009448FC" w:rsidRDefault="008C36FC" w:rsidP="003701DB">
      <w:pPr>
        <w:pStyle w:val="Heading4"/>
        <w:numPr>
          <w:ilvl w:val="3"/>
          <w:numId w:val="27"/>
        </w:numPr>
      </w:pPr>
      <w:bookmarkStart w:id="849" w:name="_Toc235400290"/>
      <w:bookmarkStart w:id="850" w:name="_Ref243816779"/>
      <w:bookmarkStart w:id="851" w:name="_Toc259716974"/>
      <w:r w:rsidRPr="009448FC">
        <w:t>Information Request</w:t>
      </w:r>
      <w:bookmarkEnd w:id="849"/>
      <w:bookmarkEnd w:id="850"/>
      <w:bookmarkEnd w:id="851"/>
    </w:p>
    <w:p w:rsidR="008C36FC" w:rsidRPr="009448FC" w:rsidRDefault="008C36FC" w:rsidP="00320D1E">
      <w:pPr>
        <w:jc w:val="both"/>
      </w:pPr>
      <w:r w:rsidRPr="009448FC">
        <w:t>The Information Request frame is an Action frame of category mmWave. The format of the frame body of a Information Request is shown in</w:t>
      </w:r>
      <w:r w:rsidR="00077165" w:rsidRPr="009448FC">
        <w:t xml:space="preserve"> </w:t>
      </w:r>
      <w:r w:rsidR="00BD151C">
        <w:fldChar w:fldCharType="begin"/>
      </w:r>
      <w:r w:rsidR="00077165">
        <w:instrText xml:space="preserve"> REF _Ref236545581 \h </w:instrText>
      </w:r>
      <w:r w:rsidR="00BD151C">
        <w:fldChar w:fldCharType="separate"/>
      </w:r>
      <w:r w:rsidR="003E4210" w:rsidRPr="00066F65">
        <w:t xml:space="preserve">Table </w:t>
      </w:r>
      <w:r w:rsidR="003E4210">
        <w:rPr>
          <w:noProof/>
        </w:rPr>
        <w:t>29</w:t>
      </w:r>
      <w:r w:rsidR="00BD151C">
        <w:fldChar w:fldCharType="end"/>
      </w:r>
      <w:r w:rsidRPr="009448FC">
        <w:t>.</w:t>
      </w:r>
    </w:p>
    <w:p w:rsidR="008C36FC" w:rsidRPr="009448FC" w:rsidRDefault="008C36FC" w:rsidP="0004091F"/>
    <w:p w:rsidR="008C36FC" w:rsidRPr="00066F65" w:rsidRDefault="008C36FC" w:rsidP="009448FC">
      <w:pPr>
        <w:pStyle w:val="Caption"/>
        <w:keepNext/>
      </w:pPr>
      <w:bookmarkStart w:id="852" w:name="_Ref236545581"/>
      <w:bookmarkStart w:id="853" w:name="_Toc225065782"/>
      <w:bookmarkStart w:id="854" w:name="_Toc250654428"/>
      <w:bookmarkStart w:id="855" w:name="_Toc259717607"/>
      <w:r w:rsidRPr="00066F65">
        <w:t>Table</w:t>
      </w:r>
      <w:r w:rsidR="00320D1E" w:rsidRPr="00066F65">
        <w:t xml:space="preserve"> </w:t>
      </w:r>
      <w:r w:rsidR="00BD151C">
        <w:fldChar w:fldCharType="begin"/>
      </w:r>
      <w:r w:rsidR="00801316">
        <w:instrText xml:space="preserve"> SEQ Table \* ARABIC </w:instrText>
      </w:r>
      <w:r w:rsidR="00BD151C">
        <w:fldChar w:fldCharType="separate"/>
      </w:r>
      <w:r w:rsidR="003E4210">
        <w:rPr>
          <w:noProof/>
        </w:rPr>
        <w:t>29</w:t>
      </w:r>
      <w:r w:rsidR="00BD151C">
        <w:fldChar w:fldCharType="end"/>
      </w:r>
      <w:bookmarkEnd w:id="852"/>
      <w:r w:rsidRPr="00066F65">
        <w:t xml:space="preserve"> – Information Request frame</w:t>
      </w:r>
      <w:bookmarkEnd w:id="853"/>
      <w:bookmarkEnd w:id="854"/>
      <w:bookmarkEnd w:id="8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8C36FC" w:rsidRPr="00066F65" w:rsidTr="00D0037C">
        <w:trPr>
          <w:jc w:val="center"/>
        </w:trPr>
        <w:tc>
          <w:tcPr>
            <w:tcW w:w="1035" w:type="dxa"/>
          </w:tcPr>
          <w:p w:rsidR="008C36FC" w:rsidRPr="009448FC" w:rsidRDefault="008C36FC" w:rsidP="00D0037C">
            <w:pPr>
              <w:jc w:val="both"/>
              <w:rPr>
                <w:rFonts w:eastAsia="SimSun"/>
                <w:b/>
              </w:rPr>
            </w:pPr>
            <w:r w:rsidRPr="009448FC">
              <w:rPr>
                <w:rFonts w:eastAsia="SimSun"/>
                <w:b/>
              </w:rPr>
              <w:t xml:space="preserve">Order </w:t>
            </w:r>
          </w:p>
        </w:tc>
        <w:tc>
          <w:tcPr>
            <w:tcW w:w="4788" w:type="dxa"/>
          </w:tcPr>
          <w:p w:rsidR="008C36FC" w:rsidRPr="009448FC" w:rsidRDefault="008C36FC" w:rsidP="00D0037C">
            <w:pPr>
              <w:jc w:val="both"/>
              <w:rPr>
                <w:rFonts w:eastAsia="SimSun"/>
                <w:b/>
              </w:rPr>
            </w:pPr>
            <w:r w:rsidRPr="009448FC">
              <w:rPr>
                <w:rFonts w:eastAsia="SimSun"/>
                <w:b/>
              </w:rPr>
              <w:t>Information</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1</w:t>
            </w:r>
          </w:p>
        </w:tc>
        <w:tc>
          <w:tcPr>
            <w:tcW w:w="4788" w:type="dxa"/>
          </w:tcPr>
          <w:p w:rsidR="008C36FC" w:rsidRPr="009448FC" w:rsidRDefault="008C36FC" w:rsidP="00D0037C">
            <w:pPr>
              <w:jc w:val="both"/>
              <w:rPr>
                <w:rFonts w:eastAsia="SimSun"/>
              </w:rPr>
            </w:pPr>
            <w:r w:rsidRPr="009448FC">
              <w:rPr>
                <w:rFonts w:eastAsia="SimSun"/>
              </w:rPr>
              <w:t>Category</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2</w:t>
            </w:r>
          </w:p>
        </w:tc>
        <w:tc>
          <w:tcPr>
            <w:tcW w:w="4788" w:type="dxa"/>
          </w:tcPr>
          <w:p w:rsidR="008C36FC" w:rsidRPr="009448FC" w:rsidRDefault="008C36FC" w:rsidP="00D0037C">
            <w:pPr>
              <w:jc w:val="both"/>
              <w:rPr>
                <w:rFonts w:eastAsia="SimSun"/>
              </w:rPr>
            </w:pPr>
            <w:r w:rsidRPr="009448FC">
              <w:rPr>
                <w:rFonts w:eastAsia="SimSun"/>
              </w:rPr>
              <w:t>Action</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3</w:t>
            </w:r>
          </w:p>
        </w:tc>
        <w:tc>
          <w:tcPr>
            <w:tcW w:w="4788" w:type="dxa"/>
          </w:tcPr>
          <w:p w:rsidR="008C36FC" w:rsidRPr="009448FC" w:rsidRDefault="008C36FC" w:rsidP="00D0037C">
            <w:pPr>
              <w:jc w:val="both"/>
              <w:rPr>
                <w:rFonts w:eastAsia="SimSun"/>
              </w:rPr>
            </w:pPr>
            <w:r w:rsidRPr="009448FC">
              <w:rPr>
                <w:rFonts w:eastAsia="SimSun"/>
              </w:rPr>
              <w:t>Target Address</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4</w:t>
            </w:r>
          </w:p>
        </w:tc>
        <w:tc>
          <w:tcPr>
            <w:tcW w:w="4788" w:type="dxa"/>
          </w:tcPr>
          <w:p w:rsidR="008C36FC" w:rsidRPr="009448FC" w:rsidRDefault="008C36FC" w:rsidP="00D0037C">
            <w:pPr>
              <w:jc w:val="both"/>
              <w:rPr>
                <w:rFonts w:eastAsia="SimSun"/>
              </w:rPr>
            </w:pPr>
            <w:r w:rsidRPr="009448FC">
              <w:rPr>
                <w:rFonts w:eastAsia="SimSun"/>
              </w:rPr>
              <w:t xml:space="preserve">Request </w:t>
            </w:r>
            <w:r w:rsidR="00F264C8" w:rsidRPr="009448FC">
              <w:rPr>
                <w:rFonts w:eastAsia="SimSun"/>
              </w:rPr>
              <w:t>element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5</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1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N+4</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N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N+5</w:t>
            </w:r>
          </w:p>
        </w:tc>
        <w:tc>
          <w:tcPr>
            <w:tcW w:w="4788" w:type="dxa"/>
          </w:tcPr>
          <w:p w:rsidR="008C36FC" w:rsidRPr="009448FC" w:rsidRDefault="006454B5" w:rsidP="00D0037C">
            <w:pPr>
              <w:jc w:val="both"/>
              <w:rPr>
                <w:rFonts w:eastAsia="SimSun"/>
              </w:rPr>
            </w:pPr>
            <w:r w:rsidRPr="009448FC">
              <w:rPr>
                <w:rFonts w:eastAsia="SimSun"/>
              </w:rPr>
              <w:t>IE</w:t>
            </w:r>
            <w:r w:rsidR="008C36FC" w:rsidRPr="009448FC">
              <w:rPr>
                <w:rFonts w:eastAsia="SimSun"/>
              </w:rPr>
              <w:t xml:space="preserve"> Provided 1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4+N+M</w:t>
            </w:r>
          </w:p>
        </w:tc>
        <w:tc>
          <w:tcPr>
            <w:tcW w:w="4788" w:type="dxa"/>
          </w:tcPr>
          <w:p w:rsidR="008C36FC" w:rsidRPr="009448FC" w:rsidRDefault="008C36FC" w:rsidP="00D0037C">
            <w:pPr>
              <w:jc w:val="both"/>
              <w:rPr>
                <w:rFonts w:eastAsia="SimSun"/>
              </w:rPr>
            </w:pPr>
            <w:r w:rsidRPr="009448FC">
              <w:rPr>
                <w:rFonts w:eastAsia="SimSun"/>
              </w:rPr>
              <w:t>IE Provided M (optional)</w:t>
            </w:r>
          </w:p>
        </w:tc>
      </w:tr>
    </w:tbl>
    <w:p w:rsidR="008C36FC" w:rsidRPr="009448FC" w:rsidRDefault="008C36FC" w:rsidP="0004091F"/>
    <w:p w:rsidR="008C36FC" w:rsidRPr="009448FC" w:rsidRDefault="008C36FC" w:rsidP="00A82C45">
      <w:r w:rsidRPr="009448FC">
        <w:t xml:space="preserve">The Category field is set to the category for mmWave, specified in </w:t>
      </w:r>
      <w:r w:rsidR="00BD151C">
        <w:fldChar w:fldCharType="begin"/>
      </w:r>
      <w:r w:rsidR="00A82C45">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8C36FC" w:rsidRPr="009448FC" w:rsidRDefault="008C36FC" w:rsidP="0004091F"/>
    <w:p w:rsidR="008C36FC" w:rsidRPr="009448FC" w:rsidRDefault="008C36FC" w:rsidP="00A82C45">
      <w:r w:rsidRPr="009448FC">
        <w:t xml:space="preserve">The Action field is set to the value for Information Request, specified in </w:t>
      </w:r>
      <w:r w:rsidR="00BD151C">
        <w:fldChar w:fldCharType="begin"/>
      </w:r>
      <w:r w:rsidR="00A82C45">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9448FC">
        <w:t>.</w:t>
      </w:r>
    </w:p>
    <w:p w:rsidR="008C36FC" w:rsidRPr="009448FC" w:rsidRDefault="008C36FC" w:rsidP="0004091F"/>
    <w:p w:rsidR="008C36FC" w:rsidRPr="009448FC" w:rsidRDefault="008C36FC" w:rsidP="0004091F">
      <w:pPr>
        <w:jc w:val="both"/>
      </w:pPr>
      <w:r w:rsidRPr="009448FC">
        <w:t>The Target Address field contains the MAC address of the STA whose information is being requested. If this frame is sent to the PCP and the value of the Target Address field is the broadcast address, then the STA is requesting information regarding all associated STAs.</w:t>
      </w:r>
    </w:p>
    <w:p w:rsidR="008C36FC" w:rsidRPr="009448FC" w:rsidRDefault="008C36FC" w:rsidP="0004091F"/>
    <w:p w:rsidR="008C36FC" w:rsidRPr="009448FC" w:rsidRDefault="008C36FC" w:rsidP="0004091F">
      <w:r w:rsidRPr="009448FC">
        <w:t>The Request IE field is described in 7.3.2.12.</w:t>
      </w:r>
    </w:p>
    <w:p w:rsidR="008C36FC" w:rsidRPr="009448FC" w:rsidRDefault="008C36FC" w:rsidP="0004091F"/>
    <w:p w:rsidR="008C36FC" w:rsidRPr="009448FC" w:rsidRDefault="008C36FC" w:rsidP="00FD3DF3">
      <w:r w:rsidRPr="009448FC">
        <w:lastRenderedPageBreak/>
        <w:t xml:space="preserve">The </w:t>
      </w:r>
      <w:r w:rsidR="00250360" w:rsidRPr="009448FC">
        <w:t xml:space="preserve">mmWave </w:t>
      </w:r>
      <w:r w:rsidR="00B910DA" w:rsidRPr="009448FC">
        <w:t>Capabilities</w:t>
      </w:r>
      <w:r w:rsidRPr="009448FC">
        <w:t xml:space="preserve"> </w:t>
      </w:r>
      <w:r w:rsidR="006454B5" w:rsidRPr="009448FC">
        <w:t>element</w:t>
      </w:r>
      <w:r w:rsidR="00AA67D5" w:rsidRPr="009448FC">
        <w:t xml:space="preserve"> </w:t>
      </w:r>
      <w:r w:rsidRPr="009448FC">
        <w:t xml:space="preserve">carries information about the </w:t>
      </w:r>
      <w:r w:rsidR="00771E22">
        <w:t>transmitter</w:t>
      </w:r>
      <w:r w:rsidRPr="009448FC">
        <w:t xml:space="preserve"> STA and other STAs known to the </w:t>
      </w:r>
      <w:r w:rsidR="00771E22">
        <w:t>transmitter</w:t>
      </w:r>
      <w:r w:rsidRPr="009448FC">
        <w:t xml:space="preserve"> STA. The format of this </w:t>
      </w:r>
      <w:r w:rsidR="00250360" w:rsidRPr="009448FC">
        <w:t xml:space="preserve">element </w:t>
      </w:r>
      <w:r w:rsidRPr="009448FC">
        <w:t xml:space="preserve">is </w:t>
      </w:r>
      <w:r w:rsidR="00FD3DF3" w:rsidRPr="009448FC">
        <w:t xml:space="preserve">defined in </w:t>
      </w:r>
      <w:r w:rsidR="00BD151C" w:rsidRPr="009448FC">
        <w:fldChar w:fldCharType="begin"/>
      </w:r>
      <w:r w:rsidR="00FD3DF3" w:rsidRPr="009448FC">
        <w:instrText xml:space="preserve"> REF _Ref244246774 \h </w:instrText>
      </w:r>
      <w:r w:rsidR="00BD151C" w:rsidRPr="009448FC">
        <w:fldChar w:fldCharType="separate"/>
      </w:r>
      <w:r w:rsidR="003E4210" w:rsidRPr="009448FC">
        <w:t>mmWave Capabilities element</w:t>
      </w:r>
      <w:r w:rsidR="00BD151C" w:rsidRPr="009448FC">
        <w:fldChar w:fldCharType="end"/>
      </w:r>
      <w:r w:rsidR="00C86599" w:rsidRPr="009448FC">
        <w:t xml:space="preserve"> </w:t>
      </w:r>
      <w:r w:rsidR="00BD151C">
        <w:fldChar w:fldCharType="begin"/>
      </w:r>
      <w:r w:rsidR="00C86599">
        <w:instrText xml:space="preserve"> REF _Ref244246813 \n \h </w:instrText>
      </w:r>
      <w:r w:rsidR="00BD151C">
        <w:fldChar w:fldCharType="separate"/>
      </w:r>
      <w:r w:rsidR="003E4210">
        <w:t>7.3.2.91</w:t>
      </w:r>
      <w:r w:rsidR="00BD151C">
        <w:fldChar w:fldCharType="end"/>
      </w:r>
      <w:r w:rsidR="008149E8" w:rsidRPr="009448FC">
        <w:t>.</w:t>
      </w:r>
    </w:p>
    <w:p w:rsidR="008C36FC" w:rsidRPr="009448FC" w:rsidRDefault="008C36FC" w:rsidP="0004091F"/>
    <w:p w:rsidR="008C36FC" w:rsidRPr="009448FC" w:rsidRDefault="00D702B7" w:rsidP="00AA67D5">
      <w:r w:rsidRPr="009448FC">
        <w:t>Each</w:t>
      </w:r>
      <w:r w:rsidR="00AA67D5" w:rsidRPr="009448FC">
        <w:t xml:space="preserve"> </w:t>
      </w:r>
      <w:r w:rsidR="008C36FC" w:rsidRPr="009448FC">
        <w:t xml:space="preserve">IE Provided field contains </w:t>
      </w:r>
      <w:r w:rsidRPr="009448FC">
        <w:t xml:space="preserve">an </w:t>
      </w:r>
      <w:r w:rsidR="006454B5" w:rsidRPr="009448FC">
        <w:t>element</w:t>
      </w:r>
      <w:r w:rsidRPr="009448FC">
        <w:t xml:space="preserve"> </w:t>
      </w:r>
      <w:r w:rsidR="00A24B35">
        <w:t xml:space="preserve">as specified </w:t>
      </w:r>
      <w:r w:rsidR="008C36FC" w:rsidRPr="009448FC">
        <w:t xml:space="preserve">in </w:t>
      </w:r>
      <w:r w:rsidR="00BD151C">
        <w:fldChar w:fldCharType="begin"/>
      </w:r>
      <w:r w:rsidR="00A24B35">
        <w:instrText xml:space="preserve"> REF _Ref251929420 \r \h </w:instrText>
      </w:r>
      <w:r w:rsidR="00BD151C">
        <w:fldChar w:fldCharType="separate"/>
      </w:r>
      <w:r w:rsidR="003E4210">
        <w:t>7.3.2</w:t>
      </w:r>
      <w:r w:rsidR="00BD151C">
        <w:fldChar w:fldCharType="end"/>
      </w:r>
      <w:r w:rsidR="008C36FC" w:rsidRPr="009448FC">
        <w:t>, that the source STA of this frame is providing to the destination STA.</w:t>
      </w:r>
    </w:p>
    <w:p w:rsidR="008C36FC" w:rsidRPr="009448FC" w:rsidRDefault="008C36FC" w:rsidP="0004091F"/>
    <w:p w:rsidR="008C36FC" w:rsidRPr="009448FC" w:rsidRDefault="008C36FC" w:rsidP="003701DB">
      <w:pPr>
        <w:pStyle w:val="Heading4"/>
        <w:numPr>
          <w:ilvl w:val="3"/>
          <w:numId w:val="27"/>
        </w:numPr>
      </w:pPr>
      <w:bookmarkStart w:id="856" w:name="_Toc235400291"/>
      <w:bookmarkStart w:id="857" w:name="_Ref243816781"/>
      <w:bookmarkStart w:id="858" w:name="_Ref243986079"/>
      <w:bookmarkStart w:id="859" w:name="_Toc259716975"/>
      <w:r w:rsidRPr="009448FC">
        <w:t>Information Response</w:t>
      </w:r>
      <w:bookmarkEnd w:id="856"/>
      <w:bookmarkEnd w:id="857"/>
      <w:bookmarkEnd w:id="858"/>
      <w:bookmarkEnd w:id="859"/>
    </w:p>
    <w:p w:rsidR="008C36FC" w:rsidRPr="009448FC" w:rsidRDefault="008C36FC" w:rsidP="00A65A94">
      <w:r w:rsidRPr="009448FC">
        <w:t xml:space="preserve">The format of the </w:t>
      </w:r>
      <w:r w:rsidR="00A65A94" w:rsidRPr="009448FC">
        <w:t xml:space="preserve">Information Response </w:t>
      </w:r>
      <w:r w:rsidRPr="009448FC">
        <w:t xml:space="preserve">frame is shown in </w:t>
      </w:r>
      <w:r w:rsidR="00BD151C">
        <w:fldChar w:fldCharType="begin"/>
      </w:r>
      <w:r>
        <w:instrText xml:space="preserve"> REF _Ref215391761 \h </w:instrText>
      </w:r>
      <w:r w:rsidR="00BD151C">
        <w:fldChar w:fldCharType="separate"/>
      </w:r>
      <w:r w:rsidR="003E4210" w:rsidRPr="00066F65">
        <w:t xml:space="preserve">Table </w:t>
      </w:r>
      <w:r w:rsidR="003E4210">
        <w:rPr>
          <w:noProof/>
        </w:rPr>
        <w:t>30</w:t>
      </w:r>
      <w:r w:rsidR="00BD151C">
        <w:fldChar w:fldCharType="end"/>
      </w:r>
      <w:r w:rsidRPr="009448FC">
        <w:t>.</w:t>
      </w:r>
    </w:p>
    <w:p w:rsidR="008C36FC" w:rsidRPr="009448FC" w:rsidRDefault="008C36FC" w:rsidP="0004091F"/>
    <w:p w:rsidR="008C36FC" w:rsidRPr="009448FC" w:rsidRDefault="008C36FC" w:rsidP="00A65A94">
      <w:r w:rsidRPr="009448FC">
        <w:t xml:space="preserve">This frame </w:t>
      </w:r>
      <w:r w:rsidR="00D702B7" w:rsidRPr="009448FC">
        <w:t>is</w:t>
      </w:r>
      <w:r w:rsidRPr="009448FC">
        <w:t xml:space="preserve"> sent unicast to a STA or it </w:t>
      </w:r>
      <w:r w:rsidR="00D702B7" w:rsidRPr="009448FC">
        <w:t>is</w:t>
      </w:r>
      <w:r w:rsidRPr="009448FC">
        <w:t xml:space="preserve"> sent unsolicited as a unicast to a STA or broadcast to all STAs in the PBSS</w:t>
      </w:r>
      <w:r w:rsidR="002115D8" w:rsidRPr="009448FC">
        <w:t>/</w:t>
      </w:r>
      <w:r w:rsidR="00030887" w:rsidRPr="009448FC">
        <w:t xml:space="preserve">infrastructure </w:t>
      </w:r>
      <w:r w:rsidR="002115D8" w:rsidRPr="009448FC">
        <w:t>BSS</w:t>
      </w:r>
      <w:r w:rsidRPr="009448FC">
        <w:t>. If this frame is sent as a broadcast, then this frame is an Action No Ack frame.</w:t>
      </w:r>
    </w:p>
    <w:p w:rsidR="008C36FC" w:rsidRPr="009448FC" w:rsidRDefault="008C36FC" w:rsidP="0004091F"/>
    <w:p w:rsidR="008C36FC" w:rsidRPr="00066F65" w:rsidRDefault="008C36FC" w:rsidP="009448FC">
      <w:pPr>
        <w:pStyle w:val="Caption"/>
        <w:keepNext/>
      </w:pPr>
      <w:bookmarkStart w:id="860" w:name="_Ref215391761"/>
      <w:bookmarkStart w:id="861" w:name="_Toc225065783"/>
      <w:bookmarkStart w:id="862" w:name="_Toc250654429"/>
      <w:bookmarkStart w:id="863" w:name="_Toc259717608"/>
      <w:r w:rsidRPr="00066F65">
        <w:t>Table</w:t>
      </w:r>
      <w:r w:rsidR="001D6F82" w:rsidRPr="00066F65">
        <w:t xml:space="preserve"> </w:t>
      </w:r>
      <w:r w:rsidR="00BD151C">
        <w:fldChar w:fldCharType="begin"/>
      </w:r>
      <w:r w:rsidR="00801316">
        <w:instrText xml:space="preserve"> SEQ Table \* ARABIC </w:instrText>
      </w:r>
      <w:r w:rsidR="00BD151C">
        <w:fldChar w:fldCharType="separate"/>
      </w:r>
      <w:r w:rsidR="003E4210">
        <w:rPr>
          <w:noProof/>
        </w:rPr>
        <w:t>30</w:t>
      </w:r>
      <w:r w:rsidR="00BD151C">
        <w:fldChar w:fldCharType="end"/>
      </w:r>
      <w:bookmarkEnd w:id="860"/>
      <w:r w:rsidRPr="00066F65">
        <w:t xml:space="preserve"> – Information Response frame</w:t>
      </w:r>
      <w:bookmarkEnd w:id="861"/>
      <w:bookmarkEnd w:id="862"/>
      <w:bookmarkEnd w:id="8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8C36FC" w:rsidRPr="00066F65" w:rsidTr="00D0037C">
        <w:trPr>
          <w:jc w:val="center"/>
        </w:trPr>
        <w:tc>
          <w:tcPr>
            <w:tcW w:w="1035" w:type="dxa"/>
          </w:tcPr>
          <w:p w:rsidR="008C36FC" w:rsidRPr="009448FC" w:rsidRDefault="008C36FC" w:rsidP="00D0037C">
            <w:pPr>
              <w:jc w:val="both"/>
              <w:rPr>
                <w:rFonts w:eastAsia="SimSun"/>
                <w:b/>
              </w:rPr>
            </w:pPr>
            <w:r w:rsidRPr="009448FC">
              <w:rPr>
                <w:rFonts w:eastAsia="SimSun"/>
                <w:b/>
              </w:rPr>
              <w:t xml:space="preserve">Order </w:t>
            </w:r>
          </w:p>
        </w:tc>
        <w:tc>
          <w:tcPr>
            <w:tcW w:w="4788" w:type="dxa"/>
          </w:tcPr>
          <w:p w:rsidR="008C36FC" w:rsidRPr="009448FC" w:rsidRDefault="008C36FC" w:rsidP="00D0037C">
            <w:pPr>
              <w:jc w:val="both"/>
              <w:rPr>
                <w:rFonts w:eastAsia="SimSun"/>
                <w:b/>
              </w:rPr>
            </w:pPr>
            <w:r w:rsidRPr="009448FC">
              <w:rPr>
                <w:rFonts w:eastAsia="SimSun"/>
                <w:b/>
              </w:rPr>
              <w:t>Information</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1</w:t>
            </w:r>
          </w:p>
        </w:tc>
        <w:tc>
          <w:tcPr>
            <w:tcW w:w="4788" w:type="dxa"/>
          </w:tcPr>
          <w:p w:rsidR="008C36FC" w:rsidRPr="009448FC" w:rsidRDefault="008C36FC" w:rsidP="00D0037C">
            <w:pPr>
              <w:jc w:val="both"/>
              <w:rPr>
                <w:rFonts w:eastAsia="SimSun"/>
              </w:rPr>
            </w:pPr>
            <w:r w:rsidRPr="009448FC">
              <w:rPr>
                <w:rFonts w:eastAsia="SimSun"/>
              </w:rPr>
              <w:t>Category</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2</w:t>
            </w:r>
          </w:p>
        </w:tc>
        <w:tc>
          <w:tcPr>
            <w:tcW w:w="4788" w:type="dxa"/>
          </w:tcPr>
          <w:p w:rsidR="008C36FC" w:rsidRPr="009448FC" w:rsidRDefault="008C36FC" w:rsidP="00D0037C">
            <w:pPr>
              <w:jc w:val="both"/>
              <w:rPr>
                <w:rFonts w:eastAsia="SimSun"/>
              </w:rPr>
            </w:pPr>
            <w:r w:rsidRPr="009448FC">
              <w:rPr>
                <w:rFonts w:eastAsia="SimSun"/>
              </w:rPr>
              <w:t>Action</w:t>
            </w:r>
          </w:p>
        </w:tc>
      </w:tr>
      <w:tr w:rsidR="006A1C2B" w:rsidRPr="00066F65" w:rsidTr="00D0037C">
        <w:trPr>
          <w:jc w:val="center"/>
        </w:trPr>
        <w:tc>
          <w:tcPr>
            <w:tcW w:w="1035" w:type="dxa"/>
          </w:tcPr>
          <w:p w:rsidR="006A1C2B" w:rsidRPr="009448FC" w:rsidRDefault="006A1C2B" w:rsidP="00D0037C">
            <w:pPr>
              <w:jc w:val="center"/>
              <w:rPr>
                <w:rFonts w:eastAsia="SimSun"/>
              </w:rPr>
            </w:pPr>
            <w:r w:rsidRPr="009448FC">
              <w:rPr>
                <w:rFonts w:eastAsia="SimSun"/>
              </w:rPr>
              <w:t>3</w:t>
            </w:r>
          </w:p>
        </w:tc>
        <w:tc>
          <w:tcPr>
            <w:tcW w:w="4788" w:type="dxa"/>
          </w:tcPr>
          <w:p w:rsidR="006A1C2B" w:rsidRPr="009448FC" w:rsidRDefault="006A1C2B" w:rsidP="00D0037C">
            <w:pPr>
              <w:jc w:val="both"/>
              <w:rPr>
                <w:rFonts w:eastAsia="SimSun"/>
              </w:rPr>
            </w:pPr>
            <w:r w:rsidRPr="009448FC">
              <w:rPr>
                <w:rFonts w:eastAsia="SimSun"/>
              </w:rPr>
              <w:t xml:space="preserve">Target address </w:t>
            </w:r>
          </w:p>
        </w:tc>
      </w:tr>
      <w:tr w:rsidR="008C36FC" w:rsidRPr="00066F65" w:rsidTr="00D0037C">
        <w:trPr>
          <w:jc w:val="center"/>
        </w:trPr>
        <w:tc>
          <w:tcPr>
            <w:tcW w:w="1035" w:type="dxa"/>
          </w:tcPr>
          <w:p w:rsidR="008C36FC" w:rsidRPr="009448FC" w:rsidRDefault="006A1C2B" w:rsidP="00D0037C">
            <w:pPr>
              <w:jc w:val="center"/>
              <w:rPr>
                <w:rFonts w:eastAsia="SimSun"/>
              </w:rPr>
            </w:pPr>
            <w:r w:rsidRPr="009448FC">
              <w:rPr>
                <w:rFonts w:eastAsia="SimSun"/>
              </w:rPr>
              <w:t>4</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1</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w:t>
            </w:r>
            <w:r w:rsidR="006A1C2B" w:rsidRPr="009448FC">
              <w:rPr>
                <w:rFonts w:eastAsia="SimSun"/>
              </w:rPr>
              <w:t>3</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N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w:t>
            </w:r>
            <w:r w:rsidR="006A1C2B" w:rsidRPr="009448FC">
              <w:rPr>
                <w:rFonts w:eastAsia="SimSun"/>
              </w:rPr>
              <w:t>4</w:t>
            </w:r>
          </w:p>
        </w:tc>
        <w:tc>
          <w:tcPr>
            <w:tcW w:w="4788" w:type="dxa"/>
          </w:tcPr>
          <w:p w:rsidR="008C36FC" w:rsidRPr="009448FC" w:rsidRDefault="008C36FC" w:rsidP="006454B5">
            <w:pPr>
              <w:jc w:val="both"/>
              <w:rPr>
                <w:rFonts w:eastAsia="SimSun"/>
              </w:rPr>
            </w:pPr>
            <w:r w:rsidRPr="009448FC">
              <w:rPr>
                <w:rFonts w:eastAsia="SimSun"/>
              </w:rPr>
              <w:t xml:space="preserve">Request </w:t>
            </w:r>
            <w:r w:rsidR="006454B5" w:rsidRPr="009448FC">
              <w:rPr>
                <w:rFonts w:eastAsia="SimSun"/>
              </w:rPr>
              <w:t>element</w:t>
            </w:r>
          </w:p>
        </w:tc>
      </w:tr>
      <w:tr w:rsidR="008C36FC" w:rsidRPr="00066F65" w:rsidTr="00D0037C">
        <w:trPr>
          <w:jc w:val="center"/>
        </w:trPr>
        <w:tc>
          <w:tcPr>
            <w:tcW w:w="1035" w:type="dxa"/>
          </w:tcPr>
          <w:p w:rsidR="008C36FC" w:rsidRPr="009448FC" w:rsidDel="00AA0644" w:rsidRDefault="008C36FC" w:rsidP="00D0037C">
            <w:pPr>
              <w:jc w:val="center"/>
              <w:rPr>
                <w:rFonts w:eastAsia="SimSun"/>
              </w:rPr>
            </w:pPr>
            <w:r w:rsidRPr="009448FC">
              <w:rPr>
                <w:rFonts w:eastAsia="SimSun"/>
              </w:rPr>
              <w:t>N+</w:t>
            </w:r>
            <w:r w:rsidR="006A1C2B" w:rsidRPr="009448FC">
              <w:rPr>
                <w:rFonts w:eastAsia="SimSun"/>
              </w:rPr>
              <w:t>5</w:t>
            </w:r>
          </w:p>
        </w:tc>
        <w:tc>
          <w:tcPr>
            <w:tcW w:w="4788" w:type="dxa"/>
          </w:tcPr>
          <w:p w:rsidR="008C36FC" w:rsidRPr="009448FC" w:rsidRDefault="008C36FC" w:rsidP="00D0037C">
            <w:pPr>
              <w:jc w:val="both"/>
              <w:rPr>
                <w:rFonts w:eastAsia="SimSun"/>
              </w:rPr>
            </w:pPr>
            <w:r w:rsidRPr="009448FC">
              <w:rPr>
                <w:rFonts w:eastAsia="SimSun"/>
              </w:rPr>
              <w:t>IE Provided 1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6A1C2B" w:rsidP="00D0037C">
            <w:pPr>
              <w:jc w:val="center"/>
              <w:rPr>
                <w:rFonts w:eastAsia="SimSun"/>
              </w:rPr>
            </w:pPr>
            <w:r w:rsidRPr="009448FC">
              <w:rPr>
                <w:rFonts w:eastAsia="SimSun"/>
              </w:rPr>
              <w:t>4</w:t>
            </w:r>
            <w:r w:rsidR="008C36FC" w:rsidRPr="009448FC">
              <w:rPr>
                <w:rFonts w:eastAsia="SimSun"/>
              </w:rPr>
              <w:t>+N+M</w:t>
            </w:r>
          </w:p>
        </w:tc>
        <w:tc>
          <w:tcPr>
            <w:tcW w:w="4788" w:type="dxa"/>
          </w:tcPr>
          <w:p w:rsidR="008C36FC" w:rsidRPr="009448FC" w:rsidRDefault="008C36FC" w:rsidP="00D0037C">
            <w:pPr>
              <w:jc w:val="both"/>
              <w:rPr>
                <w:rFonts w:eastAsia="SimSun"/>
              </w:rPr>
            </w:pPr>
            <w:r w:rsidRPr="009448FC">
              <w:rPr>
                <w:rFonts w:eastAsia="SimSun"/>
              </w:rPr>
              <w:t>IE Provided M (optional)</w:t>
            </w:r>
          </w:p>
        </w:tc>
      </w:tr>
      <w:tr w:rsidR="007E6127" w:rsidRPr="00066F65" w:rsidTr="00D0037C">
        <w:trPr>
          <w:jc w:val="center"/>
        </w:trPr>
        <w:tc>
          <w:tcPr>
            <w:tcW w:w="1035" w:type="dxa"/>
          </w:tcPr>
          <w:p w:rsidR="007E6127" w:rsidRPr="009448FC" w:rsidRDefault="007E6127" w:rsidP="00D0037C">
            <w:pPr>
              <w:jc w:val="center"/>
              <w:rPr>
                <w:rFonts w:eastAsia="SimSun"/>
              </w:rPr>
            </w:pPr>
            <w:r w:rsidRPr="009448FC">
              <w:rPr>
                <w:rFonts w:eastAsia="SimSun"/>
              </w:rPr>
              <w:t>Last</w:t>
            </w:r>
          </w:p>
        </w:tc>
        <w:tc>
          <w:tcPr>
            <w:tcW w:w="4788" w:type="dxa"/>
          </w:tcPr>
          <w:p w:rsidR="007E6127" w:rsidRPr="009448FC" w:rsidRDefault="007E6127" w:rsidP="00D0037C">
            <w:pPr>
              <w:jc w:val="both"/>
              <w:rPr>
                <w:rFonts w:eastAsia="SimSun"/>
              </w:rPr>
            </w:pPr>
            <w:r w:rsidRPr="009448FC">
              <w:rPr>
                <w:rFonts w:eastAsia="SimSun"/>
              </w:rPr>
              <w:t xml:space="preserve">Vendor specific </w:t>
            </w:r>
          </w:p>
        </w:tc>
      </w:tr>
    </w:tbl>
    <w:p w:rsidR="008C36FC" w:rsidRPr="009448FC" w:rsidRDefault="008C36FC" w:rsidP="0004091F"/>
    <w:p w:rsidR="008C36FC" w:rsidRPr="009448FC" w:rsidRDefault="008C36FC" w:rsidP="00A65A94">
      <w:r w:rsidRPr="009448FC">
        <w:t xml:space="preserve">The category field is set to the category for mmWave, specified in </w:t>
      </w:r>
      <w:r w:rsidR="00BD151C">
        <w:fldChar w:fldCharType="begin"/>
      </w:r>
      <w:r w:rsidR="00A65A94">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8C36FC" w:rsidRPr="009448FC" w:rsidRDefault="008C36FC" w:rsidP="0004091F"/>
    <w:p w:rsidR="008C36FC" w:rsidRPr="009448FC" w:rsidRDefault="008C36FC" w:rsidP="00A65A94">
      <w:r w:rsidRPr="009448FC">
        <w:t xml:space="preserve">The Action field is set to the value for Information Response, specified in </w:t>
      </w:r>
      <w:r w:rsidR="00BD151C">
        <w:fldChar w:fldCharType="begin"/>
      </w:r>
      <w:r w:rsidR="00A65A94">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9448FC">
        <w:t>.</w:t>
      </w:r>
    </w:p>
    <w:p w:rsidR="008C36FC" w:rsidRPr="009448FC" w:rsidRDefault="008C36FC" w:rsidP="0004091F"/>
    <w:p w:rsidR="006A1C2B" w:rsidRPr="009448FC" w:rsidRDefault="006A1C2B" w:rsidP="0004091F">
      <w:r w:rsidRPr="009448FC">
        <w:t xml:space="preserve">The Target Address field contains the MAC address of the STA whose information is being provided. If this field is set to the broadcast address, then the STA is providing information regarding all associated STAs. </w:t>
      </w:r>
    </w:p>
    <w:p w:rsidR="006A1C2B" w:rsidRPr="009448FC" w:rsidRDefault="006A1C2B" w:rsidP="0004091F"/>
    <w:p w:rsidR="008C36FC" w:rsidRPr="009448FC" w:rsidRDefault="006A1C2B" w:rsidP="005130FB">
      <w:r w:rsidRPr="009448FC">
        <w:t xml:space="preserve">The </w:t>
      </w:r>
      <w:r w:rsidR="00B910DA" w:rsidRPr="009448FC">
        <w:t>mmWave Capabilities</w:t>
      </w:r>
      <w:r w:rsidRPr="009448FC">
        <w:t xml:space="preserve"> </w:t>
      </w:r>
      <w:r w:rsidR="006454B5" w:rsidRPr="009448FC">
        <w:t>element</w:t>
      </w:r>
      <w:r w:rsidRPr="009448FC">
        <w:t xml:space="preserve"> carries information about the transmitter STA and other STAs known to the transmitter STA. </w:t>
      </w:r>
      <w:r w:rsidR="008C36FC" w:rsidRPr="009448FC">
        <w:t xml:space="preserve">The </w:t>
      </w:r>
      <w:r w:rsidR="00250360" w:rsidRPr="009448FC">
        <w:t xml:space="preserve">mmWave </w:t>
      </w:r>
      <w:r w:rsidR="00B910DA" w:rsidRPr="009448FC">
        <w:t>Capabilities</w:t>
      </w:r>
      <w:r w:rsidR="008C36FC" w:rsidRPr="009448FC">
        <w:t xml:space="preserve"> </w:t>
      </w:r>
      <w:r w:rsidR="00250360" w:rsidRPr="009448FC">
        <w:t xml:space="preserve">element </w:t>
      </w:r>
      <w:r w:rsidR="008C36FC" w:rsidRPr="009448FC">
        <w:t xml:space="preserve">is described in </w:t>
      </w:r>
      <w:r w:rsidR="00BD151C" w:rsidRPr="009448FC">
        <w:fldChar w:fldCharType="begin"/>
      </w:r>
      <w:r w:rsidR="005130FB" w:rsidRPr="009448FC">
        <w:instrText xml:space="preserve"> REF _Ref244244227 \r \h </w:instrText>
      </w:r>
      <w:r w:rsidR="00BD151C" w:rsidRPr="009448FC">
        <w:fldChar w:fldCharType="separate"/>
      </w:r>
      <w:r w:rsidR="003E4210">
        <w:t>7.3.2.91</w:t>
      </w:r>
      <w:r w:rsidR="00BD151C" w:rsidRPr="009448FC">
        <w:fldChar w:fldCharType="end"/>
      </w:r>
      <w:r w:rsidR="008C36FC" w:rsidRPr="009448FC">
        <w:t>.</w:t>
      </w:r>
      <w:r w:rsidR="00250360" w:rsidRPr="009448FC">
        <w:t xml:space="preserve"> </w:t>
      </w:r>
    </w:p>
    <w:p w:rsidR="008C36FC" w:rsidRPr="009448FC" w:rsidRDefault="008C36FC" w:rsidP="0004091F"/>
    <w:p w:rsidR="008C36FC" w:rsidRPr="009448FC" w:rsidRDefault="008C36FC" w:rsidP="0004091F">
      <w:r w:rsidRPr="009448FC">
        <w:t>The Request IE field is described in 7.3.2.12.</w:t>
      </w:r>
    </w:p>
    <w:p w:rsidR="008C36FC" w:rsidRPr="009448FC" w:rsidRDefault="008C36FC" w:rsidP="0004091F"/>
    <w:p w:rsidR="008C36FC" w:rsidRPr="009448FC" w:rsidRDefault="008C36FC" w:rsidP="00F41C0C">
      <w:pPr>
        <w:jc w:val="both"/>
      </w:pPr>
      <w:r w:rsidRPr="009448FC">
        <w:t xml:space="preserve">The IE Provided field contains the </w:t>
      </w:r>
      <w:r w:rsidR="006454B5" w:rsidRPr="009448FC">
        <w:t>element</w:t>
      </w:r>
      <w:r w:rsidRPr="009448FC">
        <w:t xml:space="preserve">, as described in </w:t>
      </w:r>
      <w:r w:rsidR="00BD151C" w:rsidRPr="009448FC">
        <w:fldChar w:fldCharType="begin"/>
      </w:r>
      <w:r w:rsidR="00F41C0C" w:rsidRPr="009448FC">
        <w:instrText xml:space="preserve"> REF _Ref243729876 \r \h </w:instrText>
      </w:r>
      <w:r w:rsidR="00BD151C" w:rsidRPr="009448FC">
        <w:fldChar w:fldCharType="separate"/>
      </w:r>
      <w:r w:rsidR="003E4210">
        <w:t>7.3.2</w:t>
      </w:r>
      <w:r w:rsidR="00BD151C" w:rsidRPr="009448FC">
        <w:fldChar w:fldCharType="end"/>
      </w:r>
      <w:r w:rsidRPr="009448FC">
        <w:t>, that the source STA of this frame is providing to the destination STA.</w:t>
      </w:r>
    </w:p>
    <w:p w:rsidR="009B0F94" w:rsidRPr="009448FC" w:rsidRDefault="009B0F94" w:rsidP="0004091F">
      <w:pPr>
        <w:jc w:val="both"/>
      </w:pPr>
    </w:p>
    <w:p w:rsidR="007E6127" w:rsidRPr="009448FC" w:rsidRDefault="007E6127" w:rsidP="007E6127">
      <w:pPr>
        <w:jc w:val="both"/>
      </w:pPr>
      <w:r w:rsidRPr="009448FC">
        <w:t xml:space="preserve">One or more vendor-specific information elements can appear in this frame. This information element follows all other information elements. </w:t>
      </w:r>
    </w:p>
    <w:p w:rsidR="007E6127" w:rsidRPr="009448FC" w:rsidRDefault="007E6127" w:rsidP="0004091F">
      <w:pPr>
        <w:jc w:val="both"/>
      </w:pPr>
    </w:p>
    <w:p w:rsidR="009B0F94" w:rsidRPr="009448FC" w:rsidRDefault="00E05A37" w:rsidP="003701DB">
      <w:pPr>
        <w:pStyle w:val="Heading4"/>
        <w:numPr>
          <w:ilvl w:val="3"/>
          <w:numId w:val="27"/>
        </w:numPr>
      </w:pPr>
      <w:bookmarkStart w:id="864" w:name="_Toc235400292"/>
      <w:bookmarkStart w:id="865" w:name="_Ref236728088"/>
      <w:bookmarkStart w:id="866" w:name="_Toc259716976"/>
      <w:r w:rsidRPr="009448FC">
        <w:t xml:space="preserve">Beam Refinement </w:t>
      </w:r>
      <w:r w:rsidR="008F7F96" w:rsidRPr="009448FC">
        <w:t>(BRP)</w:t>
      </w:r>
      <w:bookmarkEnd w:id="864"/>
      <w:bookmarkEnd w:id="865"/>
      <w:bookmarkEnd w:id="866"/>
    </w:p>
    <w:p w:rsidR="00601B46" w:rsidRPr="009448FC" w:rsidRDefault="00601B46" w:rsidP="002C53B2">
      <w:pPr>
        <w:jc w:val="both"/>
      </w:pPr>
      <w:r w:rsidRPr="009448FC">
        <w:t xml:space="preserve">The Beam Refinement </w:t>
      </w:r>
      <w:r w:rsidR="008F7F96" w:rsidRPr="009448FC">
        <w:t xml:space="preserve">(BRP) </w:t>
      </w:r>
      <w:r w:rsidRPr="009448FC">
        <w:t xml:space="preserve">frame includes the Beam Refinement information element and can include the Channel measurement feedback element, and is defined in </w:t>
      </w:r>
      <w:r w:rsidR="00BD151C">
        <w:fldChar w:fldCharType="begin"/>
      </w:r>
      <w:r w:rsidR="002C53B2">
        <w:instrText xml:space="preserve"> REF _Ref236394440 \h </w:instrText>
      </w:r>
      <w:r w:rsidR="00BD151C">
        <w:fldChar w:fldCharType="separate"/>
      </w:r>
      <w:r w:rsidR="003E4210" w:rsidRPr="00066F65">
        <w:t xml:space="preserve">Table </w:t>
      </w:r>
      <w:r w:rsidR="003E4210">
        <w:rPr>
          <w:noProof/>
        </w:rPr>
        <w:t>31</w:t>
      </w:r>
      <w:r w:rsidR="00BD151C">
        <w:fldChar w:fldCharType="end"/>
      </w:r>
      <w:r w:rsidRPr="009448FC">
        <w:t>.</w:t>
      </w:r>
    </w:p>
    <w:p w:rsidR="00601B46" w:rsidRPr="009448FC" w:rsidRDefault="00601B46" w:rsidP="00601B46"/>
    <w:p w:rsidR="00601B46" w:rsidRPr="00066F65" w:rsidRDefault="00601B46" w:rsidP="009448FC">
      <w:pPr>
        <w:pStyle w:val="Caption"/>
        <w:keepNext/>
      </w:pPr>
      <w:bookmarkStart w:id="867" w:name="_Ref236394440"/>
      <w:bookmarkStart w:id="868" w:name="_Toc250654430"/>
      <w:bookmarkStart w:id="869" w:name="_Toc259717609"/>
      <w:r w:rsidRPr="00066F65">
        <w:t xml:space="preserve">Table </w:t>
      </w:r>
      <w:r w:rsidR="00BD151C">
        <w:fldChar w:fldCharType="begin"/>
      </w:r>
      <w:r w:rsidR="00801316">
        <w:instrText xml:space="preserve"> SEQ Table \* ARABIC </w:instrText>
      </w:r>
      <w:r w:rsidR="00BD151C">
        <w:fldChar w:fldCharType="separate"/>
      </w:r>
      <w:r w:rsidR="003E4210">
        <w:rPr>
          <w:noProof/>
        </w:rPr>
        <w:t>31</w:t>
      </w:r>
      <w:r w:rsidR="00BD151C">
        <w:fldChar w:fldCharType="end"/>
      </w:r>
      <w:bookmarkEnd w:id="867"/>
      <w:r w:rsidRPr="00066F65">
        <w:rPr>
          <w:noProof/>
        </w:rPr>
        <w:t xml:space="preserve"> </w:t>
      </w:r>
      <w:r w:rsidR="00F07751" w:rsidRPr="00066F65">
        <w:rPr>
          <w:noProof/>
        </w:rPr>
        <w:t xml:space="preserve">– </w:t>
      </w:r>
      <w:r w:rsidRPr="00066F65">
        <w:rPr>
          <w:noProof/>
        </w:rPr>
        <w:t xml:space="preserve">Beam Refinement </w:t>
      </w:r>
      <w:r w:rsidR="00676338" w:rsidRPr="00066F65">
        <w:rPr>
          <w:noProof/>
        </w:rPr>
        <w:t>f</w:t>
      </w:r>
      <w:r w:rsidRPr="00066F65">
        <w:rPr>
          <w:noProof/>
        </w:rPr>
        <w:t>rame</w:t>
      </w:r>
      <w:bookmarkEnd w:id="868"/>
      <w:bookmarkEnd w:id="869"/>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856"/>
        <w:gridCol w:w="5108"/>
      </w:tblGrid>
      <w:tr w:rsidR="00601B46" w:rsidRPr="00066F65" w:rsidTr="00370CE2">
        <w:trPr>
          <w:jc w:val="center"/>
        </w:trPr>
        <w:tc>
          <w:tcPr>
            <w:tcW w:w="0" w:type="auto"/>
          </w:tcPr>
          <w:p w:rsidR="00601B46" w:rsidRPr="009448FC" w:rsidRDefault="00601B46" w:rsidP="00612E82">
            <w:pPr>
              <w:pStyle w:val="Table-Header"/>
              <w:snapToGrid w:val="0"/>
              <w:spacing w:before="0" w:after="0"/>
              <w:rPr>
                <w:sz w:val="24"/>
              </w:rPr>
            </w:pPr>
            <w:r w:rsidRPr="009448FC">
              <w:rPr>
                <w:sz w:val="24"/>
              </w:rPr>
              <w:t>Order</w:t>
            </w:r>
          </w:p>
        </w:tc>
        <w:tc>
          <w:tcPr>
            <w:tcW w:w="0" w:type="auto"/>
          </w:tcPr>
          <w:p w:rsidR="00601B46" w:rsidRPr="009448FC" w:rsidRDefault="00601B46" w:rsidP="00612E82">
            <w:pPr>
              <w:pStyle w:val="Table-Header"/>
              <w:snapToGrid w:val="0"/>
              <w:spacing w:before="0" w:after="0"/>
              <w:rPr>
                <w:sz w:val="24"/>
              </w:rPr>
            </w:pPr>
            <w:r w:rsidRPr="009448FC">
              <w:rPr>
                <w:sz w:val="24"/>
              </w:rPr>
              <w:t>Information</w:t>
            </w:r>
          </w:p>
        </w:tc>
      </w:tr>
      <w:tr w:rsidR="00601B46" w:rsidRPr="00066F65" w:rsidTr="00370CE2">
        <w:trPr>
          <w:jc w:val="center"/>
        </w:trPr>
        <w:tc>
          <w:tcPr>
            <w:tcW w:w="0" w:type="auto"/>
          </w:tcPr>
          <w:p w:rsidR="00601B46" w:rsidRPr="009448FC" w:rsidRDefault="00601B46" w:rsidP="00BD0474">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0" w:type="auto"/>
          </w:tcPr>
          <w:p w:rsidR="00601B46" w:rsidRPr="009448FC" w:rsidRDefault="00601B46" w:rsidP="00612E82">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601B46" w:rsidRPr="00066F65" w:rsidTr="00370CE2">
        <w:trPr>
          <w:jc w:val="center"/>
        </w:trPr>
        <w:tc>
          <w:tcPr>
            <w:tcW w:w="0" w:type="auto"/>
          </w:tcPr>
          <w:p w:rsidR="00601B46" w:rsidRPr="009448FC" w:rsidRDefault="00601B46" w:rsidP="00BD0474">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0" w:type="auto"/>
          </w:tcPr>
          <w:p w:rsidR="00601B46" w:rsidRPr="009448FC" w:rsidRDefault="00601B46" w:rsidP="00612E82">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601B46" w:rsidRPr="00066F65" w:rsidTr="00370CE2">
        <w:trPr>
          <w:jc w:val="center"/>
        </w:trPr>
        <w:tc>
          <w:tcPr>
            <w:tcW w:w="0" w:type="auto"/>
          </w:tcPr>
          <w:p w:rsidR="00601B46" w:rsidRPr="009448FC" w:rsidRDefault="00601B46" w:rsidP="00BD0474">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0" w:type="auto"/>
          </w:tcPr>
          <w:p w:rsidR="00601B46" w:rsidRPr="009448FC" w:rsidRDefault="00601B46" w:rsidP="00612E82">
            <w:pPr>
              <w:pStyle w:val="Table-Contents"/>
              <w:snapToGrid w:val="0"/>
              <w:spacing w:before="0" w:after="0"/>
              <w:jc w:val="left"/>
              <w:rPr>
                <w:rFonts w:ascii="Times New Roman" w:hAnsi="Times New Roman"/>
                <w:sz w:val="24"/>
              </w:rPr>
            </w:pPr>
            <w:r w:rsidRPr="009448FC">
              <w:rPr>
                <w:rFonts w:ascii="Times New Roman" w:hAnsi="Times New Roman"/>
                <w:sz w:val="24"/>
              </w:rPr>
              <w:t>Dialog Token</w:t>
            </w:r>
          </w:p>
        </w:tc>
      </w:tr>
      <w:tr w:rsidR="00012CCE" w:rsidRPr="00066F65" w:rsidTr="00370CE2">
        <w:trPr>
          <w:jc w:val="center"/>
        </w:trPr>
        <w:tc>
          <w:tcPr>
            <w:tcW w:w="0" w:type="auto"/>
          </w:tcPr>
          <w:p w:rsidR="00012CCE" w:rsidRPr="009448FC" w:rsidRDefault="00012CCE" w:rsidP="00016547">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0" w:type="auto"/>
          </w:tcPr>
          <w:p w:rsidR="00012CCE" w:rsidRPr="009448FC" w:rsidRDefault="00012CCE" w:rsidP="00016547">
            <w:pPr>
              <w:pStyle w:val="Table-Contents"/>
              <w:snapToGrid w:val="0"/>
              <w:spacing w:before="0" w:after="0"/>
              <w:jc w:val="left"/>
              <w:rPr>
                <w:rFonts w:ascii="Times New Roman" w:hAnsi="Times New Roman"/>
                <w:sz w:val="24"/>
              </w:rPr>
            </w:pPr>
            <w:r w:rsidRPr="009448FC">
              <w:rPr>
                <w:rFonts w:ascii="Times New Roman" w:hAnsi="Times New Roman"/>
                <w:sz w:val="24"/>
              </w:rPr>
              <w:t>BRP request field</w:t>
            </w:r>
          </w:p>
        </w:tc>
      </w:tr>
      <w:tr w:rsidR="00012CCE" w:rsidRPr="00066F65" w:rsidTr="00370CE2">
        <w:trPr>
          <w:jc w:val="center"/>
        </w:trPr>
        <w:tc>
          <w:tcPr>
            <w:tcW w:w="0" w:type="auto"/>
          </w:tcPr>
          <w:p w:rsidR="00012CCE" w:rsidRPr="009448FC" w:rsidRDefault="00012CCE" w:rsidP="00BD0474">
            <w:pPr>
              <w:pStyle w:val="Table-Contents"/>
              <w:snapToGrid w:val="0"/>
              <w:spacing w:before="0" w:after="0"/>
              <w:rPr>
                <w:rFonts w:ascii="Times New Roman" w:hAnsi="Times New Roman"/>
                <w:sz w:val="24"/>
              </w:rPr>
            </w:pPr>
            <w:r w:rsidRPr="009448FC">
              <w:rPr>
                <w:rFonts w:ascii="Times New Roman" w:hAnsi="Times New Roman"/>
                <w:sz w:val="24"/>
              </w:rPr>
              <w:t>5</w:t>
            </w:r>
          </w:p>
        </w:tc>
        <w:tc>
          <w:tcPr>
            <w:tcW w:w="0" w:type="auto"/>
          </w:tcPr>
          <w:p w:rsidR="00012CCE" w:rsidRPr="009448FC" w:rsidRDefault="00012CCE" w:rsidP="006454B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mmWave Beam Refinement </w:t>
            </w:r>
            <w:r w:rsidR="006454B5" w:rsidRPr="009448FC">
              <w:rPr>
                <w:rFonts w:ascii="Times New Roman" w:hAnsi="Times New Roman"/>
                <w:sz w:val="24"/>
              </w:rPr>
              <w:t>element</w:t>
            </w:r>
          </w:p>
        </w:tc>
      </w:tr>
      <w:tr w:rsidR="00012CCE" w:rsidRPr="00066F65" w:rsidTr="00370CE2">
        <w:trPr>
          <w:jc w:val="center"/>
        </w:trPr>
        <w:tc>
          <w:tcPr>
            <w:tcW w:w="0" w:type="auto"/>
          </w:tcPr>
          <w:p w:rsidR="00012CCE" w:rsidRPr="009448FC" w:rsidRDefault="00012CCE" w:rsidP="00BD0474">
            <w:pPr>
              <w:pStyle w:val="Table-Contents"/>
              <w:snapToGrid w:val="0"/>
              <w:spacing w:before="0" w:after="0"/>
              <w:rPr>
                <w:rFonts w:ascii="Times New Roman" w:hAnsi="Times New Roman"/>
                <w:sz w:val="24"/>
              </w:rPr>
            </w:pPr>
            <w:r w:rsidRPr="009448FC">
              <w:rPr>
                <w:rFonts w:ascii="Times New Roman" w:hAnsi="Times New Roman"/>
                <w:sz w:val="24"/>
              </w:rPr>
              <w:t>6</w:t>
            </w:r>
          </w:p>
        </w:tc>
        <w:tc>
          <w:tcPr>
            <w:tcW w:w="0" w:type="auto"/>
          </w:tcPr>
          <w:p w:rsidR="00012CCE" w:rsidRPr="009448FC" w:rsidRDefault="00012CCE" w:rsidP="006454B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Channel measurement feedback </w:t>
            </w:r>
            <w:r w:rsidR="006454B5" w:rsidRPr="009448FC">
              <w:rPr>
                <w:rFonts w:ascii="Times New Roman" w:hAnsi="Times New Roman"/>
                <w:sz w:val="24"/>
              </w:rPr>
              <w:t>element</w:t>
            </w:r>
            <w:r w:rsidRPr="009448FC">
              <w:rPr>
                <w:rFonts w:ascii="Times New Roman" w:hAnsi="Times New Roman"/>
                <w:sz w:val="24"/>
              </w:rPr>
              <w:t xml:space="preserve"> (optional)</w:t>
            </w:r>
          </w:p>
        </w:tc>
      </w:tr>
    </w:tbl>
    <w:p w:rsidR="00812F1B" w:rsidRPr="009448FC" w:rsidRDefault="00812F1B" w:rsidP="00812F1B">
      <w:pPr>
        <w:jc w:val="both"/>
        <w:rPr>
          <w:b/>
          <w:i/>
          <w:color w:val="FF0000"/>
        </w:rPr>
      </w:pPr>
    </w:p>
    <w:p w:rsidR="00A65A94" w:rsidRPr="009448FC" w:rsidRDefault="00A65A94" w:rsidP="00A65A94">
      <w:r w:rsidRPr="009448FC">
        <w:t xml:space="preserve">The Category field is set to the category for mmWave,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A65A94" w:rsidRPr="009448FC" w:rsidRDefault="00A65A94" w:rsidP="00A65A94"/>
    <w:p w:rsidR="00A65A94" w:rsidRPr="009448FC" w:rsidRDefault="00A65A94" w:rsidP="00A65A94">
      <w:r w:rsidRPr="009448FC">
        <w:t>The Action field is set to the value corresponding to Beam Refinemt</w:t>
      </w:r>
      <w:r w:rsidR="00FF5CF5" w:rsidRPr="009448FC">
        <w:t>,</w:t>
      </w:r>
      <w:r w:rsidRPr="009448FC">
        <w:t xml:space="preserve"> 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9448FC">
        <w:t xml:space="preserve">. </w:t>
      </w:r>
    </w:p>
    <w:p w:rsidR="00A65A94" w:rsidRPr="009448FC" w:rsidRDefault="00A65A94" w:rsidP="00601B46">
      <w:pPr>
        <w:jc w:val="both"/>
      </w:pPr>
    </w:p>
    <w:p w:rsidR="0030498B" w:rsidRPr="009448FC" w:rsidRDefault="0030498B" w:rsidP="0030498B">
      <w:r w:rsidRPr="009448FC">
        <w:t xml:space="preserve">The BRP request field is defined in </w:t>
      </w:r>
      <w:r w:rsidR="00BD151C">
        <w:fldChar w:fldCharType="begin"/>
      </w:r>
      <w:r w:rsidR="00BC5849">
        <w:instrText xml:space="preserve"> REF _Ref253745392 \h </w:instrText>
      </w:r>
      <w:r w:rsidR="00BD151C">
        <w:fldChar w:fldCharType="separate"/>
      </w:r>
      <w:r w:rsidR="003E4210">
        <w:t xml:space="preserve">7.3a.4 </w:t>
      </w:r>
      <w:r w:rsidR="003E4210" w:rsidRPr="009448FC">
        <w:t xml:space="preserve">BRP Request </w:t>
      </w:r>
      <w:r w:rsidR="003E4210">
        <w:t>f</w:t>
      </w:r>
      <w:r w:rsidR="003E4210" w:rsidRPr="009448FC">
        <w:t>ield</w:t>
      </w:r>
      <w:r w:rsidR="00BD151C">
        <w:fldChar w:fldCharType="end"/>
      </w:r>
      <w:r w:rsidRPr="009448FC">
        <w:t>.</w:t>
      </w:r>
    </w:p>
    <w:p w:rsidR="0030498B" w:rsidRPr="009448FC" w:rsidRDefault="0030498B" w:rsidP="00601B46">
      <w:pPr>
        <w:jc w:val="both"/>
      </w:pPr>
    </w:p>
    <w:p w:rsidR="00BD0474" w:rsidRPr="009448FC" w:rsidRDefault="00601B46" w:rsidP="00845911">
      <w:r w:rsidRPr="009448FC">
        <w:t xml:space="preserve">The Beam Refinement </w:t>
      </w:r>
      <w:r w:rsidR="006454B5" w:rsidRPr="009448FC">
        <w:t>element</w:t>
      </w:r>
      <w:r w:rsidRPr="009448FC">
        <w:t xml:space="preserve"> is defined in </w:t>
      </w:r>
      <w:r w:rsidR="00BD151C" w:rsidRPr="009448FC">
        <w:fldChar w:fldCharType="begin"/>
      </w:r>
      <w:r w:rsidR="00C0169A" w:rsidRPr="009448FC">
        <w:instrText xml:space="preserve"> REF _Ref244234532 \r \h </w:instrText>
      </w:r>
      <w:r w:rsidR="00BD151C" w:rsidRPr="009448FC">
        <w:fldChar w:fldCharType="separate"/>
      </w:r>
      <w:r w:rsidR="003E4210">
        <w:t>7.3.2.93</w:t>
      </w:r>
      <w:r w:rsidR="00BD151C" w:rsidRPr="009448FC">
        <w:fldChar w:fldCharType="end"/>
      </w:r>
      <w:r w:rsidRPr="009448FC">
        <w:t xml:space="preserve">. </w:t>
      </w:r>
    </w:p>
    <w:p w:rsidR="00BD0474" w:rsidRPr="009448FC" w:rsidRDefault="00BD0474" w:rsidP="00845911"/>
    <w:p w:rsidR="00BD0474" w:rsidRPr="009448FC" w:rsidRDefault="00BD0474" w:rsidP="00BD0474">
      <w:r w:rsidRPr="009448FC">
        <w:t xml:space="preserve">The Channel measurement feedback element is defined in </w:t>
      </w:r>
      <w:r w:rsidR="00BD151C" w:rsidRPr="009448FC">
        <w:fldChar w:fldCharType="begin"/>
      </w:r>
      <w:r w:rsidRPr="009448FC">
        <w:instrText xml:space="preserve"> REF _Ref244234571 \r \h </w:instrText>
      </w:r>
      <w:r w:rsidR="00BD151C" w:rsidRPr="009448FC">
        <w:fldChar w:fldCharType="separate"/>
      </w:r>
      <w:r w:rsidR="003E4210">
        <w:t>7.3.2.99</w:t>
      </w:r>
      <w:r w:rsidR="00BD151C" w:rsidRPr="009448FC">
        <w:fldChar w:fldCharType="end"/>
      </w:r>
      <w:r w:rsidRPr="009448FC">
        <w:t>.</w:t>
      </w:r>
    </w:p>
    <w:p w:rsidR="00894FA6" w:rsidRPr="009448FC" w:rsidRDefault="00894FA6" w:rsidP="00894FA6">
      <w:pPr>
        <w:jc w:val="both"/>
      </w:pPr>
    </w:p>
    <w:p w:rsidR="00E538BF" w:rsidRPr="009448FC" w:rsidRDefault="00E538BF" w:rsidP="00894FA6">
      <w:pPr>
        <w:jc w:val="both"/>
        <w:rPr>
          <w:b/>
          <w:i/>
          <w:color w:val="FF0000"/>
        </w:rPr>
      </w:pPr>
      <w:r w:rsidRPr="009448FC">
        <w:t>The Beam Refinement frame may contain more than one Channel measurement feedback element if the measurement information exceeds 254 bytes. The content of each Channel measurement feedback element that follows the first one in a single Beam Refinement frame is a continuation of the content in the previous element. The Channel measurement subfield and the Sector ID subfield may be split between several elements. Each Channel measurement feedback element that is not the last Channel measurement feedback element in the frame shall be 256 bytes long. Channel measurement information for a single channel measurement is always contained within a single Beam Refinement frame.</w:t>
      </w:r>
    </w:p>
    <w:p w:rsidR="007F549E" w:rsidRPr="009448FC" w:rsidRDefault="007F549E" w:rsidP="00AF4B2C">
      <w:pPr>
        <w:jc w:val="both"/>
        <w:rPr>
          <w:b/>
          <w:i/>
          <w:color w:val="FF0000"/>
        </w:rPr>
      </w:pPr>
    </w:p>
    <w:p w:rsidR="00BF7DB9" w:rsidRPr="009448FC" w:rsidRDefault="00BF7DB9" w:rsidP="003701DB">
      <w:pPr>
        <w:pStyle w:val="Heading4"/>
        <w:numPr>
          <w:ilvl w:val="3"/>
          <w:numId w:val="27"/>
        </w:numPr>
      </w:pPr>
      <w:bookmarkStart w:id="870" w:name="_Toc259716977"/>
      <w:r w:rsidRPr="009448FC">
        <w:t>Handover Request</w:t>
      </w:r>
      <w:bookmarkEnd w:id="870"/>
    </w:p>
    <w:p w:rsidR="00BF7DB9" w:rsidRPr="009448FC" w:rsidRDefault="00BF7DB9" w:rsidP="00886214">
      <w:r w:rsidRPr="009448FC">
        <w:t xml:space="preserve">The format of the Handover Request frame is shown in </w:t>
      </w:r>
      <w:r w:rsidR="00BD151C">
        <w:fldChar w:fldCharType="begin"/>
      </w:r>
      <w:r w:rsidR="00886214">
        <w:instrText xml:space="preserve"> REF _Ref242692985 \h </w:instrText>
      </w:r>
      <w:r w:rsidR="00BD151C">
        <w:fldChar w:fldCharType="separate"/>
      </w:r>
      <w:r w:rsidR="003E4210" w:rsidRPr="00066F65">
        <w:t xml:space="preserve">Table </w:t>
      </w:r>
      <w:r w:rsidR="003E4210">
        <w:rPr>
          <w:noProof/>
        </w:rPr>
        <w:t>32</w:t>
      </w:r>
      <w:r w:rsidR="00BD151C">
        <w:fldChar w:fldCharType="end"/>
      </w:r>
      <w:r w:rsidRPr="009448FC">
        <w:t>.</w:t>
      </w:r>
    </w:p>
    <w:p w:rsidR="00BF7DB9" w:rsidRPr="009448FC" w:rsidRDefault="00BF7DB9" w:rsidP="00BF7DB9"/>
    <w:p w:rsidR="00886214" w:rsidRPr="00066F65" w:rsidRDefault="00886214" w:rsidP="00BA5BC4">
      <w:pPr>
        <w:pStyle w:val="Caption"/>
        <w:rPr>
          <w:szCs w:val="24"/>
        </w:rPr>
      </w:pPr>
      <w:bookmarkStart w:id="871" w:name="_Ref242692985"/>
      <w:bookmarkStart w:id="872" w:name="_Toc250654431"/>
      <w:bookmarkStart w:id="873" w:name="_Toc259717610"/>
      <w:r w:rsidRPr="00066F65">
        <w:t xml:space="preserve">Table </w:t>
      </w:r>
      <w:r w:rsidR="00BD151C">
        <w:fldChar w:fldCharType="begin"/>
      </w:r>
      <w:r w:rsidR="00801316">
        <w:instrText xml:space="preserve"> SEQ Table \* ARABIC </w:instrText>
      </w:r>
      <w:r w:rsidR="00BD151C">
        <w:fldChar w:fldCharType="separate"/>
      </w:r>
      <w:r w:rsidR="003E4210">
        <w:rPr>
          <w:noProof/>
        </w:rPr>
        <w:t>32</w:t>
      </w:r>
      <w:r w:rsidR="00BD151C">
        <w:fldChar w:fldCharType="end"/>
      </w:r>
      <w:bookmarkEnd w:id="871"/>
      <w:r w:rsidRPr="00066F65">
        <w:t xml:space="preserve"> </w:t>
      </w:r>
      <w:r w:rsidR="001F563D" w:rsidRPr="00066F65">
        <w:t xml:space="preserve">– </w:t>
      </w:r>
      <w:r w:rsidRPr="00066F65">
        <w:rPr>
          <w:rFonts w:eastAsia="Times New Roman"/>
          <w:szCs w:val="24"/>
        </w:rPr>
        <w:t>Handover Request frame</w:t>
      </w:r>
      <w:bookmarkEnd w:id="872"/>
      <w:bookmarkEnd w:id="8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2576"/>
      </w:tblGrid>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b/>
              </w:rPr>
            </w:pPr>
            <w:r w:rsidRPr="009448FC">
              <w:rPr>
                <w:rFonts w:eastAsia="SimSun"/>
                <w:b/>
              </w:rPr>
              <w:t>Order</w:t>
            </w:r>
          </w:p>
        </w:tc>
        <w:tc>
          <w:tcPr>
            <w:tcW w:w="0" w:type="auto"/>
          </w:tcPr>
          <w:p w:rsidR="00BF7DB9" w:rsidRPr="009448FC" w:rsidRDefault="00BF7DB9" w:rsidP="00D0037C">
            <w:pPr>
              <w:autoSpaceDE w:val="0"/>
              <w:autoSpaceDN w:val="0"/>
              <w:adjustRightInd w:val="0"/>
              <w:jc w:val="both"/>
              <w:rPr>
                <w:rFonts w:eastAsia="SimSun"/>
                <w:b/>
              </w:rPr>
            </w:pPr>
            <w:r w:rsidRPr="009448FC">
              <w:rPr>
                <w:rFonts w:eastAsia="SimSun"/>
                <w:b/>
              </w:rPr>
              <w:t>Information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1</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Category</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2</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Action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3</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Reason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4</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Remaining BI</w:t>
            </w:r>
          </w:p>
        </w:tc>
      </w:tr>
    </w:tbl>
    <w:p w:rsidR="00BF7DB9" w:rsidRPr="009448FC" w:rsidRDefault="00BF7DB9" w:rsidP="00BF7DB9">
      <w:pPr>
        <w:rPr>
          <w:rFonts w:ascii="Arial" w:hAnsi="Arial"/>
          <w:b/>
        </w:rPr>
      </w:pPr>
    </w:p>
    <w:p w:rsidR="00BF7DB9" w:rsidRPr="009448FC" w:rsidRDefault="00BF7DB9" w:rsidP="00E9316B">
      <w:r w:rsidRPr="009448FC">
        <w:t xml:space="preserve">The category field is set to the category for mmWave, specified in </w:t>
      </w:r>
      <w:r w:rsidR="00BD151C">
        <w:fldChar w:fldCharType="begin"/>
      </w:r>
      <w:r w:rsidR="00E9316B">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BF7DB9" w:rsidRPr="009448FC" w:rsidRDefault="00BF7DB9" w:rsidP="00BF7DB9"/>
    <w:p w:rsidR="00BF7DB9" w:rsidRPr="009448FC" w:rsidRDefault="00BF7DB9" w:rsidP="005E5CD4">
      <w:r w:rsidRPr="009448FC">
        <w:t xml:space="preserve">The Action field is set to the value for Handover Request, specified in </w:t>
      </w:r>
      <w:r w:rsidR="00BD151C">
        <w:fldChar w:fldCharType="begin"/>
      </w:r>
      <w:r w:rsidR="00FF5CF5">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9448FC">
        <w:t>.</w:t>
      </w:r>
    </w:p>
    <w:p w:rsidR="00BF7DB9" w:rsidRPr="009448FC" w:rsidRDefault="00BF7DB9" w:rsidP="00BF7DB9"/>
    <w:p w:rsidR="00BF7DB9" w:rsidRPr="009448FC" w:rsidRDefault="00BF7DB9" w:rsidP="00BF7DB9">
      <w:r w:rsidRPr="009448FC">
        <w:t>Handover Reason is 1 octet in length and indicates the reason that the current PCP intends to do the PCP handover. The handover reason field is set to 0 to indicate the PCP is leaving the PBSS, it is set to 1 to indicate low power in the PCP, is set to 2 to indicate that a more qualified PCP handover capable STA is available</w:t>
      </w:r>
      <w:r w:rsidR="00776DA5">
        <w:t xml:space="preserve">, </w:t>
      </w:r>
      <w:r w:rsidR="00776DA5">
        <w:rPr>
          <w:rFonts w:hint="eastAsia"/>
          <w:lang w:eastAsia="ko-KR"/>
        </w:rPr>
        <w:t xml:space="preserve">and is set to 3 to indicate that the PCP handover capable STA </w:t>
      </w:r>
      <w:r w:rsidR="00776DA5">
        <w:rPr>
          <w:lang w:eastAsia="ko-KR"/>
        </w:rPr>
        <w:t>want</w:t>
      </w:r>
      <w:r w:rsidR="00776DA5">
        <w:rPr>
          <w:rFonts w:hint="eastAsia"/>
          <w:lang w:eastAsia="ko-KR"/>
        </w:rPr>
        <w:t>s to be a PCP</w:t>
      </w:r>
      <w:r w:rsidRPr="009448FC">
        <w:t>. All the other values are reserved.</w:t>
      </w:r>
    </w:p>
    <w:p w:rsidR="00BF7DB9" w:rsidRPr="009448FC" w:rsidRDefault="001C4FB8" w:rsidP="00BF7DB9">
      <w:r>
        <w:t xml:space="preserve"> </w:t>
      </w:r>
    </w:p>
    <w:p w:rsidR="00BF7DB9" w:rsidRPr="009448FC" w:rsidRDefault="00BF7DB9" w:rsidP="00BF7DB9">
      <w:pPr>
        <w:rPr>
          <w:rFonts w:ascii="Arial" w:hAnsi="Arial"/>
          <w:b/>
        </w:rPr>
      </w:pPr>
      <w:r w:rsidRPr="009448FC">
        <w:t>Handover Remaining BI is 1 octet in length and indicates the number of BIs, starting from the BI in which this frame is transmitted, remaining until the handover takes effect.</w:t>
      </w:r>
    </w:p>
    <w:p w:rsidR="00BF7DB9" w:rsidRPr="009448FC" w:rsidRDefault="00BF7DB9" w:rsidP="00BF7DB9">
      <w:pPr>
        <w:rPr>
          <w:rFonts w:ascii="Arial" w:hAnsi="Arial"/>
          <w:b/>
        </w:rPr>
      </w:pPr>
    </w:p>
    <w:p w:rsidR="00BF7DB9" w:rsidRPr="009448FC" w:rsidRDefault="00BF7DB9" w:rsidP="003701DB">
      <w:pPr>
        <w:pStyle w:val="Heading4"/>
        <w:numPr>
          <w:ilvl w:val="3"/>
          <w:numId w:val="27"/>
        </w:numPr>
      </w:pPr>
      <w:bookmarkStart w:id="874" w:name="_Toc259716978"/>
      <w:r w:rsidRPr="009448FC">
        <w:t>Handover Response</w:t>
      </w:r>
      <w:bookmarkEnd w:id="874"/>
    </w:p>
    <w:p w:rsidR="00BF7DB9" w:rsidRPr="009448FC" w:rsidRDefault="00BF7DB9" w:rsidP="00BF7DB9"/>
    <w:p w:rsidR="00BF7DB9" w:rsidRPr="009448FC" w:rsidRDefault="00BF7DB9" w:rsidP="006A0401">
      <w:r w:rsidRPr="009448FC">
        <w:t xml:space="preserve">The format of </w:t>
      </w:r>
      <w:r w:rsidR="006A0401" w:rsidRPr="009448FC">
        <w:t>the Handover Response</w:t>
      </w:r>
      <w:r w:rsidRPr="009448FC">
        <w:t xml:space="preserve"> frame is shown in </w:t>
      </w:r>
      <w:r w:rsidR="00BD151C">
        <w:fldChar w:fldCharType="begin"/>
      </w:r>
      <w:r w:rsidR="006A0401">
        <w:instrText xml:space="preserve"> REF _Ref242693059 \h </w:instrText>
      </w:r>
      <w:r w:rsidR="00BD151C">
        <w:fldChar w:fldCharType="separate"/>
      </w:r>
      <w:r w:rsidR="003E4210" w:rsidRPr="00066F65">
        <w:t xml:space="preserve">Table </w:t>
      </w:r>
      <w:r w:rsidR="003E4210">
        <w:rPr>
          <w:noProof/>
        </w:rPr>
        <w:t>33</w:t>
      </w:r>
      <w:r w:rsidR="00BD151C">
        <w:fldChar w:fldCharType="end"/>
      </w:r>
      <w:r w:rsidRPr="009448FC">
        <w:t>.</w:t>
      </w:r>
    </w:p>
    <w:p w:rsidR="00BF7DB9" w:rsidRPr="009448FC" w:rsidRDefault="00BF7DB9" w:rsidP="00BF7DB9"/>
    <w:p w:rsidR="006A0401" w:rsidRPr="00066F65" w:rsidRDefault="006A0401" w:rsidP="00BA5BC4">
      <w:pPr>
        <w:pStyle w:val="Caption"/>
        <w:rPr>
          <w:szCs w:val="24"/>
        </w:rPr>
      </w:pPr>
      <w:bookmarkStart w:id="875" w:name="_Ref242693059"/>
      <w:bookmarkStart w:id="876" w:name="_Toc250654432"/>
      <w:bookmarkStart w:id="877" w:name="_Toc259717611"/>
      <w:r w:rsidRPr="00066F65">
        <w:t xml:space="preserve">Table </w:t>
      </w:r>
      <w:r w:rsidR="00BD151C">
        <w:fldChar w:fldCharType="begin"/>
      </w:r>
      <w:r w:rsidR="00801316">
        <w:instrText xml:space="preserve"> SEQ Table \* ARABIC </w:instrText>
      </w:r>
      <w:r w:rsidR="00BD151C">
        <w:fldChar w:fldCharType="separate"/>
      </w:r>
      <w:r w:rsidR="003E4210">
        <w:rPr>
          <w:noProof/>
        </w:rPr>
        <w:t>33</w:t>
      </w:r>
      <w:r w:rsidR="00BD151C">
        <w:fldChar w:fldCharType="end"/>
      </w:r>
      <w:bookmarkEnd w:id="875"/>
      <w:r w:rsidRPr="00066F65">
        <w:t xml:space="preserve"> </w:t>
      </w:r>
      <w:r w:rsidR="001F563D" w:rsidRPr="00066F65">
        <w:t xml:space="preserve">– </w:t>
      </w:r>
      <w:r w:rsidRPr="00066F65">
        <w:t>Handover Response</w:t>
      </w:r>
      <w:r w:rsidRPr="00066F65">
        <w:rPr>
          <w:rFonts w:eastAsia="Times New Roman"/>
          <w:szCs w:val="24"/>
        </w:rPr>
        <w:t xml:space="preserve"> frame</w:t>
      </w:r>
      <w:bookmarkEnd w:id="876"/>
      <w:bookmarkEnd w:id="8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2602"/>
      </w:tblGrid>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b/>
              </w:rPr>
            </w:pPr>
            <w:r w:rsidRPr="009448FC">
              <w:rPr>
                <w:rFonts w:eastAsia="SimSun"/>
                <w:b/>
              </w:rPr>
              <w:t>Order</w:t>
            </w:r>
          </w:p>
        </w:tc>
        <w:tc>
          <w:tcPr>
            <w:tcW w:w="0" w:type="auto"/>
          </w:tcPr>
          <w:p w:rsidR="00BF7DB9" w:rsidRPr="009448FC" w:rsidRDefault="00BF7DB9" w:rsidP="00D0037C">
            <w:pPr>
              <w:autoSpaceDE w:val="0"/>
              <w:autoSpaceDN w:val="0"/>
              <w:adjustRightInd w:val="0"/>
              <w:jc w:val="both"/>
              <w:rPr>
                <w:rFonts w:eastAsia="SimSun"/>
                <w:b/>
              </w:rPr>
            </w:pPr>
            <w:r w:rsidRPr="009448FC">
              <w:rPr>
                <w:rFonts w:eastAsia="SimSun"/>
                <w:b/>
              </w:rPr>
              <w:t>Information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1</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Category</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2</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Action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3</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Result</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4</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Reject Reason</w:t>
            </w:r>
          </w:p>
        </w:tc>
      </w:tr>
    </w:tbl>
    <w:p w:rsidR="00BF7DB9" w:rsidRPr="009448FC" w:rsidRDefault="00BF7DB9" w:rsidP="00BF7DB9">
      <w:pPr>
        <w:rPr>
          <w:rFonts w:ascii="Arial" w:hAnsi="Arial"/>
          <w:b/>
        </w:rPr>
      </w:pPr>
    </w:p>
    <w:p w:rsidR="00BF7DB9" w:rsidRPr="009448FC" w:rsidRDefault="00BF7DB9" w:rsidP="001B7853">
      <w:r w:rsidRPr="009448FC">
        <w:t xml:space="preserve">The category field is set to the category for mmWave, specified in </w:t>
      </w:r>
      <w:r w:rsidR="00BD151C">
        <w:fldChar w:fldCharType="begin"/>
      </w:r>
      <w:r w:rsidR="001B7853">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BF7DB9" w:rsidRPr="009448FC" w:rsidRDefault="00BF7DB9" w:rsidP="00BF7DB9"/>
    <w:p w:rsidR="00BF7DB9" w:rsidRPr="00D96DEA" w:rsidRDefault="00BF7DB9" w:rsidP="001B7853">
      <w:r w:rsidRPr="009448FC">
        <w:t xml:space="preserve">The Action field is set to the value for Handover Response, specified in </w:t>
      </w:r>
      <w:r w:rsidR="00BD151C">
        <w:fldChar w:fldCharType="begin"/>
      </w:r>
      <w:r w:rsidR="00FF5CF5">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D96DEA">
        <w:t>.</w:t>
      </w:r>
    </w:p>
    <w:p w:rsidR="00BF7DB9" w:rsidRPr="00D96DEA" w:rsidRDefault="00BF7DB9" w:rsidP="00BF7DB9"/>
    <w:p w:rsidR="00BF7DB9" w:rsidRPr="00D96DEA" w:rsidRDefault="00BF7DB9" w:rsidP="00BF7DB9">
      <w:r w:rsidRPr="00D96DEA">
        <w:t xml:space="preserve">Handover Result is 1 octet in length and indicates whether the destination STA </w:t>
      </w:r>
      <w:r w:rsidR="00776DA5">
        <w:t xml:space="preserve">or PCP </w:t>
      </w:r>
      <w:r w:rsidRPr="00D96DEA">
        <w:t xml:space="preserve">accepted or not a handover request. A value of 0 indicates that the destination STA </w:t>
      </w:r>
      <w:r w:rsidR="00776DA5">
        <w:t xml:space="preserve">or PCP </w:t>
      </w:r>
      <w:r w:rsidRPr="00D96DEA">
        <w:t>accepts the handover request.</w:t>
      </w:r>
      <w:r w:rsidR="00281486" w:rsidRPr="00D96DEA">
        <w:t xml:space="preserve"> </w:t>
      </w:r>
      <w:r w:rsidRPr="00D96DEA">
        <w:t xml:space="preserve">A value of 1 indicates that the destination STA </w:t>
      </w:r>
      <w:r w:rsidR="00776DA5">
        <w:t xml:space="preserve">or PCP </w:t>
      </w:r>
      <w:r w:rsidRPr="00D96DEA">
        <w:t xml:space="preserve">does not accept the handover request. </w:t>
      </w:r>
    </w:p>
    <w:p w:rsidR="00BF7DB9" w:rsidRPr="00D96DEA" w:rsidRDefault="00BF7DB9" w:rsidP="00BF7DB9"/>
    <w:p w:rsidR="00BF7DB9" w:rsidRPr="00D96DEA" w:rsidRDefault="00BF7DB9" w:rsidP="00BF7DB9">
      <w:pPr>
        <w:rPr>
          <w:rFonts w:ascii="Arial" w:hAnsi="Arial"/>
          <w:b/>
        </w:rPr>
      </w:pPr>
      <w:r w:rsidRPr="00D96DEA">
        <w:t xml:space="preserve">If the Handover Result field is set to 0, the Handover Reject Reason field is reserved and set to 0. If the Handover Result field is set to 1, the Handover Reject Reason indicates the reason the destination STA </w:t>
      </w:r>
      <w:r w:rsidR="00776DA5">
        <w:t xml:space="preserve">or PCP </w:t>
      </w:r>
      <w:r w:rsidRPr="00D96DEA">
        <w:t xml:space="preserve">rejected the handover request and can be one of the following: 0 for </w:t>
      </w:r>
      <w:r w:rsidR="00A24B35">
        <w:t>l</w:t>
      </w:r>
      <w:r w:rsidRPr="00D96DEA">
        <w:t>ow power</w:t>
      </w:r>
      <w:r w:rsidR="00776DA5">
        <w:rPr>
          <w:rFonts w:hint="eastAsia"/>
          <w:lang w:eastAsia="ko-KR"/>
        </w:rPr>
        <w:t>, 1 for</w:t>
      </w:r>
      <w:r w:rsidR="00776DA5" w:rsidRPr="00550FA4">
        <w:rPr>
          <w:rFonts w:hint="eastAsia"/>
          <w:lang w:eastAsia="ko-KR"/>
        </w:rPr>
        <w:t xml:space="preserve"> </w:t>
      </w:r>
      <w:r w:rsidR="00776DA5">
        <w:rPr>
          <w:lang w:eastAsia="ko-KR"/>
        </w:rPr>
        <w:t>h</w:t>
      </w:r>
      <w:r w:rsidR="00776DA5">
        <w:rPr>
          <w:rFonts w:hint="eastAsia"/>
          <w:lang w:eastAsia="ko-KR"/>
        </w:rPr>
        <w:t xml:space="preserve">andover </w:t>
      </w:r>
      <w:r w:rsidR="00776DA5">
        <w:rPr>
          <w:lang w:eastAsia="ko-KR"/>
        </w:rPr>
        <w:t xml:space="preserve">in progress </w:t>
      </w:r>
      <w:r w:rsidR="00776DA5">
        <w:rPr>
          <w:rFonts w:hint="eastAsia"/>
          <w:lang w:eastAsia="ko-KR"/>
        </w:rPr>
        <w:t xml:space="preserve">with </w:t>
      </w:r>
      <w:r w:rsidR="00776DA5">
        <w:rPr>
          <w:lang w:eastAsia="ko-KR"/>
        </w:rPr>
        <w:t>an</w:t>
      </w:r>
      <w:r w:rsidR="00776DA5">
        <w:rPr>
          <w:rFonts w:hint="eastAsia"/>
          <w:lang w:eastAsia="ko-KR"/>
        </w:rPr>
        <w:t>other STA</w:t>
      </w:r>
      <w:r w:rsidR="00776DA5">
        <w:rPr>
          <w:lang w:eastAsia="ko-KR"/>
        </w:rPr>
        <w:t>,</w:t>
      </w:r>
      <w:r w:rsidRPr="00D96DEA">
        <w:t xml:space="preserve"> and </w:t>
      </w:r>
      <w:r w:rsidR="00776DA5">
        <w:t>2</w:t>
      </w:r>
      <w:r w:rsidR="00776DA5" w:rsidRPr="00D96DEA">
        <w:t xml:space="preserve"> </w:t>
      </w:r>
      <w:r w:rsidRPr="00D96DEA">
        <w:t xml:space="preserve">for unspecified </w:t>
      </w:r>
      <w:r w:rsidR="00A24B35">
        <w:t>r</w:t>
      </w:r>
      <w:r w:rsidRPr="00D96DEA">
        <w:t>eason. The length of Handover Reject Reason field is 1 octet.</w:t>
      </w:r>
    </w:p>
    <w:p w:rsidR="000E7E88" w:rsidRPr="00D96DEA" w:rsidRDefault="008D0356" w:rsidP="000E7E88">
      <w:r>
        <w:t xml:space="preserve"> </w:t>
      </w:r>
    </w:p>
    <w:p w:rsidR="00C72B21" w:rsidRPr="00D96DEA" w:rsidRDefault="00C72B21" w:rsidP="003701DB">
      <w:pPr>
        <w:pStyle w:val="Heading4"/>
        <w:numPr>
          <w:ilvl w:val="3"/>
          <w:numId w:val="27"/>
        </w:numPr>
      </w:pPr>
      <w:bookmarkStart w:id="878" w:name="_Ref250115620"/>
      <w:bookmarkStart w:id="879" w:name="_Toc259716979"/>
      <w:r w:rsidRPr="00D96DEA">
        <w:t xml:space="preserve">Link </w:t>
      </w:r>
      <w:r w:rsidR="000E0B6E">
        <w:t>Margin</w:t>
      </w:r>
      <w:r w:rsidRPr="00D96DEA">
        <w:t xml:space="preserve"> Request</w:t>
      </w:r>
      <w:bookmarkEnd w:id="878"/>
      <w:bookmarkEnd w:id="879"/>
    </w:p>
    <w:p w:rsidR="00C72B21" w:rsidRPr="00D96DEA" w:rsidRDefault="00C72B21" w:rsidP="000E7E88"/>
    <w:p w:rsidR="00FF5CF5" w:rsidRPr="009448FC" w:rsidRDefault="00FF5CF5" w:rsidP="00FF5CF5">
      <w:r w:rsidRPr="00D96DEA">
        <w:t xml:space="preserve">The format of the Link </w:t>
      </w:r>
      <w:r w:rsidR="000E0B6E">
        <w:t>Margin</w:t>
      </w:r>
      <w:r w:rsidRPr="00D96DEA">
        <w:t xml:space="preserve"> Request frame is shown in</w:t>
      </w:r>
      <w:r w:rsidR="00441F16" w:rsidRPr="00D96DEA">
        <w:t xml:space="preserve"> </w:t>
      </w:r>
      <w:r w:rsidR="00BD151C">
        <w:fldChar w:fldCharType="begin"/>
      </w:r>
      <w:r w:rsidR="00441F16">
        <w:instrText xml:space="preserve"> REF _Ref250114340 \h </w:instrText>
      </w:r>
      <w:r w:rsidR="00BD151C">
        <w:fldChar w:fldCharType="separate"/>
      </w:r>
      <w:r w:rsidR="003E4210" w:rsidRPr="00066F65">
        <w:t xml:space="preserve">Table </w:t>
      </w:r>
      <w:r w:rsidR="003E4210">
        <w:rPr>
          <w:noProof/>
        </w:rPr>
        <w:t>34</w:t>
      </w:r>
      <w:r w:rsidR="00BD151C">
        <w:fldChar w:fldCharType="end"/>
      </w:r>
      <w:r w:rsidRPr="009448FC">
        <w:t>.</w:t>
      </w:r>
    </w:p>
    <w:p w:rsidR="00FF5CF5" w:rsidRPr="009448FC" w:rsidRDefault="00FF5CF5" w:rsidP="00FF5CF5"/>
    <w:p w:rsidR="00FF5CF5" w:rsidRPr="00066F65" w:rsidRDefault="00FF5CF5" w:rsidP="00BA5BC4">
      <w:pPr>
        <w:pStyle w:val="Caption"/>
        <w:rPr>
          <w:szCs w:val="24"/>
        </w:rPr>
      </w:pPr>
      <w:bookmarkStart w:id="880" w:name="_Ref250114340"/>
      <w:bookmarkStart w:id="881" w:name="_Toc250654433"/>
      <w:bookmarkStart w:id="882" w:name="_Toc259717612"/>
      <w:r w:rsidRPr="00066F65">
        <w:t xml:space="preserve">Table </w:t>
      </w:r>
      <w:r w:rsidR="00BD151C">
        <w:fldChar w:fldCharType="begin"/>
      </w:r>
      <w:r w:rsidR="00801316">
        <w:instrText xml:space="preserve"> SEQ Table \* ARABIC </w:instrText>
      </w:r>
      <w:r w:rsidR="00BD151C">
        <w:fldChar w:fldCharType="separate"/>
      </w:r>
      <w:r w:rsidR="003E4210">
        <w:rPr>
          <w:noProof/>
        </w:rPr>
        <w:t>34</w:t>
      </w:r>
      <w:r w:rsidR="00BD151C">
        <w:fldChar w:fldCharType="end"/>
      </w:r>
      <w:bookmarkEnd w:id="880"/>
      <w:r w:rsidRPr="00066F65">
        <w:t xml:space="preserve"> – Link </w:t>
      </w:r>
      <w:r w:rsidR="000E0B6E">
        <w:t>Margin</w:t>
      </w:r>
      <w:r w:rsidRPr="00066F65">
        <w:t xml:space="preserve"> Request</w:t>
      </w:r>
      <w:r w:rsidRPr="00066F65">
        <w:rPr>
          <w:rFonts w:eastAsia="Times New Roman"/>
          <w:szCs w:val="24"/>
        </w:rPr>
        <w:t xml:space="preserve"> frame</w:t>
      </w:r>
      <w:bookmarkEnd w:id="881"/>
      <w:bookmarkEnd w:id="8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1543"/>
      </w:tblGrid>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b/>
              </w:rPr>
            </w:pPr>
            <w:r w:rsidRPr="009448FC">
              <w:rPr>
                <w:rFonts w:eastAsia="SimSun"/>
                <w:b/>
              </w:rPr>
              <w:lastRenderedPageBreak/>
              <w:t>Order</w:t>
            </w:r>
          </w:p>
        </w:tc>
        <w:tc>
          <w:tcPr>
            <w:tcW w:w="0" w:type="auto"/>
          </w:tcPr>
          <w:p w:rsidR="00FF5CF5" w:rsidRPr="009448FC" w:rsidRDefault="00FF5CF5" w:rsidP="003D570B">
            <w:pPr>
              <w:autoSpaceDE w:val="0"/>
              <w:autoSpaceDN w:val="0"/>
              <w:adjustRightInd w:val="0"/>
              <w:jc w:val="both"/>
              <w:rPr>
                <w:rFonts w:eastAsia="SimSun"/>
                <w:b/>
              </w:rPr>
            </w:pPr>
            <w:r w:rsidRPr="009448FC">
              <w:rPr>
                <w:rFonts w:eastAsia="SimSun"/>
                <w:b/>
              </w:rPr>
              <w:t>Information</w:t>
            </w:r>
          </w:p>
        </w:tc>
      </w:tr>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rPr>
            </w:pPr>
            <w:r w:rsidRPr="009448FC">
              <w:rPr>
                <w:rFonts w:eastAsia="SimSun"/>
              </w:rPr>
              <w:t>1</w:t>
            </w:r>
          </w:p>
        </w:tc>
        <w:tc>
          <w:tcPr>
            <w:tcW w:w="0" w:type="auto"/>
          </w:tcPr>
          <w:p w:rsidR="00FF5CF5" w:rsidRPr="009448FC" w:rsidRDefault="00FF5CF5" w:rsidP="003D570B">
            <w:pPr>
              <w:autoSpaceDE w:val="0"/>
              <w:autoSpaceDN w:val="0"/>
              <w:adjustRightInd w:val="0"/>
              <w:jc w:val="both"/>
              <w:rPr>
                <w:rFonts w:eastAsia="SimSun"/>
              </w:rPr>
            </w:pPr>
            <w:r w:rsidRPr="009448FC">
              <w:rPr>
                <w:rFonts w:eastAsia="SimSun"/>
              </w:rPr>
              <w:t>Category</w:t>
            </w:r>
          </w:p>
        </w:tc>
      </w:tr>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rPr>
            </w:pPr>
            <w:r w:rsidRPr="009448FC">
              <w:rPr>
                <w:rFonts w:eastAsia="SimSun"/>
              </w:rPr>
              <w:t>2</w:t>
            </w:r>
          </w:p>
        </w:tc>
        <w:tc>
          <w:tcPr>
            <w:tcW w:w="0" w:type="auto"/>
          </w:tcPr>
          <w:p w:rsidR="00FF5CF5" w:rsidRPr="009448FC" w:rsidRDefault="00FF5CF5" w:rsidP="003D570B">
            <w:pPr>
              <w:autoSpaceDE w:val="0"/>
              <w:autoSpaceDN w:val="0"/>
              <w:adjustRightInd w:val="0"/>
              <w:jc w:val="both"/>
              <w:rPr>
                <w:rFonts w:eastAsia="SimSun"/>
              </w:rPr>
            </w:pPr>
            <w:r w:rsidRPr="009448FC">
              <w:rPr>
                <w:rFonts w:eastAsia="SimSun"/>
              </w:rPr>
              <w:t>Action</w:t>
            </w:r>
          </w:p>
        </w:tc>
      </w:tr>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rPr>
            </w:pPr>
            <w:r w:rsidRPr="009448FC">
              <w:rPr>
                <w:rFonts w:eastAsia="SimSun"/>
              </w:rPr>
              <w:t>3</w:t>
            </w:r>
          </w:p>
        </w:tc>
        <w:tc>
          <w:tcPr>
            <w:tcW w:w="0" w:type="auto"/>
          </w:tcPr>
          <w:p w:rsidR="00FF5CF5" w:rsidRPr="009448FC" w:rsidRDefault="00FF5CF5" w:rsidP="003D570B">
            <w:pPr>
              <w:autoSpaceDE w:val="0"/>
              <w:autoSpaceDN w:val="0"/>
              <w:adjustRightInd w:val="0"/>
              <w:jc w:val="both"/>
              <w:rPr>
                <w:rFonts w:eastAsia="SimSun"/>
              </w:rPr>
            </w:pPr>
            <w:r w:rsidRPr="009448FC">
              <w:rPr>
                <w:rFonts w:eastAsia="SimSun"/>
              </w:rPr>
              <w:t>Dialog Token</w:t>
            </w:r>
          </w:p>
        </w:tc>
      </w:tr>
    </w:tbl>
    <w:p w:rsidR="00FF5CF5" w:rsidRPr="009448FC" w:rsidRDefault="00FF5CF5" w:rsidP="00FF5CF5">
      <w:pPr>
        <w:rPr>
          <w:rFonts w:ascii="Arial" w:hAnsi="Arial"/>
          <w:b/>
        </w:rPr>
      </w:pPr>
    </w:p>
    <w:p w:rsidR="00FF5CF5" w:rsidRPr="009448FC" w:rsidRDefault="00FF5CF5" w:rsidP="00FF5CF5">
      <w:r w:rsidRPr="009448FC">
        <w:t xml:space="preserve">The category field is set to the category for mmWave,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FF5CF5" w:rsidRPr="009448FC" w:rsidRDefault="00FF5CF5" w:rsidP="00FF5CF5"/>
    <w:p w:rsidR="00FF5CF5" w:rsidRPr="009448FC" w:rsidRDefault="00FF5CF5" w:rsidP="00FF5CF5">
      <w:r w:rsidRPr="009448FC">
        <w:t xml:space="preserve">The Action field is set to the value for Link </w:t>
      </w:r>
      <w:r w:rsidR="000E0B6E">
        <w:t>Margin</w:t>
      </w:r>
      <w:r w:rsidRPr="009448FC">
        <w:t xml:space="preserve"> Request, specified in </w:t>
      </w:r>
      <w:r w:rsidR="00BD151C" w:rsidRPr="009448FC">
        <w:fldChar w:fldCharType="begin"/>
      </w:r>
      <w:r w:rsidRPr="009448FC">
        <w:instrText xml:space="preserve"> REF _Ref236378110 \h </w:instrText>
      </w:r>
      <w:r w:rsidR="00BD151C" w:rsidRPr="009448FC">
        <w:fldChar w:fldCharType="separate"/>
      </w:r>
      <w:r w:rsidR="003E4210" w:rsidRPr="00066F65">
        <w:t xml:space="preserve">Table </w:t>
      </w:r>
      <w:r w:rsidR="003E4210">
        <w:rPr>
          <w:noProof/>
        </w:rPr>
        <w:t>25</w:t>
      </w:r>
      <w:r w:rsidR="00BD151C" w:rsidRPr="009448FC">
        <w:fldChar w:fldCharType="end"/>
      </w:r>
      <w:r w:rsidRPr="009448FC">
        <w:t>.</w:t>
      </w:r>
    </w:p>
    <w:p w:rsidR="00FF5CF5" w:rsidRPr="009448FC" w:rsidRDefault="00FF5CF5" w:rsidP="000E7E88"/>
    <w:p w:rsidR="00441F16" w:rsidRPr="009448FC" w:rsidRDefault="00441F16" w:rsidP="000E7E88">
      <w:r w:rsidRPr="009448FC">
        <w:t>The Dialog Token field is set to a non-zero value chosen by the STA sending the request to identify the transaction.</w:t>
      </w:r>
    </w:p>
    <w:p w:rsidR="00C72B21" w:rsidRPr="009448FC" w:rsidRDefault="00C72B21" w:rsidP="000E7E88"/>
    <w:p w:rsidR="00C72B21" w:rsidRPr="009448FC" w:rsidRDefault="00C72B21" w:rsidP="003701DB">
      <w:pPr>
        <w:pStyle w:val="Heading4"/>
        <w:numPr>
          <w:ilvl w:val="3"/>
          <w:numId w:val="27"/>
        </w:numPr>
      </w:pPr>
      <w:bookmarkStart w:id="883" w:name="_Ref250115623"/>
      <w:bookmarkStart w:id="884" w:name="_Toc259716980"/>
      <w:r w:rsidRPr="009448FC">
        <w:t xml:space="preserve">Link </w:t>
      </w:r>
      <w:r w:rsidR="000E0B6E">
        <w:t>Margin</w:t>
      </w:r>
      <w:r w:rsidRPr="009448FC">
        <w:t xml:space="preserve"> Response</w:t>
      </w:r>
      <w:bookmarkEnd w:id="883"/>
      <w:bookmarkEnd w:id="884"/>
    </w:p>
    <w:p w:rsidR="00C72B21" w:rsidRPr="009448FC" w:rsidRDefault="00C72B21" w:rsidP="000E7E88"/>
    <w:p w:rsidR="007D555D" w:rsidRPr="009448FC" w:rsidRDefault="007D555D" w:rsidP="007D555D">
      <w:r w:rsidRPr="009448FC">
        <w:t xml:space="preserve">The Link </w:t>
      </w:r>
      <w:r w:rsidR="000E0B6E">
        <w:t>Margin</w:t>
      </w:r>
      <w:r w:rsidRPr="009448FC">
        <w:t xml:space="preserve"> Response frame is an Action </w:t>
      </w:r>
      <w:r w:rsidRPr="009448FC">
        <w:rPr>
          <w:rFonts w:ascii="TimesNewRomanPSMT" w:hAnsi="TimesNewRomanPSMT"/>
        </w:rPr>
        <w:t>or an Action No Ack</w:t>
      </w:r>
      <w:r w:rsidRPr="009448FC">
        <w:rPr>
          <w:rFonts w:ascii="TimesNewRomanPSMT" w:hAnsi="TimesNewRomanPSMT"/>
          <w:sz w:val="20"/>
        </w:rPr>
        <w:t xml:space="preserve"> </w:t>
      </w:r>
      <w:r w:rsidRPr="009448FC">
        <w:t xml:space="preserve">frame. The format of the Link </w:t>
      </w:r>
      <w:r w:rsidR="000E0B6E">
        <w:t>Margin</w:t>
      </w:r>
      <w:r w:rsidRPr="009448FC">
        <w:t xml:space="preserve"> Response frame is shown in </w:t>
      </w:r>
      <w:r w:rsidR="00BD151C">
        <w:rPr>
          <w:lang w:eastAsia="zh-TW"/>
        </w:rPr>
        <w:fldChar w:fldCharType="begin"/>
      </w:r>
      <w:r>
        <w:rPr>
          <w:lang w:eastAsia="zh-TW"/>
        </w:rPr>
        <w:instrText xml:space="preserve"> REF _Ref250114644 \h </w:instrText>
      </w:r>
      <w:r w:rsidR="00BD151C">
        <w:rPr>
          <w:lang w:eastAsia="zh-TW"/>
        </w:rPr>
      </w:r>
      <w:r w:rsidR="00BD151C">
        <w:rPr>
          <w:lang w:eastAsia="zh-TW"/>
        </w:rPr>
        <w:fldChar w:fldCharType="separate"/>
      </w:r>
      <w:r w:rsidR="003E4210" w:rsidRPr="00066F65">
        <w:t xml:space="preserve">Table </w:t>
      </w:r>
      <w:r w:rsidR="003E4210">
        <w:rPr>
          <w:noProof/>
        </w:rPr>
        <w:t>35</w:t>
      </w:r>
      <w:r w:rsidR="00BD151C">
        <w:rPr>
          <w:lang w:eastAsia="zh-TW"/>
        </w:rPr>
        <w:fldChar w:fldCharType="end"/>
      </w:r>
      <w:r w:rsidRPr="009448FC">
        <w:t>.</w:t>
      </w:r>
    </w:p>
    <w:p w:rsidR="007D555D" w:rsidRPr="009448FC" w:rsidRDefault="007D555D" w:rsidP="007D555D"/>
    <w:p w:rsidR="007D555D" w:rsidRPr="00066F65" w:rsidRDefault="007D555D" w:rsidP="00BA5BC4">
      <w:pPr>
        <w:pStyle w:val="Caption"/>
        <w:rPr>
          <w:szCs w:val="24"/>
        </w:rPr>
      </w:pPr>
      <w:bookmarkStart w:id="885" w:name="_Ref250114644"/>
      <w:bookmarkStart w:id="886" w:name="_Toc250654434"/>
      <w:bookmarkStart w:id="887" w:name="_Toc259717613"/>
      <w:r w:rsidRPr="00066F65">
        <w:t xml:space="preserve">Table </w:t>
      </w:r>
      <w:r w:rsidR="00BD151C">
        <w:fldChar w:fldCharType="begin"/>
      </w:r>
      <w:r w:rsidR="00801316">
        <w:instrText xml:space="preserve"> SEQ Table \* ARABIC </w:instrText>
      </w:r>
      <w:r w:rsidR="00BD151C">
        <w:fldChar w:fldCharType="separate"/>
      </w:r>
      <w:r w:rsidR="003E4210">
        <w:rPr>
          <w:noProof/>
        </w:rPr>
        <w:t>35</w:t>
      </w:r>
      <w:r w:rsidR="00BD151C">
        <w:fldChar w:fldCharType="end"/>
      </w:r>
      <w:bookmarkEnd w:id="885"/>
      <w:r w:rsidRPr="00066F65">
        <w:t xml:space="preserve"> – Link </w:t>
      </w:r>
      <w:r w:rsidR="000E0B6E">
        <w:t>Margin</w:t>
      </w:r>
      <w:r w:rsidRPr="00066F65">
        <w:t xml:space="preserve"> Response</w:t>
      </w:r>
      <w:r w:rsidRPr="00066F65">
        <w:rPr>
          <w:rFonts w:eastAsia="Times New Roman"/>
          <w:szCs w:val="24"/>
        </w:rPr>
        <w:t xml:space="preserve"> frame</w:t>
      </w:r>
      <w:bookmarkEnd w:id="886"/>
      <w:bookmarkEnd w:id="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1543"/>
      </w:tblGrid>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b/>
              </w:rPr>
            </w:pPr>
            <w:r w:rsidRPr="009448FC">
              <w:rPr>
                <w:rFonts w:eastAsia="SimSun"/>
                <w:b/>
              </w:rPr>
              <w:t>Order</w:t>
            </w:r>
          </w:p>
        </w:tc>
        <w:tc>
          <w:tcPr>
            <w:tcW w:w="0" w:type="auto"/>
          </w:tcPr>
          <w:p w:rsidR="007D555D" w:rsidRPr="009448FC" w:rsidRDefault="007D555D" w:rsidP="003D570B">
            <w:pPr>
              <w:autoSpaceDE w:val="0"/>
              <w:autoSpaceDN w:val="0"/>
              <w:adjustRightInd w:val="0"/>
              <w:jc w:val="both"/>
              <w:rPr>
                <w:rFonts w:eastAsia="SimSun"/>
                <w:b/>
              </w:rPr>
            </w:pPr>
            <w:r w:rsidRPr="009448FC">
              <w:rPr>
                <w:rFonts w:eastAsia="SimSun"/>
                <w:b/>
              </w:rPr>
              <w:t>Information</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1</w:t>
            </w:r>
          </w:p>
        </w:tc>
        <w:tc>
          <w:tcPr>
            <w:tcW w:w="0" w:type="auto"/>
          </w:tcPr>
          <w:p w:rsidR="007D555D" w:rsidRPr="009448FC" w:rsidRDefault="007D555D" w:rsidP="003D570B">
            <w:pPr>
              <w:autoSpaceDE w:val="0"/>
              <w:autoSpaceDN w:val="0"/>
              <w:adjustRightInd w:val="0"/>
              <w:jc w:val="both"/>
              <w:rPr>
                <w:rFonts w:eastAsia="SimSun"/>
              </w:rPr>
            </w:pPr>
            <w:r w:rsidRPr="009448FC">
              <w:rPr>
                <w:rFonts w:eastAsia="SimSun"/>
              </w:rPr>
              <w:t>Category</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2</w:t>
            </w:r>
          </w:p>
        </w:tc>
        <w:tc>
          <w:tcPr>
            <w:tcW w:w="0" w:type="auto"/>
          </w:tcPr>
          <w:p w:rsidR="007D555D" w:rsidRPr="009448FC" w:rsidRDefault="007D555D" w:rsidP="003D570B">
            <w:pPr>
              <w:autoSpaceDE w:val="0"/>
              <w:autoSpaceDN w:val="0"/>
              <w:adjustRightInd w:val="0"/>
              <w:jc w:val="both"/>
              <w:rPr>
                <w:rFonts w:eastAsia="SimSun"/>
              </w:rPr>
            </w:pPr>
            <w:r w:rsidRPr="009448FC">
              <w:rPr>
                <w:rFonts w:eastAsia="SimSun"/>
              </w:rPr>
              <w:t>Action</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3</w:t>
            </w:r>
          </w:p>
        </w:tc>
        <w:tc>
          <w:tcPr>
            <w:tcW w:w="0" w:type="auto"/>
          </w:tcPr>
          <w:p w:rsidR="007D555D" w:rsidRPr="009448FC" w:rsidRDefault="007D555D" w:rsidP="003D570B">
            <w:pPr>
              <w:autoSpaceDE w:val="0"/>
              <w:autoSpaceDN w:val="0"/>
              <w:adjustRightInd w:val="0"/>
              <w:jc w:val="both"/>
              <w:rPr>
                <w:rFonts w:eastAsia="SimSun"/>
              </w:rPr>
            </w:pPr>
            <w:r w:rsidRPr="009448FC">
              <w:rPr>
                <w:rFonts w:eastAsia="SimSun"/>
              </w:rPr>
              <w:t>Dialog Token</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4</w:t>
            </w:r>
          </w:p>
        </w:tc>
        <w:tc>
          <w:tcPr>
            <w:tcW w:w="0" w:type="auto"/>
          </w:tcPr>
          <w:p w:rsidR="007D555D" w:rsidRPr="009448FC" w:rsidRDefault="007D555D" w:rsidP="00A24B35">
            <w:pPr>
              <w:autoSpaceDE w:val="0"/>
              <w:autoSpaceDN w:val="0"/>
              <w:adjustRightInd w:val="0"/>
              <w:jc w:val="both"/>
              <w:rPr>
                <w:rFonts w:eastAsia="SimSun"/>
              </w:rPr>
            </w:pPr>
            <w:r w:rsidRPr="009448FC">
              <w:rPr>
                <w:rFonts w:eastAsia="SimSun"/>
              </w:rPr>
              <w:t xml:space="preserve">Link </w:t>
            </w:r>
            <w:r w:rsidR="000E0B6E">
              <w:rPr>
                <w:rFonts w:eastAsia="SimSun"/>
              </w:rPr>
              <w:t>Margin</w:t>
            </w:r>
          </w:p>
        </w:tc>
      </w:tr>
    </w:tbl>
    <w:p w:rsidR="007D555D" w:rsidRPr="009448FC" w:rsidRDefault="007D555D" w:rsidP="007D555D"/>
    <w:p w:rsidR="007D555D" w:rsidRPr="009448FC" w:rsidRDefault="007D555D" w:rsidP="007D555D">
      <w:r w:rsidRPr="009448FC">
        <w:t xml:space="preserve">The category field is set to the category for mmWave,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448FC">
        <w:t>.</w:t>
      </w:r>
    </w:p>
    <w:p w:rsidR="007D555D" w:rsidRPr="009448FC" w:rsidRDefault="007D555D" w:rsidP="007D555D"/>
    <w:p w:rsidR="007D555D" w:rsidRPr="009448FC" w:rsidRDefault="007D555D" w:rsidP="007D555D">
      <w:r w:rsidRPr="009448FC">
        <w:t xml:space="preserve">The Action field is set to the value for Link </w:t>
      </w:r>
      <w:r w:rsidR="000E0B6E">
        <w:t>Margin</w:t>
      </w:r>
      <w:r w:rsidRPr="009448FC">
        <w:t xml:space="preserve"> Request, 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9448FC">
        <w:t>.</w:t>
      </w:r>
    </w:p>
    <w:p w:rsidR="007D555D" w:rsidRPr="009448FC" w:rsidRDefault="007D555D" w:rsidP="007D555D"/>
    <w:p w:rsidR="007D555D" w:rsidRPr="009448FC" w:rsidRDefault="007D555D" w:rsidP="007D555D">
      <w:pPr>
        <w:autoSpaceDE w:val="0"/>
        <w:autoSpaceDN w:val="0"/>
        <w:adjustRightInd w:val="0"/>
        <w:rPr>
          <w:rFonts w:ascii="TimesNewRoman" w:hAnsi="TimesNewRoman"/>
        </w:rPr>
      </w:pPr>
      <w:r w:rsidRPr="009448FC">
        <w:rPr>
          <w:rFonts w:ascii="TimesNewRoman" w:hAnsi="TimesNewRoman"/>
        </w:rPr>
        <w:t xml:space="preserve">The Dialog Token field is set to the value received in a corresponding Link </w:t>
      </w:r>
      <w:r w:rsidR="000E0B6E">
        <w:rPr>
          <w:rFonts w:ascii="TimesNewRoman" w:hAnsi="TimesNewRoman"/>
        </w:rPr>
        <w:t>Margin</w:t>
      </w:r>
      <w:r w:rsidRPr="009448FC">
        <w:rPr>
          <w:rFonts w:ascii="TimesNewRoman" w:hAnsi="TimesNewRoman"/>
        </w:rPr>
        <w:t xml:space="preserve"> Request frame. If the Link </w:t>
      </w:r>
      <w:r w:rsidR="000E0B6E">
        <w:rPr>
          <w:rFonts w:ascii="TimesNewRoman" w:hAnsi="TimesNewRoman"/>
        </w:rPr>
        <w:t>Margin</w:t>
      </w:r>
      <w:r w:rsidRPr="009448FC">
        <w:rPr>
          <w:rFonts w:ascii="TimesNewRoman" w:hAnsi="TimesNewRoman"/>
        </w:rPr>
        <w:t xml:space="preserve"> Response frame is not transmitted in response to a Link </w:t>
      </w:r>
      <w:r w:rsidR="000E0B6E">
        <w:rPr>
          <w:rFonts w:ascii="TimesNewRoman" w:hAnsi="TimesNewRoman"/>
        </w:rPr>
        <w:t>Margin</w:t>
      </w:r>
      <w:r w:rsidRPr="009448FC">
        <w:rPr>
          <w:rFonts w:ascii="TimesNewRoman" w:hAnsi="TimesNewRoman"/>
        </w:rPr>
        <w:t xml:space="preserve"> Request frame, then the Dialog Token field is set to 0.</w:t>
      </w:r>
    </w:p>
    <w:p w:rsidR="007D555D" w:rsidRPr="009448FC" w:rsidRDefault="007D555D" w:rsidP="007D555D"/>
    <w:p w:rsidR="007D555D" w:rsidRPr="009448FC" w:rsidRDefault="007D555D" w:rsidP="007D555D">
      <w:r w:rsidRPr="009448FC">
        <w:t xml:space="preserve">The Link </w:t>
      </w:r>
      <w:r w:rsidR="000E0B6E">
        <w:t>Margin</w:t>
      </w:r>
      <w:r w:rsidRPr="009448FC">
        <w:t xml:space="preserve"> element is defined in </w:t>
      </w:r>
      <w:r w:rsidR="00BD151C">
        <w:rPr>
          <w:lang w:eastAsia="zh-TW"/>
        </w:rPr>
        <w:fldChar w:fldCharType="begin"/>
      </w:r>
      <w:r>
        <w:rPr>
          <w:lang w:eastAsia="zh-TW"/>
        </w:rPr>
        <w:instrText xml:space="preserve"> REF _Ref245985848 \r \h </w:instrText>
      </w:r>
      <w:r w:rsidR="00BD151C">
        <w:rPr>
          <w:lang w:eastAsia="zh-TW"/>
        </w:rPr>
      </w:r>
      <w:r w:rsidR="00BD151C">
        <w:rPr>
          <w:lang w:eastAsia="zh-TW"/>
        </w:rPr>
        <w:fldChar w:fldCharType="separate"/>
      </w:r>
      <w:r w:rsidR="003E4210">
        <w:rPr>
          <w:lang w:eastAsia="zh-TW"/>
        </w:rPr>
        <w:t>7.3.2.105</w:t>
      </w:r>
      <w:r w:rsidR="00BD151C">
        <w:rPr>
          <w:lang w:eastAsia="zh-TW"/>
        </w:rPr>
        <w:fldChar w:fldCharType="end"/>
      </w:r>
      <w:r w:rsidRPr="009448FC">
        <w:t>.</w:t>
      </w:r>
    </w:p>
    <w:p w:rsidR="00C72B21" w:rsidRDefault="00C72B21" w:rsidP="000E7E88"/>
    <w:p w:rsidR="00115FAE" w:rsidRPr="006048D3" w:rsidRDefault="00115FAE" w:rsidP="003701DB">
      <w:pPr>
        <w:pStyle w:val="Heading4"/>
        <w:numPr>
          <w:ilvl w:val="3"/>
          <w:numId w:val="27"/>
        </w:numPr>
        <w:rPr>
          <w:b w:val="0"/>
          <w:sz w:val="28"/>
          <w:szCs w:val="28"/>
        </w:rPr>
      </w:pPr>
      <w:bookmarkStart w:id="888" w:name="_Toc259716981"/>
      <w:r>
        <w:rPr>
          <w:sz w:val="28"/>
          <w:szCs w:val="28"/>
        </w:rPr>
        <w:t xml:space="preserve">DTP </w:t>
      </w:r>
      <w:r w:rsidRPr="00115FAE">
        <w:t>Request</w:t>
      </w:r>
      <w:bookmarkEnd w:id="888"/>
    </w:p>
    <w:p w:rsidR="00115FAE" w:rsidRPr="002C6558"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w:t>
      </w:r>
      <w:r>
        <w:rPr>
          <w:lang w:eastAsia="zh-TW"/>
        </w:rPr>
        <w:t>D</w:t>
      </w:r>
      <w:r w:rsidRPr="002C6558">
        <w:rPr>
          <w:lang w:eastAsia="zh-TW"/>
        </w:rPr>
        <w:t xml:space="preserve">TP Request frame is transmitted by a STA requesting another STA </w:t>
      </w:r>
      <w:r>
        <w:rPr>
          <w:lang w:eastAsia="zh-TW"/>
        </w:rPr>
        <w:t>for DT</w:t>
      </w:r>
      <w:r w:rsidRPr="002C6558">
        <w:rPr>
          <w:lang w:eastAsia="zh-TW"/>
        </w:rPr>
        <w:t xml:space="preserve">P information. The format of the </w:t>
      </w:r>
      <w:r>
        <w:rPr>
          <w:lang w:eastAsia="zh-TW"/>
        </w:rPr>
        <w:t>D</w:t>
      </w:r>
      <w:r w:rsidRPr="002C6558">
        <w:rPr>
          <w:lang w:eastAsia="zh-TW"/>
        </w:rPr>
        <w:t>TP Request frame body is shown</w:t>
      </w:r>
      <w:r>
        <w:rPr>
          <w:lang w:eastAsia="zh-TW"/>
        </w:rPr>
        <w:t xml:space="preserve"> in</w:t>
      </w:r>
      <w:r w:rsidR="00971960">
        <w:rPr>
          <w:lang w:eastAsia="zh-TW"/>
        </w:rPr>
        <w:t xml:space="preserve"> </w:t>
      </w:r>
      <w:r w:rsidR="00BD151C">
        <w:rPr>
          <w:lang w:eastAsia="zh-TW"/>
        </w:rPr>
        <w:fldChar w:fldCharType="begin"/>
      </w:r>
      <w:r w:rsidR="00971960">
        <w:rPr>
          <w:lang w:eastAsia="zh-TW"/>
        </w:rPr>
        <w:instrText xml:space="preserve"> REF _Ref251596621 \h </w:instrText>
      </w:r>
      <w:r w:rsidR="00BD151C">
        <w:rPr>
          <w:lang w:eastAsia="zh-TW"/>
        </w:rPr>
      </w:r>
      <w:r w:rsidR="00BD151C">
        <w:rPr>
          <w:lang w:eastAsia="zh-TW"/>
        </w:rPr>
        <w:fldChar w:fldCharType="separate"/>
      </w:r>
      <w:r w:rsidR="003E4210">
        <w:t xml:space="preserve">Figure </w:t>
      </w:r>
      <w:r w:rsidR="003E4210">
        <w:rPr>
          <w:noProof/>
        </w:rPr>
        <w:t>73</w:t>
      </w:r>
      <w:r w:rsidR="00BD151C">
        <w:rPr>
          <w:lang w:eastAsia="zh-TW"/>
        </w:rPr>
        <w:fldChar w:fldCharType="end"/>
      </w:r>
      <w:r w:rsidRPr="002C6558">
        <w:rPr>
          <w:lang w:eastAsia="zh-TW"/>
        </w:rPr>
        <w:t>.</w:t>
      </w:r>
    </w:p>
    <w:p w:rsidR="00115FAE" w:rsidRPr="002C6558" w:rsidRDefault="00115FAE" w:rsidP="00115FAE">
      <w:pPr>
        <w:rPr>
          <w:lang w:eastAsia="zh-T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44"/>
        <w:gridCol w:w="1344"/>
        <w:gridCol w:w="1151"/>
        <w:gridCol w:w="1750"/>
      </w:tblGrid>
      <w:tr w:rsidR="00115FAE" w:rsidRPr="002C6558" w:rsidTr="006B625C">
        <w:trPr>
          <w:jc w:val="center"/>
        </w:trPr>
        <w:tc>
          <w:tcPr>
            <w:tcW w:w="1344" w:type="dxa"/>
          </w:tcPr>
          <w:p w:rsidR="00115FAE" w:rsidRPr="002C6558" w:rsidRDefault="00115FAE" w:rsidP="006B625C">
            <w:pPr>
              <w:rPr>
                <w:szCs w:val="20"/>
              </w:rPr>
            </w:pPr>
          </w:p>
        </w:tc>
        <w:tc>
          <w:tcPr>
            <w:tcW w:w="1344" w:type="dxa"/>
          </w:tcPr>
          <w:p w:rsidR="00115FAE" w:rsidRPr="002C6558" w:rsidRDefault="00115FAE" w:rsidP="006B625C">
            <w:pPr>
              <w:rPr>
                <w:szCs w:val="20"/>
              </w:rPr>
            </w:pPr>
            <w:r w:rsidRPr="002C6558">
              <w:rPr>
                <w:szCs w:val="20"/>
              </w:rPr>
              <w:t>Category</w:t>
            </w:r>
          </w:p>
        </w:tc>
        <w:tc>
          <w:tcPr>
            <w:tcW w:w="1151" w:type="dxa"/>
          </w:tcPr>
          <w:p w:rsidR="00115FAE" w:rsidRPr="002C6558" w:rsidRDefault="00115FAE" w:rsidP="00DD43F9">
            <w:pPr>
              <w:rPr>
                <w:szCs w:val="20"/>
              </w:rPr>
            </w:pPr>
            <w:r w:rsidRPr="002C6558">
              <w:rPr>
                <w:szCs w:val="20"/>
              </w:rPr>
              <w:t>Action</w:t>
            </w:r>
          </w:p>
        </w:tc>
        <w:tc>
          <w:tcPr>
            <w:tcW w:w="1750" w:type="dxa"/>
          </w:tcPr>
          <w:p w:rsidR="00115FAE" w:rsidRPr="002C6558" w:rsidRDefault="00115FAE" w:rsidP="006B625C">
            <w:pPr>
              <w:rPr>
                <w:szCs w:val="20"/>
              </w:rPr>
            </w:pPr>
            <w:r w:rsidRPr="002C6558">
              <w:rPr>
                <w:szCs w:val="20"/>
              </w:rPr>
              <w:t>Dialog Token</w:t>
            </w:r>
          </w:p>
        </w:tc>
      </w:tr>
      <w:tr w:rsidR="00115FAE" w:rsidRPr="002C6558" w:rsidTr="006B625C">
        <w:trPr>
          <w:jc w:val="center"/>
        </w:trPr>
        <w:tc>
          <w:tcPr>
            <w:tcW w:w="1344" w:type="dxa"/>
          </w:tcPr>
          <w:p w:rsidR="00115FAE" w:rsidRPr="002C6558" w:rsidRDefault="00115FAE" w:rsidP="006B625C">
            <w:pPr>
              <w:rPr>
                <w:szCs w:val="20"/>
              </w:rPr>
            </w:pPr>
            <w:r>
              <w:rPr>
                <w:szCs w:val="20"/>
              </w:rPr>
              <w:t>Octets:</w:t>
            </w:r>
          </w:p>
        </w:tc>
        <w:tc>
          <w:tcPr>
            <w:tcW w:w="1344" w:type="dxa"/>
          </w:tcPr>
          <w:p w:rsidR="00115FAE" w:rsidRPr="002C6558" w:rsidRDefault="00115FAE" w:rsidP="006B625C">
            <w:pPr>
              <w:rPr>
                <w:szCs w:val="20"/>
              </w:rPr>
            </w:pPr>
            <w:r w:rsidRPr="002C6558">
              <w:rPr>
                <w:szCs w:val="20"/>
              </w:rPr>
              <w:t>1</w:t>
            </w:r>
          </w:p>
        </w:tc>
        <w:tc>
          <w:tcPr>
            <w:tcW w:w="1151" w:type="dxa"/>
          </w:tcPr>
          <w:p w:rsidR="00115FAE" w:rsidRPr="002C6558" w:rsidRDefault="00115FAE" w:rsidP="006B625C">
            <w:pPr>
              <w:rPr>
                <w:szCs w:val="20"/>
              </w:rPr>
            </w:pPr>
            <w:r w:rsidRPr="002C6558">
              <w:rPr>
                <w:szCs w:val="20"/>
              </w:rPr>
              <w:t>1</w:t>
            </w:r>
          </w:p>
        </w:tc>
        <w:tc>
          <w:tcPr>
            <w:tcW w:w="1750" w:type="dxa"/>
          </w:tcPr>
          <w:p w:rsidR="00115FAE" w:rsidRPr="002C6558" w:rsidRDefault="00115FAE" w:rsidP="006B625C">
            <w:pPr>
              <w:rPr>
                <w:szCs w:val="20"/>
              </w:rPr>
            </w:pPr>
            <w:r w:rsidRPr="002C6558">
              <w:rPr>
                <w:szCs w:val="20"/>
              </w:rPr>
              <w:t>1</w:t>
            </w:r>
          </w:p>
        </w:tc>
      </w:tr>
    </w:tbl>
    <w:p w:rsidR="00971960" w:rsidRDefault="00971960" w:rsidP="00971960">
      <w:pPr>
        <w:pStyle w:val="Caption"/>
        <w:rPr>
          <w:b w:val="0"/>
          <w:lang w:eastAsia="zh-TW"/>
        </w:rPr>
      </w:pPr>
      <w:bookmarkStart w:id="889" w:name="_Ref251596621"/>
      <w:bookmarkStart w:id="890" w:name="_Toc259717505"/>
      <w:r>
        <w:t xml:space="preserve">Figure </w:t>
      </w:r>
      <w:r w:rsidR="00BD151C">
        <w:fldChar w:fldCharType="begin"/>
      </w:r>
      <w:r w:rsidR="00801316">
        <w:instrText xml:space="preserve"> SEQ Figure \* ARABIC </w:instrText>
      </w:r>
      <w:r w:rsidR="00BD151C">
        <w:fldChar w:fldCharType="separate"/>
      </w:r>
      <w:r w:rsidR="003E4210">
        <w:rPr>
          <w:noProof/>
        </w:rPr>
        <w:t>73</w:t>
      </w:r>
      <w:r w:rsidR="00BD151C">
        <w:fldChar w:fldCharType="end"/>
      </w:r>
      <w:bookmarkEnd w:id="889"/>
      <w:r>
        <w:t xml:space="preserve"> – DTP Request frame format</w:t>
      </w:r>
      <w:bookmarkEnd w:id="890"/>
    </w:p>
    <w:p w:rsidR="00115FAE" w:rsidRPr="002C6558" w:rsidRDefault="00115FAE" w:rsidP="00115FAE">
      <w:pPr>
        <w:rPr>
          <w:lang w:eastAsia="zh-TW"/>
        </w:rPr>
      </w:pPr>
    </w:p>
    <w:p w:rsidR="00115FAE" w:rsidRPr="002C6558" w:rsidRDefault="00115FAE" w:rsidP="00115FAE">
      <w:pPr>
        <w:autoSpaceDE w:val="0"/>
        <w:autoSpaceDN w:val="0"/>
        <w:adjustRightInd w:val="0"/>
        <w:rPr>
          <w:lang w:eastAsia="zh-TW"/>
        </w:rPr>
      </w:pPr>
      <w:r w:rsidRPr="002C6558">
        <w:rPr>
          <w:lang w:eastAsia="zh-TW"/>
        </w:rPr>
        <w:lastRenderedPageBreak/>
        <w:t xml:space="preserve">The Category field </w:t>
      </w:r>
      <w:r>
        <w:rPr>
          <w:lang w:eastAsia="zh-TW"/>
        </w:rPr>
        <w:t>is</w:t>
      </w:r>
      <w:r w:rsidRPr="002C6558">
        <w:rPr>
          <w:lang w:eastAsia="zh-TW"/>
        </w:rPr>
        <w:t xml:space="preserve"> set to </w:t>
      </w:r>
      <w:r>
        <w:rPr>
          <w:lang w:eastAsia="zh-CN" w:bidi="ar-SA"/>
        </w:rPr>
        <w:t xml:space="preserve">the category for mmWave, specified in </w:t>
      </w:r>
      <w:r w:rsidR="00BD151C">
        <w:fldChar w:fldCharType="begin"/>
      </w:r>
      <w:r w:rsidR="00971960">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2C6558">
        <w:rPr>
          <w:lang w:eastAsia="zh-TW"/>
        </w:rPr>
        <w:t>.</w:t>
      </w:r>
    </w:p>
    <w:p w:rsidR="00115FAE"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Action field </w:t>
      </w:r>
      <w:r>
        <w:rPr>
          <w:lang w:eastAsia="zh-TW"/>
        </w:rPr>
        <w:t>is</w:t>
      </w:r>
      <w:r w:rsidRPr="002C6558">
        <w:rPr>
          <w:lang w:eastAsia="zh-TW"/>
        </w:rPr>
        <w:t xml:space="preserve"> set to </w:t>
      </w:r>
      <w:r>
        <w:rPr>
          <w:lang w:eastAsia="zh-TW"/>
        </w:rPr>
        <w:t xml:space="preserve">the value </w:t>
      </w:r>
      <w:r w:rsidRPr="002C6558">
        <w:rPr>
          <w:lang w:eastAsia="zh-TW"/>
        </w:rPr>
        <w:t xml:space="preserve">representing a </w:t>
      </w:r>
      <w:r>
        <w:rPr>
          <w:lang w:eastAsia="zh-TW"/>
        </w:rPr>
        <w:t>DT</w:t>
      </w:r>
      <w:r w:rsidRPr="002C6558">
        <w:rPr>
          <w:lang w:eastAsia="zh-TW"/>
        </w:rPr>
        <w:t>P Request frame</w:t>
      </w:r>
      <w:r>
        <w:rPr>
          <w:lang w:eastAsia="zh-TW"/>
        </w:rPr>
        <w:t xml:space="preserve">, specified in </w:t>
      </w:r>
      <w:r w:rsidR="00BD151C">
        <w:fldChar w:fldCharType="begin"/>
      </w:r>
      <w:r w:rsidR="00971960">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2C6558">
        <w:rPr>
          <w:lang w:eastAsia="zh-TW"/>
        </w:rPr>
        <w:t>.</w:t>
      </w:r>
    </w:p>
    <w:p w:rsidR="00115FAE"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Dialog Token field </w:t>
      </w:r>
      <w:r>
        <w:rPr>
          <w:lang w:eastAsia="zh-TW"/>
        </w:rPr>
        <w:t>is</w:t>
      </w:r>
      <w:r w:rsidRPr="002C6558">
        <w:rPr>
          <w:lang w:eastAsia="zh-TW"/>
        </w:rPr>
        <w:t xml:space="preserve"> set to a non</w:t>
      </w:r>
      <w:r>
        <w:rPr>
          <w:lang w:eastAsia="zh-TW"/>
        </w:rPr>
        <w:t>-</w:t>
      </w:r>
      <w:r w:rsidRPr="002C6558">
        <w:rPr>
          <w:lang w:eastAsia="zh-TW"/>
        </w:rPr>
        <w:t>zero value chosen by the STA sending the request to identify the transaction.</w:t>
      </w:r>
    </w:p>
    <w:p w:rsidR="00115FAE" w:rsidRPr="002C6558" w:rsidRDefault="00115FAE" w:rsidP="00115FAE"/>
    <w:p w:rsidR="00115FAE" w:rsidRPr="00115FAE" w:rsidRDefault="00115FAE" w:rsidP="003701DB">
      <w:pPr>
        <w:pStyle w:val="Heading4"/>
        <w:numPr>
          <w:ilvl w:val="3"/>
          <w:numId w:val="27"/>
        </w:numPr>
        <w:rPr>
          <w:sz w:val="28"/>
          <w:szCs w:val="28"/>
        </w:rPr>
      </w:pPr>
      <w:bookmarkStart w:id="891" w:name="_Ref251767828"/>
      <w:bookmarkStart w:id="892" w:name="_Toc259716982"/>
      <w:r w:rsidRPr="00012BCF">
        <w:rPr>
          <w:sz w:val="28"/>
          <w:szCs w:val="28"/>
        </w:rPr>
        <w:t>DTP Report</w:t>
      </w:r>
      <w:bookmarkEnd w:id="891"/>
      <w:bookmarkEnd w:id="892"/>
    </w:p>
    <w:p w:rsidR="00115FAE" w:rsidRPr="002C6558" w:rsidRDefault="00115FAE" w:rsidP="00115FAE"/>
    <w:p w:rsidR="00115FAE" w:rsidRPr="002C6558" w:rsidRDefault="00115FAE" w:rsidP="00115FAE">
      <w:pPr>
        <w:autoSpaceDE w:val="0"/>
        <w:autoSpaceDN w:val="0"/>
        <w:adjustRightInd w:val="0"/>
        <w:rPr>
          <w:lang w:eastAsia="zh-TW"/>
        </w:rPr>
      </w:pPr>
      <w:r w:rsidRPr="002C6558">
        <w:rPr>
          <w:lang w:eastAsia="zh-TW"/>
        </w:rPr>
        <w:t xml:space="preserve">The </w:t>
      </w:r>
      <w:r>
        <w:rPr>
          <w:lang w:eastAsia="zh-TW"/>
        </w:rPr>
        <w:t>D</w:t>
      </w:r>
      <w:r w:rsidRPr="002C6558">
        <w:rPr>
          <w:lang w:eastAsia="zh-TW"/>
        </w:rPr>
        <w:t xml:space="preserve">TP Report frame </w:t>
      </w:r>
      <w:r>
        <w:rPr>
          <w:lang w:eastAsia="zh-TW"/>
        </w:rPr>
        <w:t>is transmitted</w:t>
      </w:r>
      <w:r w:rsidRPr="002C6558">
        <w:rPr>
          <w:lang w:eastAsia="zh-TW"/>
        </w:rPr>
        <w:t xml:space="preserve"> in response to a </w:t>
      </w:r>
      <w:r>
        <w:rPr>
          <w:lang w:eastAsia="zh-TW"/>
        </w:rPr>
        <w:t>DT</w:t>
      </w:r>
      <w:r w:rsidRPr="002C6558">
        <w:rPr>
          <w:lang w:eastAsia="zh-TW"/>
        </w:rPr>
        <w:t xml:space="preserve">P Request frame. </w:t>
      </w:r>
      <w:r>
        <w:rPr>
          <w:lang w:eastAsia="zh-TW"/>
        </w:rPr>
        <w:t xml:space="preserve">A DTP Report frame can also be sent unsolicited. </w:t>
      </w:r>
      <w:r w:rsidRPr="002C6558">
        <w:rPr>
          <w:lang w:eastAsia="zh-TW"/>
        </w:rPr>
        <w:t xml:space="preserve">The format of the </w:t>
      </w:r>
      <w:r>
        <w:rPr>
          <w:lang w:eastAsia="zh-TW"/>
        </w:rPr>
        <w:t>D</w:t>
      </w:r>
      <w:r w:rsidRPr="002C6558">
        <w:rPr>
          <w:lang w:eastAsia="zh-TW"/>
        </w:rPr>
        <w:t>TP Report fr</w:t>
      </w:r>
      <w:r>
        <w:rPr>
          <w:lang w:eastAsia="zh-TW"/>
        </w:rPr>
        <w:t xml:space="preserve">ame body is shown in </w:t>
      </w:r>
      <w:r w:rsidR="00BD151C">
        <w:rPr>
          <w:lang w:eastAsia="zh-TW"/>
        </w:rPr>
        <w:fldChar w:fldCharType="begin"/>
      </w:r>
      <w:r>
        <w:rPr>
          <w:lang w:eastAsia="zh-TW"/>
        </w:rPr>
        <w:instrText xml:space="preserve"> REF _Ref251455361 \h </w:instrText>
      </w:r>
      <w:r w:rsidR="00BD151C">
        <w:rPr>
          <w:lang w:eastAsia="zh-TW"/>
        </w:rPr>
      </w:r>
      <w:r w:rsidR="00BD151C">
        <w:rPr>
          <w:lang w:eastAsia="zh-TW"/>
        </w:rPr>
        <w:fldChar w:fldCharType="separate"/>
      </w:r>
      <w:r w:rsidR="003E4210">
        <w:t xml:space="preserve">Figure </w:t>
      </w:r>
      <w:r w:rsidR="003E4210">
        <w:rPr>
          <w:noProof/>
        </w:rPr>
        <w:t>74</w:t>
      </w:r>
      <w:r w:rsidR="00BD151C">
        <w:rPr>
          <w:lang w:eastAsia="zh-TW"/>
        </w:rPr>
        <w:fldChar w:fldCharType="end"/>
      </w:r>
      <w:r w:rsidRPr="002C6558">
        <w:rPr>
          <w:lang w:eastAsia="zh-TW"/>
        </w:rPr>
        <w:t>.</w:t>
      </w:r>
    </w:p>
    <w:p w:rsidR="00115FAE" w:rsidRPr="002C6558" w:rsidRDefault="00115FAE" w:rsidP="00115FA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44"/>
        <w:gridCol w:w="1344"/>
        <w:gridCol w:w="1151"/>
        <w:gridCol w:w="1750"/>
        <w:gridCol w:w="1263"/>
      </w:tblGrid>
      <w:tr w:rsidR="00115FAE" w:rsidRPr="002C6558" w:rsidTr="006B625C">
        <w:trPr>
          <w:jc w:val="center"/>
        </w:trPr>
        <w:tc>
          <w:tcPr>
            <w:tcW w:w="1344" w:type="dxa"/>
          </w:tcPr>
          <w:p w:rsidR="00115FAE" w:rsidRPr="002C6558" w:rsidRDefault="00115FAE" w:rsidP="006B625C">
            <w:pPr>
              <w:rPr>
                <w:szCs w:val="20"/>
              </w:rPr>
            </w:pPr>
          </w:p>
        </w:tc>
        <w:tc>
          <w:tcPr>
            <w:tcW w:w="1344" w:type="dxa"/>
          </w:tcPr>
          <w:p w:rsidR="00115FAE" w:rsidRPr="002C6558" w:rsidRDefault="00115FAE" w:rsidP="006B625C">
            <w:pPr>
              <w:rPr>
                <w:szCs w:val="20"/>
              </w:rPr>
            </w:pPr>
            <w:r w:rsidRPr="002C6558">
              <w:rPr>
                <w:szCs w:val="20"/>
              </w:rPr>
              <w:t>Category</w:t>
            </w:r>
          </w:p>
        </w:tc>
        <w:tc>
          <w:tcPr>
            <w:tcW w:w="1151" w:type="dxa"/>
          </w:tcPr>
          <w:p w:rsidR="00115FAE" w:rsidRPr="002C6558" w:rsidRDefault="00115FAE" w:rsidP="00DD43F9">
            <w:pPr>
              <w:rPr>
                <w:szCs w:val="20"/>
              </w:rPr>
            </w:pPr>
            <w:r w:rsidRPr="002C6558">
              <w:rPr>
                <w:szCs w:val="20"/>
              </w:rPr>
              <w:t>Action</w:t>
            </w:r>
          </w:p>
        </w:tc>
        <w:tc>
          <w:tcPr>
            <w:tcW w:w="1750" w:type="dxa"/>
          </w:tcPr>
          <w:p w:rsidR="00115FAE" w:rsidRPr="002C6558" w:rsidRDefault="00115FAE" w:rsidP="006B625C">
            <w:pPr>
              <w:rPr>
                <w:szCs w:val="20"/>
              </w:rPr>
            </w:pPr>
            <w:r w:rsidRPr="002C6558">
              <w:rPr>
                <w:szCs w:val="20"/>
              </w:rPr>
              <w:t>Dialog Token</w:t>
            </w:r>
          </w:p>
        </w:tc>
        <w:tc>
          <w:tcPr>
            <w:tcW w:w="1263" w:type="dxa"/>
          </w:tcPr>
          <w:p w:rsidR="00115FAE" w:rsidRPr="002C6558" w:rsidRDefault="00115FAE" w:rsidP="006B625C">
            <w:pPr>
              <w:rPr>
                <w:szCs w:val="20"/>
              </w:rPr>
            </w:pPr>
            <w:r>
              <w:rPr>
                <w:szCs w:val="20"/>
              </w:rPr>
              <w:t>D</w:t>
            </w:r>
            <w:r w:rsidRPr="002C6558">
              <w:rPr>
                <w:szCs w:val="20"/>
              </w:rPr>
              <w:t>TP</w:t>
            </w:r>
          </w:p>
          <w:p w:rsidR="00115FAE" w:rsidRPr="002C6558" w:rsidRDefault="00115FAE" w:rsidP="00DD43F9">
            <w:pPr>
              <w:rPr>
                <w:szCs w:val="20"/>
              </w:rPr>
            </w:pPr>
            <w:r>
              <w:rPr>
                <w:szCs w:val="20"/>
              </w:rPr>
              <w:t>Report</w:t>
            </w:r>
          </w:p>
        </w:tc>
      </w:tr>
      <w:tr w:rsidR="00115FAE" w:rsidRPr="002C6558" w:rsidTr="006B625C">
        <w:trPr>
          <w:jc w:val="center"/>
        </w:trPr>
        <w:tc>
          <w:tcPr>
            <w:tcW w:w="1344" w:type="dxa"/>
          </w:tcPr>
          <w:p w:rsidR="00115FAE" w:rsidRPr="002C6558" w:rsidRDefault="00115FAE" w:rsidP="006B625C">
            <w:pPr>
              <w:rPr>
                <w:szCs w:val="20"/>
              </w:rPr>
            </w:pPr>
            <w:r>
              <w:rPr>
                <w:szCs w:val="20"/>
              </w:rPr>
              <w:t>Octets:</w:t>
            </w:r>
          </w:p>
        </w:tc>
        <w:tc>
          <w:tcPr>
            <w:tcW w:w="1344" w:type="dxa"/>
          </w:tcPr>
          <w:p w:rsidR="00115FAE" w:rsidRPr="002C6558" w:rsidRDefault="00115FAE" w:rsidP="006B625C">
            <w:pPr>
              <w:rPr>
                <w:szCs w:val="20"/>
              </w:rPr>
            </w:pPr>
            <w:r w:rsidRPr="002C6558">
              <w:rPr>
                <w:szCs w:val="20"/>
              </w:rPr>
              <w:t>1</w:t>
            </w:r>
          </w:p>
        </w:tc>
        <w:tc>
          <w:tcPr>
            <w:tcW w:w="1151" w:type="dxa"/>
          </w:tcPr>
          <w:p w:rsidR="00115FAE" w:rsidRPr="002C6558" w:rsidRDefault="00115FAE" w:rsidP="006B625C">
            <w:pPr>
              <w:rPr>
                <w:szCs w:val="20"/>
              </w:rPr>
            </w:pPr>
            <w:r w:rsidRPr="002C6558">
              <w:rPr>
                <w:szCs w:val="20"/>
              </w:rPr>
              <w:t>1</w:t>
            </w:r>
          </w:p>
        </w:tc>
        <w:tc>
          <w:tcPr>
            <w:tcW w:w="1750" w:type="dxa"/>
          </w:tcPr>
          <w:p w:rsidR="00115FAE" w:rsidRPr="002C6558" w:rsidRDefault="00115FAE" w:rsidP="006B625C">
            <w:pPr>
              <w:rPr>
                <w:szCs w:val="20"/>
              </w:rPr>
            </w:pPr>
            <w:r w:rsidRPr="002C6558">
              <w:rPr>
                <w:szCs w:val="20"/>
              </w:rPr>
              <w:t>1</w:t>
            </w:r>
          </w:p>
        </w:tc>
        <w:tc>
          <w:tcPr>
            <w:tcW w:w="1263" w:type="dxa"/>
          </w:tcPr>
          <w:p w:rsidR="00115FAE" w:rsidRPr="002C6558" w:rsidRDefault="00115FAE" w:rsidP="00115FAE">
            <w:pPr>
              <w:keepNext/>
              <w:rPr>
                <w:szCs w:val="20"/>
              </w:rPr>
            </w:pPr>
            <w:r>
              <w:rPr>
                <w:szCs w:val="20"/>
              </w:rPr>
              <w:t>34</w:t>
            </w:r>
          </w:p>
        </w:tc>
      </w:tr>
    </w:tbl>
    <w:p w:rsidR="00115FAE" w:rsidRDefault="00115FAE">
      <w:pPr>
        <w:pStyle w:val="Caption"/>
      </w:pPr>
      <w:bookmarkStart w:id="893" w:name="_Ref251455361"/>
      <w:bookmarkStart w:id="894" w:name="_Toc259717506"/>
      <w:r>
        <w:t xml:space="preserve">Figure </w:t>
      </w:r>
      <w:r w:rsidR="00BD151C">
        <w:fldChar w:fldCharType="begin"/>
      </w:r>
      <w:r w:rsidR="00801316">
        <w:instrText xml:space="preserve"> SEQ Figure \* ARABIC </w:instrText>
      </w:r>
      <w:r w:rsidR="00BD151C">
        <w:fldChar w:fldCharType="separate"/>
      </w:r>
      <w:r w:rsidR="003E4210">
        <w:rPr>
          <w:noProof/>
        </w:rPr>
        <w:t>74</w:t>
      </w:r>
      <w:r w:rsidR="00BD151C">
        <w:fldChar w:fldCharType="end"/>
      </w:r>
      <w:bookmarkEnd w:id="893"/>
      <w:r w:rsidR="00484A1C">
        <w:t xml:space="preserve"> – </w:t>
      </w:r>
      <w:r w:rsidRPr="00B2291A">
        <w:t>DTP Report frame format</w:t>
      </w:r>
      <w:bookmarkEnd w:id="894"/>
    </w:p>
    <w:p w:rsidR="00115FAE" w:rsidRPr="002C6558" w:rsidRDefault="00115FAE" w:rsidP="00115FAE"/>
    <w:p w:rsidR="00115FAE" w:rsidRPr="002C6558" w:rsidRDefault="00115FAE" w:rsidP="00115FAE">
      <w:pPr>
        <w:autoSpaceDE w:val="0"/>
        <w:autoSpaceDN w:val="0"/>
        <w:adjustRightInd w:val="0"/>
        <w:rPr>
          <w:lang w:eastAsia="zh-TW"/>
        </w:rPr>
      </w:pPr>
      <w:r w:rsidRPr="002C6558">
        <w:rPr>
          <w:lang w:eastAsia="zh-TW"/>
        </w:rPr>
        <w:t xml:space="preserve">The Category field </w:t>
      </w:r>
      <w:r>
        <w:rPr>
          <w:lang w:eastAsia="zh-TW"/>
        </w:rPr>
        <w:t>is</w:t>
      </w:r>
      <w:r w:rsidRPr="002C6558">
        <w:rPr>
          <w:lang w:eastAsia="zh-TW"/>
        </w:rPr>
        <w:t xml:space="preserve"> set to </w:t>
      </w:r>
      <w:r>
        <w:rPr>
          <w:lang w:eastAsia="zh-CN" w:bidi="ar-SA"/>
        </w:rPr>
        <w:t xml:space="preserve">the category for mmWave, specified in </w:t>
      </w:r>
      <w:r w:rsidR="00BD151C">
        <w:fldChar w:fldCharType="begin"/>
      </w:r>
      <w:r w:rsidR="00971960">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2C6558">
        <w:rPr>
          <w:lang w:eastAsia="zh-TW"/>
        </w:rPr>
        <w:t>.</w:t>
      </w:r>
    </w:p>
    <w:p w:rsidR="00115FAE"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Action field </w:t>
      </w:r>
      <w:r>
        <w:rPr>
          <w:lang w:eastAsia="zh-TW"/>
        </w:rPr>
        <w:t>is</w:t>
      </w:r>
      <w:r w:rsidRPr="002C6558">
        <w:rPr>
          <w:lang w:eastAsia="zh-TW"/>
        </w:rPr>
        <w:t xml:space="preserve"> set to </w:t>
      </w:r>
      <w:r>
        <w:rPr>
          <w:lang w:eastAsia="zh-TW"/>
        </w:rPr>
        <w:t xml:space="preserve">the value </w:t>
      </w:r>
      <w:r w:rsidRPr="002C6558">
        <w:rPr>
          <w:lang w:eastAsia="zh-TW"/>
        </w:rPr>
        <w:t xml:space="preserve">representing a </w:t>
      </w:r>
      <w:r>
        <w:rPr>
          <w:lang w:eastAsia="zh-TW"/>
        </w:rPr>
        <w:t>DT</w:t>
      </w:r>
      <w:r w:rsidRPr="002C6558">
        <w:rPr>
          <w:lang w:eastAsia="zh-TW"/>
        </w:rPr>
        <w:t xml:space="preserve">P </w:t>
      </w:r>
      <w:r>
        <w:rPr>
          <w:lang w:eastAsia="zh-TW"/>
        </w:rPr>
        <w:t>Report</w:t>
      </w:r>
      <w:r w:rsidRPr="002C6558">
        <w:rPr>
          <w:lang w:eastAsia="zh-TW"/>
        </w:rPr>
        <w:t xml:space="preserve"> frame</w:t>
      </w:r>
      <w:r>
        <w:rPr>
          <w:lang w:eastAsia="zh-TW"/>
        </w:rPr>
        <w:t xml:space="preserve">, specified in </w:t>
      </w:r>
      <w:r w:rsidR="00BD151C">
        <w:fldChar w:fldCharType="begin"/>
      </w:r>
      <w:r w:rsidR="00971960">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2C6558">
        <w:rPr>
          <w:lang w:eastAsia="zh-TW"/>
        </w:rPr>
        <w:t>.</w:t>
      </w:r>
    </w:p>
    <w:p w:rsidR="00115FAE" w:rsidRDefault="00115FAE" w:rsidP="00115FAE">
      <w:pPr>
        <w:autoSpaceDE w:val="0"/>
        <w:autoSpaceDN w:val="0"/>
        <w:adjustRightInd w:val="0"/>
        <w:rPr>
          <w:lang w:eastAsia="zh-TW"/>
        </w:rPr>
      </w:pPr>
    </w:p>
    <w:p w:rsidR="00115FAE" w:rsidRDefault="00115FAE" w:rsidP="00115FAE">
      <w:pPr>
        <w:autoSpaceDE w:val="0"/>
        <w:autoSpaceDN w:val="0"/>
        <w:adjustRightInd w:val="0"/>
        <w:rPr>
          <w:lang w:eastAsia="zh-TW"/>
        </w:rPr>
      </w:pPr>
      <w:r w:rsidRPr="002C6558">
        <w:rPr>
          <w:lang w:eastAsia="zh-TW"/>
        </w:rPr>
        <w:t xml:space="preserve">The Dialog Token field </w:t>
      </w:r>
      <w:r>
        <w:rPr>
          <w:lang w:eastAsia="zh-TW"/>
        </w:rPr>
        <w:t>is</w:t>
      </w:r>
      <w:r w:rsidRPr="002C6558">
        <w:rPr>
          <w:lang w:eastAsia="zh-TW"/>
        </w:rPr>
        <w:t xml:space="preserve"> set to the Dialog Token value in the corresponding TPC Request frame.</w:t>
      </w:r>
      <w:r>
        <w:rPr>
          <w:lang w:eastAsia="zh-TW"/>
        </w:rPr>
        <w:t xml:space="preserve"> If the DTP Report frame is not being transmitted in response to a DTP Request frame, the Dialog Token is set to zero.</w:t>
      </w:r>
    </w:p>
    <w:p w:rsidR="00115FAE" w:rsidRPr="002C6558" w:rsidRDefault="00115FAE" w:rsidP="00115FAE">
      <w:pPr>
        <w:autoSpaceDE w:val="0"/>
        <w:autoSpaceDN w:val="0"/>
        <w:adjustRightInd w:val="0"/>
        <w:rPr>
          <w:lang w:eastAsia="zh-TW"/>
        </w:rPr>
      </w:pPr>
    </w:p>
    <w:p w:rsidR="00115FAE" w:rsidRPr="002C6558" w:rsidRDefault="00115FAE" w:rsidP="00115FAE">
      <w:pPr>
        <w:rPr>
          <w:lang w:eastAsia="zh-TW"/>
        </w:rPr>
      </w:pPr>
      <w:r w:rsidRPr="002C6558">
        <w:rPr>
          <w:lang w:eastAsia="zh-TW"/>
        </w:rPr>
        <w:t xml:space="preserve">The </w:t>
      </w:r>
      <w:r>
        <w:rPr>
          <w:lang w:eastAsia="zh-TW"/>
        </w:rPr>
        <w:t>D</w:t>
      </w:r>
      <w:r w:rsidRPr="002C6558">
        <w:rPr>
          <w:lang w:eastAsia="zh-TW"/>
        </w:rPr>
        <w:t xml:space="preserve">TP Report element </w:t>
      </w:r>
      <w:r>
        <w:rPr>
          <w:lang w:eastAsia="zh-TW"/>
        </w:rPr>
        <w:t>is</w:t>
      </w:r>
      <w:r w:rsidRPr="002C6558">
        <w:rPr>
          <w:lang w:eastAsia="zh-TW"/>
        </w:rPr>
        <w:t xml:space="preserve"> </w:t>
      </w:r>
      <w:r>
        <w:rPr>
          <w:lang w:eastAsia="zh-TW"/>
        </w:rPr>
        <w:t>defined in</w:t>
      </w:r>
      <w:r w:rsidR="00F002A3">
        <w:rPr>
          <w:lang w:eastAsia="zh-TW"/>
        </w:rPr>
        <w:t xml:space="preserve"> </w:t>
      </w:r>
      <w:r w:rsidR="00BD151C">
        <w:rPr>
          <w:lang w:eastAsia="zh-TW"/>
        </w:rPr>
        <w:fldChar w:fldCharType="begin"/>
      </w:r>
      <w:r w:rsidR="00F002A3">
        <w:rPr>
          <w:lang w:eastAsia="zh-TW"/>
        </w:rPr>
        <w:instrText xml:space="preserve"> REF _Ref251666007 \r \h </w:instrText>
      </w:r>
      <w:r w:rsidR="00BD151C">
        <w:rPr>
          <w:lang w:eastAsia="zh-TW"/>
        </w:rPr>
      </w:r>
      <w:r w:rsidR="00BD151C">
        <w:rPr>
          <w:lang w:eastAsia="zh-TW"/>
        </w:rPr>
        <w:fldChar w:fldCharType="separate"/>
      </w:r>
      <w:r w:rsidR="003E4210">
        <w:rPr>
          <w:lang w:eastAsia="zh-TW"/>
        </w:rPr>
        <w:t>7.3.2.108</w:t>
      </w:r>
      <w:r w:rsidR="00BD151C">
        <w:rPr>
          <w:lang w:eastAsia="zh-TW"/>
        </w:rPr>
        <w:fldChar w:fldCharType="end"/>
      </w:r>
      <w:r w:rsidRPr="002C6558">
        <w:rPr>
          <w:lang w:eastAsia="zh-TW"/>
        </w:rPr>
        <w:t>.</w:t>
      </w:r>
    </w:p>
    <w:p w:rsidR="00115FAE" w:rsidRDefault="00115FAE" w:rsidP="000E7E88"/>
    <w:p w:rsidR="005A6025" w:rsidRPr="00115FAE" w:rsidRDefault="005A6025" w:rsidP="005A6025">
      <w:pPr>
        <w:pStyle w:val="Heading4"/>
        <w:numPr>
          <w:ilvl w:val="3"/>
          <w:numId w:val="27"/>
        </w:numPr>
        <w:rPr>
          <w:sz w:val="28"/>
          <w:szCs w:val="28"/>
        </w:rPr>
      </w:pPr>
      <w:bookmarkStart w:id="895" w:name="_Toc259716983"/>
      <w:r>
        <w:rPr>
          <w:sz w:val="28"/>
          <w:szCs w:val="28"/>
        </w:rPr>
        <w:t>Relay search request</w:t>
      </w:r>
      <w:bookmarkEnd w:id="895"/>
    </w:p>
    <w:p w:rsidR="005A6025" w:rsidRDefault="005A6025" w:rsidP="000E7E88"/>
    <w:p w:rsidR="005A6025" w:rsidRPr="005A6025" w:rsidRDefault="005A6025" w:rsidP="005A6025">
      <w:pPr>
        <w:rPr>
          <w:lang w:eastAsia="zh-TW"/>
        </w:rPr>
      </w:pPr>
      <w:r w:rsidRPr="005A6025">
        <w:rPr>
          <w:lang w:eastAsia="zh-TW"/>
        </w:rPr>
        <w:t xml:space="preserve">The Relay Search Request frame is transmitted by a non-PCP/non-AP STA to the PCP/AP to request a list of RSUSs in the BSS. The frame body of the Relay Search Request frame is shown in </w:t>
      </w:r>
      <w:r w:rsidR="00BD151C">
        <w:rPr>
          <w:lang w:eastAsia="zh-TW"/>
        </w:rPr>
        <w:fldChar w:fldCharType="begin"/>
      </w:r>
      <w:r>
        <w:rPr>
          <w:lang w:eastAsia="zh-TW"/>
        </w:rPr>
        <w:instrText xml:space="preserve"> REF _Ref259708686 \h </w:instrText>
      </w:r>
      <w:r w:rsidR="00BD151C">
        <w:rPr>
          <w:lang w:eastAsia="zh-TW"/>
        </w:rPr>
      </w:r>
      <w:r w:rsidR="00BD151C">
        <w:rPr>
          <w:lang w:eastAsia="zh-TW"/>
        </w:rPr>
        <w:fldChar w:fldCharType="separate"/>
      </w:r>
      <w:r w:rsidR="003E4210">
        <w:t xml:space="preserve">Table </w:t>
      </w:r>
      <w:r w:rsidR="003E4210">
        <w:rPr>
          <w:noProof/>
        </w:rPr>
        <w:t>36</w:t>
      </w:r>
      <w:r w:rsidR="00BD151C">
        <w:rPr>
          <w:lang w:eastAsia="zh-TW"/>
        </w:rPr>
        <w:fldChar w:fldCharType="end"/>
      </w:r>
      <w:r w:rsidRPr="005A6025">
        <w:rPr>
          <w:lang w:eastAsia="zh-TW"/>
        </w:rPr>
        <w:t>.</w:t>
      </w:r>
    </w:p>
    <w:p w:rsidR="005A6025" w:rsidRPr="00E55F0A" w:rsidRDefault="005A6025" w:rsidP="005A6025">
      <w:pPr>
        <w:adjustRightInd w:val="0"/>
        <w:rPr>
          <w:sz w:val="22"/>
          <w:szCs w:val="22"/>
          <w:lang w:eastAsia="ko-KR"/>
        </w:rPr>
      </w:pPr>
    </w:p>
    <w:p w:rsidR="005A6025" w:rsidRPr="005A6025" w:rsidRDefault="005A6025" w:rsidP="005A6025">
      <w:pPr>
        <w:pStyle w:val="Caption"/>
      </w:pPr>
      <w:bookmarkStart w:id="896" w:name="_Ref259708686"/>
      <w:bookmarkStart w:id="897" w:name="_Toc259717614"/>
      <w:r>
        <w:t xml:space="preserve">Table </w:t>
      </w:r>
      <w:fldSimple w:instr=" SEQ Table \* ARABIC ">
        <w:r w:rsidR="003E4210">
          <w:rPr>
            <w:noProof/>
          </w:rPr>
          <w:t>36</w:t>
        </w:r>
      </w:fldSimple>
      <w:bookmarkEnd w:id="896"/>
      <w:r>
        <w:t xml:space="preserve"> – Relay search request frame format</w:t>
      </w:r>
      <w:bookmarkEnd w:id="8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160"/>
      </w:tblGrid>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Order</w:t>
            </w:r>
          </w:p>
        </w:tc>
        <w:tc>
          <w:tcPr>
            <w:tcW w:w="0" w:type="auto"/>
          </w:tcPr>
          <w:p w:rsidR="005A6025" w:rsidRPr="00DA36D4" w:rsidRDefault="005A6025" w:rsidP="00D93FAF">
            <w:pPr>
              <w:rPr>
                <w:rFonts w:eastAsia="PMingLiU"/>
              </w:rPr>
            </w:pPr>
            <w:r w:rsidRPr="00DA36D4">
              <w:rPr>
                <w:rFonts w:eastAsia="PMingLiU"/>
                <w:sz w:val="22"/>
                <w:szCs w:val="22"/>
              </w:rPr>
              <w:t>Information</w:t>
            </w:r>
          </w:p>
        </w:tc>
      </w:tr>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 xml:space="preserve">1 </w:t>
            </w:r>
          </w:p>
        </w:tc>
        <w:tc>
          <w:tcPr>
            <w:tcW w:w="0" w:type="auto"/>
          </w:tcPr>
          <w:p w:rsidR="005A6025" w:rsidRPr="00DA36D4" w:rsidRDefault="005A6025" w:rsidP="00D93FAF">
            <w:pPr>
              <w:rPr>
                <w:rFonts w:eastAsia="PMingLiU"/>
              </w:rPr>
            </w:pPr>
            <w:r w:rsidRPr="00DA36D4">
              <w:rPr>
                <w:rFonts w:eastAsia="PMingLiU"/>
                <w:sz w:val="22"/>
                <w:szCs w:val="22"/>
              </w:rPr>
              <w:t>Category</w:t>
            </w:r>
          </w:p>
        </w:tc>
      </w:tr>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2</w:t>
            </w:r>
          </w:p>
        </w:tc>
        <w:tc>
          <w:tcPr>
            <w:tcW w:w="0" w:type="auto"/>
          </w:tcPr>
          <w:p w:rsidR="005A6025" w:rsidRPr="00DA36D4" w:rsidRDefault="005A6025" w:rsidP="00D93FAF">
            <w:pPr>
              <w:rPr>
                <w:rFonts w:eastAsia="PMingLiU"/>
              </w:rPr>
            </w:pPr>
            <w:r w:rsidRPr="00DA36D4">
              <w:rPr>
                <w:rFonts w:eastAsia="PMingLiU"/>
                <w:sz w:val="22"/>
                <w:szCs w:val="22"/>
              </w:rPr>
              <w:t>Action</w:t>
            </w:r>
          </w:p>
        </w:tc>
      </w:tr>
      <w:tr w:rsidR="005A6025" w:rsidRPr="001D7F82" w:rsidTr="00D93FAF">
        <w:trPr>
          <w:jc w:val="center"/>
        </w:trPr>
        <w:tc>
          <w:tcPr>
            <w:tcW w:w="0" w:type="auto"/>
          </w:tcPr>
          <w:p w:rsidR="005A6025" w:rsidRPr="00DA36D4" w:rsidRDefault="005A6025" w:rsidP="00D93FAF">
            <w:pPr>
              <w:rPr>
                <w:rFonts w:eastAsia="PMingLiU"/>
                <w:lang w:eastAsia="ko-KR"/>
              </w:rPr>
            </w:pPr>
            <w:r w:rsidRPr="00DA36D4">
              <w:rPr>
                <w:rFonts w:eastAsia="PMingLiU"/>
                <w:sz w:val="22"/>
                <w:szCs w:val="22"/>
                <w:lang w:eastAsia="ko-KR"/>
              </w:rPr>
              <w:t>3</w:t>
            </w:r>
          </w:p>
        </w:tc>
        <w:tc>
          <w:tcPr>
            <w:tcW w:w="0" w:type="auto"/>
          </w:tcPr>
          <w:p w:rsidR="005A6025" w:rsidRPr="00DA36D4" w:rsidRDefault="005A6025" w:rsidP="00D93FAF">
            <w:pPr>
              <w:rPr>
                <w:rFonts w:eastAsia="PMingLiU"/>
                <w:lang w:eastAsia="ko-KR"/>
              </w:rPr>
            </w:pPr>
            <w:r w:rsidRPr="00DA36D4">
              <w:rPr>
                <w:rFonts w:eastAsia="PMingLiU"/>
                <w:sz w:val="22"/>
                <w:szCs w:val="22"/>
                <w:lang w:eastAsia="ko-KR"/>
              </w:rPr>
              <w:t>Dialog Token</w:t>
            </w:r>
          </w:p>
        </w:tc>
      </w:tr>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4</w:t>
            </w:r>
          </w:p>
        </w:tc>
        <w:tc>
          <w:tcPr>
            <w:tcW w:w="0" w:type="auto"/>
          </w:tcPr>
          <w:p w:rsidR="005A6025" w:rsidRPr="00DA36D4" w:rsidRDefault="005A6025" w:rsidP="00D93FAF">
            <w:pPr>
              <w:rPr>
                <w:rFonts w:eastAsia="PMingLiU"/>
              </w:rPr>
            </w:pPr>
            <w:r w:rsidRPr="00DA36D4">
              <w:rPr>
                <w:rFonts w:eastAsia="PMingLiU"/>
                <w:sz w:val="22"/>
                <w:szCs w:val="22"/>
                <w:lang w:eastAsia="ko-KR"/>
              </w:rPr>
              <w:t xml:space="preserve">Destination RUS </w:t>
            </w:r>
            <w:r w:rsidRPr="00DA36D4">
              <w:rPr>
                <w:rFonts w:eastAsia="PMingLiU"/>
                <w:sz w:val="22"/>
                <w:szCs w:val="22"/>
              </w:rPr>
              <w:t>A</w:t>
            </w:r>
            <w:r w:rsidRPr="00DA36D4">
              <w:rPr>
                <w:rFonts w:eastAsia="PMingLiU"/>
                <w:sz w:val="22"/>
                <w:szCs w:val="22"/>
                <w:lang w:eastAsia="ko-KR"/>
              </w:rPr>
              <w:t>ID</w:t>
            </w:r>
          </w:p>
        </w:tc>
      </w:tr>
    </w:tbl>
    <w:p w:rsidR="005A6025" w:rsidRDefault="005A6025" w:rsidP="005A6025">
      <w:pPr>
        <w:pStyle w:val="Caption"/>
        <w:keepNext/>
        <w:spacing w:before="0" w:after="0"/>
        <w:jc w:val="left"/>
        <w:rPr>
          <w:rFonts w:eastAsia="Malgun Gothic"/>
          <w:sz w:val="22"/>
          <w:szCs w:val="22"/>
          <w:lang w:eastAsia="ko-KR"/>
        </w:rPr>
      </w:pPr>
    </w:p>
    <w:p w:rsidR="005A6025" w:rsidRDefault="005A6025" w:rsidP="005A6025">
      <w:pPr>
        <w:rPr>
          <w:lang w:eastAsia="zh-TW"/>
        </w:rPr>
      </w:pPr>
      <w:r w:rsidRPr="005A6025">
        <w:rPr>
          <w:lang w:eastAsia="zh-TW"/>
        </w:rPr>
        <w:t>The Category field is set to the category for mmWave</w:t>
      </w:r>
      <w:r>
        <w:rPr>
          <w:lang w:eastAsia="zh-CN" w:bidi="ar-SA"/>
        </w:rPr>
        <w:t xml:space="preser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5A6025">
        <w:rPr>
          <w:lang w:eastAsia="zh-TW"/>
        </w:rPr>
        <w:t>.</w:t>
      </w:r>
    </w:p>
    <w:p w:rsidR="005A6025" w:rsidRPr="005A6025" w:rsidRDefault="005A6025" w:rsidP="005A6025">
      <w:pPr>
        <w:rPr>
          <w:lang w:eastAsia="zh-TW"/>
        </w:rPr>
      </w:pPr>
    </w:p>
    <w:p w:rsidR="005A6025" w:rsidRPr="005A6025" w:rsidRDefault="005A6025" w:rsidP="005A6025">
      <w:pPr>
        <w:rPr>
          <w:lang w:eastAsia="zh-TW"/>
        </w:rPr>
      </w:pPr>
      <w:r w:rsidRPr="005A6025">
        <w:rPr>
          <w:lang w:eastAsia="zh-TW"/>
        </w:rPr>
        <w:t>The Action field is set to the value corresponding to Relay Search Request</w:t>
      </w:r>
      <w:r>
        <w:rPr>
          <w:lang w:eastAsia="zh-TW"/>
        </w:rPr>
        <w:t xml:space="preserve">, 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5A6025">
        <w:rPr>
          <w:lang w:eastAsia="zh-TW"/>
        </w:rPr>
        <w:t>.</w:t>
      </w:r>
    </w:p>
    <w:p w:rsidR="005A6025" w:rsidRDefault="005A6025" w:rsidP="005A6025">
      <w:pPr>
        <w:rPr>
          <w:lang w:eastAsia="zh-TW"/>
        </w:rPr>
      </w:pPr>
    </w:p>
    <w:p w:rsidR="005A6025" w:rsidRPr="005A6025" w:rsidRDefault="005A6025" w:rsidP="005A6025">
      <w:pPr>
        <w:rPr>
          <w:lang w:eastAsia="zh-TW"/>
        </w:rPr>
      </w:pPr>
      <w:r w:rsidRPr="005A6025">
        <w:rPr>
          <w:lang w:eastAsia="zh-TW"/>
        </w:rPr>
        <w:lastRenderedPageBreak/>
        <w:t>The Dialog Token field shall be set to a nonzero value chosen by the STA sending the Relay Search Request frame to identify the request/response transaction.</w:t>
      </w:r>
    </w:p>
    <w:p w:rsidR="005A6025" w:rsidRDefault="005A6025" w:rsidP="005A6025">
      <w:pPr>
        <w:rPr>
          <w:lang w:eastAsia="zh-TW"/>
        </w:rPr>
      </w:pPr>
    </w:p>
    <w:p w:rsidR="005A6025" w:rsidRPr="005A6025" w:rsidRDefault="005A6025" w:rsidP="005A6025">
      <w:pPr>
        <w:rPr>
          <w:lang w:eastAsia="zh-TW"/>
        </w:rPr>
      </w:pPr>
      <w:r w:rsidRPr="005A6025">
        <w:rPr>
          <w:lang w:eastAsia="zh-TW"/>
        </w:rPr>
        <w:t>The Destination RUS AID field is set to the AID of the target destination RUS.</w:t>
      </w:r>
    </w:p>
    <w:p w:rsidR="005A6025" w:rsidRDefault="005A6025" w:rsidP="000E7E88"/>
    <w:p w:rsidR="00D93FAF" w:rsidRPr="00115FAE" w:rsidRDefault="00D93FAF" w:rsidP="00D93FAF">
      <w:pPr>
        <w:pStyle w:val="Heading4"/>
        <w:numPr>
          <w:ilvl w:val="3"/>
          <w:numId w:val="27"/>
        </w:numPr>
        <w:rPr>
          <w:sz w:val="28"/>
          <w:szCs w:val="28"/>
        </w:rPr>
      </w:pPr>
      <w:bookmarkStart w:id="898" w:name="_Toc259716984"/>
      <w:r>
        <w:rPr>
          <w:sz w:val="28"/>
          <w:szCs w:val="28"/>
        </w:rPr>
        <w:t>Relay search response</w:t>
      </w:r>
      <w:bookmarkEnd w:id="898"/>
    </w:p>
    <w:p w:rsidR="00D93FAF" w:rsidRDefault="00D93FAF" w:rsidP="000E7E88"/>
    <w:p w:rsidR="00D93FAF" w:rsidRPr="00D93FAF" w:rsidRDefault="00D93FAF" w:rsidP="00D93FAF">
      <w:pPr>
        <w:rPr>
          <w:lang w:eastAsia="zh-TW"/>
        </w:rPr>
      </w:pPr>
      <w:r w:rsidRPr="00D93FAF">
        <w:rPr>
          <w:lang w:eastAsia="zh-TW"/>
        </w:rPr>
        <w:t>The Relay Search Response frame is sent by a PCP/AP in response to a Relay Search Request frame. The frame body of a Relay Search Response frame contains the information shown in</w:t>
      </w:r>
      <w:r>
        <w:rPr>
          <w:lang w:eastAsia="zh-TW"/>
        </w:rPr>
        <w:t xml:space="preserve"> </w:t>
      </w:r>
      <w:r w:rsidR="00BD151C">
        <w:rPr>
          <w:lang w:eastAsia="zh-TW"/>
        </w:rPr>
        <w:fldChar w:fldCharType="begin"/>
      </w:r>
      <w:r>
        <w:rPr>
          <w:lang w:eastAsia="zh-TW"/>
        </w:rPr>
        <w:instrText xml:space="preserve"> REF _Ref259708885 \h </w:instrText>
      </w:r>
      <w:r w:rsidR="00BD151C">
        <w:rPr>
          <w:lang w:eastAsia="zh-TW"/>
        </w:rPr>
      </w:r>
      <w:r w:rsidR="00BD151C">
        <w:rPr>
          <w:lang w:eastAsia="zh-TW"/>
        </w:rPr>
        <w:fldChar w:fldCharType="separate"/>
      </w:r>
      <w:r w:rsidR="003E4210">
        <w:t xml:space="preserve">Table </w:t>
      </w:r>
      <w:r w:rsidR="003E4210">
        <w:rPr>
          <w:noProof/>
        </w:rPr>
        <w:t>37</w:t>
      </w:r>
      <w:r w:rsidR="00BD151C">
        <w:rPr>
          <w:lang w:eastAsia="zh-TW"/>
        </w:rPr>
        <w:fldChar w:fldCharType="end"/>
      </w:r>
      <w:r w:rsidRPr="00D93FAF">
        <w:rPr>
          <w:lang w:eastAsia="zh-TW"/>
        </w:rPr>
        <w:t>.</w:t>
      </w:r>
    </w:p>
    <w:p w:rsidR="00D93FAF" w:rsidRPr="001D7782" w:rsidRDefault="00D93FAF" w:rsidP="00D93FAF">
      <w:pPr>
        <w:adjustRightInd w:val="0"/>
        <w:rPr>
          <w:sz w:val="22"/>
          <w:szCs w:val="22"/>
        </w:rPr>
      </w:pPr>
    </w:p>
    <w:p w:rsidR="00D93FAF" w:rsidRPr="00D93FAF" w:rsidRDefault="00D93FAF" w:rsidP="00D93FAF">
      <w:pPr>
        <w:pStyle w:val="Caption"/>
      </w:pPr>
      <w:bookmarkStart w:id="899" w:name="_Ref259708885"/>
      <w:bookmarkStart w:id="900" w:name="_Toc259717615"/>
      <w:r>
        <w:t xml:space="preserve">Table </w:t>
      </w:r>
      <w:fldSimple w:instr=" SEQ Table \* ARABIC ">
        <w:r w:rsidR="003E4210">
          <w:rPr>
            <w:noProof/>
          </w:rPr>
          <w:t>37</w:t>
        </w:r>
      </w:fldSimple>
      <w:bookmarkEnd w:id="899"/>
      <w:r>
        <w:t xml:space="preserve"> – Relay search response frame body</w:t>
      </w:r>
      <w:bookmarkEnd w:id="900"/>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611"/>
      </w:tblGrid>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Order</w:t>
            </w:r>
          </w:p>
        </w:tc>
        <w:tc>
          <w:tcPr>
            <w:tcW w:w="0" w:type="auto"/>
            <w:vAlign w:val="center"/>
          </w:tcPr>
          <w:p w:rsidR="00D93FAF" w:rsidRPr="00DA36D4" w:rsidRDefault="00D93FAF" w:rsidP="00D93FAF">
            <w:pPr>
              <w:rPr>
                <w:rFonts w:eastAsia="PMingLiU"/>
              </w:rPr>
            </w:pPr>
            <w:r w:rsidRPr="00DA36D4">
              <w:rPr>
                <w:rFonts w:eastAsia="PMingLiU"/>
                <w:sz w:val="22"/>
                <w:szCs w:val="22"/>
              </w:rPr>
              <w:t>Information</w:t>
            </w:r>
          </w:p>
        </w:tc>
      </w:tr>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1</w:t>
            </w:r>
          </w:p>
        </w:tc>
        <w:tc>
          <w:tcPr>
            <w:tcW w:w="0" w:type="auto"/>
            <w:vAlign w:val="center"/>
          </w:tcPr>
          <w:p w:rsidR="00D93FAF" w:rsidRPr="00DA36D4" w:rsidRDefault="00D93FAF" w:rsidP="00D93FAF">
            <w:pPr>
              <w:rPr>
                <w:rFonts w:eastAsia="PMingLiU"/>
              </w:rPr>
            </w:pPr>
            <w:r w:rsidRPr="00DA36D4">
              <w:rPr>
                <w:rFonts w:eastAsia="PMingLiU"/>
                <w:sz w:val="22"/>
                <w:szCs w:val="22"/>
              </w:rPr>
              <w:t>Category</w:t>
            </w:r>
          </w:p>
        </w:tc>
      </w:tr>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2</w:t>
            </w:r>
          </w:p>
        </w:tc>
        <w:tc>
          <w:tcPr>
            <w:tcW w:w="0" w:type="auto"/>
            <w:vAlign w:val="center"/>
          </w:tcPr>
          <w:p w:rsidR="00D93FAF" w:rsidRPr="00DA36D4" w:rsidRDefault="00D93FAF" w:rsidP="00D93FAF">
            <w:pPr>
              <w:rPr>
                <w:rFonts w:eastAsia="PMingLiU"/>
              </w:rPr>
            </w:pPr>
            <w:r w:rsidRPr="00DA36D4">
              <w:rPr>
                <w:rFonts w:eastAsia="PMingLiU"/>
                <w:sz w:val="22"/>
                <w:szCs w:val="22"/>
              </w:rPr>
              <w:t>Action</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3</w:t>
            </w:r>
          </w:p>
        </w:tc>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Dialog Token</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4</w:t>
            </w:r>
          </w:p>
        </w:tc>
        <w:tc>
          <w:tcPr>
            <w:tcW w:w="0" w:type="auto"/>
            <w:vAlign w:val="center"/>
          </w:tcPr>
          <w:p w:rsidR="00D93FAF" w:rsidRPr="00DA36D4" w:rsidRDefault="00D93FAF" w:rsidP="00D93FAF">
            <w:pPr>
              <w:rPr>
                <w:rFonts w:eastAsia="PMingLiU"/>
              </w:rPr>
            </w:pPr>
            <w:r w:rsidRPr="00DA36D4">
              <w:rPr>
                <w:rFonts w:eastAsia="PMingLiU"/>
                <w:sz w:val="22"/>
                <w:szCs w:val="22"/>
              </w:rPr>
              <w:t>Status Code</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5</w:t>
            </w:r>
          </w:p>
        </w:tc>
        <w:tc>
          <w:tcPr>
            <w:tcW w:w="0" w:type="auto"/>
            <w:vAlign w:val="center"/>
          </w:tcPr>
          <w:p w:rsidR="00D93FAF" w:rsidRPr="00DA36D4" w:rsidRDefault="00D93FAF" w:rsidP="00D93FAF">
            <w:pPr>
              <w:rPr>
                <w:rFonts w:eastAsia="PMingLiU"/>
              </w:rPr>
            </w:pPr>
            <w:r w:rsidRPr="00DA36D4">
              <w:rPr>
                <w:rFonts w:eastAsia="PMingLiU"/>
                <w:sz w:val="22"/>
                <w:szCs w:val="22"/>
              </w:rPr>
              <w:t>Relay Capable STA 1 Info</w:t>
            </w:r>
          </w:p>
        </w:tc>
      </w:tr>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w:t>
            </w:r>
          </w:p>
        </w:tc>
        <w:tc>
          <w:tcPr>
            <w:tcW w:w="0" w:type="auto"/>
            <w:vAlign w:val="center"/>
          </w:tcPr>
          <w:p w:rsidR="00D93FAF" w:rsidRPr="00DA36D4" w:rsidRDefault="00D93FAF" w:rsidP="00D93FAF">
            <w:pPr>
              <w:rPr>
                <w:rFonts w:eastAsia="PMingLiU"/>
              </w:rPr>
            </w:pPr>
            <w:r w:rsidRPr="00DA36D4">
              <w:rPr>
                <w:rFonts w:eastAsia="PMingLiU"/>
                <w:sz w:val="22"/>
                <w:szCs w:val="22"/>
              </w:rPr>
              <w:t>…</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rPr>
              <w:t>N+</w:t>
            </w:r>
            <w:r w:rsidRPr="00DA36D4">
              <w:rPr>
                <w:rFonts w:eastAsia="PMingLiU"/>
                <w:sz w:val="22"/>
                <w:szCs w:val="22"/>
                <w:lang w:eastAsia="ko-KR"/>
              </w:rPr>
              <w:t>4</w:t>
            </w:r>
          </w:p>
        </w:tc>
        <w:tc>
          <w:tcPr>
            <w:tcW w:w="0" w:type="auto"/>
            <w:vAlign w:val="center"/>
          </w:tcPr>
          <w:p w:rsidR="00D93FAF" w:rsidRPr="00DA36D4" w:rsidRDefault="00D93FAF" w:rsidP="00D93FAF">
            <w:pPr>
              <w:rPr>
                <w:rFonts w:eastAsia="PMingLiU"/>
              </w:rPr>
            </w:pPr>
            <w:r w:rsidRPr="00DA36D4">
              <w:rPr>
                <w:rFonts w:eastAsia="PMingLiU"/>
                <w:sz w:val="22"/>
                <w:szCs w:val="22"/>
              </w:rPr>
              <w:t>Relay Capable STA N Info</w:t>
            </w:r>
          </w:p>
        </w:tc>
      </w:tr>
    </w:tbl>
    <w:p w:rsidR="00D93FAF" w:rsidRPr="00E55F0A" w:rsidRDefault="00D93FAF" w:rsidP="00D93FAF">
      <w:pPr>
        <w:adjustRightInd w:val="0"/>
        <w:rPr>
          <w:sz w:val="22"/>
          <w:szCs w:val="22"/>
        </w:rPr>
      </w:pPr>
    </w:p>
    <w:p w:rsidR="00D93FAF" w:rsidRDefault="00D93FAF" w:rsidP="00D93FAF">
      <w:pPr>
        <w:rPr>
          <w:lang w:eastAsia="zh-TW"/>
        </w:rPr>
      </w:pPr>
      <w:r w:rsidRPr="00D93FAF">
        <w:rPr>
          <w:lang w:eastAsia="zh-TW"/>
        </w:rPr>
        <w:t>The Category field is set to the category for mmWave</w:t>
      </w:r>
      <w:r>
        <w:rPr>
          <w:lang w:eastAsia="zh-CN" w:bidi="ar-SA"/>
        </w:rPr>
        <w:t xml:space="preser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D93FAF">
        <w:rPr>
          <w:lang w:eastAsia="zh-TW"/>
        </w:rPr>
        <w:t>.</w:t>
      </w:r>
    </w:p>
    <w:p w:rsidR="00D93FAF" w:rsidRPr="00D93FAF" w:rsidRDefault="00D93FAF" w:rsidP="00D93FAF">
      <w:pPr>
        <w:rPr>
          <w:lang w:eastAsia="zh-TW"/>
        </w:rPr>
      </w:pPr>
    </w:p>
    <w:p w:rsidR="00D93FAF" w:rsidRPr="00D93FAF" w:rsidRDefault="00D93FAF" w:rsidP="00D93FAF">
      <w:pPr>
        <w:rPr>
          <w:lang w:eastAsia="zh-TW"/>
        </w:rPr>
      </w:pPr>
      <w:r w:rsidRPr="00D93FAF">
        <w:rPr>
          <w:lang w:eastAsia="zh-TW"/>
        </w:rPr>
        <w:t>The Action field is set to the value corresponding to Relay Search Response</w:t>
      </w:r>
      <w:r>
        <w:rPr>
          <w:lang w:eastAsia="zh-TW"/>
        </w:rPr>
        <w:t xml:space="preserve">, 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 xml:space="preserve">The Dialog Token field shall be set to the value in the corresponding Relay Search Request frame that generated this response. </w:t>
      </w:r>
    </w:p>
    <w:p w:rsidR="00D93FAF" w:rsidRDefault="00D93FAF" w:rsidP="00D93FAF">
      <w:pPr>
        <w:rPr>
          <w:lang w:eastAsia="zh-TW"/>
        </w:rPr>
      </w:pPr>
    </w:p>
    <w:p w:rsidR="00D93FAF" w:rsidRPr="00D93FAF" w:rsidRDefault="00D93FAF" w:rsidP="00D93FAF">
      <w:pPr>
        <w:rPr>
          <w:lang w:eastAsia="zh-TW"/>
        </w:rPr>
      </w:pPr>
      <w:r w:rsidRPr="00D93FAF">
        <w:rPr>
          <w:lang w:eastAsia="zh-TW"/>
        </w:rPr>
        <w:t xml:space="preserve">The Status Code field is defined in </w:t>
      </w:r>
      <w:r w:rsidR="00BD151C">
        <w:rPr>
          <w:lang w:eastAsia="zh-TW"/>
        </w:rPr>
        <w:fldChar w:fldCharType="begin"/>
      </w:r>
      <w:r>
        <w:rPr>
          <w:lang w:eastAsia="zh-TW"/>
        </w:rPr>
        <w:instrText xml:space="preserve"> REF _Ref259708913 \r \h </w:instrText>
      </w:r>
      <w:r w:rsidR="00BD151C">
        <w:rPr>
          <w:lang w:eastAsia="zh-TW"/>
        </w:rPr>
      </w:r>
      <w:r w:rsidR="00BD151C">
        <w:rPr>
          <w:lang w:eastAsia="zh-TW"/>
        </w:rPr>
        <w:fldChar w:fldCharType="separate"/>
      </w:r>
      <w:r w:rsidR="003E4210">
        <w:rPr>
          <w:lang w:eastAsia="zh-TW"/>
        </w:rPr>
        <w:t>7.3.1.9</w:t>
      </w:r>
      <w:r w:rsidR="00BD151C">
        <w:rPr>
          <w:lang w:eastAsia="zh-TW"/>
        </w:rPr>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 xml:space="preserve">The Relay Capable STA Info field is defined in </w:t>
      </w:r>
      <w:r w:rsidR="00BD151C">
        <w:rPr>
          <w:lang w:eastAsia="zh-TW"/>
        </w:rPr>
        <w:fldChar w:fldCharType="begin"/>
      </w:r>
      <w:r>
        <w:rPr>
          <w:lang w:eastAsia="zh-TW"/>
        </w:rPr>
        <w:instrText xml:space="preserve"> REF _Ref259708937 \h </w:instrText>
      </w:r>
      <w:r w:rsidR="00BD151C">
        <w:rPr>
          <w:lang w:eastAsia="zh-TW"/>
        </w:rPr>
      </w:r>
      <w:r w:rsidR="00BD151C">
        <w:rPr>
          <w:lang w:eastAsia="zh-TW"/>
        </w:rPr>
        <w:fldChar w:fldCharType="separate"/>
      </w:r>
      <w:r w:rsidR="003E4210">
        <w:t>7.3.1.51 Relay capable STA info field</w:t>
      </w:r>
      <w:r w:rsidR="00BD151C">
        <w:rPr>
          <w:lang w:eastAsia="zh-TW"/>
        </w:rPr>
        <w:fldChar w:fldCharType="end"/>
      </w:r>
      <w:r w:rsidRPr="00D93FAF">
        <w:rPr>
          <w:lang w:eastAsia="zh-TW"/>
        </w:rPr>
        <w:t xml:space="preserve">. This information is included only if the status code indicates successful. </w:t>
      </w:r>
    </w:p>
    <w:p w:rsidR="00D93FAF" w:rsidRDefault="00D93FAF" w:rsidP="000E7E88"/>
    <w:p w:rsidR="00D93FAF" w:rsidRPr="00115FAE" w:rsidRDefault="00D93FAF" w:rsidP="00D93FAF">
      <w:pPr>
        <w:pStyle w:val="Heading4"/>
        <w:numPr>
          <w:ilvl w:val="3"/>
          <w:numId w:val="27"/>
        </w:numPr>
        <w:rPr>
          <w:sz w:val="28"/>
          <w:szCs w:val="28"/>
        </w:rPr>
      </w:pPr>
      <w:bookmarkStart w:id="901" w:name="_Toc259716985"/>
      <w:r>
        <w:rPr>
          <w:sz w:val="28"/>
          <w:szCs w:val="28"/>
        </w:rPr>
        <w:t>Multi-relays channel measurement request</w:t>
      </w:r>
      <w:bookmarkEnd w:id="901"/>
    </w:p>
    <w:p w:rsidR="005A6025" w:rsidRDefault="005A6025" w:rsidP="000E7E88"/>
    <w:p w:rsidR="00D93FAF" w:rsidRDefault="00D93FAF" w:rsidP="00D93FAF">
      <w:pPr>
        <w:rPr>
          <w:lang w:eastAsia="zh-TW"/>
        </w:rPr>
      </w:pPr>
      <w:r w:rsidRPr="00D93FAF">
        <w:rPr>
          <w:lang w:eastAsia="zh-TW"/>
        </w:rPr>
        <w:t xml:space="preserve">The Multi-Relays Channel Measurement Request frame is transmitted by a STA initiating relay operation to the recipient STA in order to obtain Channel Measurements between </w:t>
      </w:r>
      <w:r>
        <w:rPr>
          <w:lang w:eastAsia="zh-TW"/>
        </w:rPr>
        <w:t>the recipient STA and the other STA participating in the relay operation</w:t>
      </w:r>
      <w:r w:rsidRPr="00D93FAF">
        <w:rPr>
          <w:lang w:eastAsia="zh-TW"/>
        </w:rPr>
        <w:t>. The frame body of the Multi-Relays Channel Measurement Request frame contains the information shown in</w:t>
      </w:r>
      <w:r>
        <w:rPr>
          <w:lang w:eastAsia="zh-TW"/>
        </w:rPr>
        <w:t xml:space="preserve"> </w:t>
      </w:r>
      <w:r w:rsidR="00BD151C">
        <w:rPr>
          <w:lang w:eastAsia="zh-TW"/>
        </w:rPr>
        <w:fldChar w:fldCharType="begin"/>
      </w:r>
      <w:r>
        <w:rPr>
          <w:lang w:eastAsia="zh-TW"/>
        </w:rPr>
        <w:instrText xml:space="preserve"> REF _Ref259709107 \h </w:instrText>
      </w:r>
      <w:r w:rsidR="00BD151C">
        <w:rPr>
          <w:lang w:eastAsia="zh-TW"/>
        </w:rPr>
      </w:r>
      <w:r w:rsidR="00BD151C">
        <w:rPr>
          <w:lang w:eastAsia="zh-TW"/>
        </w:rPr>
        <w:fldChar w:fldCharType="separate"/>
      </w:r>
      <w:r w:rsidR="003E4210">
        <w:t xml:space="preserve">Table </w:t>
      </w:r>
      <w:r w:rsidR="003E4210">
        <w:rPr>
          <w:noProof/>
        </w:rPr>
        <w:t>38</w:t>
      </w:r>
      <w:r w:rsidR="00BD151C">
        <w:rPr>
          <w:lang w:eastAsia="zh-TW"/>
        </w:rPr>
        <w:fldChar w:fldCharType="end"/>
      </w:r>
      <w:r w:rsidRPr="00D93FAF">
        <w:rPr>
          <w:lang w:eastAsia="zh-TW"/>
        </w:rPr>
        <w:t>.</w:t>
      </w:r>
    </w:p>
    <w:p w:rsidR="00D93FAF" w:rsidRPr="00D93FAF" w:rsidRDefault="00D93FAF" w:rsidP="00D93FAF">
      <w:pPr>
        <w:rPr>
          <w:lang w:eastAsia="zh-TW"/>
        </w:rPr>
      </w:pPr>
    </w:p>
    <w:p w:rsidR="00D93FAF" w:rsidRPr="00D93FAF" w:rsidRDefault="00D93FAF" w:rsidP="00D93FAF">
      <w:pPr>
        <w:pStyle w:val="Caption"/>
      </w:pPr>
      <w:bookmarkStart w:id="902" w:name="_Ref259709107"/>
      <w:bookmarkStart w:id="903" w:name="_Toc259717616"/>
      <w:r>
        <w:t xml:space="preserve">Table </w:t>
      </w:r>
      <w:fldSimple w:instr=" SEQ Table \* ARABIC ">
        <w:r w:rsidR="003E4210">
          <w:rPr>
            <w:noProof/>
          </w:rPr>
          <w:t>38</w:t>
        </w:r>
      </w:fldSimple>
      <w:bookmarkEnd w:id="902"/>
      <w:r>
        <w:t xml:space="preserve"> – Multi-relays channel measurement request frame body</w:t>
      </w:r>
      <w:bookmarkEnd w:id="903"/>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432"/>
      </w:tblGrid>
      <w:tr w:rsidR="00D93FAF" w:rsidRPr="001D7F82" w:rsidTr="00D93FAF">
        <w:trPr>
          <w:jc w:val="center"/>
        </w:trPr>
        <w:tc>
          <w:tcPr>
            <w:tcW w:w="0" w:type="auto"/>
          </w:tcPr>
          <w:p w:rsidR="00D93FAF" w:rsidRPr="00DA36D4" w:rsidRDefault="00D93FAF" w:rsidP="00D93FAF">
            <w:pPr>
              <w:rPr>
                <w:rFonts w:eastAsia="PMingLiU"/>
              </w:rPr>
            </w:pPr>
            <w:r w:rsidRPr="00DA36D4">
              <w:rPr>
                <w:rFonts w:eastAsia="PMingLiU"/>
                <w:sz w:val="22"/>
                <w:szCs w:val="22"/>
              </w:rPr>
              <w:t>Order</w:t>
            </w:r>
          </w:p>
        </w:tc>
        <w:tc>
          <w:tcPr>
            <w:tcW w:w="0" w:type="auto"/>
          </w:tcPr>
          <w:p w:rsidR="00D93FAF" w:rsidRPr="00DA36D4" w:rsidRDefault="00D93FAF" w:rsidP="00D93FAF">
            <w:pPr>
              <w:rPr>
                <w:rFonts w:eastAsia="PMingLiU"/>
              </w:rPr>
            </w:pPr>
            <w:r w:rsidRPr="00DA36D4">
              <w:rPr>
                <w:rFonts w:eastAsia="PMingLiU"/>
                <w:sz w:val="22"/>
                <w:szCs w:val="22"/>
              </w:rPr>
              <w:t>Information</w:t>
            </w:r>
          </w:p>
        </w:tc>
      </w:tr>
      <w:tr w:rsidR="00D93FAF" w:rsidRPr="001D7F82" w:rsidTr="00D93FAF">
        <w:trPr>
          <w:jc w:val="center"/>
        </w:trPr>
        <w:tc>
          <w:tcPr>
            <w:tcW w:w="0" w:type="auto"/>
          </w:tcPr>
          <w:p w:rsidR="00D93FAF" w:rsidRPr="00DA36D4" w:rsidRDefault="00D93FAF" w:rsidP="00D93FAF">
            <w:pPr>
              <w:rPr>
                <w:rFonts w:eastAsia="PMingLiU"/>
              </w:rPr>
            </w:pPr>
            <w:r w:rsidRPr="00DA36D4">
              <w:rPr>
                <w:rFonts w:eastAsia="PMingLiU"/>
                <w:sz w:val="22"/>
                <w:szCs w:val="22"/>
              </w:rPr>
              <w:t xml:space="preserve">1 </w:t>
            </w:r>
          </w:p>
        </w:tc>
        <w:tc>
          <w:tcPr>
            <w:tcW w:w="0" w:type="auto"/>
          </w:tcPr>
          <w:p w:rsidR="00D93FAF" w:rsidRPr="00DA36D4" w:rsidRDefault="00D93FAF" w:rsidP="00D93FAF">
            <w:pPr>
              <w:rPr>
                <w:rFonts w:eastAsia="PMingLiU"/>
              </w:rPr>
            </w:pPr>
            <w:r w:rsidRPr="00DA36D4">
              <w:rPr>
                <w:rFonts w:eastAsia="PMingLiU"/>
                <w:sz w:val="22"/>
                <w:szCs w:val="22"/>
              </w:rPr>
              <w:t>Category</w:t>
            </w:r>
          </w:p>
        </w:tc>
      </w:tr>
      <w:tr w:rsidR="00D93FAF" w:rsidRPr="001D7F82" w:rsidTr="00D93FAF">
        <w:trPr>
          <w:jc w:val="center"/>
        </w:trPr>
        <w:tc>
          <w:tcPr>
            <w:tcW w:w="0" w:type="auto"/>
          </w:tcPr>
          <w:p w:rsidR="00D93FAF" w:rsidRPr="00DA36D4" w:rsidRDefault="00D93FAF" w:rsidP="00D93FAF">
            <w:pPr>
              <w:rPr>
                <w:rFonts w:eastAsia="PMingLiU"/>
              </w:rPr>
            </w:pPr>
            <w:r w:rsidRPr="00DA36D4">
              <w:rPr>
                <w:rFonts w:eastAsia="PMingLiU"/>
                <w:sz w:val="22"/>
                <w:szCs w:val="22"/>
              </w:rPr>
              <w:t>2</w:t>
            </w:r>
          </w:p>
        </w:tc>
        <w:tc>
          <w:tcPr>
            <w:tcW w:w="0" w:type="auto"/>
          </w:tcPr>
          <w:p w:rsidR="00D93FAF" w:rsidRPr="00DA36D4" w:rsidRDefault="00D93FAF" w:rsidP="00D93FAF">
            <w:pPr>
              <w:rPr>
                <w:rFonts w:eastAsia="PMingLiU"/>
              </w:rPr>
            </w:pPr>
            <w:r w:rsidRPr="00DA36D4">
              <w:rPr>
                <w:rFonts w:eastAsia="PMingLiU"/>
                <w:sz w:val="22"/>
                <w:szCs w:val="22"/>
              </w:rPr>
              <w:t>Action</w:t>
            </w:r>
          </w:p>
        </w:tc>
      </w:tr>
      <w:tr w:rsidR="00D93FAF" w:rsidRPr="001D7F82" w:rsidTr="00D93FAF">
        <w:trPr>
          <w:jc w:val="center"/>
        </w:trPr>
        <w:tc>
          <w:tcPr>
            <w:tcW w:w="0" w:type="auto"/>
          </w:tcPr>
          <w:p w:rsidR="00D93FAF" w:rsidRPr="00DA36D4" w:rsidRDefault="00D93FAF" w:rsidP="00D93FAF">
            <w:pPr>
              <w:rPr>
                <w:rFonts w:eastAsia="PMingLiU"/>
                <w:lang w:eastAsia="ko-KR"/>
              </w:rPr>
            </w:pPr>
            <w:r w:rsidRPr="00DA36D4">
              <w:rPr>
                <w:rFonts w:eastAsia="PMingLiU"/>
                <w:sz w:val="22"/>
                <w:szCs w:val="22"/>
                <w:lang w:eastAsia="ko-KR"/>
              </w:rPr>
              <w:t>3</w:t>
            </w:r>
          </w:p>
        </w:tc>
        <w:tc>
          <w:tcPr>
            <w:tcW w:w="0" w:type="auto"/>
          </w:tcPr>
          <w:p w:rsidR="00D93FAF" w:rsidRPr="00DA36D4" w:rsidRDefault="00D93FAF" w:rsidP="00D93FAF">
            <w:pPr>
              <w:rPr>
                <w:rFonts w:eastAsia="PMingLiU"/>
                <w:lang w:eastAsia="ko-KR"/>
              </w:rPr>
            </w:pPr>
            <w:r w:rsidRPr="00DA36D4">
              <w:rPr>
                <w:rFonts w:eastAsia="PMingLiU"/>
                <w:sz w:val="22"/>
                <w:szCs w:val="22"/>
                <w:lang w:eastAsia="ko-KR"/>
              </w:rPr>
              <w:t>Dialog Token</w:t>
            </w:r>
          </w:p>
        </w:tc>
      </w:tr>
    </w:tbl>
    <w:p w:rsidR="00D93FAF" w:rsidRPr="00E55F0A" w:rsidRDefault="00D93FAF" w:rsidP="00D93FAF">
      <w:pPr>
        <w:adjustRightInd w:val="0"/>
        <w:rPr>
          <w:sz w:val="22"/>
          <w:szCs w:val="22"/>
          <w:lang w:eastAsia="ko-KR"/>
        </w:rPr>
      </w:pPr>
    </w:p>
    <w:p w:rsidR="00D93FAF" w:rsidRPr="00D93FAF" w:rsidRDefault="00D93FAF" w:rsidP="00D93FAF">
      <w:pPr>
        <w:rPr>
          <w:lang w:eastAsia="zh-TW"/>
        </w:rPr>
      </w:pPr>
      <w:r w:rsidRPr="00D93FAF">
        <w:rPr>
          <w:lang w:eastAsia="zh-TW"/>
        </w:rPr>
        <w:t>The Category field is set to the category for mmWave</w:t>
      </w:r>
      <w:r w:rsidR="009C0624">
        <w:rPr>
          <w:lang w:eastAsia="zh-CN" w:bidi="ar-SA"/>
        </w:rPr>
        <w:t xml:space="preserve">, specified in </w:t>
      </w:r>
      <w:r w:rsidR="00BD151C">
        <w:fldChar w:fldCharType="begin"/>
      </w:r>
      <w:r w:rsidR="009C0624">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The Action field is set to the value corresponding to Multi-Relays Channel Measurement Request</w:t>
      </w:r>
      <w:r w:rsidR="009C0624">
        <w:rPr>
          <w:lang w:eastAsia="zh-TW"/>
        </w:rPr>
        <w:t xml:space="preserve">, specified in </w:t>
      </w:r>
      <w:r w:rsidR="00BD151C">
        <w:fldChar w:fldCharType="begin"/>
      </w:r>
      <w:r w:rsidR="009C0624">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The Dialog Token field shall be set to a nonzero value chosen by the STA sending the Multi-Relays Channel Measurement Request frame to identify the request/report transaction.</w:t>
      </w:r>
    </w:p>
    <w:p w:rsidR="00D93FAF" w:rsidRDefault="00D93FAF" w:rsidP="000E7E88"/>
    <w:p w:rsidR="009C0624" w:rsidRPr="00115FAE" w:rsidRDefault="009C0624" w:rsidP="009C0624">
      <w:pPr>
        <w:pStyle w:val="Heading4"/>
        <w:numPr>
          <w:ilvl w:val="3"/>
          <w:numId w:val="27"/>
        </w:numPr>
        <w:rPr>
          <w:sz w:val="28"/>
          <w:szCs w:val="28"/>
        </w:rPr>
      </w:pPr>
      <w:bookmarkStart w:id="904" w:name="_Toc259716986"/>
      <w:r>
        <w:rPr>
          <w:sz w:val="28"/>
          <w:szCs w:val="28"/>
        </w:rPr>
        <w:t>Multi-relays channel measurement report</w:t>
      </w:r>
      <w:bookmarkEnd w:id="904"/>
    </w:p>
    <w:p w:rsidR="00D93FAF" w:rsidRDefault="00D93FAF" w:rsidP="000E7E88"/>
    <w:p w:rsidR="009C0624" w:rsidRDefault="009C0624" w:rsidP="009C0624">
      <w:pPr>
        <w:rPr>
          <w:lang w:eastAsia="zh-TW"/>
        </w:rPr>
      </w:pPr>
      <w:r w:rsidRPr="009C0624">
        <w:rPr>
          <w:lang w:eastAsia="zh-TW"/>
        </w:rPr>
        <w:t>The Multi-Relays Channel Measurement Report frame is sent in response to a Multi-Relays Channel Request. The frame body of the Multi-Relays Channel Measurement Report frame is shown in</w:t>
      </w:r>
      <w:r>
        <w:rPr>
          <w:lang w:eastAsia="zh-TW"/>
        </w:rPr>
        <w:t xml:space="preserve"> </w:t>
      </w:r>
      <w:r w:rsidR="00BD151C">
        <w:rPr>
          <w:lang w:eastAsia="zh-TW"/>
        </w:rPr>
        <w:fldChar w:fldCharType="begin"/>
      </w:r>
      <w:r>
        <w:rPr>
          <w:lang w:eastAsia="zh-TW"/>
        </w:rPr>
        <w:instrText xml:space="preserve"> REF _Ref259709276 \h </w:instrText>
      </w:r>
      <w:r w:rsidR="00BD151C">
        <w:rPr>
          <w:lang w:eastAsia="zh-TW"/>
        </w:rPr>
      </w:r>
      <w:r w:rsidR="00BD151C">
        <w:rPr>
          <w:lang w:eastAsia="zh-TW"/>
        </w:rPr>
        <w:fldChar w:fldCharType="separate"/>
      </w:r>
      <w:r w:rsidR="003E4210">
        <w:t xml:space="preserve">Table </w:t>
      </w:r>
      <w:r w:rsidR="003E4210">
        <w:rPr>
          <w:noProof/>
        </w:rPr>
        <w:t>39</w:t>
      </w:r>
      <w:r w:rsidR="00BD151C">
        <w:rPr>
          <w:lang w:eastAsia="zh-TW"/>
        </w:rPr>
        <w:fldChar w:fldCharType="end"/>
      </w:r>
      <w:r w:rsidRPr="009C0624">
        <w:rPr>
          <w:lang w:eastAsia="zh-TW"/>
        </w:rPr>
        <w:t>.</w:t>
      </w:r>
    </w:p>
    <w:p w:rsidR="009C0624" w:rsidRPr="009C0624" w:rsidRDefault="009C0624" w:rsidP="009C0624">
      <w:pPr>
        <w:rPr>
          <w:lang w:eastAsia="zh-TW"/>
        </w:rPr>
      </w:pPr>
    </w:p>
    <w:p w:rsidR="009C0624" w:rsidRPr="009C0624" w:rsidRDefault="009C0624" w:rsidP="009C0624">
      <w:pPr>
        <w:pStyle w:val="Caption"/>
      </w:pPr>
      <w:bookmarkStart w:id="905" w:name="_Ref259709276"/>
      <w:bookmarkStart w:id="906" w:name="_Toc259717617"/>
      <w:r>
        <w:t xml:space="preserve">Table </w:t>
      </w:r>
      <w:fldSimple w:instr=" SEQ Table \* ARABIC ">
        <w:r w:rsidR="003E4210">
          <w:rPr>
            <w:noProof/>
          </w:rPr>
          <w:t>39</w:t>
        </w:r>
      </w:fldSimple>
      <w:bookmarkEnd w:id="905"/>
      <w:r>
        <w:t xml:space="preserve"> – Multi-relays channel measurement report frame body</w:t>
      </w:r>
      <w:bookmarkEnd w:id="906"/>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837"/>
      </w:tblGrid>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Order</w:t>
            </w:r>
          </w:p>
        </w:tc>
        <w:tc>
          <w:tcPr>
            <w:tcW w:w="0" w:type="auto"/>
          </w:tcPr>
          <w:p w:rsidR="009C0624" w:rsidRPr="00DA36D4" w:rsidRDefault="009C0624" w:rsidP="0042565A">
            <w:pPr>
              <w:rPr>
                <w:rFonts w:eastAsia="PMingLiU"/>
              </w:rPr>
            </w:pPr>
            <w:r w:rsidRPr="00DA36D4">
              <w:rPr>
                <w:rFonts w:eastAsia="PMingLiU"/>
                <w:sz w:val="22"/>
                <w:szCs w:val="22"/>
              </w:rPr>
              <w:t>Information</w:t>
            </w:r>
          </w:p>
        </w:tc>
      </w:tr>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 xml:space="preserve">1 </w:t>
            </w:r>
          </w:p>
        </w:tc>
        <w:tc>
          <w:tcPr>
            <w:tcW w:w="0" w:type="auto"/>
          </w:tcPr>
          <w:p w:rsidR="009C0624" w:rsidRPr="00DA36D4" w:rsidRDefault="009C0624" w:rsidP="0042565A">
            <w:pPr>
              <w:rPr>
                <w:rFonts w:eastAsia="PMingLiU"/>
              </w:rPr>
            </w:pPr>
            <w:r w:rsidRPr="00DA36D4">
              <w:rPr>
                <w:rFonts w:eastAsia="PMingLiU"/>
                <w:sz w:val="22"/>
                <w:szCs w:val="22"/>
              </w:rPr>
              <w:t>Category</w:t>
            </w:r>
          </w:p>
        </w:tc>
      </w:tr>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2</w:t>
            </w:r>
          </w:p>
        </w:tc>
        <w:tc>
          <w:tcPr>
            <w:tcW w:w="0" w:type="auto"/>
          </w:tcPr>
          <w:p w:rsidR="009C0624" w:rsidRPr="00DA36D4" w:rsidRDefault="009C0624" w:rsidP="0042565A">
            <w:pPr>
              <w:rPr>
                <w:rFonts w:eastAsia="PMingLiU"/>
              </w:rPr>
            </w:pPr>
            <w:r w:rsidRPr="00DA36D4">
              <w:rPr>
                <w:rFonts w:eastAsia="PMingLiU"/>
                <w:sz w:val="22"/>
                <w:szCs w:val="22"/>
              </w:rPr>
              <w:t>Action</w:t>
            </w:r>
          </w:p>
        </w:tc>
      </w:tr>
      <w:tr w:rsidR="009C0624" w:rsidRPr="001D7F82" w:rsidTr="0042565A">
        <w:trPr>
          <w:jc w:val="center"/>
        </w:trPr>
        <w:tc>
          <w:tcPr>
            <w:tcW w:w="0" w:type="auto"/>
          </w:tcPr>
          <w:p w:rsidR="009C0624" w:rsidRPr="00DA36D4" w:rsidRDefault="009C0624" w:rsidP="0042565A">
            <w:pPr>
              <w:rPr>
                <w:rFonts w:eastAsia="PMingLiU"/>
                <w:lang w:eastAsia="ko-KR"/>
              </w:rPr>
            </w:pPr>
            <w:r w:rsidRPr="00DA36D4">
              <w:rPr>
                <w:rFonts w:eastAsia="PMingLiU"/>
                <w:sz w:val="22"/>
                <w:szCs w:val="22"/>
                <w:lang w:eastAsia="ko-KR"/>
              </w:rPr>
              <w:t>3</w:t>
            </w:r>
          </w:p>
        </w:tc>
        <w:tc>
          <w:tcPr>
            <w:tcW w:w="0" w:type="auto"/>
          </w:tcPr>
          <w:p w:rsidR="009C0624" w:rsidRPr="00DA36D4" w:rsidRDefault="009C0624" w:rsidP="0042565A">
            <w:pPr>
              <w:rPr>
                <w:rFonts w:eastAsia="PMingLiU"/>
                <w:lang w:eastAsia="ko-KR"/>
              </w:rPr>
            </w:pPr>
            <w:r w:rsidRPr="00DA36D4">
              <w:rPr>
                <w:rFonts w:eastAsia="PMingLiU"/>
                <w:sz w:val="22"/>
                <w:szCs w:val="22"/>
                <w:lang w:eastAsia="ko-KR"/>
              </w:rPr>
              <w:t>Dialog Token</w:t>
            </w:r>
          </w:p>
        </w:tc>
      </w:tr>
      <w:tr w:rsidR="009C0624" w:rsidRPr="001D7F82" w:rsidTr="0042565A">
        <w:trPr>
          <w:jc w:val="center"/>
        </w:trPr>
        <w:tc>
          <w:tcPr>
            <w:tcW w:w="0" w:type="auto"/>
          </w:tcPr>
          <w:p w:rsidR="009C0624" w:rsidRPr="00DA36D4" w:rsidRDefault="009C0624" w:rsidP="0042565A">
            <w:pPr>
              <w:rPr>
                <w:rFonts w:eastAsia="PMingLiU"/>
                <w:lang w:eastAsia="ko-KR"/>
              </w:rPr>
            </w:pPr>
            <w:r w:rsidRPr="00DA36D4">
              <w:rPr>
                <w:rFonts w:eastAsia="PMingLiU"/>
                <w:sz w:val="22"/>
                <w:szCs w:val="22"/>
                <w:lang w:eastAsia="ko-KR"/>
              </w:rPr>
              <w:t>4</w:t>
            </w:r>
          </w:p>
        </w:tc>
        <w:tc>
          <w:tcPr>
            <w:tcW w:w="0" w:type="auto"/>
          </w:tcPr>
          <w:p w:rsidR="009C0624" w:rsidRPr="00DA36D4" w:rsidRDefault="009C0624" w:rsidP="0042565A">
            <w:pPr>
              <w:rPr>
                <w:rFonts w:eastAsia="PMingLiU"/>
              </w:rPr>
            </w:pPr>
            <w:r w:rsidRPr="00DA36D4">
              <w:rPr>
                <w:rFonts w:eastAsia="PMingLiU"/>
                <w:sz w:val="22"/>
                <w:szCs w:val="22"/>
              </w:rPr>
              <w:t>Channel Measurement Info 1</w:t>
            </w:r>
          </w:p>
        </w:tc>
      </w:tr>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w:t>
            </w:r>
          </w:p>
        </w:tc>
        <w:tc>
          <w:tcPr>
            <w:tcW w:w="0" w:type="auto"/>
          </w:tcPr>
          <w:p w:rsidR="009C0624" w:rsidRPr="00DA36D4" w:rsidRDefault="009C0624" w:rsidP="0042565A">
            <w:pPr>
              <w:rPr>
                <w:rFonts w:eastAsia="PMingLiU"/>
              </w:rPr>
            </w:pPr>
            <w:r w:rsidRPr="00DA36D4">
              <w:rPr>
                <w:rFonts w:eastAsia="PMingLiU"/>
                <w:sz w:val="22"/>
                <w:szCs w:val="22"/>
              </w:rPr>
              <w:t>…</w:t>
            </w:r>
          </w:p>
        </w:tc>
      </w:tr>
      <w:tr w:rsidR="009C0624" w:rsidRPr="001D7F82" w:rsidTr="0042565A">
        <w:trPr>
          <w:jc w:val="center"/>
        </w:trPr>
        <w:tc>
          <w:tcPr>
            <w:tcW w:w="0" w:type="auto"/>
          </w:tcPr>
          <w:p w:rsidR="009C0624" w:rsidRPr="00DA36D4" w:rsidRDefault="009C0624" w:rsidP="0042565A">
            <w:pPr>
              <w:rPr>
                <w:rFonts w:eastAsia="PMingLiU"/>
                <w:lang w:eastAsia="ko-KR"/>
              </w:rPr>
            </w:pPr>
            <w:r w:rsidRPr="00DA36D4">
              <w:rPr>
                <w:rFonts w:eastAsia="PMingLiU"/>
                <w:sz w:val="22"/>
                <w:szCs w:val="22"/>
              </w:rPr>
              <w:t>N+</w:t>
            </w:r>
            <w:r w:rsidRPr="00DA36D4">
              <w:rPr>
                <w:rFonts w:eastAsia="PMingLiU"/>
                <w:sz w:val="22"/>
                <w:szCs w:val="22"/>
                <w:lang w:eastAsia="ko-KR"/>
              </w:rPr>
              <w:t>3</w:t>
            </w:r>
          </w:p>
        </w:tc>
        <w:tc>
          <w:tcPr>
            <w:tcW w:w="0" w:type="auto"/>
          </w:tcPr>
          <w:p w:rsidR="009C0624" w:rsidRPr="00DA36D4" w:rsidRDefault="009C0624" w:rsidP="0042565A">
            <w:pPr>
              <w:rPr>
                <w:rFonts w:eastAsia="PMingLiU"/>
              </w:rPr>
            </w:pPr>
            <w:r w:rsidRPr="00DA36D4">
              <w:rPr>
                <w:rFonts w:eastAsia="PMingLiU"/>
                <w:sz w:val="22"/>
                <w:szCs w:val="22"/>
              </w:rPr>
              <w:t>Channel Measurement Info N</w:t>
            </w:r>
          </w:p>
        </w:tc>
      </w:tr>
    </w:tbl>
    <w:p w:rsidR="009C0624" w:rsidRPr="00E55F0A" w:rsidRDefault="009C0624" w:rsidP="009C0624">
      <w:pPr>
        <w:adjustRightInd w:val="0"/>
        <w:rPr>
          <w:sz w:val="22"/>
          <w:szCs w:val="22"/>
        </w:rPr>
      </w:pPr>
    </w:p>
    <w:p w:rsidR="009C0624" w:rsidRDefault="009C0624" w:rsidP="009C0624">
      <w:pPr>
        <w:rPr>
          <w:lang w:eastAsia="zh-TW"/>
        </w:rPr>
      </w:pPr>
      <w:r w:rsidRPr="009C0624">
        <w:rPr>
          <w:lang w:eastAsia="zh-TW"/>
        </w:rPr>
        <w:t>The Category field is set to the category for mmWave</w:t>
      </w:r>
      <w:r>
        <w:rPr>
          <w:lang w:eastAsia="zh-CN" w:bidi="ar-SA"/>
        </w:rPr>
        <w:t xml:space="preser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9C0624">
        <w:rPr>
          <w:lang w:eastAsia="zh-TW"/>
        </w:rPr>
        <w:t>.</w:t>
      </w:r>
    </w:p>
    <w:p w:rsidR="009C0624" w:rsidRPr="009C0624" w:rsidRDefault="009C0624" w:rsidP="009C0624">
      <w:pPr>
        <w:rPr>
          <w:lang w:eastAsia="zh-TW"/>
        </w:rPr>
      </w:pPr>
    </w:p>
    <w:p w:rsidR="009C0624" w:rsidRPr="009C0624" w:rsidRDefault="009C0624" w:rsidP="009C0624">
      <w:pPr>
        <w:rPr>
          <w:lang w:eastAsia="zh-TW"/>
        </w:rPr>
      </w:pPr>
      <w:r w:rsidRPr="009C0624">
        <w:rPr>
          <w:lang w:eastAsia="zh-TW"/>
        </w:rPr>
        <w:t>The Action field is set to the value corresponding to Multi-Relays Channel Measurement Report</w:t>
      </w:r>
      <w:r>
        <w:rPr>
          <w:lang w:eastAsia="zh-TW"/>
        </w:rPr>
        <w:t xml:space="preserve">, 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9C0624">
        <w:rPr>
          <w:lang w:eastAsia="zh-TW"/>
        </w:rPr>
        <w:t>.</w:t>
      </w:r>
    </w:p>
    <w:p w:rsidR="009C0624" w:rsidRDefault="009C0624" w:rsidP="009C0624">
      <w:pPr>
        <w:rPr>
          <w:lang w:eastAsia="zh-TW"/>
        </w:rPr>
      </w:pPr>
    </w:p>
    <w:p w:rsidR="009C0624" w:rsidRPr="009C0624" w:rsidRDefault="009C0624" w:rsidP="009C0624">
      <w:pPr>
        <w:rPr>
          <w:lang w:eastAsia="zh-TW"/>
        </w:rPr>
      </w:pPr>
      <w:r w:rsidRPr="009C0624">
        <w:rPr>
          <w:lang w:eastAsia="zh-TW"/>
        </w:rPr>
        <w:t>The Dialog Token field shall be set to the value in any corresponding Multi-Relays Channel Measurement Request frame. If the Multi-Relays Channel Measurement Report frame is not being transmitted in response to a Multi-Relays Channel Measurement Request frame, then the Dialog token shall be set to 0.</w:t>
      </w:r>
    </w:p>
    <w:p w:rsidR="009C0624" w:rsidRDefault="009C0624" w:rsidP="009C0624">
      <w:pPr>
        <w:rPr>
          <w:lang w:eastAsia="zh-TW"/>
        </w:rPr>
      </w:pPr>
    </w:p>
    <w:p w:rsidR="009C0624" w:rsidRPr="009C0624" w:rsidRDefault="009C0624" w:rsidP="009C0624">
      <w:pPr>
        <w:rPr>
          <w:lang w:eastAsia="zh-TW"/>
        </w:rPr>
      </w:pPr>
      <w:r w:rsidRPr="009C0624">
        <w:rPr>
          <w:lang w:eastAsia="zh-TW"/>
        </w:rPr>
        <w:t>The format of the Channel Measurement Info field is defined in</w:t>
      </w:r>
      <w:r w:rsidR="00600089">
        <w:rPr>
          <w:lang w:eastAsia="zh-TW"/>
        </w:rPr>
        <w:t xml:space="preserve"> </w:t>
      </w:r>
      <w:r w:rsidR="00BD151C">
        <w:rPr>
          <w:lang w:eastAsia="zh-TW"/>
        </w:rPr>
        <w:fldChar w:fldCharType="begin"/>
      </w:r>
      <w:r w:rsidR="00600089">
        <w:rPr>
          <w:lang w:eastAsia="zh-TW"/>
        </w:rPr>
        <w:instrText xml:space="preserve"> REF _Ref259709507 \h </w:instrText>
      </w:r>
      <w:r w:rsidR="00BD151C">
        <w:rPr>
          <w:lang w:eastAsia="zh-TW"/>
        </w:rPr>
      </w:r>
      <w:r w:rsidR="00BD151C">
        <w:rPr>
          <w:lang w:eastAsia="zh-TW"/>
        </w:rPr>
        <w:fldChar w:fldCharType="separate"/>
      </w:r>
      <w:r w:rsidR="003E4210">
        <w:t xml:space="preserve">Figure </w:t>
      </w:r>
      <w:r w:rsidR="003E4210">
        <w:rPr>
          <w:noProof/>
        </w:rPr>
        <w:t>75</w:t>
      </w:r>
      <w:r w:rsidR="00BD151C">
        <w:rPr>
          <w:lang w:eastAsia="zh-TW"/>
        </w:rPr>
        <w:fldChar w:fldCharType="end"/>
      </w:r>
      <w:r w:rsidRPr="009C0624">
        <w:rPr>
          <w:lang w:eastAsia="zh-TW"/>
        </w:rPr>
        <w:t>.</w:t>
      </w:r>
      <w:r>
        <w:rPr>
          <w:lang w:eastAsia="zh-TW"/>
        </w:rPr>
        <w:t xml:space="preserve"> Multiple Channel Measurement Info fields can be included in case that the reporting STA measures the channel for multiple RSUSs.</w:t>
      </w:r>
    </w:p>
    <w:p w:rsidR="009C0624" w:rsidRPr="00E55F0A" w:rsidRDefault="009C0624" w:rsidP="009C0624">
      <w:pPr>
        <w:adjustRightInd w:val="0"/>
        <w:rPr>
          <w:sz w:val="22"/>
          <w:szCs w:val="22"/>
          <w:lang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2387"/>
        <w:gridCol w:w="1430"/>
        <w:gridCol w:w="1602"/>
        <w:gridCol w:w="2082"/>
        <w:gridCol w:w="1623"/>
      </w:tblGrid>
      <w:tr w:rsidR="009C0624" w:rsidRPr="001D7F82" w:rsidTr="0042565A">
        <w:trPr>
          <w:trHeight w:val="242"/>
          <w:jc w:val="center"/>
        </w:trPr>
        <w:tc>
          <w:tcPr>
            <w:tcW w:w="490" w:type="pct"/>
          </w:tcPr>
          <w:p w:rsidR="009C0624" w:rsidRPr="00DA36D4" w:rsidRDefault="009C0624" w:rsidP="0042565A">
            <w:pPr>
              <w:rPr>
                <w:rFonts w:eastAsia="PMingLiU"/>
              </w:rPr>
            </w:pPr>
          </w:p>
        </w:tc>
        <w:tc>
          <w:tcPr>
            <w:tcW w:w="1180" w:type="pct"/>
          </w:tcPr>
          <w:p w:rsidR="009C0624" w:rsidRPr="00DA36D4" w:rsidRDefault="009C0624" w:rsidP="0042565A">
            <w:pPr>
              <w:rPr>
                <w:rFonts w:eastAsia="PMingLiU"/>
              </w:rPr>
            </w:pPr>
            <w:r w:rsidRPr="00DA36D4">
              <w:rPr>
                <w:rFonts w:eastAsia="PMingLiU"/>
                <w:sz w:val="22"/>
                <w:szCs w:val="22"/>
                <w:lang w:eastAsia="ko-KR"/>
              </w:rPr>
              <w:t>Peer STA</w:t>
            </w:r>
            <w:r w:rsidRPr="00DA36D4">
              <w:rPr>
                <w:rFonts w:eastAsia="PMingLiU"/>
                <w:sz w:val="22"/>
                <w:szCs w:val="22"/>
              </w:rPr>
              <w:t xml:space="preserve"> AID</w:t>
            </w:r>
          </w:p>
        </w:tc>
        <w:tc>
          <w:tcPr>
            <w:tcW w:w="707" w:type="pct"/>
          </w:tcPr>
          <w:p w:rsidR="009C0624" w:rsidRPr="00DA36D4" w:rsidRDefault="009C0624" w:rsidP="0042565A">
            <w:pPr>
              <w:rPr>
                <w:rFonts w:eastAsia="PMingLiU"/>
                <w:lang w:eastAsia="ko-KR"/>
              </w:rPr>
            </w:pPr>
            <w:r w:rsidRPr="00DA36D4">
              <w:rPr>
                <w:rFonts w:eastAsia="PMingLiU"/>
                <w:sz w:val="22"/>
                <w:szCs w:val="22"/>
                <w:lang w:eastAsia="ko-KR"/>
              </w:rPr>
              <w:t>SNR</w:t>
            </w:r>
          </w:p>
        </w:tc>
        <w:tc>
          <w:tcPr>
            <w:tcW w:w="792" w:type="pct"/>
          </w:tcPr>
          <w:p w:rsidR="009C0624" w:rsidRPr="00DA36D4" w:rsidRDefault="009C0624" w:rsidP="0042565A">
            <w:pPr>
              <w:rPr>
                <w:rFonts w:eastAsia="PMingLiU"/>
                <w:lang w:eastAsia="ko-KR"/>
              </w:rPr>
            </w:pPr>
            <w:r w:rsidRPr="00DA36D4">
              <w:rPr>
                <w:rFonts w:eastAsia="PMingLiU"/>
                <w:sz w:val="22"/>
                <w:szCs w:val="22"/>
                <w:lang w:eastAsia="ko-KR"/>
              </w:rPr>
              <w:t>Internal Angle</w:t>
            </w:r>
          </w:p>
        </w:tc>
        <w:tc>
          <w:tcPr>
            <w:tcW w:w="1029" w:type="pct"/>
          </w:tcPr>
          <w:p w:rsidR="009C0624" w:rsidRPr="00DA36D4" w:rsidRDefault="009C0624" w:rsidP="0042565A">
            <w:pPr>
              <w:rPr>
                <w:rFonts w:eastAsia="PMingLiU"/>
                <w:lang w:eastAsia="ko-KR"/>
              </w:rPr>
            </w:pPr>
            <w:r w:rsidRPr="00DA36D4">
              <w:rPr>
                <w:rFonts w:eastAsia="PMingLiU"/>
                <w:sz w:val="22"/>
                <w:szCs w:val="22"/>
                <w:lang w:eastAsia="ko-KR"/>
              </w:rPr>
              <w:t>Recommend</w:t>
            </w:r>
          </w:p>
        </w:tc>
        <w:tc>
          <w:tcPr>
            <w:tcW w:w="802" w:type="pct"/>
          </w:tcPr>
          <w:p w:rsidR="009C0624" w:rsidRPr="00DA36D4" w:rsidRDefault="009C0624" w:rsidP="0042565A">
            <w:pPr>
              <w:rPr>
                <w:rFonts w:eastAsia="PMingLiU"/>
                <w:lang w:eastAsia="ko-KR"/>
              </w:rPr>
            </w:pPr>
            <w:r w:rsidRPr="00DA36D4">
              <w:rPr>
                <w:rFonts w:eastAsia="PMingLiU"/>
                <w:sz w:val="22"/>
                <w:szCs w:val="22"/>
                <w:lang w:eastAsia="ko-KR"/>
              </w:rPr>
              <w:t>Reserved</w:t>
            </w:r>
          </w:p>
        </w:tc>
      </w:tr>
      <w:tr w:rsidR="009C0624" w:rsidRPr="001D7F82" w:rsidTr="0042565A">
        <w:trPr>
          <w:jc w:val="center"/>
        </w:trPr>
        <w:tc>
          <w:tcPr>
            <w:tcW w:w="490" w:type="pct"/>
          </w:tcPr>
          <w:p w:rsidR="009C0624" w:rsidRPr="00DA36D4" w:rsidRDefault="009C0624" w:rsidP="0042565A">
            <w:pPr>
              <w:rPr>
                <w:rFonts w:eastAsia="PMingLiU"/>
              </w:rPr>
            </w:pPr>
            <w:r w:rsidRPr="00DA36D4">
              <w:rPr>
                <w:rFonts w:eastAsia="PMingLiU"/>
                <w:sz w:val="22"/>
                <w:szCs w:val="22"/>
              </w:rPr>
              <w:t>Bits</w:t>
            </w:r>
            <w:r w:rsidRPr="00E55F0A">
              <w:rPr>
                <w:rFonts w:eastAsia="SimSun"/>
                <w:sz w:val="22"/>
                <w:szCs w:val="22"/>
              </w:rPr>
              <w:t>:</w:t>
            </w:r>
          </w:p>
        </w:tc>
        <w:tc>
          <w:tcPr>
            <w:tcW w:w="1180" w:type="pct"/>
          </w:tcPr>
          <w:p w:rsidR="009C0624" w:rsidRPr="00DA36D4" w:rsidRDefault="009C0624" w:rsidP="0042565A">
            <w:pPr>
              <w:rPr>
                <w:rFonts w:eastAsia="PMingLiU"/>
              </w:rPr>
            </w:pPr>
            <w:r w:rsidRPr="00DA36D4">
              <w:rPr>
                <w:rFonts w:eastAsia="PMingLiU"/>
                <w:sz w:val="22"/>
                <w:szCs w:val="22"/>
              </w:rPr>
              <w:t>B0-B7</w:t>
            </w:r>
          </w:p>
        </w:tc>
        <w:tc>
          <w:tcPr>
            <w:tcW w:w="707" w:type="pct"/>
          </w:tcPr>
          <w:p w:rsidR="009C0624" w:rsidRPr="00DA36D4" w:rsidRDefault="009C0624" w:rsidP="0042565A">
            <w:pPr>
              <w:rPr>
                <w:rFonts w:eastAsia="PMingLiU"/>
              </w:rPr>
            </w:pPr>
            <w:r w:rsidRPr="00DA36D4">
              <w:rPr>
                <w:rFonts w:eastAsia="PMingLiU"/>
                <w:sz w:val="22"/>
                <w:szCs w:val="22"/>
              </w:rPr>
              <w:t>B8-B</w:t>
            </w:r>
            <w:r w:rsidRPr="00DA36D4">
              <w:rPr>
                <w:rFonts w:eastAsia="PMingLiU"/>
                <w:sz w:val="22"/>
                <w:szCs w:val="22"/>
                <w:lang w:eastAsia="ko-KR"/>
              </w:rPr>
              <w:t>15</w:t>
            </w:r>
          </w:p>
        </w:tc>
        <w:tc>
          <w:tcPr>
            <w:tcW w:w="792" w:type="pct"/>
          </w:tcPr>
          <w:p w:rsidR="009C0624" w:rsidRPr="00DA36D4" w:rsidRDefault="009C0624" w:rsidP="0042565A">
            <w:pPr>
              <w:rPr>
                <w:rFonts w:eastAsia="PMingLiU"/>
                <w:lang w:eastAsia="ko-KR"/>
              </w:rPr>
            </w:pPr>
            <w:r w:rsidRPr="00DA36D4">
              <w:rPr>
                <w:rFonts w:eastAsia="PMingLiU"/>
                <w:sz w:val="22"/>
                <w:szCs w:val="22"/>
                <w:lang w:eastAsia="ko-KR"/>
              </w:rPr>
              <w:t>B16-B22</w:t>
            </w:r>
          </w:p>
        </w:tc>
        <w:tc>
          <w:tcPr>
            <w:tcW w:w="1029" w:type="pct"/>
          </w:tcPr>
          <w:p w:rsidR="009C0624" w:rsidRPr="00DA36D4" w:rsidRDefault="009C0624" w:rsidP="0042565A">
            <w:pPr>
              <w:keepNext/>
              <w:rPr>
                <w:rFonts w:eastAsia="PMingLiU"/>
                <w:lang w:eastAsia="ko-KR"/>
              </w:rPr>
            </w:pPr>
            <w:r w:rsidRPr="00DA36D4">
              <w:rPr>
                <w:rFonts w:eastAsia="PMingLiU"/>
                <w:sz w:val="22"/>
                <w:szCs w:val="22"/>
                <w:lang w:eastAsia="ko-KR"/>
              </w:rPr>
              <w:t>B23</w:t>
            </w:r>
          </w:p>
        </w:tc>
        <w:tc>
          <w:tcPr>
            <w:tcW w:w="802" w:type="pct"/>
          </w:tcPr>
          <w:p w:rsidR="009C0624" w:rsidRPr="00DA36D4" w:rsidRDefault="009C0624" w:rsidP="0042565A">
            <w:pPr>
              <w:keepNext/>
              <w:rPr>
                <w:rFonts w:eastAsia="PMingLiU"/>
                <w:lang w:eastAsia="ko-KR"/>
              </w:rPr>
            </w:pPr>
            <w:r w:rsidRPr="00DA36D4">
              <w:rPr>
                <w:rFonts w:eastAsia="PMingLiU"/>
                <w:sz w:val="22"/>
                <w:szCs w:val="22"/>
                <w:lang w:eastAsia="ko-KR"/>
              </w:rPr>
              <w:t>B24-B31</w:t>
            </w:r>
          </w:p>
        </w:tc>
      </w:tr>
    </w:tbl>
    <w:p w:rsidR="009C0624" w:rsidRDefault="00600089" w:rsidP="00600089">
      <w:pPr>
        <w:pStyle w:val="Caption"/>
        <w:rPr>
          <w:rFonts w:ascii="Times New Roman" w:hAnsi="Times New Roman"/>
          <w:sz w:val="22"/>
          <w:szCs w:val="22"/>
        </w:rPr>
      </w:pPr>
      <w:bookmarkStart w:id="907" w:name="_Ref259709507"/>
      <w:bookmarkStart w:id="908" w:name="_Toc259717507"/>
      <w:r>
        <w:t xml:space="preserve">Figure </w:t>
      </w:r>
      <w:fldSimple w:instr=" SEQ Figure \* ARABIC ">
        <w:r w:rsidR="003E4210">
          <w:rPr>
            <w:noProof/>
          </w:rPr>
          <w:t>75</w:t>
        </w:r>
      </w:fldSimple>
      <w:bookmarkEnd w:id="907"/>
      <w:r>
        <w:t xml:space="preserve"> – Channel measurement info field</w:t>
      </w:r>
      <w:bookmarkEnd w:id="908"/>
    </w:p>
    <w:p w:rsidR="009C0624" w:rsidRPr="00253F6B" w:rsidRDefault="009C0624" w:rsidP="009C0624">
      <w:pPr>
        <w:rPr>
          <w:sz w:val="22"/>
          <w:szCs w:val="22"/>
          <w:lang w:eastAsia="ko-KR"/>
        </w:rPr>
      </w:pPr>
    </w:p>
    <w:p w:rsidR="009C0624" w:rsidRDefault="009C0624" w:rsidP="009C0624">
      <w:pPr>
        <w:rPr>
          <w:lang w:eastAsia="zh-TW"/>
        </w:rPr>
      </w:pPr>
      <w:r w:rsidRPr="009C0624">
        <w:rPr>
          <w:lang w:eastAsia="zh-TW"/>
        </w:rPr>
        <w:t>The Peer STA AID subfield contains the AID of the STA toward which the reporting STA measures link.</w:t>
      </w:r>
    </w:p>
    <w:p w:rsidR="009C0624" w:rsidRPr="009C0624" w:rsidRDefault="009C0624" w:rsidP="009C0624">
      <w:pPr>
        <w:rPr>
          <w:lang w:eastAsia="zh-TW"/>
        </w:rPr>
      </w:pPr>
    </w:p>
    <w:p w:rsidR="009C0624" w:rsidRPr="009C0624" w:rsidRDefault="009C0624" w:rsidP="009C0624">
      <w:pPr>
        <w:rPr>
          <w:lang w:eastAsia="zh-TW"/>
        </w:rPr>
      </w:pPr>
      <w:r w:rsidRPr="009C0624">
        <w:rPr>
          <w:lang w:eastAsia="zh-TW"/>
        </w:rPr>
        <w:lastRenderedPageBreak/>
        <w:t>The SNR subfield indicates the SNR measured in the link toward the STA corresponding to Peer STA AID. This field is encoded as 8-bit two’s complement value of 4x(SNR-22), where SNR is measured in dB. This covers from -10dB to 53.75dB in 0.25dB steps.</w:t>
      </w:r>
    </w:p>
    <w:p w:rsidR="009C0624" w:rsidRDefault="009C0624" w:rsidP="009C0624">
      <w:pPr>
        <w:rPr>
          <w:lang w:eastAsia="zh-TW"/>
        </w:rPr>
      </w:pPr>
    </w:p>
    <w:p w:rsidR="009C0624" w:rsidRPr="009C0624" w:rsidRDefault="009C0624" w:rsidP="009C0624">
      <w:pPr>
        <w:rPr>
          <w:lang w:eastAsia="zh-TW"/>
        </w:rPr>
      </w:pPr>
      <w:r w:rsidRPr="009C0624">
        <w:rPr>
          <w:lang w:eastAsia="zh-TW"/>
        </w:rPr>
        <w:t xml:space="preserve">The Internal Angle subfield indicates the angle between directions toward the other STAs involved in the relay operation. This covers from 0 degree to 180 degree in 2 degree steps. This subfield uses the degree of the direction from the sector that was feedbacked with best quality during TXSS if SLS </w:t>
      </w:r>
      <w:r>
        <w:rPr>
          <w:lang w:eastAsia="zh-TW"/>
        </w:rPr>
        <w:t xml:space="preserve">phase of </w:t>
      </w:r>
      <w:r w:rsidRPr="009C0624">
        <w:rPr>
          <w:lang w:eastAsia="zh-TW"/>
        </w:rPr>
        <w:t xml:space="preserve">BF is performed and RXSS is not included. </w:t>
      </w:r>
    </w:p>
    <w:p w:rsidR="009C0624" w:rsidRDefault="009C0624" w:rsidP="009C0624">
      <w:pPr>
        <w:rPr>
          <w:lang w:eastAsia="zh-TW"/>
        </w:rPr>
      </w:pPr>
    </w:p>
    <w:p w:rsidR="009C0624" w:rsidRPr="009C0624" w:rsidRDefault="009C0624" w:rsidP="009C0624">
      <w:pPr>
        <w:rPr>
          <w:lang w:eastAsia="zh-TW"/>
        </w:rPr>
      </w:pPr>
      <w:r w:rsidRPr="009C0624">
        <w:rPr>
          <w:lang w:eastAsia="zh-TW"/>
        </w:rPr>
        <w:t>The Recommend subfield indicates whether the responding STA recommends the relay operation based on the channel measurement with the Peer STA. This subfield is set to one when the relay operation is recommended and otherwise is set to zero.</w:t>
      </w:r>
    </w:p>
    <w:p w:rsidR="009C0624" w:rsidRDefault="009C0624" w:rsidP="000E7E88"/>
    <w:p w:rsidR="0042565A" w:rsidRPr="00115FAE" w:rsidRDefault="0042565A" w:rsidP="0042565A">
      <w:pPr>
        <w:pStyle w:val="Heading4"/>
        <w:numPr>
          <w:ilvl w:val="3"/>
          <w:numId w:val="27"/>
        </w:numPr>
        <w:rPr>
          <w:sz w:val="28"/>
          <w:szCs w:val="28"/>
        </w:rPr>
      </w:pPr>
      <w:bookmarkStart w:id="909" w:name="_Toc259716987"/>
      <w:r>
        <w:rPr>
          <w:sz w:val="28"/>
          <w:szCs w:val="28"/>
        </w:rPr>
        <w:t>RLS request</w:t>
      </w:r>
      <w:bookmarkEnd w:id="909"/>
    </w:p>
    <w:p w:rsidR="0042565A" w:rsidRDefault="0042565A" w:rsidP="000E7E88"/>
    <w:p w:rsidR="0042565A" w:rsidRDefault="0042565A" w:rsidP="0042565A">
      <w:pPr>
        <w:rPr>
          <w:lang w:eastAsia="zh-TW"/>
        </w:rPr>
      </w:pPr>
      <w:r w:rsidRPr="0042565A">
        <w:rPr>
          <w:lang w:eastAsia="zh-TW"/>
        </w:rPr>
        <w:t>The RLS Request frame is used to setup a relay link. The frame body of the RLS Request is shown in</w:t>
      </w:r>
      <w:r>
        <w:rPr>
          <w:lang w:eastAsia="zh-TW"/>
        </w:rPr>
        <w:t xml:space="preserve"> </w:t>
      </w:r>
      <w:r w:rsidR="00BD151C">
        <w:rPr>
          <w:lang w:eastAsia="zh-TW"/>
        </w:rPr>
        <w:fldChar w:fldCharType="begin"/>
      </w:r>
      <w:r>
        <w:rPr>
          <w:lang w:eastAsia="zh-TW"/>
        </w:rPr>
        <w:instrText xml:space="preserve"> REF _Ref259712239 \h </w:instrText>
      </w:r>
      <w:r w:rsidR="00BD151C">
        <w:rPr>
          <w:lang w:eastAsia="zh-TW"/>
        </w:rPr>
      </w:r>
      <w:r w:rsidR="00BD151C">
        <w:rPr>
          <w:lang w:eastAsia="zh-TW"/>
        </w:rPr>
        <w:fldChar w:fldCharType="separate"/>
      </w:r>
      <w:r w:rsidR="003E4210">
        <w:t xml:space="preserve">Table </w:t>
      </w:r>
      <w:r w:rsidR="003E4210">
        <w:rPr>
          <w:noProof/>
        </w:rPr>
        <w:t>40</w:t>
      </w:r>
      <w:r w:rsidR="00BD151C">
        <w:rPr>
          <w:lang w:eastAsia="zh-TW"/>
        </w:rPr>
        <w:fldChar w:fldCharType="end"/>
      </w:r>
      <w:r w:rsidRPr="0042565A">
        <w:rPr>
          <w:lang w:eastAsia="zh-TW"/>
        </w:rPr>
        <w:t>.</w:t>
      </w:r>
    </w:p>
    <w:p w:rsidR="0042565A" w:rsidRPr="0042565A" w:rsidRDefault="0042565A" w:rsidP="0042565A">
      <w:pPr>
        <w:rPr>
          <w:lang w:eastAsia="zh-TW"/>
        </w:rPr>
      </w:pPr>
    </w:p>
    <w:p w:rsidR="0042565A" w:rsidRPr="0042565A" w:rsidRDefault="0042565A" w:rsidP="0042565A">
      <w:pPr>
        <w:pStyle w:val="Caption"/>
      </w:pPr>
      <w:bookmarkStart w:id="910" w:name="_Ref259712239"/>
      <w:bookmarkStart w:id="911" w:name="_Toc259717618"/>
      <w:r>
        <w:t xml:space="preserve">Table </w:t>
      </w:r>
      <w:fldSimple w:instr=" SEQ Table \* ARABIC ">
        <w:r w:rsidR="003E4210">
          <w:rPr>
            <w:noProof/>
          </w:rPr>
          <w:t>40</w:t>
        </w:r>
      </w:fldSimple>
      <w:bookmarkEnd w:id="910"/>
      <w:r>
        <w:t xml:space="preserve"> – RLS request frame body</w:t>
      </w:r>
      <w:bookmarkEnd w:id="911"/>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308"/>
      </w:tblGrid>
      <w:tr w:rsidR="0042565A" w:rsidRPr="001D7F82" w:rsidTr="0042565A">
        <w:trPr>
          <w:jc w:val="center"/>
        </w:trPr>
        <w:tc>
          <w:tcPr>
            <w:tcW w:w="0" w:type="auto"/>
          </w:tcPr>
          <w:p w:rsidR="0042565A" w:rsidRPr="00DA36D4" w:rsidRDefault="0042565A" w:rsidP="0042565A">
            <w:pPr>
              <w:rPr>
                <w:rFonts w:eastAsia="PMingLiU"/>
              </w:rPr>
            </w:pPr>
            <w:r w:rsidRPr="00DA36D4">
              <w:rPr>
                <w:rFonts w:eastAsia="PMingLiU"/>
                <w:sz w:val="22"/>
                <w:szCs w:val="22"/>
              </w:rPr>
              <w:t>Order</w:t>
            </w:r>
          </w:p>
        </w:tc>
        <w:tc>
          <w:tcPr>
            <w:tcW w:w="0" w:type="auto"/>
          </w:tcPr>
          <w:p w:rsidR="0042565A" w:rsidRPr="00DA36D4" w:rsidRDefault="0042565A" w:rsidP="0042565A">
            <w:pPr>
              <w:rPr>
                <w:rFonts w:eastAsia="PMingLiU"/>
              </w:rPr>
            </w:pPr>
            <w:r w:rsidRPr="00DA36D4">
              <w:rPr>
                <w:rFonts w:eastAsia="PMingLiU"/>
                <w:sz w:val="22"/>
                <w:szCs w:val="22"/>
              </w:rPr>
              <w:t>Information</w:t>
            </w:r>
          </w:p>
        </w:tc>
      </w:tr>
      <w:tr w:rsidR="0042565A" w:rsidRPr="001D7F82" w:rsidTr="0042565A">
        <w:trPr>
          <w:jc w:val="center"/>
        </w:trPr>
        <w:tc>
          <w:tcPr>
            <w:tcW w:w="0" w:type="auto"/>
          </w:tcPr>
          <w:p w:rsidR="0042565A" w:rsidRPr="00DA36D4" w:rsidRDefault="0042565A" w:rsidP="0042565A">
            <w:pPr>
              <w:rPr>
                <w:rFonts w:eastAsia="PMingLiU"/>
              </w:rPr>
            </w:pPr>
            <w:r w:rsidRPr="00DA36D4">
              <w:rPr>
                <w:rFonts w:eastAsia="PMingLiU"/>
                <w:sz w:val="22"/>
                <w:szCs w:val="22"/>
              </w:rPr>
              <w:t xml:space="preserve">1 </w:t>
            </w:r>
          </w:p>
        </w:tc>
        <w:tc>
          <w:tcPr>
            <w:tcW w:w="0" w:type="auto"/>
          </w:tcPr>
          <w:p w:rsidR="0042565A" w:rsidRPr="00DA36D4" w:rsidRDefault="0042565A" w:rsidP="0042565A">
            <w:pPr>
              <w:rPr>
                <w:rFonts w:eastAsia="PMingLiU"/>
              </w:rPr>
            </w:pPr>
            <w:r w:rsidRPr="00DA36D4">
              <w:rPr>
                <w:rFonts w:eastAsia="PMingLiU"/>
                <w:sz w:val="22"/>
                <w:szCs w:val="22"/>
              </w:rPr>
              <w:t>Category</w:t>
            </w:r>
          </w:p>
        </w:tc>
      </w:tr>
      <w:tr w:rsidR="0042565A" w:rsidRPr="001D7F82" w:rsidTr="0042565A">
        <w:trPr>
          <w:jc w:val="center"/>
        </w:trPr>
        <w:tc>
          <w:tcPr>
            <w:tcW w:w="0" w:type="auto"/>
          </w:tcPr>
          <w:p w:rsidR="0042565A" w:rsidRPr="00DA36D4" w:rsidRDefault="0042565A" w:rsidP="0042565A">
            <w:pPr>
              <w:rPr>
                <w:rFonts w:eastAsia="PMingLiU"/>
              </w:rPr>
            </w:pPr>
            <w:r w:rsidRPr="00DA36D4">
              <w:rPr>
                <w:rFonts w:eastAsia="PMingLiU"/>
                <w:sz w:val="22"/>
                <w:szCs w:val="22"/>
              </w:rPr>
              <w:t>2</w:t>
            </w:r>
          </w:p>
        </w:tc>
        <w:tc>
          <w:tcPr>
            <w:tcW w:w="0" w:type="auto"/>
          </w:tcPr>
          <w:p w:rsidR="0042565A" w:rsidRPr="00DA36D4" w:rsidRDefault="0042565A" w:rsidP="0042565A">
            <w:pPr>
              <w:rPr>
                <w:rFonts w:eastAsia="PMingLiU"/>
              </w:rPr>
            </w:pPr>
            <w:r w:rsidRPr="00DA36D4">
              <w:rPr>
                <w:rFonts w:eastAsia="PMingLiU"/>
                <w:sz w:val="22"/>
                <w:szCs w:val="22"/>
              </w:rPr>
              <w:t>Action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3</w:t>
            </w:r>
          </w:p>
        </w:tc>
        <w:tc>
          <w:tcPr>
            <w:tcW w:w="0" w:type="auto"/>
          </w:tcPr>
          <w:p w:rsidR="0042565A" w:rsidRPr="00DA36D4" w:rsidRDefault="0042565A" w:rsidP="0042565A">
            <w:pPr>
              <w:rPr>
                <w:rFonts w:eastAsia="PMingLiU"/>
                <w:lang w:eastAsia="ko-KR"/>
              </w:rPr>
            </w:pPr>
            <w:r w:rsidRPr="00DA36D4">
              <w:rPr>
                <w:rFonts w:eastAsia="PMingLiU"/>
                <w:sz w:val="22"/>
                <w:szCs w:val="22"/>
                <w:lang w:eastAsia="ko-KR"/>
              </w:rPr>
              <w:t>Dialog Token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4</w:t>
            </w:r>
          </w:p>
        </w:tc>
        <w:tc>
          <w:tcPr>
            <w:tcW w:w="0" w:type="auto"/>
          </w:tcPr>
          <w:p w:rsidR="0042565A" w:rsidRPr="00DA36D4" w:rsidRDefault="0042565A" w:rsidP="0042565A">
            <w:pPr>
              <w:rPr>
                <w:rFonts w:eastAsia="PMingLiU"/>
                <w:lang w:eastAsia="ko-KR"/>
              </w:rPr>
            </w:pPr>
            <w:r w:rsidRPr="00DA36D4">
              <w:rPr>
                <w:rFonts w:eastAsia="PMingLiU"/>
                <w:sz w:val="22"/>
                <w:szCs w:val="22"/>
              </w:rPr>
              <w:t xml:space="preserve">Destination </w:t>
            </w:r>
            <w:r w:rsidRPr="00DA36D4">
              <w:rPr>
                <w:rFonts w:eastAsia="PMingLiU"/>
                <w:sz w:val="22"/>
                <w:szCs w:val="22"/>
                <w:lang w:eastAsia="ko-KR"/>
              </w:rPr>
              <w:t>AID</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5</w:t>
            </w:r>
          </w:p>
        </w:tc>
        <w:tc>
          <w:tcPr>
            <w:tcW w:w="0" w:type="auto"/>
          </w:tcPr>
          <w:p w:rsidR="0042565A" w:rsidRPr="00DA36D4" w:rsidRDefault="0042565A" w:rsidP="0042565A">
            <w:pPr>
              <w:rPr>
                <w:rFonts w:eastAsia="PMingLiU"/>
                <w:lang w:eastAsia="ko-KR"/>
              </w:rPr>
            </w:pPr>
            <w:r w:rsidRPr="00DA36D4">
              <w:rPr>
                <w:rFonts w:eastAsia="PMingLiU"/>
                <w:sz w:val="22"/>
                <w:szCs w:val="22"/>
              </w:rPr>
              <w:t xml:space="preserve">Relay </w:t>
            </w:r>
            <w:r w:rsidRPr="00DA36D4">
              <w:rPr>
                <w:rFonts w:eastAsia="PMingLiU"/>
                <w:sz w:val="22"/>
                <w:szCs w:val="22"/>
                <w:lang w:eastAsia="ko-KR"/>
              </w:rPr>
              <w:t>AID</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6</w:t>
            </w:r>
          </w:p>
        </w:tc>
        <w:tc>
          <w:tcPr>
            <w:tcW w:w="0" w:type="auto"/>
          </w:tcPr>
          <w:p w:rsidR="0042565A" w:rsidRPr="00DA36D4" w:rsidRDefault="0042565A" w:rsidP="0042565A">
            <w:pPr>
              <w:rPr>
                <w:rFonts w:eastAsia="PMingLiU"/>
                <w:lang w:eastAsia="ko-KR"/>
              </w:rPr>
            </w:pPr>
            <w:r w:rsidRPr="00DA36D4">
              <w:rPr>
                <w:rFonts w:eastAsia="PMingLiU"/>
                <w:sz w:val="22"/>
                <w:szCs w:val="22"/>
              </w:rPr>
              <w:t xml:space="preserve">Source </w:t>
            </w:r>
            <w:r w:rsidRPr="00DA36D4">
              <w:rPr>
                <w:rFonts w:eastAsia="PMingLiU"/>
                <w:sz w:val="22"/>
                <w:szCs w:val="22"/>
                <w:lang w:eastAsia="ko-KR"/>
              </w:rPr>
              <w:t>AID</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7</w:t>
            </w:r>
          </w:p>
        </w:tc>
        <w:tc>
          <w:tcPr>
            <w:tcW w:w="0" w:type="auto"/>
          </w:tcPr>
          <w:p w:rsidR="0042565A" w:rsidRPr="00DA36D4" w:rsidRDefault="0042565A" w:rsidP="0042565A">
            <w:pPr>
              <w:rPr>
                <w:rFonts w:eastAsia="PMingLiU"/>
              </w:rPr>
            </w:pPr>
            <w:r w:rsidRPr="00DA36D4">
              <w:rPr>
                <w:rFonts w:eastAsia="PMingLiU"/>
                <w:sz w:val="22"/>
                <w:szCs w:val="22"/>
                <w:lang w:eastAsia="ko-KR"/>
              </w:rPr>
              <w:t xml:space="preserve">Destination </w:t>
            </w:r>
            <w:r w:rsidRPr="00DA36D4">
              <w:rPr>
                <w:rFonts w:eastAsia="PMingLiU"/>
                <w:sz w:val="22"/>
                <w:szCs w:val="22"/>
              </w:rPr>
              <w:t>Capability Information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8</w:t>
            </w:r>
          </w:p>
        </w:tc>
        <w:tc>
          <w:tcPr>
            <w:tcW w:w="0" w:type="auto"/>
          </w:tcPr>
          <w:p w:rsidR="0042565A" w:rsidRPr="00DA36D4" w:rsidRDefault="0042565A" w:rsidP="0042565A">
            <w:pPr>
              <w:rPr>
                <w:rFonts w:eastAsia="PMingLiU"/>
                <w:lang w:eastAsia="ko-KR"/>
              </w:rPr>
            </w:pPr>
            <w:r w:rsidRPr="00DA36D4">
              <w:rPr>
                <w:rFonts w:eastAsia="PMingLiU"/>
                <w:sz w:val="22"/>
                <w:szCs w:val="22"/>
              </w:rPr>
              <w:t>Relay Capability Information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9</w:t>
            </w:r>
          </w:p>
        </w:tc>
        <w:tc>
          <w:tcPr>
            <w:tcW w:w="0" w:type="auto"/>
          </w:tcPr>
          <w:p w:rsidR="0042565A" w:rsidRPr="00DA36D4" w:rsidRDefault="0042565A" w:rsidP="0042565A">
            <w:pPr>
              <w:rPr>
                <w:rFonts w:eastAsia="PMingLiU"/>
                <w:lang w:eastAsia="ko-KR"/>
              </w:rPr>
            </w:pPr>
            <w:r w:rsidRPr="00DA36D4">
              <w:rPr>
                <w:rFonts w:eastAsia="PMingLiU"/>
                <w:sz w:val="22"/>
                <w:szCs w:val="22"/>
              </w:rPr>
              <w:t>Source Capability Information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rPr>
              <w:t>1</w:t>
            </w:r>
            <w:r w:rsidR="007732FB">
              <w:rPr>
                <w:rFonts w:eastAsia="PMingLiU"/>
                <w:sz w:val="22"/>
                <w:szCs w:val="22"/>
                <w:lang w:eastAsia="ko-KR"/>
              </w:rPr>
              <w:t>0</w:t>
            </w:r>
          </w:p>
        </w:tc>
        <w:tc>
          <w:tcPr>
            <w:tcW w:w="0" w:type="auto"/>
          </w:tcPr>
          <w:p w:rsidR="0042565A" w:rsidRPr="00DA36D4" w:rsidRDefault="0042565A" w:rsidP="0042565A">
            <w:pPr>
              <w:rPr>
                <w:rFonts w:eastAsia="PMingLiU"/>
              </w:rPr>
            </w:pPr>
            <w:r w:rsidRPr="00DA36D4">
              <w:rPr>
                <w:rFonts w:eastAsia="PMingLiU"/>
                <w:sz w:val="22"/>
                <w:szCs w:val="22"/>
                <w:lang w:eastAsia="ko-KR"/>
              </w:rPr>
              <w:t>Relay Transfer Parameter Set</w:t>
            </w:r>
          </w:p>
        </w:tc>
      </w:tr>
    </w:tbl>
    <w:p w:rsidR="0042565A" w:rsidRDefault="0042565A" w:rsidP="0042565A">
      <w:pPr>
        <w:pStyle w:val="Caption"/>
        <w:keepNext/>
        <w:spacing w:before="0" w:after="0"/>
        <w:rPr>
          <w:sz w:val="22"/>
          <w:szCs w:val="22"/>
          <w:lang w:eastAsia="ko-KR"/>
        </w:rPr>
      </w:pPr>
    </w:p>
    <w:p w:rsidR="0042565A" w:rsidRDefault="0042565A" w:rsidP="0042565A">
      <w:pPr>
        <w:rPr>
          <w:lang w:eastAsia="zh-TW"/>
        </w:rPr>
      </w:pPr>
      <w:r w:rsidRPr="0042565A">
        <w:rPr>
          <w:lang w:eastAsia="zh-TW"/>
        </w:rPr>
        <w:t>The Category field is set to the category for mmWave</w:t>
      </w:r>
      <w:r>
        <w:rPr>
          <w:lang w:eastAsia="zh-CN" w:bidi="ar-SA"/>
        </w:rPr>
        <w:t xml:space="preserve">, 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42565A">
        <w:rPr>
          <w:lang w:eastAsia="zh-TW"/>
        </w:rPr>
        <w:t>.</w:t>
      </w:r>
    </w:p>
    <w:p w:rsidR="0042565A" w:rsidRPr="0042565A" w:rsidRDefault="0042565A" w:rsidP="0042565A">
      <w:pPr>
        <w:rPr>
          <w:lang w:eastAsia="zh-TW"/>
        </w:rPr>
      </w:pPr>
    </w:p>
    <w:p w:rsidR="0042565A" w:rsidRPr="0042565A" w:rsidRDefault="0042565A" w:rsidP="0042565A">
      <w:pPr>
        <w:rPr>
          <w:lang w:eastAsia="zh-TW"/>
        </w:rPr>
      </w:pPr>
      <w:r w:rsidRPr="0042565A">
        <w:rPr>
          <w:lang w:eastAsia="zh-TW"/>
        </w:rPr>
        <w:t xml:space="preserve">The Action field is set to the value corresponding to RLS Request, </w:t>
      </w:r>
      <w:r>
        <w:rPr>
          <w:lang w:eastAsia="zh-TW"/>
        </w:rPr>
        <w:t xml:space="preserve">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42565A">
        <w:rPr>
          <w:lang w:eastAsia="zh-TW"/>
        </w:rPr>
        <w:t>.</w:t>
      </w:r>
    </w:p>
    <w:p w:rsidR="0042565A" w:rsidRDefault="0042565A" w:rsidP="0042565A">
      <w:pPr>
        <w:rPr>
          <w:lang w:eastAsia="zh-TW"/>
        </w:rPr>
      </w:pPr>
    </w:p>
    <w:p w:rsidR="0042565A" w:rsidRPr="0042565A" w:rsidRDefault="0042565A" w:rsidP="0042565A">
      <w:pPr>
        <w:rPr>
          <w:lang w:eastAsia="zh-TW"/>
        </w:rPr>
      </w:pPr>
      <w:r w:rsidRPr="0042565A">
        <w:rPr>
          <w:lang w:eastAsia="zh-TW"/>
        </w:rPr>
        <w:t>The Dialog Token field shall be set to a nonzero value chosen by the STA sending the RLS Request frame to identify the request/response transaction.</w:t>
      </w:r>
    </w:p>
    <w:p w:rsidR="0042565A" w:rsidRDefault="0042565A" w:rsidP="0042565A">
      <w:pPr>
        <w:rPr>
          <w:lang w:eastAsia="zh-TW"/>
        </w:rPr>
      </w:pPr>
    </w:p>
    <w:p w:rsidR="0042565A" w:rsidRPr="0042565A" w:rsidRDefault="0042565A" w:rsidP="0042565A">
      <w:pPr>
        <w:rPr>
          <w:lang w:eastAsia="zh-TW"/>
        </w:rPr>
      </w:pPr>
      <w:r w:rsidRPr="0042565A">
        <w:rPr>
          <w:lang w:eastAsia="zh-TW"/>
        </w:rPr>
        <w:t>The Destination AID field value is the AID of the target destination.</w:t>
      </w:r>
    </w:p>
    <w:p w:rsidR="0042565A" w:rsidRDefault="0042565A" w:rsidP="0042565A">
      <w:pPr>
        <w:rPr>
          <w:lang w:eastAsia="zh-TW"/>
        </w:rPr>
      </w:pPr>
    </w:p>
    <w:p w:rsidR="0042565A" w:rsidRPr="0042565A" w:rsidRDefault="0042565A" w:rsidP="0042565A">
      <w:pPr>
        <w:rPr>
          <w:lang w:eastAsia="zh-TW"/>
        </w:rPr>
      </w:pPr>
      <w:r w:rsidRPr="0042565A">
        <w:rPr>
          <w:lang w:eastAsia="zh-TW"/>
        </w:rPr>
        <w:t>The Relay AID field value is the AID of the selected RSUS.</w:t>
      </w:r>
    </w:p>
    <w:p w:rsidR="0042565A" w:rsidRDefault="0042565A" w:rsidP="0042565A">
      <w:pPr>
        <w:rPr>
          <w:lang w:eastAsia="zh-TW"/>
        </w:rPr>
      </w:pPr>
    </w:p>
    <w:p w:rsidR="0042565A" w:rsidRPr="0042565A" w:rsidRDefault="0042565A" w:rsidP="0042565A">
      <w:pPr>
        <w:rPr>
          <w:lang w:eastAsia="zh-TW"/>
        </w:rPr>
      </w:pPr>
      <w:r w:rsidRPr="0042565A">
        <w:rPr>
          <w:lang w:eastAsia="zh-TW"/>
        </w:rPr>
        <w:t>The Source AID field value is the AID of the initiating STA.</w:t>
      </w:r>
    </w:p>
    <w:p w:rsidR="0042565A" w:rsidRDefault="0042565A" w:rsidP="0042565A">
      <w:pPr>
        <w:rPr>
          <w:lang w:eastAsia="zh-TW"/>
        </w:rPr>
      </w:pPr>
    </w:p>
    <w:p w:rsidR="0042565A" w:rsidRPr="0042565A" w:rsidRDefault="0042565A" w:rsidP="0042565A">
      <w:pPr>
        <w:rPr>
          <w:lang w:eastAsia="zh-TW"/>
        </w:rPr>
      </w:pPr>
      <w:r w:rsidRPr="0042565A">
        <w:rPr>
          <w:lang w:eastAsia="zh-TW"/>
        </w:rPr>
        <w:t>The Destination Capability Information field value is the capability information of the target destination.</w:t>
      </w:r>
    </w:p>
    <w:p w:rsidR="0042565A" w:rsidRDefault="0042565A" w:rsidP="0042565A">
      <w:pPr>
        <w:rPr>
          <w:lang w:eastAsia="zh-TW"/>
        </w:rPr>
      </w:pPr>
    </w:p>
    <w:p w:rsidR="0042565A" w:rsidRPr="0042565A" w:rsidRDefault="0042565A" w:rsidP="0042565A">
      <w:pPr>
        <w:rPr>
          <w:lang w:eastAsia="zh-TW"/>
        </w:rPr>
      </w:pPr>
      <w:r w:rsidRPr="0042565A">
        <w:rPr>
          <w:lang w:eastAsia="zh-TW"/>
        </w:rPr>
        <w:lastRenderedPageBreak/>
        <w:t>The Relay Capability Information field value is the capability information of the selected RSUS.</w:t>
      </w:r>
    </w:p>
    <w:p w:rsidR="0042565A" w:rsidRDefault="0042565A" w:rsidP="0042565A">
      <w:pPr>
        <w:rPr>
          <w:lang w:eastAsia="zh-TW"/>
        </w:rPr>
      </w:pPr>
    </w:p>
    <w:p w:rsidR="0042565A" w:rsidRPr="0042565A" w:rsidRDefault="0042565A" w:rsidP="0042565A">
      <w:pPr>
        <w:rPr>
          <w:lang w:eastAsia="zh-TW"/>
        </w:rPr>
      </w:pPr>
      <w:r w:rsidRPr="0042565A">
        <w:rPr>
          <w:lang w:eastAsia="zh-TW"/>
        </w:rPr>
        <w:t>The Source Capability Information field value is the capability information of originator of the request.</w:t>
      </w:r>
    </w:p>
    <w:p w:rsidR="0042565A" w:rsidRDefault="0042565A" w:rsidP="0042565A">
      <w:pPr>
        <w:rPr>
          <w:lang w:eastAsia="zh-TW"/>
        </w:rPr>
      </w:pPr>
    </w:p>
    <w:p w:rsidR="0042565A" w:rsidRPr="0042565A" w:rsidRDefault="0042565A" w:rsidP="0042565A">
      <w:pPr>
        <w:rPr>
          <w:lang w:eastAsia="zh-TW"/>
        </w:rPr>
      </w:pPr>
      <w:r w:rsidRPr="0042565A">
        <w:rPr>
          <w:lang w:eastAsia="zh-TW"/>
        </w:rPr>
        <w:t xml:space="preserve">The Relay Transfer Parameter Set element is defined in </w:t>
      </w:r>
      <w:r w:rsidR="00BD151C">
        <w:rPr>
          <w:lang w:eastAsia="zh-TW"/>
        </w:rPr>
        <w:fldChar w:fldCharType="begin"/>
      </w:r>
      <w:r>
        <w:rPr>
          <w:lang w:eastAsia="zh-TW"/>
        </w:rPr>
        <w:instrText xml:space="preserve"> REF _Ref259712241 \r \h </w:instrText>
      </w:r>
      <w:r w:rsidR="00BD151C">
        <w:rPr>
          <w:lang w:eastAsia="zh-TW"/>
        </w:rPr>
      </w:r>
      <w:r w:rsidR="00BD151C">
        <w:rPr>
          <w:lang w:eastAsia="zh-TW"/>
        </w:rPr>
        <w:fldChar w:fldCharType="separate"/>
      </w:r>
      <w:r w:rsidR="003E4210">
        <w:rPr>
          <w:lang w:eastAsia="zh-TW"/>
        </w:rPr>
        <w:t>7.3.2.111</w:t>
      </w:r>
      <w:r w:rsidR="00BD151C">
        <w:rPr>
          <w:lang w:eastAsia="zh-TW"/>
        </w:rPr>
        <w:fldChar w:fldCharType="end"/>
      </w:r>
      <w:r w:rsidRPr="0042565A">
        <w:rPr>
          <w:lang w:eastAsia="zh-TW"/>
        </w:rPr>
        <w:t>.</w:t>
      </w:r>
    </w:p>
    <w:p w:rsidR="0042565A" w:rsidRDefault="0042565A" w:rsidP="000E7E88"/>
    <w:p w:rsidR="007732FB" w:rsidRPr="00115FAE" w:rsidRDefault="007732FB" w:rsidP="007732FB">
      <w:pPr>
        <w:pStyle w:val="Heading4"/>
        <w:numPr>
          <w:ilvl w:val="3"/>
          <w:numId w:val="27"/>
        </w:numPr>
        <w:rPr>
          <w:sz w:val="28"/>
          <w:szCs w:val="28"/>
        </w:rPr>
      </w:pPr>
      <w:bookmarkStart w:id="912" w:name="_Toc259716988"/>
      <w:r>
        <w:rPr>
          <w:sz w:val="28"/>
          <w:szCs w:val="28"/>
        </w:rPr>
        <w:t>RLS response</w:t>
      </w:r>
      <w:bookmarkEnd w:id="912"/>
    </w:p>
    <w:p w:rsidR="009C0624" w:rsidRDefault="009C0624" w:rsidP="000E7E88"/>
    <w:p w:rsidR="007732FB" w:rsidRDefault="007732FB" w:rsidP="007732FB">
      <w:pPr>
        <w:rPr>
          <w:lang w:eastAsia="zh-TW"/>
        </w:rPr>
      </w:pPr>
      <w:r w:rsidRPr="007732FB">
        <w:rPr>
          <w:lang w:eastAsia="zh-TW"/>
        </w:rPr>
        <w:t>The RLS Response frame is sent in response to an RLS Request frame. The frame body of an RLS Response frame is shown in</w:t>
      </w:r>
      <w:r w:rsidR="00E87936">
        <w:rPr>
          <w:lang w:eastAsia="zh-TW"/>
        </w:rPr>
        <w:t xml:space="preserve"> </w:t>
      </w:r>
      <w:r w:rsidR="00BD151C">
        <w:rPr>
          <w:lang w:eastAsia="zh-TW"/>
        </w:rPr>
        <w:fldChar w:fldCharType="begin"/>
      </w:r>
      <w:r w:rsidR="0009219E">
        <w:rPr>
          <w:lang w:eastAsia="zh-TW"/>
        </w:rPr>
        <w:instrText xml:space="preserve"> REF _Ref259712662 \h </w:instrText>
      </w:r>
      <w:r w:rsidR="00BD151C">
        <w:rPr>
          <w:lang w:eastAsia="zh-TW"/>
        </w:rPr>
      </w:r>
      <w:r w:rsidR="00BD151C">
        <w:rPr>
          <w:lang w:eastAsia="zh-TW"/>
        </w:rPr>
        <w:fldChar w:fldCharType="separate"/>
      </w:r>
      <w:r w:rsidR="003E4210">
        <w:t xml:space="preserve">Table </w:t>
      </w:r>
      <w:r w:rsidR="003E4210">
        <w:rPr>
          <w:noProof/>
        </w:rPr>
        <w:t>41</w:t>
      </w:r>
      <w:r w:rsidR="00BD151C">
        <w:rPr>
          <w:lang w:eastAsia="zh-TW"/>
        </w:rPr>
        <w:fldChar w:fldCharType="end"/>
      </w:r>
      <w:r w:rsidRPr="007732FB">
        <w:rPr>
          <w:lang w:eastAsia="zh-TW"/>
        </w:rPr>
        <w:t>.</w:t>
      </w:r>
    </w:p>
    <w:p w:rsidR="007732FB" w:rsidRPr="007732FB" w:rsidRDefault="007732FB" w:rsidP="007732FB">
      <w:pPr>
        <w:rPr>
          <w:lang w:eastAsia="zh-TW"/>
        </w:rPr>
      </w:pPr>
    </w:p>
    <w:p w:rsidR="007732FB" w:rsidRPr="007732FB" w:rsidRDefault="00E87936" w:rsidP="00E87936">
      <w:pPr>
        <w:pStyle w:val="Caption"/>
      </w:pPr>
      <w:bookmarkStart w:id="913" w:name="_Ref259712662"/>
      <w:bookmarkStart w:id="914" w:name="_Toc259717619"/>
      <w:r>
        <w:t xml:space="preserve">Table </w:t>
      </w:r>
      <w:fldSimple w:instr=" SEQ Table \* ARABIC ">
        <w:r w:rsidR="003E4210">
          <w:rPr>
            <w:noProof/>
          </w:rPr>
          <w:t>41</w:t>
        </w:r>
      </w:fldSimple>
      <w:bookmarkEnd w:id="913"/>
      <w:r>
        <w:t xml:space="preserve"> – RLS response frame body</w:t>
      </w:r>
      <w:bookmarkEnd w:id="914"/>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308"/>
      </w:tblGrid>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Order</w:t>
            </w:r>
          </w:p>
        </w:tc>
        <w:tc>
          <w:tcPr>
            <w:tcW w:w="0" w:type="auto"/>
          </w:tcPr>
          <w:p w:rsidR="007732FB" w:rsidRPr="00DA36D4" w:rsidRDefault="007732FB" w:rsidP="00D46D9F">
            <w:pPr>
              <w:rPr>
                <w:rFonts w:eastAsia="PMingLiU"/>
              </w:rPr>
            </w:pPr>
            <w:r w:rsidRPr="00DA36D4">
              <w:rPr>
                <w:rFonts w:eastAsia="PMingLiU"/>
                <w:sz w:val="22"/>
                <w:szCs w:val="22"/>
              </w:rPr>
              <w:t>Information</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 xml:space="preserve">1 </w:t>
            </w:r>
          </w:p>
        </w:tc>
        <w:tc>
          <w:tcPr>
            <w:tcW w:w="0" w:type="auto"/>
          </w:tcPr>
          <w:p w:rsidR="007732FB" w:rsidRPr="00DA36D4" w:rsidRDefault="007732FB" w:rsidP="00D46D9F">
            <w:pPr>
              <w:rPr>
                <w:rFonts w:eastAsia="PMingLiU"/>
              </w:rPr>
            </w:pPr>
            <w:r w:rsidRPr="00DA36D4">
              <w:rPr>
                <w:rFonts w:eastAsia="PMingLiU"/>
                <w:sz w:val="22"/>
                <w:szCs w:val="22"/>
              </w:rPr>
              <w:t>Category</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2</w:t>
            </w:r>
          </w:p>
        </w:tc>
        <w:tc>
          <w:tcPr>
            <w:tcW w:w="0" w:type="auto"/>
          </w:tcPr>
          <w:p w:rsidR="007732FB" w:rsidRPr="00DA36D4" w:rsidRDefault="007732FB" w:rsidP="00D46D9F">
            <w:pPr>
              <w:rPr>
                <w:rFonts w:eastAsia="PMingLiU"/>
              </w:rPr>
            </w:pPr>
            <w:r w:rsidRPr="00DA36D4">
              <w:rPr>
                <w:rFonts w:eastAsia="PMingLiU"/>
                <w:sz w:val="22"/>
                <w:szCs w:val="22"/>
              </w:rPr>
              <w:t>Action</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lang w:eastAsia="ko-KR"/>
              </w:rPr>
              <w:t>3</w:t>
            </w:r>
          </w:p>
        </w:tc>
        <w:tc>
          <w:tcPr>
            <w:tcW w:w="0" w:type="auto"/>
          </w:tcPr>
          <w:p w:rsidR="007732FB" w:rsidRPr="00DA36D4" w:rsidRDefault="007732FB" w:rsidP="00D46D9F">
            <w:pPr>
              <w:rPr>
                <w:rFonts w:eastAsia="PMingLiU"/>
                <w:lang w:eastAsia="ko-KR"/>
              </w:rPr>
            </w:pPr>
            <w:r w:rsidRPr="00DA36D4">
              <w:rPr>
                <w:rFonts w:eastAsia="PMingLiU"/>
                <w:sz w:val="22"/>
                <w:szCs w:val="22"/>
                <w:lang w:eastAsia="ko-KR"/>
              </w:rPr>
              <w:t>Dialog Token</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lang w:eastAsia="ko-KR"/>
              </w:rPr>
              <w:t>4</w:t>
            </w:r>
          </w:p>
        </w:tc>
        <w:tc>
          <w:tcPr>
            <w:tcW w:w="0" w:type="auto"/>
          </w:tcPr>
          <w:p w:rsidR="007732FB" w:rsidRPr="00DA36D4" w:rsidRDefault="007732FB" w:rsidP="00D46D9F">
            <w:pPr>
              <w:rPr>
                <w:rFonts w:eastAsia="PMingLiU"/>
              </w:rPr>
            </w:pPr>
            <w:r w:rsidRPr="00DA36D4">
              <w:rPr>
                <w:rFonts w:eastAsia="PMingLiU"/>
                <w:sz w:val="22"/>
                <w:szCs w:val="22"/>
              </w:rPr>
              <w:t xml:space="preserve">Destination </w:t>
            </w:r>
            <w:r w:rsidRPr="00DA36D4">
              <w:rPr>
                <w:rFonts w:eastAsia="PMingLiU"/>
                <w:sz w:val="22"/>
                <w:szCs w:val="22"/>
                <w:lang w:eastAsia="ko-KR"/>
              </w:rPr>
              <w:t>AID</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lang w:eastAsia="ko-KR"/>
              </w:rPr>
              <w:t>5</w:t>
            </w:r>
          </w:p>
        </w:tc>
        <w:tc>
          <w:tcPr>
            <w:tcW w:w="0" w:type="auto"/>
          </w:tcPr>
          <w:p w:rsidR="007732FB" w:rsidRPr="00DA36D4" w:rsidRDefault="007732FB" w:rsidP="00D46D9F">
            <w:pPr>
              <w:rPr>
                <w:rFonts w:eastAsia="PMingLiU"/>
              </w:rPr>
            </w:pPr>
            <w:r w:rsidRPr="00DA36D4">
              <w:rPr>
                <w:rFonts w:eastAsia="PMingLiU"/>
                <w:sz w:val="22"/>
                <w:szCs w:val="22"/>
              </w:rPr>
              <w:t xml:space="preserve">Relay </w:t>
            </w:r>
            <w:r w:rsidRPr="00DA36D4">
              <w:rPr>
                <w:rFonts w:eastAsia="PMingLiU"/>
                <w:sz w:val="22"/>
                <w:szCs w:val="22"/>
                <w:lang w:eastAsia="ko-KR"/>
              </w:rPr>
              <w:t>AID</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lang w:eastAsia="ko-KR"/>
              </w:rPr>
              <w:t>6</w:t>
            </w:r>
          </w:p>
        </w:tc>
        <w:tc>
          <w:tcPr>
            <w:tcW w:w="0" w:type="auto"/>
          </w:tcPr>
          <w:p w:rsidR="007732FB" w:rsidRPr="00DA36D4" w:rsidRDefault="007732FB" w:rsidP="00D46D9F">
            <w:pPr>
              <w:rPr>
                <w:rFonts w:eastAsia="PMingLiU"/>
              </w:rPr>
            </w:pPr>
            <w:r w:rsidRPr="00DA36D4">
              <w:rPr>
                <w:rFonts w:eastAsia="PMingLiU"/>
                <w:sz w:val="22"/>
                <w:szCs w:val="22"/>
              </w:rPr>
              <w:t xml:space="preserve">Source </w:t>
            </w:r>
            <w:r w:rsidRPr="00DA36D4">
              <w:rPr>
                <w:rFonts w:eastAsia="PMingLiU"/>
                <w:sz w:val="22"/>
                <w:szCs w:val="22"/>
                <w:lang w:eastAsia="ko-KR"/>
              </w:rPr>
              <w:t>AID</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7</w:t>
            </w:r>
          </w:p>
        </w:tc>
        <w:tc>
          <w:tcPr>
            <w:tcW w:w="0" w:type="auto"/>
          </w:tcPr>
          <w:p w:rsidR="007732FB" w:rsidRPr="00DA36D4" w:rsidRDefault="007732FB" w:rsidP="00D46D9F">
            <w:pPr>
              <w:rPr>
                <w:rFonts w:eastAsia="PMingLiU"/>
              </w:rPr>
            </w:pPr>
            <w:r w:rsidRPr="00DA36D4">
              <w:rPr>
                <w:rFonts w:eastAsia="PMingLiU"/>
                <w:sz w:val="22"/>
                <w:szCs w:val="22"/>
                <w:lang w:eastAsia="ko-KR"/>
              </w:rPr>
              <w:t xml:space="preserve">Destination </w:t>
            </w:r>
            <w:r w:rsidRPr="00DA36D4">
              <w:rPr>
                <w:rFonts w:eastAsia="PMingLiU"/>
                <w:sz w:val="22"/>
                <w:szCs w:val="22"/>
              </w:rPr>
              <w:t>Capability Information</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lang w:eastAsia="ko-KR"/>
              </w:rPr>
              <w:t>8</w:t>
            </w:r>
          </w:p>
        </w:tc>
        <w:tc>
          <w:tcPr>
            <w:tcW w:w="0" w:type="auto"/>
          </w:tcPr>
          <w:p w:rsidR="007732FB" w:rsidRPr="00DA36D4" w:rsidRDefault="007732FB" w:rsidP="00D46D9F">
            <w:pPr>
              <w:rPr>
                <w:rFonts w:eastAsia="PMingLiU"/>
              </w:rPr>
            </w:pPr>
            <w:r w:rsidRPr="00DA36D4">
              <w:rPr>
                <w:rFonts w:eastAsia="PMingLiU"/>
                <w:sz w:val="22"/>
                <w:szCs w:val="22"/>
                <w:lang w:eastAsia="ko-KR"/>
              </w:rPr>
              <w:t xml:space="preserve">Relay </w:t>
            </w:r>
            <w:r w:rsidRPr="00DA36D4">
              <w:rPr>
                <w:rFonts w:eastAsia="PMingLiU"/>
                <w:sz w:val="22"/>
                <w:szCs w:val="22"/>
              </w:rPr>
              <w:t xml:space="preserve">Capability Information </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lang w:eastAsia="ko-KR"/>
              </w:rPr>
              <w:t>9</w:t>
            </w:r>
          </w:p>
        </w:tc>
        <w:tc>
          <w:tcPr>
            <w:tcW w:w="0" w:type="auto"/>
          </w:tcPr>
          <w:p w:rsidR="007732FB" w:rsidRPr="00DA36D4" w:rsidRDefault="007732FB" w:rsidP="00D46D9F">
            <w:pPr>
              <w:rPr>
                <w:rFonts w:eastAsia="PMingLiU"/>
              </w:rPr>
            </w:pPr>
            <w:r w:rsidRPr="00DA36D4">
              <w:rPr>
                <w:rFonts w:eastAsia="PMingLiU"/>
                <w:sz w:val="22"/>
                <w:szCs w:val="22"/>
                <w:lang w:eastAsia="ko-KR"/>
              </w:rPr>
              <w:t xml:space="preserve">Source Capability Information </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10</w:t>
            </w:r>
          </w:p>
        </w:tc>
        <w:tc>
          <w:tcPr>
            <w:tcW w:w="0" w:type="auto"/>
          </w:tcPr>
          <w:p w:rsidR="007732FB" w:rsidRPr="00DA36D4" w:rsidRDefault="007732FB" w:rsidP="00D46D9F">
            <w:pPr>
              <w:rPr>
                <w:rFonts w:eastAsia="PMingLiU"/>
              </w:rPr>
            </w:pPr>
            <w:r w:rsidRPr="00DA36D4">
              <w:rPr>
                <w:rFonts w:eastAsia="PMingLiU"/>
                <w:sz w:val="22"/>
                <w:szCs w:val="22"/>
                <w:lang w:eastAsia="ko-KR"/>
              </w:rPr>
              <w:t>Destination Status Code</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rPr>
              <w:t>1</w:t>
            </w:r>
            <w:r w:rsidRPr="00DA36D4">
              <w:rPr>
                <w:rFonts w:eastAsia="PMingLiU"/>
                <w:sz w:val="22"/>
                <w:szCs w:val="22"/>
                <w:lang w:eastAsia="ko-KR"/>
              </w:rPr>
              <w:t>1</w:t>
            </w:r>
          </w:p>
        </w:tc>
        <w:tc>
          <w:tcPr>
            <w:tcW w:w="0" w:type="auto"/>
          </w:tcPr>
          <w:p w:rsidR="007732FB" w:rsidRPr="00DA36D4" w:rsidRDefault="007732FB" w:rsidP="00D46D9F">
            <w:pPr>
              <w:rPr>
                <w:rFonts w:eastAsia="PMingLiU"/>
              </w:rPr>
            </w:pPr>
            <w:r w:rsidRPr="00DA36D4">
              <w:rPr>
                <w:rFonts w:eastAsia="PMingLiU"/>
                <w:sz w:val="22"/>
                <w:szCs w:val="22"/>
                <w:lang w:eastAsia="ko-KR"/>
              </w:rPr>
              <w:t>Relay Status Code (optional)</w:t>
            </w:r>
          </w:p>
        </w:tc>
      </w:tr>
    </w:tbl>
    <w:p w:rsidR="007732FB" w:rsidRPr="00E55F0A" w:rsidRDefault="007732FB" w:rsidP="007732FB">
      <w:pPr>
        <w:adjustRightInd w:val="0"/>
        <w:rPr>
          <w:sz w:val="22"/>
          <w:szCs w:val="22"/>
          <w:lang w:eastAsia="ko-KR"/>
        </w:rPr>
      </w:pPr>
    </w:p>
    <w:p w:rsidR="007732FB" w:rsidRDefault="007732FB" w:rsidP="007732FB">
      <w:pPr>
        <w:rPr>
          <w:lang w:eastAsia="zh-TW"/>
        </w:rPr>
      </w:pPr>
      <w:r w:rsidRPr="007732FB">
        <w:rPr>
          <w:lang w:eastAsia="zh-TW"/>
        </w:rPr>
        <w:t>The Category field is set to the category for mmWave</w:t>
      </w:r>
      <w:r w:rsidR="0009219E">
        <w:rPr>
          <w:lang w:eastAsia="zh-CN" w:bidi="ar-SA"/>
        </w:rPr>
        <w:t xml:space="preserve">, specified in </w:t>
      </w:r>
      <w:r w:rsidR="00BD151C">
        <w:fldChar w:fldCharType="begin"/>
      </w:r>
      <w:r w:rsidR="0009219E">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7732FB">
        <w:rPr>
          <w:lang w:eastAsia="zh-TW"/>
        </w:rPr>
        <w:t>.</w:t>
      </w:r>
    </w:p>
    <w:p w:rsidR="007732FB" w:rsidRPr="007732FB" w:rsidRDefault="007732FB" w:rsidP="007732FB">
      <w:pPr>
        <w:rPr>
          <w:lang w:eastAsia="zh-TW"/>
        </w:rPr>
      </w:pPr>
    </w:p>
    <w:p w:rsidR="007732FB" w:rsidRDefault="007732FB" w:rsidP="007732FB">
      <w:pPr>
        <w:rPr>
          <w:lang w:eastAsia="zh-TW"/>
        </w:rPr>
      </w:pPr>
      <w:r w:rsidRPr="007732FB">
        <w:rPr>
          <w:lang w:eastAsia="zh-TW"/>
        </w:rPr>
        <w:t>The Action field is set to the value corresponding to RLS Response</w:t>
      </w:r>
      <w:r w:rsidR="0009219E" w:rsidRPr="0042565A">
        <w:rPr>
          <w:lang w:eastAsia="zh-TW"/>
        </w:rPr>
        <w:t xml:space="preserve">, </w:t>
      </w:r>
      <w:r w:rsidR="0009219E">
        <w:rPr>
          <w:lang w:eastAsia="zh-TW"/>
        </w:rPr>
        <w:t xml:space="preserve">specified in </w:t>
      </w:r>
      <w:r w:rsidR="00BD151C">
        <w:fldChar w:fldCharType="begin"/>
      </w:r>
      <w:r w:rsidR="0009219E">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7732FB">
        <w:rPr>
          <w:lang w:eastAsia="zh-TW"/>
        </w:rPr>
        <w:t>.</w:t>
      </w:r>
    </w:p>
    <w:p w:rsidR="007732FB" w:rsidRPr="007732FB" w:rsidRDefault="007732FB" w:rsidP="007732FB">
      <w:pPr>
        <w:rPr>
          <w:lang w:eastAsia="zh-TW"/>
        </w:rPr>
      </w:pPr>
    </w:p>
    <w:p w:rsidR="007732FB" w:rsidRDefault="007732FB" w:rsidP="007732FB">
      <w:pPr>
        <w:rPr>
          <w:lang w:eastAsia="zh-TW"/>
        </w:rPr>
      </w:pPr>
      <w:r w:rsidRPr="007732FB">
        <w:rPr>
          <w:lang w:eastAsia="zh-TW"/>
        </w:rPr>
        <w:t>The Dialog Token field shall be set to the value in any corresponding RLS Request frame</w:t>
      </w:r>
      <w:r w:rsidR="00E87936">
        <w:rPr>
          <w:lang w:eastAsia="zh-TW"/>
        </w:rPr>
        <w:t>.</w:t>
      </w:r>
    </w:p>
    <w:p w:rsidR="00E87936" w:rsidRPr="007732FB" w:rsidRDefault="00E87936" w:rsidP="007732FB">
      <w:pPr>
        <w:rPr>
          <w:lang w:eastAsia="zh-TW"/>
        </w:rPr>
      </w:pPr>
    </w:p>
    <w:p w:rsidR="007732FB" w:rsidRDefault="007732FB" w:rsidP="007732FB">
      <w:pPr>
        <w:rPr>
          <w:lang w:eastAsia="zh-TW"/>
        </w:rPr>
      </w:pPr>
      <w:r w:rsidRPr="007732FB">
        <w:rPr>
          <w:lang w:eastAsia="zh-TW"/>
        </w:rPr>
        <w:t xml:space="preserve">The Destination AID, the Relay AID, the Source AID, the Destination Capability Information, the Relay Capability Information, </w:t>
      </w:r>
      <w:r w:rsidR="00E87936">
        <w:rPr>
          <w:lang w:eastAsia="zh-TW"/>
        </w:rPr>
        <w:t xml:space="preserve">and </w:t>
      </w:r>
      <w:r w:rsidRPr="007732FB">
        <w:rPr>
          <w:lang w:eastAsia="zh-TW"/>
        </w:rPr>
        <w:t xml:space="preserve">the Source Capability Information </w:t>
      </w:r>
      <w:r w:rsidR="00E87936">
        <w:rPr>
          <w:lang w:eastAsia="zh-TW"/>
        </w:rPr>
        <w:t xml:space="preserve">fields </w:t>
      </w:r>
      <w:r w:rsidRPr="007732FB">
        <w:rPr>
          <w:lang w:eastAsia="zh-TW"/>
        </w:rPr>
        <w:t xml:space="preserve">are copied from the corresponding fields in the RLS Request frame. </w:t>
      </w:r>
    </w:p>
    <w:p w:rsidR="00E87936" w:rsidRPr="007732FB" w:rsidRDefault="00E87936" w:rsidP="007732FB">
      <w:pPr>
        <w:rPr>
          <w:lang w:eastAsia="zh-TW"/>
        </w:rPr>
      </w:pPr>
    </w:p>
    <w:p w:rsidR="007732FB" w:rsidRDefault="007732FB" w:rsidP="007732FB">
      <w:pPr>
        <w:rPr>
          <w:lang w:eastAsia="zh-TW"/>
        </w:rPr>
      </w:pPr>
      <w:r w:rsidRPr="007732FB">
        <w:rPr>
          <w:lang w:eastAsia="zh-TW"/>
        </w:rPr>
        <w:t>The Destination Status Code field is included when the destination RUS transmits this RLS Response frame as a result of RLS Request.</w:t>
      </w:r>
      <w:r w:rsidR="00E87936">
        <w:rPr>
          <w:lang w:eastAsia="zh-TW"/>
        </w:rPr>
        <w:t xml:space="preserve"> It is </w:t>
      </w:r>
      <w:r w:rsidR="00E87936" w:rsidRPr="007732FB">
        <w:rPr>
          <w:lang w:eastAsia="zh-TW"/>
        </w:rPr>
        <w:t xml:space="preserve">defined in </w:t>
      </w:r>
      <w:r w:rsidR="00BD151C">
        <w:rPr>
          <w:lang w:eastAsia="zh-TW"/>
        </w:rPr>
        <w:fldChar w:fldCharType="begin"/>
      </w:r>
      <w:r w:rsidR="0009219E">
        <w:rPr>
          <w:lang w:eastAsia="zh-TW"/>
        </w:rPr>
        <w:instrText xml:space="preserve"> REF _Ref259712720 \r \h </w:instrText>
      </w:r>
      <w:r w:rsidR="00BD151C">
        <w:rPr>
          <w:lang w:eastAsia="zh-TW"/>
        </w:rPr>
      </w:r>
      <w:r w:rsidR="00BD151C">
        <w:rPr>
          <w:lang w:eastAsia="zh-TW"/>
        </w:rPr>
        <w:fldChar w:fldCharType="separate"/>
      </w:r>
      <w:r w:rsidR="003E4210">
        <w:rPr>
          <w:lang w:eastAsia="zh-TW"/>
        </w:rPr>
        <w:t>7.3.1.9</w:t>
      </w:r>
      <w:r w:rsidR="00BD151C">
        <w:rPr>
          <w:lang w:eastAsia="zh-TW"/>
        </w:rPr>
        <w:fldChar w:fldCharType="end"/>
      </w:r>
      <w:r w:rsidR="00E87936" w:rsidRPr="007732FB">
        <w:rPr>
          <w:lang w:eastAsia="zh-TW"/>
        </w:rPr>
        <w:t>.</w:t>
      </w:r>
    </w:p>
    <w:p w:rsidR="00E87936" w:rsidRPr="007732FB" w:rsidRDefault="00E87936" w:rsidP="007732FB">
      <w:pPr>
        <w:rPr>
          <w:lang w:eastAsia="zh-TW"/>
        </w:rPr>
      </w:pPr>
    </w:p>
    <w:p w:rsidR="007732FB" w:rsidRDefault="007732FB" w:rsidP="007732FB">
      <w:pPr>
        <w:rPr>
          <w:lang w:eastAsia="zh-TW"/>
        </w:rPr>
      </w:pPr>
      <w:r w:rsidRPr="007732FB">
        <w:rPr>
          <w:lang w:eastAsia="zh-TW"/>
        </w:rPr>
        <w:t>The Relay Status Code field is included when the relay RUS transmits this RLS Response frame as a result of RLS Request.</w:t>
      </w:r>
      <w:r w:rsidR="00E87936">
        <w:rPr>
          <w:lang w:eastAsia="zh-TW"/>
        </w:rPr>
        <w:t xml:space="preserve"> It is </w:t>
      </w:r>
      <w:r w:rsidR="00E87936" w:rsidRPr="007732FB">
        <w:rPr>
          <w:lang w:eastAsia="zh-TW"/>
        </w:rPr>
        <w:t xml:space="preserve">defined in </w:t>
      </w:r>
      <w:r w:rsidR="00BD151C">
        <w:rPr>
          <w:lang w:eastAsia="zh-TW"/>
        </w:rPr>
        <w:fldChar w:fldCharType="begin"/>
      </w:r>
      <w:r w:rsidR="0009219E">
        <w:rPr>
          <w:lang w:eastAsia="zh-TW"/>
        </w:rPr>
        <w:instrText xml:space="preserve"> REF _Ref259712720 \r \h </w:instrText>
      </w:r>
      <w:r w:rsidR="00BD151C">
        <w:rPr>
          <w:lang w:eastAsia="zh-TW"/>
        </w:rPr>
      </w:r>
      <w:r w:rsidR="00BD151C">
        <w:rPr>
          <w:lang w:eastAsia="zh-TW"/>
        </w:rPr>
        <w:fldChar w:fldCharType="separate"/>
      </w:r>
      <w:r w:rsidR="003E4210">
        <w:rPr>
          <w:lang w:eastAsia="zh-TW"/>
        </w:rPr>
        <w:t>7.3.1.9</w:t>
      </w:r>
      <w:r w:rsidR="00BD151C">
        <w:rPr>
          <w:lang w:eastAsia="zh-TW"/>
        </w:rPr>
        <w:fldChar w:fldCharType="end"/>
      </w:r>
      <w:r w:rsidR="00E87936" w:rsidRPr="007732FB">
        <w:rPr>
          <w:lang w:eastAsia="zh-TW"/>
        </w:rPr>
        <w:t>.</w:t>
      </w:r>
    </w:p>
    <w:p w:rsidR="00E87936" w:rsidRPr="007732FB" w:rsidRDefault="00E87936" w:rsidP="007732FB">
      <w:pPr>
        <w:rPr>
          <w:lang w:eastAsia="zh-TW"/>
        </w:rPr>
      </w:pPr>
    </w:p>
    <w:p w:rsidR="0009219E" w:rsidRPr="00115FAE" w:rsidRDefault="0009219E" w:rsidP="0009219E">
      <w:pPr>
        <w:pStyle w:val="Heading4"/>
        <w:numPr>
          <w:ilvl w:val="3"/>
          <w:numId w:val="27"/>
        </w:numPr>
        <w:rPr>
          <w:sz w:val="28"/>
          <w:szCs w:val="28"/>
        </w:rPr>
      </w:pPr>
      <w:bookmarkStart w:id="915" w:name="_Toc259716989"/>
      <w:r>
        <w:rPr>
          <w:sz w:val="28"/>
          <w:szCs w:val="28"/>
        </w:rPr>
        <w:t>RLS announcement</w:t>
      </w:r>
      <w:bookmarkEnd w:id="915"/>
    </w:p>
    <w:p w:rsidR="007732FB" w:rsidRDefault="007732FB" w:rsidP="000E7E88"/>
    <w:p w:rsidR="0009219E" w:rsidRDefault="0009219E" w:rsidP="0009219E">
      <w:pPr>
        <w:rPr>
          <w:lang w:eastAsia="zh-TW"/>
        </w:rPr>
      </w:pPr>
      <w:r w:rsidRPr="0009219E">
        <w:rPr>
          <w:lang w:eastAsia="zh-TW"/>
        </w:rPr>
        <w:lastRenderedPageBreak/>
        <w:t>The RLS Announcement frame is sent to announce the successful RLS. The frame body of an RLS Announcement frame is shown in</w:t>
      </w:r>
      <w:r>
        <w:rPr>
          <w:lang w:eastAsia="zh-TW"/>
        </w:rPr>
        <w:t xml:space="preserve"> </w:t>
      </w:r>
      <w:r w:rsidR="00BD151C">
        <w:rPr>
          <w:lang w:eastAsia="zh-TW"/>
        </w:rPr>
        <w:fldChar w:fldCharType="begin"/>
      </w:r>
      <w:r>
        <w:rPr>
          <w:lang w:eastAsia="zh-TW"/>
        </w:rPr>
        <w:instrText xml:space="preserve"> REF _Ref259712831 \h </w:instrText>
      </w:r>
      <w:r w:rsidR="00BD151C">
        <w:rPr>
          <w:lang w:eastAsia="zh-TW"/>
        </w:rPr>
      </w:r>
      <w:r w:rsidR="00BD151C">
        <w:rPr>
          <w:lang w:eastAsia="zh-TW"/>
        </w:rPr>
        <w:fldChar w:fldCharType="separate"/>
      </w:r>
      <w:r w:rsidR="003E4210">
        <w:t xml:space="preserve">Table </w:t>
      </w:r>
      <w:r w:rsidR="003E4210">
        <w:rPr>
          <w:noProof/>
        </w:rPr>
        <w:t>42</w:t>
      </w:r>
      <w:r w:rsidR="00BD151C">
        <w:rPr>
          <w:lang w:eastAsia="zh-TW"/>
        </w:rPr>
        <w:fldChar w:fldCharType="end"/>
      </w:r>
      <w:r w:rsidRPr="0009219E">
        <w:rPr>
          <w:lang w:eastAsia="zh-TW"/>
        </w:rPr>
        <w:t>.</w:t>
      </w:r>
    </w:p>
    <w:p w:rsidR="0009219E" w:rsidRPr="0009219E" w:rsidRDefault="0009219E" w:rsidP="0009219E">
      <w:pPr>
        <w:rPr>
          <w:lang w:eastAsia="zh-TW"/>
        </w:rPr>
      </w:pPr>
    </w:p>
    <w:p w:rsidR="0009219E" w:rsidRPr="0009219E" w:rsidRDefault="0009219E" w:rsidP="0009219E">
      <w:pPr>
        <w:pStyle w:val="Caption"/>
      </w:pPr>
      <w:bookmarkStart w:id="916" w:name="_Ref259712831"/>
      <w:bookmarkStart w:id="917" w:name="_Toc259717620"/>
      <w:r>
        <w:t xml:space="preserve">Table </w:t>
      </w:r>
      <w:fldSimple w:instr=" SEQ Table \* ARABIC ">
        <w:r w:rsidR="003E4210">
          <w:rPr>
            <w:noProof/>
          </w:rPr>
          <w:t>42</w:t>
        </w:r>
      </w:fldSimple>
      <w:bookmarkEnd w:id="916"/>
      <w:r>
        <w:t xml:space="preserve"> – RLS announcement frame body</w:t>
      </w:r>
      <w:bookmarkEnd w:id="917"/>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677"/>
      </w:tblGrid>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Order</w:t>
            </w:r>
          </w:p>
        </w:tc>
        <w:tc>
          <w:tcPr>
            <w:tcW w:w="0" w:type="auto"/>
          </w:tcPr>
          <w:p w:rsidR="0009219E" w:rsidRPr="00DA36D4" w:rsidRDefault="0009219E" w:rsidP="00D46D9F">
            <w:pPr>
              <w:rPr>
                <w:rFonts w:eastAsia="PMingLiU"/>
              </w:rPr>
            </w:pPr>
            <w:r w:rsidRPr="00DA36D4">
              <w:rPr>
                <w:rFonts w:eastAsia="PMingLiU"/>
                <w:sz w:val="22"/>
                <w:szCs w:val="22"/>
              </w:rPr>
              <w:t>Information</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 xml:space="preserve">1 </w:t>
            </w:r>
          </w:p>
        </w:tc>
        <w:tc>
          <w:tcPr>
            <w:tcW w:w="0" w:type="auto"/>
          </w:tcPr>
          <w:p w:rsidR="0009219E" w:rsidRPr="00DA36D4" w:rsidRDefault="0009219E" w:rsidP="00D46D9F">
            <w:pPr>
              <w:rPr>
                <w:rFonts w:eastAsia="PMingLiU"/>
              </w:rPr>
            </w:pPr>
            <w:r w:rsidRPr="00DA36D4">
              <w:rPr>
                <w:rFonts w:eastAsia="PMingLiU"/>
                <w:sz w:val="22"/>
                <w:szCs w:val="22"/>
              </w:rPr>
              <w:t>Category</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2</w:t>
            </w:r>
          </w:p>
        </w:tc>
        <w:tc>
          <w:tcPr>
            <w:tcW w:w="0" w:type="auto"/>
          </w:tcPr>
          <w:p w:rsidR="0009219E" w:rsidRPr="00DA36D4" w:rsidRDefault="0009219E" w:rsidP="00D46D9F">
            <w:pPr>
              <w:rPr>
                <w:rFonts w:eastAsia="PMingLiU"/>
              </w:rPr>
            </w:pPr>
            <w:r w:rsidRPr="00DA36D4">
              <w:rPr>
                <w:rFonts w:eastAsia="PMingLiU"/>
                <w:sz w:val="22"/>
                <w:szCs w:val="22"/>
              </w:rPr>
              <w:t>Action</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3</w:t>
            </w:r>
          </w:p>
        </w:tc>
        <w:tc>
          <w:tcPr>
            <w:tcW w:w="0" w:type="auto"/>
          </w:tcPr>
          <w:p w:rsidR="0009219E" w:rsidRPr="00DA36D4" w:rsidRDefault="0009219E" w:rsidP="00D46D9F">
            <w:pPr>
              <w:rPr>
                <w:rFonts w:eastAsia="PMingLiU"/>
              </w:rPr>
            </w:pPr>
            <w:r w:rsidRPr="00DA36D4">
              <w:rPr>
                <w:rFonts w:eastAsia="PMingLiU"/>
                <w:sz w:val="22"/>
                <w:szCs w:val="22"/>
              </w:rPr>
              <w:t>Status Code</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4</w:t>
            </w:r>
          </w:p>
        </w:tc>
        <w:tc>
          <w:tcPr>
            <w:tcW w:w="0" w:type="auto"/>
          </w:tcPr>
          <w:p w:rsidR="0009219E" w:rsidRPr="00DA36D4" w:rsidRDefault="0009219E" w:rsidP="00D46D9F">
            <w:pPr>
              <w:rPr>
                <w:rFonts w:eastAsia="PMingLiU"/>
                <w:lang w:eastAsia="ko-KR"/>
              </w:rPr>
            </w:pPr>
            <w:r w:rsidRPr="00DA36D4">
              <w:rPr>
                <w:rFonts w:eastAsia="PMingLiU"/>
                <w:sz w:val="22"/>
                <w:szCs w:val="22"/>
              </w:rPr>
              <w:t xml:space="preserve">Destination </w:t>
            </w:r>
            <w:r w:rsidRPr="00DA36D4">
              <w:rPr>
                <w:rFonts w:eastAsia="PMingLiU"/>
                <w:sz w:val="22"/>
                <w:szCs w:val="22"/>
                <w:lang w:eastAsia="ko-KR"/>
              </w:rPr>
              <w:t>AID</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5</w:t>
            </w:r>
          </w:p>
        </w:tc>
        <w:tc>
          <w:tcPr>
            <w:tcW w:w="0" w:type="auto"/>
          </w:tcPr>
          <w:p w:rsidR="0009219E" w:rsidRPr="00DA36D4" w:rsidRDefault="0009219E" w:rsidP="00D46D9F">
            <w:pPr>
              <w:rPr>
                <w:rFonts w:eastAsia="PMingLiU"/>
              </w:rPr>
            </w:pPr>
            <w:r w:rsidRPr="00DA36D4">
              <w:rPr>
                <w:rFonts w:eastAsia="PMingLiU"/>
                <w:sz w:val="22"/>
                <w:szCs w:val="22"/>
              </w:rPr>
              <w:t xml:space="preserve">Relay </w:t>
            </w:r>
            <w:r w:rsidRPr="00DA36D4">
              <w:rPr>
                <w:rFonts w:eastAsia="PMingLiU"/>
                <w:sz w:val="22"/>
                <w:szCs w:val="22"/>
                <w:lang w:eastAsia="ko-KR"/>
              </w:rPr>
              <w:t>AID</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6</w:t>
            </w:r>
          </w:p>
        </w:tc>
        <w:tc>
          <w:tcPr>
            <w:tcW w:w="0" w:type="auto"/>
          </w:tcPr>
          <w:p w:rsidR="0009219E" w:rsidRPr="00DA36D4" w:rsidRDefault="0009219E" w:rsidP="00D46D9F">
            <w:pPr>
              <w:rPr>
                <w:rFonts w:eastAsia="PMingLiU"/>
              </w:rPr>
            </w:pPr>
            <w:r w:rsidRPr="00DA36D4">
              <w:rPr>
                <w:rFonts w:eastAsia="PMingLiU"/>
                <w:sz w:val="22"/>
                <w:szCs w:val="22"/>
              </w:rPr>
              <w:t xml:space="preserve">Source </w:t>
            </w:r>
            <w:r w:rsidRPr="00DA36D4">
              <w:rPr>
                <w:rFonts w:eastAsia="PMingLiU"/>
                <w:sz w:val="22"/>
                <w:szCs w:val="22"/>
                <w:lang w:eastAsia="ko-KR"/>
              </w:rPr>
              <w:t>AID</w:t>
            </w:r>
          </w:p>
        </w:tc>
      </w:tr>
    </w:tbl>
    <w:p w:rsidR="0009219E" w:rsidRPr="00E55F0A" w:rsidRDefault="0009219E" w:rsidP="0009219E">
      <w:pPr>
        <w:adjustRightInd w:val="0"/>
        <w:rPr>
          <w:sz w:val="22"/>
          <w:szCs w:val="22"/>
          <w:lang w:eastAsia="ko-KR"/>
        </w:rPr>
      </w:pPr>
    </w:p>
    <w:p w:rsidR="0009219E" w:rsidRDefault="0009219E" w:rsidP="0009219E">
      <w:pPr>
        <w:rPr>
          <w:lang w:eastAsia="zh-TW"/>
        </w:rPr>
      </w:pPr>
      <w:r w:rsidRPr="0009219E">
        <w:rPr>
          <w:lang w:eastAsia="zh-TW"/>
        </w:rPr>
        <w:t xml:space="preserve">The Category field is set to the category for mmWave, </w:t>
      </w:r>
      <w:r>
        <w:rPr>
          <w:lang w:eastAsia="zh-CN" w:bidi="ar-SA"/>
        </w:rPr>
        <w:t xml:space="preserve">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09219E">
        <w:rPr>
          <w:lang w:eastAsia="zh-TW"/>
        </w:rPr>
        <w:t>.</w:t>
      </w:r>
    </w:p>
    <w:p w:rsidR="0009219E" w:rsidRPr="0009219E" w:rsidRDefault="0009219E" w:rsidP="0009219E">
      <w:pPr>
        <w:rPr>
          <w:lang w:eastAsia="zh-TW"/>
        </w:rPr>
      </w:pPr>
    </w:p>
    <w:p w:rsidR="0009219E" w:rsidRPr="0009219E" w:rsidRDefault="0009219E" w:rsidP="0009219E">
      <w:pPr>
        <w:rPr>
          <w:lang w:eastAsia="zh-TW"/>
        </w:rPr>
      </w:pPr>
      <w:r w:rsidRPr="0009219E">
        <w:rPr>
          <w:lang w:eastAsia="zh-TW"/>
        </w:rPr>
        <w:t xml:space="preserve">The Action field is set to the value corresponding to RLS Announcement, </w:t>
      </w:r>
      <w:r>
        <w:rPr>
          <w:lang w:eastAsia="zh-TW"/>
        </w:rPr>
        <w:t xml:space="preserve">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09219E">
        <w:rPr>
          <w:lang w:eastAsia="zh-TW"/>
        </w:rPr>
        <w:t>.</w:t>
      </w:r>
    </w:p>
    <w:p w:rsidR="0009219E" w:rsidRDefault="0009219E" w:rsidP="0009219E">
      <w:pPr>
        <w:rPr>
          <w:lang w:eastAsia="zh-TW"/>
        </w:rPr>
      </w:pPr>
    </w:p>
    <w:p w:rsidR="0009219E" w:rsidRPr="0009219E" w:rsidRDefault="0009219E" w:rsidP="0009219E">
      <w:pPr>
        <w:rPr>
          <w:lang w:eastAsia="zh-TW"/>
        </w:rPr>
      </w:pPr>
      <w:r w:rsidRPr="0009219E">
        <w:rPr>
          <w:lang w:eastAsia="zh-TW"/>
        </w:rPr>
        <w:t xml:space="preserve">The Status Code field is defined in </w:t>
      </w:r>
      <w:r w:rsidR="00BD151C">
        <w:rPr>
          <w:lang w:eastAsia="zh-TW"/>
        </w:rPr>
        <w:fldChar w:fldCharType="begin"/>
      </w:r>
      <w:r>
        <w:rPr>
          <w:lang w:eastAsia="zh-TW"/>
        </w:rPr>
        <w:instrText xml:space="preserve"> REF _Ref259712720 \r \h </w:instrText>
      </w:r>
      <w:r w:rsidR="00BD151C">
        <w:rPr>
          <w:lang w:eastAsia="zh-TW"/>
        </w:rPr>
      </w:r>
      <w:r w:rsidR="00BD151C">
        <w:rPr>
          <w:lang w:eastAsia="zh-TW"/>
        </w:rPr>
        <w:fldChar w:fldCharType="separate"/>
      </w:r>
      <w:r w:rsidR="003E4210">
        <w:rPr>
          <w:lang w:eastAsia="zh-TW"/>
        </w:rPr>
        <w:t>7.3.1.9</w:t>
      </w:r>
      <w:r w:rsidR="00BD151C">
        <w:rPr>
          <w:lang w:eastAsia="zh-TW"/>
        </w:rPr>
        <w:fldChar w:fldCharType="end"/>
      </w:r>
      <w:r w:rsidRPr="0009219E">
        <w:rPr>
          <w:lang w:eastAsia="zh-TW"/>
        </w:rPr>
        <w:t>.</w:t>
      </w:r>
    </w:p>
    <w:p w:rsidR="0009219E" w:rsidRDefault="0009219E" w:rsidP="0009219E">
      <w:pPr>
        <w:rPr>
          <w:lang w:eastAsia="zh-TW"/>
        </w:rPr>
      </w:pPr>
    </w:p>
    <w:p w:rsidR="0009219E" w:rsidRPr="0009219E" w:rsidRDefault="0009219E" w:rsidP="0009219E">
      <w:pPr>
        <w:rPr>
          <w:lang w:eastAsia="zh-TW"/>
        </w:rPr>
      </w:pPr>
      <w:r w:rsidRPr="0009219E">
        <w:rPr>
          <w:lang w:eastAsia="zh-TW"/>
        </w:rPr>
        <w:t>The Destination AID field value is the AID of the target destination.</w:t>
      </w:r>
    </w:p>
    <w:p w:rsidR="0009219E" w:rsidRDefault="0009219E" w:rsidP="0009219E">
      <w:pPr>
        <w:rPr>
          <w:lang w:eastAsia="zh-TW"/>
        </w:rPr>
      </w:pPr>
    </w:p>
    <w:p w:rsidR="0009219E" w:rsidRPr="0009219E" w:rsidRDefault="0009219E" w:rsidP="0009219E">
      <w:pPr>
        <w:rPr>
          <w:lang w:eastAsia="zh-TW"/>
        </w:rPr>
      </w:pPr>
      <w:r w:rsidRPr="0009219E">
        <w:rPr>
          <w:lang w:eastAsia="zh-TW"/>
        </w:rPr>
        <w:t>The Relay AID field value is the AID of the RSUS.</w:t>
      </w:r>
    </w:p>
    <w:p w:rsidR="0009219E" w:rsidRDefault="0009219E" w:rsidP="0009219E">
      <w:pPr>
        <w:rPr>
          <w:lang w:eastAsia="zh-TW"/>
        </w:rPr>
      </w:pPr>
    </w:p>
    <w:p w:rsidR="0009219E" w:rsidRPr="0009219E" w:rsidRDefault="0009219E" w:rsidP="0009219E">
      <w:pPr>
        <w:rPr>
          <w:lang w:eastAsia="zh-TW"/>
        </w:rPr>
      </w:pPr>
      <w:r w:rsidRPr="0009219E">
        <w:rPr>
          <w:lang w:eastAsia="zh-TW"/>
        </w:rPr>
        <w:t>The Source AID field value is the AID of the initiating STA.</w:t>
      </w:r>
    </w:p>
    <w:p w:rsidR="0009219E" w:rsidRDefault="0009219E" w:rsidP="000E7E88"/>
    <w:p w:rsidR="0009219E" w:rsidRPr="00115FAE" w:rsidRDefault="0009219E" w:rsidP="0009219E">
      <w:pPr>
        <w:pStyle w:val="Heading4"/>
        <w:numPr>
          <w:ilvl w:val="3"/>
          <w:numId w:val="27"/>
        </w:numPr>
        <w:rPr>
          <w:sz w:val="28"/>
          <w:szCs w:val="28"/>
        </w:rPr>
      </w:pPr>
      <w:bookmarkStart w:id="918" w:name="_Toc259716990"/>
      <w:r>
        <w:rPr>
          <w:sz w:val="28"/>
          <w:szCs w:val="28"/>
        </w:rPr>
        <w:t>RLS teardown</w:t>
      </w:r>
      <w:bookmarkEnd w:id="918"/>
    </w:p>
    <w:p w:rsidR="0009219E" w:rsidRDefault="0009219E" w:rsidP="000E7E88"/>
    <w:p w:rsidR="00A53C43" w:rsidRPr="00A53C43" w:rsidRDefault="00A53C43" w:rsidP="00A53C43">
      <w:pPr>
        <w:rPr>
          <w:lang w:eastAsia="zh-TW"/>
        </w:rPr>
      </w:pPr>
      <w:r w:rsidRPr="00A53C43">
        <w:rPr>
          <w:lang w:eastAsia="zh-TW"/>
        </w:rPr>
        <w:t xml:space="preserve">The RLS Teardown frame is sent to terminate a relay operation. The frame body of the RLS Teardown frame contains the information shown in </w:t>
      </w:r>
      <w:fldSimple w:instr=" REF _Ref259712996 \h  \* MERGEFORMAT ">
        <w:r w:rsidR="003E4210">
          <w:rPr>
            <w:lang w:eastAsia="zh-TW"/>
          </w:rPr>
          <w:t>Table 43</w:t>
        </w:r>
      </w:fldSimple>
      <w:r w:rsidRPr="00A53C43">
        <w:rPr>
          <w:lang w:eastAsia="zh-TW"/>
        </w:rPr>
        <w:t>.</w:t>
      </w:r>
    </w:p>
    <w:p w:rsidR="00A53C43" w:rsidRDefault="00A53C43" w:rsidP="00A53C43">
      <w:pPr>
        <w:jc w:val="both"/>
        <w:rPr>
          <w:sz w:val="22"/>
          <w:szCs w:val="22"/>
        </w:rPr>
      </w:pPr>
    </w:p>
    <w:p w:rsidR="00A53C43" w:rsidRPr="00A53C43" w:rsidRDefault="00A53C43" w:rsidP="00A53C43">
      <w:pPr>
        <w:pStyle w:val="Caption"/>
      </w:pPr>
      <w:bookmarkStart w:id="919" w:name="_Ref259712996"/>
      <w:bookmarkStart w:id="920" w:name="_Toc259717621"/>
      <w:r>
        <w:t xml:space="preserve">Table </w:t>
      </w:r>
      <w:fldSimple w:instr=" SEQ Table \* ARABIC ">
        <w:r w:rsidR="003E4210">
          <w:rPr>
            <w:noProof/>
          </w:rPr>
          <w:t>43</w:t>
        </w:r>
      </w:fldSimple>
      <w:bookmarkEnd w:id="919"/>
      <w:r>
        <w:t xml:space="preserve"> – RLS teardown frame body</w:t>
      </w:r>
      <w:bookmarkEnd w:id="920"/>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677"/>
      </w:tblGrid>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Order</w:t>
            </w:r>
          </w:p>
        </w:tc>
        <w:tc>
          <w:tcPr>
            <w:tcW w:w="0" w:type="auto"/>
          </w:tcPr>
          <w:p w:rsidR="00A53C43" w:rsidRPr="00DA36D4" w:rsidRDefault="00A53C43" w:rsidP="00D46D9F">
            <w:pPr>
              <w:rPr>
                <w:rFonts w:eastAsia="PMingLiU"/>
              </w:rPr>
            </w:pPr>
            <w:r w:rsidRPr="00DA36D4">
              <w:rPr>
                <w:rFonts w:eastAsia="PMingLiU"/>
                <w:sz w:val="22"/>
                <w:szCs w:val="22"/>
              </w:rPr>
              <w:t>Information</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 xml:space="preserve">1 </w:t>
            </w:r>
          </w:p>
        </w:tc>
        <w:tc>
          <w:tcPr>
            <w:tcW w:w="0" w:type="auto"/>
          </w:tcPr>
          <w:p w:rsidR="00A53C43" w:rsidRPr="00DA36D4" w:rsidRDefault="00A53C43" w:rsidP="00D46D9F">
            <w:pPr>
              <w:rPr>
                <w:rFonts w:eastAsia="PMingLiU"/>
              </w:rPr>
            </w:pPr>
            <w:r w:rsidRPr="00DA36D4">
              <w:rPr>
                <w:rFonts w:eastAsia="PMingLiU"/>
                <w:sz w:val="22"/>
                <w:szCs w:val="22"/>
              </w:rPr>
              <w:t>Category</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2</w:t>
            </w:r>
          </w:p>
        </w:tc>
        <w:tc>
          <w:tcPr>
            <w:tcW w:w="0" w:type="auto"/>
          </w:tcPr>
          <w:p w:rsidR="00A53C43" w:rsidRPr="00DA36D4" w:rsidRDefault="00A53C43" w:rsidP="00D46D9F">
            <w:pPr>
              <w:rPr>
                <w:rFonts w:eastAsia="PMingLiU"/>
              </w:rPr>
            </w:pPr>
            <w:r w:rsidRPr="00DA36D4">
              <w:rPr>
                <w:rFonts w:eastAsia="PMingLiU"/>
                <w:sz w:val="22"/>
                <w:szCs w:val="22"/>
              </w:rPr>
              <w:t>Action</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3</w:t>
            </w:r>
          </w:p>
        </w:tc>
        <w:tc>
          <w:tcPr>
            <w:tcW w:w="0" w:type="auto"/>
          </w:tcPr>
          <w:p w:rsidR="00A53C43" w:rsidRPr="00DA36D4" w:rsidRDefault="00A53C43" w:rsidP="00D46D9F">
            <w:pPr>
              <w:rPr>
                <w:rFonts w:eastAsia="PMingLiU"/>
              </w:rPr>
            </w:pPr>
            <w:r w:rsidRPr="00DA36D4">
              <w:rPr>
                <w:rFonts w:eastAsia="PMingLiU"/>
                <w:sz w:val="22"/>
                <w:szCs w:val="22"/>
              </w:rPr>
              <w:t xml:space="preserve">Destination </w:t>
            </w:r>
            <w:r w:rsidRPr="00DA36D4">
              <w:rPr>
                <w:rFonts w:eastAsia="PMingLiU"/>
                <w:sz w:val="22"/>
                <w:szCs w:val="22"/>
                <w:lang w:eastAsia="ko-KR"/>
              </w:rPr>
              <w:t>AID</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4</w:t>
            </w:r>
          </w:p>
        </w:tc>
        <w:tc>
          <w:tcPr>
            <w:tcW w:w="0" w:type="auto"/>
          </w:tcPr>
          <w:p w:rsidR="00A53C43" w:rsidRPr="00DA36D4" w:rsidRDefault="00A53C43" w:rsidP="00D46D9F">
            <w:pPr>
              <w:rPr>
                <w:rFonts w:eastAsia="PMingLiU"/>
              </w:rPr>
            </w:pPr>
            <w:r w:rsidRPr="00DA36D4">
              <w:rPr>
                <w:rFonts w:eastAsia="PMingLiU"/>
                <w:sz w:val="22"/>
                <w:szCs w:val="22"/>
              </w:rPr>
              <w:t xml:space="preserve">Relay </w:t>
            </w:r>
            <w:r w:rsidRPr="00DA36D4">
              <w:rPr>
                <w:rFonts w:eastAsia="PMingLiU"/>
                <w:sz w:val="22"/>
                <w:szCs w:val="22"/>
                <w:lang w:eastAsia="ko-KR"/>
              </w:rPr>
              <w:t>AID</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5</w:t>
            </w:r>
          </w:p>
        </w:tc>
        <w:tc>
          <w:tcPr>
            <w:tcW w:w="0" w:type="auto"/>
          </w:tcPr>
          <w:p w:rsidR="00A53C43" w:rsidRPr="00DA36D4" w:rsidRDefault="00A53C43" w:rsidP="00D46D9F">
            <w:pPr>
              <w:rPr>
                <w:rFonts w:eastAsia="PMingLiU"/>
              </w:rPr>
            </w:pPr>
            <w:r w:rsidRPr="00DA36D4">
              <w:rPr>
                <w:rFonts w:eastAsia="PMingLiU"/>
                <w:sz w:val="22"/>
                <w:szCs w:val="22"/>
              </w:rPr>
              <w:t xml:space="preserve">Source </w:t>
            </w:r>
            <w:r w:rsidRPr="00DA36D4">
              <w:rPr>
                <w:rFonts w:eastAsia="PMingLiU"/>
                <w:sz w:val="22"/>
                <w:szCs w:val="22"/>
                <w:lang w:eastAsia="ko-KR"/>
              </w:rPr>
              <w:t>AID</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6</w:t>
            </w:r>
          </w:p>
        </w:tc>
        <w:tc>
          <w:tcPr>
            <w:tcW w:w="0" w:type="auto"/>
          </w:tcPr>
          <w:p w:rsidR="00A53C43" w:rsidRPr="00DA36D4" w:rsidRDefault="00A53C43" w:rsidP="00D46D9F">
            <w:pPr>
              <w:rPr>
                <w:rFonts w:eastAsia="PMingLiU"/>
              </w:rPr>
            </w:pPr>
            <w:r w:rsidRPr="00DA36D4">
              <w:rPr>
                <w:rFonts w:eastAsia="PMingLiU"/>
                <w:sz w:val="22"/>
                <w:szCs w:val="22"/>
              </w:rPr>
              <w:t>Reason Code</w:t>
            </w:r>
          </w:p>
        </w:tc>
      </w:tr>
    </w:tbl>
    <w:p w:rsidR="00A53C43" w:rsidRPr="00E55F0A" w:rsidRDefault="00A53C43" w:rsidP="00A53C43">
      <w:pPr>
        <w:adjustRightInd w:val="0"/>
        <w:rPr>
          <w:sz w:val="22"/>
          <w:szCs w:val="22"/>
          <w:lang w:eastAsia="ko-KR"/>
        </w:rPr>
      </w:pPr>
    </w:p>
    <w:p w:rsidR="00A53C43" w:rsidRDefault="00A53C43" w:rsidP="00A53C43">
      <w:pPr>
        <w:rPr>
          <w:lang w:eastAsia="zh-TW"/>
        </w:rPr>
      </w:pPr>
      <w:r w:rsidRPr="00A53C43">
        <w:rPr>
          <w:lang w:eastAsia="zh-TW"/>
        </w:rPr>
        <w:t xml:space="preserve">The Category field is set to the category for mmWave, </w:t>
      </w:r>
      <w:r w:rsidR="00D46D9F">
        <w:rPr>
          <w:lang w:eastAsia="zh-CN" w:bidi="ar-SA"/>
        </w:rPr>
        <w:t xml:space="preserve">specified in </w:t>
      </w:r>
      <w:r w:rsidR="00BD151C">
        <w:fldChar w:fldCharType="begin"/>
      </w:r>
      <w:r w:rsidR="00D46D9F">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A53C43">
        <w:rPr>
          <w:lang w:eastAsia="zh-TW"/>
        </w:rPr>
        <w:t>.</w:t>
      </w:r>
    </w:p>
    <w:p w:rsidR="00A53C43" w:rsidRPr="00A53C43" w:rsidRDefault="00A53C43" w:rsidP="00A53C43">
      <w:pPr>
        <w:rPr>
          <w:lang w:eastAsia="zh-TW"/>
        </w:rPr>
      </w:pPr>
    </w:p>
    <w:p w:rsidR="00A53C43" w:rsidRPr="00A53C43" w:rsidRDefault="00A53C43" w:rsidP="00A53C43">
      <w:pPr>
        <w:rPr>
          <w:lang w:eastAsia="zh-TW"/>
        </w:rPr>
      </w:pPr>
      <w:r w:rsidRPr="00A53C43">
        <w:rPr>
          <w:lang w:eastAsia="zh-TW"/>
        </w:rPr>
        <w:t xml:space="preserve">The Action field is set to the value corresponding to RLS Teardown, </w:t>
      </w:r>
      <w:r>
        <w:rPr>
          <w:lang w:eastAsia="zh-TW"/>
        </w:rPr>
        <w:t xml:space="preserve">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 xml:space="preserve">The Destination AID field value is the AID of the </w:t>
      </w:r>
      <w:r w:rsidRPr="00A53C43">
        <w:rPr>
          <w:rFonts w:hint="eastAsia"/>
          <w:lang w:eastAsia="zh-TW"/>
        </w:rPr>
        <w:t>destination RUS</w:t>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 xml:space="preserve">The Relay AID field value is the AID of the </w:t>
      </w:r>
      <w:r w:rsidRPr="00A53C43">
        <w:rPr>
          <w:rFonts w:hint="eastAsia"/>
          <w:lang w:eastAsia="zh-TW"/>
        </w:rPr>
        <w:t>RSUS.</w:t>
      </w:r>
    </w:p>
    <w:p w:rsidR="00A53C43" w:rsidRDefault="00A53C43" w:rsidP="00A53C43">
      <w:pPr>
        <w:rPr>
          <w:lang w:eastAsia="zh-TW"/>
        </w:rPr>
      </w:pPr>
    </w:p>
    <w:p w:rsidR="00A53C43" w:rsidRPr="00A53C43" w:rsidRDefault="00A53C43" w:rsidP="00A53C43">
      <w:pPr>
        <w:rPr>
          <w:lang w:eastAsia="zh-TW"/>
        </w:rPr>
      </w:pPr>
      <w:r w:rsidRPr="00A53C43">
        <w:rPr>
          <w:lang w:eastAsia="zh-TW"/>
        </w:rPr>
        <w:lastRenderedPageBreak/>
        <w:t xml:space="preserve">The Source AID field value is the AID of the </w:t>
      </w:r>
      <w:r w:rsidRPr="00A53C43">
        <w:rPr>
          <w:rFonts w:hint="eastAsia"/>
          <w:lang w:eastAsia="zh-TW"/>
        </w:rPr>
        <w:t>source RUS</w:t>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The Reason Code field is defined in 7.3.1.7.</w:t>
      </w:r>
    </w:p>
    <w:p w:rsidR="0009219E" w:rsidRDefault="0009219E" w:rsidP="000E7E88"/>
    <w:p w:rsidR="00A53C43" w:rsidRPr="00115FAE" w:rsidRDefault="00A53C43" w:rsidP="00A53C43">
      <w:pPr>
        <w:pStyle w:val="Heading4"/>
        <w:numPr>
          <w:ilvl w:val="3"/>
          <w:numId w:val="27"/>
        </w:numPr>
        <w:rPr>
          <w:sz w:val="28"/>
          <w:szCs w:val="28"/>
        </w:rPr>
      </w:pPr>
      <w:bookmarkStart w:id="921" w:name="_Toc259716991"/>
      <w:r>
        <w:rPr>
          <w:sz w:val="28"/>
          <w:szCs w:val="28"/>
        </w:rPr>
        <w:t>Relay ACK request</w:t>
      </w:r>
      <w:bookmarkEnd w:id="921"/>
    </w:p>
    <w:p w:rsidR="00A53C43" w:rsidRDefault="00A53C43" w:rsidP="000E7E88"/>
    <w:p w:rsidR="00A53C43" w:rsidRDefault="00A53C43" w:rsidP="00A53C43">
      <w:pPr>
        <w:rPr>
          <w:lang w:eastAsia="zh-TW"/>
        </w:rPr>
      </w:pPr>
      <w:r w:rsidRPr="00A53C43">
        <w:rPr>
          <w:lang w:eastAsia="zh-TW"/>
        </w:rPr>
        <w:t>The Relay ACK Request frame is sent by an source RUS to an RSUS participating in a relay operation, in order to determine whether all frames forwarded through the RSUS were successfully received by the destination RUS also participating in the relay operation. This frame is used only when the RSUS is operated in HD/DF mode and relay operation is link switching type. The frame body of the Relay ACK Request frame contains the information in</w:t>
      </w:r>
      <w:r>
        <w:rPr>
          <w:lang w:eastAsia="zh-TW"/>
        </w:rPr>
        <w:t xml:space="preserve"> </w:t>
      </w:r>
      <w:r w:rsidR="00BD151C">
        <w:rPr>
          <w:lang w:eastAsia="zh-TW"/>
        </w:rPr>
        <w:fldChar w:fldCharType="begin"/>
      </w:r>
      <w:r>
        <w:rPr>
          <w:lang w:eastAsia="zh-TW"/>
        </w:rPr>
        <w:instrText xml:space="preserve"> REF _Ref259713210 \h </w:instrText>
      </w:r>
      <w:r w:rsidR="00BD151C">
        <w:rPr>
          <w:lang w:eastAsia="zh-TW"/>
        </w:rPr>
      </w:r>
      <w:r w:rsidR="00BD151C">
        <w:rPr>
          <w:lang w:eastAsia="zh-TW"/>
        </w:rPr>
        <w:fldChar w:fldCharType="separate"/>
      </w:r>
      <w:r w:rsidR="003E4210">
        <w:t xml:space="preserve">Table </w:t>
      </w:r>
      <w:r w:rsidR="003E4210">
        <w:rPr>
          <w:noProof/>
        </w:rPr>
        <w:t>44</w:t>
      </w:r>
      <w:r w:rsidR="00BD151C">
        <w:rPr>
          <w:lang w:eastAsia="zh-TW"/>
        </w:rPr>
        <w:fldChar w:fldCharType="end"/>
      </w:r>
      <w:r w:rsidRPr="00A53C43">
        <w:rPr>
          <w:lang w:eastAsia="zh-TW"/>
        </w:rPr>
        <w:t>.</w:t>
      </w:r>
    </w:p>
    <w:p w:rsidR="00A53C43" w:rsidRPr="00A53C43" w:rsidRDefault="00A53C43" w:rsidP="00A53C43">
      <w:pPr>
        <w:rPr>
          <w:lang w:eastAsia="zh-TW"/>
        </w:rPr>
      </w:pPr>
    </w:p>
    <w:p w:rsidR="00A53C43" w:rsidRPr="00A53C43" w:rsidRDefault="00A53C43" w:rsidP="00A53C43">
      <w:pPr>
        <w:pStyle w:val="Caption"/>
      </w:pPr>
      <w:bookmarkStart w:id="922" w:name="_Ref259713210"/>
      <w:bookmarkStart w:id="923" w:name="_Toc259717622"/>
      <w:r>
        <w:t xml:space="preserve">Table </w:t>
      </w:r>
      <w:fldSimple w:instr=" SEQ Table \* ARABIC ">
        <w:r w:rsidR="003E4210">
          <w:rPr>
            <w:noProof/>
          </w:rPr>
          <w:t>44</w:t>
        </w:r>
      </w:fldSimple>
      <w:bookmarkEnd w:id="922"/>
      <w:r>
        <w:t xml:space="preserve"> – Relay ACK request frame body</w:t>
      </w:r>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485"/>
      </w:tblGrid>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 xml:space="preserve">Order </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Information</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1</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Category</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2</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Action</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3</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BA</w:t>
            </w:r>
            <w:r w:rsidRPr="00DA36D4">
              <w:rPr>
                <w:rFonts w:eastAsia="PMingLiU" w:cs="TimesNewRoman"/>
                <w:sz w:val="22"/>
                <w:szCs w:val="22"/>
                <w:lang w:eastAsia="ko-KR"/>
              </w:rPr>
              <w:t>R</w:t>
            </w:r>
            <w:r w:rsidRPr="00DA36D4">
              <w:rPr>
                <w:rFonts w:eastAsia="PMingLiU" w:cs="TimesNewRoman"/>
                <w:sz w:val="22"/>
                <w:szCs w:val="22"/>
              </w:rPr>
              <w:t xml:space="preserve"> Control </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4</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 xml:space="preserve">BlockAck Starting Sequence Control </w:t>
            </w:r>
          </w:p>
        </w:tc>
      </w:tr>
    </w:tbl>
    <w:p w:rsidR="00A53C43" w:rsidRPr="00E55F0A" w:rsidRDefault="00A53C43" w:rsidP="00A53C43">
      <w:pPr>
        <w:rPr>
          <w:sz w:val="22"/>
          <w:szCs w:val="22"/>
        </w:rPr>
      </w:pPr>
    </w:p>
    <w:p w:rsidR="00A53C43" w:rsidRPr="00A53C43" w:rsidRDefault="00A53C43" w:rsidP="00A53C43">
      <w:pPr>
        <w:rPr>
          <w:lang w:eastAsia="zh-TW"/>
        </w:rPr>
      </w:pPr>
      <w:r w:rsidRPr="00A53C43">
        <w:rPr>
          <w:lang w:eastAsia="zh-TW"/>
        </w:rPr>
        <w:t xml:space="preserve">The Category field is set to the category for mmWave, </w:t>
      </w:r>
      <w:r w:rsidR="00D46D9F">
        <w:rPr>
          <w:lang w:eastAsia="zh-CN" w:bidi="ar-SA"/>
        </w:rPr>
        <w:t xml:space="preserve">specified in </w:t>
      </w:r>
      <w:r w:rsidR="00BD151C">
        <w:fldChar w:fldCharType="begin"/>
      </w:r>
      <w:r w:rsidR="00D46D9F">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 xml:space="preserve">The Action field is set to the value corresponding to Relay ACK Request, </w:t>
      </w:r>
      <w:r>
        <w:rPr>
          <w:lang w:eastAsia="zh-TW"/>
        </w:rPr>
        <w:t xml:space="preserve">specified in </w:t>
      </w:r>
      <w:r w:rsidR="00BD151C">
        <w:fldChar w:fldCharType="begin"/>
      </w:r>
      <w:r>
        <w:instrText xml:space="preserve"> REF _Ref236378110 \h </w:instrText>
      </w:r>
      <w:r w:rsidR="00BD151C">
        <w:fldChar w:fldCharType="separate"/>
      </w:r>
      <w:r w:rsidR="003E4210" w:rsidRPr="00066F65">
        <w:t xml:space="preserve">Table </w:t>
      </w:r>
      <w:r w:rsidR="003E4210">
        <w:rPr>
          <w:noProof/>
        </w:rPr>
        <w:t>25</w:t>
      </w:r>
      <w:r w:rsidR="00BD151C">
        <w:fldChar w:fldCharType="end"/>
      </w:r>
      <w:r w:rsidRPr="00A53C43">
        <w:rPr>
          <w:lang w:eastAsia="zh-TW"/>
        </w:rPr>
        <w:t>.</w:t>
      </w:r>
    </w:p>
    <w:p w:rsidR="00A53C43" w:rsidRPr="00A53C43" w:rsidRDefault="00A53C43" w:rsidP="00A53C43">
      <w:pPr>
        <w:rPr>
          <w:lang w:eastAsia="zh-TW"/>
        </w:rPr>
      </w:pPr>
    </w:p>
    <w:p w:rsidR="00A53C43" w:rsidRPr="00A53C43" w:rsidRDefault="00A53C43" w:rsidP="00A53C43">
      <w:pPr>
        <w:rPr>
          <w:lang w:eastAsia="zh-TW"/>
        </w:rPr>
      </w:pPr>
      <w:r w:rsidRPr="00A53C43">
        <w:rPr>
          <w:lang w:eastAsia="zh-TW"/>
        </w:rPr>
        <w:t>The BA</w:t>
      </w:r>
      <w:r w:rsidR="00DD228C">
        <w:rPr>
          <w:lang w:eastAsia="zh-TW"/>
        </w:rPr>
        <w:t>R</w:t>
      </w:r>
      <w:r w:rsidRPr="00A53C43">
        <w:rPr>
          <w:lang w:eastAsia="zh-TW"/>
        </w:rPr>
        <w:t xml:space="preserve"> Control field and BlockAck Starting Sequence Control fields are </w:t>
      </w:r>
      <w:r>
        <w:rPr>
          <w:lang w:eastAsia="zh-TW"/>
        </w:rPr>
        <w:t xml:space="preserve">defined in </w:t>
      </w:r>
      <w:r w:rsidR="00BD151C">
        <w:rPr>
          <w:lang w:eastAsia="zh-TW"/>
        </w:rPr>
        <w:fldChar w:fldCharType="begin"/>
      </w:r>
      <w:r>
        <w:rPr>
          <w:lang w:eastAsia="zh-TW"/>
        </w:rPr>
        <w:instrText xml:space="preserve"> REF _Ref259713271 \r \h </w:instrText>
      </w:r>
      <w:r w:rsidR="00BD151C">
        <w:rPr>
          <w:lang w:eastAsia="zh-TW"/>
        </w:rPr>
      </w:r>
      <w:r w:rsidR="00BD151C">
        <w:rPr>
          <w:lang w:eastAsia="zh-TW"/>
        </w:rPr>
        <w:fldChar w:fldCharType="separate"/>
      </w:r>
      <w:r w:rsidR="003E4210">
        <w:rPr>
          <w:lang w:eastAsia="zh-TW"/>
        </w:rPr>
        <w:t>7.2.1.7</w:t>
      </w:r>
      <w:r w:rsidR="00BD151C">
        <w:rPr>
          <w:lang w:eastAsia="zh-TW"/>
        </w:rPr>
        <w:fldChar w:fldCharType="end"/>
      </w:r>
      <w:r>
        <w:rPr>
          <w:lang w:eastAsia="zh-TW"/>
        </w:rPr>
        <w:t>.</w:t>
      </w:r>
    </w:p>
    <w:p w:rsidR="00A53C43" w:rsidRDefault="00A53C43" w:rsidP="000E7E88"/>
    <w:p w:rsidR="00DD228C" w:rsidRPr="00115FAE" w:rsidRDefault="00DD228C" w:rsidP="00DD228C">
      <w:pPr>
        <w:pStyle w:val="Heading4"/>
        <w:numPr>
          <w:ilvl w:val="3"/>
          <w:numId w:val="27"/>
        </w:numPr>
        <w:rPr>
          <w:sz w:val="28"/>
          <w:szCs w:val="28"/>
        </w:rPr>
      </w:pPr>
      <w:bookmarkStart w:id="924" w:name="_Toc259716992"/>
      <w:r>
        <w:rPr>
          <w:sz w:val="28"/>
          <w:szCs w:val="28"/>
        </w:rPr>
        <w:t>Relay ACK response</w:t>
      </w:r>
      <w:bookmarkEnd w:id="924"/>
    </w:p>
    <w:p w:rsidR="00DD228C" w:rsidRDefault="00DD228C" w:rsidP="000E7E88"/>
    <w:p w:rsidR="00DD228C" w:rsidRDefault="00DD228C" w:rsidP="00DD228C">
      <w:pPr>
        <w:rPr>
          <w:lang w:eastAsia="zh-TW"/>
        </w:rPr>
      </w:pPr>
      <w:r w:rsidRPr="00DD228C">
        <w:rPr>
          <w:lang w:eastAsia="zh-TW"/>
        </w:rPr>
        <w:t>The Relay ACK Response frame is sent by an RSUS to a source RUS participating in a relay operation, in order to report which frames have been received by the destination RUS also participating in the relay operation. This frame is used only when the RSUS is operated in HD/DF mode and relay operation is link switching type. The frame body of the Relay ACK Response frame contains the information in</w:t>
      </w:r>
      <w:r>
        <w:rPr>
          <w:lang w:eastAsia="zh-TW"/>
        </w:rPr>
        <w:t xml:space="preserve"> </w:t>
      </w:r>
      <w:r w:rsidR="00BD151C">
        <w:rPr>
          <w:lang w:eastAsia="zh-TW"/>
        </w:rPr>
        <w:fldChar w:fldCharType="begin"/>
      </w:r>
      <w:r>
        <w:rPr>
          <w:lang w:eastAsia="zh-TW"/>
        </w:rPr>
        <w:instrText xml:space="preserve"> REF _Ref259713378 \h </w:instrText>
      </w:r>
      <w:r w:rsidR="00BD151C">
        <w:rPr>
          <w:lang w:eastAsia="zh-TW"/>
        </w:rPr>
      </w:r>
      <w:r w:rsidR="00BD151C">
        <w:rPr>
          <w:lang w:eastAsia="zh-TW"/>
        </w:rPr>
        <w:fldChar w:fldCharType="separate"/>
      </w:r>
      <w:r w:rsidR="003E4210">
        <w:t xml:space="preserve">Table </w:t>
      </w:r>
      <w:r w:rsidR="003E4210">
        <w:rPr>
          <w:noProof/>
        </w:rPr>
        <w:t>45</w:t>
      </w:r>
      <w:r w:rsidR="00BD151C">
        <w:rPr>
          <w:lang w:eastAsia="zh-TW"/>
        </w:rPr>
        <w:fldChar w:fldCharType="end"/>
      </w:r>
      <w:r w:rsidRPr="00DD228C">
        <w:rPr>
          <w:lang w:eastAsia="zh-TW"/>
        </w:rPr>
        <w:t>.</w:t>
      </w:r>
    </w:p>
    <w:p w:rsidR="00DD228C" w:rsidRPr="00DD228C" w:rsidRDefault="00DD228C" w:rsidP="00DD228C">
      <w:pPr>
        <w:rPr>
          <w:lang w:eastAsia="zh-TW"/>
        </w:rPr>
      </w:pPr>
    </w:p>
    <w:p w:rsidR="00DD228C" w:rsidRPr="00DD228C" w:rsidRDefault="00DD228C" w:rsidP="00DD228C">
      <w:pPr>
        <w:pStyle w:val="Caption"/>
      </w:pPr>
      <w:bookmarkStart w:id="925" w:name="_Ref259713378"/>
      <w:bookmarkStart w:id="926" w:name="_Toc259717623"/>
      <w:r>
        <w:t xml:space="preserve">Table </w:t>
      </w:r>
      <w:fldSimple w:instr=" SEQ Table \* ARABIC ">
        <w:r w:rsidR="003E4210">
          <w:rPr>
            <w:noProof/>
          </w:rPr>
          <w:t>45</w:t>
        </w:r>
      </w:fldSimple>
      <w:bookmarkEnd w:id="925"/>
      <w:r>
        <w:t xml:space="preserve"> – Relay ACK response frame body</w:t>
      </w:r>
      <w:bookmarkEnd w:id="9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485"/>
      </w:tblGrid>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Order </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Information</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1</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Category</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2</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Action</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3</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BA Control </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4</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BlockAck Starting Sequence Control </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5</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BlockAck Bitmap </w:t>
            </w:r>
          </w:p>
        </w:tc>
      </w:tr>
    </w:tbl>
    <w:p w:rsidR="00DD228C" w:rsidRPr="00E55F0A" w:rsidRDefault="00DD228C" w:rsidP="00DD228C">
      <w:pPr>
        <w:rPr>
          <w:sz w:val="22"/>
          <w:szCs w:val="22"/>
        </w:rPr>
      </w:pPr>
    </w:p>
    <w:p w:rsidR="00DD228C" w:rsidRPr="00DD228C" w:rsidRDefault="00DD228C" w:rsidP="00DD228C">
      <w:pPr>
        <w:rPr>
          <w:lang w:eastAsia="zh-TW"/>
        </w:rPr>
      </w:pPr>
      <w:r w:rsidRPr="00DD228C">
        <w:rPr>
          <w:lang w:eastAsia="zh-TW"/>
        </w:rPr>
        <w:t xml:space="preserve">The Category field is set to the category for mmWave, </w:t>
      </w:r>
      <w:r w:rsidR="00D46D9F">
        <w:rPr>
          <w:lang w:eastAsia="zh-CN" w:bidi="ar-SA"/>
        </w:rPr>
        <w:t xml:space="preserve">specified in </w:t>
      </w:r>
      <w:r w:rsidR="00BD151C">
        <w:fldChar w:fldCharType="begin"/>
      </w:r>
      <w:r w:rsidR="00D46D9F">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DD228C">
        <w:rPr>
          <w:lang w:eastAsia="zh-TW"/>
        </w:rPr>
        <w:t>.</w:t>
      </w:r>
    </w:p>
    <w:p w:rsidR="00DD228C" w:rsidRDefault="00DD228C" w:rsidP="00DD228C">
      <w:pPr>
        <w:rPr>
          <w:lang w:eastAsia="zh-TW"/>
        </w:rPr>
      </w:pPr>
    </w:p>
    <w:p w:rsidR="00DD228C" w:rsidRDefault="00DD228C" w:rsidP="00DD228C">
      <w:pPr>
        <w:rPr>
          <w:lang w:eastAsia="zh-TW"/>
        </w:rPr>
      </w:pPr>
      <w:r w:rsidRPr="00DD228C">
        <w:rPr>
          <w:lang w:eastAsia="zh-TW"/>
        </w:rPr>
        <w:t xml:space="preserve">The Action field is set to the value corresponding to Relay ACK Response,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DD228C">
        <w:rPr>
          <w:lang w:eastAsia="zh-TW"/>
        </w:rPr>
        <w:t>.</w:t>
      </w:r>
    </w:p>
    <w:p w:rsidR="00DD228C" w:rsidRPr="00DD228C" w:rsidRDefault="00DD228C" w:rsidP="00DD228C">
      <w:pPr>
        <w:rPr>
          <w:lang w:eastAsia="zh-TW"/>
        </w:rPr>
      </w:pPr>
    </w:p>
    <w:p w:rsidR="00DD228C" w:rsidRPr="00DD228C" w:rsidRDefault="00DD228C" w:rsidP="00DD228C">
      <w:pPr>
        <w:rPr>
          <w:lang w:eastAsia="zh-TW"/>
        </w:rPr>
      </w:pPr>
      <w:r w:rsidRPr="00DD228C">
        <w:rPr>
          <w:lang w:eastAsia="zh-TW"/>
        </w:rPr>
        <w:t xml:space="preserve">The BA Control field is defined in </w:t>
      </w:r>
      <w:r w:rsidR="00BD151C">
        <w:rPr>
          <w:lang w:eastAsia="zh-TW"/>
        </w:rPr>
        <w:fldChar w:fldCharType="begin"/>
      </w:r>
      <w:r>
        <w:rPr>
          <w:lang w:eastAsia="zh-TW"/>
        </w:rPr>
        <w:instrText xml:space="preserve"> REF _Ref259713550 \r \h </w:instrText>
      </w:r>
      <w:r w:rsidR="00BD151C">
        <w:rPr>
          <w:lang w:eastAsia="zh-TW"/>
        </w:rPr>
      </w:r>
      <w:r w:rsidR="00BD151C">
        <w:rPr>
          <w:lang w:eastAsia="zh-TW"/>
        </w:rPr>
        <w:fldChar w:fldCharType="separate"/>
      </w:r>
      <w:r w:rsidR="003E4210">
        <w:rPr>
          <w:lang w:eastAsia="zh-TW"/>
        </w:rPr>
        <w:t>7.2.1.8</w:t>
      </w:r>
      <w:r w:rsidR="00BD151C">
        <w:rPr>
          <w:lang w:eastAsia="zh-TW"/>
        </w:rPr>
        <w:fldChar w:fldCharType="end"/>
      </w:r>
      <w:r w:rsidRPr="00DD228C">
        <w:rPr>
          <w:lang w:eastAsia="zh-TW"/>
        </w:rPr>
        <w:t>.</w:t>
      </w:r>
    </w:p>
    <w:p w:rsidR="00DD228C" w:rsidRDefault="00DD228C" w:rsidP="00DD228C">
      <w:pPr>
        <w:rPr>
          <w:lang w:eastAsia="zh-TW"/>
        </w:rPr>
      </w:pPr>
    </w:p>
    <w:p w:rsidR="00DD228C" w:rsidRDefault="00DD228C" w:rsidP="00DD228C">
      <w:pPr>
        <w:rPr>
          <w:lang w:eastAsia="zh-TW"/>
        </w:rPr>
      </w:pPr>
      <w:r w:rsidRPr="00DD228C">
        <w:rPr>
          <w:lang w:eastAsia="zh-TW"/>
        </w:rPr>
        <w:t xml:space="preserve">The BlockAck Starting Sequence Control field is defined in </w:t>
      </w:r>
      <w:r w:rsidR="00BD151C">
        <w:rPr>
          <w:lang w:eastAsia="zh-TW"/>
        </w:rPr>
        <w:fldChar w:fldCharType="begin"/>
      </w:r>
      <w:r>
        <w:rPr>
          <w:lang w:eastAsia="zh-TW"/>
        </w:rPr>
        <w:instrText xml:space="preserve"> REF _Ref259713550 \r \h </w:instrText>
      </w:r>
      <w:r w:rsidR="00BD151C">
        <w:rPr>
          <w:lang w:eastAsia="zh-TW"/>
        </w:rPr>
      </w:r>
      <w:r w:rsidR="00BD151C">
        <w:rPr>
          <w:lang w:eastAsia="zh-TW"/>
        </w:rPr>
        <w:fldChar w:fldCharType="separate"/>
      </w:r>
      <w:r w:rsidR="003E4210">
        <w:rPr>
          <w:lang w:eastAsia="zh-TW"/>
        </w:rPr>
        <w:t>7.2.1.8</w:t>
      </w:r>
      <w:r w:rsidR="00BD151C">
        <w:rPr>
          <w:lang w:eastAsia="zh-TW"/>
        </w:rPr>
        <w:fldChar w:fldCharType="end"/>
      </w:r>
      <w:r w:rsidRPr="00DD228C">
        <w:rPr>
          <w:lang w:eastAsia="zh-TW"/>
        </w:rPr>
        <w:t xml:space="preserve"> and is set to </w:t>
      </w:r>
      <w:r>
        <w:rPr>
          <w:lang w:eastAsia="zh-TW"/>
        </w:rPr>
        <w:t xml:space="preserve">the </w:t>
      </w:r>
      <w:r w:rsidR="00820C8F">
        <w:rPr>
          <w:lang w:eastAsia="zh-TW"/>
        </w:rPr>
        <w:t xml:space="preserve">corresponding </w:t>
      </w:r>
      <w:r>
        <w:rPr>
          <w:lang w:eastAsia="zh-TW"/>
        </w:rPr>
        <w:t xml:space="preserve">value within the </w:t>
      </w:r>
      <w:r w:rsidRPr="00DD228C">
        <w:rPr>
          <w:lang w:eastAsia="zh-TW"/>
        </w:rPr>
        <w:t>immediately previously received Relay ACK Request frame.</w:t>
      </w:r>
    </w:p>
    <w:p w:rsidR="00DD228C" w:rsidRPr="00DD228C" w:rsidRDefault="00DD228C" w:rsidP="00DD228C">
      <w:pPr>
        <w:rPr>
          <w:lang w:eastAsia="zh-TW"/>
        </w:rPr>
      </w:pPr>
    </w:p>
    <w:p w:rsidR="00DD228C" w:rsidRPr="00DD228C" w:rsidRDefault="00DD228C" w:rsidP="00DD228C">
      <w:pPr>
        <w:rPr>
          <w:lang w:eastAsia="zh-TW"/>
        </w:rPr>
      </w:pPr>
      <w:r w:rsidRPr="00DD228C">
        <w:rPr>
          <w:lang w:eastAsia="zh-TW"/>
        </w:rPr>
        <w:t xml:space="preserve">The BlockAck Bitmap field is defined in </w:t>
      </w:r>
      <w:r w:rsidR="00BD151C">
        <w:rPr>
          <w:lang w:eastAsia="zh-TW"/>
        </w:rPr>
        <w:fldChar w:fldCharType="begin"/>
      </w:r>
      <w:r w:rsidR="00820C8F">
        <w:rPr>
          <w:lang w:eastAsia="zh-TW"/>
        </w:rPr>
        <w:instrText xml:space="preserve"> REF _Ref259713550 \r \h </w:instrText>
      </w:r>
      <w:r w:rsidR="00BD151C">
        <w:rPr>
          <w:lang w:eastAsia="zh-TW"/>
        </w:rPr>
      </w:r>
      <w:r w:rsidR="00BD151C">
        <w:rPr>
          <w:lang w:eastAsia="zh-TW"/>
        </w:rPr>
        <w:fldChar w:fldCharType="separate"/>
      </w:r>
      <w:r w:rsidR="003E4210">
        <w:rPr>
          <w:lang w:eastAsia="zh-TW"/>
        </w:rPr>
        <w:t>7.2.1.8</w:t>
      </w:r>
      <w:r w:rsidR="00BD151C">
        <w:rPr>
          <w:lang w:eastAsia="zh-TW"/>
        </w:rPr>
        <w:fldChar w:fldCharType="end"/>
      </w:r>
      <w:r w:rsidRPr="00DD228C">
        <w:rPr>
          <w:lang w:eastAsia="zh-TW"/>
        </w:rPr>
        <w:t>.</w:t>
      </w:r>
    </w:p>
    <w:p w:rsidR="00DD228C" w:rsidRDefault="00DD228C" w:rsidP="000E7E88"/>
    <w:p w:rsidR="00820C8F" w:rsidRPr="00115FAE" w:rsidRDefault="00820C8F" w:rsidP="00820C8F">
      <w:pPr>
        <w:pStyle w:val="Heading4"/>
        <w:numPr>
          <w:ilvl w:val="3"/>
          <w:numId w:val="27"/>
        </w:numPr>
        <w:rPr>
          <w:sz w:val="28"/>
          <w:szCs w:val="28"/>
        </w:rPr>
      </w:pPr>
      <w:bookmarkStart w:id="927" w:name="_Toc259716993"/>
      <w:r>
        <w:rPr>
          <w:sz w:val="28"/>
          <w:szCs w:val="28"/>
        </w:rPr>
        <w:t>TPA request</w:t>
      </w:r>
      <w:bookmarkEnd w:id="927"/>
    </w:p>
    <w:p w:rsidR="00DD228C" w:rsidRDefault="00DD228C" w:rsidP="000E7E88"/>
    <w:p w:rsidR="00820C8F" w:rsidRPr="00820C8F" w:rsidRDefault="00820C8F" w:rsidP="00820C8F">
      <w:pPr>
        <w:rPr>
          <w:lang w:eastAsia="zh-TW"/>
        </w:rPr>
      </w:pPr>
      <w:r w:rsidRPr="00820C8F">
        <w:rPr>
          <w:lang w:eastAsia="zh-TW"/>
        </w:rPr>
        <w:t>The TPA Request frame is sent by a destination RUS participating in operation based on link cooperating type to both the RSUS and source RUS that belong to the same group as the destination RUS, in order for them to send back their own TPA Response frames at the separately pre-defined times. Also, a source RUS sends a TPA Request frame to the RSUS that is selected by the source RUS, in order for the RSUS to feedback its own TPA Response frame at the pre-defined time.</w:t>
      </w:r>
    </w:p>
    <w:p w:rsidR="00820C8F" w:rsidRPr="00820C8F" w:rsidRDefault="00820C8F" w:rsidP="00820C8F">
      <w:pPr>
        <w:rPr>
          <w:lang w:eastAsia="zh-TW"/>
        </w:rPr>
      </w:pPr>
    </w:p>
    <w:p w:rsidR="00820C8F" w:rsidRPr="00820C8F" w:rsidRDefault="00820C8F" w:rsidP="00820C8F">
      <w:pPr>
        <w:rPr>
          <w:lang w:eastAsia="zh-TW"/>
        </w:rPr>
      </w:pPr>
      <w:r w:rsidRPr="00820C8F">
        <w:rPr>
          <w:lang w:eastAsia="zh-TW"/>
        </w:rPr>
        <w:t>The frame body of the TPA Request frame is formatted as shown in</w:t>
      </w:r>
      <w:r>
        <w:rPr>
          <w:lang w:eastAsia="zh-TW"/>
        </w:rPr>
        <w:t xml:space="preserve"> </w:t>
      </w:r>
      <w:r w:rsidR="00BD151C">
        <w:rPr>
          <w:lang w:eastAsia="zh-TW"/>
        </w:rPr>
        <w:fldChar w:fldCharType="begin"/>
      </w:r>
      <w:r>
        <w:rPr>
          <w:lang w:eastAsia="zh-TW"/>
        </w:rPr>
        <w:instrText xml:space="preserve"> REF _Ref259713768 \h </w:instrText>
      </w:r>
      <w:r w:rsidR="00BD151C">
        <w:rPr>
          <w:lang w:eastAsia="zh-TW"/>
        </w:rPr>
      </w:r>
      <w:r w:rsidR="00BD151C">
        <w:rPr>
          <w:lang w:eastAsia="zh-TW"/>
        </w:rPr>
        <w:fldChar w:fldCharType="separate"/>
      </w:r>
      <w:r w:rsidR="003E4210">
        <w:t xml:space="preserve">Table </w:t>
      </w:r>
      <w:r w:rsidR="003E4210">
        <w:rPr>
          <w:noProof/>
        </w:rPr>
        <w:t>46</w:t>
      </w:r>
      <w:r w:rsidR="00BD151C">
        <w:rPr>
          <w:lang w:eastAsia="zh-TW"/>
        </w:rPr>
        <w:fldChar w:fldCharType="end"/>
      </w:r>
      <w:r w:rsidRPr="00820C8F">
        <w:rPr>
          <w:lang w:eastAsia="zh-TW"/>
        </w:rPr>
        <w:t>.</w:t>
      </w:r>
    </w:p>
    <w:p w:rsidR="00820C8F" w:rsidRPr="001D7782" w:rsidRDefault="00820C8F" w:rsidP="00820C8F">
      <w:pPr>
        <w:adjustRightInd w:val="0"/>
        <w:rPr>
          <w:sz w:val="22"/>
          <w:szCs w:val="22"/>
        </w:rPr>
      </w:pPr>
    </w:p>
    <w:p w:rsidR="00820C8F" w:rsidRPr="00E55F0A" w:rsidRDefault="00820C8F" w:rsidP="00820C8F">
      <w:pPr>
        <w:pStyle w:val="Caption"/>
        <w:rPr>
          <w:b w:val="0"/>
          <w:sz w:val="22"/>
          <w:szCs w:val="22"/>
        </w:rPr>
      </w:pPr>
      <w:bookmarkStart w:id="928" w:name="_Ref259713768"/>
      <w:bookmarkStart w:id="929" w:name="_Toc259717624"/>
      <w:r>
        <w:t xml:space="preserve">Table </w:t>
      </w:r>
      <w:fldSimple w:instr=" SEQ Table \* ARABIC ">
        <w:r w:rsidR="003E4210">
          <w:rPr>
            <w:noProof/>
          </w:rPr>
          <w:t>46</w:t>
        </w:r>
      </w:fldSimple>
      <w:bookmarkEnd w:id="928"/>
      <w:r>
        <w:t xml:space="preserve"> – TPA request frame body</w:t>
      </w:r>
      <w:bookmarkEnd w:id="9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620"/>
      </w:tblGrid>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 xml:space="preserve">Order </w:t>
            </w:r>
          </w:p>
        </w:tc>
        <w:tc>
          <w:tcPr>
            <w:tcW w:w="0" w:type="auto"/>
          </w:tcPr>
          <w:p w:rsidR="00820C8F" w:rsidRPr="00DA36D4" w:rsidRDefault="00820C8F" w:rsidP="00D46D9F">
            <w:pPr>
              <w:adjustRightInd w:val="0"/>
              <w:rPr>
                <w:rFonts w:eastAsia="PMingLiU"/>
              </w:rPr>
            </w:pPr>
            <w:r w:rsidRPr="00DA36D4">
              <w:rPr>
                <w:rFonts w:eastAsia="PMingLiU"/>
                <w:sz w:val="22"/>
                <w:szCs w:val="22"/>
              </w:rPr>
              <w:t>Information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1</w:t>
            </w:r>
          </w:p>
        </w:tc>
        <w:tc>
          <w:tcPr>
            <w:tcW w:w="0" w:type="auto"/>
          </w:tcPr>
          <w:p w:rsidR="00820C8F" w:rsidRPr="00DA36D4" w:rsidRDefault="00820C8F" w:rsidP="00D46D9F">
            <w:pPr>
              <w:adjustRightInd w:val="0"/>
              <w:rPr>
                <w:rFonts w:eastAsia="PMingLiU"/>
              </w:rPr>
            </w:pPr>
            <w:r w:rsidRPr="00DA36D4">
              <w:rPr>
                <w:rFonts w:eastAsia="PMingLiU"/>
                <w:sz w:val="22"/>
                <w:szCs w:val="22"/>
              </w:rPr>
              <w:t>Category</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2</w:t>
            </w:r>
          </w:p>
        </w:tc>
        <w:tc>
          <w:tcPr>
            <w:tcW w:w="0" w:type="auto"/>
          </w:tcPr>
          <w:p w:rsidR="00820C8F" w:rsidRPr="00DA36D4" w:rsidRDefault="00820C8F" w:rsidP="00D46D9F">
            <w:pPr>
              <w:adjustRightInd w:val="0"/>
              <w:rPr>
                <w:rFonts w:eastAsia="PMingLiU"/>
              </w:rPr>
            </w:pPr>
            <w:r w:rsidRPr="00DA36D4">
              <w:rPr>
                <w:rFonts w:eastAsia="PMingLiU"/>
                <w:sz w:val="22"/>
                <w:szCs w:val="22"/>
              </w:rPr>
              <w:t>Action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3</w:t>
            </w:r>
          </w:p>
        </w:tc>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Dialog Token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lang w:eastAsia="ko-KR"/>
              </w:rPr>
              <w:t>4</w:t>
            </w:r>
          </w:p>
        </w:tc>
        <w:tc>
          <w:tcPr>
            <w:tcW w:w="0" w:type="auto"/>
          </w:tcPr>
          <w:p w:rsidR="00820C8F" w:rsidRPr="00DA36D4" w:rsidRDefault="00820C8F" w:rsidP="00D46D9F">
            <w:pPr>
              <w:adjustRightInd w:val="0"/>
              <w:rPr>
                <w:rFonts w:eastAsia="PMingLiU"/>
              </w:rPr>
            </w:pPr>
            <w:r w:rsidRPr="00DA36D4">
              <w:rPr>
                <w:rFonts w:eastAsia="PMingLiU"/>
                <w:sz w:val="22"/>
                <w:szCs w:val="22"/>
              </w:rPr>
              <w:t>Timing Offset</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lang w:eastAsia="ko-KR"/>
              </w:rPr>
              <w:t>5</w:t>
            </w:r>
          </w:p>
        </w:tc>
        <w:tc>
          <w:tcPr>
            <w:tcW w:w="0" w:type="auto"/>
          </w:tcPr>
          <w:p w:rsidR="00820C8F" w:rsidRPr="00DA36D4" w:rsidRDefault="00820C8F" w:rsidP="00D46D9F">
            <w:pPr>
              <w:adjustRightInd w:val="0"/>
              <w:rPr>
                <w:rFonts w:eastAsia="PMingLiU"/>
                <w:lang w:eastAsia="ko-KR"/>
              </w:rPr>
            </w:pPr>
            <w:r w:rsidRPr="00DA36D4">
              <w:rPr>
                <w:rFonts w:eastAsia="PMingLiU"/>
                <w:sz w:val="22"/>
                <w:szCs w:val="22"/>
              </w:rPr>
              <w:t>Response Offset</w:t>
            </w:r>
          </w:p>
        </w:tc>
      </w:tr>
      <w:tr w:rsidR="00820C8F" w:rsidRPr="001D7F82" w:rsidTr="00820C8F">
        <w:trPr>
          <w:jc w:val="center"/>
        </w:trPr>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6</w:t>
            </w:r>
          </w:p>
        </w:tc>
        <w:tc>
          <w:tcPr>
            <w:tcW w:w="0" w:type="auto"/>
          </w:tcPr>
          <w:p w:rsidR="00820C8F" w:rsidRPr="00DA36D4" w:rsidRDefault="00820C8F" w:rsidP="00D46D9F">
            <w:pPr>
              <w:adjustRightInd w:val="0"/>
              <w:rPr>
                <w:rFonts w:eastAsia="PMingLiU"/>
              </w:rPr>
            </w:pPr>
            <w:r w:rsidRPr="00DA36D4">
              <w:rPr>
                <w:rFonts w:eastAsia="PMingLiU"/>
                <w:sz w:val="22"/>
                <w:szCs w:val="22"/>
                <w:lang w:eastAsia="ko-KR"/>
              </w:rPr>
              <w:t>Sampling Frequency Offset (Optional)</w:t>
            </w:r>
          </w:p>
        </w:tc>
      </w:tr>
    </w:tbl>
    <w:p w:rsidR="00820C8F" w:rsidRPr="00E55F0A" w:rsidRDefault="00820C8F" w:rsidP="00820C8F">
      <w:pPr>
        <w:adjustRightInd w:val="0"/>
        <w:rPr>
          <w:sz w:val="22"/>
          <w:szCs w:val="22"/>
          <w:lang w:eastAsia="ko-KR"/>
        </w:rPr>
      </w:pPr>
    </w:p>
    <w:p w:rsidR="00820C8F" w:rsidRDefault="00820C8F" w:rsidP="00820C8F">
      <w:pPr>
        <w:rPr>
          <w:lang w:eastAsia="zh-TW"/>
        </w:rPr>
      </w:pPr>
      <w:r w:rsidRPr="00820C8F">
        <w:rPr>
          <w:lang w:eastAsia="zh-TW"/>
        </w:rPr>
        <w:t xml:space="preserve">The Category field is set to the category for mmWave, </w:t>
      </w:r>
      <w:r w:rsidR="00D46D9F">
        <w:rPr>
          <w:lang w:eastAsia="zh-CN" w:bidi="ar-SA"/>
        </w:rPr>
        <w:t xml:space="preserve">specified in </w:t>
      </w:r>
      <w:r w:rsidR="00BD151C">
        <w:fldChar w:fldCharType="begin"/>
      </w:r>
      <w:r w:rsidR="00D46D9F">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820C8F">
        <w:rPr>
          <w:lang w:eastAsia="zh-TW"/>
        </w:rPr>
        <w:t>.</w:t>
      </w:r>
    </w:p>
    <w:p w:rsidR="00820C8F" w:rsidRPr="00820C8F" w:rsidRDefault="00820C8F" w:rsidP="00820C8F">
      <w:pPr>
        <w:rPr>
          <w:lang w:eastAsia="zh-TW"/>
        </w:rPr>
      </w:pPr>
    </w:p>
    <w:p w:rsidR="00820C8F" w:rsidRPr="00820C8F" w:rsidRDefault="00820C8F" w:rsidP="00820C8F">
      <w:pPr>
        <w:rPr>
          <w:lang w:eastAsia="zh-TW"/>
        </w:rPr>
      </w:pPr>
      <w:r w:rsidRPr="00820C8F">
        <w:rPr>
          <w:lang w:eastAsia="zh-TW"/>
        </w:rPr>
        <w:t xml:space="preserve">The Action field is set to the value corresponding to TPA Request,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820C8F">
        <w:rPr>
          <w:lang w:eastAsia="zh-TW"/>
        </w:rPr>
        <w:t>.</w:t>
      </w:r>
    </w:p>
    <w:p w:rsidR="00820C8F" w:rsidRDefault="00820C8F" w:rsidP="00820C8F">
      <w:pPr>
        <w:rPr>
          <w:lang w:eastAsia="zh-TW"/>
        </w:rPr>
      </w:pPr>
    </w:p>
    <w:p w:rsidR="00820C8F" w:rsidRPr="00820C8F" w:rsidRDefault="00820C8F" w:rsidP="00820C8F">
      <w:pPr>
        <w:rPr>
          <w:lang w:eastAsia="zh-TW"/>
        </w:rPr>
      </w:pPr>
      <w:r w:rsidRPr="00820C8F">
        <w:rPr>
          <w:lang w:eastAsia="zh-TW"/>
        </w:rPr>
        <w:t>The Dialog Token field shall be set to a nonzero value chosen by the STA sending the TPA Request frame to identify the request/response transaction.</w:t>
      </w:r>
    </w:p>
    <w:p w:rsidR="00820C8F" w:rsidRDefault="00820C8F" w:rsidP="00820C8F">
      <w:pPr>
        <w:rPr>
          <w:lang w:eastAsia="zh-TW"/>
        </w:rPr>
      </w:pPr>
    </w:p>
    <w:p w:rsidR="00820C8F" w:rsidRPr="00820C8F" w:rsidRDefault="00820C8F" w:rsidP="00820C8F">
      <w:pPr>
        <w:rPr>
          <w:lang w:eastAsia="zh-TW"/>
        </w:rPr>
      </w:pPr>
      <w:r w:rsidRPr="00820C8F">
        <w:rPr>
          <w:lang w:eastAsia="zh-TW"/>
        </w:rPr>
        <w:t xml:space="preserve">The Timing Offset is 2 octets in length and indicates the amount of time, in nanoseconds, that the STA identified in the RA of the frame is required to change the timing offset of its transmissions, so that they arrive at the expected time at the transmitting STA. </w:t>
      </w:r>
    </w:p>
    <w:p w:rsidR="00820C8F" w:rsidRDefault="00820C8F" w:rsidP="00820C8F">
      <w:pPr>
        <w:rPr>
          <w:lang w:eastAsia="zh-TW"/>
        </w:rPr>
      </w:pPr>
    </w:p>
    <w:p w:rsidR="00820C8F" w:rsidRPr="00820C8F" w:rsidRDefault="00820C8F" w:rsidP="00820C8F">
      <w:pPr>
        <w:rPr>
          <w:lang w:eastAsia="zh-TW"/>
        </w:rPr>
      </w:pPr>
      <w:r w:rsidRPr="00820C8F">
        <w:rPr>
          <w:lang w:eastAsia="zh-TW"/>
        </w:rPr>
        <w:t xml:space="preserve">The Response Offset field is defined in </w:t>
      </w:r>
      <w:r w:rsidR="00BD151C">
        <w:rPr>
          <w:lang w:eastAsia="zh-TW"/>
        </w:rPr>
        <w:fldChar w:fldCharType="begin"/>
      </w:r>
      <w:r>
        <w:rPr>
          <w:lang w:eastAsia="zh-TW"/>
        </w:rPr>
        <w:instrText xml:space="preserve"> REF _Ref259713857 \r \h </w:instrText>
      </w:r>
      <w:r w:rsidR="00BD151C">
        <w:rPr>
          <w:lang w:eastAsia="zh-TW"/>
        </w:rPr>
      </w:r>
      <w:r w:rsidR="00BD151C">
        <w:rPr>
          <w:lang w:eastAsia="zh-TW"/>
        </w:rPr>
        <w:fldChar w:fldCharType="separate"/>
      </w:r>
      <w:r w:rsidR="003E4210">
        <w:rPr>
          <w:lang w:eastAsia="zh-TW"/>
        </w:rPr>
        <w:t>7.2.1.10</w:t>
      </w:r>
      <w:r w:rsidR="00BD151C">
        <w:rPr>
          <w:lang w:eastAsia="zh-TW"/>
        </w:rPr>
        <w:fldChar w:fldCharType="end"/>
      </w:r>
      <w:r>
        <w:rPr>
          <w:lang w:eastAsia="zh-TW"/>
        </w:rPr>
        <w:t>.</w:t>
      </w:r>
    </w:p>
    <w:p w:rsidR="00820C8F" w:rsidRDefault="00820C8F" w:rsidP="00820C8F">
      <w:pPr>
        <w:rPr>
          <w:lang w:eastAsia="zh-TW"/>
        </w:rPr>
      </w:pPr>
    </w:p>
    <w:p w:rsidR="00820C8F" w:rsidRPr="00820C8F" w:rsidRDefault="00820C8F" w:rsidP="00820C8F">
      <w:pPr>
        <w:rPr>
          <w:lang w:eastAsia="zh-TW"/>
        </w:rPr>
      </w:pPr>
      <w:r w:rsidRPr="00820C8F">
        <w:rPr>
          <w:lang w:eastAsia="zh-TW"/>
        </w:rPr>
        <w:t>The Sampling Frequency Offset is 2 octets in length and indicates the amount by which to change the sampling frequency offset of the burst transmission so that bursts arrive at the destination STA with no sampling frequency offset. The unit is 0.01 ppm.</w:t>
      </w:r>
    </w:p>
    <w:p w:rsidR="00820C8F" w:rsidRDefault="00820C8F" w:rsidP="000E7E88"/>
    <w:p w:rsidR="00820C8F" w:rsidRPr="00115FAE" w:rsidRDefault="00820C8F" w:rsidP="00820C8F">
      <w:pPr>
        <w:pStyle w:val="Heading4"/>
        <w:numPr>
          <w:ilvl w:val="3"/>
          <w:numId w:val="27"/>
        </w:numPr>
        <w:rPr>
          <w:sz w:val="28"/>
          <w:szCs w:val="28"/>
        </w:rPr>
      </w:pPr>
      <w:bookmarkStart w:id="930" w:name="_Toc259716994"/>
      <w:r>
        <w:rPr>
          <w:sz w:val="28"/>
          <w:szCs w:val="28"/>
        </w:rPr>
        <w:lastRenderedPageBreak/>
        <w:t>TPA response</w:t>
      </w:r>
      <w:bookmarkEnd w:id="930"/>
    </w:p>
    <w:p w:rsidR="00820C8F" w:rsidRDefault="00820C8F" w:rsidP="000E7E88"/>
    <w:p w:rsidR="00820C8F" w:rsidRPr="00820C8F" w:rsidRDefault="00820C8F" w:rsidP="00820C8F">
      <w:pPr>
        <w:rPr>
          <w:lang w:eastAsia="zh-TW"/>
        </w:rPr>
      </w:pPr>
      <w:r w:rsidRPr="00820C8F">
        <w:rPr>
          <w:lang w:eastAsia="zh-TW"/>
        </w:rPr>
        <w:t>The TPA Response frame is sent by an RSUS or a source RUS participating in relay operation in response to a TPA Request frame from a destination RUS or a source RUS. The RSUS or the source RUS that receive a TPA Request frame shall respond to the destination RUS or the source RUS with a TPA Response frame at the time offset from the end of the TPA Request frame indicated in the Response Offset field within the TPA Request frame. The frame body of the TPA Request frame contains the information in</w:t>
      </w:r>
      <w:r>
        <w:rPr>
          <w:lang w:eastAsia="zh-TW"/>
        </w:rPr>
        <w:t xml:space="preserve"> </w:t>
      </w:r>
      <w:r w:rsidR="00BD151C">
        <w:rPr>
          <w:lang w:eastAsia="zh-TW"/>
        </w:rPr>
        <w:fldChar w:fldCharType="begin"/>
      </w:r>
      <w:r>
        <w:rPr>
          <w:lang w:eastAsia="zh-TW"/>
        </w:rPr>
        <w:instrText xml:space="preserve"> REF _Ref259713997 \h </w:instrText>
      </w:r>
      <w:r w:rsidR="00BD151C">
        <w:rPr>
          <w:lang w:eastAsia="zh-TW"/>
        </w:rPr>
      </w:r>
      <w:r w:rsidR="00BD151C">
        <w:rPr>
          <w:lang w:eastAsia="zh-TW"/>
        </w:rPr>
        <w:fldChar w:fldCharType="separate"/>
      </w:r>
      <w:r w:rsidR="003E4210">
        <w:t xml:space="preserve">Table </w:t>
      </w:r>
      <w:r w:rsidR="003E4210">
        <w:rPr>
          <w:noProof/>
        </w:rPr>
        <w:t>47</w:t>
      </w:r>
      <w:r w:rsidR="00BD151C">
        <w:rPr>
          <w:lang w:eastAsia="zh-TW"/>
        </w:rPr>
        <w:fldChar w:fldCharType="end"/>
      </w:r>
      <w:r w:rsidRPr="00820C8F">
        <w:rPr>
          <w:lang w:eastAsia="zh-TW"/>
        </w:rPr>
        <w:t>.</w:t>
      </w:r>
    </w:p>
    <w:p w:rsidR="00820C8F" w:rsidRPr="00E55F0A" w:rsidRDefault="00820C8F" w:rsidP="00820C8F">
      <w:pPr>
        <w:adjustRightInd w:val="0"/>
        <w:rPr>
          <w:sz w:val="22"/>
          <w:szCs w:val="22"/>
        </w:rPr>
      </w:pPr>
    </w:p>
    <w:p w:rsidR="00820C8F" w:rsidRPr="00E55F0A" w:rsidRDefault="00820C8F" w:rsidP="00820C8F">
      <w:pPr>
        <w:pStyle w:val="Caption"/>
        <w:rPr>
          <w:b w:val="0"/>
          <w:sz w:val="22"/>
          <w:szCs w:val="22"/>
        </w:rPr>
      </w:pPr>
      <w:bookmarkStart w:id="931" w:name="_Ref259713997"/>
      <w:bookmarkStart w:id="932" w:name="_Toc259717625"/>
      <w:r>
        <w:t xml:space="preserve">Table </w:t>
      </w:r>
      <w:fldSimple w:instr=" SEQ Table \* ARABIC ">
        <w:r w:rsidR="003E4210">
          <w:rPr>
            <w:noProof/>
          </w:rPr>
          <w:t>47</w:t>
        </w:r>
      </w:fldSimple>
      <w:bookmarkEnd w:id="931"/>
      <w:r>
        <w:t xml:space="preserve"> – TPA response frame body</w:t>
      </w:r>
      <w:bookmarkEnd w:id="9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432"/>
      </w:tblGrid>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 xml:space="preserve">Order </w:t>
            </w:r>
          </w:p>
        </w:tc>
        <w:tc>
          <w:tcPr>
            <w:tcW w:w="0" w:type="auto"/>
          </w:tcPr>
          <w:p w:rsidR="00820C8F" w:rsidRPr="00DA36D4" w:rsidRDefault="00820C8F" w:rsidP="00D46D9F">
            <w:pPr>
              <w:adjustRightInd w:val="0"/>
              <w:rPr>
                <w:rFonts w:eastAsia="PMingLiU"/>
              </w:rPr>
            </w:pPr>
            <w:r w:rsidRPr="00DA36D4">
              <w:rPr>
                <w:rFonts w:eastAsia="PMingLiU"/>
                <w:sz w:val="22"/>
                <w:szCs w:val="22"/>
              </w:rPr>
              <w:t>Information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1</w:t>
            </w:r>
          </w:p>
        </w:tc>
        <w:tc>
          <w:tcPr>
            <w:tcW w:w="0" w:type="auto"/>
          </w:tcPr>
          <w:p w:rsidR="00820C8F" w:rsidRPr="00DA36D4" w:rsidRDefault="00820C8F" w:rsidP="00D46D9F">
            <w:pPr>
              <w:adjustRightInd w:val="0"/>
              <w:rPr>
                <w:rFonts w:eastAsia="PMingLiU"/>
              </w:rPr>
            </w:pPr>
            <w:r w:rsidRPr="00DA36D4">
              <w:rPr>
                <w:rFonts w:eastAsia="PMingLiU"/>
                <w:sz w:val="22"/>
                <w:szCs w:val="22"/>
              </w:rPr>
              <w:t>Category</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2</w:t>
            </w:r>
          </w:p>
        </w:tc>
        <w:tc>
          <w:tcPr>
            <w:tcW w:w="0" w:type="auto"/>
          </w:tcPr>
          <w:p w:rsidR="00820C8F" w:rsidRPr="00DA36D4" w:rsidRDefault="00820C8F" w:rsidP="00D46D9F">
            <w:pPr>
              <w:adjustRightInd w:val="0"/>
              <w:rPr>
                <w:rFonts w:eastAsia="PMingLiU"/>
              </w:rPr>
            </w:pPr>
            <w:r w:rsidRPr="00DA36D4">
              <w:rPr>
                <w:rFonts w:eastAsia="PMingLiU"/>
                <w:sz w:val="22"/>
                <w:szCs w:val="22"/>
              </w:rPr>
              <w:t>Action</w:t>
            </w:r>
          </w:p>
        </w:tc>
      </w:tr>
      <w:tr w:rsidR="00820C8F" w:rsidRPr="001D7F82" w:rsidTr="00820C8F">
        <w:trPr>
          <w:jc w:val="center"/>
        </w:trPr>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3</w:t>
            </w:r>
          </w:p>
        </w:tc>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Dialog Token</w:t>
            </w:r>
          </w:p>
        </w:tc>
      </w:tr>
    </w:tbl>
    <w:p w:rsidR="00820C8F" w:rsidRPr="00E55F0A" w:rsidRDefault="00820C8F" w:rsidP="00820C8F">
      <w:pPr>
        <w:adjustRightInd w:val="0"/>
        <w:rPr>
          <w:sz w:val="22"/>
          <w:szCs w:val="22"/>
        </w:rPr>
      </w:pPr>
    </w:p>
    <w:p w:rsidR="00820C8F" w:rsidRDefault="00820C8F" w:rsidP="00820C8F">
      <w:pPr>
        <w:rPr>
          <w:lang w:eastAsia="zh-TW"/>
        </w:rPr>
      </w:pPr>
      <w:r w:rsidRPr="00820C8F">
        <w:rPr>
          <w:lang w:eastAsia="zh-TW"/>
        </w:rPr>
        <w:t xml:space="preserve">The Category field is set to the category for mmWave, </w:t>
      </w:r>
      <w:r w:rsidR="00D46D9F">
        <w:rPr>
          <w:lang w:eastAsia="zh-CN" w:bidi="ar-SA"/>
        </w:rPr>
        <w:t xml:space="preserve">specified in </w:t>
      </w:r>
      <w:r w:rsidR="00BD151C">
        <w:fldChar w:fldCharType="begin"/>
      </w:r>
      <w:r w:rsidR="00D46D9F">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820C8F">
        <w:rPr>
          <w:lang w:eastAsia="zh-TW"/>
        </w:rPr>
        <w:t>.</w:t>
      </w:r>
    </w:p>
    <w:p w:rsidR="00820C8F" w:rsidRPr="00820C8F" w:rsidRDefault="00820C8F" w:rsidP="00820C8F">
      <w:pPr>
        <w:rPr>
          <w:lang w:eastAsia="zh-TW"/>
        </w:rPr>
      </w:pPr>
    </w:p>
    <w:p w:rsidR="00820C8F" w:rsidRPr="00820C8F" w:rsidRDefault="00820C8F" w:rsidP="00820C8F">
      <w:pPr>
        <w:rPr>
          <w:lang w:eastAsia="zh-TW"/>
        </w:rPr>
      </w:pPr>
      <w:r w:rsidRPr="00820C8F">
        <w:rPr>
          <w:lang w:eastAsia="zh-TW"/>
        </w:rPr>
        <w:t xml:space="preserve">The Action field is set to the value corresponding to TPA Response,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820C8F">
        <w:rPr>
          <w:lang w:eastAsia="zh-TW"/>
        </w:rPr>
        <w:t>.</w:t>
      </w:r>
    </w:p>
    <w:p w:rsidR="00820C8F" w:rsidRDefault="00820C8F" w:rsidP="00820C8F">
      <w:pPr>
        <w:rPr>
          <w:lang w:eastAsia="zh-TW"/>
        </w:rPr>
      </w:pPr>
    </w:p>
    <w:p w:rsidR="00820C8F" w:rsidRDefault="00820C8F" w:rsidP="00820C8F">
      <w:pPr>
        <w:rPr>
          <w:lang w:eastAsia="zh-TW"/>
        </w:rPr>
      </w:pPr>
      <w:r w:rsidRPr="00820C8F">
        <w:rPr>
          <w:lang w:eastAsia="zh-TW"/>
        </w:rPr>
        <w:t>The Dialog Token field is set to the value received in the corresponding TPA Request frame that generated this response.</w:t>
      </w:r>
    </w:p>
    <w:p w:rsidR="00820C8F" w:rsidRDefault="00820C8F" w:rsidP="000E7E88"/>
    <w:p w:rsidR="00D46D9F" w:rsidRPr="00115FAE" w:rsidRDefault="00D46D9F" w:rsidP="00D46D9F">
      <w:pPr>
        <w:pStyle w:val="Heading4"/>
        <w:numPr>
          <w:ilvl w:val="3"/>
          <w:numId w:val="27"/>
        </w:numPr>
        <w:rPr>
          <w:sz w:val="28"/>
          <w:szCs w:val="28"/>
        </w:rPr>
      </w:pPr>
      <w:bookmarkStart w:id="933" w:name="_Toc259716995"/>
      <w:r>
        <w:rPr>
          <w:sz w:val="28"/>
          <w:szCs w:val="28"/>
        </w:rPr>
        <w:t>TPA report</w:t>
      </w:r>
      <w:bookmarkEnd w:id="933"/>
    </w:p>
    <w:p w:rsidR="00820C8F" w:rsidRDefault="00820C8F" w:rsidP="000E7E88"/>
    <w:p w:rsidR="00D46D9F" w:rsidRDefault="00D46D9F" w:rsidP="00D46D9F">
      <w:pPr>
        <w:rPr>
          <w:lang w:eastAsia="zh-TW"/>
        </w:rPr>
      </w:pPr>
      <w:r w:rsidRPr="00D46D9F">
        <w:rPr>
          <w:lang w:eastAsia="zh-TW"/>
        </w:rPr>
        <w:t xml:space="preserve">The TPA Report frame is sent to announce whether </w:t>
      </w:r>
      <w:r w:rsidR="00030E49">
        <w:rPr>
          <w:lang w:eastAsia="zh-TW"/>
        </w:rPr>
        <w:t>a</w:t>
      </w:r>
      <w:r w:rsidRPr="00D46D9F">
        <w:rPr>
          <w:lang w:eastAsia="zh-TW"/>
        </w:rPr>
        <w:t xml:space="preserve"> TPA procedure is </w:t>
      </w:r>
      <w:r w:rsidR="00030E49">
        <w:rPr>
          <w:lang w:eastAsia="zh-TW"/>
        </w:rPr>
        <w:t>successful</w:t>
      </w:r>
      <w:r w:rsidRPr="00D46D9F">
        <w:rPr>
          <w:lang w:eastAsia="zh-TW"/>
        </w:rPr>
        <w:t xml:space="preserve"> or not. The frame body of the TPA Report frame contains the information shown in</w:t>
      </w:r>
      <w:r>
        <w:rPr>
          <w:lang w:eastAsia="zh-TW"/>
        </w:rPr>
        <w:t xml:space="preserve"> </w:t>
      </w:r>
      <w:r w:rsidR="00BD151C">
        <w:rPr>
          <w:lang w:eastAsia="zh-TW"/>
        </w:rPr>
        <w:fldChar w:fldCharType="begin"/>
      </w:r>
      <w:r>
        <w:rPr>
          <w:lang w:eastAsia="zh-TW"/>
        </w:rPr>
        <w:instrText xml:space="preserve"> REF _Ref259714186 \h </w:instrText>
      </w:r>
      <w:r w:rsidR="00BD151C">
        <w:rPr>
          <w:lang w:eastAsia="zh-TW"/>
        </w:rPr>
      </w:r>
      <w:r w:rsidR="00BD151C">
        <w:rPr>
          <w:lang w:eastAsia="zh-TW"/>
        </w:rPr>
        <w:fldChar w:fldCharType="separate"/>
      </w:r>
      <w:r w:rsidR="003E4210">
        <w:t xml:space="preserve">Table </w:t>
      </w:r>
      <w:r w:rsidR="003E4210">
        <w:rPr>
          <w:noProof/>
        </w:rPr>
        <w:t>48</w:t>
      </w:r>
      <w:r w:rsidR="00BD151C">
        <w:rPr>
          <w:lang w:eastAsia="zh-TW"/>
        </w:rPr>
        <w:fldChar w:fldCharType="end"/>
      </w:r>
      <w:r w:rsidRPr="00D46D9F">
        <w:rPr>
          <w:lang w:eastAsia="zh-TW"/>
        </w:rPr>
        <w:t>.</w:t>
      </w:r>
    </w:p>
    <w:p w:rsidR="00D46D9F" w:rsidRPr="00D46D9F" w:rsidRDefault="00D46D9F" w:rsidP="00D46D9F">
      <w:pPr>
        <w:rPr>
          <w:lang w:eastAsia="zh-TW"/>
        </w:rPr>
      </w:pPr>
    </w:p>
    <w:p w:rsidR="00D46D9F" w:rsidRPr="00D46D9F" w:rsidRDefault="00D46D9F" w:rsidP="00D46D9F">
      <w:pPr>
        <w:pStyle w:val="Caption"/>
      </w:pPr>
      <w:bookmarkStart w:id="934" w:name="_Ref259714186"/>
      <w:bookmarkStart w:id="935" w:name="_Toc259717626"/>
      <w:r>
        <w:t xml:space="preserve">Table </w:t>
      </w:r>
      <w:fldSimple w:instr=" SEQ Table \* ARABIC ">
        <w:r w:rsidR="003E4210">
          <w:rPr>
            <w:noProof/>
          </w:rPr>
          <w:t>48</w:t>
        </w:r>
      </w:fldSimple>
      <w:bookmarkEnd w:id="934"/>
      <w:r>
        <w:t xml:space="preserve"> – TPA report frame body</w:t>
      </w:r>
      <w:bookmarkEnd w:id="935"/>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267"/>
      </w:tblGrid>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Order</w:t>
            </w:r>
          </w:p>
        </w:tc>
        <w:tc>
          <w:tcPr>
            <w:tcW w:w="0" w:type="auto"/>
          </w:tcPr>
          <w:p w:rsidR="00D46D9F" w:rsidRPr="00DA36D4" w:rsidRDefault="00D46D9F" w:rsidP="00D46D9F">
            <w:pPr>
              <w:rPr>
                <w:rFonts w:eastAsia="PMingLiU"/>
              </w:rPr>
            </w:pPr>
            <w:r w:rsidRPr="00DA36D4">
              <w:rPr>
                <w:rFonts w:eastAsia="PMingLiU"/>
                <w:sz w:val="22"/>
                <w:szCs w:val="22"/>
              </w:rPr>
              <w:t>Information</w:t>
            </w:r>
          </w:p>
        </w:tc>
      </w:tr>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 xml:space="preserve">1 </w:t>
            </w:r>
          </w:p>
        </w:tc>
        <w:tc>
          <w:tcPr>
            <w:tcW w:w="0" w:type="auto"/>
          </w:tcPr>
          <w:p w:rsidR="00D46D9F" w:rsidRPr="00DA36D4" w:rsidRDefault="00D46D9F" w:rsidP="00D46D9F">
            <w:pPr>
              <w:rPr>
                <w:rFonts w:eastAsia="PMingLiU"/>
              </w:rPr>
            </w:pPr>
            <w:r w:rsidRPr="00DA36D4">
              <w:rPr>
                <w:rFonts w:eastAsia="PMingLiU"/>
                <w:sz w:val="22"/>
                <w:szCs w:val="22"/>
              </w:rPr>
              <w:t>Category</w:t>
            </w:r>
          </w:p>
        </w:tc>
      </w:tr>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2</w:t>
            </w:r>
          </w:p>
        </w:tc>
        <w:tc>
          <w:tcPr>
            <w:tcW w:w="0" w:type="auto"/>
          </w:tcPr>
          <w:p w:rsidR="00D46D9F" w:rsidRPr="00DA36D4" w:rsidRDefault="00D46D9F" w:rsidP="00D46D9F">
            <w:pPr>
              <w:rPr>
                <w:rFonts w:eastAsia="PMingLiU"/>
              </w:rPr>
            </w:pPr>
            <w:r w:rsidRPr="00DA36D4">
              <w:rPr>
                <w:rFonts w:eastAsia="PMingLiU"/>
                <w:sz w:val="22"/>
                <w:szCs w:val="22"/>
              </w:rPr>
              <w:t>Action</w:t>
            </w:r>
          </w:p>
        </w:tc>
      </w:tr>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3</w:t>
            </w:r>
          </w:p>
        </w:tc>
        <w:tc>
          <w:tcPr>
            <w:tcW w:w="0" w:type="auto"/>
          </w:tcPr>
          <w:p w:rsidR="00D46D9F" w:rsidRPr="00DA36D4" w:rsidRDefault="00D46D9F" w:rsidP="00D46D9F">
            <w:pPr>
              <w:rPr>
                <w:rFonts w:eastAsia="PMingLiU"/>
              </w:rPr>
            </w:pPr>
            <w:r w:rsidRPr="00DA36D4">
              <w:rPr>
                <w:rFonts w:eastAsia="PMingLiU"/>
                <w:sz w:val="22"/>
                <w:szCs w:val="22"/>
                <w:lang w:eastAsia="ko-KR"/>
              </w:rPr>
              <w:t>Status code</w:t>
            </w:r>
          </w:p>
        </w:tc>
      </w:tr>
    </w:tbl>
    <w:p w:rsidR="00D46D9F" w:rsidRPr="00E55F0A" w:rsidRDefault="00D46D9F" w:rsidP="00D46D9F">
      <w:pPr>
        <w:adjustRightInd w:val="0"/>
        <w:rPr>
          <w:sz w:val="22"/>
          <w:szCs w:val="22"/>
          <w:lang w:eastAsia="ko-KR"/>
        </w:rPr>
      </w:pPr>
    </w:p>
    <w:p w:rsidR="00D46D9F" w:rsidRDefault="00D46D9F" w:rsidP="00D46D9F">
      <w:pPr>
        <w:rPr>
          <w:lang w:eastAsia="zh-TW"/>
        </w:rPr>
      </w:pPr>
      <w:r w:rsidRPr="00D46D9F">
        <w:rPr>
          <w:lang w:eastAsia="zh-TW"/>
        </w:rPr>
        <w:t xml:space="preserve">The Category field is set to the category for mmWave, </w:t>
      </w:r>
      <w:r>
        <w:rPr>
          <w:lang w:eastAsia="zh-CN" w:bidi="ar-SA"/>
        </w:rPr>
        <w:t xml:space="preserve">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D46D9F">
        <w:rPr>
          <w:lang w:eastAsia="zh-TW"/>
        </w:rPr>
        <w:t>.</w:t>
      </w:r>
    </w:p>
    <w:p w:rsidR="00D46D9F" w:rsidRPr="00D46D9F" w:rsidRDefault="00D46D9F" w:rsidP="00D46D9F">
      <w:pPr>
        <w:rPr>
          <w:lang w:eastAsia="zh-TW"/>
        </w:rPr>
      </w:pPr>
    </w:p>
    <w:p w:rsidR="00D46D9F" w:rsidRDefault="00D46D9F" w:rsidP="00D46D9F">
      <w:pPr>
        <w:rPr>
          <w:lang w:eastAsia="zh-TW"/>
        </w:rPr>
      </w:pPr>
      <w:r w:rsidRPr="00D46D9F">
        <w:rPr>
          <w:lang w:eastAsia="zh-TW"/>
        </w:rPr>
        <w:t xml:space="preserve">The Action field is set to the value corresponding to TPA Report,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D46D9F">
        <w:rPr>
          <w:lang w:eastAsia="zh-TW"/>
        </w:rPr>
        <w:t>.</w:t>
      </w:r>
    </w:p>
    <w:p w:rsidR="00D46D9F" w:rsidRPr="00D46D9F" w:rsidRDefault="00D46D9F" w:rsidP="00D46D9F">
      <w:pPr>
        <w:rPr>
          <w:lang w:eastAsia="zh-TW"/>
        </w:rPr>
      </w:pPr>
    </w:p>
    <w:p w:rsidR="00D46D9F" w:rsidRPr="00D46D9F" w:rsidRDefault="00D46D9F" w:rsidP="00D46D9F">
      <w:pPr>
        <w:rPr>
          <w:lang w:eastAsia="zh-TW"/>
        </w:rPr>
      </w:pPr>
      <w:r w:rsidRPr="00D46D9F">
        <w:rPr>
          <w:lang w:eastAsia="zh-TW"/>
        </w:rPr>
        <w:t xml:space="preserve">If the Status Code field is set to 1, it </w:t>
      </w:r>
      <w:r w:rsidR="00030E49">
        <w:rPr>
          <w:lang w:eastAsia="zh-TW"/>
        </w:rPr>
        <w:t>indicates</w:t>
      </w:r>
      <w:r w:rsidRPr="00D46D9F">
        <w:rPr>
          <w:lang w:eastAsia="zh-TW"/>
        </w:rPr>
        <w:t xml:space="preserve"> that current TPA procedure </w:t>
      </w:r>
      <w:r w:rsidR="00030E49">
        <w:rPr>
          <w:lang w:eastAsia="zh-TW"/>
        </w:rPr>
        <w:t>was</w:t>
      </w:r>
      <w:r w:rsidRPr="00D46D9F">
        <w:rPr>
          <w:lang w:eastAsia="zh-TW"/>
        </w:rPr>
        <w:t xml:space="preserve"> successful. Otherwise, </w:t>
      </w:r>
      <w:r w:rsidR="00030E49">
        <w:rPr>
          <w:lang w:eastAsia="zh-TW"/>
        </w:rPr>
        <w:t xml:space="preserve">the </w:t>
      </w:r>
      <w:r w:rsidRPr="00D46D9F">
        <w:rPr>
          <w:lang w:eastAsia="zh-TW"/>
        </w:rPr>
        <w:t>TPA procedure is failed.</w:t>
      </w:r>
    </w:p>
    <w:p w:rsidR="00D46D9F" w:rsidRDefault="00D46D9F" w:rsidP="000E7E88">
      <w:pPr>
        <w:rPr>
          <w:lang w:eastAsia="zh-TW"/>
        </w:rPr>
      </w:pPr>
    </w:p>
    <w:p w:rsidR="00030E49" w:rsidRPr="00115FAE" w:rsidRDefault="00030E49" w:rsidP="00030E49">
      <w:pPr>
        <w:pStyle w:val="Heading4"/>
        <w:numPr>
          <w:ilvl w:val="3"/>
          <w:numId w:val="27"/>
        </w:numPr>
        <w:rPr>
          <w:sz w:val="28"/>
          <w:szCs w:val="28"/>
        </w:rPr>
      </w:pPr>
      <w:bookmarkStart w:id="936" w:name="_Ref259714775"/>
      <w:bookmarkStart w:id="937" w:name="_Toc259716996"/>
      <w:r>
        <w:rPr>
          <w:sz w:val="28"/>
          <w:szCs w:val="28"/>
        </w:rPr>
        <w:t>ROC request</w:t>
      </w:r>
      <w:bookmarkEnd w:id="936"/>
      <w:bookmarkEnd w:id="937"/>
    </w:p>
    <w:p w:rsidR="00030E49" w:rsidRDefault="00030E49" w:rsidP="000E7E88">
      <w:pPr>
        <w:rPr>
          <w:lang w:eastAsia="zh-TW"/>
        </w:rPr>
      </w:pPr>
    </w:p>
    <w:p w:rsidR="00030E49" w:rsidRPr="00030E49" w:rsidRDefault="00030E49" w:rsidP="00030E49">
      <w:pPr>
        <w:rPr>
          <w:lang w:eastAsia="zh-TW"/>
        </w:rPr>
      </w:pPr>
      <w:r w:rsidRPr="00030E49">
        <w:rPr>
          <w:lang w:eastAsia="zh-TW"/>
        </w:rPr>
        <w:lastRenderedPageBreak/>
        <w:t>The ROC Request frame is sent by the source RUS participating in a relay operation, in order to request a change in the current relay operation type. The frame body of the ROC Request frame contains the information in</w:t>
      </w:r>
      <w:r>
        <w:rPr>
          <w:lang w:eastAsia="zh-TW"/>
        </w:rPr>
        <w:t xml:space="preserve"> </w:t>
      </w:r>
      <w:r w:rsidR="00BD151C">
        <w:rPr>
          <w:lang w:eastAsia="zh-TW"/>
        </w:rPr>
        <w:fldChar w:fldCharType="begin"/>
      </w:r>
      <w:r>
        <w:rPr>
          <w:lang w:eastAsia="zh-TW"/>
        </w:rPr>
        <w:instrText xml:space="preserve"> REF _Ref259714426 \h </w:instrText>
      </w:r>
      <w:r w:rsidR="00BD151C">
        <w:rPr>
          <w:lang w:eastAsia="zh-TW"/>
        </w:rPr>
      </w:r>
      <w:r w:rsidR="00BD151C">
        <w:rPr>
          <w:lang w:eastAsia="zh-TW"/>
        </w:rPr>
        <w:fldChar w:fldCharType="separate"/>
      </w:r>
      <w:r w:rsidR="003E4210">
        <w:t xml:space="preserve">Table </w:t>
      </w:r>
      <w:r w:rsidR="003E4210">
        <w:rPr>
          <w:noProof/>
        </w:rPr>
        <w:t>49</w:t>
      </w:r>
      <w:r w:rsidR="00BD151C">
        <w:rPr>
          <w:lang w:eastAsia="zh-TW"/>
        </w:rPr>
        <w:fldChar w:fldCharType="end"/>
      </w:r>
      <w:r w:rsidRPr="00030E49">
        <w:rPr>
          <w:lang w:eastAsia="zh-TW"/>
        </w:rPr>
        <w:t>.</w:t>
      </w:r>
    </w:p>
    <w:p w:rsidR="00030E49" w:rsidRPr="00E55F0A" w:rsidRDefault="00030E49" w:rsidP="00030E49">
      <w:pPr>
        <w:rPr>
          <w:sz w:val="22"/>
          <w:szCs w:val="22"/>
          <w:lang w:eastAsia="ko-KR"/>
        </w:rPr>
      </w:pPr>
    </w:p>
    <w:p w:rsidR="00030E49" w:rsidRPr="00E55F0A" w:rsidRDefault="00030E49" w:rsidP="00030E49">
      <w:pPr>
        <w:pStyle w:val="Caption"/>
        <w:rPr>
          <w:b w:val="0"/>
          <w:sz w:val="22"/>
          <w:szCs w:val="22"/>
        </w:rPr>
      </w:pPr>
      <w:bookmarkStart w:id="938" w:name="_Ref259714426"/>
      <w:bookmarkStart w:id="939" w:name="_Toc259717627"/>
      <w:r>
        <w:t xml:space="preserve">Table </w:t>
      </w:r>
      <w:fldSimple w:instr=" SEQ Table \* ARABIC ">
        <w:r w:rsidR="003E4210">
          <w:rPr>
            <w:noProof/>
          </w:rPr>
          <w:t>49</w:t>
        </w:r>
      </w:fldSimple>
      <w:bookmarkEnd w:id="938"/>
      <w:r>
        <w:t xml:space="preserve"> – ROC request frame body</w:t>
      </w:r>
      <w:bookmarkEnd w:id="9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049"/>
      </w:tblGrid>
      <w:tr w:rsidR="00030E49" w:rsidRPr="001D7F82" w:rsidTr="00030E49">
        <w:trPr>
          <w:jc w:val="center"/>
        </w:trPr>
        <w:tc>
          <w:tcPr>
            <w:tcW w:w="0" w:type="auto"/>
          </w:tcPr>
          <w:p w:rsidR="00030E49" w:rsidRPr="00DA36D4" w:rsidRDefault="00030E49" w:rsidP="00192178">
            <w:pPr>
              <w:adjustRightInd w:val="0"/>
              <w:rPr>
                <w:rFonts w:eastAsia="PMingLiU"/>
              </w:rPr>
            </w:pPr>
            <w:r w:rsidRPr="00DA36D4">
              <w:rPr>
                <w:rFonts w:eastAsia="PMingLiU"/>
                <w:sz w:val="22"/>
                <w:szCs w:val="22"/>
              </w:rPr>
              <w:t xml:space="preserve">Order </w:t>
            </w:r>
          </w:p>
        </w:tc>
        <w:tc>
          <w:tcPr>
            <w:tcW w:w="0" w:type="auto"/>
          </w:tcPr>
          <w:p w:rsidR="00030E49" w:rsidRPr="00DA36D4" w:rsidRDefault="00030E49" w:rsidP="00192178">
            <w:pPr>
              <w:adjustRightInd w:val="0"/>
              <w:rPr>
                <w:rFonts w:eastAsia="PMingLiU"/>
              </w:rPr>
            </w:pPr>
            <w:r w:rsidRPr="00DA36D4">
              <w:rPr>
                <w:rFonts w:eastAsia="PMingLiU"/>
                <w:sz w:val="22"/>
                <w:szCs w:val="22"/>
              </w:rPr>
              <w:t>Information</w:t>
            </w:r>
          </w:p>
        </w:tc>
      </w:tr>
      <w:tr w:rsidR="00030E49" w:rsidRPr="001D7F82" w:rsidTr="00030E49">
        <w:trPr>
          <w:jc w:val="center"/>
        </w:trPr>
        <w:tc>
          <w:tcPr>
            <w:tcW w:w="0" w:type="auto"/>
          </w:tcPr>
          <w:p w:rsidR="00030E49" w:rsidRPr="00DA36D4" w:rsidRDefault="00030E49" w:rsidP="00192178">
            <w:pPr>
              <w:adjustRightInd w:val="0"/>
              <w:rPr>
                <w:rFonts w:eastAsia="PMingLiU"/>
              </w:rPr>
            </w:pPr>
            <w:r w:rsidRPr="00DA36D4">
              <w:rPr>
                <w:rFonts w:eastAsia="PMingLiU"/>
                <w:sz w:val="22"/>
                <w:szCs w:val="22"/>
              </w:rPr>
              <w:t>1</w:t>
            </w:r>
          </w:p>
        </w:tc>
        <w:tc>
          <w:tcPr>
            <w:tcW w:w="0" w:type="auto"/>
          </w:tcPr>
          <w:p w:rsidR="00030E49" w:rsidRPr="00DA36D4" w:rsidRDefault="00030E49" w:rsidP="00192178">
            <w:pPr>
              <w:adjustRightInd w:val="0"/>
              <w:rPr>
                <w:rFonts w:eastAsia="PMingLiU"/>
              </w:rPr>
            </w:pPr>
            <w:r w:rsidRPr="00DA36D4">
              <w:rPr>
                <w:rFonts w:eastAsia="PMingLiU"/>
                <w:sz w:val="22"/>
                <w:szCs w:val="22"/>
              </w:rPr>
              <w:t>Category</w:t>
            </w:r>
          </w:p>
        </w:tc>
      </w:tr>
      <w:tr w:rsidR="00030E49" w:rsidRPr="001D7F82" w:rsidTr="00030E49">
        <w:trPr>
          <w:jc w:val="center"/>
        </w:trPr>
        <w:tc>
          <w:tcPr>
            <w:tcW w:w="0" w:type="auto"/>
          </w:tcPr>
          <w:p w:rsidR="00030E49" w:rsidRPr="00DA36D4" w:rsidRDefault="00030E49" w:rsidP="00192178">
            <w:pPr>
              <w:adjustRightInd w:val="0"/>
              <w:rPr>
                <w:rFonts w:eastAsia="PMingLiU"/>
              </w:rPr>
            </w:pPr>
            <w:r w:rsidRPr="00DA36D4">
              <w:rPr>
                <w:rFonts w:eastAsia="PMingLiU"/>
                <w:sz w:val="22"/>
                <w:szCs w:val="22"/>
              </w:rPr>
              <w:t>2</w:t>
            </w:r>
          </w:p>
        </w:tc>
        <w:tc>
          <w:tcPr>
            <w:tcW w:w="0" w:type="auto"/>
          </w:tcPr>
          <w:p w:rsidR="00030E49" w:rsidRPr="00DA36D4" w:rsidRDefault="00030E49" w:rsidP="00192178">
            <w:pPr>
              <w:adjustRightInd w:val="0"/>
              <w:rPr>
                <w:rFonts w:eastAsia="PMingLiU"/>
              </w:rPr>
            </w:pPr>
            <w:r w:rsidRPr="00DA36D4">
              <w:rPr>
                <w:rFonts w:eastAsia="PMingLiU"/>
                <w:sz w:val="22"/>
                <w:szCs w:val="22"/>
              </w:rPr>
              <w:t>Action</w:t>
            </w:r>
          </w:p>
        </w:tc>
      </w:tr>
      <w:tr w:rsidR="00030E49" w:rsidRPr="001D7F82" w:rsidTr="00030E49">
        <w:trPr>
          <w:jc w:val="center"/>
        </w:trPr>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3</w:t>
            </w:r>
          </w:p>
        </w:tc>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Dialog Token</w:t>
            </w:r>
          </w:p>
        </w:tc>
      </w:tr>
      <w:tr w:rsidR="00030E49" w:rsidRPr="001D7F82" w:rsidTr="00030E49">
        <w:trPr>
          <w:jc w:val="center"/>
        </w:trPr>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4</w:t>
            </w:r>
          </w:p>
        </w:tc>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Relay operation type</w:t>
            </w:r>
          </w:p>
        </w:tc>
      </w:tr>
    </w:tbl>
    <w:p w:rsidR="00030E49" w:rsidRPr="00E55F0A" w:rsidRDefault="00030E49" w:rsidP="00030E49">
      <w:pPr>
        <w:adjustRightInd w:val="0"/>
        <w:rPr>
          <w:sz w:val="22"/>
          <w:szCs w:val="22"/>
          <w:lang w:eastAsia="ko-KR"/>
        </w:rPr>
      </w:pPr>
    </w:p>
    <w:p w:rsidR="00030E49" w:rsidRDefault="00030E49" w:rsidP="00030E49">
      <w:pPr>
        <w:rPr>
          <w:lang w:eastAsia="zh-TW"/>
        </w:rPr>
      </w:pPr>
      <w:r w:rsidRPr="00030E49">
        <w:rPr>
          <w:lang w:eastAsia="zh-TW"/>
        </w:rPr>
        <w:t xml:space="preserve">The Category field is set to the category for mmWave, </w:t>
      </w:r>
      <w:r>
        <w:rPr>
          <w:lang w:eastAsia="zh-CN" w:bidi="ar-SA"/>
        </w:rPr>
        <w:t xml:space="preserve">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030E49">
        <w:rPr>
          <w:lang w:eastAsia="zh-TW"/>
        </w:rPr>
        <w:t>.</w:t>
      </w:r>
    </w:p>
    <w:p w:rsidR="00030E49" w:rsidRPr="00030E49" w:rsidRDefault="00030E49" w:rsidP="00030E49">
      <w:pPr>
        <w:rPr>
          <w:lang w:eastAsia="zh-TW"/>
        </w:rPr>
      </w:pPr>
    </w:p>
    <w:p w:rsidR="00030E49" w:rsidRPr="00030E49" w:rsidRDefault="00030E49" w:rsidP="00030E49">
      <w:pPr>
        <w:rPr>
          <w:lang w:eastAsia="zh-TW"/>
        </w:rPr>
      </w:pPr>
      <w:r w:rsidRPr="00030E49">
        <w:rPr>
          <w:lang w:eastAsia="zh-TW"/>
        </w:rPr>
        <w:t xml:space="preserve">The Action field is set to the value corresponding to ROC Request,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030E49">
        <w:rPr>
          <w:lang w:eastAsia="zh-TW"/>
        </w:rPr>
        <w:t>.</w:t>
      </w:r>
    </w:p>
    <w:p w:rsidR="00030E49" w:rsidRDefault="00030E49" w:rsidP="00030E49">
      <w:pPr>
        <w:rPr>
          <w:lang w:eastAsia="zh-TW"/>
        </w:rPr>
      </w:pPr>
    </w:p>
    <w:p w:rsidR="00030E49" w:rsidRPr="00030E49" w:rsidRDefault="00030E49" w:rsidP="00030E49">
      <w:pPr>
        <w:rPr>
          <w:lang w:eastAsia="zh-TW"/>
        </w:rPr>
      </w:pPr>
      <w:r w:rsidRPr="00030E49">
        <w:rPr>
          <w:lang w:eastAsia="zh-TW"/>
        </w:rPr>
        <w:t>The Dialog Token field shall be set to a nonzero value chosen by the STA sending the ROC Request frame to identify the request/response transaction.</w:t>
      </w:r>
    </w:p>
    <w:p w:rsidR="00030E49" w:rsidRDefault="00030E49" w:rsidP="00030E49">
      <w:pPr>
        <w:rPr>
          <w:lang w:eastAsia="zh-TW"/>
        </w:rPr>
      </w:pPr>
    </w:p>
    <w:p w:rsidR="00030E49" w:rsidRPr="00030E49" w:rsidRDefault="00030E49" w:rsidP="00030E49">
      <w:pPr>
        <w:rPr>
          <w:lang w:eastAsia="zh-TW"/>
        </w:rPr>
      </w:pPr>
      <w:r w:rsidRPr="00030E49">
        <w:rPr>
          <w:lang w:eastAsia="zh-TW"/>
        </w:rPr>
        <w:t>The format of the Relay operation type field is defined in</w:t>
      </w:r>
      <w:r>
        <w:rPr>
          <w:lang w:eastAsia="zh-TW"/>
        </w:rPr>
        <w:t xml:space="preserve"> </w:t>
      </w:r>
      <w:r w:rsidR="00BD151C">
        <w:rPr>
          <w:lang w:eastAsia="zh-TW"/>
        </w:rPr>
        <w:fldChar w:fldCharType="begin"/>
      </w:r>
      <w:r>
        <w:rPr>
          <w:lang w:eastAsia="zh-TW"/>
        </w:rPr>
        <w:instrText xml:space="preserve"> REF _Ref259714527 \h </w:instrText>
      </w:r>
      <w:r w:rsidR="00BD151C">
        <w:rPr>
          <w:lang w:eastAsia="zh-TW"/>
        </w:rPr>
      </w:r>
      <w:r w:rsidR="00BD151C">
        <w:rPr>
          <w:lang w:eastAsia="zh-TW"/>
        </w:rPr>
        <w:fldChar w:fldCharType="separate"/>
      </w:r>
      <w:r w:rsidR="003E4210">
        <w:t xml:space="preserve">Figure </w:t>
      </w:r>
      <w:r w:rsidR="003E4210">
        <w:rPr>
          <w:noProof/>
        </w:rPr>
        <w:t>76</w:t>
      </w:r>
      <w:r w:rsidR="00BD151C">
        <w:rPr>
          <w:lang w:eastAsia="zh-TW"/>
        </w:rPr>
        <w:fldChar w:fldCharType="end"/>
      </w:r>
      <w:r>
        <w:rPr>
          <w:lang w:eastAsia="zh-TW"/>
        </w:rPr>
        <w:t>.</w:t>
      </w:r>
    </w:p>
    <w:p w:rsidR="00030E49" w:rsidRPr="000A2E37" w:rsidRDefault="00030E49" w:rsidP="00030E49">
      <w:pPr>
        <w:rPr>
          <w:sz w:val="22"/>
          <w:szCs w:val="22"/>
          <w:lang w:eastAsia="ko-KR"/>
        </w:rPr>
      </w:pPr>
    </w:p>
    <w:tbl>
      <w:tblPr>
        <w:tblW w:w="0" w:type="auto"/>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4"/>
        <w:gridCol w:w="2251"/>
        <w:gridCol w:w="2251"/>
        <w:gridCol w:w="2251"/>
      </w:tblGrid>
      <w:tr w:rsidR="00030E49" w:rsidRPr="001D7F82" w:rsidTr="00192178">
        <w:trPr>
          <w:jc w:val="center"/>
        </w:trPr>
        <w:tc>
          <w:tcPr>
            <w:tcW w:w="1014" w:type="dxa"/>
          </w:tcPr>
          <w:p w:rsidR="00030E49" w:rsidRPr="00E55F0A" w:rsidRDefault="00030E49" w:rsidP="00192178">
            <w:pPr>
              <w:rPr>
                <w:rFonts w:eastAsia="Batang"/>
                <w:lang w:eastAsia="ko-KR"/>
              </w:rPr>
            </w:pPr>
          </w:p>
        </w:tc>
        <w:tc>
          <w:tcPr>
            <w:tcW w:w="2251" w:type="dxa"/>
          </w:tcPr>
          <w:p w:rsidR="00030E49" w:rsidRPr="00E55F0A" w:rsidRDefault="00030E49" w:rsidP="00192178">
            <w:pPr>
              <w:rPr>
                <w:rFonts w:eastAsia="Batang"/>
                <w:lang w:eastAsia="ko-KR"/>
              </w:rPr>
            </w:pPr>
            <w:r>
              <w:rPr>
                <w:rFonts w:eastAsia="Batang"/>
                <w:sz w:val="22"/>
                <w:szCs w:val="22"/>
                <w:lang w:eastAsia="ko-KR"/>
              </w:rPr>
              <w:t>Link cooperating</w:t>
            </w:r>
          </w:p>
        </w:tc>
        <w:tc>
          <w:tcPr>
            <w:tcW w:w="2251" w:type="dxa"/>
          </w:tcPr>
          <w:p w:rsidR="00030E49" w:rsidRPr="00E55F0A" w:rsidRDefault="00030E49" w:rsidP="00192178">
            <w:pPr>
              <w:rPr>
                <w:rFonts w:eastAsia="Batang"/>
                <w:lang w:eastAsia="ko-KR"/>
              </w:rPr>
            </w:pPr>
            <w:r>
              <w:rPr>
                <w:rFonts w:eastAsia="Batang"/>
                <w:sz w:val="22"/>
                <w:szCs w:val="22"/>
                <w:lang w:eastAsia="ko-KR"/>
              </w:rPr>
              <w:t>Relay-link</w:t>
            </w:r>
          </w:p>
        </w:tc>
        <w:tc>
          <w:tcPr>
            <w:tcW w:w="2251" w:type="dxa"/>
          </w:tcPr>
          <w:p w:rsidR="00030E49" w:rsidRPr="00E55F0A" w:rsidRDefault="00030E49" w:rsidP="00192178">
            <w:pPr>
              <w:rPr>
                <w:rFonts w:eastAsia="Batang"/>
                <w:lang w:eastAsia="ko-KR"/>
              </w:rPr>
            </w:pPr>
            <w:r w:rsidRPr="00E55F0A">
              <w:rPr>
                <w:rFonts w:eastAsia="Batang"/>
                <w:sz w:val="22"/>
                <w:szCs w:val="22"/>
                <w:lang w:eastAsia="ko-KR"/>
              </w:rPr>
              <w:t>Reserved</w:t>
            </w:r>
          </w:p>
        </w:tc>
      </w:tr>
      <w:tr w:rsidR="00030E49" w:rsidRPr="001D7F82" w:rsidTr="00192178">
        <w:trPr>
          <w:jc w:val="center"/>
        </w:trPr>
        <w:tc>
          <w:tcPr>
            <w:tcW w:w="1014" w:type="dxa"/>
          </w:tcPr>
          <w:p w:rsidR="00030E49" w:rsidRPr="00E55F0A" w:rsidRDefault="00030E49" w:rsidP="00192178">
            <w:pPr>
              <w:rPr>
                <w:rFonts w:eastAsia="Batang"/>
                <w:lang w:eastAsia="ko-KR"/>
              </w:rPr>
            </w:pPr>
            <w:r w:rsidRPr="00E55F0A">
              <w:rPr>
                <w:rFonts w:eastAsia="Batang"/>
                <w:sz w:val="22"/>
                <w:szCs w:val="22"/>
                <w:lang w:eastAsia="ko-KR"/>
              </w:rPr>
              <w:t>Bits:</w:t>
            </w:r>
          </w:p>
        </w:tc>
        <w:tc>
          <w:tcPr>
            <w:tcW w:w="2251" w:type="dxa"/>
          </w:tcPr>
          <w:p w:rsidR="00030E49" w:rsidRPr="00E55F0A" w:rsidRDefault="00030E49" w:rsidP="00192178">
            <w:pPr>
              <w:rPr>
                <w:rFonts w:eastAsia="Batang"/>
                <w:lang w:eastAsia="ko-KR"/>
              </w:rPr>
            </w:pPr>
            <w:r w:rsidRPr="00E55F0A">
              <w:rPr>
                <w:rFonts w:eastAsia="Batang"/>
                <w:sz w:val="22"/>
                <w:szCs w:val="22"/>
                <w:lang w:eastAsia="ko-KR"/>
              </w:rPr>
              <w:t>B0</w:t>
            </w:r>
          </w:p>
        </w:tc>
        <w:tc>
          <w:tcPr>
            <w:tcW w:w="2251" w:type="dxa"/>
          </w:tcPr>
          <w:p w:rsidR="00030E49" w:rsidRPr="00E55F0A" w:rsidRDefault="00030E49" w:rsidP="00192178">
            <w:pPr>
              <w:rPr>
                <w:rFonts w:eastAsia="Batang"/>
                <w:lang w:eastAsia="ko-KR"/>
              </w:rPr>
            </w:pPr>
            <w:r>
              <w:rPr>
                <w:rFonts w:eastAsia="Batang"/>
                <w:sz w:val="22"/>
                <w:szCs w:val="22"/>
                <w:lang w:eastAsia="ko-KR"/>
              </w:rPr>
              <w:t>B1</w:t>
            </w:r>
          </w:p>
        </w:tc>
        <w:tc>
          <w:tcPr>
            <w:tcW w:w="2251" w:type="dxa"/>
          </w:tcPr>
          <w:p w:rsidR="00030E49" w:rsidRPr="00E55F0A" w:rsidRDefault="00030E49" w:rsidP="00192178">
            <w:pPr>
              <w:keepNext/>
              <w:rPr>
                <w:rFonts w:eastAsia="Batang"/>
                <w:lang w:eastAsia="ko-KR"/>
              </w:rPr>
            </w:pPr>
            <w:r w:rsidRPr="00E55F0A">
              <w:rPr>
                <w:rFonts w:eastAsia="Batang"/>
                <w:sz w:val="22"/>
                <w:szCs w:val="22"/>
                <w:lang w:eastAsia="ko-KR"/>
              </w:rPr>
              <w:t>B</w:t>
            </w:r>
            <w:r>
              <w:rPr>
                <w:rFonts w:eastAsia="Batang"/>
                <w:sz w:val="22"/>
                <w:szCs w:val="22"/>
                <w:lang w:eastAsia="ko-KR"/>
              </w:rPr>
              <w:t>2</w:t>
            </w:r>
            <w:r w:rsidRPr="00E55F0A">
              <w:rPr>
                <w:rFonts w:eastAsia="Batang"/>
                <w:sz w:val="22"/>
                <w:szCs w:val="22"/>
                <w:lang w:eastAsia="ko-KR"/>
              </w:rPr>
              <w:t>-B7</w:t>
            </w:r>
          </w:p>
        </w:tc>
      </w:tr>
    </w:tbl>
    <w:p w:rsidR="00030E49" w:rsidRDefault="00030E49" w:rsidP="00030E49">
      <w:pPr>
        <w:pStyle w:val="Caption"/>
        <w:rPr>
          <w:rFonts w:ascii="Times New Roman" w:eastAsia="Malgun Gothic" w:hAnsi="Times New Roman"/>
          <w:sz w:val="22"/>
          <w:szCs w:val="22"/>
          <w:lang w:eastAsia="ko-KR"/>
        </w:rPr>
      </w:pPr>
      <w:bookmarkStart w:id="940" w:name="_Ref259714527"/>
      <w:bookmarkStart w:id="941" w:name="_Toc259717508"/>
      <w:r>
        <w:t xml:space="preserve">Figure </w:t>
      </w:r>
      <w:fldSimple w:instr=" SEQ Figure \* ARABIC ">
        <w:r w:rsidR="003E4210">
          <w:rPr>
            <w:noProof/>
          </w:rPr>
          <w:t>76</w:t>
        </w:r>
      </w:fldSimple>
      <w:bookmarkEnd w:id="940"/>
      <w:r>
        <w:t xml:space="preserve"> – Relay operation type field</w:t>
      </w:r>
      <w:bookmarkEnd w:id="941"/>
    </w:p>
    <w:p w:rsidR="00030E49" w:rsidRDefault="00030E49" w:rsidP="00030E49">
      <w:pPr>
        <w:rPr>
          <w:sz w:val="22"/>
          <w:szCs w:val="22"/>
          <w:lang w:eastAsia="ko-KR"/>
        </w:rPr>
      </w:pPr>
    </w:p>
    <w:p w:rsidR="00030E49" w:rsidRDefault="00030E49" w:rsidP="00030E49">
      <w:pPr>
        <w:rPr>
          <w:lang w:eastAsia="zh-TW"/>
        </w:rPr>
      </w:pPr>
      <w:r w:rsidRPr="00030E49">
        <w:rPr>
          <w:lang w:eastAsia="zh-TW"/>
        </w:rPr>
        <w:t>The Link cooperating subfield is set to 0 to request the operation to be changed to link switching, and is set to 1 to request the operation to be changed to link cooperating.</w:t>
      </w:r>
    </w:p>
    <w:p w:rsidR="00030E49" w:rsidRPr="00030E49" w:rsidRDefault="00030E49" w:rsidP="00030E49">
      <w:pPr>
        <w:rPr>
          <w:lang w:eastAsia="zh-TW"/>
        </w:rPr>
      </w:pPr>
    </w:p>
    <w:p w:rsidR="00030E49" w:rsidRPr="00030E49" w:rsidRDefault="00030E49" w:rsidP="00030E49">
      <w:pPr>
        <w:rPr>
          <w:lang w:eastAsia="zh-TW"/>
        </w:rPr>
      </w:pPr>
      <w:r w:rsidRPr="00030E49">
        <w:rPr>
          <w:lang w:eastAsia="zh-TW"/>
        </w:rPr>
        <w:t xml:space="preserve">The Relay-link subfield is set to 0 to indicate that the link switching operation starts at the direct link between the source RUS and destination RUS and set to 1 to indicate that the link switching operation starts with the RSUS. If the Link cooperating subfield is set to 1, the relay-link subfield is ignored. </w:t>
      </w:r>
    </w:p>
    <w:p w:rsidR="00030E49" w:rsidRDefault="00030E49" w:rsidP="000E7E88">
      <w:pPr>
        <w:rPr>
          <w:lang w:eastAsia="zh-TW"/>
        </w:rPr>
      </w:pPr>
    </w:p>
    <w:p w:rsidR="00616EEA" w:rsidRPr="00115FAE" w:rsidRDefault="00616EEA" w:rsidP="00616EEA">
      <w:pPr>
        <w:pStyle w:val="Heading4"/>
        <w:numPr>
          <w:ilvl w:val="3"/>
          <w:numId w:val="27"/>
        </w:numPr>
        <w:rPr>
          <w:sz w:val="28"/>
          <w:szCs w:val="28"/>
        </w:rPr>
      </w:pPr>
      <w:bookmarkStart w:id="942" w:name="_Toc259716997"/>
      <w:r>
        <w:rPr>
          <w:sz w:val="28"/>
          <w:szCs w:val="28"/>
        </w:rPr>
        <w:t>ROC response</w:t>
      </w:r>
      <w:bookmarkEnd w:id="942"/>
    </w:p>
    <w:p w:rsidR="00616EEA" w:rsidRDefault="00616EEA" w:rsidP="000E7E88">
      <w:pPr>
        <w:rPr>
          <w:lang w:eastAsia="zh-TW"/>
        </w:rPr>
      </w:pPr>
    </w:p>
    <w:p w:rsidR="00616EEA" w:rsidRPr="00616EEA" w:rsidRDefault="00616EEA" w:rsidP="00616EEA">
      <w:pPr>
        <w:rPr>
          <w:lang w:eastAsia="zh-TW"/>
        </w:rPr>
      </w:pPr>
      <w:r w:rsidRPr="00616EEA">
        <w:rPr>
          <w:lang w:eastAsia="zh-TW"/>
        </w:rPr>
        <w:t>The ROC Response frame is sent by the RSUS or the destination STA participating in a relay operation in response to a ROC Request frame from the source STA. The frame body of the ROC Request frame contains the information in</w:t>
      </w:r>
      <w:r>
        <w:rPr>
          <w:lang w:eastAsia="zh-TW"/>
        </w:rPr>
        <w:t xml:space="preserve"> </w:t>
      </w:r>
      <w:r w:rsidR="00BD151C">
        <w:rPr>
          <w:lang w:eastAsia="zh-TW"/>
        </w:rPr>
        <w:fldChar w:fldCharType="begin"/>
      </w:r>
      <w:r>
        <w:rPr>
          <w:lang w:eastAsia="zh-TW"/>
        </w:rPr>
        <w:instrText xml:space="preserve"> REF _Ref259714654 \h </w:instrText>
      </w:r>
      <w:r w:rsidR="00BD151C">
        <w:rPr>
          <w:lang w:eastAsia="zh-TW"/>
        </w:rPr>
      </w:r>
      <w:r w:rsidR="00BD151C">
        <w:rPr>
          <w:lang w:eastAsia="zh-TW"/>
        </w:rPr>
        <w:fldChar w:fldCharType="separate"/>
      </w:r>
      <w:r w:rsidR="003E4210">
        <w:t xml:space="preserve">Table </w:t>
      </w:r>
      <w:r w:rsidR="003E4210">
        <w:rPr>
          <w:noProof/>
        </w:rPr>
        <w:t>50</w:t>
      </w:r>
      <w:r w:rsidR="00BD151C">
        <w:rPr>
          <w:lang w:eastAsia="zh-TW"/>
        </w:rPr>
        <w:fldChar w:fldCharType="end"/>
      </w:r>
      <w:r w:rsidRPr="00616EEA">
        <w:rPr>
          <w:lang w:eastAsia="zh-TW"/>
        </w:rPr>
        <w:t>.</w:t>
      </w:r>
    </w:p>
    <w:p w:rsidR="00616EEA" w:rsidRPr="00741A26" w:rsidRDefault="00616EEA" w:rsidP="00616EEA">
      <w:pPr>
        <w:adjustRightInd w:val="0"/>
        <w:rPr>
          <w:sz w:val="22"/>
          <w:szCs w:val="22"/>
        </w:rPr>
      </w:pPr>
    </w:p>
    <w:p w:rsidR="00616EEA" w:rsidRPr="00E55F0A" w:rsidRDefault="00616EEA" w:rsidP="00616EEA">
      <w:pPr>
        <w:pStyle w:val="Caption"/>
        <w:rPr>
          <w:b w:val="0"/>
          <w:sz w:val="22"/>
          <w:szCs w:val="22"/>
        </w:rPr>
      </w:pPr>
      <w:bookmarkStart w:id="943" w:name="_Ref259714654"/>
      <w:bookmarkStart w:id="944" w:name="_Toc259717628"/>
      <w:r>
        <w:t xml:space="preserve">Table </w:t>
      </w:r>
      <w:fldSimple w:instr=" SEQ Table \* ARABIC ">
        <w:r w:rsidR="003E4210">
          <w:rPr>
            <w:noProof/>
          </w:rPr>
          <w:t>50</w:t>
        </w:r>
      </w:fldSimple>
      <w:bookmarkEnd w:id="943"/>
      <w:r>
        <w:t xml:space="preserve"> – ROC response frame body</w:t>
      </w:r>
      <w:bookmarkEnd w:id="9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049"/>
      </w:tblGrid>
      <w:tr w:rsidR="00616EEA" w:rsidRPr="001D7F82" w:rsidTr="00616EEA">
        <w:trPr>
          <w:jc w:val="center"/>
        </w:trPr>
        <w:tc>
          <w:tcPr>
            <w:tcW w:w="0" w:type="auto"/>
          </w:tcPr>
          <w:p w:rsidR="00616EEA" w:rsidRPr="00DA36D4" w:rsidRDefault="00616EEA" w:rsidP="00192178">
            <w:pPr>
              <w:adjustRightInd w:val="0"/>
              <w:rPr>
                <w:rFonts w:eastAsia="PMingLiU"/>
              </w:rPr>
            </w:pPr>
            <w:r w:rsidRPr="00DA36D4">
              <w:rPr>
                <w:rFonts w:eastAsia="PMingLiU"/>
                <w:sz w:val="22"/>
                <w:szCs w:val="22"/>
              </w:rPr>
              <w:t xml:space="preserve">Order </w:t>
            </w:r>
          </w:p>
        </w:tc>
        <w:tc>
          <w:tcPr>
            <w:tcW w:w="0" w:type="auto"/>
          </w:tcPr>
          <w:p w:rsidR="00616EEA" w:rsidRPr="00DA36D4" w:rsidRDefault="00616EEA" w:rsidP="00192178">
            <w:pPr>
              <w:adjustRightInd w:val="0"/>
              <w:rPr>
                <w:rFonts w:eastAsia="PMingLiU"/>
              </w:rPr>
            </w:pPr>
            <w:r w:rsidRPr="00DA36D4">
              <w:rPr>
                <w:rFonts w:eastAsia="PMingLiU"/>
                <w:sz w:val="22"/>
                <w:szCs w:val="22"/>
              </w:rPr>
              <w:t>Information</w:t>
            </w:r>
          </w:p>
        </w:tc>
      </w:tr>
      <w:tr w:rsidR="00616EEA" w:rsidRPr="001D7F82" w:rsidTr="00616EEA">
        <w:trPr>
          <w:jc w:val="center"/>
        </w:trPr>
        <w:tc>
          <w:tcPr>
            <w:tcW w:w="0" w:type="auto"/>
          </w:tcPr>
          <w:p w:rsidR="00616EEA" w:rsidRPr="00DA36D4" w:rsidRDefault="00616EEA" w:rsidP="00192178">
            <w:pPr>
              <w:adjustRightInd w:val="0"/>
              <w:rPr>
                <w:rFonts w:eastAsia="PMingLiU"/>
              </w:rPr>
            </w:pPr>
            <w:r w:rsidRPr="00DA36D4">
              <w:rPr>
                <w:rFonts w:eastAsia="PMingLiU"/>
                <w:sz w:val="22"/>
                <w:szCs w:val="22"/>
              </w:rPr>
              <w:t>1</w:t>
            </w:r>
          </w:p>
        </w:tc>
        <w:tc>
          <w:tcPr>
            <w:tcW w:w="0" w:type="auto"/>
          </w:tcPr>
          <w:p w:rsidR="00616EEA" w:rsidRPr="00DA36D4" w:rsidRDefault="00616EEA" w:rsidP="00192178">
            <w:pPr>
              <w:adjustRightInd w:val="0"/>
              <w:rPr>
                <w:rFonts w:eastAsia="PMingLiU"/>
              </w:rPr>
            </w:pPr>
            <w:r w:rsidRPr="00DA36D4">
              <w:rPr>
                <w:rFonts w:eastAsia="PMingLiU"/>
                <w:sz w:val="22"/>
                <w:szCs w:val="22"/>
              </w:rPr>
              <w:t>Category</w:t>
            </w:r>
          </w:p>
        </w:tc>
      </w:tr>
      <w:tr w:rsidR="00616EEA" w:rsidRPr="001D7F82" w:rsidTr="00616EEA">
        <w:trPr>
          <w:jc w:val="center"/>
        </w:trPr>
        <w:tc>
          <w:tcPr>
            <w:tcW w:w="0" w:type="auto"/>
          </w:tcPr>
          <w:p w:rsidR="00616EEA" w:rsidRPr="00DA36D4" w:rsidRDefault="00616EEA" w:rsidP="00192178">
            <w:pPr>
              <w:adjustRightInd w:val="0"/>
              <w:rPr>
                <w:rFonts w:eastAsia="PMingLiU"/>
              </w:rPr>
            </w:pPr>
            <w:r w:rsidRPr="00DA36D4">
              <w:rPr>
                <w:rFonts w:eastAsia="PMingLiU"/>
                <w:sz w:val="22"/>
                <w:szCs w:val="22"/>
              </w:rPr>
              <w:t>2</w:t>
            </w:r>
          </w:p>
        </w:tc>
        <w:tc>
          <w:tcPr>
            <w:tcW w:w="0" w:type="auto"/>
          </w:tcPr>
          <w:p w:rsidR="00616EEA" w:rsidRPr="00DA36D4" w:rsidRDefault="00616EEA" w:rsidP="00192178">
            <w:pPr>
              <w:adjustRightInd w:val="0"/>
              <w:rPr>
                <w:rFonts w:eastAsia="PMingLiU"/>
              </w:rPr>
            </w:pPr>
            <w:r w:rsidRPr="00DA36D4">
              <w:rPr>
                <w:rFonts w:eastAsia="PMingLiU"/>
                <w:sz w:val="22"/>
                <w:szCs w:val="22"/>
              </w:rPr>
              <w:t>Action</w:t>
            </w:r>
          </w:p>
        </w:tc>
      </w:tr>
      <w:tr w:rsidR="00616EEA" w:rsidRPr="001D7F82" w:rsidTr="00616EEA">
        <w:trPr>
          <w:jc w:val="center"/>
        </w:trPr>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3</w:t>
            </w:r>
          </w:p>
        </w:tc>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Dialog Token</w:t>
            </w:r>
          </w:p>
        </w:tc>
      </w:tr>
      <w:tr w:rsidR="00616EEA" w:rsidRPr="001D7F82" w:rsidTr="00616EEA">
        <w:trPr>
          <w:jc w:val="center"/>
        </w:trPr>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4</w:t>
            </w:r>
          </w:p>
        </w:tc>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Status code</w:t>
            </w:r>
          </w:p>
        </w:tc>
      </w:tr>
      <w:tr w:rsidR="00616EEA" w:rsidRPr="001D7F82" w:rsidTr="00616EEA">
        <w:trPr>
          <w:jc w:val="center"/>
        </w:trPr>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5</w:t>
            </w:r>
          </w:p>
        </w:tc>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Relay operation type</w:t>
            </w:r>
          </w:p>
        </w:tc>
      </w:tr>
    </w:tbl>
    <w:p w:rsidR="00616EEA" w:rsidRPr="00E55F0A" w:rsidRDefault="00616EEA" w:rsidP="00616EEA">
      <w:pPr>
        <w:adjustRightInd w:val="0"/>
        <w:rPr>
          <w:sz w:val="22"/>
          <w:szCs w:val="22"/>
        </w:rPr>
      </w:pPr>
    </w:p>
    <w:p w:rsidR="00616EEA" w:rsidRDefault="00616EEA" w:rsidP="00616EEA">
      <w:pPr>
        <w:rPr>
          <w:lang w:eastAsia="zh-TW"/>
        </w:rPr>
      </w:pPr>
      <w:r w:rsidRPr="00616EEA">
        <w:rPr>
          <w:lang w:eastAsia="zh-TW"/>
        </w:rPr>
        <w:lastRenderedPageBreak/>
        <w:t xml:space="preserve">The Category field is set to the category for mmWave, </w:t>
      </w:r>
      <w:r>
        <w:rPr>
          <w:lang w:eastAsia="zh-CN" w:bidi="ar-SA"/>
        </w:rPr>
        <w:t xml:space="preserve">specified in </w:t>
      </w:r>
      <w:r w:rsidR="00BD151C">
        <w:fldChar w:fldCharType="begin"/>
      </w:r>
      <w:r>
        <w:instrText xml:space="preserve"> REF _Ref236377818 \h </w:instrText>
      </w:r>
      <w:r w:rsidR="00BD151C">
        <w:fldChar w:fldCharType="separate"/>
      </w:r>
      <w:r w:rsidR="003E4210" w:rsidRPr="00066F65">
        <w:t xml:space="preserve">Table </w:t>
      </w:r>
      <w:r w:rsidR="003E4210">
        <w:rPr>
          <w:noProof/>
        </w:rPr>
        <w:t>4</w:t>
      </w:r>
      <w:r w:rsidR="00BD151C">
        <w:fldChar w:fldCharType="end"/>
      </w:r>
      <w:r w:rsidRPr="00616EEA">
        <w:rPr>
          <w:lang w:eastAsia="zh-TW"/>
        </w:rPr>
        <w:t>.</w:t>
      </w:r>
    </w:p>
    <w:p w:rsidR="00616EEA" w:rsidRPr="00616EEA" w:rsidRDefault="00616EEA" w:rsidP="00616EEA">
      <w:pPr>
        <w:rPr>
          <w:lang w:eastAsia="zh-TW"/>
        </w:rPr>
      </w:pPr>
    </w:p>
    <w:p w:rsidR="00616EEA" w:rsidRPr="00616EEA" w:rsidRDefault="00616EEA" w:rsidP="00616EEA">
      <w:pPr>
        <w:rPr>
          <w:lang w:eastAsia="zh-TW"/>
        </w:rPr>
      </w:pPr>
      <w:r w:rsidRPr="00616EEA">
        <w:rPr>
          <w:lang w:eastAsia="zh-TW"/>
        </w:rPr>
        <w:t xml:space="preserve">The Action field is set to the value corresponding to ROC Response,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616EEA">
        <w:rPr>
          <w:lang w:eastAsia="zh-TW"/>
        </w:rPr>
        <w:t>.</w:t>
      </w:r>
    </w:p>
    <w:p w:rsidR="00616EEA" w:rsidRDefault="00616EEA" w:rsidP="00616EEA">
      <w:pPr>
        <w:rPr>
          <w:lang w:eastAsia="zh-TW"/>
        </w:rPr>
      </w:pPr>
    </w:p>
    <w:p w:rsidR="00616EEA" w:rsidRPr="00616EEA" w:rsidRDefault="00616EEA" w:rsidP="00616EEA">
      <w:pPr>
        <w:rPr>
          <w:lang w:eastAsia="zh-TW"/>
        </w:rPr>
      </w:pPr>
      <w:r w:rsidRPr="00616EEA">
        <w:rPr>
          <w:lang w:eastAsia="zh-TW"/>
        </w:rPr>
        <w:t>The Dialog Token field shall be set to the value received in the corresponding ROC Request frame that generated this response.</w:t>
      </w:r>
    </w:p>
    <w:p w:rsidR="00616EEA" w:rsidRDefault="00616EEA" w:rsidP="00616EEA">
      <w:pPr>
        <w:rPr>
          <w:lang w:eastAsia="zh-TW"/>
        </w:rPr>
      </w:pPr>
    </w:p>
    <w:p w:rsidR="00616EEA" w:rsidRPr="00616EEA" w:rsidRDefault="00616EEA" w:rsidP="00616EEA">
      <w:pPr>
        <w:rPr>
          <w:lang w:eastAsia="zh-TW"/>
        </w:rPr>
      </w:pPr>
      <w:r w:rsidRPr="00616EEA">
        <w:rPr>
          <w:lang w:eastAsia="zh-TW"/>
        </w:rPr>
        <w:t xml:space="preserve">The Status Code field is defined in </w:t>
      </w:r>
      <w:r w:rsidR="00BD151C">
        <w:rPr>
          <w:lang w:eastAsia="zh-TW"/>
        </w:rPr>
        <w:fldChar w:fldCharType="begin"/>
      </w:r>
      <w:r>
        <w:rPr>
          <w:lang w:eastAsia="zh-TW"/>
        </w:rPr>
        <w:instrText xml:space="preserve"> REF _Ref259714760 \r \h </w:instrText>
      </w:r>
      <w:r w:rsidR="00BD151C">
        <w:rPr>
          <w:lang w:eastAsia="zh-TW"/>
        </w:rPr>
      </w:r>
      <w:r w:rsidR="00BD151C">
        <w:rPr>
          <w:lang w:eastAsia="zh-TW"/>
        </w:rPr>
        <w:fldChar w:fldCharType="separate"/>
      </w:r>
      <w:r w:rsidR="003E4210">
        <w:rPr>
          <w:lang w:eastAsia="zh-TW"/>
        </w:rPr>
        <w:t>7.3.1.9</w:t>
      </w:r>
      <w:r w:rsidR="00BD151C">
        <w:rPr>
          <w:lang w:eastAsia="zh-TW"/>
        </w:rPr>
        <w:fldChar w:fldCharType="end"/>
      </w:r>
      <w:r>
        <w:rPr>
          <w:lang w:eastAsia="zh-TW"/>
        </w:rPr>
        <w:t>.</w:t>
      </w:r>
    </w:p>
    <w:p w:rsidR="00616EEA" w:rsidRDefault="00616EEA" w:rsidP="00616EEA">
      <w:pPr>
        <w:rPr>
          <w:lang w:eastAsia="zh-TW"/>
        </w:rPr>
      </w:pPr>
    </w:p>
    <w:p w:rsidR="00616EEA" w:rsidRDefault="00616EEA" w:rsidP="00616EEA">
      <w:pPr>
        <w:rPr>
          <w:lang w:eastAsia="zh-TW"/>
        </w:rPr>
      </w:pPr>
      <w:r w:rsidRPr="00616EEA">
        <w:rPr>
          <w:lang w:eastAsia="zh-TW"/>
        </w:rPr>
        <w:t>The Relay operation type field is defined in</w:t>
      </w:r>
      <w:r>
        <w:rPr>
          <w:lang w:eastAsia="zh-TW"/>
        </w:rPr>
        <w:t xml:space="preserve"> </w:t>
      </w:r>
      <w:r w:rsidR="00BD151C">
        <w:rPr>
          <w:lang w:eastAsia="zh-TW"/>
        </w:rPr>
        <w:fldChar w:fldCharType="begin"/>
      </w:r>
      <w:r>
        <w:rPr>
          <w:lang w:eastAsia="zh-TW"/>
        </w:rPr>
        <w:instrText xml:space="preserve"> REF _Ref259714775 \r \h </w:instrText>
      </w:r>
      <w:r w:rsidR="00BD151C">
        <w:rPr>
          <w:lang w:eastAsia="zh-TW"/>
        </w:rPr>
      </w:r>
      <w:r w:rsidR="00BD151C">
        <w:rPr>
          <w:lang w:eastAsia="zh-TW"/>
        </w:rPr>
        <w:fldChar w:fldCharType="separate"/>
      </w:r>
      <w:r w:rsidR="003E4210">
        <w:rPr>
          <w:lang w:eastAsia="zh-TW"/>
        </w:rPr>
        <w:t>7.4.13.27</w:t>
      </w:r>
      <w:r w:rsidR="00BD151C">
        <w:rPr>
          <w:lang w:eastAsia="zh-TW"/>
        </w:rPr>
        <w:fldChar w:fldCharType="end"/>
      </w:r>
      <w:r w:rsidRPr="00616EEA">
        <w:rPr>
          <w:lang w:eastAsia="zh-TW"/>
        </w:rPr>
        <w:t>.</w:t>
      </w:r>
      <w:r>
        <w:rPr>
          <w:lang w:eastAsia="zh-TW"/>
        </w:rPr>
        <w:t xml:space="preserve"> The</w:t>
      </w:r>
      <w:r w:rsidRPr="00616EEA">
        <w:rPr>
          <w:lang w:eastAsia="zh-TW"/>
        </w:rPr>
        <w:t xml:space="preserve"> </w:t>
      </w:r>
      <w:r>
        <w:rPr>
          <w:lang w:eastAsia="zh-TW"/>
        </w:rPr>
        <w:t>value</w:t>
      </w:r>
      <w:r w:rsidRPr="00616EEA">
        <w:rPr>
          <w:lang w:eastAsia="zh-TW"/>
        </w:rPr>
        <w:t xml:space="preserve"> of this field is copied from the ROC Request frame that generated this response.</w:t>
      </w:r>
    </w:p>
    <w:p w:rsidR="00616EEA" w:rsidRPr="00616EEA" w:rsidRDefault="00616EEA" w:rsidP="00616EEA">
      <w:pPr>
        <w:rPr>
          <w:lang w:eastAsia="zh-TW"/>
        </w:rPr>
      </w:pPr>
    </w:p>
    <w:p w:rsidR="00BE6C3B" w:rsidRPr="00D96DEA" w:rsidRDefault="00BE6C3B" w:rsidP="003701DB">
      <w:pPr>
        <w:pStyle w:val="Heading3"/>
        <w:numPr>
          <w:ilvl w:val="2"/>
          <w:numId w:val="27"/>
        </w:numPr>
      </w:pPr>
      <w:bookmarkStart w:id="945" w:name="_Ref243795582"/>
      <w:bookmarkStart w:id="946" w:name="_Toc259716998"/>
      <w:r w:rsidRPr="00D96DEA">
        <w:t>FST Action frame details</w:t>
      </w:r>
      <w:bookmarkEnd w:id="945"/>
      <w:bookmarkEnd w:id="946"/>
    </w:p>
    <w:p w:rsidR="00BE6C3B" w:rsidRPr="009B13F7" w:rsidRDefault="00BE6C3B" w:rsidP="003701DB">
      <w:pPr>
        <w:pStyle w:val="Heading4"/>
        <w:numPr>
          <w:ilvl w:val="3"/>
          <w:numId w:val="27"/>
        </w:numPr>
      </w:pPr>
      <w:bookmarkStart w:id="947" w:name="_Toc259716999"/>
      <w:r w:rsidRPr="009B13F7">
        <w:t>FST Action field</w:t>
      </w:r>
      <w:bookmarkEnd w:id="947"/>
    </w:p>
    <w:p w:rsidR="00BE6C3B" w:rsidRPr="009B13F7" w:rsidRDefault="00BE6C3B" w:rsidP="00BE6C3B">
      <w:r w:rsidRPr="009B13F7">
        <w:t xml:space="preserve">The FST Action field values are defined in </w:t>
      </w:r>
      <w:fldSimple w:instr=" REF _Ref229475382 \h  \* MERGEFORMAT ">
        <w:r w:rsidR="003E4210" w:rsidRPr="009B13F7">
          <w:t xml:space="preserve">Table </w:t>
        </w:r>
        <w:r w:rsidR="003E4210">
          <w:rPr>
            <w:noProof/>
          </w:rPr>
          <w:t>51</w:t>
        </w:r>
      </w:fldSimple>
      <w:r w:rsidRPr="009B13F7">
        <w:t>.</w:t>
      </w:r>
    </w:p>
    <w:p w:rsidR="00BE6C3B" w:rsidRPr="009B13F7" w:rsidRDefault="00BE6C3B" w:rsidP="00BE6C3B"/>
    <w:p w:rsidR="00BE6C3B" w:rsidRPr="009B13F7" w:rsidRDefault="00BE6C3B" w:rsidP="00BA5BC4">
      <w:pPr>
        <w:pStyle w:val="Caption"/>
      </w:pPr>
      <w:bookmarkStart w:id="948" w:name="_Ref229475382"/>
      <w:bookmarkStart w:id="949" w:name="_Toc250654435"/>
      <w:bookmarkStart w:id="950" w:name="_Toc259717629"/>
      <w:r w:rsidRPr="009B13F7">
        <w:t xml:space="preserve">Table </w:t>
      </w:r>
      <w:r w:rsidR="00BD151C">
        <w:fldChar w:fldCharType="begin"/>
      </w:r>
      <w:r w:rsidR="00801316">
        <w:instrText xml:space="preserve"> SEQ Table \* ARABIC </w:instrText>
      </w:r>
      <w:r w:rsidR="00BD151C">
        <w:fldChar w:fldCharType="separate"/>
      </w:r>
      <w:r w:rsidR="003E4210">
        <w:rPr>
          <w:noProof/>
        </w:rPr>
        <w:t>51</w:t>
      </w:r>
      <w:r w:rsidR="00BD151C">
        <w:fldChar w:fldCharType="end"/>
      </w:r>
      <w:bookmarkEnd w:id="948"/>
      <w:r w:rsidRPr="009B13F7">
        <w:t xml:space="preserve"> – FST Action field values</w:t>
      </w:r>
      <w:bookmarkEnd w:id="949"/>
      <w:bookmarkEnd w:id="9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2217"/>
      </w:tblGrid>
      <w:tr w:rsidR="00BE6C3B" w:rsidRPr="009B13F7" w:rsidTr="009B13F7">
        <w:trPr>
          <w:jc w:val="center"/>
        </w:trPr>
        <w:tc>
          <w:tcPr>
            <w:tcW w:w="0" w:type="auto"/>
          </w:tcPr>
          <w:p w:rsidR="00BE6C3B" w:rsidRPr="009B13F7" w:rsidRDefault="00BE6C3B" w:rsidP="00D0037C">
            <w:pPr>
              <w:jc w:val="center"/>
              <w:rPr>
                <w:rFonts w:eastAsia="SimSun"/>
                <w:b/>
              </w:rPr>
            </w:pPr>
            <w:r w:rsidRPr="009B13F7">
              <w:rPr>
                <w:rFonts w:eastAsia="SimSun"/>
                <w:b/>
              </w:rPr>
              <w:t>Action field value</w:t>
            </w:r>
          </w:p>
        </w:tc>
        <w:tc>
          <w:tcPr>
            <w:tcW w:w="0" w:type="auto"/>
          </w:tcPr>
          <w:p w:rsidR="00BE6C3B" w:rsidRPr="009B13F7" w:rsidRDefault="00BE6C3B" w:rsidP="00D0037C">
            <w:pPr>
              <w:jc w:val="center"/>
              <w:rPr>
                <w:rFonts w:eastAsia="SimSun"/>
                <w:b/>
              </w:rPr>
            </w:pPr>
            <w:r w:rsidRPr="009B13F7">
              <w:rPr>
                <w:rFonts w:eastAsia="SimSun"/>
                <w:b/>
              </w:rPr>
              <w:t>Meaning</w:t>
            </w:r>
          </w:p>
        </w:tc>
      </w:tr>
      <w:tr w:rsidR="00BE6C3B" w:rsidRPr="009B13F7" w:rsidTr="009B13F7">
        <w:trPr>
          <w:jc w:val="center"/>
        </w:trPr>
        <w:tc>
          <w:tcPr>
            <w:tcW w:w="0" w:type="auto"/>
          </w:tcPr>
          <w:p w:rsidR="00BE6C3B" w:rsidRPr="009B13F7" w:rsidRDefault="00BE6C3B" w:rsidP="00D0037C">
            <w:pPr>
              <w:jc w:val="center"/>
              <w:rPr>
                <w:rFonts w:eastAsia="SimSun"/>
              </w:rPr>
            </w:pPr>
            <w:r w:rsidRPr="009B13F7">
              <w:rPr>
                <w:rFonts w:eastAsia="SimSun"/>
              </w:rPr>
              <w:t>1</w:t>
            </w:r>
          </w:p>
        </w:tc>
        <w:tc>
          <w:tcPr>
            <w:tcW w:w="0" w:type="auto"/>
          </w:tcPr>
          <w:p w:rsidR="00BE6C3B" w:rsidRPr="009B13F7" w:rsidRDefault="00BE6C3B" w:rsidP="00D0037C">
            <w:pPr>
              <w:jc w:val="both"/>
              <w:rPr>
                <w:rFonts w:eastAsia="SimSun"/>
              </w:rPr>
            </w:pPr>
            <w:r w:rsidRPr="009B13F7">
              <w:rPr>
                <w:rFonts w:eastAsia="SimSun"/>
              </w:rPr>
              <w:t>FST Setup Request</w:t>
            </w:r>
          </w:p>
        </w:tc>
      </w:tr>
      <w:tr w:rsidR="00BE6C3B" w:rsidRPr="009B13F7" w:rsidTr="009B13F7">
        <w:trPr>
          <w:jc w:val="center"/>
        </w:trPr>
        <w:tc>
          <w:tcPr>
            <w:tcW w:w="0" w:type="auto"/>
          </w:tcPr>
          <w:p w:rsidR="00BE6C3B" w:rsidRPr="009B13F7" w:rsidRDefault="00BE6C3B" w:rsidP="00D0037C">
            <w:pPr>
              <w:jc w:val="center"/>
              <w:rPr>
                <w:rFonts w:eastAsia="SimSun"/>
              </w:rPr>
            </w:pPr>
            <w:r w:rsidRPr="009B13F7">
              <w:rPr>
                <w:rFonts w:eastAsia="SimSun"/>
              </w:rPr>
              <w:t>2</w:t>
            </w:r>
          </w:p>
        </w:tc>
        <w:tc>
          <w:tcPr>
            <w:tcW w:w="0" w:type="auto"/>
          </w:tcPr>
          <w:p w:rsidR="00BE6C3B" w:rsidRPr="009B13F7" w:rsidRDefault="00BE6C3B" w:rsidP="00D0037C">
            <w:pPr>
              <w:jc w:val="both"/>
              <w:rPr>
                <w:rFonts w:eastAsia="SimSun"/>
              </w:rPr>
            </w:pPr>
            <w:r w:rsidRPr="009B13F7">
              <w:rPr>
                <w:rFonts w:eastAsia="SimSun"/>
              </w:rPr>
              <w:t>FST Setup Response</w:t>
            </w:r>
          </w:p>
        </w:tc>
      </w:tr>
      <w:tr w:rsidR="00BE6C3B" w:rsidRPr="009B13F7" w:rsidTr="00D0037C">
        <w:trPr>
          <w:jc w:val="center"/>
        </w:trPr>
        <w:tc>
          <w:tcPr>
            <w:tcW w:w="0" w:type="auto"/>
          </w:tcPr>
          <w:p w:rsidR="00BE6C3B" w:rsidRPr="009B13F7" w:rsidRDefault="00BE6C3B" w:rsidP="00D0037C">
            <w:pPr>
              <w:jc w:val="center"/>
              <w:rPr>
                <w:rFonts w:eastAsia="SimSun"/>
              </w:rPr>
            </w:pPr>
            <w:r w:rsidRPr="009B13F7">
              <w:rPr>
                <w:rFonts w:eastAsia="SimSun"/>
              </w:rPr>
              <w:t>3</w:t>
            </w:r>
          </w:p>
        </w:tc>
        <w:tc>
          <w:tcPr>
            <w:tcW w:w="0" w:type="auto"/>
          </w:tcPr>
          <w:p w:rsidR="00BE6C3B" w:rsidRPr="009B13F7" w:rsidRDefault="00BE6C3B" w:rsidP="00D0037C">
            <w:pPr>
              <w:jc w:val="both"/>
              <w:rPr>
                <w:rFonts w:eastAsia="SimSun"/>
              </w:rPr>
            </w:pPr>
            <w:r w:rsidRPr="009B13F7">
              <w:rPr>
                <w:rFonts w:eastAsia="SimSun"/>
              </w:rPr>
              <w:t>FST Tear-down</w:t>
            </w:r>
          </w:p>
        </w:tc>
      </w:tr>
      <w:tr w:rsidR="005C3E7D" w:rsidRPr="009B13F7" w:rsidTr="00AA4A31">
        <w:trPr>
          <w:jc w:val="center"/>
        </w:trPr>
        <w:tc>
          <w:tcPr>
            <w:tcW w:w="0" w:type="auto"/>
          </w:tcPr>
          <w:p w:rsidR="005C3E7D" w:rsidRPr="009B13F7" w:rsidRDefault="005C3E7D" w:rsidP="00AA4A31">
            <w:pPr>
              <w:jc w:val="center"/>
              <w:rPr>
                <w:rFonts w:eastAsia="SimSun"/>
              </w:rPr>
            </w:pPr>
            <w:r w:rsidRPr="009B13F7">
              <w:rPr>
                <w:rFonts w:eastAsia="SimSun"/>
              </w:rPr>
              <w:t>4</w:t>
            </w:r>
          </w:p>
        </w:tc>
        <w:tc>
          <w:tcPr>
            <w:tcW w:w="0" w:type="auto"/>
          </w:tcPr>
          <w:p w:rsidR="005C3E7D" w:rsidRPr="009B13F7" w:rsidRDefault="005C3E7D" w:rsidP="00AA4A31">
            <w:pPr>
              <w:jc w:val="both"/>
              <w:rPr>
                <w:rFonts w:eastAsia="SimSun"/>
              </w:rPr>
            </w:pPr>
            <w:r w:rsidRPr="009B13F7">
              <w:rPr>
                <w:iCs/>
              </w:rPr>
              <w:t xml:space="preserve">FST Ack Request </w:t>
            </w:r>
          </w:p>
        </w:tc>
      </w:tr>
      <w:tr w:rsidR="005C3E7D" w:rsidRPr="00F66519" w:rsidTr="00D0037C">
        <w:trPr>
          <w:jc w:val="center"/>
        </w:trPr>
        <w:tc>
          <w:tcPr>
            <w:tcW w:w="0" w:type="auto"/>
          </w:tcPr>
          <w:p w:rsidR="005C3E7D" w:rsidRPr="00F66519" w:rsidRDefault="005C3E7D" w:rsidP="00D0037C">
            <w:pPr>
              <w:jc w:val="center"/>
              <w:rPr>
                <w:rFonts w:eastAsia="SimSun"/>
              </w:rPr>
            </w:pPr>
            <w:r w:rsidRPr="00F66519">
              <w:rPr>
                <w:rFonts w:eastAsia="SimSun"/>
              </w:rPr>
              <w:t>5</w:t>
            </w:r>
          </w:p>
        </w:tc>
        <w:tc>
          <w:tcPr>
            <w:tcW w:w="0" w:type="auto"/>
          </w:tcPr>
          <w:p w:rsidR="005C3E7D" w:rsidRPr="00F66519" w:rsidRDefault="005C3E7D" w:rsidP="00D0037C">
            <w:pPr>
              <w:jc w:val="both"/>
              <w:rPr>
                <w:rFonts w:eastAsia="SimSun"/>
              </w:rPr>
            </w:pPr>
            <w:r w:rsidRPr="00F66519">
              <w:rPr>
                <w:iCs/>
              </w:rPr>
              <w:t xml:space="preserve">FST Ack Response </w:t>
            </w:r>
          </w:p>
        </w:tc>
      </w:tr>
    </w:tbl>
    <w:p w:rsidR="00BE6C3B" w:rsidRPr="00F66519" w:rsidRDefault="00BE6C3B" w:rsidP="00BE6C3B"/>
    <w:p w:rsidR="00BE6C3B" w:rsidRPr="00F66519" w:rsidRDefault="00BE6C3B" w:rsidP="003701DB">
      <w:pPr>
        <w:pStyle w:val="Heading4"/>
        <w:numPr>
          <w:ilvl w:val="3"/>
          <w:numId w:val="27"/>
        </w:numPr>
      </w:pPr>
      <w:bookmarkStart w:id="951" w:name="_Ref246415003"/>
      <w:bookmarkStart w:id="952" w:name="_Toc259717000"/>
      <w:r w:rsidRPr="00F66519">
        <w:t xml:space="preserve">FST Setup </w:t>
      </w:r>
      <w:r w:rsidRPr="00964D2B">
        <w:t>Request</w:t>
      </w:r>
      <w:bookmarkEnd w:id="951"/>
      <w:bookmarkEnd w:id="952"/>
      <w:r w:rsidR="00C55B5E" w:rsidRPr="00964D2B">
        <w:t xml:space="preserve"> </w:t>
      </w:r>
    </w:p>
    <w:p w:rsidR="00BE6C3B" w:rsidRPr="00F66519" w:rsidRDefault="00BE6C3B" w:rsidP="00BE6C3B">
      <w:pPr>
        <w:jc w:val="both"/>
      </w:pPr>
      <w:r w:rsidRPr="00F66519">
        <w:t xml:space="preserve">The FST Setup Request frame is an Action frame of category FST. The FST Setup Request frame allows an initiating STA to announce to other peer STA whether it intends to enable FST for the session between the source STA and the peer </w:t>
      </w:r>
      <w:r w:rsidRPr="00D51D79">
        <w:t>STA</w:t>
      </w:r>
      <w:r w:rsidR="005C731D" w:rsidRPr="00D51D79">
        <w:t xml:space="preserve"> </w:t>
      </w:r>
      <w:r w:rsidR="00D933A6">
        <w:t>(</w:t>
      </w:r>
      <w:r w:rsidR="00BD151C" w:rsidRPr="00D51D79">
        <w:fldChar w:fldCharType="begin"/>
      </w:r>
      <w:r w:rsidR="005C731D" w:rsidRPr="00D51D79">
        <w:instrText xml:space="preserve"> REF _Ref246664738 \r \h </w:instrText>
      </w:r>
      <w:r w:rsidR="00BD151C" w:rsidRPr="00D51D79">
        <w:fldChar w:fldCharType="separate"/>
      </w:r>
      <w:r w:rsidR="003E4210">
        <w:t>011.34</w:t>
      </w:r>
      <w:r w:rsidR="00BD151C" w:rsidRPr="00D51D79">
        <w:fldChar w:fldCharType="end"/>
      </w:r>
      <w:r w:rsidR="005C731D" w:rsidRPr="00D51D79">
        <w:t>)</w:t>
      </w:r>
      <w:r w:rsidRPr="00D51D79">
        <w:t>. The</w:t>
      </w:r>
      <w:r w:rsidRPr="00F66519">
        <w:t xml:space="preserve"> format of the FST Setup Request is shown in</w:t>
      </w:r>
      <w:r w:rsidR="00684638" w:rsidRPr="00F66519">
        <w:t xml:space="preserve"> </w:t>
      </w:r>
      <w:fldSimple w:instr=" REF _Ref244142322 \h  \* MERGEFORMAT ">
        <w:r w:rsidR="003E4210" w:rsidRPr="00066F65">
          <w:t xml:space="preserve">Table </w:t>
        </w:r>
        <w:r w:rsidR="003E4210">
          <w:rPr>
            <w:noProof/>
          </w:rPr>
          <w:t>52</w:t>
        </w:r>
      </w:fldSimple>
      <w:r w:rsidRPr="00D51D79">
        <w:t>.</w:t>
      </w:r>
    </w:p>
    <w:p w:rsidR="00BE6C3B" w:rsidRPr="00F66519" w:rsidRDefault="00BE6C3B" w:rsidP="00BE6C3B"/>
    <w:p w:rsidR="00BE6C3B" w:rsidRPr="00066F65" w:rsidRDefault="00BE6C3B" w:rsidP="00F66519">
      <w:pPr>
        <w:pStyle w:val="Caption"/>
        <w:keepNext/>
      </w:pPr>
      <w:bookmarkStart w:id="953" w:name="_Ref244142322"/>
      <w:bookmarkStart w:id="954" w:name="_Toc250654436"/>
      <w:bookmarkStart w:id="955" w:name="_Toc259717630"/>
      <w:r w:rsidRPr="00066F65">
        <w:t xml:space="preserve">Table </w:t>
      </w:r>
      <w:r w:rsidR="00BD151C">
        <w:fldChar w:fldCharType="begin"/>
      </w:r>
      <w:r w:rsidR="00801316">
        <w:instrText xml:space="preserve"> SEQ Table \* ARABIC </w:instrText>
      </w:r>
      <w:r w:rsidR="00BD151C">
        <w:fldChar w:fldCharType="separate"/>
      </w:r>
      <w:r w:rsidR="003E4210">
        <w:rPr>
          <w:noProof/>
        </w:rPr>
        <w:t>52</w:t>
      </w:r>
      <w:r w:rsidR="00BD151C">
        <w:fldChar w:fldCharType="end"/>
      </w:r>
      <w:bookmarkEnd w:id="953"/>
      <w:r w:rsidRPr="00066F65">
        <w:t xml:space="preserve"> – FST Setup Request frame</w:t>
      </w:r>
      <w:bookmarkEnd w:id="954"/>
      <w:bookmarkEnd w:id="9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17420E" w:rsidTr="00AA4A31">
        <w:trPr>
          <w:jc w:val="center"/>
        </w:trPr>
        <w:tc>
          <w:tcPr>
            <w:tcW w:w="1035" w:type="dxa"/>
          </w:tcPr>
          <w:p w:rsidR="0017420E" w:rsidRPr="00D0037C" w:rsidRDefault="0017420E" w:rsidP="00AA4A31">
            <w:pPr>
              <w:jc w:val="both"/>
              <w:rPr>
                <w:rFonts w:eastAsia="SimSun"/>
                <w:b/>
                <w:bCs/>
              </w:rPr>
            </w:pPr>
            <w:r w:rsidRPr="00D0037C">
              <w:rPr>
                <w:rFonts w:eastAsia="SimSun"/>
                <w:b/>
                <w:bCs/>
              </w:rPr>
              <w:t xml:space="preserve">Order </w:t>
            </w:r>
          </w:p>
        </w:tc>
        <w:tc>
          <w:tcPr>
            <w:tcW w:w="4788" w:type="dxa"/>
          </w:tcPr>
          <w:p w:rsidR="0017420E" w:rsidRPr="00D0037C" w:rsidRDefault="0017420E" w:rsidP="00AA4A31">
            <w:pPr>
              <w:jc w:val="both"/>
              <w:rPr>
                <w:rFonts w:eastAsia="SimSun"/>
                <w:b/>
                <w:bCs/>
              </w:rPr>
            </w:pPr>
            <w:r w:rsidRPr="00D0037C">
              <w:rPr>
                <w:rFonts w:eastAsia="SimSun"/>
                <w:b/>
                <w:bCs/>
              </w:rPr>
              <w:t>Information</w:t>
            </w:r>
          </w:p>
        </w:tc>
      </w:tr>
      <w:tr w:rsidR="0017420E" w:rsidTr="00AA4A31">
        <w:trPr>
          <w:jc w:val="center"/>
        </w:trPr>
        <w:tc>
          <w:tcPr>
            <w:tcW w:w="1035" w:type="dxa"/>
          </w:tcPr>
          <w:p w:rsidR="0017420E" w:rsidRPr="00D0037C" w:rsidRDefault="0017420E" w:rsidP="00AA4A31">
            <w:pPr>
              <w:jc w:val="center"/>
              <w:rPr>
                <w:rFonts w:eastAsia="SimSun"/>
              </w:rPr>
            </w:pPr>
            <w:r w:rsidRPr="00D0037C">
              <w:rPr>
                <w:rFonts w:eastAsia="SimSun"/>
              </w:rPr>
              <w:t>1</w:t>
            </w:r>
          </w:p>
        </w:tc>
        <w:tc>
          <w:tcPr>
            <w:tcW w:w="4788" w:type="dxa"/>
          </w:tcPr>
          <w:p w:rsidR="0017420E" w:rsidRPr="00D0037C" w:rsidRDefault="0017420E" w:rsidP="00AA4A31">
            <w:pPr>
              <w:jc w:val="both"/>
              <w:rPr>
                <w:rFonts w:eastAsia="SimSun"/>
              </w:rPr>
            </w:pPr>
            <w:r w:rsidRPr="00D0037C">
              <w:rPr>
                <w:rFonts w:eastAsia="SimSun"/>
              </w:rPr>
              <w:t>Category</w:t>
            </w:r>
          </w:p>
        </w:tc>
      </w:tr>
      <w:tr w:rsidR="0017420E" w:rsidTr="00AA4A31">
        <w:trPr>
          <w:jc w:val="center"/>
        </w:trPr>
        <w:tc>
          <w:tcPr>
            <w:tcW w:w="1035" w:type="dxa"/>
          </w:tcPr>
          <w:p w:rsidR="0017420E" w:rsidRPr="00D0037C" w:rsidRDefault="0017420E" w:rsidP="00AA4A31">
            <w:pPr>
              <w:jc w:val="center"/>
              <w:rPr>
                <w:rFonts w:eastAsia="SimSun"/>
              </w:rPr>
            </w:pPr>
            <w:r w:rsidRPr="00D0037C">
              <w:rPr>
                <w:rFonts w:eastAsia="SimSun"/>
              </w:rPr>
              <w:t>2</w:t>
            </w:r>
          </w:p>
        </w:tc>
        <w:tc>
          <w:tcPr>
            <w:tcW w:w="4788" w:type="dxa"/>
          </w:tcPr>
          <w:p w:rsidR="0017420E" w:rsidRPr="00D0037C" w:rsidRDefault="0017420E" w:rsidP="00AA4A31">
            <w:pPr>
              <w:jc w:val="both"/>
              <w:rPr>
                <w:rFonts w:eastAsia="SimSun"/>
              </w:rPr>
            </w:pPr>
            <w:r w:rsidRPr="00D0037C">
              <w:rPr>
                <w:rFonts w:eastAsia="SimSun"/>
              </w:rPr>
              <w:t>Action</w:t>
            </w:r>
          </w:p>
        </w:tc>
      </w:tr>
      <w:tr w:rsidR="0017420E" w:rsidTr="00AA4A31">
        <w:trPr>
          <w:jc w:val="center"/>
        </w:trPr>
        <w:tc>
          <w:tcPr>
            <w:tcW w:w="1035" w:type="dxa"/>
          </w:tcPr>
          <w:p w:rsidR="0017420E" w:rsidRPr="00D0037C" w:rsidRDefault="0017420E" w:rsidP="00AA4A31">
            <w:pPr>
              <w:jc w:val="center"/>
              <w:rPr>
                <w:rFonts w:eastAsia="SimSun"/>
              </w:rPr>
            </w:pPr>
            <w:r w:rsidRPr="00D0037C">
              <w:rPr>
                <w:rFonts w:eastAsia="SimSun"/>
              </w:rPr>
              <w:t>3</w:t>
            </w:r>
          </w:p>
        </w:tc>
        <w:tc>
          <w:tcPr>
            <w:tcW w:w="4788" w:type="dxa"/>
          </w:tcPr>
          <w:p w:rsidR="0017420E" w:rsidRPr="00D0037C" w:rsidRDefault="0017420E" w:rsidP="00AA4A31">
            <w:pPr>
              <w:jc w:val="both"/>
              <w:rPr>
                <w:rFonts w:eastAsia="SimSun"/>
              </w:rPr>
            </w:pPr>
            <w:r w:rsidRPr="00D0037C">
              <w:rPr>
                <w:rFonts w:eastAsia="SimSun"/>
              </w:rPr>
              <w:t>LLT</w:t>
            </w:r>
          </w:p>
        </w:tc>
      </w:tr>
      <w:tr w:rsidR="0017420E" w:rsidTr="00AA4A31">
        <w:trPr>
          <w:jc w:val="center"/>
        </w:trPr>
        <w:tc>
          <w:tcPr>
            <w:tcW w:w="1035" w:type="dxa"/>
          </w:tcPr>
          <w:p w:rsidR="0017420E" w:rsidRPr="00D0037C" w:rsidRDefault="0017420E" w:rsidP="00AA4A31">
            <w:pPr>
              <w:jc w:val="center"/>
              <w:rPr>
                <w:rFonts w:eastAsia="SimSun"/>
              </w:rPr>
            </w:pPr>
            <w:r>
              <w:rPr>
                <w:rFonts w:eastAsia="SimSun"/>
              </w:rPr>
              <w:t>4</w:t>
            </w:r>
          </w:p>
        </w:tc>
        <w:tc>
          <w:tcPr>
            <w:tcW w:w="4788" w:type="dxa"/>
          </w:tcPr>
          <w:p w:rsidR="0017420E" w:rsidRPr="00D0037C" w:rsidRDefault="0017420E" w:rsidP="00AA4A31">
            <w:pPr>
              <w:jc w:val="both"/>
              <w:rPr>
                <w:rFonts w:eastAsia="SimSun"/>
              </w:rPr>
            </w:pPr>
            <w:r>
              <w:rPr>
                <w:rFonts w:eastAsia="SimSun"/>
              </w:rPr>
              <w:t>Session Transition</w:t>
            </w:r>
          </w:p>
        </w:tc>
      </w:tr>
      <w:tr w:rsidR="0017420E" w:rsidTr="00AA4A31">
        <w:trPr>
          <w:jc w:val="center"/>
        </w:trPr>
        <w:tc>
          <w:tcPr>
            <w:tcW w:w="1035" w:type="dxa"/>
          </w:tcPr>
          <w:p w:rsidR="0017420E" w:rsidRPr="00D0037C" w:rsidRDefault="0017420E" w:rsidP="00AA4A31">
            <w:pPr>
              <w:jc w:val="center"/>
              <w:rPr>
                <w:rFonts w:eastAsia="SimSun"/>
              </w:rPr>
            </w:pPr>
            <w:r>
              <w:rPr>
                <w:rFonts w:eastAsia="SimSun"/>
              </w:rPr>
              <w:t>5</w:t>
            </w:r>
          </w:p>
        </w:tc>
        <w:tc>
          <w:tcPr>
            <w:tcW w:w="4788" w:type="dxa"/>
          </w:tcPr>
          <w:p w:rsidR="0017420E" w:rsidRPr="00D0037C" w:rsidRDefault="0017420E" w:rsidP="00AA4A31">
            <w:pPr>
              <w:jc w:val="both"/>
              <w:rPr>
                <w:rFonts w:eastAsia="SimSun"/>
              </w:rPr>
            </w:pPr>
            <w:r w:rsidRPr="00D0037C">
              <w:rPr>
                <w:rFonts w:eastAsia="SimSun"/>
              </w:rPr>
              <w:t>Multi-band</w:t>
            </w:r>
            <w:r>
              <w:rPr>
                <w:rFonts w:eastAsia="SimSun"/>
              </w:rPr>
              <w:t xml:space="preserve"> (optional)</w:t>
            </w:r>
          </w:p>
        </w:tc>
      </w:tr>
      <w:tr w:rsidR="0017420E" w:rsidTr="00AA4A31">
        <w:trPr>
          <w:jc w:val="center"/>
        </w:trPr>
        <w:tc>
          <w:tcPr>
            <w:tcW w:w="1035" w:type="dxa"/>
          </w:tcPr>
          <w:p w:rsidR="0017420E" w:rsidRDefault="0017420E" w:rsidP="00AA4A31">
            <w:pPr>
              <w:jc w:val="center"/>
              <w:rPr>
                <w:rFonts w:eastAsia="SimSun"/>
              </w:rPr>
            </w:pPr>
            <w:r>
              <w:rPr>
                <w:rFonts w:eastAsia="SimSun"/>
              </w:rPr>
              <w:t>6</w:t>
            </w:r>
          </w:p>
        </w:tc>
        <w:tc>
          <w:tcPr>
            <w:tcW w:w="4788" w:type="dxa"/>
          </w:tcPr>
          <w:p w:rsidR="0017420E" w:rsidRPr="00D0037C" w:rsidRDefault="0017420E" w:rsidP="00AA4A31">
            <w:pPr>
              <w:jc w:val="both"/>
              <w:rPr>
                <w:rFonts w:eastAsia="SimSun"/>
              </w:rPr>
            </w:pPr>
            <w:r w:rsidRPr="00D0037C">
              <w:rPr>
                <w:rFonts w:eastAsia="SimSun"/>
              </w:rPr>
              <w:t xml:space="preserve">Wakeup Schedule (optional) </w:t>
            </w:r>
          </w:p>
        </w:tc>
      </w:tr>
      <w:tr w:rsidR="0017420E" w:rsidTr="00AA4A31">
        <w:trPr>
          <w:jc w:val="center"/>
        </w:trPr>
        <w:tc>
          <w:tcPr>
            <w:tcW w:w="1035" w:type="dxa"/>
          </w:tcPr>
          <w:p w:rsidR="0017420E" w:rsidRDefault="0017420E" w:rsidP="00AA4A31">
            <w:pPr>
              <w:jc w:val="center"/>
              <w:rPr>
                <w:rFonts w:eastAsia="SimSun"/>
              </w:rPr>
            </w:pPr>
            <w:r>
              <w:rPr>
                <w:rFonts w:eastAsia="SimSun"/>
              </w:rPr>
              <w:t>7</w:t>
            </w:r>
          </w:p>
        </w:tc>
        <w:tc>
          <w:tcPr>
            <w:tcW w:w="4788" w:type="dxa"/>
          </w:tcPr>
          <w:p w:rsidR="0017420E" w:rsidRPr="00D0037C" w:rsidRDefault="0017420E" w:rsidP="00AA4A31">
            <w:pPr>
              <w:jc w:val="both"/>
              <w:rPr>
                <w:rFonts w:eastAsia="SimSun"/>
              </w:rPr>
            </w:pPr>
            <w:r w:rsidRPr="00D0037C">
              <w:rPr>
                <w:rFonts w:eastAsia="SimSun"/>
              </w:rPr>
              <w:t xml:space="preserve">Awake Window (optional) </w:t>
            </w:r>
          </w:p>
        </w:tc>
      </w:tr>
      <w:tr w:rsidR="0017420E" w:rsidTr="00AA4A31">
        <w:trPr>
          <w:jc w:val="center"/>
        </w:trPr>
        <w:tc>
          <w:tcPr>
            <w:tcW w:w="1035" w:type="dxa"/>
          </w:tcPr>
          <w:p w:rsidR="0017420E" w:rsidRDefault="0017420E" w:rsidP="00AA4A31">
            <w:pPr>
              <w:jc w:val="center"/>
              <w:rPr>
                <w:rFonts w:eastAsia="SimSun"/>
              </w:rPr>
            </w:pPr>
            <w:r>
              <w:rPr>
                <w:rFonts w:eastAsia="SimSun"/>
              </w:rPr>
              <w:t>8</w:t>
            </w:r>
          </w:p>
        </w:tc>
        <w:tc>
          <w:tcPr>
            <w:tcW w:w="4788" w:type="dxa"/>
          </w:tcPr>
          <w:p w:rsidR="0017420E" w:rsidRPr="00D0037C" w:rsidRDefault="00D757E8" w:rsidP="00AA4A31">
            <w:pPr>
              <w:jc w:val="both"/>
              <w:rPr>
                <w:rFonts w:eastAsia="SimSun"/>
              </w:rPr>
            </w:pPr>
            <w:r>
              <w:rPr>
                <w:rFonts w:eastAsia="SimSun"/>
              </w:rPr>
              <w:t>Switching stream</w:t>
            </w:r>
            <w:r w:rsidR="0017420E">
              <w:rPr>
                <w:rFonts w:eastAsia="SimSun"/>
              </w:rPr>
              <w:t xml:space="preserve"> (optional)</w:t>
            </w:r>
          </w:p>
        </w:tc>
      </w:tr>
      <w:tr w:rsidR="0017420E" w:rsidTr="00AA4A31">
        <w:trPr>
          <w:jc w:val="center"/>
        </w:trPr>
        <w:tc>
          <w:tcPr>
            <w:tcW w:w="1035" w:type="dxa"/>
          </w:tcPr>
          <w:p w:rsidR="0017420E" w:rsidRPr="00D0037C" w:rsidRDefault="0017420E" w:rsidP="00AA4A31">
            <w:pPr>
              <w:spacing w:before="240"/>
              <w:jc w:val="center"/>
              <w:rPr>
                <w:rFonts w:eastAsia="SimSun"/>
              </w:rPr>
            </w:pPr>
            <w:r w:rsidRPr="00D0037C">
              <w:rPr>
                <w:rFonts w:eastAsia="SimSun"/>
              </w:rPr>
              <w:t>Last - 1</w:t>
            </w:r>
          </w:p>
        </w:tc>
        <w:tc>
          <w:tcPr>
            <w:tcW w:w="4788" w:type="dxa"/>
          </w:tcPr>
          <w:p w:rsidR="0017420E" w:rsidRPr="00D0037C" w:rsidRDefault="0017420E" w:rsidP="00045A4E">
            <w:pPr>
              <w:spacing w:before="240"/>
              <w:jc w:val="both"/>
              <w:rPr>
                <w:rFonts w:eastAsia="SimSun"/>
              </w:rPr>
            </w:pPr>
            <w:r w:rsidRPr="00C3271C">
              <w:t xml:space="preserve">One or more </w:t>
            </w:r>
            <w:r w:rsidRPr="00D0037C">
              <w:rPr>
                <w:rFonts w:eastAsia="SimSun"/>
              </w:rPr>
              <w:t xml:space="preserve">resource and/or capability related </w:t>
            </w:r>
            <w:r w:rsidRPr="00C3271C">
              <w:t xml:space="preserve">information elements may appear in this frame. </w:t>
            </w:r>
            <w:r w:rsidRPr="00C3271C">
              <w:lastRenderedPageBreak/>
              <w:t>These information elements follow all other information elements that are not vendor-specific information elements and preced</w:t>
            </w:r>
            <w:r>
              <w:t>e</w:t>
            </w:r>
            <w:r w:rsidRPr="00C3271C">
              <w:t xml:space="preserve"> all other information elements that are vendor-specific information elements that are part of the Last field in the Action frame.</w:t>
            </w:r>
          </w:p>
        </w:tc>
      </w:tr>
    </w:tbl>
    <w:p w:rsidR="0017420E" w:rsidRDefault="0017420E" w:rsidP="0017420E"/>
    <w:p w:rsidR="0017420E" w:rsidRDefault="0017420E" w:rsidP="0017420E">
      <w:r>
        <w:t>The Category field is set to the category for FST.</w:t>
      </w:r>
    </w:p>
    <w:p w:rsidR="0017420E" w:rsidRDefault="0017420E" w:rsidP="0017420E"/>
    <w:p w:rsidR="0017420E" w:rsidRPr="00A51EE4" w:rsidRDefault="0017420E" w:rsidP="0017420E">
      <w:r w:rsidRPr="00A51EE4">
        <w:t>The Action field is set to the value for FST Setup Request.</w:t>
      </w:r>
    </w:p>
    <w:p w:rsidR="0017420E" w:rsidRPr="00A51EE4" w:rsidRDefault="0017420E" w:rsidP="0017420E">
      <w:bookmarkStart w:id="956" w:name="_Ref225320708"/>
    </w:p>
    <w:p w:rsidR="0017420E" w:rsidRDefault="0017420E" w:rsidP="0017420E">
      <w:pPr>
        <w:rPr>
          <w:lang w:eastAsia="ko-KR"/>
        </w:rPr>
      </w:pPr>
      <w:r w:rsidRPr="00A51EE4">
        <w:rPr>
          <w:lang w:eastAsia="ko-KR"/>
        </w:rPr>
        <w:t>The Link loss timeout (LLT) field is 32 bits and indicates the maximum duration of time, in microseconds, counted from the last time an MPDU was received by the source STA from the peer STA until the source STA decides to initiate FST. The use of this field is described in</w:t>
      </w:r>
      <w:r>
        <w:rPr>
          <w:lang w:eastAsia="ko-KR"/>
        </w:rPr>
        <w:t xml:space="preserve"> </w:t>
      </w:r>
      <w:r w:rsidR="00BD151C">
        <w:rPr>
          <w:lang w:eastAsia="ko-KR"/>
        </w:rPr>
        <w:fldChar w:fldCharType="begin"/>
      </w:r>
      <w:r>
        <w:rPr>
          <w:lang w:eastAsia="ko-KR"/>
        </w:rPr>
        <w:instrText xml:space="preserve"> REF _Ref246665776 \n \h </w:instrText>
      </w:r>
      <w:r w:rsidR="00BD151C">
        <w:rPr>
          <w:lang w:eastAsia="ko-KR"/>
        </w:rPr>
      </w:r>
      <w:r w:rsidR="00BD151C">
        <w:rPr>
          <w:lang w:eastAsia="ko-KR"/>
        </w:rPr>
        <w:fldChar w:fldCharType="separate"/>
      </w:r>
      <w:r w:rsidR="003E4210">
        <w:rPr>
          <w:lang w:eastAsia="ko-KR"/>
        </w:rPr>
        <w:t>11.34</w:t>
      </w:r>
      <w:r w:rsidR="00BD151C">
        <w:rPr>
          <w:lang w:eastAsia="ko-KR"/>
        </w:rPr>
        <w:fldChar w:fldCharType="end"/>
      </w:r>
      <w:r>
        <w:rPr>
          <w:lang w:eastAsia="ko-KR"/>
        </w:rPr>
        <w:t>.</w:t>
      </w:r>
    </w:p>
    <w:p w:rsidR="0017420E" w:rsidRDefault="0017420E" w:rsidP="0017420E">
      <w:pPr>
        <w:rPr>
          <w:lang w:eastAsia="ko-KR"/>
        </w:rPr>
      </w:pPr>
    </w:p>
    <w:p w:rsidR="001D266E" w:rsidRPr="00066F65" w:rsidRDefault="0017420E" w:rsidP="001D266E">
      <w:pPr>
        <w:tabs>
          <w:tab w:val="left" w:pos="5505"/>
        </w:tabs>
        <w:rPr>
          <w:u w:val="single"/>
        </w:rPr>
      </w:pPr>
      <w:r>
        <w:t>The Session Transition field contains the Session Transition</w:t>
      </w:r>
      <w:r w:rsidRPr="00A51EE4">
        <w:t xml:space="preserve"> </w:t>
      </w:r>
      <w:r w:rsidR="00045A4E">
        <w:t>element</w:t>
      </w:r>
      <w:r w:rsidRPr="00A51EE4">
        <w:t xml:space="preserve"> as defined in</w:t>
      </w:r>
      <w:r w:rsidR="00080421">
        <w:t xml:space="preserve"> </w:t>
      </w:r>
      <w:r w:rsidR="00BD151C">
        <w:fldChar w:fldCharType="begin"/>
      </w:r>
      <w:r w:rsidR="00080421">
        <w:instrText xml:space="preserve"> REF _Ref251673468 \r \h </w:instrText>
      </w:r>
      <w:r w:rsidR="00BD151C">
        <w:fldChar w:fldCharType="separate"/>
      </w:r>
      <w:r w:rsidR="003E4210">
        <w:t>7.3.2.107</w:t>
      </w:r>
      <w:r w:rsidR="00BD151C">
        <w:fldChar w:fldCharType="end"/>
      </w:r>
      <w:r w:rsidR="005A57B9">
        <w:t>.</w:t>
      </w:r>
      <w:r w:rsidR="001D266E">
        <w:t xml:space="preserve"> </w:t>
      </w:r>
    </w:p>
    <w:p w:rsidR="0017420E" w:rsidRPr="00A51EE4" w:rsidRDefault="0017420E" w:rsidP="00696D99"/>
    <w:bookmarkEnd w:id="956"/>
    <w:p w:rsidR="00BE6C3B" w:rsidRPr="00F66519" w:rsidRDefault="00BE6C3B" w:rsidP="006B5EEA">
      <w:r w:rsidRPr="00F66519">
        <w:t xml:space="preserve">The Multi-band field contains the Multi-Band </w:t>
      </w:r>
      <w:r w:rsidR="006454B5" w:rsidRPr="00F66519">
        <w:t>element</w:t>
      </w:r>
      <w:r w:rsidRPr="00F66519">
        <w:t xml:space="preserve"> as defined in </w:t>
      </w:r>
      <w:fldSimple w:instr=" REF _Ref244234708 \r \h  \* MERGEFORMAT ">
        <w:r w:rsidR="003E4210">
          <w:t>7.3.2.101</w:t>
        </w:r>
      </w:fldSimple>
      <w:r w:rsidRPr="00D96DEA">
        <w:t>.</w:t>
      </w:r>
      <w:r w:rsidR="00017BFE" w:rsidRPr="00F66519">
        <w:t xml:space="preserve"> The regulatory information contained in the Multi-band element is applicable to all the fields and elements contained in the frame.</w:t>
      </w:r>
    </w:p>
    <w:p w:rsidR="00BE6C3B" w:rsidRPr="00066F65" w:rsidRDefault="00BE6C3B" w:rsidP="00BE6C3B">
      <w:pPr>
        <w:rPr>
          <w:u w:val="single"/>
        </w:rPr>
      </w:pPr>
    </w:p>
    <w:p w:rsidR="004D3B79" w:rsidRPr="004216D9" w:rsidRDefault="004D3B79" w:rsidP="004D3B79">
      <w:r w:rsidRPr="004216D9">
        <w:t xml:space="preserve">The Wakeup Schedule element is defined in </w:t>
      </w:r>
      <w:fldSimple w:instr=" REF _Ref244244228 \r \h  \* MERGEFORMAT ">
        <w:r w:rsidR="003E4210">
          <w:t>7.3.2.94</w:t>
        </w:r>
      </w:fldSimple>
      <w:r w:rsidRPr="004216D9">
        <w:t>.</w:t>
      </w:r>
    </w:p>
    <w:p w:rsidR="004D3B79" w:rsidRPr="004216D9" w:rsidRDefault="004D3B79" w:rsidP="004D3B79"/>
    <w:p w:rsidR="004D3B79" w:rsidRPr="004216D9" w:rsidRDefault="004D3B79" w:rsidP="004D3B79">
      <w:r w:rsidRPr="004216D9">
        <w:t xml:space="preserve">The Awake Window element is defiend in </w:t>
      </w:r>
      <w:fldSimple w:instr=" REF _Ref244234956 \r \h  \* MERGEFORMAT ">
        <w:r w:rsidR="003E4210">
          <w:t>7.3.2.100</w:t>
        </w:r>
      </w:fldSimple>
      <w:r w:rsidR="005A57B9">
        <w:t>.</w:t>
      </w:r>
    </w:p>
    <w:p w:rsidR="004D3B79" w:rsidRPr="004216D9" w:rsidRDefault="004D3B79" w:rsidP="005D549D"/>
    <w:p w:rsidR="00017BFE" w:rsidRPr="00F66519" w:rsidRDefault="00017BFE" w:rsidP="005D549D">
      <w:r w:rsidRPr="004216D9">
        <w:t xml:space="preserve">The Switching Stream </w:t>
      </w:r>
      <w:r w:rsidR="006454B5" w:rsidRPr="004216D9">
        <w:t>element</w:t>
      </w:r>
      <w:r w:rsidRPr="004216D9">
        <w:t xml:space="preserve"> </w:t>
      </w:r>
      <w:r w:rsidR="00D757E8">
        <w:t>i</w:t>
      </w:r>
      <w:r w:rsidRPr="004216D9">
        <w:t>s defined in</w:t>
      </w:r>
      <w:r w:rsidR="00080421">
        <w:t xml:space="preserve"> </w:t>
      </w:r>
      <w:r w:rsidR="00BD151C">
        <w:fldChar w:fldCharType="begin"/>
      </w:r>
      <w:r w:rsidR="00080421">
        <w:instrText xml:space="preserve"> REF _Ref251673506 \r \h </w:instrText>
      </w:r>
      <w:r w:rsidR="00BD151C">
        <w:fldChar w:fldCharType="separate"/>
      </w:r>
      <w:r w:rsidR="003E4210">
        <w:t>7.3.2.106</w:t>
      </w:r>
      <w:r w:rsidR="00BD151C">
        <w:fldChar w:fldCharType="end"/>
      </w:r>
      <w:r w:rsidRPr="00F66519">
        <w:t>.</w:t>
      </w:r>
    </w:p>
    <w:p w:rsidR="00BE6C3B" w:rsidRPr="00F66519" w:rsidRDefault="00BE6C3B" w:rsidP="003701DB">
      <w:pPr>
        <w:pStyle w:val="Heading4"/>
        <w:numPr>
          <w:ilvl w:val="3"/>
          <w:numId w:val="27"/>
        </w:numPr>
      </w:pPr>
      <w:bookmarkStart w:id="957" w:name="_Toc259717001"/>
      <w:r w:rsidRPr="00F66519">
        <w:t xml:space="preserve">FST </w:t>
      </w:r>
      <w:r w:rsidRPr="00964D2B">
        <w:t>Setup Response</w:t>
      </w:r>
      <w:bookmarkEnd w:id="957"/>
    </w:p>
    <w:p w:rsidR="00BE6C3B" w:rsidRPr="00F66519" w:rsidRDefault="00BE6C3B" w:rsidP="00B042A7">
      <w:r w:rsidRPr="00F66519">
        <w:t>The FST Setup Response frame is an Action frame of category FST. This frame is transmitted in response to the reception of a FST Setup Request frame. The format of the frame body is shown in</w:t>
      </w:r>
      <w:r w:rsidR="00EE1100" w:rsidRPr="00F66519">
        <w:t xml:space="preserve"> </w:t>
      </w:r>
      <w:r w:rsidR="00BD151C">
        <w:rPr>
          <w:u w:val="single"/>
        </w:rPr>
        <w:fldChar w:fldCharType="begin"/>
      </w:r>
      <w:r w:rsidR="00B042A7">
        <w:instrText xml:space="preserve"> REF _Ref236394558 \h </w:instrText>
      </w:r>
      <w:r w:rsidR="00BD151C">
        <w:rPr>
          <w:u w:val="single"/>
        </w:rPr>
      </w:r>
      <w:r w:rsidR="00BD151C">
        <w:rPr>
          <w:u w:val="single"/>
        </w:rPr>
        <w:fldChar w:fldCharType="separate"/>
      </w:r>
      <w:r w:rsidR="003E4210">
        <w:t xml:space="preserve">Table </w:t>
      </w:r>
      <w:r w:rsidR="003E4210">
        <w:rPr>
          <w:noProof/>
        </w:rPr>
        <w:t>53</w:t>
      </w:r>
      <w:r w:rsidR="00BD151C">
        <w:rPr>
          <w:u w:val="single"/>
        </w:rPr>
        <w:fldChar w:fldCharType="end"/>
      </w:r>
      <w:r w:rsidR="005A57B9" w:rsidRPr="005A57B9">
        <w:t>.</w:t>
      </w:r>
    </w:p>
    <w:p w:rsidR="00BE6C3B" w:rsidRPr="00F66519" w:rsidRDefault="00BE6C3B" w:rsidP="00BE6C3B"/>
    <w:p w:rsidR="002839F3" w:rsidRDefault="00780DCC" w:rsidP="00F66519">
      <w:pPr>
        <w:pStyle w:val="Caption"/>
        <w:keepNext/>
      </w:pPr>
      <w:bookmarkStart w:id="958" w:name="_Ref236394558"/>
      <w:bookmarkStart w:id="959" w:name="_Toc246679984"/>
      <w:bookmarkStart w:id="960" w:name="_Toc250654437"/>
      <w:bookmarkStart w:id="961" w:name="_Toc259717631"/>
      <w:r>
        <w:t xml:space="preserve">Table </w:t>
      </w:r>
      <w:r w:rsidR="00BD151C">
        <w:fldChar w:fldCharType="begin"/>
      </w:r>
      <w:r w:rsidR="00801316">
        <w:instrText xml:space="preserve"> SEQ Table \* ARABIC </w:instrText>
      </w:r>
      <w:r w:rsidR="00BD151C">
        <w:fldChar w:fldCharType="separate"/>
      </w:r>
      <w:r w:rsidR="003E4210">
        <w:rPr>
          <w:noProof/>
        </w:rPr>
        <w:t>53</w:t>
      </w:r>
      <w:r w:rsidR="00BD151C">
        <w:fldChar w:fldCharType="end"/>
      </w:r>
      <w:bookmarkEnd w:id="958"/>
      <w:r w:rsidR="002839F3">
        <w:t xml:space="preserve"> – FST Setup Response frame</w:t>
      </w:r>
      <w:bookmarkEnd w:id="959"/>
      <w:bookmarkEnd w:id="960"/>
      <w:bookmarkEnd w:id="9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4339"/>
        <w:gridCol w:w="4227"/>
      </w:tblGrid>
      <w:tr w:rsidR="002839F3" w:rsidTr="00215C57">
        <w:trPr>
          <w:jc w:val="center"/>
        </w:trPr>
        <w:tc>
          <w:tcPr>
            <w:tcW w:w="1010" w:type="dxa"/>
          </w:tcPr>
          <w:p w:rsidR="002839F3" w:rsidRPr="00D0037C" w:rsidRDefault="002839F3" w:rsidP="00215C57">
            <w:pPr>
              <w:jc w:val="both"/>
              <w:rPr>
                <w:rFonts w:eastAsia="SimSun"/>
                <w:b/>
                <w:bCs/>
              </w:rPr>
            </w:pPr>
            <w:r w:rsidRPr="00D0037C">
              <w:rPr>
                <w:rFonts w:eastAsia="SimSun"/>
                <w:b/>
                <w:bCs/>
              </w:rPr>
              <w:t xml:space="preserve">Order </w:t>
            </w:r>
          </w:p>
        </w:tc>
        <w:tc>
          <w:tcPr>
            <w:tcW w:w="4339" w:type="dxa"/>
          </w:tcPr>
          <w:p w:rsidR="002839F3" w:rsidRPr="00D0037C" w:rsidRDefault="002839F3" w:rsidP="00215C57">
            <w:pPr>
              <w:jc w:val="both"/>
              <w:rPr>
                <w:rFonts w:eastAsia="SimSun"/>
                <w:b/>
                <w:bCs/>
              </w:rPr>
            </w:pPr>
            <w:r w:rsidRPr="00D0037C">
              <w:rPr>
                <w:rFonts w:eastAsia="SimSun"/>
                <w:b/>
                <w:bCs/>
              </w:rPr>
              <w:t>Information</w:t>
            </w:r>
          </w:p>
        </w:tc>
        <w:tc>
          <w:tcPr>
            <w:tcW w:w="4227" w:type="dxa"/>
          </w:tcPr>
          <w:p w:rsidR="002839F3" w:rsidRPr="00D0037C" w:rsidRDefault="002839F3" w:rsidP="00215C57">
            <w:pPr>
              <w:jc w:val="both"/>
              <w:rPr>
                <w:rFonts w:eastAsia="SimSun"/>
                <w:b/>
                <w:bCs/>
              </w:rPr>
            </w:pPr>
            <w:r w:rsidRPr="00D0037C">
              <w:rPr>
                <w:rFonts w:eastAsia="SimSun"/>
                <w:b/>
                <w:bCs/>
              </w:rPr>
              <w:t>Notes</w:t>
            </w:r>
          </w:p>
        </w:tc>
      </w:tr>
      <w:tr w:rsidR="002839F3" w:rsidTr="00215C57">
        <w:trPr>
          <w:jc w:val="center"/>
        </w:trPr>
        <w:tc>
          <w:tcPr>
            <w:tcW w:w="1010" w:type="dxa"/>
          </w:tcPr>
          <w:p w:rsidR="002839F3" w:rsidRPr="00D0037C" w:rsidRDefault="002839F3" w:rsidP="00215C57">
            <w:pPr>
              <w:jc w:val="center"/>
              <w:rPr>
                <w:rFonts w:eastAsia="SimSun"/>
              </w:rPr>
            </w:pPr>
            <w:r w:rsidRPr="00D0037C">
              <w:rPr>
                <w:rFonts w:eastAsia="SimSun"/>
              </w:rPr>
              <w:t>1</w:t>
            </w:r>
          </w:p>
        </w:tc>
        <w:tc>
          <w:tcPr>
            <w:tcW w:w="4339" w:type="dxa"/>
          </w:tcPr>
          <w:p w:rsidR="002839F3" w:rsidRPr="00D0037C" w:rsidRDefault="002839F3" w:rsidP="00215C57">
            <w:pPr>
              <w:jc w:val="both"/>
              <w:rPr>
                <w:rFonts w:eastAsia="SimSun"/>
              </w:rPr>
            </w:pPr>
            <w:r w:rsidRPr="00D0037C">
              <w:rPr>
                <w:rFonts w:eastAsia="SimSun"/>
              </w:rPr>
              <w:t>Category</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jc w:val="center"/>
              <w:rPr>
                <w:rFonts w:eastAsia="SimSun"/>
              </w:rPr>
            </w:pPr>
            <w:r w:rsidRPr="00D0037C">
              <w:rPr>
                <w:rFonts w:eastAsia="SimSun"/>
              </w:rPr>
              <w:t>2</w:t>
            </w:r>
          </w:p>
        </w:tc>
        <w:tc>
          <w:tcPr>
            <w:tcW w:w="4339" w:type="dxa"/>
          </w:tcPr>
          <w:p w:rsidR="002839F3" w:rsidRPr="00D0037C" w:rsidRDefault="002839F3" w:rsidP="00215C57">
            <w:pPr>
              <w:jc w:val="both"/>
              <w:rPr>
                <w:rFonts w:eastAsia="SimSun"/>
              </w:rPr>
            </w:pPr>
            <w:r w:rsidRPr="00D0037C">
              <w:rPr>
                <w:rFonts w:eastAsia="SimSun"/>
              </w:rPr>
              <w:t>Action</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jc w:val="center"/>
              <w:rPr>
                <w:rFonts w:eastAsia="SimSun"/>
              </w:rPr>
            </w:pPr>
            <w:r w:rsidRPr="00D0037C">
              <w:rPr>
                <w:rFonts w:eastAsia="SimSun"/>
              </w:rPr>
              <w:t>3</w:t>
            </w:r>
          </w:p>
        </w:tc>
        <w:tc>
          <w:tcPr>
            <w:tcW w:w="4339" w:type="dxa"/>
          </w:tcPr>
          <w:p w:rsidR="002839F3" w:rsidRPr="00D0037C" w:rsidRDefault="002839F3" w:rsidP="00215C57">
            <w:pPr>
              <w:jc w:val="both"/>
              <w:rPr>
                <w:rFonts w:eastAsia="SimSun"/>
              </w:rPr>
            </w:pPr>
            <w:r w:rsidRPr="00D0037C">
              <w:rPr>
                <w:rFonts w:eastAsia="SimSun"/>
              </w:rPr>
              <w:t>Status Code</w:t>
            </w:r>
          </w:p>
        </w:tc>
        <w:tc>
          <w:tcPr>
            <w:tcW w:w="4227" w:type="dxa"/>
          </w:tcPr>
          <w:p w:rsidR="002839F3" w:rsidRPr="00D0037C" w:rsidRDefault="002839F3" w:rsidP="00215C57">
            <w:pPr>
              <w:jc w:val="both"/>
              <w:rPr>
                <w:rFonts w:eastAsia="SimSun"/>
              </w:rPr>
            </w:pPr>
            <w:r w:rsidRPr="00D0037C">
              <w:rPr>
                <w:rFonts w:eastAsia="SimSun"/>
              </w:rPr>
              <w:t xml:space="preserve">The Status Code is defined in </w:t>
            </w:r>
            <w:r w:rsidR="00BD151C">
              <w:rPr>
                <w:rFonts w:eastAsia="SimSun"/>
              </w:rPr>
              <w:fldChar w:fldCharType="begin"/>
            </w:r>
            <w:r>
              <w:rPr>
                <w:rFonts w:eastAsia="SimSun"/>
              </w:rPr>
              <w:instrText xml:space="preserve"> REF _Ref243729986 \r \h </w:instrText>
            </w:r>
            <w:r w:rsidR="00BD151C">
              <w:rPr>
                <w:rFonts w:eastAsia="SimSun"/>
              </w:rPr>
            </w:r>
            <w:r w:rsidR="00BD151C">
              <w:rPr>
                <w:rFonts w:eastAsia="SimSun"/>
              </w:rPr>
              <w:fldChar w:fldCharType="separate"/>
            </w:r>
            <w:r w:rsidR="003E4210">
              <w:rPr>
                <w:rFonts w:eastAsia="SimSun"/>
              </w:rPr>
              <w:t>7.3.1.9</w:t>
            </w:r>
            <w:r w:rsidR="00BD151C">
              <w:rPr>
                <w:rFonts w:eastAsia="SimSun"/>
              </w:rPr>
              <w:fldChar w:fldCharType="end"/>
            </w:r>
          </w:p>
        </w:tc>
      </w:tr>
      <w:tr w:rsidR="002839F3" w:rsidTr="00215C57">
        <w:trPr>
          <w:jc w:val="center"/>
        </w:trPr>
        <w:tc>
          <w:tcPr>
            <w:tcW w:w="1010" w:type="dxa"/>
          </w:tcPr>
          <w:p w:rsidR="002839F3" w:rsidRPr="00D0037C" w:rsidRDefault="002839F3" w:rsidP="00215C57">
            <w:pPr>
              <w:jc w:val="center"/>
              <w:rPr>
                <w:rFonts w:eastAsia="SimSun"/>
              </w:rPr>
            </w:pPr>
            <w:r>
              <w:rPr>
                <w:rFonts w:eastAsia="SimSun"/>
              </w:rPr>
              <w:t>4</w:t>
            </w:r>
          </w:p>
        </w:tc>
        <w:tc>
          <w:tcPr>
            <w:tcW w:w="4339" w:type="dxa"/>
          </w:tcPr>
          <w:p w:rsidR="002839F3" w:rsidRPr="00D0037C" w:rsidRDefault="002839F3" w:rsidP="00215C57">
            <w:pPr>
              <w:jc w:val="both"/>
              <w:rPr>
                <w:rFonts w:eastAsia="SimSun"/>
              </w:rPr>
            </w:pPr>
            <w:r>
              <w:rPr>
                <w:rFonts w:eastAsia="SimSun"/>
              </w:rPr>
              <w:t xml:space="preserve">Session Transition </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jc w:val="center"/>
              <w:rPr>
                <w:rFonts w:eastAsia="SimSun"/>
              </w:rPr>
            </w:pPr>
            <w:r>
              <w:rPr>
                <w:rFonts w:eastAsia="SimSun"/>
              </w:rPr>
              <w:t>5</w:t>
            </w:r>
          </w:p>
        </w:tc>
        <w:tc>
          <w:tcPr>
            <w:tcW w:w="4339" w:type="dxa"/>
          </w:tcPr>
          <w:p w:rsidR="002839F3" w:rsidRPr="00D0037C" w:rsidRDefault="002839F3" w:rsidP="00215C57">
            <w:pPr>
              <w:jc w:val="both"/>
              <w:rPr>
                <w:rFonts w:eastAsia="SimSun"/>
              </w:rPr>
            </w:pPr>
            <w:r w:rsidRPr="00D0037C">
              <w:rPr>
                <w:rFonts w:eastAsia="SimSun"/>
              </w:rPr>
              <w:t>Multi-band</w:t>
            </w:r>
            <w:r>
              <w:rPr>
                <w:rFonts w:eastAsia="SimSun"/>
              </w:rPr>
              <w:t xml:space="preserve"> (optional)</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Default="002839F3" w:rsidP="00215C57">
            <w:pPr>
              <w:jc w:val="center"/>
              <w:rPr>
                <w:rFonts w:eastAsia="SimSun"/>
              </w:rPr>
            </w:pPr>
            <w:r>
              <w:rPr>
                <w:rFonts w:eastAsia="SimSun"/>
              </w:rPr>
              <w:t>6</w:t>
            </w:r>
          </w:p>
        </w:tc>
        <w:tc>
          <w:tcPr>
            <w:tcW w:w="4339" w:type="dxa"/>
          </w:tcPr>
          <w:p w:rsidR="002839F3" w:rsidRPr="00D0037C" w:rsidRDefault="002839F3" w:rsidP="00215C57">
            <w:pPr>
              <w:jc w:val="both"/>
              <w:rPr>
                <w:rFonts w:eastAsia="SimSun"/>
              </w:rPr>
            </w:pPr>
            <w:r w:rsidRPr="00D0037C">
              <w:rPr>
                <w:rFonts w:eastAsia="SimSun"/>
              </w:rPr>
              <w:t xml:space="preserve">Wakeup Schedule (optional) </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Default="002839F3" w:rsidP="00215C57">
            <w:pPr>
              <w:jc w:val="center"/>
              <w:rPr>
                <w:rFonts w:eastAsia="SimSun"/>
              </w:rPr>
            </w:pPr>
            <w:r>
              <w:rPr>
                <w:rFonts w:eastAsia="SimSun"/>
              </w:rPr>
              <w:t>7</w:t>
            </w:r>
          </w:p>
        </w:tc>
        <w:tc>
          <w:tcPr>
            <w:tcW w:w="4339" w:type="dxa"/>
          </w:tcPr>
          <w:p w:rsidR="002839F3" w:rsidRPr="00D0037C" w:rsidRDefault="002839F3" w:rsidP="00215C57">
            <w:pPr>
              <w:jc w:val="both"/>
              <w:rPr>
                <w:rFonts w:eastAsia="SimSun"/>
              </w:rPr>
            </w:pPr>
            <w:r w:rsidRPr="00D0037C">
              <w:rPr>
                <w:rFonts w:eastAsia="SimSun"/>
              </w:rPr>
              <w:t xml:space="preserve">Awake Window (optional) </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Default="002839F3" w:rsidP="00215C57">
            <w:pPr>
              <w:jc w:val="center"/>
              <w:rPr>
                <w:rFonts w:eastAsia="SimSun"/>
              </w:rPr>
            </w:pPr>
            <w:r>
              <w:rPr>
                <w:rFonts w:eastAsia="SimSun"/>
              </w:rPr>
              <w:t>8</w:t>
            </w:r>
          </w:p>
        </w:tc>
        <w:tc>
          <w:tcPr>
            <w:tcW w:w="4339" w:type="dxa"/>
          </w:tcPr>
          <w:p w:rsidR="002839F3" w:rsidRPr="00D0037C" w:rsidRDefault="00D757E8" w:rsidP="00215C57">
            <w:pPr>
              <w:jc w:val="both"/>
              <w:rPr>
                <w:rFonts w:eastAsia="SimSun"/>
              </w:rPr>
            </w:pPr>
            <w:r>
              <w:rPr>
                <w:rFonts w:eastAsia="SimSun"/>
              </w:rPr>
              <w:t>Switching stream</w:t>
            </w:r>
            <w:r w:rsidR="002839F3">
              <w:rPr>
                <w:rFonts w:eastAsia="SimSun"/>
              </w:rPr>
              <w:t xml:space="preserve"> (optional)</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spacing w:before="240"/>
              <w:jc w:val="center"/>
              <w:rPr>
                <w:rFonts w:eastAsia="SimSun"/>
              </w:rPr>
            </w:pPr>
            <w:r w:rsidRPr="00D0037C">
              <w:rPr>
                <w:rFonts w:eastAsia="SimSun"/>
              </w:rPr>
              <w:t>Last - 1</w:t>
            </w:r>
          </w:p>
        </w:tc>
        <w:tc>
          <w:tcPr>
            <w:tcW w:w="4339" w:type="dxa"/>
          </w:tcPr>
          <w:p w:rsidR="002839F3" w:rsidRPr="00D0037C" w:rsidRDefault="002839F3" w:rsidP="00045A4E">
            <w:pPr>
              <w:spacing w:before="240"/>
              <w:jc w:val="both"/>
              <w:rPr>
                <w:rFonts w:eastAsia="SimSun"/>
              </w:rPr>
            </w:pPr>
            <w:r w:rsidRPr="00C3271C">
              <w:t xml:space="preserve">One or more </w:t>
            </w:r>
            <w:r w:rsidRPr="00D0037C">
              <w:rPr>
                <w:rFonts w:eastAsia="SimSun"/>
              </w:rPr>
              <w:t xml:space="preserve">resource and/or capability related </w:t>
            </w:r>
            <w:r w:rsidRPr="00C3271C">
              <w:t xml:space="preserve">information elements may appear in this frame. These information elements follow all other information elements that </w:t>
            </w:r>
            <w:r w:rsidRPr="00C3271C">
              <w:lastRenderedPageBreak/>
              <w:t>are not vendor-specific information elements and preced</w:t>
            </w:r>
            <w:r>
              <w:t>e</w:t>
            </w:r>
            <w:r w:rsidRPr="00C3271C">
              <w:t xml:space="preserve"> all other information elements that are vendor-specific information elements that are part of the Last field in the Action frame.</w:t>
            </w:r>
          </w:p>
        </w:tc>
        <w:tc>
          <w:tcPr>
            <w:tcW w:w="4227" w:type="dxa"/>
          </w:tcPr>
          <w:p w:rsidR="002839F3" w:rsidRPr="00D0037C" w:rsidRDefault="002839F3" w:rsidP="00215C57">
            <w:pPr>
              <w:spacing w:before="240"/>
              <w:jc w:val="both"/>
              <w:rPr>
                <w:rFonts w:eastAsia="SimSun"/>
              </w:rPr>
            </w:pPr>
          </w:p>
        </w:tc>
      </w:tr>
    </w:tbl>
    <w:p w:rsidR="002839F3" w:rsidRDefault="002839F3" w:rsidP="002839F3"/>
    <w:p w:rsidR="002839F3" w:rsidRPr="00B042A7" w:rsidRDefault="002839F3" w:rsidP="002839F3">
      <w:r w:rsidRPr="00B042A7">
        <w:t xml:space="preserve">The </w:t>
      </w:r>
      <w:r w:rsidR="00DD43F9">
        <w:t>C</w:t>
      </w:r>
      <w:r w:rsidRPr="00B042A7">
        <w:t>ategory field is set to the category for FST.</w:t>
      </w:r>
    </w:p>
    <w:p w:rsidR="002839F3" w:rsidRPr="00B042A7" w:rsidRDefault="002839F3" w:rsidP="002839F3"/>
    <w:p w:rsidR="002839F3" w:rsidRPr="00B042A7" w:rsidRDefault="002839F3" w:rsidP="002839F3">
      <w:r w:rsidRPr="00B042A7">
        <w:t>The Action field is set to the value for FST Setup Response.</w:t>
      </w:r>
    </w:p>
    <w:p w:rsidR="002839F3" w:rsidRPr="00B042A7" w:rsidRDefault="002839F3" w:rsidP="002839F3"/>
    <w:p w:rsidR="002839F3" w:rsidRPr="00B042A7" w:rsidRDefault="002839F3" w:rsidP="00E83BB4">
      <w:pPr>
        <w:tabs>
          <w:tab w:val="left" w:pos="5505"/>
        </w:tabs>
      </w:pPr>
      <w:r w:rsidRPr="00B042A7">
        <w:t xml:space="preserve">The Session Transition field contains the Session Transition </w:t>
      </w:r>
      <w:r w:rsidR="005A57B9">
        <w:t>element</w:t>
      </w:r>
      <w:r w:rsidRPr="00B042A7">
        <w:t xml:space="preserve"> as defined in</w:t>
      </w:r>
      <w:r w:rsidR="00080421">
        <w:t xml:space="preserve"> </w:t>
      </w:r>
      <w:r w:rsidR="00BD151C">
        <w:fldChar w:fldCharType="begin"/>
      </w:r>
      <w:r w:rsidR="00080421">
        <w:instrText xml:space="preserve"> REF _Ref251673468 \r \h </w:instrText>
      </w:r>
      <w:r w:rsidR="00BD151C">
        <w:fldChar w:fldCharType="separate"/>
      </w:r>
      <w:r w:rsidR="003E4210">
        <w:t>7.3.2.107</w:t>
      </w:r>
      <w:r w:rsidR="00BD151C">
        <w:fldChar w:fldCharType="end"/>
      </w:r>
      <w:r w:rsidR="005A57B9">
        <w:t>.</w:t>
      </w:r>
      <w:r w:rsidR="00E83BB4" w:rsidRPr="00B042A7">
        <w:t xml:space="preserve"> </w:t>
      </w:r>
    </w:p>
    <w:p w:rsidR="00BE6C3B" w:rsidRPr="00B042A7" w:rsidRDefault="00BE6C3B" w:rsidP="00BE6C3B"/>
    <w:p w:rsidR="00AA622B" w:rsidRDefault="00BE6C3B" w:rsidP="002839F3">
      <w:r w:rsidRPr="00B042A7">
        <w:t xml:space="preserve">The Multi-band </w:t>
      </w:r>
      <w:r w:rsidR="006454B5" w:rsidRPr="00B042A7">
        <w:t>element</w:t>
      </w:r>
      <w:r w:rsidR="00AA622B" w:rsidRPr="00B042A7">
        <w:t xml:space="preserve"> </w:t>
      </w:r>
      <w:r w:rsidR="00FA7962" w:rsidRPr="00B042A7">
        <w:t>is defined in</w:t>
      </w:r>
      <w:r w:rsidR="0044517B" w:rsidRPr="00B042A7">
        <w:t xml:space="preserve"> </w:t>
      </w:r>
      <w:fldSimple w:instr=" REF _Ref244241162 \r \h  \* MERGEFORMAT ">
        <w:r w:rsidR="003E4210">
          <w:t>7.3.2.101</w:t>
        </w:r>
      </w:fldSimple>
      <w:r w:rsidRPr="00B042A7">
        <w:t>.</w:t>
      </w:r>
    </w:p>
    <w:p w:rsidR="005A57B9" w:rsidRPr="00B042A7" w:rsidRDefault="005A57B9" w:rsidP="002839F3"/>
    <w:p w:rsidR="00AA622B" w:rsidRPr="00B042A7" w:rsidRDefault="00AA622B" w:rsidP="003C32C3">
      <w:r w:rsidRPr="00B042A7">
        <w:t xml:space="preserve">The Wakeup Schedule </w:t>
      </w:r>
      <w:r w:rsidR="006454B5" w:rsidRPr="00B042A7">
        <w:t>element</w:t>
      </w:r>
      <w:r w:rsidRPr="00B042A7">
        <w:t xml:space="preserve"> is defined in </w:t>
      </w:r>
      <w:fldSimple w:instr=" REF _Ref244244228 \r \h  \* MERGEFORMAT ">
        <w:r w:rsidR="003E4210">
          <w:t>7.3.2.94</w:t>
        </w:r>
      </w:fldSimple>
      <w:r w:rsidR="00716F5E" w:rsidRPr="00B042A7">
        <w:t>.</w:t>
      </w:r>
    </w:p>
    <w:p w:rsidR="00AA622B" w:rsidRPr="00B042A7" w:rsidRDefault="00AA622B" w:rsidP="00735DC0"/>
    <w:p w:rsidR="00AA622B" w:rsidRPr="00B042A7" w:rsidRDefault="00AA622B" w:rsidP="001F2D83">
      <w:r w:rsidRPr="00B042A7">
        <w:t xml:space="preserve">The Awake Window </w:t>
      </w:r>
      <w:r w:rsidR="006454B5" w:rsidRPr="00B042A7">
        <w:t>element</w:t>
      </w:r>
      <w:r w:rsidRPr="00B042A7">
        <w:t xml:space="preserve"> is defiend in </w:t>
      </w:r>
      <w:fldSimple w:instr=" REF _Ref244234956 \r \h  \* MERGEFORMAT ">
        <w:r w:rsidR="003E4210">
          <w:t>7.3.2.100</w:t>
        </w:r>
      </w:fldSimple>
    </w:p>
    <w:p w:rsidR="00BE6C3B" w:rsidRPr="00B042A7" w:rsidRDefault="00BE6C3B" w:rsidP="00BE6C3B"/>
    <w:p w:rsidR="00017BFE" w:rsidRPr="00B042A7" w:rsidRDefault="00017BFE" w:rsidP="005D549D">
      <w:r w:rsidRPr="00B042A7">
        <w:t xml:space="preserve">The Switching Stream </w:t>
      </w:r>
      <w:r w:rsidR="006454B5" w:rsidRPr="00B042A7">
        <w:t>element</w:t>
      </w:r>
      <w:r w:rsidRPr="00B042A7">
        <w:t xml:space="preserve"> </w:t>
      </w:r>
      <w:r w:rsidR="00D757E8">
        <w:t>i</w:t>
      </w:r>
      <w:r w:rsidRPr="00B042A7">
        <w:t>s defined in</w:t>
      </w:r>
      <w:r w:rsidR="00080421">
        <w:t xml:space="preserve"> </w:t>
      </w:r>
      <w:r w:rsidR="00BD151C">
        <w:fldChar w:fldCharType="begin"/>
      </w:r>
      <w:r w:rsidR="00080421">
        <w:instrText xml:space="preserve"> REF _Ref251673506 \r \h </w:instrText>
      </w:r>
      <w:r w:rsidR="00BD151C">
        <w:fldChar w:fldCharType="separate"/>
      </w:r>
      <w:r w:rsidR="003E4210">
        <w:t>7.3.2.106</w:t>
      </w:r>
      <w:r w:rsidR="00BD151C">
        <w:fldChar w:fldCharType="end"/>
      </w:r>
      <w:r w:rsidRPr="00B042A7">
        <w:t>.</w:t>
      </w:r>
    </w:p>
    <w:p w:rsidR="00017BFE" w:rsidRPr="00B042A7" w:rsidRDefault="00017BFE" w:rsidP="00BE6C3B"/>
    <w:p w:rsidR="00BE6C3B" w:rsidRPr="00F66519" w:rsidRDefault="00B22462" w:rsidP="003701DB">
      <w:pPr>
        <w:pStyle w:val="Heading4"/>
        <w:numPr>
          <w:ilvl w:val="3"/>
          <w:numId w:val="27"/>
        </w:numPr>
      </w:pPr>
      <w:bookmarkStart w:id="962" w:name="_Toc259717002"/>
      <w:r w:rsidRPr="00F66519">
        <w:t xml:space="preserve">FST Tear </w:t>
      </w:r>
      <w:r w:rsidR="00BE6C3B" w:rsidRPr="00F66519">
        <w:t>down</w:t>
      </w:r>
      <w:bookmarkEnd w:id="962"/>
      <w:r w:rsidR="00BE6C3B" w:rsidRPr="00F66519">
        <w:t xml:space="preserve"> </w:t>
      </w:r>
    </w:p>
    <w:p w:rsidR="00BE6C3B" w:rsidRPr="009B13F7" w:rsidRDefault="00BE6C3B" w:rsidP="00BE6C3B">
      <w:r w:rsidRPr="00F66519">
        <w:t xml:space="preserve">The FST Tear-down frame is an Action frame of category FST. This frame is transmitted to delete an established FST session between STAs. The format of the frame body is shown </w:t>
      </w:r>
      <w:r w:rsidRPr="00C344E5">
        <w:t xml:space="preserve">in </w:t>
      </w:r>
      <w:fldSimple w:instr=" REF _Ref233524329 \h  \* MERGEFORMAT ">
        <w:r w:rsidR="003E4210" w:rsidRPr="00066F65">
          <w:t xml:space="preserve">Table </w:t>
        </w:r>
        <w:r w:rsidR="003E4210">
          <w:rPr>
            <w:noProof/>
          </w:rPr>
          <w:t>54</w:t>
        </w:r>
      </w:fldSimple>
      <w:r w:rsidRPr="00C344E5">
        <w:t>.</w:t>
      </w:r>
      <w:r w:rsidRPr="009B13F7">
        <w:t xml:space="preserve"> </w:t>
      </w:r>
    </w:p>
    <w:p w:rsidR="00BE6C3B" w:rsidRPr="009B13F7" w:rsidRDefault="00BE6C3B" w:rsidP="00BE6C3B"/>
    <w:p w:rsidR="00BE6C3B" w:rsidRPr="00066F65" w:rsidRDefault="00BE6C3B" w:rsidP="009B13F7">
      <w:pPr>
        <w:pStyle w:val="Caption"/>
        <w:keepNext/>
      </w:pPr>
      <w:bookmarkStart w:id="963" w:name="_Ref233524329"/>
      <w:bookmarkStart w:id="964" w:name="_Toc250654438"/>
      <w:bookmarkStart w:id="965" w:name="_Toc259717632"/>
      <w:r w:rsidRPr="00066F65">
        <w:t xml:space="preserve">Table </w:t>
      </w:r>
      <w:r w:rsidR="00BD151C">
        <w:fldChar w:fldCharType="begin"/>
      </w:r>
      <w:r w:rsidR="00801316">
        <w:instrText xml:space="preserve"> SEQ Table \* ARABIC </w:instrText>
      </w:r>
      <w:r w:rsidR="00BD151C">
        <w:fldChar w:fldCharType="separate"/>
      </w:r>
      <w:r w:rsidR="003E4210">
        <w:rPr>
          <w:noProof/>
        </w:rPr>
        <w:t>54</w:t>
      </w:r>
      <w:r w:rsidR="00BD151C">
        <w:fldChar w:fldCharType="end"/>
      </w:r>
      <w:bookmarkEnd w:id="963"/>
      <w:r w:rsidR="00B22462" w:rsidRPr="00066F65">
        <w:t xml:space="preserve"> – FST Tear </w:t>
      </w:r>
      <w:r w:rsidRPr="00066F65">
        <w:t>down frame</w:t>
      </w:r>
      <w:bookmarkEnd w:id="964"/>
      <w:bookmarkEnd w:id="9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BE6C3B" w:rsidRPr="00066F65" w:rsidTr="00D0037C">
        <w:trPr>
          <w:jc w:val="center"/>
        </w:trPr>
        <w:tc>
          <w:tcPr>
            <w:tcW w:w="1035" w:type="dxa"/>
          </w:tcPr>
          <w:p w:rsidR="00BE6C3B" w:rsidRPr="009B13F7" w:rsidRDefault="00BE6C3B" w:rsidP="00D0037C">
            <w:pPr>
              <w:jc w:val="both"/>
              <w:rPr>
                <w:rFonts w:eastAsia="SimSun"/>
                <w:b/>
              </w:rPr>
            </w:pPr>
            <w:r w:rsidRPr="009B13F7">
              <w:rPr>
                <w:rFonts w:eastAsia="SimSun"/>
                <w:b/>
              </w:rPr>
              <w:t xml:space="preserve">Order </w:t>
            </w:r>
          </w:p>
        </w:tc>
        <w:tc>
          <w:tcPr>
            <w:tcW w:w="4788" w:type="dxa"/>
          </w:tcPr>
          <w:p w:rsidR="00BE6C3B" w:rsidRPr="009B13F7" w:rsidRDefault="00BE6C3B" w:rsidP="00D0037C">
            <w:pPr>
              <w:jc w:val="both"/>
              <w:rPr>
                <w:rFonts w:eastAsia="SimSun"/>
                <w:b/>
              </w:rPr>
            </w:pPr>
            <w:r w:rsidRPr="009B13F7">
              <w:rPr>
                <w:rFonts w:eastAsia="SimSun"/>
                <w:b/>
              </w:rPr>
              <w:t>Information</w:t>
            </w:r>
          </w:p>
        </w:tc>
      </w:tr>
      <w:tr w:rsidR="00BE6C3B" w:rsidRPr="00066F65" w:rsidTr="00D0037C">
        <w:trPr>
          <w:jc w:val="center"/>
        </w:trPr>
        <w:tc>
          <w:tcPr>
            <w:tcW w:w="1035" w:type="dxa"/>
          </w:tcPr>
          <w:p w:rsidR="00BE6C3B" w:rsidRPr="009B13F7" w:rsidRDefault="00BE6C3B" w:rsidP="00D0037C">
            <w:pPr>
              <w:jc w:val="center"/>
              <w:rPr>
                <w:rFonts w:eastAsia="SimSun"/>
              </w:rPr>
            </w:pPr>
            <w:r w:rsidRPr="009B13F7">
              <w:rPr>
                <w:rFonts w:eastAsia="SimSun"/>
              </w:rPr>
              <w:t>1</w:t>
            </w:r>
          </w:p>
        </w:tc>
        <w:tc>
          <w:tcPr>
            <w:tcW w:w="4788" w:type="dxa"/>
          </w:tcPr>
          <w:p w:rsidR="00BE6C3B" w:rsidRPr="009B13F7" w:rsidRDefault="00BE6C3B" w:rsidP="00D0037C">
            <w:pPr>
              <w:jc w:val="both"/>
              <w:rPr>
                <w:rFonts w:eastAsia="SimSun"/>
              </w:rPr>
            </w:pPr>
            <w:r w:rsidRPr="009B13F7">
              <w:rPr>
                <w:rFonts w:eastAsia="SimSun"/>
              </w:rPr>
              <w:t>Category</w:t>
            </w:r>
          </w:p>
        </w:tc>
      </w:tr>
      <w:tr w:rsidR="00BE6C3B" w:rsidRPr="00066F65" w:rsidTr="00D0037C">
        <w:trPr>
          <w:jc w:val="center"/>
        </w:trPr>
        <w:tc>
          <w:tcPr>
            <w:tcW w:w="1035" w:type="dxa"/>
          </w:tcPr>
          <w:p w:rsidR="00BE6C3B" w:rsidRPr="009B13F7" w:rsidRDefault="00BE6C3B" w:rsidP="00D0037C">
            <w:pPr>
              <w:jc w:val="center"/>
              <w:rPr>
                <w:rFonts w:eastAsia="SimSun"/>
              </w:rPr>
            </w:pPr>
            <w:r w:rsidRPr="009B13F7">
              <w:rPr>
                <w:rFonts w:eastAsia="SimSun"/>
              </w:rPr>
              <w:t>2</w:t>
            </w:r>
          </w:p>
        </w:tc>
        <w:tc>
          <w:tcPr>
            <w:tcW w:w="4788" w:type="dxa"/>
          </w:tcPr>
          <w:p w:rsidR="00BE6C3B" w:rsidRPr="009B13F7" w:rsidRDefault="00BE6C3B" w:rsidP="00D0037C">
            <w:pPr>
              <w:jc w:val="both"/>
              <w:rPr>
                <w:rFonts w:eastAsia="SimSun"/>
              </w:rPr>
            </w:pPr>
            <w:r w:rsidRPr="009B13F7">
              <w:rPr>
                <w:rFonts w:eastAsia="SimSun"/>
              </w:rPr>
              <w:t>Action</w:t>
            </w:r>
          </w:p>
        </w:tc>
      </w:tr>
      <w:tr w:rsidR="00EE7B45" w:rsidRPr="00066F65" w:rsidTr="00D0037C">
        <w:trPr>
          <w:jc w:val="center"/>
        </w:trPr>
        <w:tc>
          <w:tcPr>
            <w:tcW w:w="1035" w:type="dxa"/>
          </w:tcPr>
          <w:p w:rsidR="00EE7B45" w:rsidRPr="00D933A6" w:rsidRDefault="00EE7B45" w:rsidP="00D0037C">
            <w:pPr>
              <w:jc w:val="center"/>
              <w:rPr>
                <w:rFonts w:eastAsia="SimSun"/>
              </w:rPr>
            </w:pPr>
            <w:r w:rsidRPr="00D933A6">
              <w:rPr>
                <w:rFonts w:eastAsia="SimSun"/>
              </w:rPr>
              <w:t>3</w:t>
            </w:r>
          </w:p>
        </w:tc>
        <w:tc>
          <w:tcPr>
            <w:tcW w:w="4788" w:type="dxa"/>
          </w:tcPr>
          <w:p w:rsidR="00EE7B45" w:rsidRPr="00066F65" w:rsidRDefault="00EE7B45" w:rsidP="00D0037C">
            <w:pPr>
              <w:jc w:val="both"/>
              <w:rPr>
                <w:rFonts w:eastAsia="SimSun"/>
                <w:u w:val="single"/>
              </w:rPr>
            </w:pPr>
            <w:r>
              <w:rPr>
                <w:rFonts w:eastAsia="SimSun"/>
              </w:rPr>
              <w:t xml:space="preserve">FSTS ID </w:t>
            </w:r>
          </w:p>
        </w:tc>
      </w:tr>
    </w:tbl>
    <w:p w:rsidR="00BE6C3B" w:rsidRPr="009B13F7" w:rsidRDefault="00BE6C3B" w:rsidP="00BE6C3B"/>
    <w:p w:rsidR="00BE6C3B" w:rsidRPr="009B13F7" w:rsidRDefault="00BE6C3B" w:rsidP="00BE6C3B">
      <w:r w:rsidRPr="009B13F7">
        <w:t xml:space="preserve">The </w:t>
      </w:r>
      <w:r w:rsidR="00DD43F9">
        <w:t>C</w:t>
      </w:r>
      <w:r w:rsidRPr="009B13F7">
        <w:t>ategory field is set to the category for FST.</w:t>
      </w:r>
    </w:p>
    <w:p w:rsidR="00BE6C3B" w:rsidRPr="009B13F7" w:rsidRDefault="00BE6C3B" w:rsidP="00BE6C3B"/>
    <w:p w:rsidR="00BE6C3B" w:rsidRPr="009B13F7" w:rsidRDefault="00BE6C3B" w:rsidP="00BE6C3B">
      <w:r w:rsidRPr="009B13F7">
        <w:t>The Action field is set to the value for FST Tear-down.</w:t>
      </w:r>
    </w:p>
    <w:p w:rsidR="00EE7B45" w:rsidRDefault="00EE7B45" w:rsidP="00BE6C3B">
      <w:pPr>
        <w:rPr>
          <w:u w:val="single"/>
        </w:rPr>
      </w:pPr>
    </w:p>
    <w:p w:rsidR="00EE7B45" w:rsidRPr="00C344E5" w:rsidRDefault="00EE7B45" w:rsidP="00EE7B45">
      <w:r w:rsidRPr="00C344E5">
        <w:t>The FSTS ID field contains the identification of the FST session established between the STAs identified by the TA and RA fields of this frame</w:t>
      </w:r>
      <w:r w:rsidR="00D156BC">
        <w:t xml:space="preserve"> </w:t>
      </w:r>
      <w:r w:rsidR="004E503F">
        <w:t>(</w:t>
      </w:r>
      <w:r w:rsidR="00BD151C">
        <w:fldChar w:fldCharType="begin"/>
      </w:r>
      <w:r w:rsidR="00D156BC">
        <w:instrText xml:space="preserve"> REF _Ref252032107 \r \h </w:instrText>
      </w:r>
      <w:r w:rsidR="00BD151C">
        <w:fldChar w:fldCharType="separate"/>
      </w:r>
      <w:r w:rsidR="003E4210">
        <w:t>7.3.2.107</w:t>
      </w:r>
      <w:r w:rsidR="00BD151C">
        <w:fldChar w:fldCharType="end"/>
      </w:r>
      <w:r w:rsidR="00D156BC">
        <w:t>)</w:t>
      </w:r>
      <w:r w:rsidRPr="00C344E5">
        <w:t>.</w:t>
      </w:r>
    </w:p>
    <w:p w:rsidR="007C20BA" w:rsidRDefault="007C20BA" w:rsidP="00BE6C3B">
      <w:pPr>
        <w:rPr>
          <w:u w:val="single"/>
        </w:rPr>
      </w:pPr>
    </w:p>
    <w:p w:rsidR="007C20BA" w:rsidRPr="004E5EB9" w:rsidRDefault="007C20BA" w:rsidP="003701DB">
      <w:pPr>
        <w:pStyle w:val="Heading4"/>
        <w:numPr>
          <w:ilvl w:val="3"/>
          <w:numId w:val="27"/>
        </w:numPr>
      </w:pPr>
      <w:bookmarkStart w:id="966" w:name="_Toc259717003"/>
      <w:r w:rsidRPr="004E5EB9">
        <w:t>FST Ack Request</w:t>
      </w:r>
      <w:bookmarkEnd w:id="966"/>
      <w:r w:rsidRPr="004E5EB9">
        <w:t xml:space="preserve"> </w:t>
      </w:r>
    </w:p>
    <w:p w:rsidR="007C20BA" w:rsidRDefault="007C20BA" w:rsidP="0085211A">
      <w:pPr>
        <w:autoSpaceDE w:val="0"/>
        <w:autoSpaceDN w:val="0"/>
        <w:adjustRightInd w:val="0"/>
        <w:rPr>
          <w:iCs/>
        </w:rPr>
      </w:pPr>
      <w:r>
        <w:rPr>
          <w:rFonts w:ascii="TimesNewRomanPSMT" w:hAnsi="TimesNewRomanPSMT" w:cs="TimesNewRomanPSMT"/>
        </w:rPr>
        <w:t xml:space="preserve">The FST Ack Request frame is an Action frame of category FST. This frame is transmitted in the frequency band an FST session is transferred to and confirms the FST session transfer. The format of the frame body is shown in </w:t>
      </w:r>
      <w:r w:rsidR="00BD151C">
        <w:rPr>
          <w:rFonts w:ascii="TimesNewRomanPSMT" w:hAnsi="TimesNewRomanPSMT" w:cs="TimesNewRomanPSMT"/>
        </w:rPr>
        <w:fldChar w:fldCharType="begin"/>
      </w:r>
      <w:r w:rsidR="0085211A">
        <w:rPr>
          <w:rFonts w:ascii="TimesNewRomanPSMT" w:hAnsi="TimesNewRomanPSMT" w:cs="TimesNewRomanPSMT"/>
        </w:rPr>
        <w:instrText xml:space="preserve"> REF _Ref250645774 \h </w:instrText>
      </w:r>
      <w:r w:rsidR="00BD151C">
        <w:rPr>
          <w:rFonts w:ascii="TimesNewRomanPSMT" w:hAnsi="TimesNewRomanPSMT" w:cs="TimesNewRomanPSMT"/>
        </w:rPr>
      </w:r>
      <w:r w:rsidR="00BD151C">
        <w:rPr>
          <w:rFonts w:ascii="TimesNewRomanPSMT" w:hAnsi="TimesNewRomanPSMT" w:cs="TimesNewRomanPSMT"/>
        </w:rPr>
        <w:fldChar w:fldCharType="separate"/>
      </w:r>
      <w:r w:rsidR="003E4210">
        <w:t xml:space="preserve">Table </w:t>
      </w:r>
      <w:r w:rsidR="003E4210">
        <w:rPr>
          <w:noProof/>
        </w:rPr>
        <w:t>55</w:t>
      </w:r>
      <w:r w:rsidR="00BD151C">
        <w:rPr>
          <w:rFonts w:ascii="TimesNewRomanPSMT" w:hAnsi="TimesNewRomanPSMT" w:cs="TimesNewRomanPSMT"/>
        </w:rPr>
        <w:fldChar w:fldCharType="end"/>
      </w:r>
      <w:r>
        <w:rPr>
          <w:rFonts w:ascii="TimesNewRomanPSMT" w:hAnsi="TimesNewRomanPSMT" w:cs="TimesNewRomanPSMT"/>
        </w:rPr>
        <w:t>.</w:t>
      </w:r>
    </w:p>
    <w:p w:rsidR="007C20BA" w:rsidRDefault="007C20BA" w:rsidP="007C20BA">
      <w:pPr>
        <w:rPr>
          <w:iCs/>
        </w:rPr>
      </w:pPr>
    </w:p>
    <w:p w:rsidR="007C20BA" w:rsidRDefault="007C20BA" w:rsidP="007C20BA">
      <w:pPr>
        <w:pStyle w:val="Caption"/>
      </w:pPr>
      <w:bookmarkStart w:id="967" w:name="_Ref250645774"/>
      <w:bookmarkStart w:id="968" w:name="_Toc250654439"/>
      <w:bookmarkStart w:id="969" w:name="_Toc259717633"/>
      <w:r>
        <w:t xml:space="preserve">Table </w:t>
      </w:r>
      <w:r w:rsidR="00BD151C">
        <w:fldChar w:fldCharType="begin"/>
      </w:r>
      <w:r w:rsidR="00801316">
        <w:instrText xml:space="preserve"> SEQ Table \* ARABIC </w:instrText>
      </w:r>
      <w:r w:rsidR="00BD151C">
        <w:fldChar w:fldCharType="separate"/>
      </w:r>
      <w:r w:rsidR="003E4210">
        <w:rPr>
          <w:noProof/>
        </w:rPr>
        <w:t>55</w:t>
      </w:r>
      <w:r w:rsidR="00BD151C">
        <w:fldChar w:fldCharType="end"/>
      </w:r>
      <w:bookmarkEnd w:id="967"/>
      <w:r>
        <w:t xml:space="preserve"> – FST Ack Request frame</w:t>
      </w:r>
      <w:bookmarkEnd w:id="968"/>
      <w:bookmarkEnd w:id="9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7C20BA" w:rsidTr="00AA4A31">
        <w:trPr>
          <w:jc w:val="center"/>
        </w:trPr>
        <w:tc>
          <w:tcPr>
            <w:tcW w:w="1035" w:type="dxa"/>
          </w:tcPr>
          <w:p w:rsidR="007C20BA" w:rsidRPr="00D0037C" w:rsidRDefault="007C20BA" w:rsidP="00AA4A31">
            <w:pPr>
              <w:jc w:val="both"/>
              <w:rPr>
                <w:rFonts w:eastAsia="SimSun"/>
                <w:b/>
                <w:bCs/>
              </w:rPr>
            </w:pPr>
            <w:r w:rsidRPr="00D0037C">
              <w:rPr>
                <w:rFonts w:eastAsia="SimSun"/>
                <w:b/>
                <w:bCs/>
              </w:rPr>
              <w:t xml:space="preserve">Order </w:t>
            </w:r>
          </w:p>
        </w:tc>
        <w:tc>
          <w:tcPr>
            <w:tcW w:w="4788" w:type="dxa"/>
          </w:tcPr>
          <w:p w:rsidR="007C20BA" w:rsidRPr="00D0037C" w:rsidRDefault="007C20BA" w:rsidP="00AA4A31">
            <w:pPr>
              <w:jc w:val="both"/>
              <w:rPr>
                <w:rFonts w:eastAsia="SimSun"/>
                <w:b/>
                <w:bCs/>
              </w:rPr>
            </w:pPr>
            <w:r w:rsidRPr="00D0037C">
              <w:rPr>
                <w:rFonts w:eastAsia="SimSun"/>
                <w:b/>
                <w:bCs/>
              </w:rPr>
              <w:t>Information</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lastRenderedPageBreak/>
              <w:t>1</w:t>
            </w:r>
          </w:p>
        </w:tc>
        <w:tc>
          <w:tcPr>
            <w:tcW w:w="4788" w:type="dxa"/>
          </w:tcPr>
          <w:p w:rsidR="007C20BA" w:rsidRPr="00D0037C" w:rsidRDefault="007C20BA" w:rsidP="00AA4A31">
            <w:pPr>
              <w:jc w:val="both"/>
              <w:rPr>
                <w:rFonts w:eastAsia="SimSun"/>
              </w:rPr>
            </w:pPr>
            <w:r w:rsidRPr="00D0037C">
              <w:rPr>
                <w:rFonts w:eastAsia="SimSun"/>
              </w:rPr>
              <w:t>Category</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t>2</w:t>
            </w:r>
          </w:p>
        </w:tc>
        <w:tc>
          <w:tcPr>
            <w:tcW w:w="4788" w:type="dxa"/>
          </w:tcPr>
          <w:p w:rsidR="007C20BA" w:rsidRPr="00D0037C" w:rsidRDefault="007C20BA" w:rsidP="00AA4A31">
            <w:pPr>
              <w:jc w:val="both"/>
              <w:rPr>
                <w:rFonts w:eastAsia="SimSun"/>
              </w:rPr>
            </w:pPr>
            <w:r w:rsidRPr="00D0037C">
              <w:rPr>
                <w:rFonts w:eastAsia="SimSun"/>
              </w:rPr>
              <w:t>Action</w:t>
            </w:r>
          </w:p>
        </w:tc>
      </w:tr>
      <w:tr w:rsidR="007C20BA" w:rsidTr="00AA4A31">
        <w:trPr>
          <w:jc w:val="center"/>
        </w:trPr>
        <w:tc>
          <w:tcPr>
            <w:tcW w:w="1035" w:type="dxa"/>
          </w:tcPr>
          <w:p w:rsidR="007C20BA" w:rsidRPr="00D0037C" w:rsidRDefault="007C20BA" w:rsidP="00AA4A31">
            <w:pPr>
              <w:jc w:val="center"/>
              <w:rPr>
                <w:rFonts w:eastAsia="SimSun"/>
              </w:rPr>
            </w:pPr>
            <w:r>
              <w:rPr>
                <w:rFonts w:eastAsia="SimSun"/>
              </w:rPr>
              <w:t>3</w:t>
            </w:r>
          </w:p>
        </w:tc>
        <w:tc>
          <w:tcPr>
            <w:tcW w:w="4788" w:type="dxa"/>
          </w:tcPr>
          <w:p w:rsidR="007C20BA" w:rsidRPr="00D0037C" w:rsidRDefault="007C20BA" w:rsidP="00AA4A31">
            <w:pPr>
              <w:jc w:val="both"/>
              <w:rPr>
                <w:rFonts w:eastAsia="SimSun"/>
              </w:rPr>
            </w:pPr>
            <w:r>
              <w:rPr>
                <w:rFonts w:eastAsia="SimSun"/>
              </w:rPr>
              <w:t>Dialog Token</w:t>
            </w:r>
          </w:p>
        </w:tc>
      </w:tr>
      <w:tr w:rsidR="007C20BA" w:rsidTr="00AA4A31">
        <w:trPr>
          <w:jc w:val="center"/>
        </w:trPr>
        <w:tc>
          <w:tcPr>
            <w:tcW w:w="1035" w:type="dxa"/>
          </w:tcPr>
          <w:p w:rsidR="007C20BA" w:rsidRDefault="007C20BA" w:rsidP="00AA4A31">
            <w:pPr>
              <w:jc w:val="center"/>
              <w:rPr>
                <w:rFonts w:eastAsia="SimSun"/>
              </w:rPr>
            </w:pPr>
            <w:r>
              <w:rPr>
                <w:rFonts w:eastAsia="SimSun"/>
              </w:rPr>
              <w:t>4</w:t>
            </w:r>
          </w:p>
        </w:tc>
        <w:tc>
          <w:tcPr>
            <w:tcW w:w="4788" w:type="dxa"/>
          </w:tcPr>
          <w:p w:rsidR="007C20BA" w:rsidRDefault="007C20BA" w:rsidP="00AA4A31">
            <w:pPr>
              <w:jc w:val="both"/>
              <w:rPr>
                <w:rFonts w:eastAsia="SimSun"/>
              </w:rPr>
            </w:pPr>
            <w:r>
              <w:rPr>
                <w:rFonts w:eastAsia="SimSun"/>
              </w:rPr>
              <w:t>FSTS ID</w:t>
            </w:r>
          </w:p>
        </w:tc>
      </w:tr>
    </w:tbl>
    <w:p w:rsidR="007C20BA" w:rsidRDefault="007C20BA" w:rsidP="007C20BA">
      <w:pPr>
        <w:rPr>
          <w:iCs/>
        </w:rPr>
      </w:pPr>
    </w:p>
    <w:p w:rsidR="007C20BA" w:rsidRDefault="007C20BA" w:rsidP="007C20BA">
      <w:pPr>
        <w:autoSpaceDE w:val="0"/>
        <w:autoSpaceDN w:val="0"/>
        <w:adjustRightInd w:val="0"/>
        <w:rPr>
          <w:rFonts w:ascii="TimesNewRomanPSMT" w:hAnsi="TimesNewRomanPSMT" w:cs="TimesNewRomanPSMT"/>
        </w:rPr>
      </w:pPr>
      <w:r>
        <w:rPr>
          <w:rFonts w:ascii="TimesNewRomanPSMT" w:hAnsi="TimesNewRomanPSMT" w:cs="TimesNewRomanPSMT"/>
        </w:rPr>
        <w:t>The category field is set to the category for FST.</w:t>
      </w:r>
    </w:p>
    <w:p w:rsidR="007C20BA" w:rsidRDefault="007C20BA" w:rsidP="007C20BA">
      <w:pPr>
        <w:autoSpaceDE w:val="0"/>
        <w:autoSpaceDN w:val="0"/>
        <w:adjustRightInd w:val="0"/>
        <w:rPr>
          <w:rFonts w:ascii="TimesNewRomanPSMT" w:hAnsi="TimesNewRomanPSMT" w:cs="TimesNewRomanPSMT"/>
        </w:rPr>
      </w:pPr>
    </w:p>
    <w:p w:rsidR="007C20BA" w:rsidRDefault="007C20BA" w:rsidP="007C20BA">
      <w:pPr>
        <w:rPr>
          <w:rFonts w:ascii="TimesNewRomanPSMT" w:hAnsi="TimesNewRomanPSMT" w:cs="TimesNewRomanPSMT"/>
        </w:rPr>
      </w:pPr>
      <w:r>
        <w:rPr>
          <w:rFonts w:ascii="TimesNewRomanPSMT" w:hAnsi="TimesNewRomanPSMT" w:cs="TimesNewRomanPSMT"/>
        </w:rPr>
        <w:t>The Action field is set to the value for FST Ack Request.</w:t>
      </w:r>
    </w:p>
    <w:p w:rsidR="007C20BA" w:rsidRDefault="007C20BA" w:rsidP="007C20BA">
      <w:pPr>
        <w:rPr>
          <w:rFonts w:ascii="TimesNewRomanPSMT" w:hAnsi="TimesNewRomanPSMT" w:cs="TimesNewRomanPSMT"/>
        </w:rPr>
      </w:pPr>
    </w:p>
    <w:p w:rsidR="007C20BA" w:rsidRDefault="007C20BA" w:rsidP="007C20BA">
      <w:pPr>
        <w:autoSpaceDE w:val="0"/>
        <w:autoSpaceDN w:val="0"/>
        <w:adjustRightInd w:val="0"/>
        <w:rPr>
          <w:rFonts w:ascii="TimesNewRoman" w:hAnsi="TimesNewRoman" w:cs="TimesNewRoman"/>
        </w:rPr>
      </w:pPr>
      <w:r w:rsidRPr="001B359E">
        <w:rPr>
          <w:rFonts w:ascii="TimesNewRoman" w:hAnsi="TimesNewRoman" w:cs="TimesNewRoman"/>
        </w:rPr>
        <w:t xml:space="preserve">The Dialog Token field shall be set to a nonzero value chosen by the STA </w:t>
      </w:r>
      <w:r>
        <w:rPr>
          <w:rFonts w:ascii="TimesNewRoman" w:hAnsi="TimesNewRoman" w:cs="TimesNewRoman"/>
        </w:rPr>
        <w:t xml:space="preserve">sending the FST ACK request </w:t>
      </w:r>
      <w:r w:rsidRPr="001B359E">
        <w:rPr>
          <w:rFonts w:ascii="TimesNewRoman" w:hAnsi="TimesNewRoman" w:cs="TimesNewRoman"/>
        </w:rPr>
        <w:t>to identify the request/report transaction.</w:t>
      </w:r>
    </w:p>
    <w:p w:rsidR="007C20BA" w:rsidRDefault="007C20BA" w:rsidP="007C20BA">
      <w:pPr>
        <w:autoSpaceDE w:val="0"/>
        <w:autoSpaceDN w:val="0"/>
        <w:adjustRightInd w:val="0"/>
        <w:rPr>
          <w:rFonts w:ascii="TimesNewRoman" w:hAnsi="TimesNewRoman" w:cs="TimesNewRoman"/>
        </w:rPr>
      </w:pPr>
    </w:p>
    <w:p w:rsidR="007C20BA" w:rsidRDefault="007C20BA" w:rsidP="007C20BA">
      <w:r>
        <w:t xml:space="preserve">The FSTS ID field contains the identification of the </w:t>
      </w:r>
      <w:r w:rsidRPr="005E7E1B">
        <w:t xml:space="preserve">FST </w:t>
      </w:r>
      <w:r>
        <w:t>s</w:t>
      </w:r>
      <w:r w:rsidRPr="005E7E1B">
        <w:t>ession</w:t>
      </w:r>
      <w:r>
        <w:t xml:space="preserve"> established between the STAs identified by the TA and RA fields of this frame</w:t>
      </w:r>
      <w:r w:rsidR="00D156BC">
        <w:t xml:space="preserve"> </w:t>
      </w:r>
      <w:r w:rsidR="004E503F">
        <w:t>(</w:t>
      </w:r>
      <w:r w:rsidR="00BD151C">
        <w:fldChar w:fldCharType="begin"/>
      </w:r>
      <w:r w:rsidR="00D156BC">
        <w:instrText xml:space="preserve"> REF _Ref252032138 \r \h </w:instrText>
      </w:r>
      <w:r w:rsidR="00BD151C">
        <w:fldChar w:fldCharType="separate"/>
      </w:r>
      <w:r w:rsidR="003E4210">
        <w:t>7.3.2.107</w:t>
      </w:r>
      <w:r w:rsidR="00BD151C">
        <w:fldChar w:fldCharType="end"/>
      </w:r>
      <w:r w:rsidR="00D156BC">
        <w:t>)</w:t>
      </w:r>
      <w:r>
        <w:t>.</w:t>
      </w:r>
    </w:p>
    <w:p w:rsidR="007C20BA" w:rsidRDefault="007C20BA" w:rsidP="007C20BA">
      <w:pPr>
        <w:rPr>
          <w:iCs/>
        </w:rPr>
      </w:pPr>
    </w:p>
    <w:p w:rsidR="007C20BA" w:rsidRPr="00B042A7" w:rsidRDefault="00E576E0" w:rsidP="003701DB">
      <w:pPr>
        <w:pStyle w:val="Heading4"/>
        <w:numPr>
          <w:ilvl w:val="3"/>
          <w:numId w:val="27"/>
        </w:numPr>
      </w:pPr>
      <w:bookmarkStart w:id="970" w:name="_Toc259717004"/>
      <w:r w:rsidRPr="00B042A7">
        <w:t>FST Ack Response</w:t>
      </w:r>
      <w:bookmarkEnd w:id="970"/>
      <w:r w:rsidRPr="00B042A7">
        <w:t xml:space="preserve"> </w:t>
      </w:r>
    </w:p>
    <w:p w:rsidR="007C20BA" w:rsidRDefault="007C20BA" w:rsidP="0085211A">
      <w:pPr>
        <w:autoSpaceDE w:val="0"/>
        <w:autoSpaceDN w:val="0"/>
        <w:adjustRightInd w:val="0"/>
        <w:rPr>
          <w:iCs/>
        </w:rPr>
      </w:pPr>
      <w:r>
        <w:rPr>
          <w:rFonts w:ascii="TimesNewRomanPSMT" w:hAnsi="TimesNewRomanPSMT" w:cs="TimesNewRomanPSMT"/>
        </w:rPr>
        <w:t xml:space="preserve">The FST Ack Response frame is an Action frame of category FST. This frame is transmitted in response to the reception of an FST Ack Request frame. The format of the frame body is shown in </w:t>
      </w:r>
      <w:r w:rsidR="00BD151C">
        <w:rPr>
          <w:rFonts w:ascii="TimesNewRomanPSMT" w:hAnsi="TimesNewRomanPSMT" w:cs="TimesNewRomanPSMT"/>
        </w:rPr>
        <w:fldChar w:fldCharType="begin"/>
      </w:r>
      <w:r w:rsidR="0085211A">
        <w:rPr>
          <w:rFonts w:ascii="TimesNewRomanPSMT" w:hAnsi="TimesNewRomanPSMT" w:cs="TimesNewRomanPSMT"/>
        </w:rPr>
        <w:instrText xml:space="preserve"> REF _Ref250645810 \h </w:instrText>
      </w:r>
      <w:r w:rsidR="00BD151C">
        <w:rPr>
          <w:rFonts w:ascii="TimesNewRomanPSMT" w:hAnsi="TimesNewRomanPSMT" w:cs="TimesNewRomanPSMT"/>
        </w:rPr>
      </w:r>
      <w:r w:rsidR="00BD151C">
        <w:rPr>
          <w:rFonts w:ascii="TimesNewRomanPSMT" w:hAnsi="TimesNewRomanPSMT" w:cs="TimesNewRomanPSMT"/>
        </w:rPr>
        <w:fldChar w:fldCharType="separate"/>
      </w:r>
      <w:r w:rsidR="003E4210">
        <w:t xml:space="preserve">Table </w:t>
      </w:r>
      <w:r w:rsidR="003E4210">
        <w:rPr>
          <w:noProof/>
        </w:rPr>
        <w:t>56</w:t>
      </w:r>
      <w:r w:rsidR="00BD151C">
        <w:rPr>
          <w:rFonts w:ascii="TimesNewRomanPSMT" w:hAnsi="TimesNewRomanPSMT" w:cs="TimesNewRomanPSMT"/>
        </w:rPr>
        <w:fldChar w:fldCharType="end"/>
      </w:r>
      <w:r>
        <w:rPr>
          <w:rFonts w:ascii="TimesNewRomanPSMT" w:hAnsi="TimesNewRomanPSMT" w:cs="TimesNewRomanPSMT"/>
        </w:rPr>
        <w:t>.</w:t>
      </w:r>
    </w:p>
    <w:p w:rsidR="007C20BA" w:rsidRDefault="007C20BA" w:rsidP="007C20BA">
      <w:pPr>
        <w:rPr>
          <w:iCs/>
        </w:rPr>
      </w:pPr>
    </w:p>
    <w:p w:rsidR="007C20BA" w:rsidRDefault="0085211A" w:rsidP="0085211A">
      <w:pPr>
        <w:pStyle w:val="Caption"/>
      </w:pPr>
      <w:bookmarkStart w:id="971" w:name="_Ref250645810"/>
      <w:bookmarkStart w:id="972" w:name="_Toc250654440"/>
      <w:bookmarkStart w:id="973" w:name="_Toc259717634"/>
      <w:r>
        <w:t xml:space="preserve">Table </w:t>
      </w:r>
      <w:r w:rsidR="00BD151C">
        <w:fldChar w:fldCharType="begin"/>
      </w:r>
      <w:r w:rsidR="00801316">
        <w:instrText xml:space="preserve"> SEQ Table \* ARABIC </w:instrText>
      </w:r>
      <w:r w:rsidR="00BD151C">
        <w:fldChar w:fldCharType="separate"/>
      </w:r>
      <w:r w:rsidR="003E4210">
        <w:rPr>
          <w:noProof/>
        </w:rPr>
        <w:t>56</w:t>
      </w:r>
      <w:r w:rsidR="00BD151C">
        <w:fldChar w:fldCharType="end"/>
      </w:r>
      <w:bookmarkEnd w:id="971"/>
      <w:r w:rsidR="007C20BA">
        <w:t xml:space="preserve"> – FST Ack Response frame</w:t>
      </w:r>
      <w:bookmarkEnd w:id="972"/>
      <w:bookmarkEnd w:id="9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7C20BA" w:rsidTr="00AA4A31">
        <w:trPr>
          <w:jc w:val="center"/>
        </w:trPr>
        <w:tc>
          <w:tcPr>
            <w:tcW w:w="1035" w:type="dxa"/>
          </w:tcPr>
          <w:p w:rsidR="007C20BA" w:rsidRPr="00D0037C" w:rsidRDefault="007C20BA" w:rsidP="00AA4A31">
            <w:pPr>
              <w:jc w:val="both"/>
              <w:rPr>
                <w:rFonts w:eastAsia="SimSun"/>
                <w:b/>
                <w:bCs/>
              </w:rPr>
            </w:pPr>
            <w:r w:rsidRPr="00D0037C">
              <w:rPr>
                <w:rFonts w:eastAsia="SimSun"/>
                <w:b/>
                <w:bCs/>
              </w:rPr>
              <w:t xml:space="preserve">Order </w:t>
            </w:r>
          </w:p>
        </w:tc>
        <w:tc>
          <w:tcPr>
            <w:tcW w:w="4788" w:type="dxa"/>
          </w:tcPr>
          <w:p w:rsidR="007C20BA" w:rsidRPr="00D0037C" w:rsidRDefault="007C20BA" w:rsidP="00AA4A31">
            <w:pPr>
              <w:jc w:val="both"/>
              <w:rPr>
                <w:rFonts w:eastAsia="SimSun"/>
                <w:b/>
                <w:bCs/>
              </w:rPr>
            </w:pPr>
            <w:r w:rsidRPr="00D0037C">
              <w:rPr>
                <w:rFonts w:eastAsia="SimSun"/>
                <w:b/>
                <w:bCs/>
              </w:rPr>
              <w:t>Information</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t>1</w:t>
            </w:r>
          </w:p>
        </w:tc>
        <w:tc>
          <w:tcPr>
            <w:tcW w:w="4788" w:type="dxa"/>
          </w:tcPr>
          <w:p w:rsidR="007C20BA" w:rsidRPr="00D0037C" w:rsidRDefault="007C20BA" w:rsidP="00AA4A31">
            <w:pPr>
              <w:jc w:val="both"/>
              <w:rPr>
                <w:rFonts w:eastAsia="SimSun"/>
              </w:rPr>
            </w:pPr>
            <w:r w:rsidRPr="00D0037C">
              <w:rPr>
                <w:rFonts w:eastAsia="SimSun"/>
              </w:rPr>
              <w:t>Category</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t>2</w:t>
            </w:r>
          </w:p>
        </w:tc>
        <w:tc>
          <w:tcPr>
            <w:tcW w:w="4788" w:type="dxa"/>
          </w:tcPr>
          <w:p w:rsidR="007C20BA" w:rsidRPr="00D0037C" w:rsidRDefault="007C20BA" w:rsidP="00AA4A31">
            <w:pPr>
              <w:jc w:val="both"/>
              <w:rPr>
                <w:rFonts w:eastAsia="SimSun"/>
              </w:rPr>
            </w:pPr>
            <w:r w:rsidRPr="00D0037C">
              <w:rPr>
                <w:rFonts w:eastAsia="SimSun"/>
              </w:rPr>
              <w:t>Action</w:t>
            </w:r>
          </w:p>
        </w:tc>
      </w:tr>
      <w:tr w:rsidR="007C20BA" w:rsidTr="00AA4A31">
        <w:trPr>
          <w:jc w:val="center"/>
        </w:trPr>
        <w:tc>
          <w:tcPr>
            <w:tcW w:w="1035" w:type="dxa"/>
          </w:tcPr>
          <w:p w:rsidR="007C20BA" w:rsidRPr="00D0037C" w:rsidRDefault="007C20BA" w:rsidP="00AA4A31">
            <w:pPr>
              <w:jc w:val="center"/>
              <w:rPr>
                <w:rFonts w:eastAsia="SimSun"/>
              </w:rPr>
            </w:pPr>
            <w:r>
              <w:rPr>
                <w:rFonts w:eastAsia="SimSun"/>
              </w:rPr>
              <w:t>3</w:t>
            </w:r>
          </w:p>
        </w:tc>
        <w:tc>
          <w:tcPr>
            <w:tcW w:w="4788" w:type="dxa"/>
          </w:tcPr>
          <w:p w:rsidR="007C20BA" w:rsidRPr="00D0037C" w:rsidRDefault="007C20BA" w:rsidP="00AA4A31">
            <w:pPr>
              <w:jc w:val="both"/>
              <w:rPr>
                <w:rFonts w:eastAsia="SimSun"/>
              </w:rPr>
            </w:pPr>
            <w:r>
              <w:rPr>
                <w:rFonts w:eastAsia="SimSun"/>
              </w:rPr>
              <w:t>Dialog Token</w:t>
            </w:r>
          </w:p>
        </w:tc>
      </w:tr>
      <w:tr w:rsidR="007C20BA" w:rsidTr="00AA4A31">
        <w:trPr>
          <w:jc w:val="center"/>
        </w:trPr>
        <w:tc>
          <w:tcPr>
            <w:tcW w:w="1035" w:type="dxa"/>
          </w:tcPr>
          <w:p w:rsidR="007C20BA" w:rsidRDefault="007C20BA" w:rsidP="00AA4A31">
            <w:pPr>
              <w:jc w:val="center"/>
              <w:rPr>
                <w:rFonts w:eastAsia="SimSun"/>
              </w:rPr>
            </w:pPr>
            <w:r>
              <w:rPr>
                <w:rFonts w:eastAsia="SimSun"/>
              </w:rPr>
              <w:t>4</w:t>
            </w:r>
          </w:p>
        </w:tc>
        <w:tc>
          <w:tcPr>
            <w:tcW w:w="4788" w:type="dxa"/>
          </w:tcPr>
          <w:p w:rsidR="007C20BA" w:rsidRDefault="007C20BA" w:rsidP="00AA4A31">
            <w:pPr>
              <w:jc w:val="both"/>
              <w:rPr>
                <w:rFonts w:eastAsia="SimSun"/>
              </w:rPr>
            </w:pPr>
            <w:r>
              <w:rPr>
                <w:rFonts w:eastAsia="SimSun"/>
              </w:rPr>
              <w:t>FSTS ID</w:t>
            </w:r>
          </w:p>
        </w:tc>
      </w:tr>
    </w:tbl>
    <w:p w:rsidR="007C20BA" w:rsidRDefault="007C20BA" w:rsidP="007C20BA">
      <w:pPr>
        <w:rPr>
          <w:iCs/>
        </w:rPr>
      </w:pPr>
    </w:p>
    <w:p w:rsidR="007C20BA" w:rsidRDefault="007C20BA" w:rsidP="007C20BA">
      <w:pPr>
        <w:autoSpaceDE w:val="0"/>
        <w:autoSpaceDN w:val="0"/>
        <w:adjustRightInd w:val="0"/>
        <w:rPr>
          <w:rFonts w:ascii="TimesNewRomanPSMT" w:hAnsi="TimesNewRomanPSMT" w:cs="TimesNewRomanPSMT"/>
        </w:rPr>
      </w:pPr>
      <w:r>
        <w:rPr>
          <w:rFonts w:ascii="TimesNewRomanPSMT" w:hAnsi="TimesNewRomanPSMT" w:cs="TimesNewRomanPSMT"/>
        </w:rPr>
        <w:t>The category field is set to the category for FST.</w:t>
      </w:r>
    </w:p>
    <w:p w:rsidR="007C20BA" w:rsidRDefault="007C20BA" w:rsidP="007C20BA">
      <w:pPr>
        <w:autoSpaceDE w:val="0"/>
        <w:autoSpaceDN w:val="0"/>
        <w:adjustRightInd w:val="0"/>
        <w:rPr>
          <w:rFonts w:ascii="TimesNewRomanPSMT" w:hAnsi="TimesNewRomanPSMT" w:cs="TimesNewRomanPSMT"/>
        </w:rPr>
      </w:pPr>
    </w:p>
    <w:p w:rsidR="007C20BA" w:rsidRDefault="007C20BA" w:rsidP="007C20BA">
      <w:pPr>
        <w:rPr>
          <w:rFonts w:ascii="TimesNewRomanPSMT" w:hAnsi="TimesNewRomanPSMT" w:cs="TimesNewRomanPSMT"/>
        </w:rPr>
      </w:pPr>
      <w:r>
        <w:rPr>
          <w:rFonts w:ascii="TimesNewRomanPSMT" w:hAnsi="TimesNewRomanPSMT" w:cs="TimesNewRomanPSMT"/>
        </w:rPr>
        <w:t>The Action field is set to the value for FST Ack Response.</w:t>
      </w:r>
    </w:p>
    <w:p w:rsidR="007C20BA" w:rsidRDefault="007C20BA" w:rsidP="007C20BA">
      <w:pPr>
        <w:rPr>
          <w:rFonts w:ascii="TimesNewRomanPSMT" w:hAnsi="TimesNewRomanPSMT" w:cs="TimesNewRomanPSMT"/>
        </w:rPr>
      </w:pPr>
    </w:p>
    <w:p w:rsidR="007C20BA" w:rsidRDefault="007C20BA" w:rsidP="007C20BA">
      <w:pPr>
        <w:autoSpaceDE w:val="0"/>
        <w:autoSpaceDN w:val="0"/>
        <w:adjustRightInd w:val="0"/>
        <w:rPr>
          <w:rFonts w:ascii="TimesNewRoman" w:hAnsi="TimesNewRoman" w:cs="TimesNewRoman"/>
        </w:rPr>
      </w:pPr>
      <w:r w:rsidRPr="001B359E">
        <w:rPr>
          <w:rFonts w:ascii="TimesNewRoman" w:hAnsi="TimesNewRoman" w:cs="TimesNewRoman"/>
        </w:rPr>
        <w:t xml:space="preserve">The Dialog Token field shall be set to the value in any corresponding </w:t>
      </w:r>
      <w:r>
        <w:rPr>
          <w:rFonts w:ascii="TimesNewRomanPSMT" w:hAnsi="TimesNewRomanPSMT" w:cs="TimesNewRomanPSMT"/>
        </w:rPr>
        <w:t>FST Ack Request</w:t>
      </w:r>
      <w:r>
        <w:rPr>
          <w:rFonts w:ascii="TimesNewRoman" w:hAnsi="TimesNewRoman" w:cs="TimesNewRoman"/>
        </w:rPr>
        <w:t xml:space="preserve"> frame. If the </w:t>
      </w:r>
      <w:r>
        <w:rPr>
          <w:rFonts w:ascii="TimesNewRomanPSMT" w:hAnsi="TimesNewRomanPSMT" w:cs="TimesNewRomanPSMT"/>
        </w:rPr>
        <w:t xml:space="preserve">FST Ack Response </w:t>
      </w:r>
      <w:r w:rsidRPr="001B359E">
        <w:rPr>
          <w:rFonts w:ascii="TimesNewRoman" w:hAnsi="TimesNewRoman" w:cs="TimesNewRoman"/>
        </w:rPr>
        <w:t xml:space="preserve">frame is not being transmitted in response to a </w:t>
      </w:r>
      <w:r>
        <w:rPr>
          <w:rFonts w:ascii="TimesNewRomanPSMT" w:hAnsi="TimesNewRomanPSMT" w:cs="TimesNewRomanPSMT"/>
        </w:rPr>
        <w:t>FST Ack Request</w:t>
      </w:r>
      <w:r>
        <w:rPr>
          <w:rFonts w:ascii="TimesNewRoman" w:hAnsi="TimesNewRoman" w:cs="TimesNewRoman"/>
        </w:rPr>
        <w:t xml:space="preserve"> </w:t>
      </w:r>
      <w:r w:rsidRPr="001B359E">
        <w:rPr>
          <w:rFonts w:ascii="TimesNewRoman" w:hAnsi="TimesNewRoman" w:cs="TimesNewRoman"/>
        </w:rPr>
        <w:t>frame, then the</w:t>
      </w:r>
      <w:r>
        <w:rPr>
          <w:rFonts w:ascii="TimesNewRoman" w:hAnsi="TimesNewRoman" w:cs="TimesNewRoman"/>
        </w:rPr>
        <w:t xml:space="preserve"> </w:t>
      </w:r>
      <w:r w:rsidRPr="001B359E">
        <w:rPr>
          <w:rFonts w:ascii="TimesNewRoman" w:hAnsi="TimesNewRoman" w:cs="TimesNewRoman"/>
        </w:rPr>
        <w:t>Dialog token shall be set to 0.</w:t>
      </w:r>
    </w:p>
    <w:p w:rsidR="007C20BA" w:rsidRDefault="007C20BA" w:rsidP="007C20BA">
      <w:pPr>
        <w:rPr>
          <w:iCs/>
        </w:rPr>
      </w:pPr>
    </w:p>
    <w:p w:rsidR="007C20BA" w:rsidRDefault="00D156BC" w:rsidP="00D156BC">
      <w:r>
        <w:t>The</w:t>
      </w:r>
      <w:r w:rsidR="007C20BA">
        <w:t xml:space="preserve"> </w:t>
      </w:r>
      <w:r w:rsidR="00EB47DF">
        <w:t xml:space="preserve">FSTS ID </w:t>
      </w:r>
      <w:r w:rsidR="007C20BA">
        <w:t xml:space="preserve">field contains the identification of the </w:t>
      </w:r>
      <w:r w:rsidR="007C20BA" w:rsidRPr="005E7E1B">
        <w:t xml:space="preserve">FST </w:t>
      </w:r>
      <w:r w:rsidR="007C20BA">
        <w:t>s</w:t>
      </w:r>
      <w:r w:rsidR="007C20BA" w:rsidRPr="005E7E1B">
        <w:t>ession</w:t>
      </w:r>
      <w:r w:rsidR="007C20BA">
        <w:t xml:space="preserve"> established between the STAs identified in the TA and RA fields of this frame</w:t>
      </w:r>
      <w:r>
        <w:t xml:space="preserve"> (</w:t>
      </w:r>
      <w:r w:rsidR="00BD151C">
        <w:fldChar w:fldCharType="begin"/>
      </w:r>
      <w:r>
        <w:instrText xml:space="preserve"> REF _Ref252032220 \r \h </w:instrText>
      </w:r>
      <w:r w:rsidR="00BD151C">
        <w:fldChar w:fldCharType="separate"/>
      </w:r>
      <w:r w:rsidR="003E4210">
        <w:t>7.3.2.107</w:t>
      </w:r>
      <w:r w:rsidR="00BD151C">
        <w:fldChar w:fldCharType="end"/>
      </w:r>
      <w:r>
        <w:t>)</w:t>
      </w:r>
      <w:r w:rsidR="007C20BA">
        <w:t>.</w:t>
      </w:r>
    </w:p>
    <w:p w:rsidR="007C20BA" w:rsidRPr="00066F65" w:rsidRDefault="007C20BA" w:rsidP="00BE6C3B">
      <w:pPr>
        <w:rPr>
          <w:u w:val="single"/>
        </w:rPr>
      </w:pPr>
    </w:p>
    <w:p w:rsidR="008C36FC" w:rsidRPr="00066F65" w:rsidRDefault="008C36FC" w:rsidP="00660A0B">
      <w:pPr>
        <w:pStyle w:val="Heading2"/>
        <w:rPr>
          <w:lang w:val="pt-BR"/>
        </w:rPr>
      </w:pPr>
      <w:bookmarkStart w:id="974" w:name="_Toc235400295"/>
      <w:bookmarkStart w:id="975" w:name="_Toc259717005"/>
      <w:r w:rsidRPr="00066F65">
        <w:rPr>
          <w:lang w:val="pt-BR"/>
        </w:rPr>
        <w:t>7.</w:t>
      </w:r>
      <w:r w:rsidRPr="00066F65">
        <w:t>4a</w:t>
      </w:r>
      <w:r w:rsidRPr="00066F65">
        <w:rPr>
          <w:lang w:val="pt-BR"/>
        </w:rPr>
        <w:t xml:space="preserve"> Aggregate MPDU (A-MPDU)</w:t>
      </w:r>
      <w:bookmarkEnd w:id="974"/>
      <w:bookmarkEnd w:id="975"/>
    </w:p>
    <w:p w:rsidR="009E4D7A" w:rsidRDefault="009E4D7A" w:rsidP="001A4C14">
      <w:pPr>
        <w:pStyle w:val="Heading3"/>
        <w:rPr>
          <w:lang w:val="pt-BR"/>
        </w:rPr>
      </w:pPr>
      <w:bookmarkStart w:id="976" w:name="_Toc235400296"/>
    </w:p>
    <w:p w:rsidR="009E4D7A" w:rsidRPr="009E4D7A" w:rsidRDefault="009E4D7A" w:rsidP="009E4D7A">
      <w:r w:rsidRPr="009E4D7A">
        <w:rPr>
          <w:i/>
          <w:iCs/>
          <w:lang w:val="pt-BR"/>
        </w:rPr>
        <w:t>.11 Editor Note: include the following subclause after 7.4a.1</w:t>
      </w:r>
      <w:r w:rsidR="00080054">
        <w:rPr>
          <w:rFonts w:ascii="Arial" w:hAnsi="Arial"/>
          <w:b/>
          <w:bCs/>
          <w:lang w:val="pt-BR"/>
        </w:rPr>
        <w:t xml:space="preserve"> </w:t>
      </w:r>
    </w:p>
    <w:p w:rsidR="008C36FC" w:rsidRPr="00E20E32" w:rsidRDefault="008C36FC" w:rsidP="00E20E32">
      <w:pPr>
        <w:pStyle w:val="Heading3"/>
        <w:rPr>
          <w:lang w:val="pt-BR"/>
        </w:rPr>
      </w:pPr>
      <w:bookmarkStart w:id="977" w:name="_Toc259717006"/>
      <w:r w:rsidRPr="009448FC">
        <w:rPr>
          <w:lang w:val="pt-BR"/>
        </w:rPr>
        <w:lastRenderedPageBreak/>
        <w:t>7.4a.1a mmWave A-MPDU format</w:t>
      </w:r>
      <w:bookmarkEnd w:id="976"/>
      <w:bookmarkEnd w:id="977"/>
    </w:p>
    <w:p w:rsidR="008C36FC" w:rsidRPr="009448FC" w:rsidRDefault="008C36FC" w:rsidP="005707F2">
      <w:r w:rsidRPr="009448FC">
        <w:t xml:space="preserve">The mmWave A-MPDU subframe format is defined in </w:t>
      </w:r>
      <w:r w:rsidR="00BD151C">
        <w:fldChar w:fldCharType="begin"/>
      </w:r>
      <w:r w:rsidR="005707F2">
        <w:instrText xml:space="preserve"> REF _Ref236394681 \h </w:instrText>
      </w:r>
      <w:r w:rsidR="00BD151C">
        <w:fldChar w:fldCharType="separate"/>
      </w:r>
      <w:r w:rsidR="003E4210" w:rsidRPr="00066F65">
        <w:rPr>
          <w:lang w:val="fr-FR"/>
        </w:rPr>
        <w:t xml:space="preserve">Figure </w:t>
      </w:r>
      <w:r w:rsidR="003E4210">
        <w:rPr>
          <w:noProof/>
          <w:lang w:val="fr-FR"/>
        </w:rPr>
        <w:t>77</w:t>
      </w:r>
      <w:r w:rsidR="00BD151C">
        <w:fldChar w:fldCharType="end"/>
      </w:r>
      <w:r w:rsidR="00F07751" w:rsidRPr="009448FC">
        <w:t>.</w:t>
      </w:r>
    </w:p>
    <w:p w:rsidR="008C36FC" w:rsidRPr="009448FC" w:rsidRDefault="008C36FC" w:rsidP="0004091F"/>
    <w:p w:rsidR="008C36FC" w:rsidRPr="009448FC" w:rsidRDefault="008C36FC" w:rsidP="0004091F">
      <w:r w:rsidRPr="009448FC">
        <w:t xml:space="preserve">The fields of the MPDU Delimiter field are defined in </w:t>
      </w:r>
      <w:r w:rsidR="00BD151C" w:rsidRPr="009448FC">
        <w:fldChar w:fldCharType="begin"/>
      </w:r>
      <w:r w:rsidRPr="009448FC">
        <w:instrText xml:space="preserve"> REF _Ref218953781 \h </w:instrText>
      </w:r>
      <w:r w:rsidR="00BD151C" w:rsidRPr="009448FC">
        <w:fldChar w:fldCharType="separate"/>
      </w:r>
      <w:r w:rsidR="003E4210" w:rsidRPr="00066F65">
        <w:t xml:space="preserve">Table </w:t>
      </w:r>
      <w:r w:rsidR="003E4210">
        <w:rPr>
          <w:noProof/>
        </w:rPr>
        <w:t>57</w:t>
      </w:r>
      <w:r w:rsidR="00BD151C" w:rsidRPr="009448FC">
        <w:fldChar w:fldCharType="end"/>
      </w:r>
      <w:r w:rsidRPr="009448FC">
        <w:t>.</w:t>
      </w:r>
    </w:p>
    <w:p w:rsidR="008C36FC" w:rsidRPr="009448FC" w:rsidRDefault="008C36FC" w:rsidP="0004091F"/>
    <w:p w:rsidR="008C36FC" w:rsidRPr="009448FC" w:rsidRDefault="00E8481F" w:rsidP="0004091F">
      <w:pPr>
        <w:keepNext/>
        <w:jc w:val="center"/>
      </w:pPr>
      <w:r>
        <w:rPr>
          <w:noProof/>
          <w:lang w:bidi="ar-SA"/>
        </w:rPr>
        <w:drawing>
          <wp:inline distT="0" distB="0" distL="0" distR="0">
            <wp:extent cx="5238115" cy="954405"/>
            <wp:effectExtent l="1905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cstate="print"/>
                    <a:srcRect/>
                    <a:stretch>
                      <a:fillRect/>
                    </a:stretch>
                  </pic:blipFill>
                  <pic:spPr bwMode="auto">
                    <a:xfrm>
                      <a:off x="0" y="0"/>
                      <a:ext cx="5238115" cy="954405"/>
                    </a:xfrm>
                    <a:prstGeom prst="rect">
                      <a:avLst/>
                    </a:prstGeom>
                    <a:noFill/>
                    <a:ln w="9525">
                      <a:noFill/>
                      <a:miter lim="800000"/>
                      <a:headEnd/>
                      <a:tailEnd/>
                    </a:ln>
                  </pic:spPr>
                </pic:pic>
              </a:graphicData>
            </a:graphic>
          </wp:inline>
        </w:drawing>
      </w:r>
    </w:p>
    <w:p w:rsidR="008C36FC" w:rsidRPr="00066F65" w:rsidRDefault="000904BC" w:rsidP="00BA5BC4">
      <w:pPr>
        <w:pStyle w:val="Caption"/>
        <w:rPr>
          <w:lang w:val="fr-FR"/>
        </w:rPr>
      </w:pPr>
      <w:bookmarkStart w:id="978" w:name="_Ref236394681"/>
      <w:bookmarkStart w:id="979" w:name="_Toc259717509"/>
      <w:r w:rsidRPr="00066F65">
        <w:rPr>
          <w:lang w:val="fr-FR"/>
        </w:rPr>
        <w:t xml:space="preserve">Figure </w:t>
      </w:r>
      <w:r w:rsidR="00BD151C" w:rsidRPr="00066F65">
        <w:fldChar w:fldCharType="begin"/>
      </w:r>
      <w:r w:rsidRPr="00066F65">
        <w:rPr>
          <w:lang w:val="fr-FR"/>
        </w:rPr>
        <w:instrText xml:space="preserve"> SEQ Figure \* ARABIC </w:instrText>
      </w:r>
      <w:r w:rsidR="00BD151C" w:rsidRPr="00066F65">
        <w:fldChar w:fldCharType="separate"/>
      </w:r>
      <w:r w:rsidR="003E4210">
        <w:rPr>
          <w:noProof/>
          <w:lang w:val="fr-FR"/>
        </w:rPr>
        <w:t>77</w:t>
      </w:r>
      <w:r w:rsidR="00BD151C" w:rsidRPr="00066F65">
        <w:fldChar w:fldCharType="end"/>
      </w:r>
      <w:bookmarkEnd w:id="978"/>
      <w:r w:rsidR="008C36FC" w:rsidRPr="00066F65">
        <w:rPr>
          <w:noProof/>
          <w:lang w:val="fr-FR"/>
        </w:rPr>
        <w:t xml:space="preserve"> </w:t>
      </w:r>
      <w:r w:rsidR="00F07751" w:rsidRPr="00066F65">
        <w:rPr>
          <w:noProof/>
          <w:lang w:val="fr-FR"/>
        </w:rPr>
        <w:t xml:space="preserve">– </w:t>
      </w:r>
      <w:r w:rsidR="008C36FC" w:rsidRPr="00066F65">
        <w:rPr>
          <w:noProof/>
          <w:lang w:val="fr-FR"/>
        </w:rPr>
        <w:t>mmWave A-MPDU subframe format</w:t>
      </w:r>
      <w:bookmarkEnd w:id="979"/>
    </w:p>
    <w:p w:rsidR="008C36FC" w:rsidRPr="009448FC" w:rsidRDefault="008C36FC" w:rsidP="0004091F">
      <w:pPr>
        <w:rPr>
          <w:lang w:val="fr-FR"/>
        </w:rPr>
      </w:pPr>
    </w:p>
    <w:p w:rsidR="008C36FC" w:rsidRPr="00066F65" w:rsidRDefault="008C36FC" w:rsidP="009448FC">
      <w:pPr>
        <w:pStyle w:val="Caption"/>
        <w:keepNext/>
      </w:pPr>
      <w:bookmarkStart w:id="980" w:name="_Ref218953781"/>
      <w:bookmarkStart w:id="981" w:name="_Toc225065784"/>
      <w:bookmarkStart w:id="982" w:name="_Toc250654441"/>
      <w:bookmarkStart w:id="983" w:name="_Toc259717635"/>
      <w:r w:rsidRPr="00066F65">
        <w:t>Table</w:t>
      </w:r>
      <w:r w:rsidR="00735DC0" w:rsidRPr="00066F65">
        <w:t xml:space="preserve"> </w:t>
      </w:r>
      <w:r w:rsidR="00BD151C">
        <w:fldChar w:fldCharType="begin"/>
      </w:r>
      <w:r w:rsidR="00801316">
        <w:instrText xml:space="preserve"> SEQ Table \* ARABIC </w:instrText>
      </w:r>
      <w:r w:rsidR="00BD151C">
        <w:fldChar w:fldCharType="separate"/>
      </w:r>
      <w:r w:rsidR="003E4210">
        <w:rPr>
          <w:noProof/>
        </w:rPr>
        <w:t>57</w:t>
      </w:r>
      <w:r w:rsidR="00BD151C">
        <w:fldChar w:fldCharType="end"/>
      </w:r>
      <w:bookmarkEnd w:id="980"/>
      <w:r w:rsidRPr="00066F65">
        <w:rPr>
          <w:noProof/>
        </w:rPr>
        <w:t xml:space="preserve"> </w:t>
      </w:r>
      <w:r w:rsidR="00F07751" w:rsidRPr="00066F65">
        <w:rPr>
          <w:noProof/>
        </w:rPr>
        <w:t xml:space="preserve">– </w:t>
      </w:r>
      <w:r w:rsidRPr="00066F65">
        <w:rPr>
          <w:noProof/>
        </w:rPr>
        <w:t>MPDU Delimiter fields mmWave A-MPDU</w:t>
      </w:r>
      <w:bookmarkEnd w:id="981"/>
      <w:bookmarkEnd w:id="982"/>
      <w:bookmarkEnd w:id="9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8"/>
        <w:gridCol w:w="1318"/>
        <w:gridCol w:w="3518"/>
      </w:tblGrid>
      <w:tr w:rsidR="008C36FC" w:rsidRPr="00066F65" w:rsidTr="00D0037C">
        <w:trPr>
          <w:jc w:val="center"/>
        </w:trPr>
        <w:tc>
          <w:tcPr>
            <w:tcW w:w="2508" w:type="dxa"/>
          </w:tcPr>
          <w:p w:rsidR="008C36FC" w:rsidRPr="009448FC" w:rsidRDefault="008C36FC" w:rsidP="00D0037C">
            <w:pPr>
              <w:jc w:val="both"/>
              <w:rPr>
                <w:rFonts w:eastAsia="SimSun"/>
                <w:b/>
                <w:lang w:val="fr-FR"/>
              </w:rPr>
            </w:pPr>
            <w:r w:rsidRPr="009448FC">
              <w:rPr>
                <w:rFonts w:eastAsia="SimSun"/>
                <w:b/>
                <w:lang w:val="fr-FR"/>
              </w:rPr>
              <w:t>MPDU Delimiter field</w:t>
            </w:r>
          </w:p>
        </w:tc>
        <w:tc>
          <w:tcPr>
            <w:tcW w:w="1318" w:type="dxa"/>
          </w:tcPr>
          <w:p w:rsidR="008C36FC" w:rsidRPr="009448FC" w:rsidRDefault="008C36FC" w:rsidP="00D0037C">
            <w:pPr>
              <w:jc w:val="both"/>
              <w:rPr>
                <w:rFonts w:eastAsia="SimSun"/>
                <w:b/>
                <w:lang w:val="fr-FR"/>
              </w:rPr>
            </w:pPr>
            <w:r w:rsidRPr="009448FC">
              <w:rPr>
                <w:rFonts w:eastAsia="SimSun"/>
                <w:b/>
                <w:lang w:val="fr-FR"/>
              </w:rPr>
              <w:t>Size (bits)</w:t>
            </w:r>
          </w:p>
        </w:tc>
        <w:tc>
          <w:tcPr>
            <w:tcW w:w="3518" w:type="dxa"/>
          </w:tcPr>
          <w:p w:rsidR="008C36FC" w:rsidRPr="009448FC" w:rsidRDefault="008C36FC" w:rsidP="00D0037C">
            <w:pPr>
              <w:jc w:val="both"/>
              <w:rPr>
                <w:rFonts w:eastAsia="SimSun"/>
                <w:b/>
                <w:lang w:val="fr-FR"/>
              </w:rPr>
            </w:pPr>
            <w:r w:rsidRPr="009448FC">
              <w:rPr>
                <w:rFonts w:eastAsia="SimSun"/>
                <w:b/>
                <w:lang w:val="fr-FR"/>
              </w:rPr>
              <w:t>Description</w:t>
            </w: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Reserved</w:t>
            </w:r>
          </w:p>
        </w:tc>
        <w:tc>
          <w:tcPr>
            <w:tcW w:w="1318" w:type="dxa"/>
          </w:tcPr>
          <w:p w:rsidR="008C36FC" w:rsidRPr="009448FC" w:rsidRDefault="008C36FC" w:rsidP="00D0037C">
            <w:pPr>
              <w:jc w:val="both"/>
              <w:rPr>
                <w:rFonts w:eastAsia="SimSun"/>
                <w:lang w:val="fr-FR"/>
              </w:rPr>
            </w:pPr>
            <w:r w:rsidRPr="009448FC">
              <w:rPr>
                <w:rFonts w:eastAsia="SimSun"/>
                <w:lang w:val="fr-FR"/>
              </w:rPr>
              <w:t>2</w:t>
            </w:r>
          </w:p>
        </w:tc>
        <w:tc>
          <w:tcPr>
            <w:tcW w:w="3518" w:type="dxa"/>
          </w:tcPr>
          <w:p w:rsidR="008C36FC" w:rsidRPr="009448FC" w:rsidRDefault="008C36FC" w:rsidP="00D0037C">
            <w:pPr>
              <w:jc w:val="both"/>
              <w:rPr>
                <w:rFonts w:eastAsia="SimSun"/>
                <w:lang w:val="fr-FR"/>
              </w:rPr>
            </w:pP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MPDU length</w:t>
            </w:r>
          </w:p>
        </w:tc>
        <w:tc>
          <w:tcPr>
            <w:tcW w:w="1318" w:type="dxa"/>
          </w:tcPr>
          <w:p w:rsidR="008C36FC" w:rsidRPr="009448FC" w:rsidRDefault="008C36FC" w:rsidP="00D0037C">
            <w:pPr>
              <w:jc w:val="both"/>
              <w:rPr>
                <w:rFonts w:eastAsia="SimSun"/>
                <w:lang w:val="fr-FR"/>
              </w:rPr>
            </w:pPr>
            <w:r w:rsidRPr="009448FC">
              <w:rPr>
                <w:rFonts w:eastAsia="SimSun"/>
                <w:lang w:val="fr-FR"/>
              </w:rPr>
              <w:t>14</w:t>
            </w:r>
          </w:p>
        </w:tc>
        <w:tc>
          <w:tcPr>
            <w:tcW w:w="3518" w:type="dxa"/>
          </w:tcPr>
          <w:p w:rsidR="008C36FC" w:rsidRPr="009448FC" w:rsidRDefault="008C36FC" w:rsidP="00D0037C">
            <w:pPr>
              <w:jc w:val="both"/>
              <w:rPr>
                <w:rFonts w:eastAsia="SimSun"/>
              </w:rPr>
            </w:pPr>
            <w:r w:rsidRPr="009448FC">
              <w:rPr>
                <w:rFonts w:eastAsia="SimSun"/>
              </w:rPr>
              <w:t>Length of MPDU in octets</w:t>
            </w: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CRC</w:t>
            </w:r>
          </w:p>
        </w:tc>
        <w:tc>
          <w:tcPr>
            <w:tcW w:w="1318" w:type="dxa"/>
          </w:tcPr>
          <w:p w:rsidR="008C36FC" w:rsidRPr="009448FC" w:rsidRDefault="008C36FC" w:rsidP="00D0037C">
            <w:pPr>
              <w:jc w:val="both"/>
              <w:rPr>
                <w:rFonts w:eastAsia="SimSun"/>
                <w:lang w:val="fr-FR"/>
              </w:rPr>
            </w:pPr>
            <w:r w:rsidRPr="009448FC">
              <w:rPr>
                <w:rFonts w:eastAsia="SimSun"/>
                <w:lang w:val="fr-FR"/>
              </w:rPr>
              <w:t>8</w:t>
            </w:r>
          </w:p>
        </w:tc>
        <w:tc>
          <w:tcPr>
            <w:tcW w:w="3518" w:type="dxa"/>
          </w:tcPr>
          <w:p w:rsidR="008C36FC" w:rsidRPr="009448FC" w:rsidRDefault="008C36FC" w:rsidP="00D0037C">
            <w:pPr>
              <w:jc w:val="both"/>
              <w:rPr>
                <w:rFonts w:eastAsia="SimSun"/>
              </w:rPr>
            </w:pPr>
            <w:r w:rsidRPr="009448FC">
              <w:rPr>
                <w:rFonts w:eastAsia="SimSun"/>
              </w:rPr>
              <w:t>8-bit CRC on preceding 16-bits</w:t>
            </w: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Delimiter signature</w:t>
            </w:r>
          </w:p>
        </w:tc>
        <w:tc>
          <w:tcPr>
            <w:tcW w:w="1318" w:type="dxa"/>
          </w:tcPr>
          <w:p w:rsidR="008C36FC" w:rsidRPr="009448FC" w:rsidRDefault="008C36FC" w:rsidP="00D0037C">
            <w:pPr>
              <w:jc w:val="both"/>
              <w:rPr>
                <w:rFonts w:eastAsia="SimSun"/>
                <w:lang w:val="fr-FR"/>
              </w:rPr>
            </w:pPr>
            <w:r w:rsidRPr="009448FC">
              <w:rPr>
                <w:rFonts w:eastAsia="SimSun"/>
                <w:lang w:val="fr-FR"/>
              </w:rPr>
              <w:t>8</w:t>
            </w:r>
          </w:p>
        </w:tc>
        <w:tc>
          <w:tcPr>
            <w:tcW w:w="3518" w:type="dxa"/>
          </w:tcPr>
          <w:p w:rsidR="008C36FC" w:rsidRPr="009448FC" w:rsidRDefault="008C36FC" w:rsidP="00F148AA">
            <w:pPr>
              <w:rPr>
                <w:rFonts w:eastAsia="SimSun"/>
              </w:rPr>
            </w:pPr>
            <w:r w:rsidRPr="009448FC">
              <w:rPr>
                <w:rFonts w:eastAsia="SimSun"/>
              </w:rPr>
              <w:t>Pattern that may be used to detect an MPDU delimiter when scanning for a delimiter.</w:t>
            </w:r>
          </w:p>
          <w:p w:rsidR="008C36FC" w:rsidRPr="009448FC" w:rsidRDefault="008C36FC" w:rsidP="00F148AA">
            <w:pPr>
              <w:rPr>
                <w:rFonts w:eastAsia="SimSun"/>
              </w:rPr>
            </w:pPr>
            <w:r w:rsidRPr="009448FC">
              <w:rPr>
                <w:rFonts w:eastAsia="SimSun"/>
              </w:rPr>
              <w:t>The unique pattern is set to the value 0x4E.</w:t>
            </w:r>
          </w:p>
        </w:tc>
      </w:tr>
    </w:tbl>
    <w:p w:rsidR="00E43BBA" w:rsidRPr="009448FC" w:rsidRDefault="00E43BBA" w:rsidP="001A4C14">
      <w:pPr>
        <w:pStyle w:val="Heading3"/>
      </w:pPr>
      <w:bookmarkStart w:id="984" w:name="_Toc235400297"/>
      <w:bookmarkStart w:id="985" w:name="_Toc259717007"/>
      <w:r w:rsidRPr="009448FC">
        <w:t>7.4a.3 A-MPDU contents</w:t>
      </w:r>
      <w:bookmarkEnd w:id="984"/>
      <w:bookmarkEnd w:id="985"/>
    </w:p>
    <w:p w:rsidR="008C36FC" w:rsidRPr="009448FC" w:rsidRDefault="00655EA4" w:rsidP="00AF5178">
      <w:pPr>
        <w:rPr>
          <w:i/>
        </w:rPr>
      </w:pPr>
      <w:r w:rsidRPr="009448FC">
        <w:rPr>
          <w:i/>
        </w:rPr>
        <w:t>.</w:t>
      </w:r>
      <w:r w:rsidR="00E43BBA" w:rsidRPr="009448FC">
        <w:rPr>
          <w:i/>
        </w:rPr>
        <w:t>11 Editor Note: in Table 7-57aa A-MPDU contents MPDUs in a control response context, insert</w:t>
      </w:r>
      <w:r w:rsidR="00E43BBA" w:rsidRPr="009448FC">
        <w:t xml:space="preserve"> “or Beam refinement management frame” </w:t>
      </w:r>
      <w:r w:rsidR="00E43BBA" w:rsidRPr="009448FC">
        <w:rPr>
          <w:i/>
        </w:rPr>
        <w:t>at the end of the sentence ending with</w:t>
      </w:r>
      <w:r w:rsidR="00E43BBA" w:rsidRPr="009448FC">
        <w:rPr>
          <w:b/>
          <w:i/>
        </w:rPr>
        <w:t xml:space="preserve"> </w:t>
      </w:r>
      <w:r w:rsidR="00E43BBA" w:rsidRPr="009448FC">
        <w:t xml:space="preserve">“… explicit feedback response” </w:t>
      </w:r>
      <w:r w:rsidR="00E43BBA" w:rsidRPr="009448FC">
        <w:rPr>
          <w:i/>
        </w:rPr>
        <w:t>in the 4</w:t>
      </w:r>
      <w:r w:rsidR="00E43BBA" w:rsidRPr="009448FC">
        <w:rPr>
          <w:i/>
          <w:vertAlign w:val="superscript"/>
        </w:rPr>
        <w:t>th</w:t>
      </w:r>
      <w:r w:rsidR="00E43BBA" w:rsidRPr="009448FC">
        <w:rPr>
          <w:i/>
        </w:rPr>
        <w:t xml:space="preserve"> row named as Action No Ack.</w:t>
      </w:r>
    </w:p>
    <w:p w:rsidR="0035247A" w:rsidRPr="009448FC" w:rsidRDefault="0035247A" w:rsidP="00AF5178">
      <w:pPr>
        <w:rPr>
          <w:i/>
        </w:rPr>
      </w:pPr>
    </w:p>
    <w:p w:rsidR="0035247A" w:rsidRPr="00DD43F9" w:rsidRDefault="0035247A" w:rsidP="0035247A">
      <w:pPr>
        <w:jc w:val="both"/>
        <w:rPr>
          <w:i/>
          <w:iCs/>
        </w:rPr>
      </w:pPr>
      <w:r w:rsidRPr="00DD43F9">
        <w:rPr>
          <w:i/>
          <w:iCs/>
        </w:rPr>
        <w:t>.11 Editor note: insert the following as the third paragraph:</w:t>
      </w:r>
    </w:p>
    <w:p w:rsidR="0035247A" w:rsidRPr="00066F65" w:rsidRDefault="0035247A" w:rsidP="0035247A">
      <w:pPr>
        <w:jc w:val="both"/>
        <w:rPr>
          <w:u w:val="single"/>
        </w:rPr>
      </w:pPr>
    </w:p>
    <w:p w:rsidR="0035247A" w:rsidRPr="00066F65" w:rsidRDefault="0035247A" w:rsidP="0035247A">
      <w:pPr>
        <w:jc w:val="both"/>
        <w:rPr>
          <w:u w:val="single"/>
        </w:rPr>
      </w:pPr>
      <w:r w:rsidRPr="00066F65">
        <w:rPr>
          <w:u w:val="single"/>
        </w:rPr>
        <w:t xml:space="preserve">All protected MPDUs within an A-MPDU </w:t>
      </w:r>
      <w:r w:rsidR="00D156BC">
        <w:rPr>
          <w:u w:val="single"/>
        </w:rPr>
        <w:t xml:space="preserve">shall </w:t>
      </w:r>
      <w:r w:rsidRPr="00066F65">
        <w:rPr>
          <w:u w:val="single"/>
        </w:rPr>
        <w:t>have the same Key ID.</w:t>
      </w:r>
    </w:p>
    <w:p w:rsidR="0035247A" w:rsidRPr="009448FC" w:rsidRDefault="0035247A" w:rsidP="00AF5178"/>
    <w:p w:rsidR="008C36FC" w:rsidRPr="00066F65" w:rsidRDefault="008C36FC" w:rsidP="003701DB">
      <w:pPr>
        <w:pStyle w:val="Heading1"/>
        <w:numPr>
          <w:ilvl w:val="0"/>
          <w:numId w:val="8"/>
        </w:numPr>
        <w:rPr>
          <w:rFonts w:ascii="Times New Roman" w:hAnsi="Times New Roman"/>
        </w:rPr>
      </w:pPr>
      <w:bookmarkStart w:id="986" w:name="_Toc207098902"/>
      <w:bookmarkStart w:id="987" w:name="_Toc207099510"/>
      <w:bookmarkStart w:id="988" w:name="_Toc207100429"/>
      <w:bookmarkStart w:id="989" w:name="_Toc207348351"/>
      <w:bookmarkStart w:id="990" w:name="_Toc215582732"/>
      <w:bookmarkStart w:id="991" w:name="_Toc235400298"/>
      <w:bookmarkStart w:id="992" w:name="_Toc259717008"/>
      <w:r w:rsidRPr="00066F65">
        <w:rPr>
          <w:rFonts w:ascii="Times New Roman" w:hAnsi="Times New Roman"/>
        </w:rPr>
        <w:t>Security</w:t>
      </w:r>
      <w:bookmarkEnd w:id="986"/>
      <w:bookmarkEnd w:id="987"/>
      <w:bookmarkEnd w:id="988"/>
      <w:bookmarkEnd w:id="989"/>
      <w:bookmarkEnd w:id="990"/>
      <w:bookmarkEnd w:id="991"/>
      <w:bookmarkEnd w:id="992"/>
    </w:p>
    <w:p w:rsidR="00487DE4" w:rsidRPr="009448FC" w:rsidRDefault="00487DE4" w:rsidP="00487DE4"/>
    <w:p w:rsidR="007979B5" w:rsidRPr="00066F65" w:rsidRDefault="007979B5" w:rsidP="007979B5">
      <w:pPr>
        <w:pStyle w:val="Heading2"/>
      </w:pPr>
      <w:bookmarkStart w:id="993" w:name="_Toc259717009"/>
      <w:r w:rsidRPr="00066F65">
        <w:t>8.1 Framework</w:t>
      </w:r>
      <w:bookmarkEnd w:id="993"/>
    </w:p>
    <w:p w:rsidR="007979B5" w:rsidRDefault="00EA675D" w:rsidP="00487DE4">
      <w:r>
        <w:t xml:space="preserve"> </w:t>
      </w:r>
    </w:p>
    <w:p w:rsidR="007C6270" w:rsidRPr="009448FC" w:rsidRDefault="007C6270" w:rsidP="007C6270">
      <w:pPr>
        <w:pStyle w:val="Heading3"/>
      </w:pPr>
      <w:bookmarkStart w:id="994" w:name="_Toc259717010"/>
      <w:r w:rsidRPr="009448FC">
        <w:t>8.1.</w:t>
      </w:r>
      <w:r>
        <w:t>1</w:t>
      </w:r>
      <w:r w:rsidRPr="009448FC">
        <w:t xml:space="preserve"> </w:t>
      </w:r>
      <w:r>
        <w:t>Security methods</w:t>
      </w:r>
      <w:bookmarkEnd w:id="994"/>
    </w:p>
    <w:p w:rsidR="007C6270" w:rsidRDefault="007C6270" w:rsidP="00487DE4"/>
    <w:p w:rsidR="007C6270" w:rsidRDefault="007C6270" w:rsidP="007C6270">
      <w:pPr>
        <w:rPr>
          <w:i/>
        </w:rPr>
      </w:pPr>
      <w:r w:rsidRPr="009448FC">
        <w:rPr>
          <w:i/>
        </w:rPr>
        <w:t xml:space="preserve">.11 Editor Note: make the indicated changes in the </w:t>
      </w:r>
      <w:r>
        <w:rPr>
          <w:i/>
        </w:rPr>
        <w:t>second</w:t>
      </w:r>
      <w:r w:rsidRPr="009448FC">
        <w:rPr>
          <w:i/>
        </w:rPr>
        <w:t xml:space="preserve"> paragraph</w:t>
      </w:r>
    </w:p>
    <w:p w:rsidR="007C6270" w:rsidRDefault="007C6270" w:rsidP="00487DE4"/>
    <w:p w:rsidR="007C6270" w:rsidRPr="00B9635E" w:rsidRDefault="007C6270" w:rsidP="007C6270">
      <w:pPr>
        <w:pStyle w:val="Normal115pt"/>
        <w:rPr>
          <w:sz w:val="24"/>
          <w:szCs w:val="24"/>
        </w:rPr>
      </w:pPr>
      <w:r w:rsidRPr="00B9635E">
        <w:rPr>
          <w:sz w:val="24"/>
          <w:szCs w:val="24"/>
        </w:rPr>
        <w:t>RSNA security comprises the following algorithms:</w:t>
      </w:r>
    </w:p>
    <w:p w:rsidR="007C6270" w:rsidRPr="00B9635E" w:rsidRDefault="007C6270" w:rsidP="003701DB">
      <w:pPr>
        <w:pStyle w:val="Normal115pt"/>
        <w:numPr>
          <w:ilvl w:val="0"/>
          <w:numId w:val="213"/>
        </w:numPr>
        <w:rPr>
          <w:sz w:val="24"/>
          <w:szCs w:val="24"/>
        </w:rPr>
      </w:pPr>
      <w:r w:rsidRPr="00B9635E">
        <w:rPr>
          <w:sz w:val="24"/>
          <w:szCs w:val="24"/>
        </w:rPr>
        <w:t>TKIP, described in 8.3.2 (Temporal Key Integrity Protocol (TKIP))</w:t>
      </w:r>
    </w:p>
    <w:p w:rsidR="007C6270" w:rsidRPr="00B9635E" w:rsidRDefault="007C6270" w:rsidP="003701DB">
      <w:pPr>
        <w:pStyle w:val="Normal115pt"/>
        <w:numPr>
          <w:ilvl w:val="0"/>
          <w:numId w:val="213"/>
        </w:numPr>
        <w:rPr>
          <w:sz w:val="24"/>
          <w:szCs w:val="24"/>
        </w:rPr>
      </w:pPr>
      <w:r w:rsidRPr="00B9635E">
        <w:rPr>
          <w:sz w:val="24"/>
          <w:szCs w:val="24"/>
        </w:rPr>
        <w:lastRenderedPageBreak/>
        <w:t>CCMP, described in 8.3.3 (CTR with CBC-MAC Protocol (CCMP))</w:t>
      </w:r>
    </w:p>
    <w:p w:rsidR="007C6270" w:rsidRPr="00B9635E" w:rsidRDefault="007C6270" w:rsidP="003701DB">
      <w:pPr>
        <w:pStyle w:val="Normal115pt"/>
        <w:numPr>
          <w:ilvl w:val="0"/>
          <w:numId w:val="213"/>
        </w:numPr>
        <w:rPr>
          <w:sz w:val="24"/>
          <w:szCs w:val="24"/>
          <w:u w:val="single"/>
        </w:rPr>
      </w:pPr>
      <w:r w:rsidRPr="00B9635E">
        <w:rPr>
          <w:sz w:val="24"/>
          <w:szCs w:val="24"/>
          <w:u w:val="single"/>
        </w:rPr>
        <w:t>GCMP, described in 8.3.</w:t>
      </w:r>
      <w:r w:rsidR="009D537D" w:rsidRPr="00B9635E">
        <w:rPr>
          <w:rFonts w:eastAsia="Times New Roman"/>
          <w:sz w:val="24"/>
          <w:szCs w:val="24"/>
          <w:u w:val="single"/>
          <w:lang w:eastAsia="en-US" w:bidi="he-IL"/>
        </w:rPr>
        <w:t xml:space="preserve">5 </w:t>
      </w:r>
      <w:r w:rsidRPr="00B9635E">
        <w:rPr>
          <w:sz w:val="24"/>
          <w:szCs w:val="24"/>
          <w:u w:val="single"/>
        </w:rPr>
        <w:t>(</w:t>
      </w:r>
      <w:fldSimple w:instr=" REF _Ref256318268 \h  \* MERGEFORMAT ">
        <w:r w:rsidR="003E4210" w:rsidRPr="003E4210">
          <w:rPr>
            <w:sz w:val="24"/>
            <w:szCs w:val="24"/>
            <w:u w:val="single"/>
          </w:rPr>
          <w:t>GCM with GMAC Protocol (GCMP)</w:t>
        </w:r>
      </w:fldSimple>
      <w:r w:rsidRPr="00B9635E">
        <w:rPr>
          <w:sz w:val="24"/>
          <w:szCs w:val="24"/>
          <w:u w:val="single"/>
        </w:rPr>
        <w:t>)</w:t>
      </w:r>
    </w:p>
    <w:p w:rsidR="007C6270" w:rsidRPr="00B9635E" w:rsidRDefault="007C6270" w:rsidP="003701DB">
      <w:pPr>
        <w:pStyle w:val="Normal115pt"/>
        <w:numPr>
          <w:ilvl w:val="0"/>
          <w:numId w:val="213"/>
        </w:numPr>
        <w:rPr>
          <w:sz w:val="24"/>
          <w:szCs w:val="24"/>
        </w:rPr>
      </w:pPr>
      <w:r w:rsidRPr="00B9635E">
        <w:rPr>
          <w:sz w:val="24"/>
          <w:szCs w:val="24"/>
        </w:rPr>
        <w:t>BIP, described in 8.3.4 (The Broadcast/Multicast integrity protocol)</w:t>
      </w:r>
    </w:p>
    <w:p w:rsidR="007C6270" w:rsidRPr="009448FC" w:rsidRDefault="007C6270" w:rsidP="00487DE4"/>
    <w:p w:rsidR="00D56E36" w:rsidRPr="009448FC" w:rsidRDefault="007979B5" w:rsidP="006A2D7D">
      <w:pPr>
        <w:pStyle w:val="Heading3"/>
      </w:pPr>
      <w:bookmarkStart w:id="995" w:name="_Toc259717011"/>
      <w:r w:rsidRPr="009448FC">
        <w:t>8.1.2 RSNA equipment and RSNA capabilities</w:t>
      </w:r>
      <w:bookmarkEnd w:id="995"/>
    </w:p>
    <w:p w:rsidR="006A2D7D" w:rsidRPr="009448FC" w:rsidRDefault="006A2D7D" w:rsidP="006A2D7D"/>
    <w:p w:rsidR="007979B5" w:rsidRDefault="007979B5" w:rsidP="00487DE4">
      <w:pPr>
        <w:rPr>
          <w:i/>
        </w:rPr>
      </w:pPr>
      <w:r w:rsidRPr="009448FC">
        <w:rPr>
          <w:i/>
        </w:rPr>
        <w:t>.11 Editor Note: make the indicated changes in the first paragraph</w:t>
      </w:r>
    </w:p>
    <w:p w:rsidR="007C6270" w:rsidRPr="009448FC" w:rsidRDefault="007C6270" w:rsidP="00487DE4"/>
    <w:p w:rsidR="007979B5" w:rsidRPr="009448FC" w:rsidRDefault="007979B5" w:rsidP="00487DE4">
      <w:r w:rsidRPr="009448FC">
        <w:t>RSNA-capable equipment can create RSNAs. When dot11RSNAEnabled is true, RSNA-capable equipment shall include the RSN information element</w:t>
      </w:r>
      <w:r w:rsidR="00D11F2E">
        <w:t xml:space="preserve"> </w:t>
      </w:r>
      <w:r w:rsidRPr="009448FC">
        <w:t xml:space="preserve">in Beacon, Probe Response, </w:t>
      </w:r>
      <w:r w:rsidRPr="00066F65">
        <w:rPr>
          <w:bCs/>
          <w:iCs/>
          <w:u w:val="single"/>
        </w:rPr>
        <w:t>Information Response,</w:t>
      </w:r>
      <w:r w:rsidRPr="009448FC">
        <w:t xml:space="preserve"> and (Re)Association Request frames and in Message 2 and Message 3 of the 4-Way Handshake</w:t>
      </w:r>
      <w:r w:rsidRPr="00066F65">
        <w:rPr>
          <w:bCs/>
          <w:iCs/>
          <w:u w:val="single"/>
        </w:rPr>
        <w:t>, shall set the mmWave Privacy subfield to 1 within transmitted mmWave Beacons, and may include the RSN information element</w:t>
      </w:r>
      <w:r w:rsidR="00D11F2E">
        <w:rPr>
          <w:bCs/>
          <w:iCs/>
          <w:u w:val="single"/>
        </w:rPr>
        <w:t xml:space="preserve"> </w:t>
      </w:r>
      <w:r w:rsidRPr="00066F65">
        <w:rPr>
          <w:bCs/>
          <w:iCs/>
          <w:u w:val="single"/>
        </w:rPr>
        <w:t>in mmWave Beacon and Announce frames.</w:t>
      </w:r>
      <w:r w:rsidRPr="009448FC">
        <w:t xml:space="preserve"> Pre-RSNA equipment is not capable of creating RSNAs.</w:t>
      </w:r>
    </w:p>
    <w:p w:rsidR="007979B5" w:rsidRDefault="007979B5" w:rsidP="00487DE4"/>
    <w:p w:rsidR="007C6270" w:rsidRPr="009448FC" w:rsidRDefault="007C6270" w:rsidP="007C6270">
      <w:pPr>
        <w:pStyle w:val="Heading3"/>
      </w:pPr>
      <w:bookmarkStart w:id="996" w:name="_Toc259717012"/>
      <w:r w:rsidRPr="009448FC">
        <w:t>8.1.</w:t>
      </w:r>
      <w:r>
        <w:t>3</w:t>
      </w:r>
      <w:r w:rsidRPr="009448FC">
        <w:t xml:space="preserve"> RSNA </w:t>
      </w:r>
      <w:r>
        <w:t>establishment</w:t>
      </w:r>
      <w:bookmarkEnd w:id="996"/>
    </w:p>
    <w:p w:rsidR="007C6270" w:rsidRDefault="007C6270" w:rsidP="00487DE4"/>
    <w:p w:rsidR="000A772D" w:rsidRDefault="000A772D" w:rsidP="000A772D">
      <w:pPr>
        <w:rPr>
          <w:i/>
        </w:rPr>
      </w:pPr>
      <w:r w:rsidRPr="009448FC">
        <w:rPr>
          <w:i/>
        </w:rPr>
        <w:t>.11 Editor Note: make the indicated changes in the first paragraph</w:t>
      </w:r>
    </w:p>
    <w:p w:rsidR="000A772D" w:rsidRPr="000A772D" w:rsidRDefault="000A772D" w:rsidP="00487DE4"/>
    <w:p w:rsidR="000A772D" w:rsidRPr="000A772D" w:rsidRDefault="009D537D" w:rsidP="000A772D">
      <w:pPr>
        <w:pStyle w:val="Normal115"/>
        <w:jc w:val="both"/>
        <w:rPr>
          <w:rFonts w:ascii="Times New Roman" w:hAnsi="Times New Roman" w:cs="Times New Roman"/>
        </w:rPr>
      </w:pPr>
      <w:r w:rsidRPr="009D537D">
        <w:rPr>
          <w:rFonts w:ascii="Times New Roman" w:hAnsi="Times New Roman" w:cs="Times New Roman"/>
        </w:rPr>
        <w:t>A STA’s SME establishes an RSNA in one of four ways:</w:t>
      </w:r>
    </w:p>
    <w:p w:rsidR="000A772D" w:rsidRPr="000A772D" w:rsidRDefault="009D537D" w:rsidP="003701DB">
      <w:pPr>
        <w:pStyle w:val="Normal115"/>
        <w:numPr>
          <w:ilvl w:val="0"/>
          <w:numId w:val="214"/>
        </w:numPr>
        <w:jc w:val="both"/>
        <w:rPr>
          <w:rFonts w:ascii="Times New Roman" w:hAnsi="Times New Roman" w:cs="Times New Roman"/>
        </w:rPr>
      </w:pPr>
      <w:r w:rsidRPr="009D537D">
        <w:rPr>
          <w:rFonts w:ascii="Times New Roman" w:hAnsi="Times New Roman" w:cs="Times New Roman"/>
        </w:rPr>
        <w:t>When using IEEE 802.1X AKM in an ESS</w:t>
      </w:r>
      <w:r w:rsidRPr="009D537D">
        <w:rPr>
          <w:rFonts w:ascii="Times New Roman" w:hAnsi="Times New Roman" w:cs="Times New Roman"/>
          <w:u w:val="single"/>
        </w:rPr>
        <w:t>/PBSS</w:t>
      </w:r>
      <w:r w:rsidRPr="009D537D">
        <w:rPr>
          <w:rFonts w:ascii="Times New Roman" w:hAnsi="Times New Roman" w:cs="Times New Roman"/>
        </w:rPr>
        <w:t xml:space="preserve">, an RSNA-capable STA’s SME establishes an RSNA </w:t>
      </w:r>
      <w:r w:rsidRPr="009D537D">
        <w:rPr>
          <w:rFonts w:ascii="Times New Roman" w:hAnsi="Times New Roman" w:cs="Times New Roman"/>
          <w:u w:val="single"/>
        </w:rPr>
        <w:t>with the AP/PCP</w:t>
      </w:r>
      <w:r w:rsidRPr="009D537D">
        <w:rPr>
          <w:rFonts w:ascii="Times New Roman" w:hAnsi="Times New Roman" w:cs="Times New Roman"/>
        </w:rPr>
        <w:t xml:space="preserve"> as follows:</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It identifies the AP</w:t>
      </w:r>
      <w:r w:rsidRPr="009D537D">
        <w:rPr>
          <w:rFonts w:ascii="Times New Roman" w:hAnsi="Times New Roman" w:cs="Times New Roman"/>
          <w:u w:val="single"/>
        </w:rPr>
        <w:t>/PCP</w:t>
      </w:r>
      <w:r w:rsidRPr="009D537D">
        <w:rPr>
          <w:rFonts w:ascii="Times New Roman" w:hAnsi="Times New Roman" w:cs="Times New Roman"/>
        </w:rPr>
        <w:t xml:space="preserve"> as RSNA-capable from the AP’s Beacon</w:t>
      </w:r>
      <w:r w:rsidRPr="009D537D">
        <w:rPr>
          <w:rFonts w:ascii="Times New Roman" w:hAnsi="Times New Roman" w:cs="Times New Roman"/>
          <w:u w:val="single"/>
        </w:rPr>
        <w:t>, mmWave Beacon</w:t>
      </w:r>
      <w:r w:rsidRPr="009D537D">
        <w:rPr>
          <w:rFonts w:ascii="Times New Roman" w:hAnsi="Times New Roman" w:cs="Times New Roman"/>
        </w:rPr>
        <w:t xml:space="preserve"> or Probe Response</w:t>
      </w:r>
      <w:r w:rsidRPr="009D537D">
        <w:rPr>
          <w:rFonts w:ascii="Times New Roman" w:hAnsi="Times New Roman" w:cs="Times New Roman"/>
          <w:u w:val="single"/>
        </w:rPr>
        <w:t>, or from the PCP’s mmWave Beacon, Announce, Probe Response, or Information Response</w:t>
      </w:r>
      <w:r w:rsidRPr="009D537D">
        <w:rPr>
          <w:rFonts w:ascii="Times New Roman" w:hAnsi="Times New Roman" w:cs="Times New Roman"/>
        </w:rPr>
        <w:t xml:space="preserve"> frames.</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 xml:space="preserve">It shall invoke Open System authentication </w:t>
      </w:r>
      <w:r w:rsidRPr="009D537D">
        <w:rPr>
          <w:rFonts w:ascii="Times New Roman" w:hAnsi="Times New Roman" w:cs="Times New Roman"/>
          <w:u w:val="single"/>
        </w:rPr>
        <w:t>in an ESS</w:t>
      </w:r>
      <w:r w:rsidRPr="009D537D">
        <w:rPr>
          <w:rFonts w:ascii="Times New Roman" w:hAnsi="Times New Roman" w:cs="Times New Roman"/>
        </w:rPr>
        <w:t>.</w:t>
      </w:r>
    </w:p>
    <w:p w:rsidR="000A772D" w:rsidRPr="000A772D" w:rsidRDefault="000A772D" w:rsidP="000A772D">
      <w:pPr>
        <w:pStyle w:val="Normal115"/>
        <w:ind w:left="720"/>
        <w:jc w:val="both"/>
        <w:rPr>
          <w:rFonts w:ascii="Times New Roman" w:hAnsi="Times New Roman" w:cs="Times New Roman"/>
        </w:rPr>
      </w:pPr>
    </w:p>
    <w:p w:rsidR="000A772D" w:rsidRPr="000A772D" w:rsidRDefault="009D537D" w:rsidP="000A772D">
      <w:pPr>
        <w:pStyle w:val="Normal115"/>
        <w:ind w:left="1152"/>
        <w:jc w:val="both"/>
        <w:rPr>
          <w:rFonts w:ascii="Times New Roman" w:hAnsi="Times New Roman" w:cs="Times New Roman"/>
          <w:sz w:val="20"/>
          <w:u w:val="single"/>
        </w:rPr>
      </w:pPr>
      <w:r w:rsidRPr="009D537D">
        <w:rPr>
          <w:rFonts w:ascii="Times New Roman" w:hAnsi="Times New Roman" w:cs="Times New Roman"/>
          <w:sz w:val="20"/>
          <w:u w:val="single"/>
        </w:rPr>
        <w:t>NOTE―STAs do not invoke Open System authentication in a PBSS.</w:t>
      </w:r>
    </w:p>
    <w:p w:rsidR="000A772D" w:rsidRPr="000A772D" w:rsidRDefault="000A772D" w:rsidP="000A772D">
      <w:pPr>
        <w:pStyle w:val="Normal115"/>
        <w:ind w:left="1152"/>
        <w:jc w:val="both"/>
        <w:rPr>
          <w:rFonts w:ascii="Times New Roman" w:hAnsi="Times New Roman" w:cs="Times New Roman"/>
        </w:rPr>
      </w:pP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u w:val="single"/>
        </w:rPr>
        <w:t>If it chooses to associate with the AP/PCP,</w:t>
      </w:r>
      <w:r w:rsidRPr="009D537D">
        <w:rPr>
          <w:rFonts w:ascii="Times New Roman" w:hAnsi="Times New Roman" w:cs="Times New Roman"/>
        </w:rPr>
        <w:t xml:space="preserve"> </w:t>
      </w:r>
      <w:r w:rsidR="000A772D">
        <w:rPr>
          <w:rFonts w:ascii="Times New Roman" w:hAnsi="Times New Roman" w:cs="Times New Roman"/>
        </w:rPr>
        <w:t>I</w:t>
      </w:r>
      <w:r w:rsidRPr="009D537D">
        <w:rPr>
          <w:rFonts w:ascii="Times New Roman" w:hAnsi="Times New Roman" w:cs="Times New Roman"/>
        </w:rPr>
        <w:t>t negotiates cipher suites during the association process, as described in 8.4.2 (RSNA selection) and 8.4.3 (RSNA policy selection in an ESS</w:t>
      </w:r>
      <w:r w:rsidRPr="009D537D">
        <w:rPr>
          <w:rFonts w:ascii="Times New Roman" w:hAnsi="Times New Roman" w:cs="Times New Roman"/>
          <w:u w:val="single"/>
        </w:rPr>
        <w:t>/PBSS</w:t>
      </w:r>
      <w:r w:rsidRPr="009D537D">
        <w:rPr>
          <w:rFonts w:ascii="Times New Roman" w:hAnsi="Times New Roman" w:cs="Times New Roman"/>
        </w:rPr>
        <w:t>).</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It uses IEEE Std 802.1X-2004 to authenticate, as described in 8.4.6 (RSNA authentication in an ESS</w:t>
      </w:r>
      <w:r w:rsidRPr="009D537D">
        <w:rPr>
          <w:rFonts w:ascii="Times New Roman" w:hAnsi="Times New Roman" w:cs="Times New Roman"/>
          <w:u w:val="single"/>
        </w:rPr>
        <w:t>/PBSS</w:t>
      </w:r>
      <w:r w:rsidRPr="009D537D">
        <w:rPr>
          <w:rFonts w:ascii="Times New Roman" w:hAnsi="Times New Roman" w:cs="Times New Roman"/>
        </w:rPr>
        <w:t>) and 8.4.7 (RSNA authentication in an IBSS</w:t>
      </w:r>
      <w:r w:rsidRPr="009D537D">
        <w:rPr>
          <w:rFonts w:ascii="Times New Roman" w:hAnsi="Times New Roman" w:cs="Times New Roman"/>
          <w:u w:val="single"/>
        </w:rPr>
        <w:t>/PBSS</w:t>
      </w:r>
      <w:r w:rsidRPr="009D537D">
        <w:rPr>
          <w:rFonts w:ascii="Times New Roman" w:hAnsi="Times New Roman" w:cs="Times New Roman"/>
        </w:rPr>
        <w:t>).</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It establishes temporal keys by executing a key management algorithm, using the protocol defined by 8.5 (Keys and key distribution) or 11A (Fast BSS transition).</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 xml:space="preserve">It programs the agreed-upon temporal keys and cipher suites into the MAC and invokes protection. See, for example, 8.3.3 (CTR with CBC-MAC Protocol (CCMP)) </w:t>
      </w:r>
      <w:r w:rsidRPr="009D537D">
        <w:rPr>
          <w:rFonts w:ascii="Times New Roman" w:hAnsi="Times New Roman" w:cs="Times New Roman"/>
          <w:u w:val="single"/>
        </w:rPr>
        <w:t>or 8.3.5 (</w:t>
      </w:r>
      <w:fldSimple w:instr=" REF _Ref256318268 \h  \* MERGEFORMAT ">
        <w:r w:rsidR="003E4210" w:rsidRPr="003E4210">
          <w:rPr>
            <w:rFonts w:ascii="Times New Roman" w:hAnsi="Times New Roman" w:cs="Times New Roman"/>
            <w:u w:val="single"/>
          </w:rPr>
          <w:t>GCM with GMAC Protocol (GCMP)</w:t>
        </w:r>
      </w:fldSimple>
      <w:r w:rsidRPr="009D537D">
        <w:rPr>
          <w:rFonts w:ascii="Times New Roman" w:hAnsi="Times New Roman" w:cs="Times New Roman"/>
          <w:u w:val="single"/>
        </w:rPr>
        <w:t>)</w:t>
      </w:r>
      <w:r w:rsidRPr="009D537D">
        <w:rPr>
          <w:rFonts w:ascii="Times New Roman" w:hAnsi="Times New Roman" w:cs="Times New Roman"/>
        </w:rPr>
        <w:t xml:space="preserve"> for a description of the RSNA data protection mechanisms.</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If the STAs negotiate Management Frame Protection, the STA programs the TK and pairwise cipher suite into the MAC for protection of unicast Robust Management frames. It also installs the IGTK and IPN for protection of group addressed Robust Management frames.</w:t>
      </w:r>
    </w:p>
    <w:p w:rsidR="000A772D" w:rsidRPr="000A772D" w:rsidRDefault="009D537D" w:rsidP="003701DB">
      <w:pPr>
        <w:pStyle w:val="Normal115"/>
        <w:numPr>
          <w:ilvl w:val="0"/>
          <w:numId w:val="214"/>
        </w:numPr>
        <w:jc w:val="both"/>
        <w:rPr>
          <w:rFonts w:ascii="Times New Roman" w:hAnsi="Times New Roman" w:cs="Times New Roman"/>
        </w:rPr>
      </w:pPr>
      <w:r w:rsidRPr="009D537D">
        <w:rPr>
          <w:rFonts w:ascii="Times New Roman" w:hAnsi="Times New Roman" w:cs="Times New Roman"/>
        </w:rPr>
        <w:t>If an RSNA is based on a PSK in an ESS</w:t>
      </w:r>
      <w:r w:rsidRPr="009D537D">
        <w:rPr>
          <w:rFonts w:ascii="Times New Roman" w:hAnsi="Times New Roman" w:cs="Times New Roman"/>
          <w:u w:val="single"/>
        </w:rPr>
        <w:t>/PBSS</w:t>
      </w:r>
      <w:r w:rsidRPr="009D537D">
        <w:rPr>
          <w:rFonts w:ascii="Times New Roman" w:hAnsi="Times New Roman" w:cs="Times New Roman"/>
        </w:rPr>
        <w:t xml:space="preserve">, the STA’s SME establishes an RSNA </w:t>
      </w:r>
      <w:r w:rsidRPr="009D537D">
        <w:rPr>
          <w:rFonts w:ascii="Times New Roman" w:hAnsi="Times New Roman" w:cs="Times New Roman"/>
          <w:u w:val="single"/>
        </w:rPr>
        <w:t>with the AP/PCP</w:t>
      </w:r>
      <w:r w:rsidRPr="009D537D">
        <w:rPr>
          <w:rFonts w:ascii="Times New Roman" w:hAnsi="Times New Roman" w:cs="Times New Roman"/>
        </w:rPr>
        <w:t xml:space="preserve"> as follows:</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lastRenderedPageBreak/>
        <w:t>It identifies the AP</w:t>
      </w:r>
      <w:r w:rsidRPr="009D537D">
        <w:rPr>
          <w:rFonts w:ascii="Times New Roman" w:hAnsi="Times New Roman" w:cs="Times New Roman"/>
          <w:u w:val="single"/>
        </w:rPr>
        <w:t>/PCP</w:t>
      </w:r>
      <w:r w:rsidRPr="009D537D">
        <w:rPr>
          <w:rFonts w:ascii="Times New Roman" w:hAnsi="Times New Roman" w:cs="Times New Roman"/>
        </w:rPr>
        <w:t xml:space="preserve"> as RSNA-capable from the AP</w:t>
      </w:r>
      <w:r w:rsidRPr="009D537D">
        <w:rPr>
          <w:rFonts w:ascii="Times New Roman" w:hAnsi="Times New Roman" w:cs="Times New Roman"/>
          <w:u w:val="single"/>
        </w:rPr>
        <w:t>’s/PCP’s</w:t>
      </w:r>
      <w:r w:rsidRPr="009D537D">
        <w:rPr>
          <w:rFonts w:ascii="Times New Roman" w:hAnsi="Times New Roman" w:cs="Times New Roman"/>
        </w:rPr>
        <w:t xml:space="preserve"> Beacon</w:t>
      </w:r>
      <w:r w:rsidRPr="009D537D">
        <w:rPr>
          <w:rFonts w:ascii="Times New Roman" w:hAnsi="Times New Roman" w:cs="Times New Roman"/>
          <w:u w:val="single"/>
        </w:rPr>
        <w:t>, mmWave Beacon</w:t>
      </w:r>
      <w:r w:rsidRPr="009D537D">
        <w:rPr>
          <w:rFonts w:ascii="Times New Roman" w:hAnsi="Times New Roman" w:cs="Times New Roman"/>
        </w:rPr>
        <w:t xml:space="preserve"> or Probe Response</w:t>
      </w:r>
      <w:r w:rsidRPr="009D537D">
        <w:rPr>
          <w:rFonts w:ascii="Times New Roman" w:hAnsi="Times New Roman" w:cs="Times New Roman"/>
          <w:u w:val="single"/>
        </w:rPr>
        <w:t>, or PCP’s mmWave Beacon, Announce, Probe Response, or Information Response</w:t>
      </w:r>
      <w:r w:rsidRPr="009D537D">
        <w:rPr>
          <w:rFonts w:ascii="Times New Roman" w:hAnsi="Times New Roman" w:cs="Times New Roman"/>
        </w:rPr>
        <w:t xml:space="preserve"> frames.</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 xml:space="preserve">It shall invoke Open System authentication </w:t>
      </w:r>
      <w:r w:rsidRPr="009D537D">
        <w:rPr>
          <w:rFonts w:ascii="Times New Roman" w:hAnsi="Times New Roman" w:cs="Times New Roman"/>
          <w:u w:val="single"/>
        </w:rPr>
        <w:t>in an ESS</w:t>
      </w:r>
      <w:r w:rsidRPr="009D537D">
        <w:rPr>
          <w:rFonts w:ascii="Times New Roman" w:hAnsi="Times New Roman" w:cs="Times New Roman"/>
        </w:rPr>
        <w:t>.</w:t>
      </w:r>
    </w:p>
    <w:p w:rsidR="000A772D" w:rsidRPr="000A772D" w:rsidRDefault="000A772D" w:rsidP="000A772D">
      <w:pPr>
        <w:pStyle w:val="Normal115"/>
        <w:ind w:left="1152"/>
        <w:jc w:val="both"/>
        <w:rPr>
          <w:rFonts w:ascii="Times New Roman" w:hAnsi="Times New Roman" w:cs="Times New Roman"/>
        </w:rPr>
      </w:pPr>
    </w:p>
    <w:p w:rsidR="000A772D" w:rsidRPr="00DA086C" w:rsidRDefault="009D537D" w:rsidP="000A772D">
      <w:pPr>
        <w:pStyle w:val="Normal115"/>
        <w:ind w:left="1152"/>
        <w:jc w:val="both"/>
        <w:rPr>
          <w:rFonts w:ascii="Times New Roman" w:hAnsi="Times New Roman" w:cs="Times New Roman"/>
          <w:sz w:val="20"/>
          <w:u w:val="single"/>
        </w:rPr>
      </w:pPr>
      <w:r w:rsidRPr="009D537D">
        <w:rPr>
          <w:rFonts w:ascii="Times New Roman" w:hAnsi="Times New Roman" w:cs="Times New Roman"/>
          <w:sz w:val="20"/>
          <w:u w:val="single"/>
        </w:rPr>
        <w:t>NOTE―STAs do not invoke Open System authentication in a PBSS.</w:t>
      </w:r>
    </w:p>
    <w:p w:rsidR="000A772D" w:rsidRPr="00DA086C" w:rsidRDefault="000A772D" w:rsidP="000A772D">
      <w:pPr>
        <w:pStyle w:val="Normal115"/>
        <w:ind w:left="720"/>
        <w:jc w:val="both"/>
        <w:rPr>
          <w:rFonts w:ascii="Times New Roman" w:hAnsi="Times New Roman" w:cs="Times New Roman"/>
          <w:u w:val="single"/>
        </w:rPr>
      </w:pP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u w:val="single"/>
        </w:rPr>
        <w:t>If it chooses to associate with the AP/PCP,</w:t>
      </w:r>
      <w:r w:rsidRPr="009D537D">
        <w:rPr>
          <w:rFonts w:ascii="Times New Roman" w:hAnsi="Times New Roman" w:cs="Times New Roman"/>
        </w:rPr>
        <w:t xml:space="preserve"> </w:t>
      </w:r>
      <w:r w:rsidR="00DA086C">
        <w:rPr>
          <w:rFonts w:ascii="Times New Roman" w:hAnsi="Times New Roman" w:cs="Times New Roman"/>
        </w:rPr>
        <w:t>I</w:t>
      </w:r>
      <w:r w:rsidRPr="009D537D">
        <w:rPr>
          <w:rFonts w:ascii="Times New Roman" w:hAnsi="Times New Roman" w:cs="Times New Roman"/>
        </w:rPr>
        <w:t>t negotiates cipher suites during the association process, as described in 8.4.2 (RSNA selection) and 8.4.3 (RSNA policy selection in an ESS</w:t>
      </w:r>
      <w:r w:rsidRPr="009D537D">
        <w:rPr>
          <w:rFonts w:ascii="Times New Roman" w:hAnsi="Times New Roman" w:cs="Times New Roman"/>
          <w:u w:val="single"/>
        </w:rPr>
        <w:t>/PBSS</w:t>
      </w:r>
      <w:r w:rsidRPr="009D537D">
        <w:rPr>
          <w:rFonts w:ascii="Times New Roman" w:hAnsi="Times New Roman" w:cs="Times New Roman"/>
        </w:rPr>
        <w:t>).</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It establishes temporal keys by executing a key management algorithm, using the protocol defined by 8.5 (Keys and key distribution). It uses the PSK as the PMK.</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It protects the data link by programming the negotiated cipher suites and the established temporal key into the MAC and then invoking protection.</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If the STAs negotiate Management Frame Protection, the STA programs the negotiated pairwise cipher suite and established TK, IGTK, and IPN.</w:t>
      </w:r>
    </w:p>
    <w:p w:rsidR="000A772D" w:rsidRPr="000A772D" w:rsidRDefault="009D537D" w:rsidP="003701DB">
      <w:pPr>
        <w:numPr>
          <w:ilvl w:val="0"/>
          <w:numId w:val="214"/>
        </w:numPr>
        <w:autoSpaceDE w:val="0"/>
        <w:autoSpaceDN w:val="0"/>
        <w:adjustRightInd w:val="0"/>
        <w:jc w:val="both"/>
        <w:rPr>
          <w:rFonts w:eastAsia="SimSun"/>
          <w:lang w:eastAsia="zh-CN" w:bidi="ar-SA"/>
        </w:rPr>
      </w:pPr>
      <w:r w:rsidRPr="009D537D">
        <w:rPr>
          <w:rFonts w:eastAsia="SimSun"/>
          <w:lang w:eastAsia="zh-CN" w:bidi="ar-SA"/>
        </w:rPr>
        <w:t>If an RSNA is based on a PSK in an IBSS</w:t>
      </w:r>
      <w:r w:rsidRPr="009D537D">
        <w:rPr>
          <w:rFonts w:eastAsia="SimSun"/>
          <w:u w:val="single"/>
          <w:lang w:eastAsia="zh-CN" w:bidi="ar-SA"/>
        </w:rPr>
        <w:t>/PBSS</w:t>
      </w:r>
      <w:r w:rsidRPr="009D537D">
        <w:rPr>
          <w:rFonts w:eastAsia="SimSun"/>
          <w:lang w:eastAsia="zh-CN" w:bidi="ar-SA"/>
        </w:rPr>
        <w:t xml:space="preserve">, the STA’s SME executes the following sequence of procedures </w:t>
      </w:r>
      <w:r w:rsidRPr="009D537D">
        <w:rPr>
          <w:rFonts w:eastAsia="SimSun"/>
          <w:u w:val="single"/>
          <w:lang w:eastAsia="zh-CN" w:bidi="ar-SA"/>
        </w:rPr>
        <w:t>to establish an RSNA with a peer STA</w:t>
      </w:r>
      <w:r w:rsidRPr="009D537D">
        <w:rPr>
          <w:rFonts w:eastAsia="SimSun"/>
          <w:lang w:eastAsia="zh-CN" w:bidi="ar-SA"/>
        </w:rPr>
        <w:t>:</w:t>
      </w: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It identifies the peer as RSNA-capable from the peer’s Beacon</w:t>
      </w:r>
      <w:r w:rsidRPr="009D537D">
        <w:rPr>
          <w:rFonts w:eastAsia="SimSun"/>
          <w:u w:val="single"/>
          <w:lang w:eastAsia="zh-CN" w:bidi="ar-SA"/>
        </w:rPr>
        <w:t>, mmWave Beacon, Announce</w:t>
      </w:r>
      <w:r w:rsidRPr="009D537D">
        <w:rPr>
          <w:rFonts w:eastAsia="SimSun"/>
          <w:lang w:eastAsia="zh-CN" w:bidi="ar-SA"/>
        </w:rPr>
        <w:t>,</w:t>
      </w:r>
      <w:r w:rsidR="00D11F2E">
        <w:rPr>
          <w:rFonts w:eastAsia="SimSun"/>
          <w:lang w:eastAsia="zh-CN" w:bidi="ar-SA"/>
        </w:rPr>
        <w:t xml:space="preserve"> </w:t>
      </w:r>
      <w:r w:rsidRPr="009D537D">
        <w:rPr>
          <w:rFonts w:eastAsia="SimSun"/>
          <w:lang w:eastAsia="zh-CN" w:bidi="ar-SA"/>
        </w:rPr>
        <w:t>Probe Response</w:t>
      </w:r>
      <w:r w:rsidRPr="009D537D">
        <w:rPr>
          <w:rFonts w:eastAsia="SimSun"/>
          <w:u w:val="single"/>
          <w:lang w:eastAsia="zh-CN" w:bidi="ar-SA"/>
        </w:rPr>
        <w:t>, or Information Response</w:t>
      </w:r>
      <w:r w:rsidRPr="009D537D">
        <w:rPr>
          <w:rFonts w:eastAsia="SimSun"/>
          <w:lang w:eastAsia="zh-CN" w:bidi="ar-SA"/>
        </w:rPr>
        <w:t xml:space="preserve"> frames.</w:t>
      </w:r>
    </w:p>
    <w:p w:rsidR="000A772D" w:rsidRPr="000A772D" w:rsidRDefault="000A772D" w:rsidP="000A772D">
      <w:pPr>
        <w:tabs>
          <w:tab w:val="num" w:pos="1152"/>
        </w:tabs>
        <w:autoSpaceDE w:val="0"/>
        <w:autoSpaceDN w:val="0"/>
        <w:adjustRightInd w:val="0"/>
        <w:ind w:left="1152" w:hanging="432"/>
        <w:jc w:val="both"/>
        <w:rPr>
          <w:rFonts w:eastAsia="SimSun"/>
          <w:lang w:eastAsia="zh-CN" w:bidi="ar-SA"/>
        </w:rPr>
      </w:pPr>
    </w:p>
    <w:p w:rsidR="000A772D" w:rsidRPr="000A772D" w:rsidRDefault="009D537D" w:rsidP="000A772D">
      <w:pPr>
        <w:tabs>
          <w:tab w:val="num" w:pos="1152"/>
        </w:tabs>
        <w:autoSpaceDE w:val="0"/>
        <w:autoSpaceDN w:val="0"/>
        <w:adjustRightInd w:val="0"/>
        <w:ind w:left="1152"/>
        <w:jc w:val="both"/>
        <w:rPr>
          <w:rFonts w:eastAsia="SimSun"/>
          <w:lang w:eastAsia="zh-CN" w:bidi="ar-SA"/>
        </w:rPr>
      </w:pPr>
      <w:r w:rsidRPr="009D537D">
        <w:rPr>
          <w:rFonts w:eastAsia="SimSun"/>
          <w:lang w:eastAsia="zh-CN" w:bidi="ar-SA"/>
        </w:rPr>
        <w:t xml:space="preserve">NOTE—STAs can respond to a data MPDU from an unrecognized STA by sending a Probe Request </w:t>
      </w:r>
      <w:r w:rsidRPr="009D537D">
        <w:rPr>
          <w:rFonts w:eastAsia="SimSun"/>
          <w:u w:val="single"/>
          <w:lang w:eastAsia="zh-CN" w:bidi="ar-SA"/>
        </w:rPr>
        <w:t>or Information request</w:t>
      </w:r>
      <w:r w:rsidRPr="009D537D">
        <w:rPr>
          <w:rFonts w:eastAsia="SimSun"/>
          <w:lang w:eastAsia="zh-CN" w:bidi="ar-SA"/>
        </w:rPr>
        <w:t xml:space="preserve"> frame to find out whether the unrecognized STA is RSNA-capable.</w:t>
      </w:r>
    </w:p>
    <w:p w:rsidR="000A772D" w:rsidRPr="000A772D" w:rsidRDefault="000A772D" w:rsidP="000A772D">
      <w:pPr>
        <w:tabs>
          <w:tab w:val="num" w:pos="1152"/>
        </w:tabs>
        <w:autoSpaceDE w:val="0"/>
        <w:autoSpaceDN w:val="0"/>
        <w:adjustRightInd w:val="0"/>
        <w:ind w:left="1152" w:hanging="432"/>
        <w:jc w:val="both"/>
        <w:rPr>
          <w:rFonts w:eastAsia="SimSun"/>
          <w:lang w:eastAsia="zh-CN" w:bidi="ar-SA"/>
        </w:rPr>
      </w:pP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 xml:space="preserve">It may optionally invoke Open System authentication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if it chooses not to associate with the peer, it uses the procedures in 8.5 (Keys and key distribution) to establish temporal keys and to negotiate cipher suites. In an IBSS,</w:t>
      </w:r>
      <w:r w:rsidRPr="009D537D">
        <w:rPr>
          <w:rFonts w:eastAsia="SimSun"/>
          <w:lang w:eastAsia="zh-CN" w:bidi="ar-SA"/>
        </w:rPr>
        <w:t xml:space="preserve"> </w:t>
      </w:r>
      <w:r w:rsidR="00DA086C">
        <w:rPr>
          <w:rFonts w:eastAsia="SimSun"/>
          <w:lang w:eastAsia="zh-CN" w:bidi="ar-SA"/>
        </w:rPr>
        <w:t>E</w:t>
      </w:r>
      <w:r w:rsidRPr="009D537D">
        <w:rPr>
          <w:rFonts w:eastAsia="SimSun"/>
          <w:lang w:eastAsia="zh-CN" w:bidi="ar-SA"/>
        </w:rPr>
        <w:t xml:space="preserve">ach STA uses the procedures in 8.5 (Keys and key distribution), to establish temporal keys and to negotiate cipher suites. It uses a PSK as the PMK. Note that two peer STAs may follow this procedure simultaneously </w:t>
      </w:r>
      <w:r w:rsidRPr="009D537D">
        <w:rPr>
          <w:rFonts w:eastAsia="SimSun"/>
          <w:u w:val="single"/>
          <w:lang w:eastAsia="zh-CN" w:bidi="ar-SA"/>
        </w:rPr>
        <w:t>in an IBSS</w:t>
      </w:r>
      <w:r w:rsidRPr="009D537D">
        <w:rPr>
          <w:rFonts w:eastAsia="SimSun"/>
          <w:lang w:eastAsia="zh-CN" w:bidi="ar-SA"/>
        </w:rPr>
        <w:t>. See 8.4.9 (RSNA key management in an IBSS</w:t>
      </w:r>
      <w:r w:rsidRPr="009D537D">
        <w:rPr>
          <w:rFonts w:eastAsia="SimSun"/>
          <w:u w:val="single"/>
          <w:lang w:eastAsia="zh-CN" w:bidi="ar-SA"/>
        </w:rPr>
        <w:t>/PBSS</w:t>
      </w:r>
      <w:r w:rsidRPr="009D537D">
        <w:rPr>
          <w:rFonts w:eastAsia="SimSun"/>
          <w:lang w:eastAsia="zh-CN" w:bidi="ar-SA"/>
        </w:rPr>
        <w:t>).</w:t>
      </w: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It protects the data link by programming the negotiated cipher suites and the established temporal key and then invoking protection.</w:t>
      </w:r>
    </w:p>
    <w:p w:rsidR="000A772D" w:rsidRPr="000A772D" w:rsidRDefault="009D537D" w:rsidP="003701DB">
      <w:pPr>
        <w:numPr>
          <w:ilvl w:val="0"/>
          <w:numId w:val="214"/>
        </w:numPr>
        <w:autoSpaceDE w:val="0"/>
        <w:autoSpaceDN w:val="0"/>
        <w:adjustRightInd w:val="0"/>
        <w:jc w:val="both"/>
        <w:rPr>
          <w:rFonts w:eastAsia="SimSun"/>
          <w:lang w:eastAsia="zh-CN" w:bidi="ar-SA"/>
        </w:rPr>
      </w:pPr>
      <w:r w:rsidRPr="009D537D">
        <w:rPr>
          <w:rFonts w:eastAsia="SimSun"/>
          <w:lang w:eastAsia="zh-CN" w:bidi="ar-SA"/>
        </w:rPr>
        <w:t>An RSNA-capable STA’s SME using IEEE 802.1X AKM in an IBSS</w:t>
      </w:r>
      <w:r w:rsidRPr="009D537D">
        <w:rPr>
          <w:rFonts w:eastAsia="SimSun"/>
          <w:u w:val="single"/>
          <w:lang w:eastAsia="zh-CN" w:bidi="ar-SA"/>
        </w:rPr>
        <w:t>/PBSS</w:t>
      </w:r>
      <w:r w:rsidRPr="009D537D">
        <w:rPr>
          <w:rFonts w:eastAsia="SimSun"/>
          <w:lang w:eastAsia="zh-CN" w:bidi="ar-SA"/>
        </w:rPr>
        <w:t xml:space="preserve"> establishes an RSNA </w:t>
      </w:r>
      <w:r w:rsidRPr="009D537D">
        <w:rPr>
          <w:rFonts w:eastAsia="SimSun"/>
          <w:u w:val="single"/>
          <w:lang w:eastAsia="zh-CN" w:bidi="ar-SA"/>
        </w:rPr>
        <w:t>with a peer STA</w:t>
      </w:r>
      <w:r w:rsidRPr="009D537D">
        <w:rPr>
          <w:rFonts w:eastAsia="SimSun"/>
          <w:lang w:eastAsia="zh-CN" w:bidi="ar-SA"/>
        </w:rPr>
        <w:t xml:space="preserve"> as follows:</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 xml:space="preserve">It identifies the peer as RSNA-capable from the peer’s Beacon, </w:t>
      </w:r>
      <w:r w:rsidRPr="009D537D">
        <w:rPr>
          <w:rFonts w:eastAsia="SimSun"/>
          <w:u w:val="single"/>
          <w:lang w:eastAsia="zh-CN" w:bidi="ar-SA"/>
        </w:rPr>
        <w:t>mmWave Beacon, Announce,</w:t>
      </w:r>
      <w:r w:rsidR="00D11F2E">
        <w:rPr>
          <w:rFonts w:eastAsia="SimSun"/>
          <w:lang w:eastAsia="zh-CN" w:bidi="ar-SA"/>
        </w:rPr>
        <w:t xml:space="preserve"> </w:t>
      </w:r>
      <w:r w:rsidRPr="009D537D">
        <w:rPr>
          <w:rFonts w:eastAsia="SimSun"/>
          <w:lang w:eastAsia="zh-CN" w:bidi="ar-SA"/>
        </w:rPr>
        <w:t>Probe Response</w:t>
      </w:r>
      <w:r w:rsidRPr="009D537D">
        <w:rPr>
          <w:rFonts w:eastAsia="SimSun"/>
          <w:u w:val="single"/>
          <w:lang w:eastAsia="zh-CN" w:bidi="ar-SA"/>
        </w:rPr>
        <w:t>, or Information Response</w:t>
      </w:r>
      <w:r w:rsidRPr="009D537D">
        <w:rPr>
          <w:rFonts w:eastAsia="SimSun"/>
          <w:lang w:eastAsia="zh-CN" w:bidi="ar-SA"/>
        </w:rPr>
        <w:t xml:space="preserve"> frames.</w:t>
      </w:r>
    </w:p>
    <w:p w:rsidR="000A772D" w:rsidRPr="000A772D" w:rsidRDefault="000A772D" w:rsidP="000A772D">
      <w:pPr>
        <w:autoSpaceDE w:val="0"/>
        <w:autoSpaceDN w:val="0"/>
        <w:adjustRightInd w:val="0"/>
        <w:ind w:left="1152"/>
        <w:jc w:val="both"/>
        <w:rPr>
          <w:rFonts w:eastAsia="SimSun"/>
          <w:lang w:eastAsia="zh-CN" w:bidi="ar-SA"/>
        </w:rPr>
      </w:pPr>
    </w:p>
    <w:p w:rsidR="000A772D" w:rsidRPr="005D00AE" w:rsidRDefault="009D537D" w:rsidP="000A772D">
      <w:pPr>
        <w:autoSpaceDE w:val="0"/>
        <w:autoSpaceDN w:val="0"/>
        <w:adjustRightInd w:val="0"/>
        <w:ind w:left="1152"/>
        <w:jc w:val="both"/>
        <w:rPr>
          <w:rFonts w:eastAsia="SimSun"/>
          <w:sz w:val="20"/>
          <w:lang w:eastAsia="zh-CN" w:bidi="ar-SA"/>
        </w:rPr>
      </w:pPr>
      <w:r w:rsidRPr="009D537D">
        <w:rPr>
          <w:rFonts w:eastAsia="SimSun"/>
          <w:sz w:val="20"/>
          <w:lang w:eastAsia="zh-CN" w:bidi="ar-SA"/>
        </w:rPr>
        <w:t xml:space="preserve">NOTE—STAs can respond to a data MPDU from an unrecognized STA by sending a Probe Request </w:t>
      </w:r>
      <w:r w:rsidRPr="009D537D">
        <w:rPr>
          <w:rFonts w:eastAsia="SimSun"/>
          <w:sz w:val="20"/>
          <w:u w:val="single"/>
          <w:lang w:eastAsia="zh-CN" w:bidi="ar-SA"/>
        </w:rPr>
        <w:t>or Information Request</w:t>
      </w:r>
      <w:r w:rsidRPr="009D537D">
        <w:rPr>
          <w:rFonts w:eastAsia="SimSun"/>
          <w:sz w:val="20"/>
          <w:lang w:eastAsia="zh-CN" w:bidi="ar-SA"/>
        </w:rPr>
        <w:t xml:space="preserve"> frame to find out whether the unrecognized STA is RSNA-capable.</w:t>
      </w:r>
    </w:p>
    <w:p w:rsidR="000A772D" w:rsidRPr="000A772D" w:rsidRDefault="000A772D" w:rsidP="000A772D">
      <w:pPr>
        <w:autoSpaceDE w:val="0"/>
        <w:autoSpaceDN w:val="0"/>
        <w:adjustRightInd w:val="0"/>
        <w:ind w:left="1152"/>
        <w:jc w:val="both"/>
        <w:rPr>
          <w:rFonts w:eastAsia="SimSun"/>
          <w:lang w:eastAsia="zh-CN" w:bidi="ar-SA"/>
        </w:rPr>
      </w:pP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 xml:space="preserve">It may optionally invoke Open System authentication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if it chooses not to associate with the peer, it uses IEEE Std 802.1X-2004 to authenticate with the AS associated with the peer’s Authenticator, as described in 8.4.6 (RSNA authentication in an ESS/PBSS) and 8.4.7 (RSNA authentication in an IBSS/PBSS). In an IBSS,</w:t>
      </w:r>
      <w:r w:rsidRPr="009D537D">
        <w:rPr>
          <w:rFonts w:eastAsia="SimSun"/>
          <w:lang w:eastAsia="zh-CN" w:bidi="ar-SA"/>
        </w:rPr>
        <w:t xml:space="preserve"> </w:t>
      </w:r>
      <w:r w:rsidR="005D00AE">
        <w:rPr>
          <w:rFonts w:eastAsia="SimSun"/>
          <w:lang w:eastAsia="zh-CN" w:bidi="ar-SA"/>
        </w:rPr>
        <w:t>E</w:t>
      </w:r>
      <w:r w:rsidRPr="009D537D">
        <w:rPr>
          <w:rFonts w:eastAsia="SimSun"/>
          <w:lang w:eastAsia="zh-CN" w:bidi="ar-SA"/>
        </w:rPr>
        <w:t xml:space="preserve">ach STA uses IEEE Std 802.1X-2004 to authenticate with the AS associated with the other STA’s Authenticator, as described in 8.4.6 (RSNA </w:t>
      </w:r>
      <w:r w:rsidRPr="009D537D">
        <w:rPr>
          <w:rFonts w:eastAsia="SimSun"/>
          <w:lang w:eastAsia="zh-CN" w:bidi="ar-SA"/>
        </w:rPr>
        <w:lastRenderedPageBreak/>
        <w:t>authentication in an ESS</w:t>
      </w:r>
      <w:r w:rsidRPr="009D537D">
        <w:rPr>
          <w:rFonts w:eastAsia="SimSun"/>
          <w:u w:val="single"/>
          <w:lang w:eastAsia="zh-CN" w:bidi="ar-SA"/>
        </w:rPr>
        <w:t>/PBSS</w:t>
      </w:r>
      <w:r w:rsidRPr="009D537D">
        <w:rPr>
          <w:rFonts w:eastAsia="SimSun"/>
          <w:lang w:eastAsia="zh-CN" w:bidi="ar-SA"/>
        </w:rPr>
        <w:t>) and 8.4.7 (RSNA authentication in an IBSS</w:t>
      </w:r>
      <w:r w:rsidRPr="009D537D">
        <w:rPr>
          <w:rFonts w:eastAsia="SimSun"/>
          <w:u w:val="single"/>
          <w:lang w:eastAsia="zh-CN" w:bidi="ar-SA"/>
        </w:rPr>
        <w:t>/PBSS</w:t>
      </w:r>
      <w:r w:rsidRPr="009D537D">
        <w:rPr>
          <w:rFonts w:eastAsia="SimSun"/>
          <w:lang w:eastAsia="zh-CN" w:bidi="ar-SA"/>
        </w:rPr>
        <w:t xml:space="preserve">). Hence two authentications are happening at the same time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it establishes temporal keys by executing a key management algorithm, using the protocol defined in 8.5 (Keys and key distribution). In an IBSS,</w:t>
      </w:r>
      <w:r w:rsidRPr="009D537D">
        <w:rPr>
          <w:rFonts w:eastAsia="SimSun"/>
          <w:lang w:eastAsia="zh-CN" w:bidi="ar-SA"/>
        </w:rPr>
        <w:t xml:space="preserve"> </w:t>
      </w:r>
      <w:r w:rsidR="005D00AE">
        <w:rPr>
          <w:rFonts w:eastAsia="SimSun"/>
          <w:lang w:eastAsia="zh-CN" w:bidi="ar-SA"/>
        </w:rPr>
        <w:t>E</w:t>
      </w:r>
      <w:r w:rsidRPr="009D537D">
        <w:rPr>
          <w:rFonts w:eastAsia="SimSun"/>
          <w:lang w:eastAsia="zh-CN" w:bidi="ar-SA"/>
        </w:rPr>
        <w:t xml:space="preserve">ach STA’s SME establishes temporal keys by executing a key management algorithm, using the protocol defined in 8.5 (Keys and key distribution). Hence two such key management algorithms are happening in parallel between any two STA’s Supplicants and Authenticators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it uses the agreed-upon temporal key portion of the PTK and pairwise cipher suite to protect the link. In an IBSS,</w:t>
      </w:r>
      <w:r w:rsidRPr="009D537D">
        <w:rPr>
          <w:rFonts w:eastAsia="SimSun"/>
          <w:lang w:eastAsia="zh-CN" w:bidi="ar-SA"/>
        </w:rPr>
        <w:t xml:space="preserve"> </w:t>
      </w:r>
      <w:r w:rsidR="005D00AE">
        <w:rPr>
          <w:rFonts w:eastAsia="SimSun"/>
          <w:lang w:eastAsia="zh-CN" w:bidi="ar-SA"/>
        </w:rPr>
        <w:t>B</w:t>
      </w:r>
      <w:r w:rsidRPr="009D537D">
        <w:rPr>
          <w:rFonts w:eastAsia="SimSun"/>
          <w:lang w:eastAsia="zh-CN" w:bidi="ar-SA"/>
        </w:rPr>
        <w:t>oth STAs use the agreed-upon temporal key portion of the PTK and pairwise cipher suite from one of the exchanges to protect the link. Each STA uses the GTK established by the exchange it initiated to protect the group addressed frames it transmits.</w:t>
      </w:r>
    </w:p>
    <w:p w:rsidR="007C6270" w:rsidRPr="009448FC" w:rsidRDefault="007C6270" w:rsidP="00487DE4"/>
    <w:p w:rsidR="00487DE4" w:rsidRPr="00066F65" w:rsidRDefault="00487DE4" w:rsidP="003701DB">
      <w:pPr>
        <w:pStyle w:val="Heading2"/>
        <w:numPr>
          <w:ilvl w:val="1"/>
          <w:numId w:val="8"/>
        </w:numPr>
      </w:pPr>
      <w:bookmarkStart w:id="997" w:name="_Toc259717013"/>
      <w:r w:rsidRPr="00066F65">
        <w:t>RSNA data confidentiality and integrity protocols</w:t>
      </w:r>
      <w:bookmarkEnd w:id="997"/>
      <w:r w:rsidRPr="00066F65">
        <w:t xml:space="preserve"> </w:t>
      </w:r>
    </w:p>
    <w:p w:rsidR="00487DE4" w:rsidRPr="009448FC" w:rsidRDefault="00487DE4" w:rsidP="00487DE4"/>
    <w:p w:rsidR="007F78F0" w:rsidRPr="009448FC" w:rsidRDefault="007F78F0" w:rsidP="003701DB">
      <w:pPr>
        <w:pStyle w:val="Heading3"/>
        <w:numPr>
          <w:ilvl w:val="2"/>
          <w:numId w:val="139"/>
        </w:numPr>
        <w:rPr>
          <w:rFonts w:eastAsia="SimSun"/>
        </w:rPr>
      </w:pPr>
      <w:bookmarkStart w:id="998" w:name="_Toc259717014"/>
      <w:r w:rsidRPr="009448FC">
        <w:rPr>
          <w:rFonts w:eastAsia="SimSun"/>
        </w:rPr>
        <w:t>Overview</w:t>
      </w:r>
      <w:bookmarkEnd w:id="998"/>
    </w:p>
    <w:p w:rsidR="007F78F0" w:rsidRPr="009448FC" w:rsidRDefault="007F78F0" w:rsidP="00487DE4">
      <w:pPr>
        <w:autoSpaceDE w:val="0"/>
        <w:rPr>
          <w:rFonts w:eastAsia="Batang"/>
          <w:i/>
        </w:rPr>
      </w:pPr>
    </w:p>
    <w:p w:rsidR="00487DE4" w:rsidRPr="009448FC" w:rsidRDefault="00DD43F9" w:rsidP="00487DE4">
      <w:pPr>
        <w:autoSpaceDE w:val="0"/>
        <w:rPr>
          <w:rFonts w:eastAsia="Batang"/>
          <w:i/>
        </w:rPr>
      </w:pPr>
      <w:r>
        <w:rPr>
          <w:rFonts w:eastAsia="Batang"/>
          <w:i/>
        </w:rPr>
        <w:t xml:space="preserve">.11 Editor Note: </w:t>
      </w:r>
      <w:r w:rsidR="00487DE4" w:rsidRPr="009448FC">
        <w:rPr>
          <w:rFonts w:eastAsia="Batang"/>
          <w:i/>
        </w:rPr>
        <w:t>Modify the 1st paragraph of 8.3.1 as follows:</w:t>
      </w:r>
    </w:p>
    <w:p w:rsidR="00487DE4" w:rsidRPr="009448FC" w:rsidRDefault="00487DE4" w:rsidP="00487DE4">
      <w:pPr>
        <w:autoSpaceDE w:val="0"/>
        <w:rPr>
          <w:rFonts w:eastAsia="MS Mincho"/>
        </w:rPr>
      </w:pPr>
    </w:p>
    <w:p w:rsidR="00487DE4" w:rsidRPr="009448FC" w:rsidRDefault="00487DE4" w:rsidP="00487DE4">
      <w:pPr>
        <w:autoSpaceDE w:val="0"/>
        <w:jc w:val="both"/>
        <w:rPr>
          <w:rFonts w:eastAsia="MS Mincho"/>
        </w:rPr>
      </w:pPr>
      <w:r w:rsidRPr="009448FC">
        <w:rPr>
          <w:rFonts w:eastAsia="MS Mincho"/>
        </w:rPr>
        <w:t xml:space="preserve">This standard defines </w:t>
      </w:r>
      <w:r w:rsidRPr="009448FC">
        <w:rPr>
          <w:rFonts w:eastAsia="MS Mincho"/>
          <w:strike/>
        </w:rPr>
        <w:t>two</w:t>
      </w:r>
      <w:r w:rsidRPr="009448FC">
        <w:rPr>
          <w:rFonts w:eastAsia="MS Mincho"/>
        </w:rPr>
        <w:t xml:space="preserve"> three RSNA confidentiality and integrity protocols: TKIP, CCMP</w:t>
      </w:r>
      <w:r w:rsidRPr="00066F65">
        <w:rPr>
          <w:rFonts w:eastAsia="MS Mincho"/>
          <w:u w:val="single"/>
        </w:rPr>
        <w:t>, and GCMP</w:t>
      </w:r>
      <w:r w:rsidRPr="009448FC">
        <w:rPr>
          <w:rFonts w:eastAsia="MS Mincho"/>
        </w:rPr>
        <w:t xml:space="preserve">. Implementation of CCMP shall be mandatory in all IEEE 802.11 devices </w:t>
      </w:r>
      <w:r w:rsidRPr="00066F65">
        <w:rPr>
          <w:rFonts w:eastAsia="MS Mincho"/>
          <w:u w:val="single"/>
        </w:rPr>
        <w:t xml:space="preserve">operating in </w:t>
      </w:r>
      <w:r w:rsidR="008A2BF3" w:rsidRPr="00066F65">
        <w:rPr>
          <w:rFonts w:eastAsia="MS Mincho"/>
          <w:u w:val="single"/>
        </w:rPr>
        <w:t>LB and HB</w:t>
      </w:r>
      <w:r w:rsidR="00D11F2E">
        <w:rPr>
          <w:rFonts w:eastAsia="MS Mincho"/>
          <w:u w:val="single"/>
        </w:rPr>
        <w:t xml:space="preserve"> </w:t>
      </w:r>
      <w:r w:rsidRPr="00066F65">
        <w:rPr>
          <w:rFonts w:eastAsia="MS Mincho"/>
          <w:u w:val="single"/>
        </w:rPr>
        <w:t>and</w:t>
      </w:r>
      <w:r w:rsidRPr="009448FC">
        <w:rPr>
          <w:rFonts w:eastAsia="MS Mincho"/>
        </w:rPr>
        <w:t xml:space="preserve"> claiming RSNA compliance. </w:t>
      </w:r>
      <w:r w:rsidRPr="00066F65">
        <w:rPr>
          <w:rFonts w:eastAsia="MS Mincho"/>
          <w:u w:val="single"/>
        </w:rPr>
        <w:t xml:space="preserve">Implementation of GCMP shall be mandatory for all IEEE 802.11 devices operating in </w:t>
      </w:r>
      <w:r w:rsidR="008A2BF3" w:rsidRPr="00066F65">
        <w:rPr>
          <w:rFonts w:eastAsia="MS Mincho"/>
          <w:u w:val="single"/>
        </w:rPr>
        <w:t>UB</w:t>
      </w:r>
      <w:r w:rsidR="00D11F2E">
        <w:rPr>
          <w:rFonts w:eastAsia="MS Mincho"/>
          <w:u w:val="single"/>
        </w:rPr>
        <w:t xml:space="preserve"> </w:t>
      </w:r>
      <w:r w:rsidRPr="00066F65">
        <w:rPr>
          <w:rFonts w:eastAsia="MS Mincho"/>
          <w:u w:val="single"/>
        </w:rPr>
        <w:t>and claiming RSNA compliance.</w:t>
      </w:r>
      <w:r w:rsidRPr="009448FC">
        <w:rPr>
          <w:rFonts w:eastAsia="MS Mincho"/>
        </w:rPr>
        <w:t xml:space="preserve"> This standard defines one integrity protocol: BIP.</w:t>
      </w:r>
    </w:p>
    <w:p w:rsidR="00487DE4" w:rsidRPr="009448FC" w:rsidRDefault="00487DE4" w:rsidP="00487DE4"/>
    <w:p w:rsidR="00FB2F0B" w:rsidRPr="009448FC" w:rsidRDefault="00DD43F9" w:rsidP="00487DE4">
      <w:pPr>
        <w:autoSpaceDE w:val="0"/>
        <w:rPr>
          <w:rFonts w:eastAsia="Batang"/>
          <w:i/>
        </w:rPr>
      </w:pPr>
      <w:r>
        <w:rPr>
          <w:rFonts w:eastAsia="Batang"/>
          <w:i/>
        </w:rPr>
        <w:t xml:space="preserve">.11 Editor Note: </w:t>
      </w:r>
      <w:r w:rsidR="00487DE4" w:rsidRPr="009448FC">
        <w:rPr>
          <w:rFonts w:eastAsia="Batang"/>
          <w:i/>
        </w:rPr>
        <w:t xml:space="preserve">Add </w:t>
      </w:r>
      <w:r w:rsidR="00FB2F0B" w:rsidRPr="009448FC">
        <w:rPr>
          <w:rFonts w:eastAsia="Batang"/>
          <w:i/>
        </w:rPr>
        <w:t>subclause 8.3.5</w:t>
      </w:r>
    </w:p>
    <w:p w:rsidR="00487DE4" w:rsidRPr="009448FC" w:rsidRDefault="00487DE4" w:rsidP="00487DE4">
      <w:pPr>
        <w:autoSpaceDE w:val="0"/>
        <w:rPr>
          <w:rFonts w:eastAsia="Batang"/>
          <w:i/>
          <w:sz w:val="28"/>
        </w:rPr>
      </w:pPr>
      <w:r w:rsidRPr="009448FC">
        <w:rPr>
          <w:rFonts w:eastAsia="Batang"/>
          <w:i/>
          <w:sz w:val="28"/>
        </w:rPr>
        <w:t xml:space="preserve"> </w:t>
      </w:r>
    </w:p>
    <w:p w:rsidR="00FB2F0B" w:rsidRPr="009448FC" w:rsidRDefault="00FB2F0B" w:rsidP="003701DB">
      <w:pPr>
        <w:pStyle w:val="Heading3"/>
        <w:numPr>
          <w:ilvl w:val="2"/>
          <w:numId w:val="81"/>
        </w:numPr>
        <w:rPr>
          <w:rFonts w:eastAsia="SimSun"/>
        </w:rPr>
      </w:pPr>
      <w:bookmarkStart w:id="999" w:name="_Ref256318260"/>
      <w:bookmarkStart w:id="1000" w:name="_Ref256318268"/>
      <w:bookmarkStart w:id="1001" w:name="_Toc259717015"/>
      <w:r w:rsidRPr="009448FC">
        <w:rPr>
          <w:rFonts w:eastAsia="SimSun"/>
        </w:rPr>
        <w:t>GCM with GMAC Protocol (GCMP)</w:t>
      </w:r>
      <w:bookmarkEnd w:id="999"/>
      <w:bookmarkEnd w:id="1000"/>
      <w:bookmarkEnd w:id="1001"/>
    </w:p>
    <w:p w:rsidR="00FB2F0B" w:rsidRPr="009448FC" w:rsidRDefault="00FB2F0B" w:rsidP="00FB2F0B"/>
    <w:p w:rsidR="00FB2F0B" w:rsidRPr="009448FC" w:rsidRDefault="00FB2F0B" w:rsidP="00FB2F0B">
      <w:pPr>
        <w:jc w:val="both"/>
      </w:pPr>
      <w:r w:rsidRPr="009448FC">
        <w:t xml:space="preserve">This subclause specifies the GCMP, which provides data confidentiality, authentication, integrity, and replay protection. </w:t>
      </w:r>
    </w:p>
    <w:p w:rsidR="00FB2F0B" w:rsidRPr="009448FC" w:rsidRDefault="00FB2F0B" w:rsidP="00FB2F0B">
      <w:pPr>
        <w:jc w:val="both"/>
      </w:pPr>
    </w:p>
    <w:p w:rsidR="00FB2F0B" w:rsidRPr="009448FC" w:rsidRDefault="00FB2F0B" w:rsidP="003701DB">
      <w:pPr>
        <w:pStyle w:val="Heading4"/>
        <w:numPr>
          <w:ilvl w:val="3"/>
          <w:numId w:val="140"/>
        </w:numPr>
      </w:pPr>
      <w:bookmarkStart w:id="1002" w:name="_Toc259717016"/>
      <w:r w:rsidRPr="009448FC">
        <w:t>GCMP overview</w:t>
      </w:r>
      <w:bookmarkEnd w:id="1002"/>
    </w:p>
    <w:p w:rsidR="00FB2F0B" w:rsidRPr="009448FC" w:rsidRDefault="00FB2F0B" w:rsidP="00FB2F0B">
      <w:pPr>
        <w:rPr>
          <w:rFonts w:eastAsia="SimSun"/>
          <w:b/>
          <w:sz w:val="23"/>
        </w:rPr>
      </w:pPr>
    </w:p>
    <w:p w:rsidR="00FB2F0B" w:rsidRPr="009448FC" w:rsidRDefault="00FB2F0B" w:rsidP="00FB2F0B">
      <w:pPr>
        <w:jc w:val="both"/>
        <w:rPr>
          <w:rFonts w:eastAsia="SimSun"/>
        </w:rPr>
      </w:pPr>
      <w:r w:rsidRPr="009448FC">
        <w:rPr>
          <w:rFonts w:eastAsia="SimSun"/>
        </w:rPr>
        <w:t>GCMP is based on the GCM of the AES encryption algorithm. GCM combines Galois/Counter Mode for data confidentiality and GMAC for authentication and integrity. GCM protects the integrity of both the MPDU Data field and selected portions of the MPDU header.</w:t>
      </w:r>
    </w:p>
    <w:p w:rsidR="00FB2F0B" w:rsidRPr="009448FC" w:rsidRDefault="00FB2F0B" w:rsidP="00FB2F0B">
      <w:pPr>
        <w:jc w:val="both"/>
        <w:rPr>
          <w:rFonts w:eastAsia="SimSun"/>
        </w:rPr>
      </w:pPr>
    </w:p>
    <w:p w:rsidR="00FB2F0B" w:rsidRPr="009448FC" w:rsidRDefault="00FB2F0B" w:rsidP="00FB2F0B">
      <w:pPr>
        <w:jc w:val="both"/>
        <w:rPr>
          <w:rFonts w:eastAsia="SimSun"/>
        </w:rPr>
      </w:pPr>
      <w:r w:rsidRPr="009448FC">
        <w:rPr>
          <w:rFonts w:eastAsia="SimSun"/>
        </w:rPr>
        <w:t>The AES algorithm is defined in FIPS PUB 197-2001. All AES processing used within GCMP uses AES with a 128-bit key and a 128-bit block size.</w:t>
      </w:r>
    </w:p>
    <w:p w:rsidR="00FB2F0B" w:rsidRPr="009448FC" w:rsidRDefault="00FB2F0B" w:rsidP="00FB2F0B">
      <w:pPr>
        <w:jc w:val="both"/>
        <w:rPr>
          <w:rFonts w:eastAsia="SimSun"/>
        </w:rPr>
      </w:pPr>
    </w:p>
    <w:p w:rsidR="00FB2F0B" w:rsidRPr="009448FC" w:rsidRDefault="00FB2F0B" w:rsidP="00FB2F0B">
      <w:pPr>
        <w:jc w:val="both"/>
        <w:rPr>
          <w:rFonts w:eastAsia="SimSun"/>
        </w:rPr>
      </w:pPr>
      <w:r w:rsidRPr="009448FC">
        <w:rPr>
          <w:rFonts w:eastAsia="SimSun"/>
        </w:rPr>
        <w:t xml:space="preserve">GCM is defined in NIST Special Publication 800-38D. GCM is a generic mode that can be used with any block-oriented encryption algorithm. </w:t>
      </w:r>
    </w:p>
    <w:p w:rsidR="00FB2F0B" w:rsidRPr="009448FC" w:rsidRDefault="00FB2F0B" w:rsidP="00FB2F0B">
      <w:pPr>
        <w:jc w:val="both"/>
        <w:rPr>
          <w:rFonts w:eastAsia="SimSun"/>
        </w:rPr>
      </w:pPr>
    </w:p>
    <w:p w:rsidR="00FB2F0B" w:rsidRPr="009448FC" w:rsidRDefault="00FB2F0B" w:rsidP="00FB2F0B">
      <w:pPr>
        <w:jc w:val="both"/>
        <w:rPr>
          <w:rFonts w:eastAsia="SimSun"/>
        </w:rPr>
      </w:pPr>
      <w:r w:rsidRPr="009448FC">
        <w:rPr>
          <w:rFonts w:eastAsia="SimSun"/>
        </w:rPr>
        <w:t>GCM requires a fresh temporal key for every session. GCM also requires a unique nonce value for each frame protected by a given temporal key, and GCMP uses a 96-bit nonce and a 48-bit packet number (PN) for this purpose. Reuse of a PN with the same temporal key voids all security guarantees. GCMP uses a 128-bit MIC.</w:t>
      </w:r>
    </w:p>
    <w:p w:rsidR="00FB2F0B" w:rsidRPr="009448FC" w:rsidRDefault="00FB2F0B" w:rsidP="00FB2F0B">
      <w:pPr>
        <w:autoSpaceDE w:val="0"/>
        <w:rPr>
          <w:rFonts w:eastAsia="SimSun"/>
          <w:sz w:val="23"/>
        </w:rPr>
      </w:pPr>
    </w:p>
    <w:p w:rsidR="00FB2F0B" w:rsidRPr="009448FC" w:rsidRDefault="00FB2F0B" w:rsidP="003701DB">
      <w:pPr>
        <w:pStyle w:val="Heading4"/>
        <w:numPr>
          <w:ilvl w:val="3"/>
          <w:numId w:val="140"/>
        </w:numPr>
      </w:pPr>
      <w:bookmarkStart w:id="1003" w:name="_Ref244099210"/>
      <w:bookmarkStart w:id="1004" w:name="_Toc259717017"/>
      <w:r w:rsidRPr="009448FC">
        <w:t>GCMP MPDU format</w:t>
      </w:r>
      <w:bookmarkEnd w:id="1003"/>
      <w:bookmarkEnd w:id="1004"/>
    </w:p>
    <w:p w:rsidR="00FB2F0B" w:rsidRPr="009448FC" w:rsidRDefault="00FB2F0B" w:rsidP="00FB2F0B">
      <w:pPr>
        <w:autoSpaceDE w:val="0"/>
        <w:jc w:val="center"/>
      </w:pPr>
    </w:p>
    <w:p w:rsidR="00FB2F0B" w:rsidRPr="009448FC" w:rsidRDefault="00BD151C" w:rsidP="008E6B07">
      <w:pPr>
        <w:jc w:val="both"/>
        <w:rPr>
          <w:b/>
          <w:i/>
          <w:color w:val="FF0000"/>
        </w:rPr>
      </w:pPr>
      <w:r w:rsidRPr="009448FC">
        <w:fldChar w:fldCharType="begin"/>
      </w:r>
      <w:r w:rsidR="00FE2B40" w:rsidRPr="009448FC">
        <w:instrText xml:space="preserve"> REF _Ref243733937 \h </w:instrText>
      </w:r>
      <w:r w:rsidRPr="009448FC">
        <w:fldChar w:fldCharType="separate"/>
      </w:r>
      <w:r w:rsidR="003E4210" w:rsidRPr="00066F65">
        <w:t xml:space="preserve">Figure </w:t>
      </w:r>
      <w:r w:rsidR="003E4210">
        <w:rPr>
          <w:noProof/>
        </w:rPr>
        <w:t>78</w:t>
      </w:r>
      <w:r w:rsidRPr="009448FC">
        <w:fldChar w:fldCharType="end"/>
      </w:r>
      <w:r w:rsidR="00FB2F0B" w:rsidRPr="009448FC">
        <w:t xml:space="preserve"> shows the MPDU format when using GCMP.</w:t>
      </w:r>
      <w:r w:rsidR="008E6B07" w:rsidRPr="009448FC">
        <w:rPr>
          <w:b/>
          <w:i/>
          <w:color w:val="FF0000"/>
        </w:rPr>
        <w:t xml:space="preserve"> </w:t>
      </w:r>
    </w:p>
    <w:p w:rsidR="00FB2F0B" w:rsidRPr="009448FC" w:rsidRDefault="00FB2F0B" w:rsidP="00FB2F0B">
      <w:pPr>
        <w:autoSpaceDE w:val="0"/>
      </w:pPr>
    </w:p>
    <w:p w:rsidR="00FB2F0B" w:rsidRPr="009448FC" w:rsidRDefault="006A32C3" w:rsidP="006A32C3">
      <w:pPr>
        <w:autoSpaceDE w:val="0"/>
        <w:rPr>
          <w:rFonts w:ascii="Arial" w:eastAsia="SimSun" w:hAnsi="Arial"/>
          <w:b/>
          <w:sz w:val="20"/>
        </w:rPr>
      </w:pPr>
      <w:r w:rsidRPr="009448FC">
        <w:object w:dxaOrig="6300" w:dyaOrig="2030">
          <v:shape id="_x0000_i1039" type="#_x0000_t75" style="width:488.6pt;height:166.65pt" o:ole="" filled="t">
            <v:fill color2="black"/>
            <v:imagedata r:id="rId125" o:title=""/>
          </v:shape>
          <o:OLEObject Type="Embed" ProgID="Visio.Drawing.11" ShapeID="_x0000_i1039" DrawAspect="Content" ObjectID="_1334048221" r:id="rId126"/>
        </w:object>
      </w:r>
    </w:p>
    <w:p w:rsidR="00FB2F0B" w:rsidRPr="009448FC" w:rsidRDefault="00FE2B40" w:rsidP="00BA5BC4">
      <w:pPr>
        <w:pStyle w:val="Caption"/>
        <w:rPr>
          <w:b w:val="0"/>
          <w:sz w:val="20"/>
        </w:rPr>
      </w:pPr>
      <w:bookmarkStart w:id="1005" w:name="_Ref243733937"/>
      <w:bookmarkStart w:id="1006" w:name="_Toc259717510"/>
      <w:r w:rsidRPr="00066F65">
        <w:t xml:space="preserve">Figure </w:t>
      </w:r>
      <w:r w:rsidR="00BD151C">
        <w:fldChar w:fldCharType="begin"/>
      </w:r>
      <w:r w:rsidR="00801316">
        <w:instrText xml:space="preserve"> SEQ Figure \* ARABIC </w:instrText>
      </w:r>
      <w:r w:rsidR="00BD151C">
        <w:fldChar w:fldCharType="separate"/>
      </w:r>
      <w:r w:rsidR="003E4210">
        <w:rPr>
          <w:noProof/>
        </w:rPr>
        <w:t>78</w:t>
      </w:r>
      <w:r w:rsidR="00BD151C">
        <w:fldChar w:fldCharType="end"/>
      </w:r>
      <w:bookmarkEnd w:id="1005"/>
      <w:r w:rsidRPr="00066F65">
        <w:t xml:space="preserve"> – Expanded GCMP MPDU</w:t>
      </w:r>
      <w:bookmarkEnd w:id="1006"/>
    </w:p>
    <w:p w:rsidR="00FE2B40" w:rsidRPr="009448FC" w:rsidRDefault="00FE2B40" w:rsidP="00FB2F0B">
      <w:pPr>
        <w:autoSpaceDE w:val="0"/>
        <w:jc w:val="both"/>
        <w:rPr>
          <w:rFonts w:ascii="Arial" w:eastAsia="SimSun" w:hAnsi="Arial"/>
          <w:b/>
          <w:sz w:val="20"/>
        </w:rPr>
      </w:pPr>
    </w:p>
    <w:p w:rsidR="00FB2F0B" w:rsidRPr="009448FC" w:rsidRDefault="00FB2F0B" w:rsidP="00FB2F0B">
      <w:pPr>
        <w:autoSpaceDE w:val="0"/>
        <w:jc w:val="both"/>
        <w:rPr>
          <w:rFonts w:eastAsia="SimSun"/>
        </w:rPr>
      </w:pPr>
      <w:r w:rsidRPr="009448FC">
        <w:rPr>
          <w:rFonts w:eastAsia="SimSun"/>
        </w:rPr>
        <w:t xml:space="preserve">GCMP processing expands the original MPDU size by 24 octets, 8 octets for the GCMP Header field and 16 octets for the MIC field. The GCMP Header field is constructed from the PN and Key ID subfields. The 48-bit PN is represented as an array of 6 octets. PN5 is the most significant octet of the PN, and PN0 is the least significant. </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 xml:space="preserve">The size of Key ID field is 16 bits. Bits 0-1 of the Key ID field are for the Key ID subfield. The remaining bits of the Key ID field are reserved. </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The reserved bits shall be set to 0 and shall be ignored on reception.</w:t>
      </w:r>
    </w:p>
    <w:p w:rsidR="00FB2F0B" w:rsidRPr="009448FC" w:rsidRDefault="00FB2F0B" w:rsidP="00FB2F0B">
      <w:pPr>
        <w:autoSpaceDE w:val="0"/>
        <w:jc w:val="both"/>
        <w:rPr>
          <w:rFonts w:eastAsia="SimSun"/>
          <w:sz w:val="23"/>
        </w:rPr>
      </w:pPr>
    </w:p>
    <w:p w:rsidR="00FB2F0B" w:rsidRPr="009448FC" w:rsidRDefault="00FB2F0B" w:rsidP="003701DB">
      <w:pPr>
        <w:pStyle w:val="Heading4"/>
        <w:numPr>
          <w:ilvl w:val="3"/>
          <w:numId w:val="140"/>
        </w:numPr>
      </w:pPr>
      <w:bookmarkStart w:id="1007" w:name="_Toc259717018"/>
      <w:r w:rsidRPr="009448FC">
        <w:t>GCMP cryptographic encapsulation</w:t>
      </w:r>
      <w:bookmarkEnd w:id="1007"/>
    </w:p>
    <w:p w:rsidR="00FB2F0B" w:rsidRPr="009448FC" w:rsidRDefault="00FB2F0B" w:rsidP="00FB2F0B">
      <w:pPr>
        <w:autoSpaceDE w:val="0"/>
        <w:jc w:val="both"/>
        <w:rPr>
          <w:rFonts w:ascii="TimesNewRoman" w:eastAsia="SimSun" w:hAnsi="TimesNewRoman"/>
          <w:sz w:val="23"/>
        </w:rPr>
      </w:pPr>
    </w:p>
    <w:p w:rsidR="00FB2F0B" w:rsidRPr="009448FC" w:rsidRDefault="00FB2F0B" w:rsidP="00FB2F0B">
      <w:pPr>
        <w:autoSpaceDE w:val="0"/>
        <w:jc w:val="both"/>
        <w:rPr>
          <w:rFonts w:ascii="TimesNewRoman" w:eastAsia="SimSun" w:hAnsi="TimesNewRoman"/>
        </w:rPr>
      </w:pPr>
      <w:r w:rsidRPr="009448FC">
        <w:rPr>
          <w:rFonts w:ascii="TimesNewRoman" w:eastAsia="SimSun" w:hAnsi="TimesNewRoman"/>
        </w:rPr>
        <w:t>The GCMP cryptographic encapsulation process is depicted in</w:t>
      </w:r>
      <w:r w:rsidR="000F17B7">
        <w:rPr>
          <w:rFonts w:ascii="TimesNewRoman" w:eastAsia="SimSun" w:hAnsi="TimesNewRoman"/>
        </w:rPr>
        <w:t xml:space="preserve"> </w:t>
      </w:r>
      <w:r w:rsidR="00BD151C">
        <w:rPr>
          <w:rFonts w:ascii="TimesNewRoman" w:eastAsia="SimSun" w:hAnsi="TimesNewRoman"/>
        </w:rPr>
        <w:fldChar w:fldCharType="begin"/>
      </w:r>
      <w:r w:rsidR="000F17B7">
        <w:rPr>
          <w:rFonts w:ascii="TimesNewRoman" w:eastAsia="SimSun" w:hAnsi="TimesNewRoman"/>
        </w:rPr>
        <w:instrText xml:space="preserve"> REF _Ref251929964 \h </w:instrText>
      </w:r>
      <w:r w:rsidR="00BD151C">
        <w:rPr>
          <w:rFonts w:ascii="TimesNewRoman" w:eastAsia="SimSun" w:hAnsi="TimesNewRoman"/>
        </w:rPr>
      </w:r>
      <w:r w:rsidR="00BD151C">
        <w:rPr>
          <w:rFonts w:ascii="TimesNewRoman" w:eastAsia="SimSun" w:hAnsi="TimesNewRoman"/>
        </w:rPr>
        <w:fldChar w:fldCharType="separate"/>
      </w:r>
      <w:r w:rsidR="003E4210" w:rsidRPr="00066F65">
        <w:t xml:space="preserve">Figure </w:t>
      </w:r>
      <w:r w:rsidR="003E4210">
        <w:rPr>
          <w:noProof/>
        </w:rPr>
        <w:t>79</w:t>
      </w:r>
      <w:r w:rsidR="00BD151C">
        <w:rPr>
          <w:rFonts w:ascii="TimesNewRoman" w:eastAsia="SimSun" w:hAnsi="TimesNewRoman"/>
        </w:rPr>
        <w:fldChar w:fldCharType="end"/>
      </w:r>
      <w:r w:rsidRPr="009448FC">
        <w:rPr>
          <w:rFonts w:ascii="TimesNewRoman" w:eastAsia="SimSun" w:hAnsi="TimesNewRoman"/>
        </w:rPr>
        <w:t>.</w:t>
      </w:r>
    </w:p>
    <w:p w:rsidR="00FB2F0B" w:rsidRPr="009448FC" w:rsidRDefault="00FB2F0B" w:rsidP="00FB2F0B">
      <w:pPr>
        <w:autoSpaceDE w:val="0"/>
        <w:jc w:val="both"/>
        <w:rPr>
          <w:rFonts w:ascii="TimesNewRoman" w:eastAsia="SimSun" w:hAnsi="TimesNewRoman"/>
          <w:sz w:val="23"/>
        </w:rPr>
      </w:pPr>
    </w:p>
    <w:p w:rsidR="005C20D4" w:rsidRPr="009448FC" w:rsidRDefault="005C20D4" w:rsidP="00FB2F0B">
      <w:pPr>
        <w:autoSpaceDE w:val="0"/>
        <w:jc w:val="center"/>
        <w:rPr>
          <w:rFonts w:ascii="Arial" w:hAnsi="Arial"/>
          <w:b/>
          <w:sz w:val="20"/>
        </w:rPr>
      </w:pPr>
      <w:r w:rsidRPr="009448FC">
        <w:object w:dxaOrig="7663" w:dyaOrig="2612">
          <v:shape id="_x0000_i1040" type="#_x0000_t75" style="width:451pt;height:150.8pt" o:ole="" filled="t">
            <v:fill color2="black"/>
            <v:imagedata r:id="rId127" o:title=""/>
          </v:shape>
          <o:OLEObject Type="Embed" ProgID="Visio.Drawing.11" ShapeID="_x0000_i1040" DrawAspect="Content" ObjectID="_1334048222" r:id="rId128"/>
        </w:object>
      </w:r>
    </w:p>
    <w:p w:rsidR="004A40E9" w:rsidRPr="009448FC" w:rsidRDefault="004A40E9" w:rsidP="00BA5BC4">
      <w:pPr>
        <w:pStyle w:val="Caption"/>
        <w:rPr>
          <w:b w:val="0"/>
          <w:sz w:val="20"/>
        </w:rPr>
      </w:pPr>
      <w:bookmarkStart w:id="1008" w:name="_Ref251929964"/>
      <w:bookmarkStart w:id="1009" w:name="_Toc259717511"/>
      <w:r w:rsidRPr="00066F65">
        <w:t xml:space="preserve">Figure </w:t>
      </w:r>
      <w:r w:rsidR="00BD151C">
        <w:fldChar w:fldCharType="begin"/>
      </w:r>
      <w:r w:rsidR="00801316">
        <w:instrText xml:space="preserve"> SEQ Figure \* ARABIC </w:instrText>
      </w:r>
      <w:r w:rsidR="00BD151C">
        <w:fldChar w:fldCharType="separate"/>
      </w:r>
      <w:r w:rsidR="003E4210">
        <w:rPr>
          <w:noProof/>
        </w:rPr>
        <w:t>79</w:t>
      </w:r>
      <w:r w:rsidR="00BD151C">
        <w:fldChar w:fldCharType="end"/>
      </w:r>
      <w:bookmarkEnd w:id="1008"/>
      <w:r w:rsidRPr="00066F65">
        <w:t xml:space="preserve"> – GCMP encapsulation block diagram</w:t>
      </w:r>
      <w:bookmarkEnd w:id="1009"/>
    </w:p>
    <w:p w:rsidR="00FB2F0B" w:rsidRPr="009448FC" w:rsidRDefault="00FB2F0B" w:rsidP="00FB2F0B">
      <w:pPr>
        <w:autoSpaceDE w:val="0"/>
        <w:jc w:val="center"/>
        <w:rPr>
          <w:rFonts w:eastAsia="SimSun"/>
          <w:sz w:val="23"/>
        </w:rPr>
      </w:pPr>
    </w:p>
    <w:p w:rsidR="00FB2F0B" w:rsidRPr="009448FC" w:rsidRDefault="00FB2F0B" w:rsidP="00FB2F0B">
      <w:pPr>
        <w:autoSpaceDE w:val="0"/>
        <w:jc w:val="both"/>
        <w:rPr>
          <w:rFonts w:eastAsia="SimSun"/>
        </w:rPr>
      </w:pPr>
      <w:r w:rsidRPr="009448FC">
        <w:rPr>
          <w:rFonts w:eastAsia="SimSun"/>
        </w:rPr>
        <w:t>GCMP encrypts the payload of a plaintext MPDU and encapsulates the resulting cipher text using the following steps:</w:t>
      </w:r>
    </w:p>
    <w:p w:rsidR="00FB2F0B" w:rsidRPr="009448FC" w:rsidRDefault="00FB2F0B" w:rsidP="003701DB">
      <w:pPr>
        <w:numPr>
          <w:ilvl w:val="0"/>
          <w:numId w:val="80"/>
        </w:numPr>
        <w:suppressAutoHyphens/>
        <w:autoSpaceDE w:val="0"/>
        <w:jc w:val="both"/>
        <w:rPr>
          <w:rFonts w:eastAsia="SimSun"/>
        </w:rPr>
      </w:pPr>
      <w:r w:rsidRPr="009448FC">
        <w:rPr>
          <w:rFonts w:eastAsia="SimSun"/>
        </w:rPr>
        <w:t>Increment the PN, to obtain a fresh PN for each MPDU, so that the PN never repeats for the same temporal key. Note that retransmitted MPDUs are not modified on retransmission.</w:t>
      </w:r>
    </w:p>
    <w:p w:rsidR="00FB2F0B" w:rsidRPr="009448FC" w:rsidRDefault="00FB2F0B" w:rsidP="003701DB">
      <w:pPr>
        <w:numPr>
          <w:ilvl w:val="0"/>
          <w:numId w:val="80"/>
        </w:numPr>
        <w:suppressAutoHyphens/>
        <w:autoSpaceDE w:val="0"/>
        <w:jc w:val="both"/>
        <w:rPr>
          <w:rFonts w:eastAsia="SimSun"/>
        </w:rPr>
      </w:pPr>
      <w:r w:rsidRPr="009448FC">
        <w:rPr>
          <w:rFonts w:eastAsia="SimSun"/>
        </w:rPr>
        <w:t>Use the fields in the MPDU header to construct the additional authentication data (AAD) for GCM. The GCM algorithm provides integrity protection for the fields included in the AAD. MPDU header fields that may change when retransmitted are muted by being masked to 0 when calculating the AAD.</w:t>
      </w:r>
    </w:p>
    <w:p w:rsidR="00FB2F0B" w:rsidRPr="009448FC" w:rsidRDefault="00FB2F0B" w:rsidP="003701DB">
      <w:pPr>
        <w:numPr>
          <w:ilvl w:val="0"/>
          <w:numId w:val="80"/>
        </w:numPr>
        <w:suppressAutoHyphens/>
        <w:autoSpaceDE w:val="0"/>
        <w:jc w:val="both"/>
        <w:rPr>
          <w:rFonts w:eastAsia="SimSun"/>
        </w:rPr>
      </w:pPr>
      <w:r w:rsidRPr="009448FC">
        <w:rPr>
          <w:rFonts w:eastAsia="SimSun"/>
        </w:rPr>
        <w:t>Construct the GCM Nonce block from the PN and A2, where A2 is MPDU Address 2.</w:t>
      </w:r>
    </w:p>
    <w:p w:rsidR="00FB2F0B" w:rsidRPr="009448FC" w:rsidRDefault="00FB2F0B" w:rsidP="003701DB">
      <w:pPr>
        <w:numPr>
          <w:ilvl w:val="0"/>
          <w:numId w:val="80"/>
        </w:numPr>
        <w:suppressAutoHyphens/>
        <w:autoSpaceDE w:val="0"/>
        <w:jc w:val="both"/>
        <w:rPr>
          <w:rFonts w:eastAsia="SimSun"/>
        </w:rPr>
      </w:pPr>
      <w:r w:rsidRPr="009448FC">
        <w:rPr>
          <w:rFonts w:eastAsia="SimSun"/>
        </w:rPr>
        <w:t>Place the new PN and the key identifier into the 8-octet GCMP Header.</w:t>
      </w:r>
    </w:p>
    <w:p w:rsidR="00FB2F0B" w:rsidRPr="009448FC" w:rsidRDefault="00FB2F0B" w:rsidP="003701DB">
      <w:pPr>
        <w:numPr>
          <w:ilvl w:val="0"/>
          <w:numId w:val="80"/>
        </w:numPr>
        <w:suppressAutoHyphens/>
        <w:autoSpaceDE w:val="0"/>
        <w:jc w:val="both"/>
        <w:rPr>
          <w:rFonts w:eastAsia="SimSun"/>
        </w:rPr>
      </w:pPr>
      <w:r w:rsidRPr="009448FC">
        <w:rPr>
          <w:rFonts w:eastAsia="SimSun"/>
        </w:rPr>
        <w:t>Use the temporal key, AAD, nonce, and MPDU data to form the cipher text and MIC. This step is known as GCM originator processing.</w:t>
      </w:r>
    </w:p>
    <w:p w:rsidR="00FB2F0B" w:rsidRPr="009448FC" w:rsidRDefault="00FB2F0B" w:rsidP="003701DB">
      <w:pPr>
        <w:numPr>
          <w:ilvl w:val="0"/>
          <w:numId w:val="80"/>
        </w:numPr>
        <w:suppressAutoHyphens/>
        <w:autoSpaceDE w:val="0"/>
        <w:jc w:val="both"/>
        <w:rPr>
          <w:rFonts w:eastAsia="SimSun"/>
        </w:rPr>
      </w:pPr>
      <w:r w:rsidRPr="009448FC">
        <w:rPr>
          <w:rFonts w:eastAsia="SimSun"/>
        </w:rPr>
        <w:t xml:space="preserve">Form the encrypted MPDU by combining the original MPDU header, the GCMP header, the encrypted data and MIC, as described in </w:t>
      </w:r>
      <w:r w:rsidR="00BD151C">
        <w:rPr>
          <w:rFonts w:eastAsia="SimSun"/>
          <w:lang w:eastAsia="ar-SA" w:bidi="ar-SA"/>
        </w:rPr>
        <w:fldChar w:fldCharType="begin"/>
      </w:r>
      <w:r w:rsidR="00DC7389">
        <w:rPr>
          <w:rFonts w:eastAsia="SimSun"/>
          <w:lang w:eastAsia="ar-SA" w:bidi="ar-SA"/>
        </w:rPr>
        <w:instrText xml:space="preserve"> REF _Ref244099210 \r \h </w:instrText>
      </w:r>
      <w:r w:rsidR="00BD151C">
        <w:rPr>
          <w:rFonts w:eastAsia="SimSun"/>
          <w:lang w:eastAsia="ar-SA" w:bidi="ar-SA"/>
        </w:rPr>
      </w:r>
      <w:r w:rsidR="00BD151C">
        <w:rPr>
          <w:rFonts w:eastAsia="SimSun"/>
          <w:lang w:eastAsia="ar-SA" w:bidi="ar-SA"/>
        </w:rPr>
        <w:fldChar w:fldCharType="separate"/>
      </w:r>
      <w:r w:rsidR="003E4210">
        <w:rPr>
          <w:rFonts w:eastAsia="SimSun"/>
          <w:lang w:eastAsia="ar-SA" w:bidi="ar-SA"/>
        </w:rPr>
        <w:t>8.3.5.2</w:t>
      </w:r>
      <w:r w:rsidR="00BD151C">
        <w:rPr>
          <w:rFonts w:eastAsia="SimSun"/>
          <w:lang w:eastAsia="ar-SA" w:bidi="ar-SA"/>
        </w:rPr>
        <w:fldChar w:fldCharType="end"/>
      </w:r>
    </w:p>
    <w:p w:rsidR="00FB2F0B" w:rsidRPr="009448FC" w:rsidRDefault="00FB2F0B" w:rsidP="00FB2F0B">
      <w:pPr>
        <w:autoSpaceDE w:val="0"/>
        <w:jc w:val="both"/>
        <w:rPr>
          <w:rFonts w:eastAsia="SimSun"/>
        </w:rPr>
      </w:pPr>
    </w:p>
    <w:p w:rsidR="00FB2F0B" w:rsidRPr="009448FC" w:rsidRDefault="00FB2F0B" w:rsidP="00570D9F">
      <w:pPr>
        <w:autoSpaceDE w:val="0"/>
        <w:jc w:val="both"/>
        <w:rPr>
          <w:rFonts w:eastAsia="SimSun"/>
        </w:rPr>
      </w:pPr>
      <w:r w:rsidRPr="009448FC">
        <w:rPr>
          <w:rFonts w:eastAsia="SimSun"/>
        </w:rPr>
        <w:t xml:space="preserve">The GCM reference describes the processing of the key, nonce, AAD, and data to produce the encrypted output. See </w:t>
      </w:r>
      <w:r w:rsidR="00BD151C" w:rsidRPr="009448FC">
        <w:rPr>
          <w:rFonts w:eastAsia="SimSun"/>
        </w:rPr>
        <w:fldChar w:fldCharType="begin"/>
      </w:r>
      <w:r w:rsidR="00BB2F6F" w:rsidRPr="009448FC">
        <w:rPr>
          <w:rFonts w:eastAsia="SimSun"/>
        </w:rPr>
        <w:instrText xml:space="preserve"> REF _Ref244222740 \r \h </w:instrText>
      </w:r>
      <w:r w:rsidR="00BD151C" w:rsidRPr="009448FC">
        <w:rPr>
          <w:rFonts w:eastAsia="SimSun"/>
        </w:rPr>
      </w:r>
      <w:r w:rsidR="00BD151C" w:rsidRPr="009448FC">
        <w:rPr>
          <w:rFonts w:eastAsia="SimSun"/>
        </w:rPr>
        <w:fldChar w:fldCharType="separate"/>
      </w:r>
      <w:r w:rsidR="003E4210">
        <w:rPr>
          <w:rFonts w:eastAsia="SimSun"/>
        </w:rPr>
        <w:t>8.3.5.3.1</w:t>
      </w:r>
      <w:r w:rsidR="00BD151C" w:rsidRPr="009448FC">
        <w:rPr>
          <w:rFonts w:eastAsia="SimSun"/>
        </w:rPr>
        <w:fldChar w:fldCharType="end"/>
      </w:r>
      <w:r w:rsidR="00BB2F6F" w:rsidRPr="009448FC">
        <w:rPr>
          <w:rFonts w:eastAsia="SimSun"/>
        </w:rPr>
        <w:t xml:space="preserve"> </w:t>
      </w:r>
      <w:r w:rsidRPr="009448FC">
        <w:rPr>
          <w:rFonts w:eastAsia="SimSun"/>
        </w:rPr>
        <w:t xml:space="preserve">through </w:t>
      </w:r>
      <w:r w:rsidR="00BD151C" w:rsidRPr="009448FC">
        <w:rPr>
          <w:rFonts w:eastAsia="SimSun"/>
        </w:rPr>
        <w:fldChar w:fldCharType="begin"/>
      </w:r>
      <w:r w:rsidR="00570D9F" w:rsidRPr="009448FC">
        <w:rPr>
          <w:rFonts w:eastAsia="SimSun"/>
        </w:rPr>
        <w:instrText xml:space="preserve"> REF _Ref244222741 \r \h </w:instrText>
      </w:r>
      <w:r w:rsidR="00BD151C" w:rsidRPr="009448FC">
        <w:rPr>
          <w:rFonts w:eastAsia="SimSun"/>
        </w:rPr>
      </w:r>
      <w:r w:rsidR="00BD151C" w:rsidRPr="009448FC">
        <w:rPr>
          <w:rFonts w:eastAsia="SimSun"/>
        </w:rPr>
        <w:fldChar w:fldCharType="separate"/>
      </w:r>
      <w:r w:rsidR="003E4210">
        <w:rPr>
          <w:rFonts w:eastAsia="SimSun"/>
        </w:rPr>
        <w:t>8.3.5.3.5</w:t>
      </w:r>
      <w:r w:rsidR="00BD151C" w:rsidRPr="009448FC">
        <w:rPr>
          <w:rFonts w:eastAsia="SimSun"/>
        </w:rPr>
        <w:fldChar w:fldCharType="end"/>
      </w:r>
      <w:r w:rsidR="00570D9F" w:rsidRPr="009448FC">
        <w:rPr>
          <w:rFonts w:eastAsia="SimSun"/>
        </w:rPr>
        <w:t xml:space="preserve"> </w:t>
      </w:r>
      <w:r w:rsidRPr="009448FC">
        <w:rPr>
          <w:rFonts w:eastAsia="SimSun"/>
        </w:rPr>
        <w:t>for details of the creation of the AAD and nonce from the MPDU and the associated MPDU-specific processing.</w:t>
      </w:r>
    </w:p>
    <w:p w:rsidR="00FB2F0B" w:rsidRPr="009448FC" w:rsidRDefault="00FB2F0B" w:rsidP="00FB2F0B">
      <w:pPr>
        <w:autoSpaceDE w:val="0"/>
        <w:jc w:val="both"/>
        <w:rPr>
          <w:rFonts w:eastAsia="SimSun"/>
          <w:sz w:val="23"/>
        </w:rPr>
      </w:pPr>
    </w:p>
    <w:p w:rsidR="00FB2F0B" w:rsidRPr="009448FC" w:rsidRDefault="00FB2F0B" w:rsidP="003701DB">
      <w:pPr>
        <w:pStyle w:val="Heading5"/>
        <w:numPr>
          <w:ilvl w:val="4"/>
          <w:numId w:val="140"/>
        </w:numPr>
      </w:pPr>
      <w:bookmarkStart w:id="1010" w:name="_Ref244222740"/>
      <w:bookmarkStart w:id="1011" w:name="_Toc259717019"/>
      <w:r w:rsidRPr="009448FC">
        <w:t>PN processing</w:t>
      </w:r>
      <w:bookmarkEnd w:id="1010"/>
      <w:bookmarkEnd w:id="1011"/>
    </w:p>
    <w:p w:rsidR="00FB2F0B" w:rsidRPr="009448FC" w:rsidRDefault="00FB2F0B" w:rsidP="00FB2F0B">
      <w:pPr>
        <w:autoSpaceDE w:val="0"/>
        <w:jc w:val="both"/>
        <w:rPr>
          <w:rFonts w:eastAsia="Arial Unicode MS"/>
          <w:sz w:val="23"/>
        </w:rPr>
      </w:pPr>
    </w:p>
    <w:p w:rsidR="00FB2F0B" w:rsidRPr="009448FC" w:rsidRDefault="00FB2F0B" w:rsidP="00FB2F0B">
      <w:pPr>
        <w:autoSpaceDE w:val="0"/>
        <w:jc w:val="both"/>
        <w:rPr>
          <w:rFonts w:eastAsia="Arial Unicode MS"/>
        </w:rPr>
      </w:pPr>
      <w:r w:rsidRPr="009448FC">
        <w:rPr>
          <w:rFonts w:eastAsia="Arial Unicode MS"/>
        </w:rPr>
        <w:t>Each transmitter shall maintain a single PN (48-bit counter) for each PTKSA, GTKSA, and STKSA.</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 PN shall be implemented as a 48-bit monotonically incrementing non-negative integer, initialized to 1 when the corresponding temporal key is initialized or refreshed.</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The PN is incremented by a positive number for each MPDU. The PN shall never repeat for a series of encrypted MPDUs using the same temporal key.</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If the PN is</w:t>
      </w:r>
      <w:r w:rsidRPr="009448FC">
        <w:t xml:space="preserve"> larger than the value of </w:t>
      </w:r>
      <w:r w:rsidRPr="009448FC">
        <w:rPr>
          <w:rFonts w:eastAsia="Arial Unicode MS"/>
        </w:rPr>
        <w:t>dot11</w:t>
      </w:r>
      <w:r w:rsidRPr="009448FC">
        <w:t>PNExhaustionThreshold</w:t>
      </w:r>
      <w:r w:rsidRPr="009448FC">
        <w:rPr>
          <w:rFonts w:eastAsia="SimSun"/>
        </w:rPr>
        <w:t xml:space="preserve">, an MLME-PN-Exhaustion.indication primitive shall be generated. </w:t>
      </w:r>
    </w:p>
    <w:p w:rsidR="00FB2F0B" w:rsidRPr="009448FC" w:rsidRDefault="00FB2F0B" w:rsidP="003701DB">
      <w:pPr>
        <w:pStyle w:val="Heading5"/>
        <w:numPr>
          <w:ilvl w:val="4"/>
          <w:numId w:val="141"/>
        </w:numPr>
      </w:pPr>
      <w:bookmarkStart w:id="1012" w:name="_Ref244222743"/>
      <w:bookmarkStart w:id="1013" w:name="_Ref244222746"/>
      <w:bookmarkStart w:id="1014" w:name="_Toc259717020"/>
      <w:r w:rsidRPr="009448FC">
        <w:lastRenderedPageBreak/>
        <w:t>Construct AAD</w:t>
      </w:r>
      <w:bookmarkEnd w:id="1012"/>
      <w:bookmarkEnd w:id="1013"/>
      <w:bookmarkEnd w:id="1014"/>
    </w:p>
    <w:p w:rsidR="00FB2F0B" w:rsidRPr="009448FC" w:rsidRDefault="00FB2F0B" w:rsidP="00FB2F0B">
      <w:pPr>
        <w:autoSpaceDE w:val="0"/>
        <w:jc w:val="both"/>
        <w:rPr>
          <w:rFonts w:eastAsia="SimSun"/>
        </w:rPr>
      </w:pPr>
      <w:r w:rsidRPr="009448FC">
        <w:rPr>
          <w:rFonts w:eastAsia="SimSun"/>
        </w:rPr>
        <w:t>The AAD construction is as defined in section 8.3.3.3.2.</w:t>
      </w:r>
    </w:p>
    <w:p w:rsidR="00FB2F0B" w:rsidRPr="009448FC" w:rsidRDefault="00FB2F0B" w:rsidP="00FB2F0B">
      <w:pPr>
        <w:autoSpaceDE w:val="0"/>
        <w:jc w:val="both"/>
        <w:rPr>
          <w:rFonts w:ascii="Arial" w:eastAsia="SimSun" w:hAnsi="Arial"/>
          <w:b/>
        </w:rPr>
      </w:pPr>
    </w:p>
    <w:p w:rsidR="00FB2F0B" w:rsidRPr="009448FC" w:rsidRDefault="00FB2F0B" w:rsidP="003701DB">
      <w:pPr>
        <w:pStyle w:val="Heading5"/>
        <w:numPr>
          <w:ilvl w:val="4"/>
          <w:numId w:val="141"/>
        </w:numPr>
      </w:pPr>
      <w:bookmarkStart w:id="1015" w:name="_Ref244218111"/>
      <w:bookmarkStart w:id="1016" w:name="_Toc259717021"/>
      <w:r w:rsidRPr="009448FC">
        <w:t>Construct GCM nonce</w:t>
      </w:r>
      <w:bookmarkEnd w:id="1015"/>
      <w:bookmarkEnd w:id="1016"/>
    </w:p>
    <w:p w:rsidR="00FB2F0B" w:rsidRPr="009448FC" w:rsidRDefault="00FB2F0B" w:rsidP="00FB2F0B">
      <w:pPr>
        <w:autoSpaceDE w:val="0"/>
        <w:jc w:val="both"/>
        <w:rPr>
          <w:rFonts w:eastAsia="SimSun"/>
        </w:rPr>
      </w:pPr>
      <w:r w:rsidRPr="009448FC">
        <w:rPr>
          <w:rFonts w:eastAsia="SimSun"/>
        </w:rPr>
        <w:t>The Nonce field occupies 12 octets, and its structure is shown in</w:t>
      </w:r>
      <w:r w:rsidR="000F17B7">
        <w:rPr>
          <w:rFonts w:eastAsia="SimSun"/>
        </w:rPr>
        <w:t xml:space="preserve"> </w:t>
      </w:r>
      <w:r w:rsidR="00BD151C">
        <w:rPr>
          <w:rFonts w:eastAsia="SimSun"/>
        </w:rPr>
        <w:fldChar w:fldCharType="begin"/>
      </w:r>
      <w:r w:rsidR="000F17B7">
        <w:rPr>
          <w:rFonts w:eastAsia="SimSun"/>
        </w:rPr>
        <w:instrText xml:space="preserve"> REF _Ref251930002 \h </w:instrText>
      </w:r>
      <w:r w:rsidR="00BD151C">
        <w:rPr>
          <w:rFonts w:eastAsia="SimSun"/>
        </w:rPr>
      </w:r>
      <w:r w:rsidR="00BD151C">
        <w:rPr>
          <w:rFonts w:eastAsia="SimSun"/>
        </w:rPr>
        <w:fldChar w:fldCharType="separate"/>
      </w:r>
      <w:r w:rsidR="003E4210" w:rsidRPr="00066F65">
        <w:t xml:space="preserve">Figure </w:t>
      </w:r>
      <w:r w:rsidR="003E4210">
        <w:rPr>
          <w:noProof/>
        </w:rPr>
        <w:t>80</w:t>
      </w:r>
      <w:r w:rsidR="00BD151C">
        <w:rPr>
          <w:rFonts w:eastAsia="SimSun"/>
        </w:rPr>
        <w:fldChar w:fldCharType="end"/>
      </w:r>
      <w:r w:rsidRPr="009448FC">
        <w:rPr>
          <w:rFonts w:eastAsia="SimSun"/>
        </w:rPr>
        <w:t>.</w:t>
      </w:r>
    </w:p>
    <w:p w:rsidR="00FB2F0B" w:rsidRPr="009448FC" w:rsidRDefault="00FB2F0B" w:rsidP="00FB2F0B">
      <w:pPr>
        <w:autoSpaceDE w:val="0"/>
        <w:jc w:val="both"/>
        <w:rPr>
          <w:rFonts w:eastAsia="SimSun"/>
          <w:sz w:val="23"/>
        </w:rPr>
      </w:pPr>
      <w:bookmarkStart w:id="1017" w:name="_Ref243734045"/>
    </w:p>
    <w:p w:rsidR="005C20D4" w:rsidRPr="009448FC" w:rsidRDefault="005C20D4" w:rsidP="00FB2F0B">
      <w:pPr>
        <w:autoSpaceDE w:val="0"/>
        <w:jc w:val="center"/>
        <w:rPr>
          <w:rFonts w:ascii="Arial" w:eastAsia="SimSun" w:hAnsi="Arial"/>
          <w:b/>
          <w:sz w:val="20"/>
        </w:rPr>
      </w:pPr>
      <w:r w:rsidRPr="009448FC">
        <w:object w:dxaOrig="6947" w:dyaOrig="996">
          <v:shape id="_x0000_i1041" type="#_x0000_t75" style="width:384.9pt;height:54.35pt" o:ole="" filled="t">
            <v:fill color2="black"/>
            <v:imagedata r:id="rId129" o:title=""/>
          </v:shape>
          <o:OLEObject Type="Embed" ProgID="Visio.Drawing.11" ShapeID="_x0000_i1041" DrawAspect="Content" ObjectID="_1334048223" r:id="rId130"/>
        </w:object>
      </w:r>
    </w:p>
    <w:p w:rsidR="004A40E9" w:rsidRPr="009448FC" w:rsidRDefault="004A40E9" w:rsidP="00BA5BC4">
      <w:pPr>
        <w:pStyle w:val="Caption"/>
        <w:rPr>
          <w:b w:val="0"/>
          <w:sz w:val="20"/>
        </w:rPr>
      </w:pPr>
      <w:bookmarkStart w:id="1018" w:name="_Ref251930002"/>
      <w:bookmarkStart w:id="1019" w:name="_Toc259717512"/>
      <w:r w:rsidRPr="00066F65">
        <w:t xml:space="preserve">Figure </w:t>
      </w:r>
      <w:r w:rsidR="00BD151C">
        <w:fldChar w:fldCharType="begin"/>
      </w:r>
      <w:r w:rsidR="00801316">
        <w:instrText xml:space="preserve"> SEQ Figure \* ARABIC </w:instrText>
      </w:r>
      <w:r w:rsidR="00BD151C">
        <w:fldChar w:fldCharType="separate"/>
      </w:r>
      <w:r w:rsidR="003E4210">
        <w:rPr>
          <w:noProof/>
        </w:rPr>
        <w:t>80</w:t>
      </w:r>
      <w:r w:rsidR="00BD151C">
        <w:fldChar w:fldCharType="end"/>
      </w:r>
      <w:bookmarkEnd w:id="1017"/>
      <w:bookmarkEnd w:id="1018"/>
      <w:r w:rsidRPr="00066F65">
        <w:t xml:space="preserve"> – Nonce construction</w:t>
      </w:r>
      <w:bookmarkEnd w:id="1019"/>
    </w:p>
    <w:p w:rsidR="00FB2F0B" w:rsidRPr="009448FC" w:rsidRDefault="00FB2F0B" w:rsidP="00FB2F0B">
      <w:pPr>
        <w:autoSpaceDE w:val="0"/>
        <w:jc w:val="both"/>
        <w:rPr>
          <w:rFonts w:ascii="Arial" w:eastAsia="SimSun" w:hAnsi="Arial"/>
          <w:sz w:val="23"/>
        </w:rPr>
      </w:pPr>
    </w:p>
    <w:p w:rsidR="00FB2F0B" w:rsidRPr="009448FC" w:rsidRDefault="00FB2F0B" w:rsidP="00FB2F0B">
      <w:pPr>
        <w:autoSpaceDE w:val="0"/>
        <w:jc w:val="both"/>
        <w:rPr>
          <w:rFonts w:eastAsia="SimSun"/>
        </w:rPr>
      </w:pPr>
      <w:r w:rsidRPr="009448FC">
        <w:rPr>
          <w:rFonts w:eastAsia="SimSun"/>
        </w:rPr>
        <w:t>The Nonce field has an internal structure of A2 || PN (“||” is concatenation), where</w:t>
      </w:r>
    </w:p>
    <w:p w:rsidR="00FB2F0B" w:rsidRPr="009448FC" w:rsidRDefault="00FB2F0B" w:rsidP="003701DB">
      <w:pPr>
        <w:numPr>
          <w:ilvl w:val="0"/>
          <w:numId w:val="77"/>
        </w:numPr>
        <w:suppressAutoHyphens/>
        <w:autoSpaceDE w:val="0"/>
        <w:jc w:val="both"/>
        <w:rPr>
          <w:rFonts w:eastAsia="SimSun"/>
        </w:rPr>
      </w:pPr>
      <w:r w:rsidRPr="009448FC">
        <w:rPr>
          <w:rFonts w:eastAsia="SimSun"/>
        </w:rPr>
        <w:t>MPDU address A2 field occupies octets 0–5. This shall be encoded with the octets ordered with A2 octet 0 at octet index 0 and A2 octet 5 at octet index 5.</w:t>
      </w:r>
    </w:p>
    <w:p w:rsidR="00FB2F0B" w:rsidRPr="009448FC" w:rsidRDefault="00FB2F0B" w:rsidP="003701DB">
      <w:pPr>
        <w:numPr>
          <w:ilvl w:val="0"/>
          <w:numId w:val="77"/>
        </w:numPr>
        <w:suppressAutoHyphens/>
        <w:autoSpaceDE w:val="0"/>
        <w:jc w:val="both"/>
        <w:rPr>
          <w:rFonts w:eastAsia="SimSun"/>
        </w:rPr>
      </w:pPr>
      <w:r w:rsidRPr="009448FC">
        <w:rPr>
          <w:rFonts w:eastAsia="SimSun"/>
        </w:rPr>
        <w:t>The PN field occupies octets 6–11. The octets of PN shall be ordered so that PN0 is at octet index 11 and PN5 is at octet index 6.</w:t>
      </w:r>
    </w:p>
    <w:p w:rsidR="00FB2F0B" w:rsidRPr="009448FC" w:rsidRDefault="00FB2F0B" w:rsidP="00FB2F0B">
      <w:pPr>
        <w:autoSpaceDE w:val="0"/>
        <w:jc w:val="both"/>
        <w:rPr>
          <w:rFonts w:ascii="Arial" w:eastAsia="SimSun" w:hAnsi="Arial"/>
          <w:b/>
          <w:sz w:val="23"/>
        </w:rPr>
      </w:pPr>
    </w:p>
    <w:p w:rsidR="00FB2F0B" w:rsidRPr="009448FC" w:rsidRDefault="00FB2F0B" w:rsidP="003701DB">
      <w:pPr>
        <w:pStyle w:val="Heading5"/>
        <w:numPr>
          <w:ilvl w:val="4"/>
          <w:numId w:val="141"/>
        </w:numPr>
      </w:pPr>
      <w:bookmarkStart w:id="1020" w:name="_Toc259717022"/>
      <w:r w:rsidRPr="009448FC">
        <w:t>Construct GCMP header</w:t>
      </w:r>
      <w:bookmarkEnd w:id="1020"/>
    </w:p>
    <w:p w:rsidR="00FB2F0B" w:rsidRPr="009448FC" w:rsidRDefault="00FB2F0B" w:rsidP="00FB2F0B">
      <w:pPr>
        <w:autoSpaceDE w:val="0"/>
        <w:jc w:val="both"/>
        <w:rPr>
          <w:rFonts w:eastAsia="SimSun"/>
          <w:sz w:val="23"/>
        </w:rPr>
      </w:pPr>
    </w:p>
    <w:p w:rsidR="00FB2F0B" w:rsidRPr="009448FC" w:rsidRDefault="00FB2F0B" w:rsidP="0044361B">
      <w:pPr>
        <w:autoSpaceDE w:val="0"/>
        <w:jc w:val="both"/>
        <w:rPr>
          <w:rFonts w:eastAsia="SimSun"/>
        </w:rPr>
      </w:pPr>
      <w:r w:rsidRPr="009448FC">
        <w:rPr>
          <w:rFonts w:eastAsia="SimSun"/>
        </w:rPr>
        <w:t xml:space="preserve">The format of the 8-octet GCMP Header is given in </w:t>
      </w:r>
      <w:r w:rsidR="00BD151C" w:rsidRPr="009448FC">
        <w:rPr>
          <w:rFonts w:eastAsia="SimSun"/>
        </w:rPr>
        <w:fldChar w:fldCharType="begin"/>
      </w:r>
      <w:r w:rsidR="0044361B" w:rsidRPr="009448FC">
        <w:rPr>
          <w:rFonts w:eastAsia="SimSun"/>
        </w:rPr>
        <w:instrText xml:space="preserve"> REF _Ref244099210 \r \h </w:instrText>
      </w:r>
      <w:r w:rsidR="00BD151C" w:rsidRPr="009448FC">
        <w:rPr>
          <w:rFonts w:eastAsia="SimSun"/>
        </w:rPr>
      </w:r>
      <w:r w:rsidR="00BD151C" w:rsidRPr="009448FC">
        <w:rPr>
          <w:rFonts w:eastAsia="SimSun"/>
        </w:rPr>
        <w:fldChar w:fldCharType="separate"/>
      </w:r>
      <w:r w:rsidR="003E4210">
        <w:rPr>
          <w:rFonts w:eastAsia="SimSun"/>
        </w:rPr>
        <w:t>8.3.5.2</w:t>
      </w:r>
      <w:r w:rsidR="00BD151C" w:rsidRPr="009448FC">
        <w:rPr>
          <w:rFonts w:eastAsia="SimSun"/>
        </w:rPr>
        <w:fldChar w:fldCharType="end"/>
      </w:r>
      <w:r w:rsidRPr="009448FC">
        <w:rPr>
          <w:rFonts w:eastAsia="SimSun"/>
        </w:rPr>
        <w:t>. The header encodes the PN and Key ID field values used to encrypt the MPDU.</w:t>
      </w:r>
    </w:p>
    <w:p w:rsidR="00FB2F0B" w:rsidRPr="009448FC" w:rsidRDefault="00FB2F0B" w:rsidP="00FB2F0B">
      <w:pPr>
        <w:autoSpaceDE w:val="0"/>
        <w:jc w:val="both"/>
        <w:rPr>
          <w:rFonts w:eastAsia="SimSun"/>
          <w:sz w:val="23"/>
        </w:rPr>
      </w:pPr>
    </w:p>
    <w:p w:rsidR="00FB2F0B" w:rsidRPr="009448FC" w:rsidRDefault="00FB2F0B" w:rsidP="003701DB">
      <w:pPr>
        <w:pStyle w:val="Heading5"/>
        <w:numPr>
          <w:ilvl w:val="4"/>
          <w:numId w:val="141"/>
        </w:numPr>
      </w:pPr>
      <w:bookmarkStart w:id="1021" w:name="_Ref244222741"/>
      <w:bookmarkStart w:id="1022" w:name="_Toc259717023"/>
      <w:r w:rsidRPr="009448FC">
        <w:t>GCM origina</w:t>
      </w:r>
      <w:r w:rsidRPr="009448FC">
        <w:rPr>
          <w:rStyle w:val="Heading5Char"/>
        </w:rPr>
        <w:t>t</w:t>
      </w:r>
      <w:r w:rsidRPr="009448FC">
        <w:t>or processing</w:t>
      </w:r>
      <w:bookmarkEnd w:id="1021"/>
      <w:bookmarkEnd w:id="1022"/>
    </w:p>
    <w:p w:rsidR="00FB2F0B" w:rsidRPr="009448FC" w:rsidRDefault="00FB2F0B" w:rsidP="00FB2F0B">
      <w:pPr>
        <w:autoSpaceDE w:val="0"/>
        <w:rPr>
          <w:rFonts w:eastAsia="SimSun"/>
          <w:sz w:val="23"/>
        </w:rPr>
      </w:pPr>
    </w:p>
    <w:p w:rsidR="00FB2F0B" w:rsidRPr="009448FC" w:rsidRDefault="00FB2F0B" w:rsidP="00FB2F0B">
      <w:pPr>
        <w:autoSpaceDE w:val="0"/>
        <w:jc w:val="both"/>
        <w:rPr>
          <w:rFonts w:eastAsia="SimSun"/>
        </w:rPr>
      </w:pPr>
      <w:r w:rsidRPr="009448FC">
        <w:rPr>
          <w:rFonts w:eastAsia="SimSun"/>
        </w:rPr>
        <w:t>GCM is a generic authenticate-and-encrypt block cipher mode, and in this standard, GCM is used with the AES block cipher.</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There are four inputs to GCM originator processing:</w:t>
      </w:r>
    </w:p>
    <w:p w:rsidR="00FB2F0B" w:rsidRPr="009448FC" w:rsidRDefault="00FB2F0B" w:rsidP="00FB2F0B">
      <w:pPr>
        <w:autoSpaceDE w:val="0"/>
        <w:ind w:left="288"/>
        <w:jc w:val="both"/>
        <w:rPr>
          <w:rFonts w:eastAsia="SimSun"/>
        </w:rPr>
      </w:pPr>
      <w:r w:rsidRPr="009448FC">
        <w:rPr>
          <w:rFonts w:eastAsia="SimSun"/>
        </w:rPr>
        <w:t xml:space="preserve">a) </w:t>
      </w:r>
      <w:r w:rsidRPr="009448FC">
        <w:rPr>
          <w:rFonts w:eastAsia="SimSun"/>
          <w:i/>
        </w:rPr>
        <w:t xml:space="preserve">Key: </w:t>
      </w:r>
      <w:r w:rsidRPr="009448FC">
        <w:rPr>
          <w:rFonts w:eastAsia="SimSun"/>
        </w:rPr>
        <w:t>the temporal key (16 octets).</w:t>
      </w:r>
    </w:p>
    <w:p w:rsidR="00FB2F0B" w:rsidRPr="009448FC" w:rsidRDefault="00FB2F0B" w:rsidP="00A97AE5">
      <w:pPr>
        <w:autoSpaceDE w:val="0"/>
        <w:ind w:left="288"/>
        <w:jc w:val="both"/>
        <w:rPr>
          <w:rFonts w:eastAsia="SimSun"/>
        </w:rPr>
      </w:pPr>
      <w:r w:rsidRPr="009448FC">
        <w:rPr>
          <w:rFonts w:eastAsia="SimSun"/>
        </w:rPr>
        <w:t xml:space="preserve">b) </w:t>
      </w:r>
      <w:r w:rsidRPr="009448FC">
        <w:rPr>
          <w:rFonts w:eastAsia="SimSun"/>
          <w:i/>
        </w:rPr>
        <w:t xml:space="preserve">Nonce: </w:t>
      </w:r>
      <w:r w:rsidRPr="009448FC">
        <w:rPr>
          <w:rFonts w:eastAsia="SimSun"/>
        </w:rPr>
        <w:t xml:space="preserve">the nonce (12 octets) constructed as described in </w:t>
      </w:r>
      <w:r w:rsidR="00BD151C">
        <w:rPr>
          <w:rFonts w:eastAsia="SimSun"/>
          <w:lang w:eastAsia="ar-SA" w:bidi="ar-SA"/>
        </w:rPr>
        <w:fldChar w:fldCharType="begin"/>
      </w:r>
      <w:r w:rsidR="00A97AE5">
        <w:rPr>
          <w:rFonts w:eastAsia="SimSun"/>
          <w:lang w:eastAsia="ar-SA" w:bidi="ar-SA"/>
        </w:rPr>
        <w:instrText xml:space="preserve"> REF _Ref244218111 \r \h </w:instrText>
      </w:r>
      <w:r w:rsidR="00BD151C">
        <w:rPr>
          <w:rFonts w:eastAsia="SimSun"/>
          <w:lang w:eastAsia="ar-SA" w:bidi="ar-SA"/>
        </w:rPr>
      </w:r>
      <w:r w:rsidR="00BD151C">
        <w:rPr>
          <w:rFonts w:eastAsia="SimSun"/>
          <w:lang w:eastAsia="ar-SA" w:bidi="ar-SA"/>
        </w:rPr>
        <w:fldChar w:fldCharType="separate"/>
      </w:r>
      <w:r w:rsidR="003E4210">
        <w:rPr>
          <w:rFonts w:eastAsia="SimSun"/>
          <w:lang w:eastAsia="ar-SA" w:bidi="ar-SA"/>
        </w:rPr>
        <w:t>8.3.5.3.3</w:t>
      </w:r>
      <w:r w:rsidR="00BD151C">
        <w:rPr>
          <w:rFonts w:eastAsia="SimSun"/>
          <w:lang w:eastAsia="ar-SA" w:bidi="ar-SA"/>
        </w:rPr>
        <w:fldChar w:fldCharType="end"/>
      </w:r>
      <w:r w:rsidRPr="009448FC">
        <w:rPr>
          <w:rFonts w:eastAsia="SimSun"/>
        </w:rPr>
        <w:t>.</w:t>
      </w:r>
    </w:p>
    <w:p w:rsidR="00FB2F0B" w:rsidRPr="009448FC" w:rsidRDefault="00FB2F0B" w:rsidP="00FB2F0B">
      <w:pPr>
        <w:autoSpaceDE w:val="0"/>
        <w:ind w:left="288"/>
        <w:jc w:val="both"/>
        <w:rPr>
          <w:rFonts w:eastAsia="SimSun"/>
        </w:rPr>
      </w:pPr>
      <w:r w:rsidRPr="009448FC">
        <w:rPr>
          <w:rFonts w:eastAsia="SimSun"/>
        </w:rPr>
        <w:t xml:space="preserve">c) </w:t>
      </w:r>
      <w:r w:rsidRPr="009448FC">
        <w:rPr>
          <w:rFonts w:eastAsia="SimSun"/>
          <w:i/>
        </w:rPr>
        <w:t xml:space="preserve">Frame body: </w:t>
      </w:r>
      <w:r w:rsidRPr="009448FC">
        <w:rPr>
          <w:rFonts w:eastAsia="SimSun"/>
        </w:rPr>
        <w:t>the frame body of the MPDU.</w:t>
      </w:r>
    </w:p>
    <w:p w:rsidR="00FB2F0B" w:rsidRPr="009448FC" w:rsidRDefault="00FB2F0B" w:rsidP="009935B9">
      <w:pPr>
        <w:autoSpaceDE w:val="0"/>
        <w:ind w:left="288"/>
        <w:jc w:val="both"/>
        <w:rPr>
          <w:rFonts w:eastAsia="SimSun"/>
        </w:rPr>
      </w:pPr>
      <w:r w:rsidRPr="009448FC">
        <w:rPr>
          <w:rFonts w:eastAsia="SimSun"/>
        </w:rPr>
        <w:t xml:space="preserve">d) </w:t>
      </w:r>
      <w:r w:rsidRPr="009448FC">
        <w:rPr>
          <w:rFonts w:eastAsia="SimSun"/>
          <w:i/>
        </w:rPr>
        <w:t xml:space="preserve">AAD: </w:t>
      </w:r>
      <w:r w:rsidRPr="009448FC">
        <w:rPr>
          <w:rFonts w:eastAsia="SimSun"/>
        </w:rPr>
        <w:t xml:space="preserve">the AAD (22-30 octets) constructed from the MPDU header as described in </w:t>
      </w:r>
      <w:r w:rsidR="00BD151C">
        <w:rPr>
          <w:rFonts w:eastAsia="SimSun"/>
          <w:lang w:eastAsia="ar-SA" w:bidi="ar-SA"/>
        </w:rPr>
        <w:fldChar w:fldCharType="begin"/>
      </w:r>
      <w:r w:rsidR="009935B9">
        <w:rPr>
          <w:rFonts w:eastAsia="SimSun"/>
          <w:lang w:eastAsia="ar-SA" w:bidi="ar-SA"/>
        </w:rPr>
        <w:instrText xml:space="preserve"> REF _Ref244222743 \r \h </w:instrText>
      </w:r>
      <w:r w:rsidR="00BD151C">
        <w:rPr>
          <w:rFonts w:eastAsia="SimSun"/>
          <w:lang w:eastAsia="ar-SA" w:bidi="ar-SA"/>
        </w:rPr>
      </w:r>
      <w:r w:rsidR="00BD151C">
        <w:rPr>
          <w:rFonts w:eastAsia="SimSun"/>
          <w:lang w:eastAsia="ar-SA" w:bidi="ar-SA"/>
        </w:rPr>
        <w:fldChar w:fldCharType="separate"/>
      </w:r>
      <w:r w:rsidR="003E4210">
        <w:rPr>
          <w:rFonts w:eastAsia="SimSun"/>
          <w:lang w:eastAsia="ar-SA" w:bidi="ar-SA"/>
        </w:rPr>
        <w:t>8.3.5.3.2</w:t>
      </w:r>
      <w:r w:rsidR="00BD151C">
        <w:rPr>
          <w:rFonts w:eastAsia="SimSun"/>
          <w:lang w:eastAsia="ar-SA" w:bidi="ar-SA"/>
        </w:rPr>
        <w:fldChar w:fldCharType="end"/>
      </w:r>
      <w:r w:rsidRPr="009448FC">
        <w:rPr>
          <w:rFonts w:eastAsia="SimSun"/>
        </w:rPr>
        <w:t>.</w:t>
      </w:r>
    </w:p>
    <w:p w:rsidR="00FB2F0B" w:rsidRPr="009448FC" w:rsidRDefault="00FB2F0B" w:rsidP="00FB2F0B">
      <w:pPr>
        <w:autoSpaceDE w:val="0"/>
        <w:jc w:val="both"/>
        <w:rPr>
          <w:rFonts w:eastAsia="SimSun"/>
        </w:rPr>
      </w:pPr>
    </w:p>
    <w:p w:rsidR="00FB2F0B" w:rsidRPr="009448FC" w:rsidRDefault="00FB2F0B" w:rsidP="00CA0149">
      <w:pPr>
        <w:autoSpaceDE w:val="0"/>
        <w:jc w:val="both"/>
        <w:rPr>
          <w:rFonts w:eastAsia="SimSun"/>
        </w:rPr>
      </w:pPr>
      <w:r w:rsidRPr="009448FC">
        <w:rPr>
          <w:rFonts w:eastAsia="SimSun"/>
        </w:rPr>
        <w:t>The GCM originator processing provides authentication and integrity of the frame body and the AAD as well as data confidentiality of the frame body. The output from the GCM originator processing consists of the encrypted data and 16</w:t>
      </w:r>
      <w:r w:rsidRPr="009448FC">
        <w:rPr>
          <w:rFonts w:eastAsia="SimSun"/>
          <w:b/>
        </w:rPr>
        <w:t xml:space="preserve"> </w:t>
      </w:r>
      <w:r w:rsidRPr="009448FC">
        <w:rPr>
          <w:rFonts w:eastAsia="SimSun"/>
        </w:rPr>
        <w:t>additional octets of</w:t>
      </w:r>
      <w:r w:rsidR="00CA0149" w:rsidRPr="009448FC">
        <w:rPr>
          <w:rFonts w:eastAsia="SimSun"/>
        </w:rPr>
        <w:t xml:space="preserve"> encrypted MIC.</w:t>
      </w:r>
    </w:p>
    <w:p w:rsidR="00FB2F0B" w:rsidRPr="009448FC" w:rsidRDefault="00FB2F0B" w:rsidP="00FB2F0B">
      <w:pPr>
        <w:autoSpaceDE w:val="0"/>
        <w:jc w:val="both"/>
        <w:rPr>
          <w:rFonts w:eastAsia="SimSun"/>
        </w:rPr>
      </w:pPr>
    </w:p>
    <w:p w:rsidR="00FB2F0B" w:rsidRPr="009448FC" w:rsidRDefault="00FB2F0B" w:rsidP="003701DB">
      <w:pPr>
        <w:pStyle w:val="Heading4"/>
        <w:numPr>
          <w:ilvl w:val="3"/>
          <w:numId w:val="141"/>
        </w:numPr>
      </w:pPr>
      <w:bookmarkStart w:id="1023" w:name="_Toc259717024"/>
      <w:r w:rsidRPr="009448FC">
        <w:t>GCMP decapsulation</w:t>
      </w:r>
      <w:bookmarkEnd w:id="1023"/>
    </w:p>
    <w:p w:rsidR="000F17B7" w:rsidRDefault="000F17B7" w:rsidP="00FB2F0B">
      <w:pPr>
        <w:autoSpaceDE w:val="0"/>
        <w:jc w:val="both"/>
        <w:rPr>
          <w:rFonts w:eastAsia="SimSun"/>
        </w:rPr>
      </w:pPr>
    </w:p>
    <w:p w:rsidR="00FB2F0B" w:rsidRPr="009448FC" w:rsidRDefault="00BD151C" w:rsidP="00FB2F0B">
      <w:pPr>
        <w:autoSpaceDE w:val="0"/>
        <w:jc w:val="both"/>
        <w:rPr>
          <w:rFonts w:eastAsia="SimSun"/>
        </w:rPr>
      </w:pPr>
      <w:r>
        <w:rPr>
          <w:rFonts w:eastAsia="SimSun"/>
        </w:rPr>
        <w:fldChar w:fldCharType="begin"/>
      </w:r>
      <w:r w:rsidR="000F17B7">
        <w:rPr>
          <w:rFonts w:eastAsia="SimSun"/>
        </w:rPr>
        <w:instrText xml:space="preserve"> REF _Ref251930041 \h </w:instrText>
      </w:r>
      <w:r>
        <w:rPr>
          <w:rFonts w:eastAsia="SimSun"/>
        </w:rPr>
      </w:r>
      <w:r>
        <w:rPr>
          <w:rFonts w:eastAsia="SimSun"/>
        </w:rPr>
        <w:fldChar w:fldCharType="separate"/>
      </w:r>
      <w:r w:rsidR="003E4210" w:rsidRPr="00066F65">
        <w:t xml:space="preserve">Figure </w:t>
      </w:r>
      <w:r w:rsidR="003E4210">
        <w:rPr>
          <w:noProof/>
        </w:rPr>
        <w:t>81</w:t>
      </w:r>
      <w:r>
        <w:rPr>
          <w:rFonts w:eastAsia="SimSun"/>
        </w:rPr>
        <w:fldChar w:fldCharType="end"/>
      </w:r>
      <w:r w:rsidR="000F17B7">
        <w:rPr>
          <w:rFonts w:eastAsia="SimSun"/>
        </w:rPr>
        <w:t xml:space="preserve"> </w:t>
      </w:r>
      <w:r w:rsidR="00FB2F0B" w:rsidRPr="009448FC">
        <w:rPr>
          <w:rFonts w:eastAsia="SimSun"/>
        </w:rPr>
        <w:t>shows the GCMP decapsulation process.</w:t>
      </w:r>
    </w:p>
    <w:p w:rsidR="00FB2F0B" w:rsidRPr="009448FC" w:rsidRDefault="00FB2F0B" w:rsidP="00FB2F0B">
      <w:pPr>
        <w:autoSpaceDE w:val="0"/>
        <w:jc w:val="both"/>
        <w:rPr>
          <w:rFonts w:eastAsia="SimSun"/>
          <w:sz w:val="23"/>
        </w:rPr>
      </w:pPr>
      <w:bookmarkStart w:id="1024" w:name="_Ref243734107"/>
    </w:p>
    <w:p w:rsidR="00FB2F0B" w:rsidRPr="009448FC" w:rsidRDefault="005C20D4" w:rsidP="00FB2F0B">
      <w:pPr>
        <w:autoSpaceDE w:val="0"/>
        <w:jc w:val="center"/>
        <w:rPr>
          <w:rFonts w:eastAsia="SimSun"/>
        </w:rPr>
      </w:pPr>
      <w:r w:rsidRPr="009448FC">
        <w:object w:dxaOrig="8300" w:dyaOrig="2752">
          <v:shape id="_x0000_i1042" type="#_x0000_t75" style="width:496.75pt;height:163pt" o:ole="" filled="t">
            <v:fill color2="black"/>
            <v:imagedata r:id="rId131" o:title=""/>
          </v:shape>
          <o:OLEObject Type="Embed" ProgID="Visio.Drawing.11" ShapeID="_x0000_i1042" DrawAspect="Content" ObjectID="_1334048224" r:id="rId132"/>
        </w:object>
      </w:r>
    </w:p>
    <w:p w:rsidR="004A40E9" w:rsidRPr="009448FC" w:rsidRDefault="004A40E9" w:rsidP="00BA5BC4">
      <w:pPr>
        <w:pStyle w:val="Caption"/>
        <w:rPr>
          <w:b w:val="0"/>
          <w:sz w:val="20"/>
        </w:rPr>
      </w:pPr>
      <w:bookmarkStart w:id="1025" w:name="_Ref251930041"/>
      <w:bookmarkStart w:id="1026" w:name="_Toc259717513"/>
      <w:r w:rsidRPr="00066F65">
        <w:t xml:space="preserve">Figure </w:t>
      </w:r>
      <w:r w:rsidR="00BD151C">
        <w:fldChar w:fldCharType="begin"/>
      </w:r>
      <w:r w:rsidR="00801316">
        <w:instrText xml:space="preserve"> SEQ Figure \* ARABIC </w:instrText>
      </w:r>
      <w:r w:rsidR="00BD151C">
        <w:fldChar w:fldCharType="separate"/>
      </w:r>
      <w:r w:rsidR="003E4210">
        <w:rPr>
          <w:noProof/>
        </w:rPr>
        <w:t>81</w:t>
      </w:r>
      <w:r w:rsidR="00BD151C">
        <w:fldChar w:fldCharType="end"/>
      </w:r>
      <w:bookmarkEnd w:id="1024"/>
      <w:bookmarkEnd w:id="1025"/>
      <w:r w:rsidRPr="00066F65">
        <w:t xml:space="preserve"> – GCMP decapsulation block diagram</w:t>
      </w:r>
      <w:bookmarkEnd w:id="1026"/>
    </w:p>
    <w:p w:rsidR="00FB2F0B" w:rsidRPr="009448FC" w:rsidRDefault="00FB2F0B" w:rsidP="00FB2F0B">
      <w:pPr>
        <w:autoSpaceDE w:val="0"/>
        <w:jc w:val="both"/>
        <w:rPr>
          <w:rFonts w:ascii="Arial" w:eastAsia="SimSun" w:hAnsi="Arial"/>
          <w:b/>
          <w:sz w:val="23"/>
        </w:rPr>
      </w:pPr>
    </w:p>
    <w:p w:rsidR="00FB2F0B" w:rsidRPr="009448FC" w:rsidRDefault="00FB2F0B" w:rsidP="00FB2F0B">
      <w:pPr>
        <w:autoSpaceDE w:val="0"/>
        <w:jc w:val="both"/>
        <w:rPr>
          <w:rFonts w:eastAsia="Arial Unicode MS"/>
        </w:rPr>
      </w:pPr>
      <w:r w:rsidRPr="009448FC">
        <w:rPr>
          <w:rFonts w:eastAsia="Arial Unicode MS"/>
        </w:rPr>
        <w:t>GCMP decrypts the payload of a cipher text MPDU and decapsulates a plaintext MPDU using the following steps:</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encrypted MPDU is parsed to construct the AAD and nonce values.</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AAD is formed from the MPDU header of the encrypted MPDU.</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Nonce value is constructed from the A2 and PN fields.</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MIC is extracted for use in the GCM integrity checking.</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GCM recipient processing uses the temporal key, AAD, nonce, MIC, and MPDU cipher text data to recover the MPDU plaintext data as well as to check the integrity of the AAD and MPDU plaintext data.</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received MPDU header and the MPDU plaintext data from the GCM recipient processing may be concatenated to form a plaintext MPDU.</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decryption processing prevents replay of MPDUs by validating that the PN in the MPDU is greater than the replay counter maintained for the session.</w:t>
      </w:r>
    </w:p>
    <w:p w:rsidR="00FB2F0B" w:rsidRPr="009448FC" w:rsidRDefault="00FB2F0B" w:rsidP="00FB2F0B">
      <w:pPr>
        <w:autoSpaceDE w:val="0"/>
        <w:jc w:val="both"/>
        <w:rPr>
          <w:rFonts w:eastAsia="Arial Unicode MS"/>
        </w:rPr>
      </w:pPr>
    </w:p>
    <w:p w:rsidR="00FB2F0B" w:rsidRPr="009448FC" w:rsidRDefault="00FB2F0B" w:rsidP="00452D65">
      <w:pPr>
        <w:autoSpaceDE w:val="0"/>
        <w:jc w:val="both"/>
        <w:rPr>
          <w:rFonts w:eastAsia="Arial Unicode MS"/>
          <w:sz w:val="23"/>
        </w:rPr>
      </w:pPr>
      <w:r w:rsidRPr="009448FC">
        <w:rPr>
          <w:rFonts w:eastAsia="Arial Unicode MS"/>
        </w:rPr>
        <w:t xml:space="preserve">See </w:t>
      </w:r>
      <w:r w:rsidR="00BD151C" w:rsidRPr="009448FC">
        <w:rPr>
          <w:rFonts w:eastAsia="Arial Unicode MS"/>
        </w:rPr>
        <w:fldChar w:fldCharType="begin"/>
      </w:r>
      <w:r w:rsidR="000C0E78" w:rsidRPr="009448FC">
        <w:rPr>
          <w:rFonts w:eastAsia="Arial Unicode MS"/>
        </w:rPr>
        <w:instrText xml:space="preserve"> REF _Ref244222744 \r \h </w:instrText>
      </w:r>
      <w:r w:rsidR="00BD151C" w:rsidRPr="009448FC">
        <w:rPr>
          <w:rFonts w:eastAsia="Arial Unicode MS"/>
        </w:rPr>
      </w:r>
      <w:r w:rsidR="00BD151C" w:rsidRPr="009448FC">
        <w:rPr>
          <w:rFonts w:eastAsia="Arial Unicode MS"/>
        </w:rPr>
        <w:fldChar w:fldCharType="separate"/>
      </w:r>
      <w:r w:rsidR="003E4210">
        <w:rPr>
          <w:rFonts w:eastAsia="Arial Unicode MS"/>
        </w:rPr>
        <w:t>8.3.5.4.1</w:t>
      </w:r>
      <w:r w:rsidR="00BD151C" w:rsidRPr="009448FC">
        <w:rPr>
          <w:rFonts w:eastAsia="Arial Unicode MS"/>
        </w:rPr>
        <w:fldChar w:fldCharType="end"/>
      </w:r>
      <w:r w:rsidR="000C0E78" w:rsidRPr="009448FC">
        <w:rPr>
          <w:rFonts w:eastAsia="Arial Unicode MS"/>
        </w:rPr>
        <w:t xml:space="preserve"> </w:t>
      </w:r>
      <w:r w:rsidRPr="009448FC">
        <w:rPr>
          <w:rFonts w:eastAsia="Arial Unicode MS"/>
        </w:rPr>
        <w:t xml:space="preserve">through </w:t>
      </w:r>
      <w:r w:rsidR="00BD151C" w:rsidRPr="009448FC">
        <w:rPr>
          <w:rFonts w:eastAsia="Arial Unicode MS"/>
        </w:rPr>
        <w:fldChar w:fldCharType="begin"/>
      </w:r>
      <w:r w:rsidR="00452D65" w:rsidRPr="009448FC">
        <w:rPr>
          <w:rFonts w:eastAsia="Arial Unicode MS"/>
        </w:rPr>
        <w:instrText xml:space="preserve"> REF _Ref244222745 \r \h </w:instrText>
      </w:r>
      <w:r w:rsidR="00BD151C" w:rsidRPr="009448FC">
        <w:rPr>
          <w:rFonts w:eastAsia="Arial Unicode MS"/>
        </w:rPr>
      </w:r>
      <w:r w:rsidR="00BD151C" w:rsidRPr="009448FC">
        <w:rPr>
          <w:rFonts w:eastAsia="Arial Unicode MS"/>
        </w:rPr>
        <w:fldChar w:fldCharType="separate"/>
      </w:r>
      <w:r w:rsidR="003E4210">
        <w:rPr>
          <w:rFonts w:eastAsia="Arial Unicode MS"/>
        </w:rPr>
        <w:t>8.3.5.4.3</w:t>
      </w:r>
      <w:r w:rsidR="00BD151C" w:rsidRPr="009448FC">
        <w:rPr>
          <w:rFonts w:eastAsia="Arial Unicode MS"/>
        </w:rPr>
        <w:fldChar w:fldCharType="end"/>
      </w:r>
      <w:r w:rsidR="00452D65" w:rsidRPr="009448FC">
        <w:rPr>
          <w:rFonts w:eastAsia="Arial Unicode MS"/>
        </w:rPr>
        <w:t xml:space="preserve"> </w:t>
      </w:r>
      <w:r w:rsidR="00CA0149" w:rsidRPr="009448FC">
        <w:rPr>
          <w:rFonts w:eastAsia="Arial Unicode MS"/>
        </w:rPr>
        <w:t>for details of this processing.</w:t>
      </w:r>
    </w:p>
    <w:p w:rsidR="00FB2F0B" w:rsidRPr="009448FC" w:rsidRDefault="00FB2F0B" w:rsidP="00FB2F0B">
      <w:pPr>
        <w:autoSpaceDE w:val="0"/>
        <w:jc w:val="both"/>
        <w:rPr>
          <w:rFonts w:eastAsia="Arial Unicode MS"/>
          <w:sz w:val="23"/>
        </w:rPr>
      </w:pPr>
    </w:p>
    <w:p w:rsidR="00FB2F0B" w:rsidRPr="009448FC" w:rsidRDefault="00FB2F0B" w:rsidP="003701DB">
      <w:pPr>
        <w:pStyle w:val="Heading5"/>
        <w:numPr>
          <w:ilvl w:val="4"/>
          <w:numId w:val="142"/>
        </w:numPr>
      </w:pPr>
      <w:bookmarkStart w:id="1027" w:name="_Ref244222744"/>
      <w:bookmarkStart w:id="1028" w:name="_Toc259717025"/>
      <w:r w:rsidRPr="009448FC">
        <w:t>GCM recipient processing</w:t>
      </w:r>
      <w:bookmarkEnd w:id="1027"/>
      <w:bookmarkEnd w:id="1028"/>
    </w:p>
    <w:p w:rsidR="00FB2F0B" w:rsidRPr="009448FC" w:rsidRDefault="00FB2F0B" w:rsidP="00FB2F0B">
      <w:pPr>
        <w:autoSpaceDE w:val="0"/>
        <w:jc w:val="both"/>
        <w:rPr>
          <w:rFonts w:eastAsia="Arial Unicode MS"/>
          <w:sz w:val="23"/>
        </w:rPr>
      </w:pPr>
    </w:p>
    <w:p w:rsidR="00FB2F0B" w:rsidRPr="009448FC" w:rsidRDefault="00FB2F0B" w:rsidP="00FB2F0B">
      <w:pPr>
        <w:autoSpaceDE w:val="0"/>
        <w:jc w:val="both"/>
        <w:rPr>
          <w:rFonts w:eastAsia="Arial Unicode MS"/>
        </w:rPr>
      </w:pPr>
      <w:r w:rsidRPr="009448FC">
        <w:rPr>
          <w:rFonts w:eastAsia="Arial Unicode MS"/>
        </w:rPr>
        <w:t>GCM recipient processing must use the same parameters as GCM originator processing.</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There are four inputs to GCM recipient processing:</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Key:</w:t>
      </w:r>
      <w:r w:rsidRPr="009448FC">
        <w:rPr>
          <w:rFonts w:eastAsia="Arial Unicode MS"/>
        </w:rPr>
        <w:t xml:space="preserve"> the temporal key (16 octets).</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Nonce:</w:t>
      </w:r>
      <w:r w:rsidRPr="009448FC">
        <w:rPr>
          <w:rFonts w:eastAsia="Arial Unicode MS"/>
        </w:rPr>
        <w:t xml:space="preserve"> the nonce (12 octets) constructed as described in </w:t>
      </w:r>
      <w:r w:rsidR="00BD151C">
        <w:rPr>
          <w:rFonts w:eastAsia="Arial Unicode MS"/>
          <w:lang w:eastAsia="ar-SA" w:bidi="ar-SA"/>
        </w:rPr>
        <w:fldChar w:fldCharType="begin"/>
      </w:r>
      <w:r w:rsidR="00C13881">
        <w:rPr>
          <w:rFonts w:eastAsia="Arial Unicode MS"/>
          <w:lang w:eastAsia="ar-SA" w:bidi="ar-SA"/>
        </w:rPr>
        <w:instrText xml:space="preserve"> REF _Ref244218111 \r \h </w:instrText>
      </w:r>
      <w:r w:rsidR="00BD151C">
        <w:rPr>
          <w:rFonts w:eastAsia="Arial Unicode MS"/>
          <w:lang w:eastAsia="ar-SA" w:bidi="ar-SA"/>
        </w:rPr>
      </w:r>
      <w:r w:rsidR="00BD151C">
        <w:rPr>
          <w:rFonts w:eastAsia="Arial Unicode MS"/>
          <w:lang w:eastAsia="ar-SA" w:bidi="ar-SA"/>
        </w:rPr>
        <w:fldChar w:fldCharType="separate"/>
      </w:r>
      <w:r w:rsidR="003E4210">
        <w:rPr>
          <w:rFonts w:eastAsia="Arial Unicode MS"/>
          <w:lang w:eastAsia="ar-SA" w:bidi="ar-SA"/>
        </w:rPr>
        <w:t>8.3.5.3.3</w:t>
      </w:r>
      <w:r w:rsidR="00BD151C">
        <w:rPr>
          <w:rFonts w:eastAsia="Arial Unicode MS"/>
          <w:lang w:eastAsia="ar-SA" w:bidi="ar-SA"/>
        </w:rPr>
        <w:fldChar w:fldCharType="end"/>
      </w:r>
      <w:r w:rsidRPr="009448FC">
        <w:rPr>
          <w:rFonts w:eastAsia="Arial Unicode MS"/>
        </w:rPr>
        <w:t>.</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Encrypted frame body:</w:t>
      </w:r>
      <w:r w:rsidRPr="009448FC">
        <w:rPr>
          <w:rFonts w:eastAsia="Arial Unicode MS"/>
        </w:rPr>
        <w:t xml:space="preserve"> the encrypted frame body from the received MPDU. The encrypted frame body includes a 16-octet MIC.</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AAD</w:t>
      </w:r>
      <w:r w:rsidRPr="009448FC">
        <w:rPr>
          <w:rFonts w:eastAsia="Arial Unicode MS"/>
        </w:rPr>
        <w:t xml:space="preserve">: the AAD (22-30 octets) that is the canonical MPDU header as described in </w:t>
      </w:r>
      <w:r w:rsidR="00BD151C">
        <w:rPr>
          <w:rFonts w:eastAsia="Arial Unicode MS"/>
          <w:lang w:eastAsia="ar-SA" w:bidi="ar-SA"/>
        </w:rPr>
        <w:fldChar w:fldCharType="begin"/>
      </w:r>
      <w:r w:rsidR="001E7EDC">
        <w:rPr>
          <w:rFonts w:eastAsia="Arial Unicode MS"/>
          <w:lang w:eastAsia="ar-SA" w:bidi="ar-SA"/>
        </w:rPr>
        <w:instrText xml:space="preserve"> REF _Ref244222746 \r \h </w:instrText>
      </w:r>
      <w:r w:rsidR="00BD151C">
        <w:rPr>
          <w:rFonts w:eastAsia="Arial Unicode MS"/>
          <w:lang w:eastAsia="ar-SA" w:bidi="ar-SA"/>
        </w:rPr>
      </w:r>
      <w:r w:rsidR="00BD151C">
        <w:rPr>
          <w:rFonts w:eastAsia="Arial Unicode MS"/>
          <w:lang w:eastAsia="ar-SA" w:bidi="ar-SA"/>
        </w:rPr>
        <w:fldChar w:fldCharType="separate"/>
      </w:r>
      <w:r w:rsidR="003E4210">
        <w:rPr>
          <w:rFonts w:eastAsia="Arial Unicode MS"/>
          <w:lang w:eastAsia="ar-SA" w:bidi="ar-SA"/>
        </w:rPr>
        <w:t>8.3.5.3.2</w:t>
      </w:r>
      <w:r w:rsidR="00BD151C">
        <w:rPr>
          <w:rFonts w:eastAsia="Arial Unicode MS"/>
          <w:lang w:eastAsia="ar-SA" w:bidi="ar-SA"/>
        </w:rPr>
        <w:fldChar w:fldCharType="end"/>
      </w:r>
      <w:r w:rsidRPr="009448FC">
        <w:rPr>
          <w:rFonts w:eastAsia="Arial Unicode MS"/>
        </w:rPr>
        <w:t>.</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 GCM recipient processing checks the authentication and integrity of the frame body and the AAD as well as decrypting the frame body. The plaintext is returned only if the MIC check is successful.</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There is one output from error-free GCM recipient processing:</w:t>
      </w:r>
    </w:p>
    <w:p w:rsidR="00FB2F0B" w:rsidRPr="009448FC" w:rsidRDefault="00FB2F0B" w:rsidP="003701DB">
      <w:pPr>
        <w:numPr>
          <w:ilvl w:val="0"/>
          <w:numId w:val="75"/>
        </w:numPr>
        <w:suppressAutoHyphens/>
        <w:autoSpaceDE w:val="0"/>
        <w:jc w:val="both"/>
        <w:rPr>
          <w:rFonts w:eastAsia="Arial Unicode MS"/>
        </w:rPr>
      </w:pPr>
      <w:r w:rsidRPr="009448FC">
        <w:rPr>
          <w:rFonts w:eastAsia="Arial Unicode MS"/>
        </w:rPr>
        <w:lastRenderedPageBreak/>
        <w:t>Frame body: the plaintext frame body, which is 16 octets smaller</w:t>
      </w:r>
      <w:r w:rsidR="00CA0149" w:rsidRPr="009448FC">
        <w:rPr>
          <w:rFonts w:eastAsia="Arial Unicode MS"/>
        </w:rPr>
        <w:t xml:space="preserve"> than the encrypted frame body.</w:t>
      </w:r>
    </w:p>
    <w:p w:rsidR="00FB2F0B" w:rsidRPr="009448FC" w:rsidRDefault="00FB2F0B" w:rsidP="00FB2F0B">
      <w:pPr>
        <w:autoSpaceDE w:val="0"/>
        <w:jc w:val="both"/>
        <w:rPr>
          <w:rFonts w:eastAsia="Arial Unicode MS"/>
        </w:rPr>
      </w:pPr>
    </w:p>
    <w:p w:rsidR="00FB2F0B" w:rsidRPr="009448FC" w:rsidRDefault="00FB2F0B" w:rsidP="003701DB">
      <w:pPr>
        <w:pStyle w:val="Heading5"/>
        <w:numPr>
          <w:ilvl w:val="4"/>
          <w:numId w:val="142"/>
        </w:numPr>
      </w:pPr>
      <w:bookmarkStart w:id="1029" w:name="_Toc259717026"/>
      <w:r w:rsidRPr="009448FC">
        <w:t>Decrypted GCMP MPDU</w:t>
      </w:r>
      <w:bookmarkEnd w:id="1029"/>
    </w:p>
    <w:p w:rsidR="00FB2F0B" w:rsidRPr="009448FC" w:rsidRDefault="00FB2F0B" w:rsidP="00FB2F0B">
      <w:pPr>
        <w:autoSpaceDE w:val="0"/>
        <w:jc w:val="both"/>
        <w:rPr>
          <w:rFonts w:ascii="Arial" w:eastAsia="Arial Unicode MS" w:hAnsi="Arial"/>
          <w:b/>
          <w:sz w:val="23"/>
        </w:rPr>
      </w:pPr>
    </w:p>
    <w:p w:rsidR="00FB2F0B" w:rsidRPr="009448FC" w:rsidRDefault="00FB2F0B" w:rsidP="00FB2F0B">
      <w:pPr>
        <w:autoSpaceDE w:val="0"/>
        <w:jc w:val="both"/>
        <w:rPr>
          <w:rFonts w:eastAsia="Arial Unicode MS"/>
        </w:rPr>
      </w:pPr>
      <w:r w:rsidRPr="009448FC">
        <w:rPr>
          <w:rFonts w:eastAsia="Arial Unicode MS"/>
        </w:rPr>
        <w:t>The decapsulation process succeeds when the calculated MIC matches the MIC value obtained from decrypting the received encrypted MPDU. The original MPDU header is concatenated with the plaintext data resulting from the successful GCM recipient processing to create the plaintext MPDU.</w:t>
      </w:r>
    </w:p>
    <w:p w:rsidR="00FB2F0B" w:rsidRPr="009448FC" w:rsidRDefault="00FB2F0B" w:rsidP="00FB2F0B">
      <w:pPr>
        <w:autoSpaceDE w:val="0"/>
        <w:jc w:val="both"/>
        <w:rPr>
          <w:rFonts w:ascii="Arial" w:eastAsia="Arial Unicode MS" w:hAnsi="Arial"/>
          <w:b/>
          <w:sz w:val="23"/>
        </w:rPr>
      </w:pPr>
    </w:p>
    <w:p w:rsidR="00FB2F0B" w:rsidRPr="009448FC" w:rsidRDefault="00FB2F0B" w:rsidP="003701DB">
      <w:pPr>
        <w:pStyle w:val="Heading5"/>
        <w:numPr>
          <w:ilvl w:val="4"/>
          <w:numId w:val="142"/>
        </w:numPr>
      </w:pPr>
      <w:bookmarkStart w:id="1030" w:name="_Ref244222745"/>
      <w:bookmarkStart w:id="1031" w:name="_Toc259717027"/>
      <w:r w:rsidRPr="009448FC">
        <w:t>PN and replay detection</w:t>
      </w:r>
      <w:bookmarkEnd w:id="1030"/>
      <w:bookmarkEnd w:id="1031"/>
    </w:p>
    <w:p w:rsidR="00FB2F0B" w:rsidRPr="009448FC" w:rsidRDefault="00FB2F0B" w:rsidP="00FB2F0B">
      <w:pPr>
        <w:autoSpaceDE w:val="0"/>
        <w:jc w:val="both"/>
        <w:rPr>
          <w:rFonts w:ascii="Arial" w:eastAsia="Arial Unicode MS" w:hAnsi="Arial"/>
          <w:b/>
          <w:sz w:val="23"/>
        </w:rPr>
      </w:pPr>
    </w:p>
    <w:p w:rsidR="00FB2F0B" w:rsidRPr="009448FC" w:rsidRDefault="00FB2F0B" w:rsidP="00AE5BB9">
      <w:pPr>
        <w:autoSpaceDE w:val="0"/>
        <w:jc w:val="both"/>
        <w:rPr>
          <w:rFonts w:eastAsia="Arial Unicode MS"/>
        </w:rPr>
      </w:pPr>
      <w:r w:rsidRPr="009448FC">
        <w:rPr>
          <w:rFonts w:eastAsia="Arial Unicode MS"/>
        </w:rPr>
        <w:t xml:space="preserve">To effect replay detection, the receiver extracts the PN from the GCMP header. See </w:t>
      </w:r>
      <w:r w:rsidR="00BD151C" w:rsidRPr="009448FC">
        <w:rPr>
          <w:rFonts w:eastAsia="Arial Unicode MS"/>
        </w:rPr>
        <w:fldChar w:fldCharType="begin"/>
      </w:r>
      <w:r w:rsidR="00AE5BB9" w:rsidRPr="009448FC">
        <w:rPr>
          <w:rFonts w:eastAsia="Arial Unicode MS"/>
        </w:rPr>
        <w:instrText xml:space="preserve"> REF _Ref244099210 \r \h </w:instrText>
      </w:r>
      <w:r w:rsidR="00BD151C" w:rsidRPr="009448FC">
        <w:rPr>
          <w:rFonts w:eastAsia="Arial Unicode MS"/>
        </w:rPr>
      </w:r>
      <w:r w:rsidR="00BD151C" w:rsidRPr="009448FC">
        <w:rPr>
          <w:rFonts w:eastAsia="Arial Unicode MS"/>
        </w:rPr>
        <w:fldChar w:fldCharType="separate"/>
      </w:r>
      <w:r w:rsidR="003E4210">
        <w:rPr>
          <w:rFonts w:eastAsia="Arial Unicode MS"/>
        </w:rPr>
        <w:t>8.3.5.2</w:t>
      </w:r>
      <w:r w:rsidR="00BD151C" w:rsidRPr="009448FC">
        <w:rPr>
          <w:rFonts w:eastAsia="Arial Unicode MS"/>
        </w:rPr>
        <w:fldChar w:fldCharType="end"/>
      </w:r>
      <w:r w:rsidR="00AE5BB9" w:rsidRPr="009448FC">
        <w:rPr>
          <w:rFonts w:eastAsia="Arial Unicode MS"/>
        </w:rPr>
        <w:t xml:space="preserve"> </w:t>
      </w:r>
      <w:r w:rsidRPr="009448FC">
        <w:rPr>
          <w:rFonts w:eastAsia="Arial Unicode MS"/>
        </w:rPr>
        <w:t>for a description of how the PN is encoded in the GCMP header. The following processing rules are used to detect replay:</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The PN values sequentially number each MPDU.</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A receiver shall maintain a separate set of PN replay counters for each PTKSA, GTKSA, and STKSA. The receiver initializes these replay counters to 0 when it resets the temporal key for a peer. The replay counter is set to the PN value of accepted GCMP MPDUs.</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For each PTKSA, GTKSA, and STKSA, the recipient shall maintain a separate replay counter for each possible IEEE 802.11 MSDU or A-MSDU priority and shall use the PN recovered from a received frame to detect replayed frames. A replayed frame occurs when the PN extracted from a received frame is less than or equal to the current replay counter value for the frame’s MSDU or A-MSDU priority and frame type.</w:t>
      </w:r>
    </w:p>
    <w:p w:rsidR="00FB2F0B" w:rsidRPr="009448FC" w:rsidRDefault="00FB2F0B" w:rsidP="00FB2F0B">
      <w:pPr>
        <w:autoSpaceDE w:val="0"/>
        <w:ind w:left="720"/>
        <w:jc w:val="both"/>
        <w:rPr>
          <w:rFonts w:eastAsia="Arial Unicode MS"/>
        </w:rPr>
      </w:pPr>
    </w:p>
    <w:p w:rsidR="00FB2F0B" w:rsidRPr="009448FC" w:rsidRDefault="00FB2F0B" w:rsidP="00FB2F0B">
      <w:pPr>
        <w:autoSpaceDE w:val="0"/>
        <w:ind w:left="720"/>
        <w:jc w:val="both"/>
        <w:rPr>
          <w:rFonts w:eastAsia="Arial Unicode MS"/>
        </w:rPr>
      </w:pPr>
      <w:r w:rsidRPr="009448FC">
        <w:rPr>
          <w:rFonts w:eastAsia="Arial Unicode MS"/>
        </w:rPr>
        <w:t>For each IGTKSA the recipient shall maintain a single replay counter for protected broadcast/multicast Robust Management frames, and shall compare the IPN recovered from a received, protected broadcast/multicast Robust Management frame to the replay counter to detect replayed frames as described above for data frames.</w:t>
      </w:r>
    </w:p>
    <w:p w:rsidR="00FB2F0B" w:rsidRPr="009448FC" w:rsidRDefault="00FB2F0B" w:rsidP="00FB2F0B">
      <w:pPr>
        <w:autoSpaceDE w:val="0"/>
        <w:ind w:left="720"/>
        <w:jc w:val="both"/>
        <w:rPr>
          <w:rFonts w:eastAsia="Arial Unicode MS"/>
        </w:rPr>
      </w:pPr>
    </w:p>
    <w:p w:rsidR="00FB2F0B" w:rsidRPr="009448FC" w:rsidRDefault="00FB2F0B" w:rsidP="00FB2F0B">
      <w:pPr>
        <w:autoSpaceDE w:val="0"/>
        <w:ind w:left="720"/>
        <w:jc w:val="both"/>
        <w:rPr>
          <w:rFonts w:eastAsia="Arial Unicode MS"/>
        </w:rPr>
      </w:pPr>
      <w:r w:rsidRPr="009448FC">
        <w:rPr>
          <w:rFonts w:eastAsia="Arial Unicode MS"/>
        </w:rPr>
        <w:t>If dot11RSNAProtectedManagementFramesEnabled is TRUE, the recipient shall maintain a single replay counter for received unicast Robust Management frames and shall use the PN from the received frame to detect replays. A replayed frame occurs when the PN from the frame is less than or equal to the current management frame replay counter value. The transmitter shall preserve the order of protected Robust Management frames sent to the same DA.</w:t>
      </w:r>
    </w:p>
    <w:p w:rsidR="00FB2F0B" w:rsidRPr="009448FC" w:rsidRDefault="00FB2F0B" w:rsidP="00FB2F0B">
      <w:pPr>
        <w:autoSpaceDE w:val="0"/>
        <w:ind w:left="720"/>
        <w:jc w:val="both"/>
        <w:rPr>
          <w:rFonts w:eastAsia="Arial Unicode MS"/>
        </w:rPr>
      </w:pPr>
      <w:r w:rsidRPr="009448FC">
        <w:rPr>
          <w:rFonts w:eastAsia="Arial Unicode MS"/>
        </w:rPr>
        <w:t xml:space="preserve"> </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A receiver shall discard any MPDU that is received with its PN less than or equal to the replay counter. When discarding a frame, the receiver shall increment by 1 the value of dot11RSNAStatsGCMPReplays for data frames or dot11RSNAStatsRobustMgmtGCMPReplays for Robust Management frames.</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For MSDUs or A-MSDUs sent using the Block Ack feature, reordering of received MSDUs or A-MSDUs according to the Block Ack receiver operation (described in 9.10.4) is performed prior to replay detection.</w:t>
      </w:r>
    </w:p>
    <w:p w:rsidR="002C7F4D" w:rsidRPr="009448FC" w:rsidRDefault="002C7F4D" w:rsidP="002C7F4D">
      <w:pPr>
        <w:tabs>
          <w:tab w:val="left" w:pos="2160"/>
        </w:tabs>
        <w:suppressAutoHyphens/>
        <w:autoSpaceDE w:val="0"/>
        <w:jc w:val="both"/>
        <w:rPr>
          <w:rFonts w:eastAsia="Arial Unicode MS"/>
        </w:rPr>
      </w:pPr>
    </w:p>
    <w:p w:rsidR="002C7F4D" w:rsidRPr="009448FC" w:rsidRDefault="002C7F4D" w:rsidP="003701DB">
      <w:pPr>
        <w:pStyle w:val="Heading2"/>
        <w:numPr>
          <w:ilvl w:val="1"/>
          <w:numId w:val="142"/>
        </w:numPr>
        <w:rPr>
          <w:rFonts w:eastAsia="Arial Unicode MS"/>
          <w:u w:val="none"/>
        </w:rPr>
      </w:pPr>
      <w:bookmarkStart w:id="1032" w:name="_Toc259717028"/>
      <w:r w:rsidRPr="009448FC">
        <w:rPr>
          <w:rFonts w:eastAsia="Arial Unicode MS"/>
          <w:u w:val="none"/>
        </w:rPr>
        <w:lastRenderedPageBreak/>
        <w:t>RSNA security association management</w:t>
      </w:r>
      <w:bookmarkEnd w:id="1032"/>
    </w:p>
    <w:p w:rsidR="002C7F4D" w:rsidRPr="009448FC" w:rsidRDefault="002C7F4D" w:rsidP="002C7F4D">
      <w:pPr>
        <w:tabs>
          <w:tab w:val="left" w:pos="2160"/>
        </w:tabs>
        <w:suppressAutoHyphens/>
        <w:autoSpaceDE w:val="0"/>
        <w:jc w:val="both"/>
        <w:rPr>
          <w:rFonts w:eastAsia="Arial Unicode MS"/>
        </w:rPr>
      </w:pPr>
    </w:p>
    <w:p w:rsidR="002C7F4D" w:rsidRPr="009448FC" w:rsidRDefault="002C7F4D" w:rsidP="003701DB">
      <w:pPr>
        <w:pStyle w:val="Heading3"/>
        <w:numPr>
          <w:ilvl w:val="2"/>
          <w:numId w:val="143"/>
        </w:numPr>
        <w:rPr>
          <w:rFonts w:eastAsia="Arial Unicode MS"/>
        </w:rPr>
      </w:pPr>
      <w:bookmarkStart w:id="1033" w:name="_Toc259717029"/>
      <w:r w:rsidRPr="009448FC">
        <w:rPr>
          <w:rFonts w:eastAsia="Arial Unicode MS"/>
        </w:rPr>
        <w:t>Security associations</w:t>
      </w:r>
      <w:bookmarkEnd w:id="1033"/>
    </w:p>
    <w:p w:rsidR="00CC4793" w:rsidRPr="009448FC" w:rsidRDefault="00CC4793" w:rsidP="00CC4793">
      <w:pPr>
        <w:rPr>
          <w:rFonts w:eastAsia="Arial Unicode MS"/>
        </w:rPr>
      </w:pPr>
    </w:p>
    <w:p w:rsidR="00FB2F0B" w:rsidRPr="00CD2C63" w:rsidRDefault="00CC4793" w:rsidP="003701DB">
      <w:pPr>
        <w:pStyle w:val="Heading4"/>
        <w:numPr>
          <w:ilvl w:val="3"/>
          <w:numId w:val="143"/>
        </w:numPr>
      </w:pPr>
      <w:bookmarkStart w:id="1034" w:name="_Toc259717030"/>
      <w:r w:rsidRPr="009448FC">
        <w:t>Security association definitions</w:t>
      </w:r>
      <w:bookmarkEnd w:id="1034"/>
    </w:p>
    <w:p w:rsidR="009E2B8F" w:rsidRPr="009448FC" w:rsidRDefault="009E2B8F" w:rsidP="003701DB">
      <w:pPr>
        <w:pStyle w:val="Heading5"/>
        <w:numPr>
          <w:ilvl w:val="4"/>
          <w:numId w:val="144"/>
        </w:numPr>
      </w:pPr>
      <w:bookmarkStart w:id="1035" w:name="_Toc259717031"/>
      <w:r w:rsidRPr="009448FC">
        <w:t>PTKSA</w:t>
      </w:r>
      <w:bookmarkEnd w:id="1035"/>
    </w:p>
    <w:p w:rsidR="009E2B8F" w:rsidRPr="009448FC" w:rsidRDefault="009E2B8F" w:rsidP="009E2B8F">
      <w:pPr>
        <w:autoSpaceDE w:val="0"/>
        <w:ind w:left="288"/>
        <w:jc w:val="both"/>
        <w:rPr>
          <w:rFonts w:eastAsia="Arial Unicode MS"/>
          <w:sz w:val="23"/>
        </w:rPr>
      </w:pPr>
    </w:p>
    <w:p w:rsidR="009E2B8F" w:rsidRPr="009448FC" w:rsidRDefault="00820B62" w:rsidP="00B2110C">
      <w:pPr>
        <w:autoSpaceDE w:val="0"/>
        <w:jc w:val="both"/>
        <w:rPr>
          <w:rFonts w:eastAsia="Arial Unicode MS"/>
        </w:rPr>
      </w:pPr>
      <w:r w:rsidRPr="009448FC">
        <w:rPr>
          <w:rFonts w:eastAsia="Arial Unicode MS"/>
          <w:i/>
        </w:rPr>
        <w:t xml:space="preserve">.11 editor: </w:t>
      </w:r>
      <w:r w:rsidR="009E2B8F" w:rsidRPr="009448FC">
        <w:rPr>
          <w:rFonts w:eastAsia="Arial Unicode MS"/>
          <w:i/>
        </w:rPr>
        <w:t>change the bulleted list in this subclause as indicated and add the following paragraph</w:t>
      </w:r>
    </w:p>
    <w:p w:rsidR="00487DE4" w:rsidRPr="009448FC" w:rsidRDefault="00487DE4" w:rsidP="00487DE4"/>
    <w:p w:rsidR="00CF1510" w:rsidRPr="009448FC" w:rsidRDefault="00CF1510" w:rsidP="00B2110C">
      <w:pPr>
        <w:autoSpaceDE w:val="0"/>
        <w:jc w:val="both"/>
        <w:rPr>
          <w:rFonts w:eastAsia="Arial Unicode MS"/>
        </w:rPr>
      </w:pPr>
      <w:r w:rsidRPr="009448FC">
        <w:rPr>
          <w:rFonts w:eastAsia="Arial Unicode MS"/>
        </w:rPr>
        <w:t>The PTKSA consists of the following elements:</w:t>
      </w:r>
    </w:p>
    <w:p w:rsidR="00CF1510" w:rsidRPr="009448FC" w:rsidRDefault="00CF1510" w:rsidP="00B2110C">
      <w:pPr>
        <w:autoSpaceDE w:val="0"/>
        <w:jc w:val="both"/>
        <w:rPr>
          <w:rFonts w:eastAsia="Arial Unicode MS"/>
        </w:rPr>
      </w:pP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PTK</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Pairwise cipher suite selector</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Supplicant MAC address or non-AP STA’s MAC address</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Authenticator MAC address or BSSID</w:t>
      </w:r>
    </w:p>
    <w:p w:rsidR="00B2110C" w:rsidRPr="00466031" w:rsidRDefault="00CF1510" w:rsidP="003701DB">
      <w:pPr>
        <w:numPr>
          <w:ilvl w:val="0"/>
          <w:numId w:val="82"/>
        </w:numPr>
        <w:tabs>
          <w:tab w:val="clear" w:pos="720"/>
          <w:tab w:val="num" w:pos="432"/>
        </w:tabs>
        <w:suppressAutoHyphens/>
        <w:autoSpaceDE w:val="0"/>
        <w:ind w:left="432"/>
        <w:jc w:val="both"/>
        <w:rPr>
          <w:rFonts w:eastAsia="Arial Unicode MS"/>
          <w:u w:val="single"/>
          <w:lang w:eastAsia="ar-SA" w:bidi="ar-SA"/>
        </w:rPr>
      </w:pPr>
      <w:r w:rsidRPr="00066F65">
        <w:rPr>
          <w:rFonts w:eastAsia="Arial Unicode MS"/>
          <w:u w:val="single"/>
          <w:lang w:eastAsia="ar-SA" w:bidi="ar-SA"/>
        </w:rPr>
        <w:t>Key ID</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 xml:space="preserve">If FT key hierarchy is used, </w:t>
      </w:r>
    </w:p>
    <w:p w:rsidR="00CF1510" w:rsidRPr="009448FC" w:rsidRDefault="00CF1510" w:rsidP="003701DB">
      <w:pPr>
        <w:numPr>
          <w:ilvl w:val="1"/>
          <w:numId w:val="82"/>
        </w:numPr>
        <w:tabs>
          <w:tab w:val="clear" w:pos="1080"/>
          <w:tab w:val="num" w:pos="792"/>
        </w:tabs>
        <w:suppressAutoHyphens/>
        <w:autoSpaceDE w:val="0"/>
        <w:ind w:left="792"/>
        <w:jc w:val="both"/>
        <w:rPr>
          <w:rFonts w:eastAsia="Arial Unicode MS"/>
        </w:rPr>
      </w:pPr>
      <w:r w:rsidRPr="009448FC">
        <w:rPr>
          <w:rFonts w:eastAsia="Arial Unicode MS"/>
        </w:rPr>
        <w:t>R1KH-ID</w:t>
      </w:r>
    </w:p>
    <w:p w:rsidR="00CF1510" w:rsidRPr="009448FC" w:rsidRDefault="00CF1510" w:rsidP="003701DB">
      <w:pPr>
        <w:numPr>
          <w:ilvl w:val="1"/>
          <w:numId w:val="82"/>
        </w:numPr>
        <w:tabs>
          <w:tab w:val="clear" w:pos="1080"/>
          <w:tab w:val="num" w:pos="792"/>
        </w:tabs>
        <w:suppressAutoHyphens/>
        <w:autoSpaceDE w:val="0"/>
        <w:ind w:left="792"/>
        <w:jc w:val="both"/>
        <w:rPr>
          <w:rFonts w:eastAsia="Arial Unicode MS"/>
        </w:rPr>
      </w:pPr>
      <w:r w:rsidRPr="009448FC">
        <w:rPr>
          <w:rFonts w:eastAsia="Arial Unicode MS"/>
        </w:rPr>
        <w:t>S1KH-ID</w:t>
      </w:r>
    </w:p>
    <w:p w:rsidR="00CF1510" w:rsidRPr="009448FC" w:rsidRDefault="00CF1510" w:rsidP="003701DB">
      <w:pPr>
        <w:numPr>
          <w:ilvl w:val="1"/>
          <w:numId w:val="82"/>
        </w:numPr>
        <w:tabs>
          <w:tab w:val="clear" w:pos="1080"/>
          <w:tab w:val="num" w:pos="792"/>
        </w:tabs>
        <w:suppressAutoHyphens/>
        <w:autoSpaceDE w:val="0"/>
        <w:ind w:left="792"/>
        <w:jc w:val="both"/>
        <w:rPr>
          <w:rFonts w:eastAsia="Arial Unicode MS"/>
        </w:rPr>
      </w:pPr>
      <w:r w:rsidRPr="009448FC">
        <w:rPr>
          <w:rFonts w:eastAsia="Arial Unicode MS"/>
        </w:rPr>
        <w:t>PTKName</w:t>
      </w:r>
    </w:p>
    <w:p w:rsidR="00CF1510" w:rsidRPr="009448FC" w:rsidRDefault="00CF1510" w:rsidP="00490F99">
      <w:pPr>
        <w:jc w:val="both"/>
        <w:rPr>
          <w:b/>
          <w:i/>
          <w:color w:val="FF0000"/>
        </w:rPr>
      </w:pPr>
    </w:p>
    <w:p w:rsidR="00055878" w:rsidRPr="009448FC" w:rsidRDefault="00055878" w:rsidP="003701DB">
      <w:pPr>
        <w:pStyle w:val="Heading5"/>
        <w:numPr>
          <w:ilvl w:val="4"/>
          <w:numId w:val="144"/>
        </w:numPr>
      </w:pPr>
      <w:bookmarkStart w:id="1036" w:name="_Toc259717032"/>
      <w:r w:rsidRPr="009448FC">
        <w:t>GTKSA</w:t>
      </w:r>
      <w:bookmarkEnd w:id="1036"/>
    </w:p>
    <w:p w:rsidR="00055878" w:rsidRPr="009448FC" w:rsidRDefault="00055878" w:rsidP="00055878">
      <w:pPr>
        <w:autoSpaceDE w:val="0"/>
        <w:ind w:left="288"/>
        <w:jc w:val="both"/>
        <w:rPr>
          <w:rFonts w:eastAsia="Arial Unicode MS"/>
          <w:sz w:val="23"/>
        </w:rPr>
      </w:pPr>
    </w:p>
    <w:p w:rsidR="00055878" w:rsidRPr="009448FC" w:rsidRDefault="003E2796" w:rsidP="00B2110C">
      <w:pPr>
        <w:autoSpaceDE w:val="0"/>
        <w:jc w:val="both"/>
        <w:rPr>
          <w:rFonts w:eastAsia="Arial Unicode MS"/>
        </w:rPr>
      </w:pPr>
      <w:r w:rsidRPr="009448FC">
        <w:rPr>
          <w:rFonts w:eastAsia="Arial Unicode MS"/>
          <w:i/>
        </w:rPr>
        <w:t xml:space="preserve">.11 editor: </w:t>
      </w:r>
      <w:r w:rsidR="00055878" w:rsidRPr="009448FC">
        <w:rPr>
          <w:rFonts w:eastAsia="Arial Unicode MS"/>
          <w:i/>
        </w:rPr>
        <w:t>change the bulleted list in this subclause as indicated and add the following paragraph</w:t>
      </w:r>
    </w:p>
    <w:p w:rsidR="00055878" w:rsidRPr="009448FC" w:rsidRDefault="00055878" w:rsidP="00B2110C">
      <w:pPr>
        <w:autoSpaceDE w:val="0"/>
        <w:jc w:val="both"/>
        <w:rPr>
          <w:rFonts w:eastAsia="Arial Unicode MS"/>
          <w:sz w:val="23"/>
        </w:rPr>
      </w:pPr>
    </w:p>
    <w:p w:rsidR="00055878" w:rsidRPr="009448FC" w:rsidRDefault="00055878" w:rsidP="00B2110C">
      <w:pPr>
        <w:autoSpaceDE w:val="0"/>
        <w:jc w:val="both"/>
        <w:rPr>
          <w:rFonts w:eastAsia="Arial Unicode MS"/>
        </w:rPr>
      </w:pPr>
      <w:r w:rsidRPr="009448FC">
        <w:rPr>
          <w:rFonts w:eastAsia="Arial Unicode MS"/>
        </w:rPr>
        <w:t>A GTKSA consists of the following elements:</w:t>
      </w:r>
    </w:p>
    <w:p w:rsidR="00055878" w:rsidRPr="009448FC" w:rsidRDefault="007F48EF" w:rsidP="00B2110C">
      <w:pPr>
        <w:tabs>
          <w:tab w:val="left" w:pos="1395"/>
        </w:tabs>
        <w:autoSpaceDE w:val="0"/>
        <w:jc w:val="both"/>
        <w:rPr>
          <w:rFonts w:eastAsia="Arial Unicode MS"/>
        </w:rPr>
      </w:pPr>
      <w:r w:rsidRPr="009448FC">
        <w:rPr>
          <w:rFonts w:eastAsia="Arial Unicode MS"/>
        </w:rPr>
        <w:tab/>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Direction vector (whether the GTK is used for transmit or receive).</w:t>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Group cipher suite selector.</w:t>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GTK.</w:t>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Authenticator MAC address.</w:t>
      </w:r>
    </w:p>
    <w:p w:rsidR="00B2110C" w:rsidRPr="00466031" w:rsidRDefault="00055878" w:rsidP="003701DB">
      <w:pPr>
        <w:numPr>
          <w:ilvl w:val="0"/>
          <w:numId w:val="83"/>
        </w:numPr>
        <w:tabs>
          <w:tab w:val="clear" w:pos="720"/>
          <w:tab w:val="num" w:pos="432"/>
        </w:tabs>
        <w:suppressAutoHyphens/>
        <w:autoSpaceDE w:val="0"/>
        <w:ind w:left="432"/>
        <w:jc w:val="both"/>
        <w:rPr>
          <w:rFonts w:eastAsia="Arial Unicode MS"/>
          <w:u w:val="single"/>
          <w:lang w:eastAsia="ar-SA" w:bidi="ar-SA"/>
        </w:rPr>
      </w:pPr>
      <w:r w:rsidRPr="00066F65">
        <w:rPr>
          <w:rFonts w:eastAsia="Arial Unicode MS"/>
          <w:u w:val="single"/>
          <w:lang w:eastAsia="ar-SA" w:bidi="ar-SA"/>
        </w:rPr>
        <w:t>Key ID</w:t>
      </w:r>
    </w:p>
    <w:p w:rsidR="007D07AD"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All authorization parameters specified by local configuration. This</w:t>
      </w:r>
      <w:r w:rsidR="00C65D7E" w:rsidRPr="009448FC">
        <w:rPr>
          <w:rFonts w:eastAsia="Arial Unicode MS"/>
        </w:rPr>
        <w:t xml:space="preserve"> can include parameters such as </w:t>
      </w:r>
      <w:r w:rsidRPr="009448FC">
        <w:rPr>
          <w:rFonts w:eastAsia="Arial Unicode MS"/>
        </w:rPr>
        <w:t>the STA’s authorized SSID.</w:t>
      </w:r>
    </w:p>
    <w:p w:rsidR="007D07AD" w:rsidRPr="009448FC" w:rsidRDefault="007D07AD" w:rsidP="003701DB">
      <w:pPr>
        <w:pStyle w:val="Heading5"/>
        <w:numPr>
          <w:ilvl w:val="4"/>
          <w:numId w:val="145"/>
        </w:numPr>
      </w:pPr>
      <w:bookmarkStart w:id="1037" w:name="_Toc259717033"/>
      <w:r w:rsidRPr="009448FC">
        <w:t>STKSA</w:t>
      </w:r>
      <w:bookmarkEnd w:id="1037"/>
    </w:p>
    <w:p w:rsidR="007D07AD" w:rsidRPr="009448FC" w:rsidRDefault="00383A03" w:rsidP="00383A03">
      <w:pPr>
        <w:autoSpaceDE w:val="0"/>
        <w:jc w:val="both"/>
        <w:rPr>
          <w:rFonts w:eastAsia="Arial Unicode MS"/>
        </w:rPr>
      </w:pPr>
      <w:r w:rsidRPr="009448FC">
        <w:rPr>
          <w:rFonts w:eastAsia="Arial Unicode MS"/>
          <w:i/>
        </w:rPr>
        <w:t xml:space="preserve">.11 editor: </w:t>
      </w:r>
      <w:r w:rsidR="007D07AD" w:rsidRPr="009448FC">
        <w:rPr>
          <w:rFonts w:eastAsia="Arial Unicode MS"/>
          <w:i/>
        </w:rPr>
        <w:t>change the bulleted list in this subclause as indicated and add the following paragraph</w:t>
      </w:r>
    </w:p>
    <w:p w:rsidR="007D07AD" w:rsidRPr="009448FC" w:rsidRDefault="007D07AD" w:rsidP="007D07AD">
      <w:pPr>
        <w:autoSpaceDE w:val="0"/>
        <w:ind w:left="288"/>
        <w:jc w:val="both"/>
        <w:rPr>
          <w:rFonts w:eastAsia="Arial Unicode MS"/>
          <w:sz w:val="23"/>
        </w:rPr>
      </w:pPr>
    </w:p>
    <w:p w:rsidR="007D07AD" w:rsidRPr="009448FC" w:rsidRDefault="007D07AD" w:rsidP="00B2110C">
      <w:pPr>
        <w:autoSpaceDE w:val="0"/>
        <w:jc w:val="both"/>
        <w:rPr>
          <w:rFonts w:eastAsia="Arial Unicode MS"/>
        </w:rPr>
      </w:pPr>
      <w:r w:rsidRPr="009448FC">
        <w:rPr>
          <w:rFonts w:eastAsia="Arial Unicode MS"/>
        </w:rPr>
        <w:t>The STKSA consists</w:t>
      </w:r>
      <w:r w:rsidR="00373022" w:rsidRPr="009448FC">
        <w:rPr>
          <w:rFonts w:eastAsia="Arial Unicode MS"/>
        </w:rPr>
        <w:t xml:space="preserve"> </w:t>
      </w:r>
      <w:r w:rsidRPr="009448FC">
        <w:rPr>
          <w:rFonts w:eastAsia="Arial Unicode MS"/>
        </w:rPr>
        <w:t>of the following elements:</w:t>
      </w:r>
    </w:p>
    <w:p w:rsidR="00B2110C" w:rsidRPr="009448FC" w:rsidRDefault="00B2110C" w:rsidP="00B2110C">
      <w:pPr>
        <w:autoSpaceDE w:val="0"/>
        <w:jc w:val="both"/>
        <w:rPr>
          <w:rFonts w:eastAsia="Arial Unicode MS"/>
        </w:rPr>
      </w:pPr>
    </w:p>
    <w:p w:rsidR="00B2110C"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STK</w:t>
      </w:r>
    </w:p>
    <w:p w:rsidR="007D07AD"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Pairwise cipher suite selector</w:t>
      </w:r>
    </w:p>
    <w:p w:rsidR="007D07AD"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lastRenderedPageBreak/>
        <w:t>Initiator MAC address</w:t>
      </w:r>
    </w:p>
    <w:p w:rsidR="007D07AD"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Peer MAC address</w:t>
      </w:r>
    </w:p>
    <w:p w:rsidR="00B2110C" w:rsidRDefault="007D07AD" w:rsidP="003701DB">
      <w:pPr>
        <w:numPr>
          <w:ilvl w:val="0"/>
          <w:numId w:val="83"/>
        </w:numPr>
        <w:tabs>
          <w:tab w:val="clear" w:pos="720"/>
          <w:tab w:val="num" w:pos="432"/>
        </w:tabs>
        <w:suppressAutoHyphens/>
        <w:autoSpaceDE w:val="0"/>
        <w:ind w:left="432"/>
        <w:jc w:val="both"/>
        <w:rPr>
          <w:rFonts w:eastAsia="Arial Unicode MS"/>
          <w:u w:val="single"/>
        </w:rPr>
      </w:pPr>
      <w:r w:rsidRPr="00250755">
        <w:rPr>
          <w:rFonts w:eastAsia="Arial Unicode MS"/>
          <w:u w:val="single"/>
        </w:rPr>
        <w:t>KeyID</w:t>
      </w:r>
    </w:p>
    <w:p w:rsidR="00000C5F" w:rsidRDefault="00000C5F">
      <w:pPr>
        <w:suppressAutoHyphens/>
        <w:autoSpaceDE w:val="0"/>
        <w:jc w:val="both"/>
        <w:rPr>
          <w:rFonts w:eastAsia="Arial Unicode MS"/>
          <w:u w:val="single"/>
        </w:rPr>
      </w:pPr>
    </w:p>
    <w:p w:rsidR="005D00AE" w:rsidRPr="00CD2C63" w:rsidRDefault="005D00AE" w:rsidP="003701DB">
      <w:pPr>
        <w:pStyle w:val="Heading4"/>
        <w:numPr>
          <w:ilvl w:val="3"/>
          <w:numId w:val="143"/>
        </w:numPr>
      </w:pPr>
      <w:bookmarkStart w:id="1038" w:name="_Toc259717034"/>
      <w:r w:rsidRPr="009448FC">
        <w:t xml:space="preserve">Security association </w:t>
      </w:r>
      <w:r>
        <w:t>life cycle</w:t>
      </w:r>
      <w:bookmarkEnd w:id="1038"/>
    </w:p>
    <w:p w:rsidR="00000C5F" w:rsidRDefault="00000C5F">
      <w:pPr>
        <w:suppressAutoHyphens/>
        <w:autoSpaceDE w:val="0"/>
        <w:jc w:val="both"/>
        <w:rPr>
          <w:rFonts w:eastAsia="Arial Unicode MS"/>
          <w:u w:val="single"/>
        </w:rPr>
      </w:pPr>
    </w:p>
    <w:p w:rsidR="00000C5F" w:rsidRDefault="004B30C1">
      <w:pPr>
        <w:pStyle w:val="Heading5"/>
      </w:pPr>
      <w:bookmarkStart w:id="1039" w:name="_Toc259717035"/>
      <w:r>
        <w:t>8.4.1.2.0a General</w:t>
      </w:r>
      <w:bookmarkEnd w:id="1039"/>
    </w:p>
    <w:p w:rsidR="00000C5F" w:rsidRDefault="00000C5F">
      <w:pPr>
        <w:suppressAutoHyphens/>
        <w:autoSpaceDE w:val="0"/>
        <w:jc w:val="both"/>
        <w:rPr>
          <w:rFonts w:eastAsia="Arial Unicode MS"/>
          <w:u w:val="single"/>
        </w:rPr>
      </w:pPr>
    </w:p>
    <w:p w:rsidR="005D00AE" w:rsidRPr="009448FC" w:rsidRDefault="005D00AE" w:rsidP="005D00AE">
      <w:pPr>
        <w:rPr>
          <w:i/>
        </w:rPr>
      </w:pPr>
      <w:r w:rsidRPr="009448FC">
        <w:rPr>
          <w:i/>
        </w:rPr>
        <w:t xml:space="preserve">.11 editor: </w:t>
      </w:r>
      <w:r>
        <w:rPr>
          <w:i/>
        </w:rPr>
        <w:t>change the first paragraph</w:t>
      </w:r>
      <w:r w:rsidRPr="009448FC">
        <w:rPr>
          <w:i/>
        </w:rPr>
        <w:t xml:space="preserve"> in this subclause as indicated</w:t>
      </w:r>
    </w:p>
    <w:p w:rsidR="00000C5F" w:rsidRDefault="00000C5F">
      <w:pPr>
        <w:suppressAutoHyphens/>
        <w:autoSpaceDE w:val="0"/>
        <w:jc w:val="both"/>
        <w:rPr>
          <w:rFonts w:eastAsia="Arial Unicode MS"/>
          <w:u w:val="single"/>
        </w:rPr>
      </w:pPr>
    </w:p>
    <w:p w:rsidR="00000C5F" w:rsidRDefault="005D00AE">
      <w:pPr>
        <w:suppressAutoHyphens/>
        <w:autoSpaceDE w:val="0"/>
        <w:jc w:val="both"/>
        <w:rPr>
          <w:rFonts w:eastAsia="Arial Unicode MS"/>
          <w:u w:val="single"/>
        </w:rPr>
      </w:pPr>
      <w:r w:rsidRPr="00F80693">
        <w:rPr>
          <w:sz w:val="23"/>
          <w:szCs w:val="23"/>
        </w:rPr>
        <w:t>A STA can operate in either an ESS</w:t>
      </w:r>
      <w:r w:rsidR="009D537D" w:rsidRPr="009D537D">
        <w:rPr>
          <w:sz w:val="23"/>
          <w:szCs w:val="23"/>
          <w:u w:val="single"/>
        </w:rPr>
        <w:t>, a PBSS,</w:t>
      </w:r>
      <w:r w:rsidRPr="00F80693">
        <w:rPr>
          <w:sz w:val="23"/>
          <w:szCs w:val="23"/>
        </w:rPr>
        <w:t xml:space="preserve"> or in an IBSS, and a security association has a distinct life cycle for each.</w:t>
      </w:r>
    </w:p>
    <w:p w:rsidR="00000C5F" w:rsidRDefault="00000C5F">
      <w:pPr>
        <w:suppressAutoHyphens/>
        <w:autoSpaceDE w:val="0"/>
        <w:jc w:val="both"/>
        <w:rPr>
          <w:rFonts w:eastAsia="Arial Unicode MS"/>
          <w:u w:val="single"/>
        </w:rPr>
      </w:pPr>
    </w:p>
    <w:p w:rsidR="004B30C1" w:rsidRPr="009448FC" w:rsidRDefault="004B30C1" w:rsidP="004B30C1">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4B30C1" w:rsidRDefault="004B30C1" w:rsidP="004B30C1">
      <w:pPr>
        <w:pStyle w:val="Heading5"/>
      </w:pPr>
      <w:bookmarkStart w:id="1040" w:name="_Toc259717036"/>
      <w:r>
        <w:t>8.4.1.2.1 Security association in an ESS</w:t>
      </w:r>
      <w:r w:rsidR="009D537D" w:rsidRPr="009D537D">
        <w:rPr>
          <w:u w:val="single"/>
        </w:rPr>
        <w:t>/PBSS</w:t>
      </w:r>
      <w:bookmarkEnd w:id="1040"/>
    </w:p>
    <w:p w:rsidR="00000C5F" w:rsidRDefault="00000C5F">
      <w:pPr>
        <w:suppressAutoHyphens/>
        <w:autoSpaceDE w:val="0"/>
        <w:jc w:val="both"/>
        <w:rPr>
          <w:rFonts w:eastAsia="Arial Unicode MS"/>
          <w:u w:val="single"/>
        </w:rPr>
      </w:pPr>
    </w:p>
    <w:p w:rsidR="004B30C1" w:rsidRPr="009448FC" w:rsidRDefault="004B30C1" w:rsidP="004B30C1">
      <w:pPr>
        <w:rPr>
          <w:i/>
        </w:rPr>
      </w:pPr>
      <w:r w:rsidRPr="009448FC">
        <w:rPr>
          <w:i/>
        </w:rPr>
        <w:t xml:space="preserve">.11 editor: </w:t>
      </w:r>
      <w:r>
        <w:rPr>
          <w:i/>
        </w:rPr>
        <w:t>insert the following paragraph as the new second paragraph</w:t>
      </w:r>
    </w:p>
    <w:p w:rsidR="00000C5F" w:rsidRDefault="00000C5F">
      <w:pPr>
        <w:suppressAutoHyphens/>
        <w:autoSpaceDE w:val="0"/>
        <w:jc w:val="both"/>
        <w:rPr>
          <w:rFonts w:eastAsia="Arial Unicode MS"/>
          <w:u w:val="single"/>
        </w:rPr>
      </w:pPr>
    </w:p>
    <w:p w:rsidR="004B30C1" w:rsidRPr="004B30C1" w:rsidRDefault="009D537D" w:rsidP="004B30C1">
      <w:pPr>
        <w:autoSpaceDE w:val="0"/>
        <w:autoSpaceDN w:val="0"/>
        <w:adjustRightInd w:val="0"/>
        <w:jc w:val="both"/>
        <w:rPr>
          <w:rFonts w:eastAsia="SimSun"/>
          <w:sz w:val="23"/>
          <w:szCs w:val="23"/>
          <w:u w:val="single"/>
          <w:lang w:eastAsia="zh-CN" w:bidi="ar-SA"/>
        </w:rPr>
      </w:pPr>
      <w:r w:rsidRPr="009D537D">
        <w:rPr>
          <w:rFonts w:eastAsia="SimSun"/>
          <w:sz w:val="23"/>
          <w:szCs w:val="23"/>
          <w:u w:val="single"/>
          <w:lang w:eastAsia="zh-CN" w:bidi="ar-SA"/>
        </w:rPr>
        <w:t xml:space="preserve">In a PBSS, a STA can establish initial contact with the PCP or a non-PCP STA. </w:t>
      </w:r>
    </w:p>
    <w:p w:rsidR="00000C5F" w:rsidRDefault="00000C5F">
      <w:pPr>
        <w:suppressAutoHyphens/>
        <w:autoSpaceDE w:val="0"/>
        <w:jc w:val="both"/>
        <w:rPr>
          <w:rFonts w:eastAsia="Arial Unicode MS"/>
          <w:u w:val="single"/>
        </w:rPr>
      </w:pPr>
    </w:p>
    <w:p w:rsidR="004B30C1" w:rsidRPr="009448FC" w:rsidRDefault="004B30C1" w:rsidP="004B30C1">
      <w:pPr>
        <w:rPr>
          <w:i/>
        </w:rPr>
      </w:pPr>
      <w:r w:rsidRPr="009448FC">
        <w:rPr>
          <w:i/>
        </w:rPr>
        <w:t xml:space="preserve">.11 editor: </w:t>
      </w:r>
      <w:r>
        <w:rPr>
          <w:i/>
        </w:rPr>
        <w:t>change the second paragraph as follows</w:t>
      </w:r>
    </w:p>
    <w:p w:rsidR="00000C5F" w:rsidRDefault="00000C5F">
      <w:pPr>
        <w:suppressAutoHyphens/>
        <w:autoSpaceDE w:val="0"/>
        <w:jc w:val="both"/>
        <w:rPr>
          <w:rFonts w:eastAsia="Arial Unicode MS"/>
          <w:u w:val="single"/>
        </w:rPr>
      </w:pPr>
    </w:p>
    <w:p w:rsidR="004B30C1" w:rsidRPr="004B30C1" w:rsidRDefault="009D537D" w:rsidP="004B30C1">
      <w:pPr>
        <w:autoSpaceDE w:val="0"/>
        <w:autoSpaceDN w:val="0"/>
        <w:adjustRightInd w:val="0"/>
        <w:jc w:val="both"/>
        <w:rPr>
          <w:rFonts w:eastAsia="SimSun"/>
          <w:lang w:eastAsia="zh-CN" w:bidi="ar-SA"/>
        </w:rPr>
      </w:pPr>
      <w:r w:rsidRPr="009D537D">
        <w:rPr>
          <w:rFonts w:eastAsia="SimSun"/>
          <w:lang w:eastAsia="zh-CN" w:bidi="ar-SA"/>
        </w:rPr>
        <w:t>A STA and AP</w:t>
      </w:r>
      <w:r w:rsidRPr="009D537D">
        <w:rPr>
          <w:rFonts w:eastAsia="SimSun"/>
          <w:u w:val="single"/>
          <w:lang w:eastAsia="zh-CN" w:bidi="ar-SA"/>
        </w:rPr>
        <w:t>/PCP</w:t>
      </w:r>
      <w:r w:rsidRPr="009D537D">
        <w:rPr>
          <w:rFonts w:eastAsia="SimSun"/>
          <w:lang w:eastAsia="zh-CN" w:bidi="ar-SA"/>
        </w:rPr>
        <w:t xml:space="preserve"> establish an initial security association via the following steps:</w:t>
      </w: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lang w:eastAsia="zh-CN" w:bidi="ar-SA"/>
        </w:rPr>
        <w:t>The STA selects an authorized ESS</w:t>
      </w:r>
      <w:r w:rsidRPr="009D537D">
        <w:rPr>
          <w:rFonts w:eastAsia="SimSun"/>
          <w:u w:val="single"/>
          <w:lang w:eastAsia="zh-CN" w:bidi="ar-SA"/>
        </w:rPr>
        <w:t>/PBSS</w:t>
      </w:r>
      <w:r w:rsidRPr="009D537D">
        <w:rPr>
          <w:rFonts w:eastAsia="SimSun"/>
          <w:lang w:eastAsia="zh-CN" w:bidi="ar-SA"/>
        </w:rPr>
        <w:t xml:space="preserve"> by selecting among APs</w:t>
      </w:r>
      <w:r w:rsidRPr="009D537D">
        <w:rPr>
          <w:rFonts w:eastAsia="SimSun"/>
          <w:u w:val="single"/>
          <w:lang w:eastAsia="zh-CN" w:bidi="ar-SA"/>
        </w:rPr>
        <w:t>/PCPs</w:t>
      </w:r>
      <w:r w:rsidRPr="009D537D">
        <w:rPr>
          <w:rFonts w:eastAsia="SimSun"/>
          <w:lang w:eastAsia="zh-CN" w:bidi="ar-SA"/>
        </w:rPr>
        <w:t xml:space="preserve"> that advertise an appropriate SSID.</w:t>
      </w: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u w:val="single"/>
          <w:lang w:eastAsia="zh-CN" w:bidi="ar-SA"/>
        </w:rPr>
        <w:t>In an ESS,</w:t>
      </w:r>
      <w:r w:rsidRPr="009D537D">
        <w:rPr>
          <w:rFonts w:eastAsia="SimSun"/>
          <w:lang w:eastAsia="zh-CN" w:bidi="ar-SA"/>
        </w:rPr>
        <w:t xml:space="preserve"> </w:t>
      </w:r>
      <w:r w:rsidR="004B30C1">
        <w:rPr>
          <w:rFonts w:eastAsia="SimSun"/>
          <w:lang w:eastAsia="zh-CN" w:bidi="ar-SA"/>
        </w:rPr>
        <w:t>T</w:t>
      </w:r>
      <w:r w:rsidRPr="009D537D">
        <w:rPr>
          <w:rFonts w:eastAsia="SimSun"/>
          <w:lang w:eastAsia="zh-CN" w:bidi="ar-SA"/>
        </w:rPr>
        <w:t xml:space="preserve">he STA uses IEEE 802.11 Open System authentication followed by association to the chosen AP. Negotiation of security parameters takes place during association. </w:t>
      </w:r>
      <w:r w:rsidRPr="009D537D">
        <w:rPr>
          <w:rFonts w:eastAsia="SimSun"/>
          <w:u w:val="single"/>
          <w:lang w:eastAsia="zh-CN" w:bidi="ar-SA"/>
        </w:rPr>
        <w:t xml:space="preserve">In a PBSS, the IEEE 802.11 Open System authentication is not used. If the STA associates with the chosen PCP, the STA and the PCP negotiate the security parameters during association. </w:t>
      </w:r>
    </w:p>
    <w:p w:rsidR="004B30C1" w:rsidRPr="004B30C1" w:rsidRDefault="004B30C1" w:rsidP="004B30C1">
      <w:pPr>
        <w:autoSpaceDE w:val="0"/>
        <w:autoSpaceDN w:val="0"/>
        <w:adjustRightInd w:val="0"/>
        <w:ind w:left="720"/>
        <w:jc w:val="both"/>
        <w:rPr>
          <w:rFonts w:eastAsia="SimSun"/>
          <w:lang w:eastAsia="zh-CN" w:bidi="ar-SA"/>
        </w:rPr>
      </w:pP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1—It is possible for more than one PMKSA to exist. As an example, a second PMKSA may come into existence through PMKSA caching. A STA might leave the ESS</w:t>
      </w:r>
      <w:r w:rsidRPr="009D537D">
        <w:rPr>
          <w:rFonts w:eastAsia="SimSun"/>
          <w:sz w:val="20"/>
          <w:u w:val="single"/>
          <w:lang w:eastAsia="zh-CN" w:bidi="ar-SA"/>
        </w:rPr>
        <w:t>/PBSS</w:t>
      </w:r>
      <w:r w:rsidRPr="009D537D">
        <w:rPr>
          <w:rFonts w:eastAsia="SimSun"/>
          <w:sz w:val="20"/>
          <w:lang w:eastAsia="zh-CN" w:bidi="ar-SA"/>
        </w:rPr>
        <w:t xml:space="preserve"> and flush its cache. Before its PMKSA expires in the AP</w:t>
      </w:r>
      <w:r w:rsidRPr="009D537D">
        <w:rPr>
          <w:rFonts w:eastAsia="SimSun"/>
          <w:sz w:val="20"/>
          <w:u w:val="single"/>
          <w:lang w:eastAsia="zh-CN" w:bidi="ar-SA"/>
        </w:rPr>
        <w:t>/PCP’s</w:t>
      </w:r>
      <w:r w:rsidRPr="009D537D">
        <w:rPr>
          <w:rFonts w:eastAsia="SimSun"/>
          <w:sz w:val="20"/>
          <w:lang w:eastAsia="zh-CN" w:bidi="ar-SA"/>
        </w:rPr>
        <w:t xml:space="preserve"> cache, the STA returns to the ESS</w:t>
      </w:r>
      <w:r w:rsidRPr="009D537D">
        <w:rPr>
          <w:rFonts w:eastAsia="SimSun"/>
          <w:sz w:val="20"/>
          <w:u w:val="single"/>
          <w:lang w:eastAsia="zh-CN" w:bidi="ar-SA"/>
        </w:rPr>
        <w:t>/PBSS</w:t>
      </w:r>
      <w:r w:rsidRPr="009D537D">
        <w:rPr>
          <w:rFonts w:eastAsia="SimSun"/>
          <w:sz w:val="20"/>
          <w:lang w:eastAsia="zh-CN" w:bidi="ar-SA"/>
        </w:rPr>
        <w:t xml:space="preserve"> and establishes a second PMKSA from the AP</w:t>
      </w:r>
      <w:r w:rsidRPr="009D537D">
        <w:rPr>
          <w:rFonts w:eastAsia="SimSun"/>
          <w:sz w:val="20"/>
          <w:u w:val="single"/>
          <w:lang w:eastAsia="zh-CN" w:bidi="ar-SA"/>
        </w:rPr>
        <w:t>/PCP’s</w:t>
      </w:r>
      <w:r w:rsidRPr="009D537D">
        <w:rPr>
          <w:rFonts w:eastAsia="SimSun"/>
          <w:sz w:val="20"/>
          <w:lang w:eastAsia="zh-CN" w:bidi="ar-SA"/>
        </w:rPr>
        <w:t xml:space="preserve"> perspective.</w:t>
      </w: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2—An attack altering the security parameters will be detected by the key derivation procedure.</w:t>
      </w: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 xml:space="preserve">NOTE 3—IEEE 802.11 Open System authentication provides no security, but is included to maintain backward compatibility with the IEEE 802.11 state machine (see 11.3 (STA authentication and association)) </w:t>
      </w:r>
      <w:r w:rsidRPr="009D537D">
        <w:rPr>
          <w:rFonts w:eastAsia="SimSun"/>
          <w:sz w:val="20"/>
          <w:u w:val="single"/>
          <w:lang w:eastAsia="zh-CN" w:bidi="ar-SA"/>
        </w:rPr>
        <w:t>in an ESS</w:t>
      </w:r>
      <w:r w:rsidRPr="009D537D">
        <w:rPr>
          <w:rFonts w:eastAsia="SimSun"/>
          <w:sz w:val="20"/>
          <w:lang w:eastAsia="zh-CN" w:bidi="ar-SA"/>
        </w:rPr>
        <w:t>.</w:t>
      </w:r>
    </w:p>
    <w:p w:rsidR="004B30C1" w:rsidRPr="00CA0A07" w:rsidRDefault="009D537D" w:rsidP="004B30C1">
      <w:pPr>
        <w:autoSpaceDE w:val="0"/>
        <w:autoSpaceDN w:val="0"/>
        <w:adjustRightInd w:val="0"/>
        <w:ind w:left="720"/>
        <w:jc w:val="both"/>
        <w:rPr>
          <w:rFonts w:eastAsia="SimSun"/>
          <w:sz w:val="20"/>
          <w:u w:val="single"/>
          <w:lang w:eastAsia="zh-CN" w:bidi="ar-SA"/>
        </w:rPr>
      </w:pPr>
      <w:r w:rsidRPr="009D537D">
        <w:rPr>
          <w:rFonts w:eastAsia="SimSun"/>
          <w:sz w:val="20"/>
          <w:u w:val="single"/>
          <w:lang w:eastAsia="zh-CN" w:bidi="ar-SA"/>
        </w:rPr>
        <w:t>NOTE 4—In a PBSS, a STA may choose not to associate with the PCP.</w:t>
      </w:r>
    </w:p>
    <w:p w:rsidR="004B30C1" w:rsidRPr="004B30C1" w:rsidRDefault="004B30C1" w:rsidP="004B30C1">
      <w:pPr>
        <w:autoSpaceDE w:val="0"/>
        <w:autoSpaceDN w:val="0"/>
        <w:adjustRightInd w:val="0"/>
        <w:ind w:left="360"/>
        <w:jc w:val="both"/>
        <w:rPr>
          <w:rFonts w:eastAsia="SimSun"/>
          <w:lang w:eastAsia="zh-CN" w:bidi="ar-SA"/>
        </w:rPr>
      </w:pP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lang w:eastAsia="zh-CN" w:bidi="ar-SA"/>
        </w:rPr>
        <w:t>The AP</w:t>
      </w:r>
      <w:r w:rsidRPr="009D537D">
        <w:rPr>
          <w:rFonts w:eastAsia="SimSun"/>
          <w:u w:val="single"/>
          <w:lang w:eastAsia="zh-CN" w:bidi="ar-SA"/>
        </w:rPr>
        <w:t>/PCP’s</w:t>
      </w:r>
      <w:r w:rsidRPr="009D537D">
        <w:rPr>
          <w:rFonts w:eastAsia="SimSun"/>
          <w:lang w:eastAsia="zh-CN" w:bidi="ar-SA"/>
        </w:rPr>
        <w:t xml:space="preserve"> Authenticator or the STA’s Supplicant initiates IEEE 802.1X authentication </w:t>
      </w:r>
      <w:r w:rsidRPr="009D537D">
        <w:rPr>
          <w:rFonts w:eastAsia="SimSun"/>
          <w:u w:val="single"/>
          <w:lang w:eastAsia="zh-CN" w:bidi="ar-SA"/>
        </w:rPr>
        <w:t>or uses PSK</w:t>
      </w:r>
      <w:r w:rsidRPr="009D537D">
        <w:rPr>
          <w:rFonts w:eastAsia="SimSun"/>
          <w:lang w:eastAsia="zh-CN" w:bidi="ar-SA"/>
        </w:rPr>
        <w:t>. The EAP method used by IEEE Std 802.1X-2004 will support mutual authentication, as the STA needs assurance that the AP</w:t>
      </w:r>
      <w:r w:rsidRPr="009D537D">
        <w:rPr>
          <w:rFonts w:eastAsia="SimSun"/>
          <w:u w:val="single"/>
          <w:lang w:eastAsia="zh-CN" w:bidi="ar-SA"/>
        </w:rPr>
        <w:t>/PCP</w:t>
      </w:r>
      <w:r w:rsidRPr="009D537D">
        <w:rPr>
          <w:rFonts w:eastAsia="SimSun"/>
          <w:lang w:eastAsia="zh-CN" w:bidi="ar-SA"/>
        </w:rPr>
        <w:t xml:space="preserve"> is a legitimate AP</w:t>
      </w:r>
      <w:r w:rsidRPr="009D537D">
        <w:rPr>
          <w:rFonts w:eastAsia="SimSun"/>
          <w:u w:val="single"/>
          <w:lang w:eastAsia="zh-CN" w:bidi="ar-SA"/>
        </w:rPr>
        <w:t>/PCP</w:t>
      </w:r>
      <w:r w:rsidRPr="009D537D">
        <w:rPr>
          <w:rFonts w:eastAsia="SimSun"/>
          <w:lang w:eastAsia="zh-CN" w:bidi="ar-SA"/>
        </w:rPr>
        <w:t>.</w:t>
      </w:r>
    </w:p>
    <w:p w:rsidR="004B30C1" w:rsidRPr="004B30C1" w:rsidRDefault="004B30C1" w:rsidP="004B30C1">
      <w:pPr>
        <w:autoSpaceDE w:val="0"/>
        <w:autoSpaceDN w:val="0"/>
        <w:adjustRightInd w:val="0"/>
        <w:ind w:left="360"/>
        <w:jc w:val="both"/>
        <w:rPr>
          <w:rFonts w:eastAsia="SimSun"/>
          <w:lang w:eastAsia="zh-CN" w:bidi="ar-SA"/>
        </w:rPr>
      </w:pP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1—Prior to the completion of IEEE 802.1X authentication and the installation of keys, the IEEE 802.1X Controlled Port in the AP</w:t>
      </w:r>
      <w:r w:rsidRPr="009D537D">
        <w:rPr>
          <w:rFonts w:eastAsia="SimSun"/>
          <w:sz w:val="20"/>
          <w:u w:val="single"/>
          <w:lang w:eastAsia="zh-CN" w:bidi="ar-SA"/>
        </w:rPr>
        <w:t>/PCP</w:t>
      </w:r>
      <w:r w:rsidRPr="009D537D">
        <w:rPr>
          <w:rFonts w:eastAsia="SimSun"/>
          <w:sz w:val="20"/>
          <w:lang w:eastAsia="zh-CN" w:bidi="ar-SA"/>
        </w:rPr>
        <w:t xml:space="preserve"> will block all data frames. The IEEE 802.1X Controlled Port returns to the </w:t>
      </w:r>
      <w:r w:rsidRPr="009D537D">
        <w:rPr>
          <w:rFonts w:eastAsia="SimSun"/>
          <w:sz w:val="20"/>
          <w:lang w:eastAsia="zh-CN" w:bidi="ar-SA"/>
        </w:rPr>
        <w:lastRenderedPageBreak/>
        <w:t>unauthorized state and blocks all data frames before invocation of an MLME-DELETEKEYS.request primitive. The IEEE 802.1X Uncontrolled Port allows IEEE 802.1X frames to pass between the Supplicant and Authenticator. Although IEEE Std 802.1X-2004 does not require a Supplicant Controlled Port, this standard assumes that the Supplicant has a Controlled Port in order to provide the needed level of security. Supplicants without a Controlled Port compromise RSN security and should not be used.</w:t>
      </w:r>
    </w:p>
    <w:p w:rsidR="004B30C1" w:rsidRPr="00CA0A07" w:rsidRDefault="004B30C1" w:rsidP="004B30C1">
      <w:pPr>
        <w:autoSpaceDE w:val="0"/>
        <w:autoSpaceDN w:val="0"/>
        <w:adjustRightInd w:val="0"/>
        <w:ind w:left="720"/>
        <w:jc w:val="both"/>
        <w:rPr>
          <w:rFonts w:eastAsia="SimSun"/>
          <w:sz w:val="20"/>
          <w:lang w:eastAsia="zh-CN" w:bidi="ar-SA"/>
        </w:rPr>
      </w:pP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2—Any secure network cannot support promiscuous association, e.g., an unsecured operation of IEEE Std 802.11. A trust relationship must exist between the STA and the AS of the targeted SSID prior to association and secure operation, in order for the association to be trustworthy. The reason is that an attacker can deploy a rogue AP</w:t>
      </w:r>
      <w:r w:rsidRPr="009D537D">
        <w:rPr>
          <w:rFonts w:eastAsia="SimSun"/>
          <w:sz w:val="20"/>
          <w:u w:val="single"/>
          <w:lang w:eastAsia="zh-CN" w:bidi="ar-SA"/>
        </w:rPr>
        <w:t>/PCP</w:t>
      </w:r>
      <w:r w:rsidRPr="009D537D">
        <w:rPr>
          <w:rFonts w:eastAsia="SimSun"/>
          <w:sz w:val="20"/>
          <w:lang w:eastAsia="zh-CN" w:bidi="ar-SA"/>
        </w:rPr>
        <w:t xml:space="preserve"> just as easily as a legitimate network provider can deploy a legitimate AP</w:t>
      </w:r>
      <w:r w:rsidRPr="009D537D">
        <w:rPr>
          <w:rFonts w:eastAsia="SimSun"/>
          <w:sz w:val="20"/>
          <w:u w:val="single"/>
          <w:lang w:eastAsia="zh-CN" w:bidi="ar-SA"/>
        </w:rPr>
        <w:t>/PCP</w:t>
      </w:r>
      <w:r w:rsidRPr="009D537D">
        <w:rPr>
          <w:rFonts w:eastAsia="SimSun"/>
          <w:sz w:val="20"/>
          <w:lang w:eastAsia="zh-CN" w:bidi="ar-SA"/>
        </w:rPr>
        <w:t>, so some sort of prior relationship is necessary to establish credentials between the ESS</w:t>
      </w:r>
      <w:r w:rsidRPr="009D537D">
        <w:rPr>
          <w:rFonts w:eastAsia="SimSun"/>
          <w:sz w:val="20"/>
          <w:u w:val="single"/>
          <w:lang w:eastAsia="zh-CN" w:bidi="ar-SA"/>
        </w:rPr>
        <w:t>/PBSS</w:t>
      </w:r>
      <w:r w:rsidRPr="009D537D">
        <w:rPr>
          <w:rFonts w:eastAsia="SimSun"/>
          <w:sz w:val="20"/>
          <w:lang w:eastAsia="zh-CN" w:bidi="ar-SA"/>
        </w:rPr>
        <w:t xml:space="preserve"> and the STA.</w:t>
      </w:r>
    </w:p>
    <w:p w:rsidR="004B30C1" w:rsidRPr="004B30C1" w:rsidRDefault="004B30C1" w:rsidP="004B30C1">
      <w:pPr>
        <w:autoSpaceDE w:val="0"/>
        <w:autoSpaceDN w:val="0"/>
        <w:adjustRightInd w:val="0"/>
        <w:ind w:left="720"/>
        <w:jc w:val="both"/>
        <w:rPr>
          <w:rFonts w:eastAsia="SimSun"/>
          <w:lang w:eastAsia="zh-CN" w:bidi="ar-SA"/>
        </w:rPr>
      </w:pP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rPr>
        <w:t>The last step is key management. The authentication process creates cryptographic keys shared between the IEEE 802.1X AS and the STA. The AS transfers these keys to the AP</w:t>
      </w:r>
      <w:r w:rsidRPr="009D537D">
        <w:rPr>
          <w:rFonts w:eastAsia="SimSun"/>
          <w:u w:val="single"/>
        </w:rPr>
        <w:t>/PCP</w:t>
      </w:r>
      <w:r w:rsidRPr="009D537D">
        <w:rPr>
          <w:rFonts w:eastAsia="SimSun"/>
        </w:rPr>
        <w:t xml:space="preserve">, and the AP/PCP and STA uses one of the key confirmation handshakes, e.g., the 4-Way Handshake or FT 4-Way Handshake, to complete security association establishment. The key confirmation handshake indicates when the link has been secured by the keys and is ready to allow normal data traffic and </w:t>
      </w:r>
      <w:r w:rsidRPr="009D537D">
        <w:t>protected Robust Management frames.</w:t>
      </w:r>
    </w:p>
    <w:p w:rsidR="004B30C1" w:rsidRDefault="004B30C1" w:rsidP="004B30C1">
      <w:pPr>
        <w:autoSpaceDE w:val="0"/>
        <w:autoSpaceDN w:val="0"/>
        <w:adjustRightInd w:val="0"/>
        <w:jc w:val="both"/>
      </w:pPr>
    </w:p>
    <w:p w:rsidR="00CA0A07" w:rsidRPr="009448FC" w:rsidRDefault="00CA0A07" w:rsidP="00CA0A07">
      <w:pPr>
        <w:rPr>
          <w:i/>
        </w:rPr>
      </w:pPr>
      <w:r w:rsidRPr="009448FC">
        <w:rPr>
          <w:i/>
        </w:rPr>
        <w:t xml:space="preserve">.11 editor: </w:t>
      </w:r>
      <w:r>
        <w:rPr>
          <w:i/>
        </w:rPr>
        <w:t>insert the following paragraph after the second paragraph</w:t>
      </w:r>
    </w:p>
    <w:p w:rsidR="00CA0A07" w:rsidRPr="004B30C1" w:rsidRDefault="00CA0A07" w:rsidP="004B30C1">
      <w:pPr>
        <w:autoSpaceDE w:val="0"/>
        <w:autoSpaceDN w:val="0"/>
        <w:adjustRightInd w:val="0"/>
        <w:jc w:val="both"/>
      </w:pPr>
    </w:p>
    <w:p w:rsidR="00000C5F" w:rsidRDefault="009D537D">
      <w:pPr>
        <w:suppressAutoHyphens/>
        <w:autoSpaceDE w:val="0"/>
        <w:jc w:val="both"/>
        <w:rPr>
          <w:rFonts w:eastAsia="Arial Unicode MS"/>
          <w:u w:val="single"/>
        </w:rPr>
      </w:pPr>
      <w:r w:rsidRPr="009D537D">
        <w:rPr>
          <w:u w:val="single"/>
        </w:rPr>
        <w:t xml:space="preserve">In a PBSS, a STA may establish a security association with the PCP without association, or it may establish a security association with a non-PCP STA. In either case, the STA </w:t>
      </w:r>
      <w:r w:rsidRPr="009D537D">
        <w:rPr>
          <w:rFonts w:eastAsia="SimSun"/>
          <w:u w:val="single"/>
          <w:lang w:eastAsia="zh-CN" w:bidi="ar-SA"/>
        </w:rPr>
        <w:t xml:space="preserve">initiates IEEE 802.1X authentication or uses PSK, followed by </w:t>
      </w:r>
      <w:r w:rsidRPr="009D537D">
        <w:rPr>
          <w:rFonts w:eastAsia="SimSun"/>
          <w:u w:val="single"/>
        </w:rPr>
        <w:t>one of the key confirmation handshakes, e.g. the 4-Way Handshake, to establish the security association.</w:t>
      </w:r>
      <w:r w:rsidR="00D11F2E">
        <w:rPr>
          <w:rFonts w:eastAsia="SimSun"/>
          <w:u w:val="single"/>
        </w:rPr>
        <w:t xml:space="preserve"> </w:t>
      </w:r>
    </w:p>
    <w:p w:rsidR="00000C5F" w:rsidRDefault="00000C5F">
      <w:pPr>
        <w:suppressAutoHyphens/>
        <w:autoSpaceDE w:val="0"/>
        <w:jc w:val="both"/>
        <w:rPr>
          <w:rFonts w:eastAsia="Arial Unicode MS"/>
          <w:u w:val="single"/>
        </w:rPr>
      </w:pPr>
    </w:p>
    <w:p w:rsidR="00CA0A07" w:rsidRPr="009448FC" w:rsidRDefault="00CA0A07" w:rsidP="00CA0A07">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CA0A07" w:rsidRDefault="00CA0A07" w:rsidP="00CA0A07">
      <w:pPr>
        <w:suppressAutoHyphens/>
        <w:autoSpaceDE w:val="0"/>
        <w:jc w:val="both"/>
        <w:rPr>
          <w:rFonts w:eastAsia="Arial Unicode MS"/>
          <w:u w:val="single"/>
        </w:rPr>
      </w:pPr>
    </w:p>
    <w:p w:rsidR="00CA0A07" w:rsidRDefault="00CA0A07" w:rsidP="00CA0A07">
      <w:pPr>
        <w:pStyle w:val="Heading5"/>
      </w:pPr>
      <w:bookmarkStart w:id="1041" w:name="_Toc259717037"/>
      <w:r>
        <w:t>8.4.1.2.2 Security association in an IBSS</w:t>
      </w:r>
      <w:r w:rsidRPr="004B30C1">
        <w:rPr>
          <w:u w:val="single"/>
        </w:rPr>
        <w:t>/PBSS</w:t>
      </w:r>
      <w:bookmarkEnd w:id="1041"/>
    </w:p>
    <w:p w:rsidR="00000C5F" w:rsidRDefault="00000C5F">
      <w:pPr>
        <w:suppressAutoHyphens/>
        <w:autoSpaceDE w:val="0"/>
        <w:jc w:val="both"/>
        <w:rPr>
          <w:rFonts w:eastAsia="Arial Unicode MS"/>
          <w:u w:val="single"/>
        </w:rPr>
      </w:pPr>
    </w:p>
    <w:p w:rsidR="00000C5F" w:rsidRDefault="001C1DE1">
      <w:pPr>
        <w:rPr>
          <w:i/>
        </w:rPr>
      </w:pPr>
      <w:r w:rsidRPr="009448FC">
        <w:rPr>
          <w:i/>
        </w:rPr>
        <w:t xml:space="preserve">.11 editor: </w:t>
      </w:r>
      <w:r>
        <w:rPr>
          <w:i/>
        </w:rPr>
        <w:t>in this subclause, replace all occurrences of “</w:t>
      </w:r>
      <w:r w:rsidR="009D537D" w:rsidRPr="009D537D">
        <w:t>IBSS</w:t>
      </w:r>
      <w:r>
        <w:rPr>
          <w:i/>
        </w:rPr>
        <w:t>” with “</w:t>
      </w:r>
      <w:r w:rsidR="009D537D" w:rsidRPr="009D537D">
        <w:t>IBSS</w:t>
      </w:r>
      <w:r w:rsidR="009D537D" w:rsidRPr="009D537D">
        <w:rPr>
          <w:u w:val="single"/>
        </w:rPr>
        <w:t>/PBSS</w:t>
      </w:r>
      <w:r>
        <w:rPr>
          <w:i/>
        </w:rPr>
        <w:t>”</w:t>
      </w:r>
    </w:p>
    <w:p w:rsidR="00000C5F" w:rsidRDefault="00000C5F">
      <w:pPr>
        <w:suppressAutoHyphens/>
        <w:autoSpaceDE w:val="0"/>
        <w:jc w:val="both"/>
        <w:rPr>
          <w:rFonts w:eastAsia="Arial Unicode MS"/>
          <w:u w:val="single"/>
        </w:rPr>
      </w:pPr>
    </w:p>
    <w:p w:rsidR="001C1DE1" w:rsidRPr="009448FC" w:rsidRDefault="001C1DE1" w:rsidP="003701DB">
      <w:pPr>
        <w:pStyle w:val="Heading3"/>
        <w:numPr>
          <w:ilvl w:val="2"/>
          <w:numId w:val="143"/>
        </w:numPr>
        <w:rPr>
          <w:rFonts w:eastAsia="Arial Unicode MS"/>
        </w:rPr>
      </w:pPr>
      <w:bookmarkStart w:id="1042" w:name="_Toc259717038"/>
      <w:r>
        <w:rPr>
          <w:rFonts w:eastAsia="Arial Unicode MS"/>
        </w:rPr>
        <w:t>RSNA selection</w:t>
      </w:r>
      <w:bookmarkEnd w:id="1042"/>
    </w:p>
    <w:p w:rsidR="00000C5F" w:rsidRDefault="00000C5F">
      <w:pPr>
        <w:suppressAutoHyphens/>
        <w:autoSpaceDE w:val="0"/>
        <w:ind w:left="720"/>
        <w:jc w:val="both"/>
        <w:rPr>
          <w:rFonts w:eastAsia="Arial Unicode MS"/>
          <w:u w:val="single"/>
        </w:rPr>
      </w:pPr>
    </w:p>
    <w:p w:rsidR="001C1DE1" w:rsidRPr="001C1DE1" w:rsidRDefault="001C1DE1" w:rsidP="001C1DE1">
      <w:pPr>
        <w:rPr>
          <w:i/>
        </w:rPr>
      </w:pPr>
      <w:r w:rsidRPr="009448FC">
        <w:rPr>
          <w:i/>
        </w:rPr>
        <w:t xml:space="preserve">.11 editor: </w:t>
      </w:r>
      <w:r>
        <w:rPr>
          <w:i/>
        </w:rPr>
        <w:t>change the first three paragraphs of this subclause as follows</w:t>
      </w:r>
    </w:p>
    <w:p w:rsidR="00000C5F" w:rsidRDefault="00000C5F">
      <w:pPr>
        <w:suppressAutoHyphens/>
        <w:autoSpaceDE w:val="0"/>
        <w:jc w:val="both"/>
        <w:rPr>
          <w:rFonts w:eastAsia="Arial Unicode MS"/>
          <w:u w:val="single"/>
        </w:rPr>
      </w:pPr>
    </w:p>
    <w:p w:rsidR="001C1DE1" w:rsidRPr="001C1DE1" w:rsidRDefault="009D537D" w:rsidP="001C1DE1">
      <w:pPr>
        <w:autoSpaceDE w:val="0"/>
        <w:autoSpaceDN w:val="0"/>
        <w:adjustRightInd w:val="0"/>
        <w:jc w:val="both"/>
        <w:rPr>
          <w:rFonts w:eastAsia="SimSun"/>
          <w:szCs w:val="23"/>
          <w:lang w:eastAsia="zh-CN" w:bidi="ar-SA"/>
        </w:rPr>
      </w:pPr>
      <w:r w:rsidRPr="009D537D">
        <w:rPr>
          <w:rFonts w:eastAsia="SimSun"/>
          <w:szCs w:val="23"/>
          <w:lang w:eastAsia="zh-CN" w:bidi="ar-SA"/>
        </w:rPr>
        <w:t>A STA prepared to establish RSNAs shall advertise its capabilities by including the RSN element in Beacon</w:t>
      </w:r>
      <w:r w:rsidRPr="009D537D">
        <w:rPr>
          <w:rFonts w:eastAsia="SimSun"/>
          <w:szCs w:val="23"/>
          <w:u w:val="single"/>
          <w:lang w:eastAsia="zh-CN" w:bidi="ar-SA"/>
        </w:rPr>
        <w:t xml:space="preserve">, </w:t>
      </w:r>
      <w:r w:rsidR="001C1DE1">
        <w:rPr>
          <w:rFonts w:eastAsia="SimSun"/>
          <w:szCs w:val="23"/>
          <w:u w:val="single"/>
          <w:lang w:eastAsia="zh-CN" w:bidi="ar-SA"/>
        </w:rPr>
        <w:t>Information</w:t>
      </w:r>
      <w:r w:rsidRPr="009D537D">
        <w:rPr>
          <w:rFonts w:eastAsia="SimSun"/>
          <w:szCs w:val="23"/>
          <w:u w:val="single"/>
          <w:lang w:eastAsia="zh-CN" w:bidi="ar-SA"/>
        </w:rPr>
        <w:t xml:space="preserve"> Response,</w:t>
      </w:r>
      <w:r w:rsidRPr="009D537D">
        <w:rPr>
          <w:rFonts w:eastAsia="SimSun"/>
          <w:szCs w:val="23"/>
          <w:lang w:eastAsia="zh-CN" w:bidi="ar-SA"/>
        </w:rPr>
        <w:t xml:space="preserve"> and </w:t>
      </w:r>
      <w:r w:rsidR="001C1DE1">
        <w:rPr>
          <w:rFonts w:eastAsia="SimSun"/>
          <w:szCs w:val="23"/>
          <w:lang w:eastAsia="zh-CN" w:bidi="ar-SA"/>
        </w:rPr>
        <w:t>Probe</w:t>
      </w:r>
      <w:r w:rsidRPr="009D537D">
        <w:rPr>
          <w:rFonts w:eastAsia="SimSun"/>
          <w:szCs w:val="23"/>
          <w:lang w:eastAsia="zh-CN" w:bidi="ar-SA"/>
        </w:rPr>
        <w:t xml:space="preserve"> Response messages </w:t>
      </w:r>
      <w:r w:rsidRPr="009D537D">
        <w:rPr>
          <w:rFonts w:eastAsia="SimSun"/>
          <w:szCs w:val="23"/>
          <w:u w:val="single"/>
          <w:lang w:eastAsia="zh-CN" w:bidi="ar-SA"/>
        </w:rPr>
        <w:t>and may also include the RSN element in mmWave Beacon and Announce messages</w:t>
      </w:r>
      <w:r w:rsidRPr="009D537D">
        <w:rPr>
          <w:rFonts w:eastAsia="SimSun"/>
          <w:szCs w:val="23"/>
          <w:lang w:eastAsia="zh-CN" w:bidi="ar-SA"/>
        </w:rPr>
        <w:t>. The included RSN element shall specify all the authentication and cipher suites enabled by the STA’s policy. A STA shall not advertise any authentication or cipher suite that is not enabled.</w:t>
      </w:r>
    </w:p>
    <w:p w:rsidR="001C1DE1" w:rsidRPr="001C1DE1" w:rsidRDefault="001C1DE1" w:rsidP="001C1DE1">
      <w:pPr>
        <w:autoSpaceDE w:val="0"/>
        <w:autoSpaceDN w:val="0"/>
        <w:adjustRightInd w:val="0"/>
        <w:jc w:val="both"/>
        <w:rPr>
          <w:rFonts w:eastAsia="SimSun"/>
          <w:szCs w:val="23"/>
          <w:lang w:eastAsia="zh-CN" w:bidi="ar-SA"/>
        </w:rPr>
      </w:pPr>
    </w:p>
    <w:p w:rsidR="001C1DE1" w:rsidRPr="001C1DE1" w:rsidRDefault="009D537D" w:rsidP="001C1DE1">
      <w:pPr>
        <w:autoSpaceDE w:val="0"/>
        <w:autoSpaceDN w:val="0"/>
        <w:adjustRightInd w:val="0"/>
        <w:jc w:val="both"/>
        <w:rPr>
          <w:rFonts w:eastAsia="SimSun"/>
          <w:szCs w:val="23"/>
          <w:lang w:eastAsia="zh-CN" w:bidi="ar-SA"/>
        </w:rPr>
      </w:pPr>
      <w:r w:rsidRPr="009D537D">
        <w:rPr>
          <w:rFonts w:eastAsia="SimSun"/>
          <w:szCs w:val="23"/>
          <w:lang w:eastAsia="zh-CN" w:bidi="ar-SA"/>
        </w:rPr>
        <w:t>The STA’s IEEE 802.11 management entity shall utilize the MLME-SCAN.request primitive to identify neighboring STAs that assert robust security and advertise an SSID identifying an authorized ESS</w:t>
      </w:r>
      <w:r w:rsidRPr="009D537D">
        <w:rPr>
          <w:rFonts w:eastAsia="SimSun"/>
          <w:szCs w:val="23"/>
          <w:u w:val="single"/>
          <w:lang w:eastAsia="zh-CN" w:bidi="ar-SA"/>
        </w:rPr>
        <w:t>, PBSS</w:t>
      </w:r>
      <w:r w:rsidRPr="009D537D">
        <w:rPr>
          <w:rFonts w:eastAsia="SimSun"/>
          <w:szCs w:val="23"/>
          <w:lang w:eastAsia="zh-CN" w:bidi="ar-SA"/>
        </w:rPr>
        <w:t xml:space="preserve"> or IBSS. A STA may decline to communicate with STAs that fail to advertise an RSN element in their Beacon</w:t>
      </w:r>
      <w:r w:rsidRPr="009D537D">
        <w:rPr>
          <w:rFonts w:eastAsia="SimSun"/>
          <w:szCs w:val="23"/>
          <w:u w:val="single"/>
          <w:lang w:eastAsia="zh-CN" w:bidi="ar-SA"/>
        </w:rPr>
        <w:t>, Information Response,</w:t>
      </w:r>
      <w:r w:rsidRPr="009D537D">
        <w:rPr>
          <w:rFonts w:eastAsia="SimSun"/>
          <w:szCs w:val="23"/>
          <w:lang w:eastAsia="zh-CN" w:bidi="ar-SA"/>
        </w:rPr>
        <w:t xml:space="preserve"> and </w:t>
      </w:r>
      <w:r w:rsidR="00166456">
        <w:rPr>
          <w:rFonts w:eastAsia="SimSun"/>
          <w:szCs w:val="23"/>
          <w:lang w:eastAsia="zh-CN" w:bidi="ar-SA"/>
        </w:rPr>
        <w:t>Probe</w:t>
      </w:r>
      <w:r w:rsidRPr="009D537D">
        <w:rPr>
          <w:rFonts w:eastAsia="SimSun"/>
          <w:szCs w:val="23"/>
          <w:lang w:eastAsia="zh-CN" w:bidi="ar-SA"/>
        </w:rPr>
        <w:t xml:space="preserve"> Response frames or that do not advertise an authorized SSID. A STA may also decline to communicate with other STAs that do not advertise authorized authentication and cipher suites within their RSN elements.</w:t>
      </w:r>
    </w:p>
    <w:p w:rsidR="001C1DE1" w:rsidRPr="001C1DE1" w:rsidRDefault="001C1DE1" w:rsidP="001C1DE1">
      <w:pPr>
        <w:autoSpaceDE w:val="0"/>
        <w:autoSpaceDN w:val="0"/>
        <w:adjustRightInd w:val="0"/>
        <w:jc w:val="both"/>
        <w:rPr>
          <w:rFonts w:eastAsia="SimSun"/>
          <w:szCs w:val="23"/>
          <w:lang w:eastAsia="zh-CN" w:bidi="ar-SA"/>
        </w:rPr>
      </w:pPr>
    </w:p>
    <w:p w:rsidR="00000C5F" w:rsidRDefault="009D537D">
      <w:pPr>
        <w:suppressAutoHyphens/>
        <w:autoSpaceDE w:val="0"/>
        <w:jc w:val="both"/>
        <w:rPr>
          <w:rFonts w:eastAsia="Arial Unicode MS"/>
          <w:sz w:val="28"/>
          <w:u w:val="single"/>
        </w:rPr>
      </w:pPr>
      <w:r w:rsidRPr="009D537D">
        <w:rPr>
          <w:rFonts w:eastAsia="SimSun"/>
          <w:szCs w:val="23"/>
          <w:lang w:eastAsia="zh-CN" w:bidi="ar-SA"/>
        </w:rPr>
        <w:t xml:space="preserve">A STA shall advertise the same RSN element in </w:t>
      </w:r>
      <w:r w:rsidRPr="009D537D">
        <w:rPr>
          <w:rFonts w:eastAsia="SimSun"/>
          <w:strike/>
          <w:szCs w:val="23"/>
          <w:lang w:eastAsia="zh-CN" w:bidi="ar-SA"/>
        </w:rPr>
        <w:t>both</w:t>
      </w:r>
      <w:r w:rsidR="00E83823">
        <w:rPr>
          <w:rFonts w:eastAsia="SimSun"/>
          <w:szCs w:val="23"/>
          <w:lang w:eastAsia="zh-CN" w:bidi="ar-SA"/>
        </w:rPr>
        <w:t xml:space="preserve"> </w:t>
      </w:r>
      <w:r w:rsidRPr="009D537D">
        <w:rPr>
          <w:rFonts w:eastAsia="SimSun"/>
          <w:szCs w:val="23"/>
          <w:lang w:eastAsia="zh-CN" w:bidi="ar-SA"/>
        </w:rPr>
        <w:t>its Beacon</w:t>
      </w:r>
      <w:r w:rsidRPr="009D537D">
        <w:rPr>
          <w:rFonts w:eastAsia="SimSun"/>
          <w:szCs w:val="23"/>
          <w:u w:val="single"/>
          <w:lang w:eastAsia="zh-CN" w:bidi="ar-SA"/>
        </w:rPr>
        <w:t>, mmWave Beacon, Announce, Information Response,</w:t>
      </w:r>
      <w:r w:rsidRPr="009D537D">
        <w:rPr>
          <w:rFonts w:eastAsia="SimSun"/>
          <w:szCs w:val="23"/>
          <w:lang w:eastAsia="zh-CN" w:bidi="ar-SA"/>
        </w:rPr>
        <w:t xml:space="preserve"> and </w:t>
      </w:r>
      <w:r w:rsidR="00E83823">
        <w:rPr>
          <w:rFonts w:eastAsia="SimSun"/>
          <w:szCs w:val="23"/>
          <w:lang w:eastAsia="zh-CN" w:bidi="ar-SA"/>
        </w:rPr>
        <w:t>Probe</w:t>
      </w:r>
      <w:r w:rsidRPr="009D537D">
        <w:rPr>
          <w:rFonts w:eastAsia="SimSun"/>
          <w:szCs w:val="23"/>
          <w:lang w:eastAsia="zh-CN" w:bidi="ar-SA"/>
        </w:rPr>
        <w:t xml:space="preserve"> Response frames.</w:t>
      </w:r>
    </w:p>
    <w:p w:rsidR="00000C5F" w:rsidRDefault="00000C5F">
      <w:pPr>
        <w:suppressAutoHyphens/>
        <w:autoSpaceDE w:val="0"/>
        <w:jc w:val="both"/>
        <w:rPr>
          <w:rFonts w:eastAsia="Arial Unicode MS"/>
          <w:u w:val="single"/>
        </w:rPr>
      </w:pPr>
    </w:p>
    <w:p w:rsidR="00E83823" w:rsidRPr="009448FC" w:rsidRDefault="00E83823" w:rsidP="00E83823">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E83823" w:rsidRPr="009448FC" w:rsidRDefault="00E83823" w:rsidP="003701DB">
      <w:pPr>
        <w:pStyle w:val="Heading3"/>
        <w:numPr>
          <w:ilvl w:val="2"/>
          <w:numId w:val="143"/>
        </w:numPr>
        <w:rPr>
          <w:rFonts w:eastAsia="Arial Unicode MS"/>
        </w:rPr>
      </w:pPr>
      <w:bookmarkStart w:id="1043" w:name="_Toc259717039"/>
      <w:r>
        <w:rPr>
          <w:rFonts w:eastAsia="Arial Unicode MS"/>
        </w:rPr>
        <w:t>RSNA policy selection in an ESS</w:t>
      </w:r>
      <w:r w:rsidR="009D537D" w:rsidRPr="009D537D">
        <w:rPr>
          <w:rFonts w:eastAsia="Arial Unicode MS"/>
          <w:u w:val="single"/>
        </w:rPr>
        <w:t>/PBSS</w:t>
      </w:r>
      <w:bookmarkEnd w:id="1043"/>
    </w:p>
    <w:p w:rsidR="00000C5F" w:rsidRDefault="00000C5F">
      <w:pPr>
        <w:suppressAutoHyphens/>
        <w:autoSpaceDE w:val="0"/>
        <w:ind w:left="720"/>
        <w:jc w:val="both"/>
        <w:rPr>
          <w:rFonts w:eastAsia="Arial Unicode MS"/>
          <w:u w:val="single"/>
        </w:rPr>
      </w:pPr>
    </w:p>
    <w:p w:rsidR="00E83823" w:rsidRPr="009448FC" w:rsidRDefault="00E83823" w:rsidP="00E83823">
      <w:pPr>
        <w:rPr>
          <w:i/>
        </w:rPr>
      </w:pPr>
      <w:r w:rsidRPr="009448FC">
        <w:rPr>
          <w:i/>
        </w:rPr>
        <w:t xml:space="preserve">.11 editor: </w:t>
      </w:r>
      <w:r>
        <w:rPr>
          <w:i/>
        </w:rPr>
        <w:t>change the paragraphs indicated below</w:t>
      </w:r>
    </w:p>
    <w:p w:rsidR="00000C5F" w:rsidRDefault="00000C5F">
      <w:pPr>
        <w:suppressAutoHyphens/>
        <w:autoSpaceDE w:val="0"/>
        <w:jc w:val="both"/>
        <w:rPr>
          <w:rFonts w:eastAsia="Arial Unicode MS"/>
          <w:u w:val="single"/>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 xml:space="preserve">RSNA policy selection in an ESS utilizes the normal IEEE 802.11 association procedure. </w:t>
      </w:r>
      <w:r w:rsidRPr="009D537D">
        <w:rPr>
          <w:rFonts w:eastAsia="SimSun"/>
          <w:u w:val="single"/>
          <w:lang w:eastAsia="zh-CN" w:bidi="ar-SA"/>
        </w:rPr>
        <w:t xml:space="preserve">RSNA policy selection in a </w:t>
      </w:r>
      <w:r w:rsidR="00606722">
        <w:rPr>
          <w:rFonts w:eastAsia="SimSun"/>
          <w:u w:val="single"/>
          <w:lang w:eastAsia="zh-CN" w:bidi="ar-SA"/>
        </w:rPr>
        <w:t xml:space="preserve">mmWave </w:t>
      </w:r>
      <w:r w:rsidRPr="009D537D">
        <w:rPr>
          <w:rFonts w:eastAsia="SimSun"/>
          <w:u w:val="single"/>
          <w:lang w:eastAsia="zh-CN" w:bidi="ar-SA"/>
        </w:rPr>
        <w:t xml:space="preserve">BSS utilizes the </w:t>
      </w:r>
      <w:r w:rsidRPr="009D537D">
        <w:rPr>
          <w:bCs/>
          <w:iCs/>
          <w:u w:val="single"/>
        </w:rPr>
        <w:t>mmWave BSS association procedure (</w:t>
      </w:r>
      <w:r w:rsidR="00BD151C">
        <w:rPr>
          <w:bCs/>
          <w:iCs/>
          <w:u w:val="single"/>
        </w:rPr>
        <w:fldChar w:fldCharType="begin"/>
      </w:r>
      <w:r w:rsidR="00606722">
        <w:rPr>
          <w:bCs/>
          <w:iCs/>
          <w:u w:val="single"/>
        </w:rPr>
        <w:instrText xml:space="preserve"> REF _Ref256320595 \r \h </w:instrText>
      </w:r>
      <w:r w:rsidR="00BD151C">
        <w:rPr>
          <w:bCs/>
          <w:iCs/>
          <w:u w:val="single"/>
        </w:rPr>
      </w:r>
      <w:r w:rsidR="00BD151C">
        <w:rPr>
          <w:bCs/>
          <w:iCs/>
          <w:u w:val="single"/>
        </w:rPr>
        <w:fldChar w:fldCharType="separate"/>
      </w:r>
      <w:r w:rsidR="003E4210">
        <w:rPr>
          <w:bCs/>
          <w:iCs/>
          <w:u w:val="single"/>
        </w:rPr>
        <w:t>11.3.3</w:t>
      </w:r>
      <w:r w:rsidR="00BD151C">
        <w:rPr>
          <w:bCs/>
          <w:iCs/>
          <w:u w:val="single"/>
        </w:rPr>
        <w:fldChar w:fldCharType="end"/>
      </w:r>
      <w:r w:rsidRPr="009D537D">
        <w:rPr>
          <w:bCs/>
          <w:iCs/>
          <w:u w:val="single"/>
        </w:rPr>
        <w:t>) if the initiating STA chooses to associate.</w:t>
      </w:r>
      <w:r w:rsidRPr="009D537D">
        <w:rPr>
          <w:bCs/>
          <w:iCs/>
        </w:rPr>
        <w:t xml:space="preserve"> </w:t>
      </w:r>
      <w:r w:rsidRPr="009D537D">
        <w:rPr>
          <w:rFonts w:eastAsia="SimSun"/>
          <w:lang w:eastAsia="zh-CN" w:bidi="ar-SA"/>
        </w:rPr>
        <w:t>RSNA policy selection is performed by the associating STA. The STA does this by including an RSN element in its (Re)Association Requests.</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In an RSN, an AP</w:t>
      </w:r>
      <w:r w:rsidRPr="009D537D">
        <w:rPr>
          <w:rFonts w:eastAsia="SimSun"/>
          <w:u w:val="single"/>
          <w:lang w:eastAsia="zh-CN" w:bidi="ar-SA"/>
        </w:rPr>
        <w:t>/PCP</w:t>
      </w:r>
      <w:r w:rsidRPr="009D537D">
        <w:rPr>
          <w:rFonts w:eastAsia="SimSun"/>
          <w:lang w:eastAsia="zh-CN" w:bidi="ar-SA"/>
        </w:rPr>
        <w:t xml:space="preserve"> shall not associate with pre-RSNA STAs, i.e., with STAs that fail to include the RSN element in the Association or Reassociation Request frame.</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The STA’s SME initiating an association shall insert an RSN element into its (Re)Association Request; via the MLME-ASSOCIATE.request primitive, when the targeted AP</w:t>
      </w:r>
      <w:r w:rsidRPr="009D537D">
        <w:rPr>
          <w:rFonts w:eastAsia="SimSun"/>
          <w:u w:val="single"/>
          <w:lang w:eastAsia="zh-CN" w:bidi="ar-SA"/>
        </w:rPr>
        <w:t>/PCP</w:t>
      </w:r>
      <w:r w:rsidRPr="009D537D">
        <w:rPr>
          <w:rFonts w:eastAsia="SimSun"/>
          <w:lang w:eastAsia="zh-CN" w:bidi="ar-SA"/>
        </w:rPr>
        <w:t xml:space="preserve"> indicates RSNA support. The initiating STA’s RSN element shall include one authentication and pairwise cipher suite from among those advertised by the targeted AP</w:t>
      </w:r>
      <w:r w:rsidRPr="009D537D">
        <w:rPr>
          <w:rFonts w:eastAsia="SimSun"/>
          <w:u w:val="single"/>
          <w:lang w:eastAsia="zh-CN" w:bidi="ar-SA"/>
        </w:rPr>
        <w:t>/PCP</w:t>
      </w:r>
      <w:r w:rsidRPr="009D537D">
        <w:rPr>
          <w:rFonts w:eastAsia="SimSun"/>
          <w:lang w:eastAsia="zh-CN" w:bidi="ar-SA"/>
        </w:rPr>
        <w:t xml:space="preserve"> in its Beacon</w:t>
      </w:r>
      <w:r w:rsidRPr="009D537D">
        <w:rPr>
          <w:rFonts w:eastAsia="SimSun"/>
          <w:u w:val="single"/>
          <w:lang w:eastAsia="zh-CN" w:bidi="ar-SA"/>
        </w:rPr>
        <w:t xml:space="preserve">, mmWave Beacon, Annonce, </w:t>
      </w:r>
      <w:r w:rsidR="00606722">
        <w:rPr>
          <w:rFonts w:eastAsia="SimSun"/>
          <w:u w:val="single"/>
          <w:lang w:eastAsia="zh-CN" w:bidi="ar-SA"/>
        </w:rPr>
        <w:t>Information</w:t>
      </w:r>
      <w:r w:rsidRPr="009D537D">
        <w:rPr>
          <w:rFonts w:eastAsia="SimSun"/>
          <w:u w:val="single"/>
          <w:lang w:eastAsia="zh-CN" w:bidi="ar-SA"/>
        </w:rPr>
        <w:t xml:space="preserve"> Response,</w:t>
      </w:r>
      <w:r w:rsidRPr="009D537D">
        <w:rPr>
          <w:rFonts w:eastAsia="SimSun"/>
          <w:lang w:eastAsia="zh-CN" w:bidi="ar-SA"/>
        </w:rPr>
        <w:t xml:space="preserve"> and </w:t>
      </w:r>
      <w:r w:rsidR="00606722">
        <w:rPr>
          <w:rFonts w:eastAsia="SimSun"/>
          <w:lang w:eastAsia="zh-CN" w:bidi="ar-SA"/>
        </w:rPr>
        <w:t>Probe</w:t>
      </w:r>
      <w:r w:rsidRPr="009D537D">
        <w:rPr>
          <w:rFonts w:eastAsia="SimSun"/>
          <w:lang w:eastAsia="zh-CN" w:bidi="ar-SA"/>
        </w:rPr>
        <w:t xml:space="preserve"> Response frames. It shall also specify the group cipher suite specified by the targeted AP</w:t>
      </w:r>
      <w:r w:rsidRPr="009D537D">
        <w:rPr>
          <w:rFonts w:eastAsia="SimSun"/>
          <w:u w:val="single"/>
          <w:lang w:eastAsia="zh-CN" w:bidi="ar-SA"/>
        </w:rPr>
        <w:t>/PCP</w:t>
      </w:r>
      <w:r w:rsidRPr="009D537D">
        <w:rPr>
          <w:rFonts w:eastAsia="SimSun"/>
          <w:lang w:eastAsia="zh-CN" w:bidi="ar-SA"/>
        </w:rPr>
        <w:t>. If at least one RSN element field from the AP</w:t>
      </w:r>
      <w:r w:rsidR="00606722">
        <w:rPr>
          <w:rFonts w:eastAsia="SimSun"/>
          <w:lang w:eastAsia="zh-CN" w:bidi="ar-SA"/>
        </w:rPr>
        <w:t>’s</w:t>
      </w:r>
      <w:r w:rsidRPr="009D537D">
        <w:rPr>
          <w:rFonts w:eastAsia="SimSun"/>
          <w:u w:val="single"/>
          <w:lang w:eastAsia="zh-CN" w:bidi="ar-SA"/>
        </w:rPr>
        <w:t>/PCP’s</w:t>
      </w:r>
      <w:r w:rsidRPr="009D537D">
        <w:rPr>
          <w:rFonts w:eastAsia="SimSun"/>
          <w:lang w:eastAsia="zh-CN" w:bidi="ar-SA"/>
        </w:rPr>
        <w:t xml:space="preserve"> RSN element fails to overlap with any value the STA supports, the STA shall decline to associate with that AP</w:t>
      </w:r>
      <w:r w:rsidRPr="009D537D">
        <w:rPr>
          <w:rFonts w:eastAsia="SimSun"/>
          <w:u w:val="single"/>
          <w:lang w:eastAsia="zh-CN" w:bidi="ar-SA"/>
        </w:rPr>
        <w:t>/PCP</w:t>
      </w:r>
      <w:r w:rsidRPr="009D537D">
        <w:rPr>
          <w:rFonts w:eastAsia="SimSun"/>
          <w:lang w:eastAsia="zh-CN" w:bidi="ar-SA"/>
        </w:rPr>
        <w:t>.</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If an RSNA-capable AP</w:t>
      </w:r>
      <w:r w:rsidRPr="009D537D">
        <w:rPr>
          <w:rFonts w:eastAsia="SimSun"/>
          <w:u w:val="single"/>
          <w:lang w:eastAsia="zh-CN" w:bidi="ar-SA"/>
        </w:rPr>
        <w:t>/PCP</w:t>
      </w:r>
      <w:r w:rsidRPr="009D537D">
        <w:rPr>
          <w:rFonts w:eastAsia="SimSun"/>
          <w:lang w:eastAsia="zh-CN" w:bidi="ar-SA"/>
        </w:rPr>
        <w:t xml:space="preserve"> receives a (Re)Association Request including an RSN element and if it chooses to accept the association as a secure association, then it shall use the authentication and pairwise cipher suites in the (Re)Association Request, unless the AP</w:t>
      </w:r>
      <w:r w:rsidRPr="009D537D">
        <w:rPr>
          <w:rFonts w:eastAsia="SimSun"/>
          <w:u w:val="single"/>
          <w:lang w:eastAsia="zh-CN" w:bidi="ar-SA"/>
        </w:rPr>
        <w:t>/PCP</w:t>
      </w:r>
      <w:r w:rsidRPr="009D537D">
        <w:rPr>
          <w:rFonts w:eastAsia="SimSun"/>
          <w:lang w:eastAsia="zh-CN" w:bidi="ar-SA"/>
        </w:rPr>
        <w:t xml:space="preserve"> includes an optional second RSN element in Message 3 of the 4-Way Handshake. If the second RSN element is supplied in Message 3, then the pairwise cipher suite used by the security association, if established, shall be the pairwise cipher from the second RSN element.</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In order to accommodate local security policy, a STA may choose not to associate with an AP</w:t>
      </w:r>
      <w:r w:rsidRPr="009D537D">
        <w:rPr>
          <w:rFonts w:eastAsia="SimSun"/>
          <w:u w:val="single"/>
          <w:lang w:eastAsia="zh-CN" w:bidi="ar-SA"/>
        </w:rPr>
        <w:t>/PCP</w:t>
      </w:r>
      <w:r w:rsidRPr="009D537D">
        <w:rPr>
          <w:rFonts w:eastAsia="SimSun"/>
          <w:lang w:eastAsia="zh-CN" w:bidi="ar-SA"/>
        </w:rPr>
        <w:t xml:space="preserve"> that does not support any pairwise cipher suites. An AP</w:t>
      </w:r>
      <w:r w:rsidRPr="009D537D">
        <w:rPr>
          <w:rFonts w:eastAsia="SimSun"/>
          <w:u w:val="single"/>
          <w:lang w:eastAsia="zh-CN" w:bidi="ar-SA"/>
        </w:rPr>
        <w:t>/PCP</w:t>
      </w:r>
      <w:r w:rsidRPr="009D537D">
        <w:rPr>
          <w:rFonts w:eastAsia="SimSun"/>
          <w:lang w:eastAsia="zh-CN" w:bidi="ar-SA"/>
        </w:rPr>
        <w:t xml:space="preserve"> indicates that it does not support any pairwise keys by advertising “Use group key” as the pairwise cipher suite selector.</w:t>
      </w:r>
    </w:p>
    <w:p w:rsidR="00E83823" w:rsidRPr="00E83823" w:rsidRDefault="00E83823" w:rsidP="00E83823">
      <w:pPr>
        <w:autoSpaceDE w:val="0"/>
        <w:autoSpaceDN w:val="0"/>
        <w:adjustRightInd w:val="0"/>
        <w:jc w:val="both"/>
        <w:rPr>
          <w:rFonts w:eastAsia="SimSun"/>
          <w:lang w:eastAsia="zh-CN" w:bidi="ar-SA"/>
        </w:rPr>
      </w:pPr>
    </w:p>
    <w:p w:rsidR="00E83823" w:rsidRPr="00E470B2" w:rsidRDefault="009D537D" w:rsidP="00E83823">
      <w:pPr>
        <w:autoSpaceDE w:val="0"/>
        <w:autoSpaceDN w:val="0"/>
        <w:adjustRightInd w:val="0"/>
        <w:jc w:val="both"/>
        <w:rPr>
          <w:rFonts w:eastAsia="SimSun"/>
          <w:sz w:val="20"/>
          <w:lang w:eastAsia="zh-CN" w:bidi="ar-SA"/>
        </w:rPr>
      </w:pPr>
      <w:r w:rsidRPr="009D537D">
        <w:rPr>
          <w:rFonts w:eastAsia="SimSun"/>
          <w:sz w:val="20"/>
          <w:lang w:eastAsia="zh-CN" w:bidi="ar-SA"/>
        </w:rPr>
        <w:t>NOTE—When an ESS</w:t>
      </w:r>
      <w:r w:rsidRPr="009D537D">
        <w:rPr>
          <w:rFonts w:eastAsia="SimSun"/>
          <w:sz w:val="20"/>
          <w:u w:val="single"/>
          <w:lang w:eastAsia="zh-CN" w:bidi="ar-SA"/>
        </w:rPr>
        <w:t>/PBSS</w:t>
      </w:r>
      <w:r w:rsidRPr="009D537D">
        <w:rPr>
          <w:rFonts w:eastAsia="SimSun"/>
          <w:sz w:val="20"/>
          <w:lang w:eastAsia="zh-CN" w:bidi="ar-SA"/>
        </w:rPr>
        <w:t xml:space="preserve"> uses PSKs, STAs negotiate a pairwise cipher. However, any STA in the ESS/PBSS can derive the pairwise keys of any other that uses the same PSK by capturing the first two messages of the 4-Way Handshake. This provides malicious insiders with the ability to eavesdrop as well as the ability to establish a man-in-the-middle attack.</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An RSNA-enabled AP</w:t>
      </w:r>
      <w:r w:rsidRPr="009D537D">
        <w:rPr>
          <w:rFonts w:eastAsia="SimSun"/>
          <w:u w:val="single"/>
          <w:lang w:eastAsia="zh-CN" w:bidi="ar-SA"/>
        </w:rPr>
        <w:t>/PCP</w:t>
      </w:r>
      <w:r w:rsidRPr="009D537D">
        <w:rPr>
          <w:rFonts w:eastAsia="SimSun"/>
          <w:lang w:eastAsia="zh-CN" w:bidi="ar-SA"/>
        </w:rPr>
        <w:t xml:space="preserve"> shall use Table 8-1a (Robust Management frame selection in an ESS</w:t>
      </w:r>
      <w:r w:rsidRPr="009D537D">
        <w:rPr>
          <w:rFonts w:eastAsia="SimSun"/>
          <w:u w:val="single"/>
          <w:lang w:eastAsia="zh-CN" w:bidi="ar-SA"/>
        </w:rPr>
        <w:t>/PBSS</w:t>
      </w:r>
      <w:r w:rsidRPr="009D537D">
        <w:rPr>
          <w:rFonts w:eastAsia="SimSun"/>
          <w:lang w:eastAsia="zh-CN" w:bidi="ar-SA"/>
        </w:rPr>
        <w:t>) and the Management Frame Protection Capable (MFPC) and Management Frame Protection Required (MFPR) advertised in the RSN IEs to determine if it may associate with a non-AP</w:t>
      </w:r>
      <w:r w:rsidRPr="009D537D">
        <w:rPr>
          <w:rFonts w:eastAsia="SimSun"/>
          <w:u w:val="single"/>
          <w:lang w:eastAsia="zh-CN" w:bidi="ar-SA"/>
        </w:rPr>
        <w:t>/non-PCP</w:t>
      </w:r>
      <w:r w:rsidRPr="009D537D">
        <w:rPr>
          <w:rFonts w:eastAsia="SimSun"/>
          <w:lang w:eastAsia="zh-CN" w:bidi="ar-SA"/>
        </w:rPr>
        <w:t xml:space="preserve"> STA. An RSNA enabled non-AP</w:t>
      </w:r>
      <w:r w:rsidRPr="009D537D">
        <w:rPr>
          <w:rFonts w:eastAsia="SimSun"/>
          <w:u w:val="single"/>
          <w:lang w:eastAsia="zh-CN" w:bidi="ar-SA"/>
        </w:rPr>
        <w:t>/non-PCP</w:t>
      </w:r>
      <w:r w:rsidRPr="009D537D">
        <w:rPr>
          <w:rFonts w:eastAsia="SimSun"/>
          <w:lang w:eastAsia="zh-CN" w:bidi="ar-SA"/>
        </w:rPr>
        <w:t xml:space="preserve"> STA shall use Table 8-1a (Robust Management frame selection in an ESS</w:t>
      </w:r>
      <w:r w:rsidRPr="009D537D">
        <w:rPr>
          <w:rFonts w:eastAsia="SimSun"/>
          <w:u w:val="single"/>
          <w:lang w:eastAsia="zh-CN" w:bidi="ar-SA"/>
        </w:rPr>
        <w:t>/PBSS</w:t>
      </w:r>
      <w:r w:rsidRPr="009D537D">
        <w:rPr>
          <w:rFonts w:eastAsia="SimSun"/>
          <w:lang w:eastAsia="zh-CN" w:bidi="ar-SA"/>
        </w:rPr>
        <w:t xml:space="preserve">) and the values of the Management Frame Protection Capable and Management Frame Protection Required bits advertised in the RSN IEs to determine if it </w:t>
      </w:r>
      <w:r w:rsidRPr="009D537D">
        <w:rPr>
          <w:rFonts w:eastAsia="SimSun"/>
          <w:lang w:eastAsia="zh-CN" w:bidi="ar-SA"/>
        </w:rPr>
        <w:lastRenderedPageBreak/>
        <w:t>may associate with an AP</w:t>
      </w:r>
      <w:r w:rsidRPr="009D537D">
        <w:rPr>
          <w:rFonts w:eastAsia="SimSun"/>
          <w:u w:val="single"/>
          <w:lang w:eastAsia="zh-CN" w:bidi="ar-SA"/>
        </w:rPr>
        <w:t>/PCP</w:t>
      </w:r>
      <w:r w:rsidRPr="009D537D">
        <w:rPr>
          <w:rFonts w:eastAsia="SimSun"/>
          <w:lang w:eastAsia="zh-CN" w:bidi="ar-SA"/>
        </w:rPr>
        <w:t>. Management Frame Protection is enabled when dot11RSNAProtectedManagementFramesActivated is set to 1. Management Frame Protection is negotiated when an AP</w:t>
      </w:r>
      <w:r w:rsidRPr="009D537D">
        <w:rPr>
          <w:rFonts w:eastAsia="SimSun"/>
          <w:u w:val="single"/>
          <w:lang w:eastAsia="zh-CN" w:bidi="ar-SA"/>
        </w:rPr>
        <w:t>/PCP</w:t>
      </w:r>
      <w:r w:rsidRPr="009D537D">
        <w:rPr>
          <w:rFonts w:eastAsia="SimSun"/>
          <w:lang w:eastAsia="zh-CN" w:bidi="ar-SA"/>
        </w:rPr>
        <w:t xml:space="preserve"> and non-AP</w:t>
      </w:r>
      <w:r w:rsidRPr="009D537D">
        <w:rPr>
          <w:rFonts w:eastAsia="SimSun"/>
          <w:u w:val="single"/>
          <w:lang w:eastAsia="zh-CN" w:bidi="ar-SA"/>
        </w:rPr>
        <w:t>/non-PCP</w:t>
      </w:r>
      <w:r w:rsidRPr="009D537D">
        <w:rPr>
          <w:rFonts w:eastAsia="SimSun"/>
          <w:lang w:eastAsia="zh-CN" w:bidi="ar-SA"/>
        </w:rPr>
        <w:t xml:space="preserve"> STA set the Management Frame Protection Capable field to 1 in their respective RSN IEs in the (re)association procedure, and both parties confirm the Management Frame Protection Capable bit set to 1 in the 4-Way Handshake, FT 4-Way Handshake, or the FT Fast BSS Transition protocol.</w:t>
      </w:r>
    </w:p>
    <w:p w:rsidR="00000C5F" w:rsidRDefault="00000C5F">
      <w:pPr>
        <w:suppressAutoHyphens/>
        <w:autoSpaceDE w:val="0"/>
        <w:jc w:val="both"/>
        <w:rPr>
          <w:rFonts w:eastAsia="Arial Unicode MS"/>
          <w:u w:val="single"/>
        </w:rPr>
      </w:pPr>
    </w:p>
    <w:p w:rsidR="00E470B2" w:rsidRPr="009448FC" w:rsidRDefault="00E470B2" w:rsidP="00E470B2">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E470B2" w:rsidRPr="009448FC" w:rsidRDefault="00E470B2" w:rsidP="003701DB">
      <w:pPr>
        <w:pStyle w:val="Heading3"/>
        <w:numPr>
          <w:ilvl w:val="2"/>
          <w:numId w:val="143"/>
        </w:numPr>
        <w:rPr>
          <w:rFonts w:eastAsia="Arial Unicode MS"/>
        </w:rPr>
      </w:pPr>
      <w:bookmarkStart w:id="1044" w:name="_Toc259717040"/>
      <w:r>
        <w:rPr>
          <w:rFonts w:eastAsia="Arial Unicode MS"/>
        </w:rPr>
        <w:t>RSNA policy selection in an IBSS</w:t>
      </w:r>
      <w:r w:rsidRPr="00E83823">
        <w:rPr>
          <w:rFonts w:eastAsia="Arial Unicode MS"/>
          <w:u w:val="single"/>
        </w:rPr>
        <w:t>/PBSS</w:t>
      </w:r>
      <w:bookmarkEnd w:id="1044"/>
    </w:p>
    <w:p w:rsidR="00000C5F" w:rsidRDefault="00000C5F">
      <w:pPr>
        <w:suppressAutoHyphens/>
        <w:autoSpaceDE w:val="0"/>
        <w:ind w:left="720"/>
        <w:jc w:val="both"/>
        <w:rPr>
          <w:rFonts w:eastAsia="Arial Unicode MS"/>
          <w:u w:val="single"/>
        </w:rPr>
      </w:pPr>
    </w:p>
    <w:p w:rsidR="00E470B2" w:rsidRPr="009448FC" w:rsidRDefault="00E470B2" w:rsidP="00E470B2">
      <w:pPr>
        <w:rPr>
          <w:i/>
        </w:rPr>
      </w:pPr>
      <w:r w:rsidRPr="009448FC">
        <w:rPr>
          <w:i/>
        </w:rPr>
        <w:t xml:space="preserve">.11 editor: </w:t>
      </w:r>
      <w:r>
        <w:rPr>
          <w:i/>
        </w:rPr>
        <w:t>change the paragraphs indicated below</w:t>
      </w:r>
    </w:p>
    <w:p w:rsidR="00000C5F" w:rsidRDefault="00000C5F">
      <w:pPr>
        <w:suppressAutoHyphens/>
        <w:autoSpaceDE w:val="0"/>
        <w:jc w:val="both"/>
        <w:rPr>
          <w:rFonts w:eastAsia="Arial Unicode MS"/>
          <w:u w:val="single"/>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In an IBSS</w:t>
      </w:r>
      <w:r w:rsidRPr="009D537D">
        <w:rPr>
          <w:rFonts w:eastAsia="SimSun"/>
          <w:u w:val="single"/>
          <w:lang w:eastAsia="zh-CN" w:bidi="ar-SA"/>
        </w:rPr>
        <w:t>/PBSS</w:t>
      </w:r>
      <w:r w:rsidRPr="009D537D">
        <w:rPr>
          <w:rFonts w:eastAsia="SimSun"/>
          <w:lang w:eastAsia="zh-CN" w:bidi="ar-SA"/>
        </w:rPr>
        <w:t>, all STAs must use a single group cipher suite, and all STAs must support a common subset of pairwise cipher suites. However, the SMEs of any pair of STAs may negotiate to use any common pairwise cipher suite they both support. Each STA shall include the group cipher suite and its list of pairwise cipher suites in its Beacon</w:t>
      </w:r>
      <w:r w:rsidRPr="009D537D">
        <w:rPr>
          <w:rFonts w:eastAsia="SimSun"/>
          <w:u w:val="single"/>
          <w:lang w:eastAsia="zh-CN" w:bidi="ar-SA"/>
        </w:rPr>
        <w:t>, Information Response,</w:t>
      </w:r>
      <w:r w:rsidRPr="009D537D">
        <w:rPr>
          <w:rFonts w:eastAsia="SimSun"/>
          <w:lang w:eastAsia="zh-CN" w:bidi="ar-SA"/>
        </w:rPr>
        <w:t xml:space="preserve"> and </w:t>
      </w:r>
      <w:r w:rsidR="00E470B2">
        <w:rPr>
          <w:rFonts w:eastAsia="SimSun"/>
          <w:lang w:eastAsia="zh-CN" w:bidi="ar-SA"/>
        </w:rPr>
        <w:t>Probe</w:t>
      </w:r>
      <w:r w:rsidRPr="009D537D">
        <w:rPr>
          <w:rFonts w:eastAsia="SimSun"/>
          <w:lang w:eastAsia="zh-CN" w:bidi="ar-SA"/>
        </w:rPr>
        <w:t xml:space="preserve"> Response messages</w:t>
      </w:r>
      <w:r w:rsidRPr="009D537D">
        <w:rPr>
          <w:rFonts w:eastAsia="SimSun"/>
          <w:u w:val="single"/>
          <w:lang w:eastAsia="zh-CN" w:bidi="ar-SA"/>
        </w:rPr>
        <w:t>, and may include the group cipher suite and its list of pairwise cipher suites in its mmWave Beacon and Announce messages</w:t>
      </w:r>
      <w:r w:rsidRPr="009D537D">
        <w:rPr>
          <w:rFonts w:eastAsia="SimSun"/>
          <w:lang w:eastAsia="zh-CN" w:bidi="ar-SA"/>
        </w:rPr>
        <w:t>. Two STAs shall not establish a PMKSA unless they have advertised the same group cipher suite. Similarly, the two STAs shall not establish a PMKSA if the STAs have advertised disjoint sets of pairwise cipher suites.</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In order to set up a security association with a peer STA, the SME of an IBSS</w:t>
      </w:r>
      <w:r w:rsidRPr="009D537D">
        <w:rPr>
          <w:rFonts w:eastAsia="SimSun"/>
          <w:u w:val="single"/>
          <w:lang w:eastAsia="zh-CN" w:bidi="ar-SA"/>
        </w:rPr>
        <w:t>/PBSS</w:t>
      </w:r>
      <w:r w:rsidRPr="009D537D">
        <w:rPr>
          <w:rFonts w:eastAsia="SimSun"/>
          <w:lang w:eastAsia="zh-CN" w:bidi="ar-SA"/>
        </w:rPr>
        <w:t xml:space="preserve"> STA that does not know the peer’s policy must first obtain the peer’s security policy using a Probe Request </w:t>
      </w:r>
      <w:r w:rsidRPr="009D537D">
        <w:rPr>
          <w:rFonts w:eastAsia="SimSun"/>
          <w:u w:val="single"/>
          <w:lang w:eastAsia="zh-CN" w:bidi="ar-SA"/>
        </w:rPr>
        <w:t>or Information Request</w:t>
      </w:r>
      <w:r w:rsidRPr="009D537D">
        <w:rPr>
          <w:rFonts w:eastAsia="SimSun"/>
          <w:lang w:eastAsia="zh-CN" w:bidi="ar-SA"/>
        </w:rPr>
        <w:t xml:space="preserve"> frame. </w:t>
      </w:r>
      <w:r w:rsidRPr="009D537D">
        <w:rPr>
          <w:rFonts w:eastAsia="SimSun"/>
          <w:u w:val="single"/>
          <w:lang w:eastAsia="zh-CN" w:bidi="ar-SA"/>
        </w:rPr>
        <w:t>In an IBSS, each STA’s SME initiates the 4-Way Handshake from the Authenticator to the peer STA’s Supplicant (see 8.4.7 (RSNA authentication in an IBSS/PBSS)). Two separate 4-Way Handshakes are conducted.</w:t>
      </w:r>
      <w:r w:rsidRPr="009D537D">
        <w:rPr>
          <w:rFonts w:eastAsia="SimSun"/>
          <w:lang w:eastAsia="zh-CN" w:bidi="ar-SA"/>
        </w:rPr>
        <w:t xml:space="preserve"> The SME entities of the two STAs select the pairwise cipher suites using one of the 4-Way Handshakes. </w:t>
      </w:r>
      <w:r w:rsidRPr="009D537D">
        <w:rPr>
          <w:rFonts w:eastAsia="SimSun"/>
          <w:u w:val="single"/>
          <w:lang w:eastAsia="zh-CN" w:bidi="ar-SA"/>
        </w:rPr>
        <w:t>In a PBSS, one 4-Way Handshake is conducted from the initiating STA to the peer STA. If the initiating STA does not associate with the peer STA, the SME entities of the two STAs select the pairwise cipher suites using the 4-Way Handshake.</w:t>
      </w:r>
      <w:r w:rsidRPr="009D537D">
        <w:rPr>
          <w:rFonts w:eastAsia="SimSun"/>
          <w:lang w:eastAsia="zh-CN" w:bidi="ar-SA"/>
        </w:rPr>
        <w:t xml:space="preserve"> As specified in 8.5.2 (EAPOL-Key frames), Message 2 and Message 3 of the 4-Way Handshake convey an RSN element. The Message 2 RSN element includes the selected pairwise cipher suite, and Message 3 includes the RSN element that the STA would send in a Probe Response </w:t>
      </w:r>
      <w:r w:rsidRPr="009D537D">
        <w:rPr>
          <w:rFonts w:eastAsia="SimSun"/>
          <w:u w:val="single"/>
          <w:lang w:eastAsia="zh-CN" w:bidi="ar-SA"/>
        </w:rPr>
        <w:t>or Information Response</w:t>
      </w:r>
      <w:r w:rsidRPr="009D537D">
        <w:rPr>
          <w:rFonts w:eastAsia="SimSun"/>
          <w:lang w:eastAsia="zh-CN" w:bidi="ar-SA"/>
        </w:rPr>
        <w:t xml:space="preserve"> frame.</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u w:val="single"/>
          <w:lang w:eastAsia="zh-CN" w:bidi="ar-SA"/>
        </w:rPr>
        <w:t>In an IBSS,</w:t>
      </w:r>
      <w:r w:rsidRPr="009D537D">
        <w:rPr>
          <w:rFonts w:eastAsia="SimSun"/>
          <w:lang w:eastAsia="zh-CN" w:bidi="ar-SA"/>
        </w:rPr>
        <w:t xml:space="preserve"> </w:t>
      </w:r>
      <w:r w:rsidR="006F0835">
        <w:rPr>
          <w:rFonts w:eastAsia="SimSun"/>
          <w:lang w:eastAsia="zh-CN" w:bidi="ar-SA"/>
        </w:rPr>
        <w:t>I</w:t>
      </w:r>
      <w:r w:rsidRPr="009D537D">
        <w:rPr>
          <w:rFonts w:eastAsia="SimSun"/>
          <w:lang w:eastAsia="zh-CN" w:bidi="ar-SA"/>
        </w:rPr>
        <w:t>f the 4-Way Handshake is successfully completed, then the pair of STAs shall use the pairwise cipher suite specified in Message 2 of the 4-Way Handshake initiated by the Authenticator STA with the higher MAC address (see 8.5.1 (Key hierarchy)).</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The SME shall check that the group cipher suite and AKMP match those in the Beacon</w:t>
      </w:r>
      <w:r w:rsidRPr="009D537D">
        <w:rPr>
          <w:rFonts w:eastAsia="SimSun"/>
          <w:u w:val="single"/>
          <w:lang w:eastAsia="zh-CN" w:bidi="ar-SA"/>
        </w:rPr>
        <w:t>, Information Response,</w:t>
      </w:r>
      <w:r w:rsidRPr="009D537D">
        <w:rPr>
          <w:rFonts w:eastAsia="SimSun"/>
          <w:lang w:eastAsia="zh-CN" w:bidi="ar-SA"/>
        </w:rPr>
        <w:t xml:space="preserve"> and </w:t>
      </w:r>
      <w:r w:rsidR="006F0835">
        <w:rPr>
          <w:rFonts w:eastAsia="SimSun"/>
          <w:lang w:eastAsia="zh-CN" w:bidi="ar-SA"/>
        </w:rPr>
        <w:t>Probe</w:t>
      </w:r>
      <w:r w:rsidRPr="009D537D">
        <w:rPr>
          <w:rFonts w:eastAsia="SimSun"/>
          <w:lang w:eastAsia="zh-CN" w:bidi="ar-SA"/>
        </w:rPr>
        <w:t xml:space="preserve"> Response frames for the IBSS</w:t>
      </w:r>
      <w:r w:rsidRPr="009D537D">
        <w:rPr>
          <w:rFonts w:eastAsia="SimSun"/>
          <w:u w:val="single"/>
          <w:lang w:eastAsia="zh-CN" w:bidi="ar-SA"/>
        </w:rPr>
        <w:t>/PBSS</w:t>
      </w:r>
      <w:r w:rsidRPr="009D537D">
        <w:rPr>
          <w:rFonts w:eastAsia="SimSun"/>
          <w:lang w:eastAsia="zh-CN" w:bidi="ar-SA"/>
        </w:rPr>
        <w:t>.</w:t>
      </w:r>
    </w:p>
    <w:p w:rsidR="00E470B2" w:rsidRPr="006F0835" w:rsidRDefault="009D537D" w:rsidP="00E470B2">
      <w:pPr>
        <w:autoSpaceDE w:val="0"/>
        <w:autoSpaceDN w:val="0"/>
        <w:adjustRightInd w:val="0"/>
        <w:jc w:val="both"/>
        <w:rPr>
          <w:rFonts w:eastAsia="SimSun"/>
          <w:sz w:val="20"/>
          <w:lang w:eastAsia="zh-CN" w:bidi="ar-SA"/>
        </w:rPr>
      </w:pPr>
      <w:r w:rsidRPr="009D537D">
        <w:rPr>
          <w:rFonts w:eastAsia="SimSun"/>
          <w:sz w:val="20"/>
          <w:lang w:eastAsia="zh-CN" w:bidi="ar-SA"/>
        </w:rPr>
        <w:t>NOTE 1—The RSN elements in Message 2 and Message 3 are not the same as in the Beacon frame. The group cipher and AKMP are the same, but the pairwise ciphers may differ because Beacon frames from different STAs may advertise different pairwise ciphers. Thus, STAs in an IBSS use the same AKM suite and group cipher, while different pairwise ciphers can be used between STA pairs.</w:t>
      </w:r>
    </w:p>
    <w:p w:rsidR="00E470B2" w:rsidRPr="006F0835" w:rsidRDefault="009D537D" w:rsidP="00E470B2">
      <w:pPr>
        <w:autoSpaceDE w:val="0"/>
        <w:autoSpaceDN w:val="0"/>
        <w:adjustRightInd w:val="0"/>
        <w:jc w:val="both"/>
        <w:rPr>
          <w:rFonts w:eastAsia="SimSun"/>
          <w:sz w:val="20"/>
          <w:lang w:eastAsia="zh-CN" w:bidi="ar-SA"/>
        </w:rPr>
      </w:pPr>
      <w:r w:rsidRPr="009D537D">
        <w:rPr>
          <w:rFonts w:eastAsia="SimSun"/>
          <w:sz w:val="20"/>
          <w:lang w:eastAsia="zh-CN" w:bidi="ar-SA"/>
        </w:rPr>
        <w:t>NOTE 2—When an IBSS</w:t>
      </w:r>
      <w:r w:rsidRPr="009D537D">
        <w:rPr>
          <w:rFonts w:eastAsia="SimSun"/>
          <w:sz w:val="20"/>
          <w:u w:val="single"/>
          <w:lang w:eastAsia="zh-CN" w:bidi="ar-SA"/>
        </w:rPr>
        <w:t>/PBSS</w:t>
      </w:r>
      <w:r w:rsidRPr="009D537D">
        <w:rPr>
          <w:rFonts w:eastAsia="SimSun"/>
          <w:sz w:val="20"/>
          <w:lang w:eastAsia="zh-CN" w:bidi="ar-SA"/>
        </w:rPr>
        <w:t xml:space="preserve"> network uses PSKs, STAs can negotiate a pairwise cipher. However, any STA in the IBSS</w:t>
      </w:r>
      <w:r w:rsidRPr="009D537D">
        <w:rPr>
          <w:rFonts w:eastAsia="SimSun"/>
          <w:sz w:val="20"/>
          <w:u w:val="single"/>
          <w:lang w:eastAsia="zh-CN" w:bidi="ar-SA"/>
        </w:rPr>
        <w:t>/PBSS</w:t>
      </w:r>
      <w:r w:rsidRPr="009D537D">
        <w:rPr>
          <w:rFonts w:eastAsia="SimSun"/>
          <w:sz w:val="20"/>
          <w:lang w:eastAsia="zh-CN" w:bidi="ar-SA"/>
        </w:rPr>
        <w:t xml:space="preserve"> can derive the PTKs of any other that uses the same PSK by capturing the first two messages of the 4-Way Handshake. This provides malicious insiders with the ability to eavesdrop as well as the ability to establish a man-in-the-middle attack.</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To establish a connection with a peer STA, an RSNA enabled STA that implements Management Frame Protection shall use Table 8-1b (Robust Management frame selection in an IBSS</w:t>
      </w:r>
      <w:r w:rsidRPr="009D537D">
        <w:rPr>
          <w:rFonts w:eastAsia="SimSun"/>
          <w:u w:val="single"/>
          <w:lang w:eastAsia="zh-CN" w:bidi="ar-SA"/>
        </w:rPr>
        <w:t>/PBSS</w:t>
      </w:r>
      <w:r w:rsidRPr="009D537D">
        <w:rPr>
          <w:rFonts w:eastAsia="SimSun"/>
          <w:lang w:eastAsia="zh-CN" w:bidi="ar-SA"/>
        </w:rPr>
        <w:t xml:space="preserve">) and the MFPC and MFPR values advertised in the RSN IEs exchanged in the 4-Way Handshake to determine if the communication is allowed. </w:t>
      </w:r>
      <w:r w:rsidRPr="009D537D">
        <w:rPr>
          <w:rFonts w:eastAsia="SimSun"/>
          <w:u w:val="single"/>
          <w:lang w:eastAsia="zh-CN" w:bidi="ar-SA"/>
        </w:rPr>
        <w:t>In an IBSS, the 4-Way Handshake initiated by the Authenticator of the STA with the larger MAC address is used.</w:t>
      </w:r>
      <w:r w:rsidRPr="009D537D">
        <w:rPr>
          <w:rFonts w:eastAsia="SimSun"/>
          <w:lang w:eastAsia="zh-CN" w:bidi="ar-SA"/>
        </w:rPr>
        <w:t xml:space="preserve"> Management Frame Protection is enabled when dot11RSNAProtectedManagementFramesActivated is set to 1. The STAs negotiate protection of management frames when the both STAs set the Management Frame Protection Capable subfield to 1 during the 4-Way Handshake.</w:t>
      </w:r>
    </w:p>
    <w:p w:rsidR="00000C5F" w:rsidRDefault="00000C5F">
      <w:pPr>
        <w:suppressAutoHyphens/>
        <w:autoSpaceDE w:val="0"/>
        <w:jc w:val="both"/>
        <w:rPr>
          <w:rFonts w:eastAsia="Arial Unicode MS"/>
          <w:u w:val="single"/>
        </w:rPr>
      </w:pPr>
    </w:p>
    <w:p w:rsidR="006F0835" w:rsidRPr="009448FC" w:rsidRDefault="006F0835" w:rsidP="003701DB">
      <w:pPr>
        <w:pStyle w:val="Heading3"/>
        <w:numPr>
          <w:ilvl w:val="2"/>
          <w:numId w:val="143"/>
        </w:numPr>
        <w:rPr>
          <w:rFonts w:eastAsia="Arial Unicode MS"/>
        </w:rPr>
      </w:pPr>
      <w:bookmarkStart w:id="1045" w:name="_Toc259717041"/>
      <w:r>
        <w:rPr>
          <w:rFonts w:eastAsia="Arial Unicode MS"/>
        </w:rPr>
        <w:t>RSNA management of the IEEE 802.1X Controlled Port</w:t>
      </w:r>
      <w:bookmarkEnd w:id="1045"/>
    </w:p>
    <w:p w:rsidR="00000C5F" w:rsidRDefault="00000C5F">
      <w:pPr>
        <w:suppressAutoHyphens/>
        <w:autoSpaceDE w:val="0"/>
        <w:ind w:left="720"/>
        <w:jc w:val="both"/>
        <w:rPr>
          <w:rFonts w:eastAsia="Arial Unicode MS"/>
          <w:u w:val="single"/>
        </w:rPr>
      </w:pPr>
    </w:p>
    <w:p w:rsidR="006F0835" w:rsidRPr="009448FC" w:rsidRDefault="006F0835" w:rsidP="006F0835">
      <w:pPr>
        <w:rPr>
          <w:i/>
        </w:rPr>
      </w:pPr>
      <w:r w:rsidRPr="009448FC">
        <w:rPr>
          <w:i/>
        </w:rPr>
        <w:t xml:space="preserve">.11 editor: </w:t>
      </w:r>
      <w:r>
        <w:rPr>
          <w:i/>
        </w:rPr>
        <w:t>change the paragraphs indicated below</w:t>
      </w:r>
    </w:p>
    <w:p w:rsidR="00000C5F" w:rsidRDefault="00000C5F">
      <w:pPr>
        <w:suppressAutoHyphens/>
        <w:autoSpaceDE w:val="0"/>
        <w:jc w:val="both"/>
        <w:rPr>
          <w:rFonts w:eastAsia="Arial Unicode MS"/>
          <w:u w:val="single"/>
        </w:rPr>
      </w:pPr>
    </w:p>
    <w:p w:rsidR="006F0835" w:rsidRPr="006F0835" w:rsidRDefault="009D537D" w:rsidP="006F0835">
      <w:pPr>
        <w:autoSpaceDE w:val="0"/>
        <w:autoSpaceDN w:val="0"/>
        <w:adjustRightInd w:val="0"/>
        <w:jc w:val="both"/>
        <w:rPr>
          <w:rFonts w:eastAsia="SimSun"/>
          <w:szCs w:val="23"/>
          <w:lang w:eastAsia="zh-CN" w:bidi="ar-SA"/>
        </w:rPr>
      </w:pPr>
      <w:r w:rsidRPr="009D537D">
        <w:rPr>
          <w:rFonts w:eastAsia="SimSun"/>
          <w:szCs w:val="23"/>
          <w:lang w:eastAsia="zh-CN" w:bidi="ar-SA"/>
        </w:rPr>
        <w:t>In an ESS</w:t>
      </w:r>
      <w:r w:rsidRPr="009D537D">
        <w:rPr>
          <w:rFonts w:eastAsia="SimSun"/>
          <w:szCs w:val="23"/>
          <w:u w:val="single"/>
          <w:lang w:eastAsia="zh-CN" w:bidi="ar-SA"/>
        </w:rPr>
        <w:t>/PBSS, if the STA associates with the AP/PCP,</w:t>
      </w:r>
      <w:r w:rsidRPr="009D537D">
        <w:rPr>
          <w:rFonts w:eastAsia="SimSun"/>
          <w:szCs w:val="23"/>
          <w:lang w:eastAsia="zh-CN" w:bidi="ar-SA"/>
        </w:rPr>
        <w:t xml:space="preserve"> the STA indicates the IEEE 802.11 link is available by invoking the MLMEASSOCIATE.confirm or MLME-REASSOCIATE.confirm primitive. This signals the Supplicant that the MAC has transitioned from the disabled to enabled state. At this point, the Supplicant’s </w:t>
      </w:r>
      <w:smartTag w:uri="urn:schemas-microsoft-com:office:smarttags" w:element="place">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smartTag>
      <w:r w:rsidRPr="009D537D">
        <w:rPr>
          <w:rFonts w:eastAsia="SimSun"/>
          <w:szCs w:val="23"/>
          <w:lang w:eastAsia="zh-CN" w:bidi="ar-SA"/>
        </w:rPr>
        <w:t xml:space="preserve"> is blocked, and communication of all non-IEEE-802.1X MSDUs sent or received via the port is not authorized.</w:t>
      </w:r>
    </w:p>
    <w:p w:rsidR="006F0835" w:rsidRPr="006F0835" w:rsidRDefault="006F0835" w:rsidP="006F0835">
      <w:pPr>
        <w:autoSpaceDE w:val="0"/>
        <w:autoSpaceDN w:val="0"/>
        <w:adjustRightInd w:val="0"/>
        <w:jc w:val="both"/>
        <w:rPr>
          <w:rFonts w:eastAsia="SimSun"/>
          <w:szCs w:val="23"/>
          <w:lang w:eastAsia="zh-CN" w:bidi="ar-SA"/>
        </w:rPr>
      </w:pPr>
    </w:p>
    <w:p w:rsidR="006F0835" w:rsidRPr="006F0835" w:rsidRDefault="009D537D" w:rsidP="006F0835">
      <w:pPr>
        <w:autoSpaceDE w:val="0"/>
        <w:autoSpaceDN w:val="0"/>
        <w:adjustRightInd w:val="0"/>
        <w:jc w:val="both"/>
        <w:rPr>
          <w:rFonts w:eastAsia="SimSun"/>
          <w:szCs w:val="23"/>
          <w:lang w:eastAsia="zh-CN" w:bidi="ar-SA"/>
        </w:rPr>
      </w:pPr>
      <w:r w:rsidRPr="009D537D">
        <w:rPr>
          <w:rFonts w:eastAsia="SimSun"/>
          <w:szCs w:val="23"/>
          <w:lang w:eastAsia="zh-CN" w:bidi="ar-SA"/>
        </w:rPr>
        <w:t>In an ESS</w:t>
      </w:r>
      <w:r w:rsidRPr="009D537D">
        <w:rPr>
          <w:rFonts w:eastAsia="SimSun"/>
          <w:szCs w:val="23"/>
          <w:u w:val="single"/>
          <w:lang w:eastAsia="zh-CN" w:bidi="ar-SA"/>
        </w:rPr>
        <w:t>/PBSS, if the AP/PCP associates with a STA,</w:t>
      </w:r>
      <w:r w:rsidRPr="009D537D">
        <w:rPr>
          <w:rFonts w:eastAsia="SimSun"/>
          <w:szCs w:val="23"/>
          <w:lang w:eastAsia="zh-CN" w:bidi="ar-SA"/>
        </w:rPr>
        <w:t xml:space="preserve"> the AP</w:t>
      </w:r>
      <w:r w:rsidRPr="009D537D">
        <w:rPr>
          <w:rFonts w:eastAsia="SimSun"/>
          <w:szCs w:val="23"/>
          <w:u w:val="single"/>
          <w:lang w:eastAsia="zh-CN" w:bidi="ar-SA"/>
        </w:rPr>
        <w:t>/PCP</w:t>
      </w:r>
      <w:r w:rsidRPr="009D537D">
        <w:rPr>
          <w:rFonts w:eastAsia="SimSun"/>
          <w:szCs w:val="23"/>
          <w:lang w:eastAsia="zh-CN" w:bidi="ar-SA"/>
        </w:rPr>
        <w:t xml:space="preserve"> indicates that the IEEE 802.11 link is available by invoking the MLMEASSOCIATE.indication or MLME-REASSOCIATE.indication primitive. At this point the Authenticator’s </w:t>
      </w:r>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r w:rsidRPr="009D537D">
        <w:rPr>
          <w:rFonts w:eastAsia="SimSun"/>
          <w:szCs w:val="23"/>
          <w:lang w:eastAsia="zh-CN" w:bidi="ar-SA"/>
        </w:rPr>
        <w:t xml:space="preserve"> corresponding to the STA’s association is blocked, and communication of all non-IEEE-802.1X MSDUs sent or received via the </w:t>
      </w:r>
      <w:smartTag w:uri="urn:schemas-microsoft-com:office:smarttags" w:element="place">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smartTag>
      <w:r w:rsidRPr="009D537D">
        <w:rPr>
          <w:rFonts w:eastAsia="SimSun"/>
          <w:szCs w:val="23"/>
          <w:lang w:eastAsia="zh-CN" w:bidi="ar-SA"/>
        </w:rPr>
        <w:t xml:space="preserve"> is not authorized.</w:t>
      </w:r>
    </w:p>
    <w:p w:rsidR="006F0835" w:rsidRPr="006F0835" w:rsidRDefault="006F0835" w:rsidP="006F0835">
      <w:pPr>
        <w:autoSpaceDE w:val="0"/>
        <w:autoSpaceDN w:val="0"/>
        <w:adjustRightInd w:val="0"/>
        <w:jc w:val="both"/>
        <w:rPr>
          <w:rFonts w:eastAsia="SimSun"/>
          <w:szCs w:val="23"/>
          <w:lang w:eastAsia="zh-CN" w:bidi="ar-SA"/>
        </w:rPr>
      </w:pPr>
    </w:p>
    <w:p w:rsidR="006F0835" w:rsidRPr="006F0835" w:rsidRDefault="009D537D" w:rsidP="006F0835">
      <w:pPr>
        <w:autoSpaceDE w:val="0"/>
        <w:autoSpaceDN w:val="0"/>
        <w:adjustRightInd w:val="0"/>
        <w:jc w:val="both"/>
        <w:rPr>
          <w:rFonts w:eastAsia="SimSun"/>
          <w:szCs w:val="23"/>
          <w:lang w:eastAsia="zh-CN" w:bidi="ar-SA"/>
        </w:rPr>
      </w:pPr>
      <w:r w:rsidRPr="009D537D">
        <w:rPr>
          <w:rFonts w:eastAsia="SimSun"/>
          <w:szCs w:val="23"/>
          <w:lang w:eastAsia="zh-CN" w:bidi="ar-SA"/>
        </w:rPr>
        <w:t xml:space="preserve">In an IBSS, the STA shall block all IEEE 802.1X ports at initialization. Communication of all non-IEEE-802.1X MSDUs sent or received via the </w:t>
      </w:r>
      <w:smartTag w:uri="urn:schemas-microsoft-com:office:smarttags" w:element="place">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smartTag>
      <w:r w:rsidRPr="009D537D">
        <w:rPr>
          <w:rFonts w:eastAsia="SimSun"/>
          <w:szCs w:val="23"/>
          <w:lang w:eastAsia="zh-CN" w:bidi="ar-SA"/>
        </w:rPr>
        <w:t xml:space="preserve"> is not authorized.</w:t>
      </w:r>
    </w:p>
    <w:p w:rsidR="006F0835" w:rsidRPr="006F0835" w:rsidRDefault="006F0835" w:rsidP="006F0835">
      <w:pPr>
        <w:autoSpaceDE w:val="0"/>
        <w:autoSpaceDN w:val="0"/>
        <w:adjustRightInd w:val="0"/>
        <w:jc w:val="both"/>
        <w:rPr>
          <w:rFonts w:eastAsia="SimSun"/>
          <w:szCs w:val="23"/>
          <w:lang w:eastAsia="zh-CN" w:bidi="ar-SA"/>
        </w:rPr>
      </w:pPr>
    </w:p>
    <w:p w:rsidR="006F0835" w:rsidRPr="006F0835" w:rsidRDefault="009D537D" w:rsidP="006F0835">
      <w:pPr>
        <w:autoSpaceDE w:val="0"/>
        <w:autoSpaceDN w:val="0"/>
        <w:adjustRightInd w:val="0"/>
        <w:jc w:val="both"/>
        <w:rPr>
          <w:szCs w:val="23"/>
          <w:u w:val="single"/>
        </w:rPr>
      </w:pPr>
      <w:r w:rsidRPr="009D537D">
        <w:rPr>
          <w:rFonts w:eastAsia="SimSun"/>
          <w:szCs w:val="23"/>
          <w:u w:val="single"/>
          <w:lang w:eastAsia="zh-CN" w:bidi="ar-SA"/>
        </w:rPr>
        <w:t>In a PBSS, if a STA chooses not to associate with the PCP, the STA shall block all IEEE 802.1X ports at initialization. Communication of all non-IEEE-802.1X MSDUs sent or received via the Controlled Port is not authorized.</w:t>
      </w:r>
    </w:p>
    <w:p w:rsidR="00000C5F" w:rsidRDefault="00000C5F">
      <w:pPr>
        <w:suppressAutoHyphens/>
        <w:autoSpaceDE w:val="0"/>
        <w:jc w:val="both"/>
        <w:rPr>
          <w:rFonts w:eastAsia="Arial Unicode MS"/>
          <w:u w:val="single"/>
        </w:rPr>
      </w:pPr>
    </w:p>
    <w:p w:rsidR="006F0835" w:rsidRPr="009448FC" w:rsidRDefault="006F0835" w:rsidP="006F0835">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6F0835" w:rsidRPr="009448FC" w:rsidRDefault="006F0835" w:rsidP="003701DB">
      <w:pPr>
        <w:pStyle w:val="Heading3"/>
        <w:numPr>
          <w:ilvl w:val="2"/>
          <w:numId w:val="143"/>
        </w:numPr>
        <w:rPr>
          <w:rFonts w:eastAsia="Arial Unicode MS"/>
        </w:rPr>
      </w:pPr>
      <w:bookmarkStart w:id="1046" w:name="_Toc259717042"/>
      <w:r>
        <w:rPr>
          <w:rFonts w:eastAsia="Arial Unicode MS"/>
        </w:rPr>
        <w:t>RSNA authentication in an ESS</w:t>
      </w:r>
      <w:r w:rsidR="009D537D" w:rsidRPr="009D537D">
        <w:rPr>
          <w:rFonts w:eastAsia="Arial Unicode MS"/>
          <w:u w:val="single"/>
        </w:rPr>
        <w:t>/PBSS</w:t>
      </w:r>
      <w:bookmarkEnd w:id="1046"/>
    </w:p>
    <w:p w:rsidR="00000C5F" w:rsidRDefault="00000C5F">
      <w:pPr>
        <w:suppressAutoHyphens/>
        <w:autoSpaceDE w:val="0"/>
        <w:jc w:val="both"/>
        <w:rPr>
          <w:rFonts w:eastAsia="Arial Unicode MS"/>
          <w:u w:val="single"/>
        </w:rPr>
      </w:pPr>
    </w:p>
    <w:p w:rsidR="00000C5F" w:rsidRDefault="00612788">
      <w:pPr>
        <w:pStyle w:val="Heading4"/>
      </w:pPr>
      <w:bookmarkStart w:id="1047" w:name="_Toc259717043"/>
      <w:r>
        <w:t>8.4.6.0a General</w:t>
      </w:r>
      <w:bookmarkEnd w:id="1047"/>
    </w:p>
    <w:p w:rsidR="00000C5F" w:rsidRDefault="00000C5F">
      <w:pPr>
        <w:rPr>
          <w:rFonts w:eastAsia="Arial Unicode MS"/>
          <w:lang w:bidi="ar-SA"/>
        </w:rPr>
      </w:pPr>
    </w:p>
    <w:p w:rsidR="00612788" w:rsidRPr="009448FC" w:rsidRDefault="00612788" w:rsidP="00612788">
      <w:pPr>
        <w:rPr>
          <w:i/>
        </w:rPr>
      </w:pPr>
      <w:r w:rsidRPr="009448FC">
        <w:rPr>
          <w:i/>
        </w:rPr>
        <w:t xml:space="preserve">.11 editor: </w:t>
      </w:r>
      <w:r>
        <w:rPr>
          <w:i/>
        </w:rPr>
        <w:t>change the paragraphs indicated below</w:t>
      </w:r>
    </w:p>
    <w:p w:rsidR="00000C5F" w:rsidRDefault="00000C5F">
      <w:pPr>
        <w:rPr>
          <w:rFonts w:eastAsia="Arial Unicode MS"/>
          <w:lang w:bidi="ar-SA"/>
        </w:rPr>
      </w:pPr>
    </w:p>
    <w:p w:rsidR="00612788" w:rsidRPr="00612788" w:rsidRDefault="009D537D" w:rsidP="00612788">
      <w:pPr>
        <w:autoSpaceDE w:val="0"/>
        <w:autoSpaceDN w:val="0"/>
        <w:adjustRightInd w:val="0"/>
        <w:jc w:val="both"/>
        <w:rPr>
          <w:rFonts w:eastAsia="SimSun"/>
          <w:lang w:eastAsia="zh-CN" w:bidi="ar-SA"/>
        </w:rPr>
      </w:pPr>
      <w:r w:rsidRPr="009D537D">
        <w:rPr>
          <w:rFonts w:eastAsia="SimSun"/>
          <w:lang w:eastAsia="zh-CN" w:bidi="ar-SA"/>
        </w:rPr>
        <w:t xml:space="preserve">When establishing an RSNA in a non-FT environment or during an FT initial mobility domain association </w:t>
      </w:r>
      <w:r w:rsidRPr="009D537D">
        <w:rPr>
          <w:rFonts w:eastAsia="SimSun"/>
          <w:u w:val="single"/>
          <w:lang w:eastAsia="zh-CN" w:bidi="ar-SA"/>
        </w:rPr>
        <w:t>in an ESS</w:t>
      </w:r>
      <w:r w:rsidRPr="009D537D">
        <w:rPr>
          <w:rFonts w:eastAsia="SimSun"/>
          <w:lang w:eastAsia="zh-CN" w:bidi="ar-SA"/>
        </w:rPr>
        <w:t xml:space="preserve">, a STA shall use IEEE 802.11 Open System authentication prior to (re)association. </w:t>
      </w:r>
      <w:r w:rsidRPr="009D537D">
        <w:rPr>
          <w:rFonts w:eastAsia="SimSun"/>
          <w:u w:val="single"/>
          <w:lang w:eastAsia="zh-CN" w:bidi="ar-SA"/>
        </w:rPr>
        <w:t>IEEE 802.11 Open System authentication is not used in a PBSS.</w:t>
      </w:r>
    </w:p>
    <w:p w:rsidR="00612788" w:rsidRPr="00612788" w:rsidRDefault="00612788" w:rsidP="00612788">
      <w:pPr>
        <w:autoSpaceDE w:val="0"/>
        <w:autoSpaceDN w:val="0"/>
        <w:adjustRightInd w:val="0"/>
        <w:rPr>
          <w:rFonts w:eastAsia="SimSun"/>
          <w:lang w:eastAsia="zh-CN" w:bidi="ar-SA"/>
        </w:rPr>
      </w:pPr>
    </w:p>
    <w:p w:rsidR="00612788" w:rsidRPr="00612788" w:rsidRDefault="009D537D" w:rsidP="00612788">
      <w:pPr>
        <w:autoSpaceDE w:val="0"/>
        <w:autoSpaceDN w:val="0"/>
        <w:adjustRightInd w:val="0"/>
        <w:jc w:val="both"/>
        <w:rPr>
          <w:rFonts w:eastAsia="SimSun"/>
          <w:lang w:eastAsia="zh-CN" w:bidi="ar-SA"/>
        </w:rPr>
      </w:pPr>
      <w:r w:rsidRPr="009D537D">
        <w:rPr>
          <w:rFonts w:eastAsia="SimSun"/>
          <w:lang w:eastAsia="zh-CN" w:bidi="ar-SA"/>
        </w:rPr>
        <w:lastRenderedPageBreak/>
        <w:t>IEEE 802.1X authentication is initiated by any one of the following mechanisms:</w:t>
      </w:r>
    </w:p>
    <w:p w:rsidR="00612788" w:rsidRPr="00612788" w:rsidRDefault="009D537D" w:rsidP="003701DB">
      <w:pPr>
        <w:numPr>
          <w:ilvl w:val="0"/>
          <w:numId w:val="213"/>
        </w:numPr>
        <w:autoSpaceDE w:val="0"/>
        <w:autoSpaceDN w:val="0"/>
        <w:adjustRightInd w:val="0"/>
        <w:jc w:val="both"/>
        <w:rPr>
          <w:rFonts w:eastAsia="SimSun"/>
          <w:lang w:eastAsia="zh-CN" w:bidi="ar-SA"/>
        </w:rPr>
      </w:pPr>
      <w:r w:rsidRPr="009D537D">
        <w:rPr>
          <w:rFonts w:eastAsia="SimSun"/>
          <w:lang w:eastAsia="zh-CN" w:bidi="ar-SA"/>
        </w:rPr>
        <w:t>If a STA negotiates to use IEEE 802.1X authentication during (re)association, the STA’s management entity can respond to the MLME-ASSOCIATE.confirm (or indication) primitive by requesting the STA’s Supplicant (or AP</w:t>
      </w:r>
      <w:r w:rsidR="00612788">
        <w:rPr>
          <w:rFonts w:eastAsia="SimSun"/>
          <w:lang w:eastAsia="zh-CN" w:bidi="ar-SA"/>
        </w:rPr>
        <w:t>’s</w:t>
      </w:r>
      <w:r w:rsidRPr="009D537D">
        <w:rPr>
          <w:rFonts w:eastAsia="SimSun"/>
          <w:u w:val="single"/>
          <w:lang w:eastAsia="zh-CN" w:bidi="ar-SA"/>
        </w:rPr>
        <w:t>/PCP’s</w:t>
      </w:r>
      <w:r w:rsidRPr="009D537D">
        <w:rPr>
          <w:rFonts w:eastAsia="SimSun"/>
          <w:lang w:eastAsia="zh-CN" w:bidi="ar-SA"/>
        </w:rPr>
        <w:t xml:space="preserve"> Authenticator) to initiate IEEE 802.1X authentication. Thus, in this case, authentication is driven by the STA’s decision to associate and the AP</w:t>
      </w:r>
      <w:r w:rsidR="00612788">
        <w:rPr>
          <w:rFonts w:eastAsia="SimSun"/>
          <w:lang w:eastAsia="zh-CN" w:bidi="ar-SA"/>
        </w:rPr>
        <w:t>’s</w:t>
      </w:r>
      <w:r w:rsidRPr="009D537D">
        <w:rPr>
          <w:rFonts w:eastAsia="SimSun"/>
          <w:u w:val="single"/>
          <w:lang w:eastAsia="zh-CN" w:bidi="ar-SA"/>
        </w:rPr>
        <w:t>/PCP’s</w:t>
      </w:r>
      <w:r w:rsidRPr="009D537D">
        <w:rPr>
          <w:rFonts w:eastAsia="SimSun"/>
          <w:lang w:eastAsia="zh-CN" w:bidi="ar-SA"/>
        </w:rPr>
        <w:t xml:space="preserve"> decision to accept the association.</w:t>
      </w:r>
    </w:p>
    <w:p w:rsidR="00612788" w:rsidRPr="00612788" w:rsidRDefault="009D537D" w:rsidP="003701DB">
      <w:pPr>
        <w:numPr>
          <w:ilvl w:val="0"/>
          <w:numId w:val="213"/>
        </w:numPr>
        <w:autoSpaceDE w:val="0"/>
        <w:autoSpaceDN w:val="0"/>
        <w:adjustRightInd w:val="0"/>
        <w:jc w:val="both"/>
        <w:rPr>
          <w:rFonts w:eastAsia="SimSun"/>
          <w:lang w:eastAsia="zh-CN" w:bidi="ar-SA"/>
        </w:rPr>
      </w:pPr>
      <w:r w:rsidRPr="009D537D">
        <w:rPr>
          <w:rFonts w:eastAsia="SimSun"/>
          <w:lang w:eastAsia="zh-CN" w:bidi="ar-SA"/>
        </w:rPr>
        <w:t>If a STA’s MLME-SCAN.confirm primitive finds another AP within the current ESS, a STA may signal its Supplicant to use IEEE Std 802.1X-2004 to preauthenticate with that AP.</w:t>
      </w:r>
    </w:p>
    <w:p w:rsidR="00612788" w:rsidRPr="00612788" w:rsidRDefault="00612788" w:rsidP="00612788">
      <w:pPr>
        <w:autoSpaceDE w:val="0"/>
        <w:autoSpaceDN w:val="0"/>
        <w:adjustRightInd w:val="0"/>
        <w:ind w:left="720"/>
        <w:jc w:val="both"/>
        <w:rPr>
          <w:rFonts w:eastAsia="SimSun"/>
          <w:lang w:eastAsia="zh-CN" w:bidi="ar-SA"/>
        </w:rPr>
      </w:pPr>
    </w:p>
    <w:p w:rsidR="00612788" w:rsidRPr="00612788" w:rsidRDefault="009D537D" w:rsidP="00612788">
      <w:pPr>
        <w:autoSpaceDE w:val="0"/>
        <w:autoSpaceDN w:val="0"/>
        <w:adjustRightInd w:val="0"/>
        <w:ind w:left="720"/>
        <w:jc w:val="both"/>
        <w:rPr>
          <w:rFonts w:eastAsia="SimSun"/>
          <w:lang w:eastAsia="zh-CN" w:bidi="ar-SA"/>
        </w:rPr>
      </w:pPr>
      <w:r w:rsidRPr="009D537D">
        <w:rPr>
          <w:rFonts w:eastAsia="SimSun"/>
          <w:lang w:eastAsia="zh-CN" w:bidi="ar-SA"/>
        </w:rPr>
        <w:t>NOTE—A roaming STA’s IEEE 802.1X Supplicant can initiate preauthentication by sending an EAPOL-Start message via its old AP, through the DS, to a new AP.</w:t>
      </w:r>
    </w:p>
    <w:p w:rsidR="00612788" w:rsidRPr="00612788" w:rsidRDefault="00612788" w:rsidP="00612788">
      <w:pPr>
        <w:autoSpaceDE w:val="0"/>
        <w:autoSpaceDN w:val="0"/>
        <w:adjustRightInd w:val="0"/>
        <w:ind w:left="720"/>
        <w:jc w:val="both"/>
        <w:rPr>
          <w:rFonts w:eastAsia="SimSun"/>
          <w:lang w:eastAsia="zh-CN" w:bidi="ar-SA"/>
        </w:rPr>
      </w:pPr>
    </w:p>
    <w:p w:rsidR="00612788" w:rsidRPr="00612788" w:rsidRDefault="009D537D" w:rsidP="003701DB">
      <w:pPr>
        <w:numPr>
          <w:ilvl w:val="0"/>
          <w:numId w:val="213"/>
        </w:numPr>
        <w:autoSpaceDE w:val="0"/>
        <w:autoSpaceDN w:val="0"/>
        <w:adjustRightInd w:val="0"/>
        <w:jc w:val="both"/>
        <w:rPr>
          <w:rFonts w:eastAsia="SimSun"/>
          <w:lang w:eastAsia="zh-CN" w:bidi="ar-SA"/>
        </w:rPr>
      </w:pPr>
      <w:r w:rsidRPr="009D537D">
        <w:rPr>
          <w:rFonts w:eastAsia="SimSun"/>
          <w:lang w:eastAsia="zh-CN" w:bidi="ar-SA"/>
        </w:rPr>
        <w:t>If a STA receives an IEEE 802.1X message, it delivers this to its Supplicant or Authenticator, which may initiate a new IEEE 802.1X authentication.</w:t>
      </w:r>
    </w:p>
    <w:p w:rsidR="00000C5F" w:rsidRDefault="00000C5F">
      <w:pPr>
        <w:rPr>
          <w:rFonts w:eastAsia="Arial Unicode MS"/>
          <w:lang w:bidi="ar-SA"/>
        </w:rPr>
      </w:pPr>
    </w:p>
    <w:p w:rsidR="003912A7" w:rsidRDefault="003912A7" w:rsidP="003912A7">
      <w:pPr>
        <w:pStyle w:val="Heading4"/>
      </w:pPr>
      <w:bookmarkStart w:id="1048" w:name="_Toc259717044"/>
      <w:r>
        <w:t>8.4.6.2 Cached PMKSAs and RSNA key management</w:t>
      </w:r>
      <w:bookmarkEnd w:id="1048"/>
    </w:p>
    <w:p w:rsidR="00000C5F" w:rsidRDefault="00000C5F">
      <w:pPr>
        <w:rPr>
          <w:rFonts w:eastAsia="Arial Unicode MS"/>
          <w:lang w:bidi="ar-SA"/>
        </w:rPr>
      </w:pPr>
    </w:p>
    <w:p w:rsidR="003912A7" w:rsidRPr="009448FC" w:rsidRDefault="003912A7" w:rsidP="003912A7">
      <w:pPr>
        <w:rPr>
          <w:i/>
        </w:rPr>
      </w:pPr>
      <w:r w:rsidRPr="009448FC">
        <w:rPr>
          <w:i/>
        </w:rPr>
        <w:t xml:space="preserve">.11 editor: </w:t>
      </w:r>
      <w:r>
        <w:rPr>
          <w:i/>
        </w:rPr>
        <w:t>throughout this subclause, change “</w:t>
      </w:r>
      <w:r w:rsidR="009D537D" w:rsidRPr="009D537D">
        <w:t>ESS</w:t>
      </w:r>
      <w:r>
        <w:rPr>
          <w:i/>
        </w:rPr>
        <w:t>” by “</w:t>
      </w:r>
      <w:r>
        <w:t>ESS</w:t>
      </w:r>
      <w:r w:rsidR="009D537D" w:rsidRPr="009D537D">
        <w:rPr>
          <w:u w:val="single"/>
        </w:rPr>
        <w:t>/PBSS</w:t>
      </w:r>
      <w:r>
        <w:rPr>
          <w:i/>
        </w:rPr>
        <w:t>”, and “</w:t>
      </w:r>
      <w:r w:rsidR="009D537D" w:rsidRPr="009D537D">
        <w:t>AP</w:t>
      </w:r>
      <w:r>
        <w:rPr>
          <w:i/>
        </w:rPr>
        <w:t>” by “</w:t>
      </w:r>
      <w:r w:rsidR="009D537D" w:rsidRPr="009D537D">
        <w:t>AP</w:t>
      </w:r>
      <w:r w:rsidR="009D537D" w:rsidRPr="009D537D">
        <w:rPr>
          <w:u w:val="single"/>
        </w:rPr>
        <w:t>/PCP</w:t>
      </w:r>
      <w:r>
        <w:rPr>
          <w:i/>
        </w:rPr>
        <w:t>”</w:t>
      </w:r>
    </w:p>
    <w:p w:rsidR="00000C5F" w:rsidRDefault="00000C5F">
      <w:pPr>
        <w:rPr>
          <w:rFonts w:eastAsia="Arial Unicode MS"/>
          <w:lang w:bidi="ar-SA"/>
        </w:rPr>
      </w:pPr>
    </w:p>
    <w:p w:rsidR="003912A7" w:rsidRPr="009448FC" w:rsidRDefault="003912A7" w:rsidP="003912A7">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rPr>
          <w:rFonts w:eastAsia="Arial Unicode MS"/>
          <w:lang w:bidi="ar-SA"/>
        </w:rPr>
      </w:pPr>
    </w:p>
    <w:p w:rsidR="003912A7" w:rsidRPr="009448FC" w:rsidRDefault="003912A7" w:rsidP="003701DB">
      <w:pPr>
        <w:pStyle w:val="Heading3"/>
        <w:numPr>
          <w:ilvl w:val="2"/>
          <w:numId w:val="143"/>
        </w:numPr>
        <w:rPr>
          <w:rFonts w:eastAsia="Arial Unicode MS"/>
        </w:rPr>
      </w:pPr>
      <w:bookmarkStart w:id="1049" w:name="_Toc259717045"/>
      <w:r>
        <w:rPr>
          <w:rFonts w:eastAsia="Arial Unicode MS"/>
        </w:rPr>
        <w:t>RSNA authentication in an IBSS</w:t>
      </w:r>
      <w:r w:rsidRPr="006F0835">
        <w:rPr>
          <w:rFonts w:eastAsia="Arial Unicode MS"/>
          <w:u w:val="single"/>
        </w:rPr>
        <w:t>/PBSS</w:t>
      </w:r>
      <w:bookmarkEnd w:id="1049"/>
    </w:p>
    <w:p w:rsidR="00000C5F" w:rsidRDefault="00000C5F">
      <w:pPr>
        <w:ind w:left="720"/>
        <w:rPr>
          <w:rFonts w:eastAsia="Arial Unicode MS"/>
          <w:lang w:bidi="ar-SA"/>
        </w:rPr>
      </w:pPr>
    </w:p>
    <w:p w:rsidR="00D72C71" w:rsidRPr="009448FC" w:rsidRDefault="00D72C71" w:rsidP="00D72C71">
      <w:pPr>
        <w:rPr>
          <w:i/>
        </w:rPr>
      </w:pPr>
      <w:r w:rsidRPr="009448FC">
        <w:rPr>
          <w:i/>
        </w:rPr>
        <w:t xml:space="preserve">.11 editor: </w:t>
      </w:r>
      <w:r>
        <w:rPr>
          <w:i/>
        </w:rPr>
        <w:t>change the paragraphs indicated below</w:t>
      </w:r>
    </w:p>
    <w:p w:rsidR="00000C5F" w:rsidRDefault="00000C5F">
      <w:pPr>
        <w:rPr>
          <w:rFonts w:eastAsia="Arial Unicode MS"/>
          <w:lang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When authentication is used in an IBSS</w:t>
      </w:r>
      <w:r w:rsidRPr="009D537D">
        <w:rPr>
          <w:rFonts w:eastAsia="SimSun"/>
          <w:u w:val="single"/>
          <w:lang w:eastAsia="zh-CN" w:bidi="ar-SA"/>
        </w:rPr>
        <w:t>/PBSS</w:t>
      </w:r>
      <w:r w:rsidRPr="009D537D">
        <w:rPr>
          <w:rFonts w:eastAsia="SimSun"/>
          <w:lang w:eastAsia="zh-CN" w:bidi="ar-SA"/>
        </w:rPr>
        <w:t>, it is driven by each STA wishing to establish communications. The management entity of this STA chooses a set of STAs with which it might need to authenticate</w:t>
      </w:r>
      <w:r w:rsidRPr="009D537D">
        <w:rPr>
          <w:rFonts w:eastAsia="SimSun"/>
          <w:u w:val="single"/>
          <w:lang w:eastAsia="zh-CN" w:bidi="ar-SA"/>
        </w:rPr>
        <w:t>. In an IBSS, the STA may</w:t>
      </w:r>
      <w:r w:rsidRPr="009D537D">
        <w:rPr>
          <w:rFonts w:eastAsia="SimSun"/>
          <w:lang w:eastAsia="zh-CN" w:bidi="ar-SA"/>
        </w:rPr>
        <w:t xml:space="preserve"> send an IEEE 802.11 Open System authentication message to each targeted STA. Candidate STAs can be identified from Beacon frames, </w:t>
      </w:r>
      <w:r w:rsidRPr="009D537D">
        <w:rPr>
          <w:rFonts w:eastAsia="SimSun"/>
          <w:u w:val="single"/>
          <w:lang w:eastAsia="zh-CN" w:bidi="ar-SA"/>
        </w:rPr>
        <w:t>mmWave Beacon frames, Announce frames,</w:t>
      </w:r>
      <w:r w:rsidRPr="009D537D">
        <w:rPr>
          <w:rFonts w:eastAsia="SimSun"/>
          <w:lang w:eastAsia="zh-CN" w:bidi="ar-SA"/>
        </w:rPr>
        <w:t xml:space="preserve"> Probe Response frames</w:t>
      </w:r>
      <w:r w:rsidRPr="009D537D">
        <w:rPr>
          <w:rFonts w:eastAsia="SimSun"/>
          <w:u w:val="single"/>
          <w:lang w:eastAsia="zh-CN" w:bidi="ar-SA"/>
        </w:rPr>
        <w:t>, Information Response frames</w:t>
      </w:r>
      <w:r w:rsidRPr="009D537D">
        <w:rPr>
          <w:rFonts w:eastAsia="SimSun"/>
          <w:lang w:eastAsia="zh-CN" w:bidi="ar-SA"/>
        </w:rPr>
        <w:t xml:space="preserve">, and data frames from the same BSSID. Before communicating with STAs identified from data frames, the security policy of the STAs may be obtained, e.g., by sending a Probe Request </w:t>
      </w:r>
      <w:r w:rsidRPr="009D537D">
        <w:rPr>
          <w:rFonts w:eastAsia="SimSun"/>
          <w:u w:val="single"/>
          <w:lang w:eastAsia="zh-CN" w:bidi="ar-SA"/>
        </w:rPr>
        <w:t>or Information Request</w:t>
      </w:r>
      <w:r w:rsidRPr="009D537D">
        <w:rPr>
          <w:rFonts w:eastAsia="SimSun"/>
          <w:lang w:eastAsia="zh-CN" w:bidi="ar-SA"/>
        </w:rPr>
        <w:t xml:space="preserve"> frame to the STA and obtaining a Probe Response </w:t>
      </w:r>
      <w:r w:rsidRPr="009D537D">
        <w:rPr>
          <w:rFonts w:eastAsia="SimSun"/>
          <w:u w:val="single"/>
          <w:lang w:eastAsia="zh-CN" w:bidi="ar-SA"/>
        </w:rPr>
        <w:t>or Information Response</w:t>
      </w:r>
      <w:r w:rsidRPr="009D537D">
        <w:rPr>
          <w:rFonts w:eastAsia="SimSun"/>
          <w:lang w:eastAsia="zh-CN" w:bidi="ar-SA"/>
        </w:rPr>
        <w:t xml:space="preserve"> frame. In an IBSS, targeted STAs that wish to respond may return an IEEE 802.11 Open System authentication message to the initiating STA.</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 xml:space="preserve">When IEEE 802.1X authentication is used, the STA management entity will then request its local IEEE 802.1X entity to create a Supplicant PAE for the peer STA. The Supplicant PAE will initiate the authentication to the peer STA by sending an EAPOL-Start message to the peer. </w:t>
      </w:r>
      <w:r w:rsidRPr="009D537D">
        <w:rPr>
          <w:rFonts w:eastAsia="SimSun"/>
          <w:u w:val="single"/>
          <w:lang w:eastAsia="zh-CN" w:bidi="ar-SA"/>
        </w:rPr>
        <w:t>The management entity of the peer STA will request its local IEEE 802.1X entity to create an Authenticator PAE for the initiating STA on receipt of the EAPOL-Start message. The Authenticator will initiate authentication to the Supplicant by sending an EAP-Request message. In an IBSS, the management entity of the peer STA will also request its local IEEE 802.1X entity to create a Supplicant PAE for the initiating STA and initiate the authentication to the initiating STA by sending an EAPOL-Start message to the initiating STA. The management entity of the initiating</w:t>
      </w:r>
      <w:r w:rsidRPr="009D537D">
        <w:rPr>
          <w:rFonts w:eastAsia="SimSun"/>
          <w:lang w:eastAsia="zh-CN" w:bidi="ar-SA"/>
        </w:rPr>
        <w:t xml:space="preserve"> STA will also request its local IEEE 802.1X </w:t>
      </w:r>
      <w:r w:rsidRPr="009D537D">
        <w:rPr>
          <w:rFonts w:eastAsia="SimSun"/>
          <w:lang w:eastAsia="zh-CN" w:bidi="ar-SA"/>
        </w:rPr>
        <w:lastRenderedPageBreak/>
        <w:t xml:space="preserve">entity to create an Authenticator PAE for the peer STA on receipt of the EAPOL-Start message. The Authenticator will initiate authentication to the </w:t>
      </w:r>
      <w:r w:rsidRPr="009D537D">
        <w:rPr>
          <w:rFonts w:eastAsia="SimSun"/>
          <w:u w:val="single"/>
          <w:lang w:eastAsia="zh-CN" w:bidi="ar-SA"/>
        </w:rPr>
        <w:t>Supplicant</w:t>
      </w:r>
      <w:r w:rsidRPr="009D537D">
        <w:rPr>
          <w:rFonts w:eastAsia="SimSun"/>
          <w:lang w:eastAsia="zh-CN" w:bidi="ar-SA"/>
        </w:rPr>
        <w:t xml:space="preserve"> by sending an EAP-Request message.</w:t>
      </w:r>
    </w:p>
    <w:p w:rsidR="003912A7" w:rsidRPr="003912A7" w:rsidRDefault="003912A7" w:rsidP="003912A7">
      <w:pPr>
        <w:autoSpaceDE w:val="0"/>
        <w:autoSpaceDN w:val="0"/>
        <w:adjustRightInd w:val="0"/>
        <w:jc w:val="both"/>
        <w:rPr>
          <w:rFonts w:eastAsia="SimSun"/>
          <w:lang w:eastAsia="zh-CN" w:bidi="ar-SA"/>
        </w:rPr>
      </w:pPr>
    </w:p>
    <w:p w:rsidR="003912A7" w:rsidRPr="00D72C71" w:rsidRDefault="009D537D" w:rsidP="003912A7">
      <w:pPr>
        <w:jc w:val="both"/>
        <w:rPr>
          <w:rFonts w:eastAsia="SimSun"/>
          <w:u w:val="single"/>
          <w:lang w:eastAsia="zh-CN" w:bidi="ar-SA"/>
        </w:rPr>
      </w:pPr>
      <w:r w:rsidRPr="009D537D">
        <w:rPr>
          <w:rFonts w:eastAsia="SimSun"/>
          <w:u w:val="single"/>
          <w:lang w:eastAsia="zh-CN" w:bidi="ar-SA"/>
        </w:rPr>
        <w:t xml:space="preserve">In a PBSS, if an initiating STA receives an EAPOL-Start message from a peer STA after sending an EAPOL-Start message to the same peer STA, and before receiving an EAP-Request message from the peer STA, and the source address of the received EAPOL-Start message is higher than its own MAC address, in which case the initiating STA shall silently discard the received EAPOL-Start message and shall not send an EAP-Request message to the peer STA. If the initiating STA receives an EAPOL-Start message from the peer STA after sending an EAPOL-Start message to the same peer STA, and before receiving an EAP-Request message from the peer STA, and the source address of the received EAPOL-Start message is lower than its own MAC address, in which case the initiating STA shall terminate the authentication it initiates and shall send an EAP-Request message to the peer STA. </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Upon initial authentication between any pair of STAs, data frames, other than IEEE 802.1X messages, are not allowed to flow between the pair of STAs until both STAs in each pair of STAs have successfully completed AKM and have provided the supplied encryption keys.</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Upon the initiation of an IEEE 802.1X reauthentication by any STA of a pair of STAs, data frames will continue to flow between the STAs while authentication completes. Upon a timeout or failure in the authentication process, the Authenticator of the STA initiating the reauthentication shall cause a Deauthentication message to be sent to the Supplicant of the STA targeted for reauthentication. The Deauthentication message will cause both STAs in the pair of STAs to follow the deauthentication procedure defined in 11.3.1.3 (Deauthentication—originating STA) and 11.3.1.4 (Deauthentication— destination STA).</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u w:val="single"/>
          <w:lang w:eastAsia="zh-CN" w:bidi="ar-SA"/>
        </w:rPr>
        <w:t>In an IBSS,</w:t>
      </w:r>
      <w:r w:rsidRPr="009D537D">
        <w:rPr>
          <w:rFonts w:eastAsia="SimSun"/>
          <w:lang w:eastAsia="zh-CN" w:bidi="ar-SA"/>
        </w:rPr>
        <w:t xml:space="preserve"> </w:t>
      </w:r>
      <w:r w:rsidR="00D72C71">
        <w:rPr>
          <w:rFonts w:eastAsia="SimSun"/>
          <w:lang w:eastAsia="zh-CN" w:bidi="ar-SA"/>
        </w:rPr>
        <w:t>T</w:t>
      </w:r>
      <w:r w:rsidRPr="009D537D">
        <w:rPr>
          <w:rFonts w:eastAsia="SimSun"/>
          <w:lang w:eastAsia="zh-CN" w:bidi="ar-SA"/>
        </w:rPr>
        <w:t>he IEEE 802.1X reauthentication timers in each STA are independent. If the reauthentication timer of the STA with the higher MAC address (see 8.5.1 (Key hierarchy) for MAC comparison) triggers the reauthentication via its Authenticator, its Supplicant must send an EAPOL-Start message to the authenticator of the STA with the lower MAC address to trigger reauthentication on the other STA. This process keeps the pair of STAs in a consistent state with respect to derivation of fresh temporal keys upon an IEEE 802.1X reauthentication.</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u w:val="single"/>
          <w:lang w:eastAsia="zh-CN" w:bidi="ar-SA"/>
        </w:rPr>
        <w:t>In an IBSS,</w:t>
      </w:r>
      <w:r w:rsidRPr="009D537D">
        <w:rPr>
          <w:rFonts w:eastAsia="SimSun"/>
          <w:lang w:eastAsia="zh-CN" w:bidi="ar-SA"/>
        </w:rPr>
        <w:t xml:space="preserve"> </w:t>
      </w:r>
      <w:r w:rsidR="00D72C71">
        <w:rPr>
          <w:rFonts w:eastAsia="SimSun"/>
          <w:lang w:eastAsia="zh-CN" w:bidi="ar-SA"/>
        </w:rPr>
        <w:t>W</w:t>
      </w:r>
      <w:r w:rsidRPr="009D537D">
        <w:rPr>
          <w:rFonts w:eastAsia="SimSun"/>
          <w:lang w:eastAsia="zh-CN" w:bidi="ar-SA"/>
        </w:rPr>
        <w:t>hen it receives an MLME-AUTHENTICATE.indication primitive due to an Open System authentication request, the IEEE 802.11 management entity on a targeted STA shall, if it intends to set up a security association with the peer STA, request its Authenticator to begin IEEE 802.1X authentication, i.e., to send an EAP-Request/Identity message or Message 1 of the 4-Way Handshake to the Supplicant.</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The EAPOL-Key frame is used to exchange information between the Supplicant and the Authenticator to negotiate a fresh PTK. The 4-Way Handshake produces a single PTK from the PMK. The 4-Way Handshake and Group Key Handshake use the PTK to protect the GTK as it is transferred to the receiving STA.</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PSK authentication may also be used in an IBSS</w:t>
      </w:r>
      <w:r w:rsidRPr="009D537D">
        <w:rPr>
          <w:rFonts w:eastAsia="SimSun"/>
          <w:u w:val="single"/>
          <w:lang w:eastAsia="zh-CN" w:bidi="ar-SA"/>
        </w:rPr>
        <w:t>/PBSS</w:t>
      </w:r>
      <w:r w:rsidRPr="009D537D">
        <w:rPr>
          <w:rFonts w:eastAsia="SimSun"/>
          <w:lang w:eastAsia="zh-CN" w:bidi="ar-SA"/>
        </w:rPr>
        <w:t xml:space="preserve">. When a single PSK is shared among the IBSS STAs, the STA wishing to establish communication sends 4-Way Handshake Message 1 to the target STA(s). The targeted STA responds to Message 1 with Message 2 of the 4-Way Handshake and begins its 4-Way Handshake by sending Message 1 to the initiating STA. The two 4-Way Handshakes </w:t>
      </w:r>
      <w:r w:rsidRPr="009D537D">
        <w:rPr>
          <w:rFonts w:eastAsia="SimSun"/>
          <w:lang w:eastAsia="zh-CN" w:bidi="ar-SA"/>
        </w:rPr>
        <w:lastRenderedPageBreak/>
        <w:t xml:space="preserve">establish PTKSAs and GTKSAs to be used between the initiating STA and the targeted STA. PSK PMKIDs may also be used, enabling support for pairwise PSKs </w:t>
      </w:r>
      <w:r w:rsidRPr="009D537D">
        <w:rPr>
          <w:rFonts w:eastAsia="SimSun"/>
          <w:u w:val="single"/>
          <w:lang w:eastAsia="zh-CN" w:bidi="ar-SA"/>
        </w:rPr>
        <w:t>in an IBSS/PBSS</w:t>
      </w:r>
      <w:r w:rsidRPr="009D537D">
        <w:rPr>
          <w:rFonts w:eastAsia="SimSun"/>
          <w:lang w:eastAsia="zh-CN" w:bidi="ar-SA"/>
        </w:rPr>
        <w:t>.</w:t>
      </w:r>
    </w:p>
    <w:p w:rsidR="003912A7" w:rsidRPr="003912A7" w:rsidRDefault="003912A7" w:rsidP="003912A7">
      <w:pPr>
        <w:autoSpaceDE w:val="0"/>
        <w:autoSpaceDN w:val="0"/>
        <w:adjustRightInd w:val="0"/>
        <w:jc w:val="both"/>
        <w:rPr>
          <w:rFonts w:eastAsia="SimSun"/>
          <w:lang w:eastAsia="zh-CN" w:bidi="ar-SA"/>
        </w:rPr>
      </w:pPr>
    </w:p>
    <w:p w:rsidR="003912A7" w:rsidRPr="00D72C71" w:rsidRDefault="009D537D" w:rsidP="003912A7">
      <w:pPr>
        <w:jc w:val="both"/>
        <w:rPr>
          <w:bCs/>
          <w:iCs/>
          <w:u w:val="single"/>
        </w:rPr>
      </w:pPr>
      <w:r w:rsidRPr="009D537D">
        <w:rPr>
          <w:bCs/>
          <w:iCs/>
          <w:u w:val="single"/>
        </w:rPr>
        <w:t xml:space="preserve">When a single PSK is shared among the PBSS STAs, the STAs that have installed the PSK </w:t>
      </w:r>
      <w:r w:rsidRPr="009D537D">
        <w:rPr>
          <w:rFonts w:eastAsia="SimSun"/>
          <w:u w:val="single"/>
          <w:lang w:eastAsia="zh-CN" w:bidi="ar-SA"/>
        </w:rPr>
        <w:t>may include the PSKID for the PSK</w:t>
      </w:r>
      <w:r w:rsidRPr="009D537D">
        <w:rPr>
          <w:bCs/>
          <w:iCs/>
          <w:u w:val="single"/>
        </w:rPr>
        <w:t xml:space="preserve"> in the PMKID </w:t>
      </w:r>
      <w:smartTag w:uri="urn:schemas-microsoft-com:office:smarttags" w:element="PersonName">
        <w:r w:rsidRPr="009D537D">
          <w:rPr>
            <w:bCs/>
            <w:iCs/>
            <w:u w:val="single"/>
          </w:rPr>
          <w:t>Li</w:t>
        </w:r>
      </w:smartTag>
      <w:r w:rsidRPr="009D537D">
        <w:rPr>
          <w:bCs/>
          <w:iCs/>
          <w:u w:val="single"/>
        </w:rPr>
        <w:t>st field of the RSN element in the Probe Response and Information Response frames. The PCP may also include the PSKID for the PSK in the RSN element in the Beacon, mmWave Beacon, Announce, Probe Response and Information Response frames.</w:t>
      </w:r>
    </w:p>
    <w:p w:rsidR="003912A7" w:rsidRPr="00D72C71" w:rsidRDefault="003912A7" w:rsidP="003912A7">
      <w:pPr>
        <w:jc w:val="both"/>
        <w:rPr>
          <w:bCs/>
          <w:iCs/>
          <w:u w:val="single"/>
        </w:rPr>
      </w:pPr>
    </w:p>
    <w:p w:rsidR="003912A7" w:rsidRPr="00D72C71" w:rsidRDefault="009D537D" w:rsidP="003912A7">
      <w:pPr>
        <w:jc w:val="both"/>
        <w:rPr>
          <w:bCs/>
          <w:iCs/>
          <w:u w:val="single"/>
        </w:rPr>
      </w:pPr>
      <w:r w:rsidRPr="009D537D">
        <w:rPr>
          <w:bCs/>
          <w:iCs/>
          <w:u w:val="single"/>
        </w:rPr>
        <w:t xml:space="preserve">The PSKID is defined as: </w:t>
      </w:r>
    </w:p>
    <w:p w:rsidR="003912A7" w:rsidRPr="00D72C71" w:rsidRDefault="009D537D" w:rsidP="003912A7">
      <w:pPr>
        <w:ind w:firstLine="720"/>
        <w:jc w:val="both"/>
        <w:rPr>
          <w:bCs/>
          <w:iCs/>
          <w:u w:val="single"/>
        </w:rPr>
      </w:pPr>
      <w:r w:rsidRPr="009D537D">
        <w:rPr>
          <w:bCs/>
          <w:iCs/>
          <w:u w:val="single"/>
        </w:rPr>
        <w:t>PSKID = HMAC-SHA1-128(PSK, SSID)</w:t>
      </w:r>
    </w:p>
    <w:p w:rsidR="003912A7" w:rsidRPr="00D72C71" w:rsidRDefault="009D537D" w:rsidP="003912A7">
      <w:pPr>
        <w:jc w:val="both"/>
        <w:rPr>
          <w:bCs/>
          <w:iCs/>
          <w:u w:val="single"/>
        </w:rPr>
      </w:pPr>
      <w:r w:rsidRPr="009D537D">
        <w:rPr>
          <w:bCs/>
          <w:iCs/>
          <w:u w:val="single"/>
        </w:rPr>
        <w:t>Here, SSID is the SSID of the PBSS.</w:t>
      </w:r>
    </w:p>
    <w:p w:rsidR="003912A7" w:rsidRPr="00D72C71" w:rsidRDefault="003912A7" w:rsidP="003912A7">
      <w:pPr>
        <w:jc w:val="both"/>
        <w:rPr>
          <w:bCs/>
          <w:iCs/>
          <w:u w:val="single"/>
        </w:rPr>
      </w:pPr>
    </w:p>
    <w:p w:rsidR="003912A7" w:rsidRPr="00D72C71" w:rsidRDefault="009D537D" w:rsidP="003912A7">
      <w:pPr>
        <w:jc w:val="both"/>
        <w:rPr>
          <w:bCs/>
          <w:iCs/>
          <w:u w:val="single"/>
        </w:rPr>
      </w:pPr>
      <w:r w:rsidRPr="009D537D">
        <w:rPr>
          <w:bCs/>
          <w:iCs/>
          <w:u w:val="single"/>
        </w:rPr>
        <w:t xml:space="preserve">When PSK authentication is used in a PBSS, a STA wishing to establish communication with a targeted STA can skip pairwise authentication with the targeted STA if both STAs use a same PSK. If the targeted STA is the PCP, and the initiating STA chooses to (re)associate with the PCP, the initiating STA may include the PSKID for the PSK in the RSN element in the (Re)Association Request. Upon receipt of a (Re)Association Request with a PSKID, the PCP checks whether </w:t>
      </w:r>
      <w:r w:rsidRPr="009D537D">
        <w:rPr>
          <w:rFonts w:eastAsia="SimSun"/>
          <w:u w:val="single"/>
          <w:lang w:eastAsia="zh-CN" w:bidi="ar-SA"/>
        </w:rPr>
        <w:t>its Authenticator has retained a PSK for the PSKID, and whether the PSK is still valid. If so, it shall assert possession of that PSK by beginning the 4-Way Handshake after association has completed; otherwise it shall begin a full authentication after association has completed.</w:t>
      </w:r>
      <w:r w:rsidRPr="009D537D">
        <w:rPr>
          <w:bCs/>
          <w:iCs/>
          <w:u w:val="single"/>
        </w:rPr>
        <w:t xml:space="preserve"> If the initiating STA chooses not to associate with the targeted STA, it may initiate the 4-Way Handshake by sending</w:t>
      </w:r>
      <w:r w:rsidRPr="009D537D">
        <w:rPr>
          <w:rFonts w:eastAsia="SimSun"/>
          <w:u w:val="single"/>
          <w:lang w:eastAsia="zh-CN" w:bidi="ar-SA"/>
        </w:rPr>
        <w:t xml:space="preserve"> an EAPOL request message to the targeted STA. Upon receipt of an EAPOL request message, the targeted STA shall begin the 4-Way Handshake by using the PSK as the PMK.</w:t>
      </w:r>
    </w:p>
    <w:p w:rsidR="003912A7" w:rsidRPr="00D72C71" w:rsidRDefault="003912A7" w:rsidP="003912A7">
      <w:pPr>
        <w:jc w:val="both"/>
        <w:rPr>
          <w:bCs/>
          <w:iCs/>
          <w:u w:val="single"/>
        </w:rPr>
      </w:pPr>
    </w:p>
    <w:p w:rsidR="003912A7" w:rsidRPr="00D72C71" w:rsidRDefault="009D537D" w:rsidP="003912A7">
      <w:pPr>
        <w:jc w:val="both"/>
        <w:rPr>
          <w:rFonts w:eastAsia="SimSun"/>
          <w:u w:val="single"/>
          <w:lang w:eastAsia="zh-CN" w:bidi="ar-SA"/>
        </w:rPr>
      </w:pPr>
      <w:r w:rsidRPr="009D537D">
        <w:rPr>
          <w:rFonts w:eastAsia="SimSun"/>
          <w:u w:val="single"/>
          <w:lang w:eastAsia="zh-CN" w:bidi="ar-SA"/>
        </w:rPr>
        <w:t xml:space="preserve">In a PBSS, if an initiating STA receives an EAPOL request message from a targeted STA after sending an EAPOL request message to the same targeted STA, and before receiving Message 1 of the 4-Way Handshake from the targeted STA, and the source address of the received EAPOL request message is higher than its own MAC address, in which case the initiating STA shall silently discard the received EAPOL request message and shall not send Message 1 of the 4-Way Handshake to the targeted STA. If the initiating STA receives an EAPOL request message from the targeted STA after sending an EAPOL request message to the same targeted STA, and before receiving Message 1 of the 4-Way Handshake from the targeted STA, and the source address of the received EAPOL request message is lower than its own MAC address, in which case the initiating STA shall terminate the 4-Way Handshake it initiates and shall send Message 1 of the 4-Way Handshake to the targeted STA. </w:t>
      </w:r>
    </w:p>
    <w:p w:rsidR="00000C5F" w:rsidRDefault="00000C5F">
      <w:pPr>
        <w:rPr>
          <w:rFonts w:eastAsia="Arial Unicode MS"/>
          <w:lang w:bidi="ar-SA"/>
        </w:rPr>
      </w:pPr>
    </w:p>
    <w:p w:rsidR="00D72C71" w:rsidRPr="009448FC" w:rsidRDefault="00D72C71" w:rsidP="00D72C71">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D72C71" w:rsidRDefault="00D72C71" w:rsidP="00D72C71">
      <w:pPr>
        <w:rPr>
          <w:rFonts w:eastAsia="Arial Unicode MS"/>
          <w:lang w:bidi="ar-SA"/>
        </w:rPr>
      </w:pPr>
    </w:p>
    <w:p w:rsidR="00D72C71" w:rsidRPr="009448FC" w:rsidRDefault="00D72C71" w:rsidP="003701DB">
      <w:pPr>
        <w:pStyle w:val="Heading3"/>
        <w:numPr>
          <w:ilvl w:val="2"/>
          <w:numId w:val="143"/>
        </w:numPr>
        <w:rPr>
          <w:rFonts w:eastAsia="Arial Unicode MS"/>
        </w:rPr>
      </w:pPr>
      <w:bookmarkStart w:id="1050" w:name="_Toc259717046"/>
      <w:r>
        <w:rPr>
          <w:rFonts w:eastAsia="Arial Unicode MS"/>
        </w:rPr>
        <w:t>RSNA key management in an ESS</w:t>
      </w:r>
      <w:r w:rsidRPr="006F0835">
        <w:rPr>
          <w:rFonts w:eastAsia="Arial Unicode MS"/>
          <w:u w:val="single"/>
        </w:rPr>
        <w:t>/PBSS</w:t>
      </w:r>
      <w:bookmarkEnd w:id="1050"/>
    </w:p>
    <w:p w:rsidR="00000C5F" w:rsidRDefault="00000C5F">
      <w:pPr>
        <w:rPr>
          <w:rFonts w:eastAsia="Arial Unicode MS"/>
          <w:lang w:bidi="ar-SA"/>
        </w:rPr>
      </w:pPr>
    </w:p>
    <w:p w:rsidR="00D72C71" w:rsidRPr="009448FC" w:rsidRDefault="00D72C71" w:rsidP="00D72C71">
      <w:pPr>
        <w:rPr>
          <w:i/>
        </w:rPr>
      </w:pPr>
      <w:r w:rsidRPr="009448FC">
        <w:rPr>
          <w:i/>
        </w:rPr>
        <w:t xml:space="preserve">.11 editor: </w:t>
      </w:r>
      <w:r>
        <w:rPr>
          <w:i/>
        </w:rPr>
        <w:t>throughout this subclause, change “</w:t>
      </w:r>
      <w:r w:rsidRPr="003912A7">
        <w:t>AP</w:t>
      </w:r>
      <w:r>
        <w:rPr>
          <w:i/>
        </w:rPr>
        <w:t>” by “</w:t>
      </w:r>
      <w:r w:rsidRPr="003912A7">
        <w:t>AP</w:t>
      </w:r>
      <w:r w:rsidRPr="003912A7">
        <w:rPr>
          <w:u w:val="single"/>
        </w:rPr>
        <w:t>/PCP</w:t>
      </w:r>
      <w:r>
        <w:rPr>
          <w:i/>
        </w:rPr>
        <w:t>”</w:t>
      </w:r>
    </w:p>
    <w:p w:rsidR="00000C5F" w:rsidRDefault="00000C5F">
      <w:pPr>
        <w:rPr>
          <w:rFonts w:eastAsia="Arial Unicode MS"/>
          <w:lang w:bidi="ar-SA"/>
        </w:rPr>
      </w:pPr>
    </w:p>
    <w:p w:rsidR="00D72C71" w:rsidRPr="009448FC" w:rsidRDefault="00D72C71" w:rsidP="00D72C71">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D72C71" w:rsidRDefault="00D72C71" w:rsidP="00D72C71">
      <w:pPr>
        <w:rPr>
          <w:rFonts w:eastAsia="Arial Unicode MS"/>
          <w:lang w:bidi="ar-SA"/>
        </w:rPr>
      </w:pPr>
    </w:p>
    <w:p w:rsidR="00D72C71" w:rsidRPr="009448FC" w:rsidRDefault="00D72C71" w:rsidP="003701DB">
      <w:pPr>
        <w:pStyle w:val="Heading3"/>
        <w:numPr>
          <w:ilvl w:val="2"/>
          <w:numId w:val="143"/>
        </w:numPr>
        <w:rPr>
          <w:rFonts w:eastAsia="Arial Unicode MS"/>
        </w:rPr>
      </w:pPr>
      <w:bookmarkStart w:id="1051" w:name="_Toc259717047"/>
      <w:r>
        <w:rPr>
          <w:rFonts w:eastAsia="Arial Unicode MS"/>
        </w:rPr>
        <w:t>RSNA key management in an IBSS</w:t>
      </w:r>
      <w:r w:rsidRPr="006F0835">
        <w:rPr>
          <w:rFonts w:eastAsia="Arial Unicode MS"/>
          <w:u w:val="single"/>
        </w:rPr>
        <w:t>/PBSS</w:t>
      </w:r>
      <w:bookmarkEnd w:id="1051"/>
    </w:p>
    <w:p w:rsidR="00000C5F" w:rsidRDefault="00000C5F">
      <w:pPr>
        <w:ind w:left="720"/>
        <w:rPr>
          <w:rFonts w:eastAsia="Arial Unicode MS"/>
          <w:lang w:bidi="ar-SA"/>
        </w:rPr>
      </w:pPr>
    </w:p>
    <w:p w:rsidR="008E7597" w:rsidRPr="009448FC" w:rsidRDefault="008E7597" w:rsidP="008E7597">
      <w:pPr>
        <w:rPr>
          <w:i/>
        </w:rPr>
      </w:pPr>
      <w:r w:rsidRPr="009448FC">
        <w:rPr>
          <w:i/>
        </w:rPr>
        <w:lastRenderedPageBreak/>
        <w:t xml:space="preserve">.11 editor: </w:t>
      </w:r>
      <w:r>
        <w:rPr>
          <w:i/>
        </w:rPr>
        <w:t>change the paragraphs indicated below</w:t>
      </w:r>
    </w:p>
    <w:p w:rsidR="00000C5F" w:rsidRDefault="00000C5F">
      <w:pPr>
        <w:rPr>
          <w:rFonts w:eastAsia="Arial Unicode MS"/>
          <w:lang w:bidi="ar-SA"/>
        </w:rPr>
      </w:pPr>
    </w:p>
    <w:p w:rsidR="00D72C71" w:rsidRPr="00D72C71" w:rsidRDefault="009D537D" w:rsidP="00D72C71">
      <w:pPr>
        <w:autoSpaceDE w:val="0"/>
        <w:autoSpaceDN w:val="0"/>
        <w:adjustRightInd w:val="0"/>
        <w:jc w:val="both"/>
        <w:rPr>
          <w:rFonts w:eastAsia="SimSun"/>
          <w:lang w:eastAsia="zh-CN" w:bidi="ar-SA"/>
        </w:rPr>
      </w:pPr>
      <w:r w:rsidRPr="009D537D">
        <w:rPr>
          <w:rFonts w:eastAsia="SimSun"/>
          <w:lang w:eastAsia="zh-CN" w:bidi="ar-SA"/>
        </w:rPr>
        <w:t>To establish a security association between two STAs in an IBSS, each STA’s SME must have an accompanying IEEE 802.1X Authenticator and Supplicant. Each STA’s SME initiates the 4-Way Handshake from the Authenticator to the peer STA’s Supplicant (see 8.4.7 (RSNA authentication in an IBSS</w:t>
      </w:r>
      <w:r w:rsidRPr="009D537D">
        <w:rPr>
          <w:rFonts w:eastAsia="SimSun"/>
          <w:u w:val="single"/>
          <w:lang w:eastAsia="zh-CN" w:bidi="ar-SA"/>
        </w:rPr>
        <w:t>/PBSS</w:t>
      </w:r>
      <w:r w:rsidRPr="009D537D">
        <w:rPr>
          <w:rFonts w:eastAsia="SimSun"/>
          <w:lang w:eastAsia="zh-CN" w:bidi="ar-SA"/>
        </w:rPr>
        <w:t xml:space="preserve">)). Two separate 4-Way Handshakes are conducted. </w:t>
      </w:r>
      <w:r w:rsidRPr="009D537D">
        <w:rPr>
          <w:rFonts w:eastAsia="SimSun"/>
          <w:u w:val="single"/>
          <w:lang w:eastAsia="zh-CN" w:bidi="ar-SA"/>
        </w:rPr>
        <w:t>In a PBSS, one 4-Way Handshake is conducted from an intiating STA to a peer STA (see 8.4.7 (RSNA authentication in an IBSS/PBSS)).</w:t>
      </w:r>
    </w:p>
    <w:p w:rsidR="00D72C71" w:rsidRPr="00D72C71" w:rsidRDefault="00D72C71" w:rsidP="00D72C71">
      <w:pPr>
        <w:autoSpaceDE w:val="0"/>
        <w:autoSpaceDN w:val="0"/>
        <w:adjustRightInd w:val="0"/>
        <w:jc w:val="both"/>
        <w:rPr>
          <w:rFonts w:eastAsia="SimSun"/>
          <w:lang w:eastAsia="zh-CN" w:bidi="ar-SA"/>
        </w:rPr>
      </w:pPr>
    </w:p>
    <w:p w:rsidR="00D72C71" w:rsidRPr="00D72C71" w:rsidRDefault="009D537D" w:rsidP="00C128F2">
      <w:pPr>
        <w:autoSpaceDE w:val="0"/>
        <w:autoSpaceDN w:val="0"/>
        <w:adjustRightInd w:val="0"/>
        <w:jc w:val="both"/>
        <w:rPr>
          <w:rFonts w:eastAsia="SimSun"/>
          <w:lang w:eastAsia="zh-CN" w:bidi="ar-SA"/>
        </w:rPr>
      </w:pPr>
      <w:r w:rsidRPr="009D537D">
        <w:rPr>
          <w:rFonts w:eastAsia="SimSun"/>
          <w:lang w:eastAsia="zh-CN" w:bidi="ar-SA"/>
        </w:rPr>
        <w:t>The 4-Way Handshake is used to negotiate the pairwise cipher suites, as described in 8.4.4 (RSNA policy selection in an IBSS</w:t>
      </w:r>
      <w:r w:rsidRPr="009D537D">
        <w:rPr>
          <w:rFonts w:eastAsia="SimSun"/>
          <w:u w:val="single"/>
          <w:lang w:eastAsia="zh-CN" w:bidi="ar-SA"/>
        </w:rPr>
        <w:t>/PBSS</w:t>
      </w:r>
      <w:r w:rsidRPr="009D537D">
        <w:rPr>
          <w:rFonts w:eastAsia="SimSun"/>
          <w:lang w:eastAsia="zh-CN" w:bidi="ar-SA"/>
        </w:rPr>
        <w:t xml:space="preserve">). The IEEE 802.11 SME configures the temporal key portion of the PTK into the IEEE 802.11 MAC. Each Authenticator uses the KCK and KEK portions of the PTK negotiated by the exchange it initiates to distribute its own GTK and if Management Frame Protection is enabled, its own IGTK. Each Authenticator generates its own GTK and if Management Frame Protection is enabled, its own IGTK, and uses either the 4-Way Handshake or the Group Key Handshake to transfer the GTK and if Management Frame Protection is negotiated, the IGTK, to other STAs with whom it has completed a 4-Way Handshake. </w:t>
      </w:r>
      <w:r w:rsidRPr="009D537D">
        <w:rPr>
          <w:rFonts w:eastAsia="SimSun"/>
          <w:u w:val="single"/>
          <w:lang w:eastAsia="zh-CN" w:bidi="ar-SA"/>
        </w:rPr>
        <w:t>In an IBSS,</w:t>
      </w:r>
      <w:r w:rsidRPr="009D537D">
        <w:rPr>
          <w:rFonts w:eastAsia="SimSun"/>
          <w:lang w:eastAsia="zh-CN" w:bidi="ar-SA"/>
        </w:rPr>
        <w:t xml:space="preserve"> </w:t>
      </w:r>
      <w:r w:rsidR="00C128F2">
        <w:rPr>
          <w:rFonts w:eastAsia="SimSun"/>
          <w:lang w:eastAsia="zh-CN" w:bidi="ar-SA"/>
        </w:rPr>
        <w:t>t</w:t>
      </w:r>
      <w:r w:rsidR="00C128F2" w:rsidRPr="009D537D">
        <w:rPr>
          <w:rFonts w:eastAsia="SimSun"/>
          <w:lang w:eastAsia="zh-CN" w:bidi="ar-SA"/>
        </w:rPr>
        <w:t xml:space="preserve">he </w:t>
      </w:r>
      <w:r w:rsidRPr="009D537D">
        <w:rPr>
          <w:rFonts w:eastAsia="SimSun"/>
          <w:lang w:eastAsia="zh-CN" w:bidi="ar-SA"/>
        </w:rPr>
        <w:t>pairwise key used between any two STAs shall be the pairwise key from the 4-Way Handshake initiated by the STA with the highest MAC address.</w:t>
      </w:r>
    </w:p>
    <w:p w:rsidR="00D72C71" w:rsidRPr="00D72C71" w:rsidRDefault="00D72C71" w:rsidP="00D72C71">
      <w:pPr>
        <w:autoSpaceDE w:val="0"/>
        <w:autoSpaceDN w:val="0"/>
        <w:adjustRightInd w:val="0"/>
        <w:jc w:val="both"/>
        <w:rPr>
          <w:rFonts w:eastAsia="SimSun"/>
          <w:lang w:eastAsia="zh-CN" w:bidi="ar-SA"/>
        </w:rPr>
      </w:pPr>
    </w:p>
    <w:p w:rsidR="00000C5F" w:rsidRDefault="009D537D">
      <w:pPr>
        <w:rPr>
          <w:rFonts w:eastAsia="Arial Unicode MS"/>
          <w:lang w:bidi="ar-SA"/>
        </w:rPr>
      </w:pPr>
      <w:r w:rsidRPr="009D537D">
        <w:rPr>
          <w:rFonts w:eastAsia="SimSun"/>
          <w:lang w:eastAsia="zh-CN" w:bidi="ar-SA"/>
        </w:rPr>
        <w:t>A STA joining an IBSS</w:t>
      </w:r>
      <w:r w:rsidRPr="009D537D">
        <w:rPr>
          <w:rFonts w:eastAsia="SimSun"/>
          <w:u w:val="single"/>
          <w:lang w:eastAsia="zh-CN" w:bidi="ar-SA"/>
        </w:rPr>
        <w:t>/PBSS</w:t>
      </w:r>
      <w:r w:rsidRPr="009D537D">
        <w:rPr>
          <w:rFonts w:eastAsia="SimSun"/>
          <w:lang w:eastAsia="zh-CN" w:bidi="ar-SA"/>
        </w:rPr>
        <w:t xml:space="preserve"> is required to adopt the security configuration of the IBSS</w:t>
      </w:r>
      <w:r w:rsidRPr="009D537D">
        <w:rPr>
          <w:rFonts w:eastAsia="SimSun"/>
          <w:u w:val="single"/>
          <w:lang w:eastAsia="zh-CN" w:bidi="ar-SA"/>
        </w:rPr>
        <w:t>/PBSS</w:t>
      </w:r>
      <w:r w:rsidRPr="009D537D">
        <w:rPr>
          <w:rFonts w:eastAsia="SimSun"/>
          <w:lang w:eastAsia="zh-CN" w:bidi="ar-SA"/>
        </w:rPr>
        <w:t>, which includes the group cipher suite, pairwise cipher suite, AKMP, and if Management Frame Protection is enabled, Group Management Cipher Suite (see 8.4.4 (RSNA policy selection in an IBSS</w:t>
      </w:r>
      <w:r w:rsidRPr="009D537D">
        <w:rPr>
          <w:rFonts w:eastAsia="SimSun"/>
          <w:u w:val="single"/>
          <w:lang w:eastAsia="zh-CN" w:bidi="ar-SA"/>
        </w:rPr>
        <w:t>/PBSS</w:t>
      </w:r>
      <w:r w:rsidRPr="009D537D">
        <w:rPr>
          <w:rFonts w:eastAsia="SimSun"/>
          <w:lang w:eastAsia="zh-CN" w:bidi="ar-SA"/>
        </w:rPr>
        <w:t>)). The STA shall not set up a security association with any STA having a different security configuration. The Beacon and Probe Response frames of the various STAs within an IBSS must reflect a consistent security policy, as the beacon initiation rotates among the STAs.</w:t>
      </w:r>
    </w:p>
    <w:p w:rsidR="00000C5F" w:rsidRDefault="00000C5F">
      <w:pPr>
        <w:rPr>
          <w:rFonts w:eastAsia="Arial Unicode MS"/>
          <w:lang w:bidi="ar-SA"/>
        </w:rPr>
      </w:pPr>
    </w:p>
    <w:p w:rsidR="00F152C3" w:rsidRPr="009448FC" w:rsidRDefault="001140CA" w:rsidP="003701DB">
      <w:pPr>
        <w:pStyle w:val="Heading3"/>
        <w:numPr>
          <w:ilvl w:val="2"/>
          <w:numId w:val="146"/>
        </w:numPr>
        <w:rPr>
          <w:rFonts w:eastAsia="SimSun"/>
        </w:rPr>
      </w:pPr>
      <w:bookmarkStart w:id="1052" w:name="_Ref243985733"/>
      <w:bookmarkStart w:id="1053" w:name="_Toc259717048"/>
      <w:r w:rsidRPr="009448FC">
        <w:rPr>
          <w:rFonts w:eastAsia="SimSun"/>
        </w:rPr>
        <w:t>R</w:t>
      </w:r>
      <w:r w:rsidR="00F152C3" w:rsidRPr="009448FC">
        <w:rPr>
          <w:rFonts w:eastAsia="SimSun"/>
        </w:rPr>
        <w:t>SNA security association termination</w:t>
      </w:r>
      <w:bookmarkEnd w:id="1052"/>
      <w:bookmarkEnd w:id="1053"/>
    </w:p>
    <w:p w:rsidR="00F152C3" w:rsidRPr="009448FC" w:rsidRDefault="00F152C3" w:rsidP="00F152C3">
      <w:pPr>
        <w:rPr>
          <w:b/>
          <w:i/>
          <w:shd w:val="clear" w:color="auto" w:fill="FFFF00"/>
        </w:rPr>
      </w:pPr>
    </w:p>
    <w:p w:rsidR="00F152C3" w:rsidRPr="009448FC" w:rsidRDefault="00C638EB" w:rsidP="00F152C3">
      <w:pPr>
        <w:rPr>
          <w:i/>
        </w:rPr>
      </w:pPr>
      <w:r w:rsidRPr="009448FC">
        <w:rPr>
          <w:i/>
        </w:rPr>
        <w:t>.11</w:t>
      </w:r>
      <w:r w:rsidR="00157268" w:rsidRPr="009448FC">
        <w:rPr>
          <w:i/>
        </w:rPr>
        <w:t xml:space="preserve"> </w:t>
      </w:r>
      <w:r w:rsidRPr="009448FC">
        <w:rPr>
          <w:i/>
        </w:rPr>
        <w:t>editor:</w:t>
      </w:r>
      <w:r w:rsidR="00F152C3" w:rsidRPr="009448FC">
        <w:rPr>
          <w:i/>
        </w:rPr>
        <w:t xml:space="preserve"> add</w:t>
      </w:r>
      <w:r w:rsidR="00281486" w:rsidRPr="009448FC">
        <w:rPr>
          <w:i/>
        </w:rPr>
        <w:t xml:space="preserve"> </w:t>
      </w:r>
      <w:r w:rsidR="00F152C3" w:rsidRPr="009448FC">
        <w:rPr>
          <w:i/>
        </w:rPr>
        <w:t>the following paragraphs in this subclause as indicated</w:t>
      </w:r>
    </w:p>
    <w:p w:rsidR="00632F1D" w:rsidRPr="00066F65" w:rsidRDefault="00146A3A" w:rsidP="00632F1D">
      <w:pPr>
        <w:autoSpaceDE w:val="0"/>
        <w:jc w:val="both"/>
        <w:rPr>
          <w:rFonts w:eastAsia="SimSun"/>
          <w:b/>
          <w:i/>
          <w:color w:val="FF0000"/>
          <w:sz w:val="23"/>
          <w:szCs w:val="23"/>
          <w:u w:val="single"/>
          <w:lang w:eastAsia="ar-SA" w:bidi="ar-SA"/>
        </w:rPr>
      </w:pPr>
      <w:r w:rsidRPr="00066F65">
        <w:rPr>
          <w:rFonts w:eastAsia="SimSun"/>
          <w:b/>
          <w:i/>
          <w:color w:val="FF0000"/>
          <w:sz w:val="23"/>
          <w:szCs w:val="23"/>
          <w:u w:val="single"/>
          <w:lang w:eastAsia="ar-SA" w:bidi="ar-SA"/>
        </w:rPr>
        <w:t xml:space="preserve"> </w:t>
      </w:r>
    </w:p>
    <w:p w:rsidR="00F152C3" w:rsidRPr="009448FC" w:rsidRDefault="00F152C3" w:rsidP="00F152C3">
      <w:pPr>
        <w:autoSpaceDE w:val="0"/>
        <w:jc w:val="both"/>
        <w:rPr>
          <w:rFonts w:eastAsia="Arial Unicode MS"/>
        </w:rPr>
      </w:pPr>
      <w:r w:rsidRPr="009448FC">
        <w:rPr>
          <w:rFonts w:eastAsia="Arial Unicode MS"/>
        </w:rPr>
        <w:t>When an STA’s SME receives an MLME-PN-Exhaustion.indication primitive, and the PN is associated with a PTKSA, the STA’s SME shall invoke an MLME Disassociation primitive and delete the PTKSA.</w:t>
      </w:r>
    </w:p>
    <w:p w:rsidR="00F152C3" w:rsidRPr="009448FC" w:rsidRDefault="00F152C3" w:rsidP="00F152C3">
      <w:pPr>
        <w:autoSpaceDE w:val="0"/>
        <w:jc w:val="both"/>
        <w:rPr>
          <w:rFonts w:eastAsia="Arial Unicode MS"/>
        </w:rPr>
      </w:pPr>
    </w:p>
    <w:p w:rsidR="00F152C3" w:rsidRPr="009448FC" w:rsidRDefault="00F152C3" w:rsidP="00F152C3">
      <w:pPr>
        <w:autoSpaceDE w:val="0"/>
        <w:jc w:val="both"/>
        <w:rPr>
          <w:rFonts w:eastAsia="Arial Unicode MS"/>
        </w:rPr>
      </w:pPr>
      <w:r w:rsidRPr="009448FC">
        <w:rPr>
          <w:rFonts w:eastAsia="Arial Unicode MS"/>
        </w:rPr>
        <w:t xml:space="preserve">When a STA’s SME receives an MLME-PN-Exhaustion.indication primitive, and the PN is associated with a GTKSA, the STA’s SME shall delete the GTKSA. </w:t>
      </w:r>
    </w:p>
    <w:p w:rsidR="00F152C3" w:rsidRPr="009448FC" w:rsidRDefault="00F152C3" w:rsidP="00F152C3">
      <w:pPr>
        <w:autoSpaceDE w:val="0"/>
        <w:jc w:val="both"/>
        <w:rPr>
          <w:rFonts w:eastAsia="Arial Unicode MS"/>
        </w:rPr>
      </w:pPr>
    </w:p>
    <w:p w:rsidR="00F152C3" w:rsidRPr="009448FC" w:rsidRDefault="00F152C3" w:rsidP="00F152C3">
      <w:pPr>
        <w:autoSpaceDE w:val="0"/>
        <w:jc w:val="both"/>
        <w:rPr>
          <w:rFonts w:eastAsia="Arial Unicode MS"/>
        </w:rPr>
      </w:pPr>
      <w:r w:rsidRPr="009448FC">
        <w:rPr>
          <w:rFonts w:eastAsia="Arial Unicode MS"/>
        </w:rPr>
        <w:t xml:space="preserve">When a STA’s SME receives an MLME-PN-Exhaustion.indication primitive, and the PN is associated with a STKSA, the STA’s SME shall invoke a STSL application teardown procedure for the STKSA and delete the STKSA. </w:t>
      </w:r>
    </w:p>
    <w:p w:rsidR="00F152C3" w:rsidRPr="009448FC" w:rsidRDefault="00F152C3" w:rsidP="00F152C3">
      <w:pPr>
        <w:autoSpaceDE w:val="0"/>
        <w:jc w:val="both"/>
        <w:rPr>
          <w:rFonts w:eastAsia="Arial Unicode MS"/>
        </w:rPr>
      </w:pPr>
    </w:p>
    <w:p w:rsidR="00F152C3" w:rsidRPr="009448FC" w:rsidRDefault="00F152C3" w:rsidP="00F152C3">
      <w:pPr>
        <w:autoSpaceDE w:val="0"/>
        <w:jc w:val="both"/>
        <w:rPr>
          <w:rFonts w:eastAsia="Arial Unicode MS"/>
        </w:rPr>
      </w:pPr>
      <w:r w:rsidRPr="009448FC">
        <w:rPr>
          <w:rFonts w:eastAsia="Arial Unicode MS"/>
        </w:rPr>
        <w:t>Once the security associations have been deleted, the SME then invokes MLME-DELETEKEYS.request primitive to delete all temporal keys associated with the deleted security associations.</w:t>
      </w:r>
    </w:p>
    <w:p w:rsidR="00EF0E1F" w:rsidRPr="009448FC" w:rsidRDefault="00EF0E1F" w:rsidP="00F152C3">
      <w:pPr>
        <w:autoSpaceDE w:val="0"/>
        <w:jc w:val="both"/>
        <w:rPr>
          <w:rFonts w:eastAsia="Arial Unicode MS"/>
        </w:rPr>
      </w:pPr>
    </w:p>
    <w:p w:rsidR="00EF0E1F" w:rsidRPr="009448FC" w:rsidRDefault="00C638EB" w:rsidP="00EF0E1F">
      <w:pPr>
        <w:autoSpaceDE w:val="0"/>
        <w:jc w:val="both"/>
        <w:rPr>
          <w:i/>
        </w:rPr>
      </w:pPr>
      <w:r w:rsidRPr="009448FC">
        <w:rPr>
          <w:i/>
        </w:rPr>
        <w:t xml:space="preserve">.11 editor: </w:t>
      </w:r>
      <w:r w:rsidR="00EF0E1F" w:rsidRPr="009448FC">
        <w:rPr>
          <w:i/>
        </w:rPr>
        <w:t>add</w:t>
      </w:r>
      <w:r w:rsidR="00281486" w:rsidRPr="009448FC">
        <w:rPr>
          <w:i/>
        </w:rPr>
        <w:t xml:space="preserve"> </w:t>
      </w:r>
      <w:r w:rsidR="00EF0E1F" w:rsidRPr="009448FC">
        <w:rPr>
          <w:i/>
        </w:rPr>
        <w:t>subclause 8.4.11</w:t>
      </w:r>
    </w:p>
    <w:p w:rsidR="00EF0E1F" w:rsidRPr="009448FC" w:rsidRDefault="00EF0E1F" w:rsidP="00EF0E1F">
      <w:pPr>
        <w:rPr>
          <w:rFonts w:ascii="Arial" w:eastAsia="SimSun" w:hAnsi="Arial"/>
          <w:b/>
          <w:sz w:val="23"/>
        </w:rPr>
      </w:pPr>
    </w:p>
    <w:p w:rsidR="00EF0E1F" w:rsidRPr="009448FC" w:rsidRDefault="001140CA" w:rsidP="003701DB">
      <w:pPr>
        <w:pStyle w:val="Heading3"/>
        <w:numPr>
          <w:ilvl w:val="2"/>
          <w:numId w:val="146"/>
        </w:numPr>
        <w:rPr>
          <w:rFonts w:eastAsia="SimSun"/>
        </w:rPr>
      </w:pPr>
      <w:bookmarkStart w:id="1054" w:name="_Toc259717049"/>
      <w:r w:rsidRPr="009448FC">
        <w:rPr>
          <w:rFonts w:eastAsia="SimSun"/>
        </w:rPr>
        <w:lastRenderedPageBreak/>
        <w:t>R</w:t>
      </w:r>
      <w:r w:rsidR="00EF0E1F" w:rsidRPr="009448FC">
        <w:rPr>
          <w:rFonts w:eastAsia="SimSun"/>
        </w:rPr>
        <w:t>SNA rekeying</w:t>
      </w:r>
      <w:bookmarkEnd w:id="1054"/>
    </w:p>
    <w:p w:rsidR="00EF0E1F" w:rsidRPr="009448FC" w:rsidRDefault="00EF0E1F" w:rsidP="00EF0E1F">
      <w:pPr>
        <w:rPr>
          <w:sz w:val="23"/>
        </w:rPr>
      </w:pPr>
    </w:p>
    <w:p w:rsidR="00EF0E1F" w:rsidRPr="009448FC" w:rsidRDefault="00EF0E1F" w:rsidP="00EF0E1F">
      <w:pPr>
        <w:jc w:val="both"/>
      </w:pPr>
      <w:r w:rsidRPr="009448FC">
        <w:t>When a PTKSA is deleted due to PN exhaustion, a non-PCP/AP STA may reassociate with the same PCP/AP and/or establish a new RSNA with the PCP/AP. If the non-PCP/AP STA has cached one or more PMKSAs, it may skip the PMKSA establishment and proceed with the creation of a new PTKSA by using 4-Way Handshake.</w:t>
      </w:r>
    </w:p>
    <w:p w:rsidR="00EF0E1F" w:rsidRPr="009448FC" w:rsidRDefault="00EF0E1F" w:rsidP="00EF0E1F">
      <w:pPr>
        <w:jc w:val="both"/>
      </w:pPr>
    </w:p>
    <w:p w:rsidR="00EF0E1F" w:rsidRPr="009448FC" w:rsidRDefault="00EF0E1F" w:rsidP="00EF0E1F">
      <w:pPr>
        <w:jc w:val="both"/>
      </w:pPr>
      <w:r w:rsidRPr="009448FC">
        <w:t>When a GTKSA is deleted due to PN exhaustion, an originating STA may create a new GTKSA by using 4-Way Handshake or Group Key Handshake.</w:t>
      </w:r>
    </w:p>
    <w:p w:rsidR="00EF0E1F" w:rsidRPr="009448FC" w:rsidRDefault="00EF0E1F" w:rsidP="00EF0E1F">
      <w:pPr>
        <w:jc w:val="both"/>
      </w:pPr>
    </w:p>
    <w:p w:rsidR="00EF0E1F" w:rsidRPr="009448FC" w:rsidRDefault="00EF0E1F" w:rsidP="00EF0E1F">
      <w:pPr>
        <w:jc w:val="both"/>
      </w:pPr>
      <w:r w:rsidRPr="009448FC">
        <w:t xml:space="preserve">When a STKSA is deleted due to PN exhaustion, the STA_I may establish a new STSL with the STA_P. If the SMK between the STA pair has not expired, the STA_I may initiate a 4-Way Handshake and create a new STKSA with STA_P. If the SMK has expired, the STA_I shall create both a new SMKSA and a new STKSA with the STA_P. </w:t>
      </w:r>
    </w:p>
    <w:p w:rsidR="00EF0E1F" w:rsidRPr="009448FC" w:rsidRDefault="00EF0E1F" w:rsidP="00EF0E1F">
      <w:pPr>
        <w:jc w:val="both"/>
      </w:pPr>
    </w:p>
    <w:p w:rsidR="00EF0E1F" w:rsidRPr="009448FC" w:rsidRDefault="00EF0E1F" w:rsidP="00EF0E1F">
      <w:pPr>
        <w:jc w:val="both"/>
      </w:pPr>
      <w:r w:rsidRPr="009448FC">
        <w:t>An Authenticator / STA_I may initiate a 4-Way Handshake for the purpose of renewing the key associated with a PTKSA or STKSA. A supplicant / STA_P may send an EAPOL request message to the authenticator / STA_I to request rekeying. In addition, if both the Authenticator and the Supplicant support multiple keys for unicast traffic, a smooth switchover to the new key is possible using the following procedure.</w:t>
      </w:r>
    </w:p>
    <w:p w:rsidR="003A735B" w:rsidRPr="009448FC" w:rsidRDefault="003A735B" w:rsidP="00EF0E1F">
      <w:pPr>
        <w:jc w:val="both"/>
      </w:pPr>
    </w:p>
    <w:p w:rsidR="003A735B" w:rsidRPr="000F17B7" w:rsidRDefault="003A735B" w:rsidP="003A735B">
      <w:pPr>
        <w:jc w:val="both"/>
      </w:pPr>
      <w:r w:rsidRPr="000F17B7">
        <w:t xml:space="preserve">The 802.11 MAC shall issue an MLME-PNThresholdReached.indication when the Packet Number assignment for a particular PTKSA, GTKSA or STKSA reaches or exceeds dot11PNThreshold for the first time. The indication shall only be issued once for a given PTKSA, GTKSA or STKSA. The SME may use the indication as a trigger to establish a new PTKSA, GTKSA or STKSA before the Packet Number space is exhausted. </w:t>
      </w:r>
    </w:p>
    <w:p w:rsidR="00EF0E1F" w:rsidRPr="009448FC" w:rsidRDefault="00EF0E1F" w:rsidP="00EF0E1F">
      <w:pPr>
        <w:jc w:val="both"/>
      </w:pPr>
    </w:p>
    <w:p w:rsidR="00762536" w:rsidRPr="000F17B7" w:rsidRDefault="00762536" w:rsidP="00762536">
      <w:pPr>
        <w:jc w:val="both"/>
      </w:pPr>
      <w:r w:rsidRPr="000F17B7">
        <w:t>A PTKSA or STKSA has a limited lifetime, either in absolute time or due to exhausting the PN space. A STA that wishes to maintain an uninterrupted security association should establish a new PKTSA or STKSA prior to the expiry of the old PTKSA or STKSA.</w:t>
      </w:r>
    </w:p>
    <w:p w:rsidR="00762536" w:rsidRPr="000F17B7" w:rsidRDefault="00762536" w:rsidP="00762536">
      <w:pPr>
        <w:jc w:val="both"/>
      </w:pPr>
    </w:p>
    <w:p w:rsidR="00762536" w:rsidRPr="009448FC" w:rsidRDefault="00762536" w:rsidP="00762536">
      <w:pPr>
        <w:jc w:val="both"/>
        <w:rPr>
          <w:sz w:val="23"/>
        </w:rPr>
      </w:pPr>
      <w:r w:rsidRPr="000F17B7">
        <w:t xml:space="preserve">When both ends of the link support the expanded Key ID space for unicast traffic, it is possible to install the new PTKSA or STKSA without data loss, provided the new PTKSA or STKSA uses a different Key ID from the old PTKSA or STKSA. Data loss might occur if the same Key ID is used because it is not possible to precisely coordinate (due to software processing delays) when the new key is used for transmit at one end and when it is applied to receive at the other end. If a different Key ID is used for the new PTKSA or STKSA, then provided the new key is installed at the receive side prior to its first use at the transmit side there is no need for precise coordination. During the transition, received packets are unambiguously identified using the Key ID as belonging to either the old or new PTKSA or STKSA. </w:t>
      </w:r>
    </w:p>
    <w:p w:rsidR="00EA449D" w:rsidRPr="00903568" w:rsidRDefault="00C04196" w:rsidP="003701DB">
      <w:pPr>
        <w:pStyle w:val="Heading3"/>
        <w:numPr>
          <w:ilvl w:val="2"/>
          <w:numId w:val="146"/>
        </w:numPr>
        <w:autoSpaceDE w:val="0"/>
        <w:jc w:val="both"/>
        <w:rPr>
          <w:rFonts w:eastAsia="Arial Unicode MS"/>
        </w:rPr>
      </w:pPr>
      <w:bookmarkStart w:id="1055" w:name="_Ref246121609"/>
      <w:bookmarkStart w:id="1056" w:name="_Toc259717050"/>
      <w:r w:rsidRPr="00E43241">
        <w:rPr>
          <w:rFonts w:eastAsia="SimSun"/>
        </w:rPr>
        <w:t>Multi-band RSNA</w:t>
      </w:r>
      <w:bookmarkEnd w:id="1055"/>
      <w:bookmarkEnd w:id="1056"/>
      <w:r w:rsidR="003E52CC" w:rsidRPr="00E43241">
        <w:rPr>
          <w:rFonts w:eastAsia="SimSun"/>
        </w:rPr>
        <w:t xml:space="preserve"> </w:t>
      </w:r>
    </w:p>
    <w:p w:rsidR="003E52CC" w:rsidRPr="007C7B28" w:rsidRDefault="003E52CC" w:rsidP="003E52CC">
      <w:pPr>
        <w:jc w:val="both"/>
        <w:rPr>
          <w:rFonts w:eastAsia="SimSun"/>
          <w:bCs/>
          <w:lang w:eastAsia="zh-CN" w:bidi="ar-SA"/>
        </w:rPr>
      </w:pPr>
      <w:r w:rsidRPr="007C7B28">
        <w:rPr>
          <w:rFonts w:eastAsia="SimSun"/>
          <w:bCs/>
          <w:lang w:eastAsia="zh-CN" w:bidi="ar-SA"/>
        </w:rPr>
        <w:t xml:space="preserve">A STA is Multi-band capable and RSNA-capable if the </w:t>
      </w:r>
      <w:r w:rsidRPr="007C7B28">
        <w:rPr>
          <w:rFonts w:ascii="TimesNewRomanPSMT" w:eastAsia="SimSun" w:hAnsi="TimesNewRomanPSMT" w:cs="TimesNewRomanPSMT"/>
          <w:lang w:eastAsia="zh-CN" w:bidi="ar-SA"/>
        </w:rPr>
        <w:t>values of both its local MIB variables</w:t>
      </w:r>
      <w:r w:rsidRPr="007C7B28">
        <w:rPr>
          <w:rFonts w:eastAsia="SimSun"/>
          <w:bCs/>
          <w:lang w:eastAsia="zh-CN" w:bidi="ar-SA"/>
        </w:rPr>
        <w:t xml:space="preserve"> dot11MultibandSupportEnabled and dot11RSNAEnabled are true. </w:t>
      </w:r>
    </w:p>
    <w:p w:rsidR="003E52CC" w:rsidRPr="007C7B28" w:rsidRDefault="00BE5866" w:rsidP="003E52CC">
      <w:pPr>
        <w:jc w:val="both"/>
        <w:rPr>
          <w:rFonts w:eastAsia="SimSun"/>
          <w:bCs/>
          <w:lang w:eastAsia="zh-CN" w:bidi="ar-SA"/>
        </w:rPr>
      </w:pPr>
      <w:r>
        <w:rPr>
          <w:rFonts w:eastAsia="SimSun"/>
          <w:bCs/>
          <w:lang w:eastAsia="zh-CN" w:bidi="ar-SA"/>
        </w:rPr>
        <w:t xml:space="preserve"> </w:t>
      </w:r>
    </w:p>
    <w:p w:rsidR="003E52CC" w:rsidRDefault="008847A1" w:rsidP="003E52CC">
      <w:pPr>
        <w:jc w:val="both"/>
        <w:rPr>
          <w:rFonts w:eastAsia="SimSun"/>
          <w:bCs/>
          <w:lang w:eastAsia="zh-CN" w:bidi="ar-SA"/>
        </w:rPr>
      </w:pPr>
      <w:r w:rsidRPr="008847A1">
        <w:rPr>
          <w:rFonts w:eastAsia="SimSun"/>
          <w:bCs/>
          <w:lang w:eastAsia="zh-CN" w:bidi="ar-SA"/>
        </w:rPr>
        <w:t xml:space="preserve">A STA that is Multi-band capable and RSNA-capable shall set the Pairwise Cipher Suite Present field of the Multi-band element to 1 and shall include the Pairwise Cipher Suite Count field and the Pairwise Cipher Suite List field in the Multi-band element. The STA may include the RSN element </w:t>
      </w:r>
      <w:r w:rsidRPr="008847A1">
        <w:rPr>
          <w:rFonts w:eastAsia="SimSun"/>
          <w:bCs/>
          <w:lang w:eastAsia="zh-CN" w:bidi="ar-SA"/>
        </w:rPr>
        <w:lastRenderedPageBreak/>
        <w:t>and the Multi-band element in the mmWave Beacon and Announce frames, and shall include the RSN element and the Multi-band element in Beacon, Probe Response and Information Response frames. The included RSN element shall specify all the authentication and cipher suites enabled by the STA’s policy for the band where this element is transmitted, and the included Multi-band element shall specify all the pairwise cipher suites enabled by the STA’s policy for the band specified within the Multi-band element. A STA shall not advertise any cipher suite that is not enabled.</w:t>
      </w:r>
    </w:p>
    <w:p w:rsidR="003E52CC" w:rsidRPr="007C7B28" w:rsidRDefault="003E52CC" w:rsidP="003E52CC">
      <w:pPr>
        <w:jc w:val="both"/>
        <w:rPr>
          <w:rFonts w:eastAsia="SimSun"/>
          <w:bCs/>
          <w:lang w:eastAsia="zh-CN" w:bidi="ar-SA"/>
        </w:rPr>
      </w:pPr>
    </w:p>
    <w:p w:rsidR="003E52CC" w:rsidRPr="007C7B28" w:rsidRDefault="003E52CC" w:rsidP="003E52CC">
      <w:pPr>
        <w:jc w:val="both"/>
        <w:rPr>
          <w:rFonts w:eastAsia="SimSun"/>
          <w:bCs/>
          <w:lang w:eastAsia="zh-CN" w:bidi="ar-SA"/>
        </w:rPr>
      </w:pPr>
      <w:r w:rsidRPr="007C7B28">
        <w:rPr>
          <w:rFonts w:eastAsia="SimSun"/>
          <w:bCs/>
          <w:lang w:eastAsia="zh-CN" w:bidi="ar-SA"/>
        </w:rPr>
        <w:t xml:space="preserve">A </w:t>
      </w:r>
      <w:r>
        <w:rPr>
          <w:rFonts w:eastAsia="SimSun"/>
          <w:bCs/>
          <w:lang w:eastAsia="zh-CN" w:bidi="ar-SA"/>
        </w:rPr>
        <w:t xml:space="preserve">Multi-band capable and RSNA capable </w:t>
      </w:r>
      <w:r w:rsidRPr="007C7B28">
        <w:rPr>
          <w:rFonts w:eastAsia="SimSun"/>
          <w:bCs/>
          <w:lang w:eastAsia="zh-CN" w:bidi="ar-SA"/>
        </w:rPr>
        <w:t xml:space="preserve">STA </w:t>
      </w:r>
      <w:r>
        <w:rPr>
          <w:rFonts w:eastAsia="SimSun"/>
          <w:bCs/>
          <w:lang w:eastAsia="zh-CN" w:bidi="ar-SA"/>
        </w:rPr>
        <w:t xml:space="preserve">shall also include the Multi-band element in </w:t>
      </w:r>
      <w:r w:rsidRPr="007C7B28">
        <w:rPr>
          <w:bCs/>
          <w:iCs/>
        </w:rPr>
        <w:t>(Re)Association Request</w:t>
      </w:r>
      <w:r>
        <w:rPr>
          <w:bCs/>
          <w:iCs/>
        </w:rPr>
        <w:t xml:space="preserve"> frame </w:t>
      </w:r>
      <w:r w:rsidRPr="007C7B28">
        <w:rPr>
          <w:bCs/>
          <w:iCs/>
        </w:rPr>
        <w:t>and in Message 2 and Message 3 of the 4-Way Handshake</w:t>
      </w:r>
      <w:r>
        <w:rPr>
          <w:bCs/>
          <w:iCs/>
        </w:rPr>
        <w:t>.</w:t>
      </w:r>
      <w:r>
        <w:rPr>
          <w:rFonts w:eastAsia="SimSun"/>
          <w:bCs/>
          <w:lang w:eastAsia="zh-CN" w:bidi="ar-SA"/>
        </w:rPr>
        <w:t xml:space="preserve"> </w:t>
      </w:r>
    </w:p>
    <w:p w:rsidR="003E52CC" w:rsidRDefault="003E52CC" w:rsidP="003E52CC">
      <w:pPr>
        <w:jc w:val="both"/>
        <w:rPr>
          <w:rFonts w:eastAsia="SimSun"/>
          <w:bCs/>
          <w:lang w:eastAsia="zh-CN" w:bidi="ar-SA"/>
        </w:rPr>
      </w:pPr>
    </w:p>
    <w:p w:rsidR="003E52CC" w:rsidRPr="003E52CC" w:rsidRDefault="003E52CC" w:rsidP="003E52CC">
      <w:pPr>
        <w:jc w:val="both"/>
        <w:rPr>
          <w:rFonts w:eastAsia="SimSun"/>
          <w:bCs/>
          <w:lang w:eastAsia="zh-CN" w:bidi="ar-SA"/>
        </w:rPr>
      </w:pPr>
      <w:r w:rsidRPr="007C7B28">
        <w:rPr>
          <w:rFonts w:eastAsia="SimSun"/>
          <w:bCs/>
          <w:lang w:eastAsia="zh-CN" w:bidi="ar-SA"/>
        </w:rPr>
        <w:t xml:space="preserve">When a STA’s SME wants to set up an RSNA with a peer STA for a supported band, but does not know the peer STA’s policy for the supported band, it must first obtain the peer STA’s policy for the supported band by using a Probe Request frame or Information Request frame. </w:t>
      </w:r>
      <w:r w:rsidRPr="003E52CC">
        <w:rPr>
          <w:bCs/>
          <w:iCs/>
        </w:rPr>
        <w:t>The STA initiating RSNA establishment for a supported band is called initiator and the targeted STA of the RSNA establishment is called responder.</w:t>
      </w:r>
    </w:p>
    <w:p w:rsidR="003E52CC" w:rsidRPr="003E52CC" w:rsidRDefault="003E52CC" w:rsidP="003E52CC">
      <w:pPr>
        <w:jc w:val="both"/>
        <w:rPr>
          <w:bCs/>
          <w:iCs/>
        </w:rPr>
      </w:pPr>
    </w:p>
    <w:p w:rsidR="003E52CC" w:rsidRPr="00600D21" w:rsidRDefault="003E52CC" w:rsidP="00600D21">
      <w:pPr>
        <w:jc w:val="both"/>
        <w:rPr>
          <w:rFonts w:eastAsia="SimSun"/>
          <w:bCs/>
          <w:lang w:eastAsia="zh-CN" w:bidi="ar-SA"/>
        </w:rPr>
      </w:pPr>
      <w:r w:rsidRPr="007C7B28">
        <w:rPr>
          <w:rFonts w:eastAsia="SimSun"/>
          <w:bCs/>
          <w:lang w:eastAsia="zh-CN" w:bidi="ar-SA"/>
        </w:rPr>
        <w:t xml:space="preserve">A </w:t>
      </w:r>
      <w:r w:rsidR="00493DD7">
        <w:rPr>
          <w:rFonts w:eastAsia="SimSun"/>
          <w:bCs/>
          <w:lang w:eastAsia="zh-CN" w:bidi="ar-SA"/>
        </w:rPr>
        <w:t>multi-band</w:t>
      </w:r>
      <w:r w:rsidRPr="007C7B28">
        <w:rPr>
          <w:rFonts w:eastAsia="SimSun"/>
          <w:bCs/>
          <w:lang w:eastAsia="zh-CN" w:bidi="ar-SA"/>
        </w:rPr>
        <w:t xml:space="preserve"> capable STA may create its own group key(s) for one or more supported bands. If the STA uses different MAC addresses in different bands, different GTKSAs are created for different bands. If the STA uses a same MAC address in all supported bands, a single GTKSA is created for all supported bands.</w:t>
      </w:r>
      <w:r w:rsidR="00D11F2E">
        <w:rPr>
          <w:rFonts w:eastAsia="SimSun"/>
          <w:bCs/>
          <w:lang w:eastAsia="zh-CN" w:bidi="ar-SA"/>
        </w:rPr>
        <w:t xml:space="preserve"> </w:t>
      </w:r>
    </w:p>
    <w:p w:rsidR="003000E9" w:rsidRDefault="000F17B7" w:rsidP="003701DB">
      <w:pPr>
        <w:pStyle w:val="Heading4"/>
        <w:numPr>
          <w:ilvl w:val="3"/>
          <w:numId w:val="146"/>
        </w:numPr>
      </w:pPr>
      <w:bookmarkStart w:id="1057" w:name="_Toc259717051"/>
      <w:r>
        <w:t>Non-transparent multi-b</w:t>
      </w:r>
      <w:r w:rsidR="00345EB2">
        <w:t>and RSNA</w:t>
      </w:r>
      <w:bookmarkEnd w:id="1057"/>
      <w:r w:rsidR="00345EB2">
        <w:t xml:space="preserve"> </w:t>
      </w:r>
    </w:p>
    <w:p w:rsidR="00345EB2" w:rsidRPr="007C7B28" w:rsidRDefault="00345EB2" w:rsidP="00345EB2">
      <w:pPr>
        <w:jc w:val="both"/>
        <w:rPr>
          <w:rFonts w:eastAsia="SimSun"/>
          <w:bCs/>
          <w:u w:val="single"/>
          <w:lang w:eastAsia="zh-CN" w:bidi="ar-SA"/>
        </w:rPr>
      </w:pPr>
      <w:r w:rsidRPr="00345EB2">
        <w:rPr>
          <w:rFonts w:eastAsia="SimSun"/>
          <w:bCs/>
          <w:lang w:eastAsia="zh-CN" w:bidi="ar-SA"/>
        </w:rPr>
        <w:t xml:space="preserve">An initiator can establish a non-transparent multi-band RSNA with a responder for a supported band other than the current operating band. </w:t>
      </w:r>
      <w:r w:rsidRPr="00345EB2">
        <w:t>The</w:t>
      </w:r>
      <w:r w:rsidRPr="007C7B28">
        <w:t xml:space="preserve"> two STAs use a same PMKSA for both the supported band and the current operating band, and creates different PTKSAs for different bands.</w:t>
      </w:r>
      <w:r w:rsidR="00D11F2E">
        <w:t xml:space="preserve"> </w:t>
      </w:r>
    </w:p>
    <w:p w:rsidR="00345EB2" w:rsidRPr="007C7B28" w:rsidRDefault="00345EB2" w:rsidP="00345EB2">
      <w:pPr>
        <w:jc w:val="both"/>
        <w:rPr>
          <w:rFonts w:eastAsia="SimSun"/>
          <w:bCs/>
          <w:lang w:eastAsia="zh-CN" w:bidi="ar-SA"/>
        </w:rPr>
      </w:pPr>
    </w:p>
    <w:p w:rsidR="00345EB2" w:rsidRPr="007C7B28" w:rsidRDefault="00345EB2" w:rsidP="00345EB2">
      <w:pPr>
        <w:jc w:val="both"/>
        <w:rPr>
          <w:rFonts w:eastAsia="SimSun"/>
          <w:bCs/>
          <w:lang w:eastAsia="zh-CN" w:bidi="ar-SA"/>
        </w:rPr>
      </w:pPr>
      <w:r w:rsidRPr="007C7B28">
        <w:rPr>
          <w:rFonts w:eastAsia="SimSun"/>
          <w:bCs/>
          <w:lang w:eastAsia="zh-CN" w:bidi="ar-SA"/>
        </w:rPr>
        <w:t xml:space="preserve">If the initiator does not have an existing PMKSA with the responder, it shall first establish a PMKSA with the responder in the current operating band, and then use the PMKSA to create a PTKSA with the responder for the supported band. If the initiator has already established a PMKSA with the responder, the PMKSA shall be used to create a PTKSA between the two STAs for the supported band. </w:t>
      </w:r>
    </w:p>
    <w:p w:rsidR="00345EB2" w:rsidRPr="007C7B28" w:rsidRDefault="00345EB2" w:rsidP="00345EB2">
      <w:pPr>
        <w:jc w:val="both"/>
        <w:rPr>
          <w:rFonts w:eastAsia="SimSun"/>
          <w:bCs/>
          <w:lang w:eastAsia="zh-CN" w:bidi="ar-SA"/>
        </w:rPr>
      </w:pPr>
      <w:r w:rsidRPr="007C7B28">
        <w:rPr>
          <w:rFonts w:eastAsia="SimSun"/>
          <w:bCs/>
          <w:lang w:eastAsia="zh-CN" w:bidi="ar-SA"/>
        </w:rPr>
        <w:t xml:space="preserve"> </w:t>
      </w:r>
    </w:p>
    <w:p w:rsidR="00345EB2" w:rsidRPr="007C7B28" w:rsidRDefault="00345EB2" w:rsidP="00345EB2">
      <w:pPr>
        <w:jc w:val="both"/>
        <w:rPr>
          <w:rFonts w:eastAsia="SimSun"/>
          <w:bCs/>
          <w:lang w:eastAsia="zh-CN" w:bidi="ar-SA"/>
        </w:rPr>
      </w:pPr>
      <w:r w:rsidRPr="007C7B28">
        <w:rPr>
          <w:rFonts w:eastAsia="SimSun"/>
          <w:bCs/>
          <w:lang w:eastAsia="zh-CN" w:bidi="ar-SA"/>
        </w:rPr>
        <w:t xml:space="preserve">With the PMK in place, the STA pair wishing to establish a non-transparent multi-band RSNA for the supported band may start a 4-Way Handshake in the current operating band to negotiate a pairwise cipher suite for the supported band and establish a PTKSA for the supported band. As specified in 8.5.3, Message 2 and Message 3 of the 4-Way Handshake convey the </w:t>
      </w:r>
      <w:r>
        <w:rPr>
          <w:rFonts w:eastAsia="SimSun"/>
          <w:bCs/>
          <w:lang w:eastAsia="zh-CN" w:bidi="ar-SA"/>
        </w:rPr>
        <w:t>Multi-band element</w:t>
      </w:r>
      <w:r w:rsidRPr="007C7B28">
        <w:rPr>
          <w:rFonts w:eastAsia="SimSun"/>
          <w:bCs/>
          <w:lang w:eastAsia="zh-CN" w:bidi="ar-SA"/>
        </w:rPr>
        <w:t xml:space="preserve"> associated with the supported band. The </w:t>
      </w:r>
      <w:r>
        <w:rPr>
          <w:rFonts w:eastAsia="SimSun"/>
          <w:bCs/>
          <w:lang w:eastAsia="zh-CN" w:bidi="ar-SA"/>
        </w:rPr>
        <w:t>Multi-band</w:t>
      </w:r>
      <w:r w:rsidRPr="007C7B28">
        <w:rPr>
          <w:rFonts w:eastAsia="SimSun"/>
          <w:bCs/>
          <w:lang w:eastAsia="zh-CN" w:bidi="ar-SA"/>
        </w:rPr>
        <w:t xml:space="preserve"> element in Message 2 includes the selected pairwise cipher suite for the supported band. Message 3 includes the </w:t>
      </w:r>
      <w:r>
        <w:rPr>
          <w:rFonts w:eastAsia="SimSun"/>
          <w:bCs/>
          <w:lang w:eastAsia="zh-CN" w:bidi="ar-SA"/>
        </w:rPr>
        <w:t>Multi-band</w:t>
      </w:r>
      <w:r w:rsidRPr="007C7B28">
        <w:rPr>
          <w:rFonts w:eastAsia="SimSun"/>
          <w:bCs/>
          <w:lang w:eastAsia="zh-CN" w:bidi="ar-SA"/>
        </w:rPr>
        <w:t xml:space="preserve"> element that the STA would send in a Beacon, mmWave Beacon, Announce, Probe Response or Information Response frame. Message 3 may optionally include a second </w:t>
      </w:r>
      <w:r>
        <w:rPr>
          <w:rFonts w:eastAsia="SimSun"/>
          <w:bCs/>
          <w:lang w:eastAsia="zh-CN" w:bidi="ar-SA"/>
        </w:rPr>
        <w:t>Multi-band</w:t>
      </w:r>
      <w:r w:rsidRPr="007C7B28">
        <w:rPr>
          <w:rFonts w:eastAsia="SimSun"/>
          <w:bCs/>
          <w:lang w:eastAsia="zh-CN" w:bidi="ar-SA"/>
        </w:rPr>
        <w:t xml:space="preserve"> element that indicates the STA’s pairwise cipher suite assignment for the supported band.</w:t>
      </w:r>
    </w:p>
    <w:p w:rsidR="00345EB2" w:rsidRPr="007C7B28" w:rsidRDefault="00345EB2" w:rsidP="00345EB2">
      <w:pPr>
        <w:jc w:val="both"/>
        <w:rPr>
          <w:rFonts w:eastAsia="SimSun"/>
          <w:bCs/>
          <w:lang w:eastAsia="zh-CN" w:bidi="ar-SA"/>
        </w:rPr>
      </w:pPr>
    </w:p>
    <w:p w:rsidR="00345EB2" w:rsidRPr="007C7B28" w:rsidRDefault="00345EB2" w:rsidP="00CA3FB1">
      <w:pPr>
        <w:jc w:val="both"/>
        <w:rPr>
          <w:rFonts w:eastAsia="SimSun"/>
          <w:bCs/>
          <w:lang w:eastAsia="zh-CN" w:bidi="ar-SA"/>
        </w:rPr>
      </w:pPr>
      <w:r w:rsidRPr="007C7B28">
        <w:rPr>
          <w:rFonts w:eastAsia="SimSun"/>
          <w:bCs/>
          <w:lang w:eastAsia="zh-CN" w:bidi="ar-SA"/>
        </w:rPr>
        <w:t>If the Joint Multi-band RSNA subfield of the RSN Capabilities field is set to 1 for both STAs of a STA pair</w:t>
      </w:r>
      <w:r>
        <w:rPr>
          <w:rFonts w:eastAsia="SimSun"/>
          <w:bCs/>
          <w:lang w:eastAsia="zh-CN" w:bidi="ar-SA"/>
        </w:rPr>
        <w:t xml:space="preserve"> and at least one of the STAs uses different MAC addresses for different bands</w:t>
      </w:r>
      <w:r w:rsidRPr="007C7B28">
        <w:rPr>
          <w:rFonts w:eastAsia="SimSun"/>
          <w:bCs/>
          <w:lang w:eastAsia="zh-CN" w:bidi="ar-SA"/>
        </w:rPr>
        <w:t xml:space="preserve">, the STA pair may use a single 4-Way Handshake to negotiate pairwise cipher suites and establish PTKSAs for both the current operating band and </w:t>
      </w:r>
      <w:r>
        <w:rPr>
          <w:rFonts w:eastAsia="SimSun"/>
          <w:bCs/>
          <w:lang w:eastAsia="zh-CN" w:bidi="ar-SA"/>
        </w:rPr>
        <w:t xml:space="preserve">the </w:t>
      </w:r>
      <w:r w:rsidRPr="007C7B28">
        <w:rPr>
          <w:rFonts w:eastAsia="SimSun"/>
          <w:bCs/>
          <w:lang w:eastAsia="zh-CN" w:bidi="ar-SA"/>
        </w:rPr>
        <w:t>other supported band(s). As specified in 8.5.3, Message 2 and Message 3 of the 4-Way Handshake convey the RSN element</w:t>
      </w:r>
      <w:r>
        <w:rPr>
          <w:rFonts w:eastAsia="SimSun"/>
          <w:bCs/>
          <w:lang w:eastAsia="zh-CN" w:bidi="ar-SA"/>
        </w:rPr>
        <w:t xml:space="preserve"> and the Multi-band element(s). </w:t>
      </w:r>
      <w:r w:rsidRPr="007C7B28">
        <w:rPr>
          <w:rFonts w:eastAsia="SimSun"/>
          <w:bCs/>
          <w:lang w:eastAsia="zh-CN" w:bidi="ar-SA"/>
        </w:rPr>
        <w:t>The RSN element in Message 2 include the selected pairwise cipher suite for the current operating band and</w:t>
      </w:r>
      <w:r>
        <w:rPr>
          <w:rFonts w:eastAsia="SimSun"/>
          <w:bCs/>
          <w:lang w:eastAsia="zh-CN" w:bidi="ar-SA"/>
        </w:rPr>
        <w:t xml:space="preserve"> the Multi-band element(s) in Message 2 include the selected pairwise cipher suite(s) for the </w:t>
      </w:r>
      <w:r w:rsidRPr="007C7B28">
        <w:rPr>
          <w:rFonts w:eastAsia="SimSun"/>
          <w:bCs/>
          <w:lang w:eastAsia="zh-CN" w:bidi="ar-SA"/>
        </w:rPr>
        <w:t xml:space="preserve">other </w:t>
      </w:r>
      <w:r w:rsidRPr="007C7B28">
        <w:rPr>
          <w:rFonts w:eastAsia="SimSun"/>
          <w:bCs/>
          <w:lang w:eastAsia="zh-CN" w:bidi="ar-SA"/>
        </w:rPr>
        <w:lastRenderedPageBreak/>
        <w:t>supported band(s). Message 3 includes the RSN element</w:t>
      </w:r>
      <w:r>
        <w:rPr>
          <w:rFonts w:eastAsia="SimSun"/>
          <w:bCs/>
          <w:lang w:eastAsia="zh-CN" w:bidi="ar-SA"/>
        </w:rPr>
        <w:t xml:space="preserve"> and the Multi-band elements </w:t>
      </w:r>
      <w:r w:rsidRPr="007C7B28">
        <w:rPr>
          <w:rFonts w:eastAsia="SimSun"/>
          <w:bCs/>
          <w:lang w:eastAsia="zh-CN" w:bidi="ar-SA"/>
        </w:rPr>
        <w:t xml:space="preserve">that the STA would send in a Beacon, mmWave Beacon, Announce, Probe Response or Information Response frame. Message 3 may optionally include </w:t>
      </w:r>
      <w:r>
        <w:rPr>
          <w:rFonts w:eastAsia="SimSun"/>
          <w:bCs/>
          <w:lang w:eastAsia="zh-CN" w:bidi="ar-SA"/>
        </w:rPr>
        <w:t>a second</w:t>
      </w:r>
      <w:r w:rsidRPr="007C7B28">
        <w:rPr>
          <w:rFonts w:eastAsia="SimSun"/>
          <w:bCs/>
          <w:lang w:eastAsia="zh-CN" w:bidi="ar-SA"/>
        </w:rPr>
        <w:t xml:space="preserve"> RSN element</w:t>
      </w:r>
      <w:r>
        <w:rPr>
          <w:rFonts w:eastAsia="SimSun"/>
          <w:bCs/>
          <w:lang w:eastAsia="zh-CN" w:bidi="ar-SA"/>
        </w:rPr>
        <w:t xml:space="preserve"> and </w:t>
      </w:r>
      <w:r w:rsidR="00493DD7">
        <w:rPr>
          <w:rFonts w:eastAsia="SimSun"/>
          <w:bCs/>
          <w:lang w:eastAsia="zh-CN" w:bidi="ar-SA"/>
        </w:rPr>
        <w:t>Multi-band</w:t>
      </w:r>
      <w:r>
        <w:rPr>
          <w:rFonts w:eastAsia="SimSun"/>
          <w:bCs/>
          <w:lang w:eastAsia="zh-CN" w:bidi="ar-SA"/>
        </w:rPr>
        <w:t xml:space="preserve"> element(s)</w:t>
      </w:r>
      <w:r w:rsidRPr="007C7B28">
        <w:rPr>
          <w:rFonts w:eastAsia="SimSun"/>
          <w:bCs/>
          <w:lang w:eastAsia="zh-CN" w:bidi="ar-SA"/>
        </w:rPr>
        <w:t xml:space="preserve"> that indicate the STA’s pairwise cipher suite assignment</w:t>
      </w:r>
      <w:r>
        <w:rPr>
          <w:rFonts w:eastAsia="SimSun"/>
          <w:bCs/>
          <w:lang w:eastAsia="zh-CN" w:bidi="ar-SA"/>
        </w:rPr>
        <w:t>s</w:t>
      </w:r>
      <w:r w:rsidRPr="007C7B28">
        <w:rPr>
          <w:rFonts w:eastAsia="SimSun"/>
          <w:bCs/>
          <w:lang w:eastAsia="zh-CN" w:bidi="ar-SA"/>
        </w:rPr>
        <w:t xml:space="preserve"> for the current operating band and </w:t>
      </w:r>
      <w:r>
        <w:rPr>
          <w:rFonts w:eastAsia="SimSun"/>
          <w:bCs/>
          <w:lang w:eastAsia="zh-CN" w:bidi="ar-SA"/>
        </w:rPr>
        <w:t xml:space="preserve">the </w:t>
      </w:r>
      <w:r w:rsidRPr="007C7B28">
        <w:rPr>
          <w:rFonts w:eastAsia="SimSun"/>
          <w:bCs/>
          <w:lang w:eastAsia="zh-CN" w:bidi="ar-SA"/>
        </w:rPr>
        <w:t xml:space="preserve">other supported band(s). </w:t>
      </w:r>
      <w:r w:rsidRPr="007C7B28">
        <w:t>KCK and KEK associated with the current operating band shall be used in the 4-Way Handshake.</w:t>
      </w:r>
    </w:p>
    <w:p w:rsidR="00CA3FB1" w:rsidRDefault="000F17B7" w:rsidP="003701DB">
      <w:pPr>
        <w:pStyle w:val="Heading4"/>
        <w:numPr>
          <w:ilvl w:val="3"/>
          <w:numId w:val="146"/>
        </w:numPr>
      </w:pPr>
      <w:bookmarkStart w:id="1058" w:name="_Toc259717052"/>
      <w:r>
        <w:t>Transparent multi-b</w:t>
      </w:r>
      <w:r w:rsidR="00CA3FB1">
        <w:t>and RSNA</w:t>
      </w:r>
      <w:bookmarkEnd w:id="1058"/>
      <w:r w:rsidR="00CA3FB1">
        <w:t xml:space="preserve"> </w:t>
      </w:r>
    </w:p>
    <w:p w:rsidR="00CA3FB1" w:rsidRPr="00CA3FB1" w:rsidRDefault="00CA3FB1" w:rsidP="00CA3FB1">
      <w:pPr>
        <w:jc w:val="both"/>
        <w:rPr>
          <w:rFonts w:eastAsia="SimSun"/>
          <w:bCs/>
          <w:lang w:eastAsia="zh-CN" w:bidi="ar-SA"/>
        </w:rPr>
      </w:pPr>
      <w:r w:rsidRPr="00CA3FB1">
        <w:rPr>
          <w:rFonts w:eastAsia="SimSun"/>
          <w:bCs/>
          <w:lang w:eastAsia="zh-CN" w:bidi="ar-SA"/>
        </w:rPr>
        <w:t>An initiator can establish a transparent multi</w:t>
      </w:r>
      <w:r w:rsidR="00E27B79">
        <w:rPr>
          <w:rFonts w:eastAsia="SimSun"/>
          <w:bCs/>
          <w:lang w:eastAsia="zh-CN" w:bidi="ar-SA"/>
        </w:rPr>
        <w:t>-</w:t>
      </w:r>
      <w:r w:rsidRPr="00CA3FB1">
        <w:rPr>
          <w:rFonts w:eastAsia="SimSun"/>
          <w:bCs/>
          <w:lang w:eastAsia="zh-CN" w:bidi="ar-SA"/>
        </w:rPr>
        <w:t xml:space="preserve">band RSNA with a responder for both the current operating band and the other supported band(s) if </w:t>
      </w:r>
    </w:p>
    <w:p w:rsidR="007D333C" w:rsidRPr="007D333C" w:rsidRDefault="00CA3FB1" w:rsidP="003701DB">
      <w:pPr>
        <w:pStyle w:val="ListParagraph"/>
        <w:numPr>
          <w:ilvl w:val="0"/>
          <w:numId w:val="223"/>
        </w:numPr>
        <w:jc w:val="both"/>
        <w:rPr>
          <w:rFonts w:eastAsia="SimSun"/>
          <w:bCs/>
          <w:u w:val="single"/>
          <w:lang w:eastAsia="zh-CN" w:bidi="ar-SA"/>
        </w:rPr>
      </w:pPr>
      <w:r w:rsidRPr="007D333C">
        <w:rPr>
          <w:rFonts w:eastAsia="SimSun"/>
          <w:bCs/>
          <w:lang w:eastAsia="zh-CN" w:bidi="ar-SA"/>
        </w:rPr>
        <w:t xml:space="preserve">Both STAs use the same MAC address </w:t>
      </w:r>
      <w:r w:rsidRPr="007D333C">
        <w:rPr>
          <w:bCs/>
          <w:iCs/>
        </w:rPr>
        <w:t>in the current operating band and the other supported band(s)</w:t>
      </w:r>
      <w:r w:rsidRPr="007D333C">
        <w:rPr>
          <w:rFonts w:eastAsia="SimSun"/>
          <w:bCs/>
          <w:lang w:eastAsia="zh-CN" w:bidi="ar-SA"/>
        </w:rPr>
        <w:t>; and</w:t>
      </w:r>
    </w:p>
    <w:p w:rsidR="00CA3FB1" w:rsidRPr="007D333C" w:rsidRDefault="00CA3FB1" w:rsidP="003701DB">
      <w:pPr>
        <w:pStyle w:val="ListParagraph"/>
        <w:numPr>
          <w:ilvl w:val="0"/>
          <w:numId w:val="223"/>
        </w:numPr>
        <w:jc w:val="both"/>
        <w:rPr>
          <w:rFonts w:eastAsia="SimSun"/>
          <w:bCs/>
          <w:u w:val="single"/>
          <w:lang w:eastAsia="zh-CN" w:bidi="ar-SA"/>
        </w:rPr>
      </w:pPr>
      <w:r w:rsidRPr="00CA3FB1">
        <w:t xml:space="preserve">At least one common </w:t>
      </w:r>
      <w:r w:rsidRPr="007D333C">
        <w:rPr>
          <w:bCs/>
          <w:iCs/>
        </w:rPr>
        <w:t xml:space="preserve">pairwise cipher suite is supported by both STAs in the current operating band and the other supported band(s). </w:t>
      </w:r>
    </w:p>
    <w:p w:rsidR="00CA3FB1" w:rsidRPr="007C7B28" w:rsidRDefault="00CA3FB1" w:rsidP="00CA3FB1">
      <w:pPr>
        <w:jc w:val="both"/>
        <w:rPr>
          <w:rFonts w:eastAsia="SimSun"/>
          <w:bCs/>
          <w:u w:val="single"/>
          <w:lang w:eastAsia="zh-CN" w:bidi="ar-SA"/>
        </w:rPr>
      </w:pPr>
      <w:r w:rsidRPr="007C7B28">
        <w:rPr>
          <w:rFonts w:eastAsia="SimSun"/>
          <w:bCs/>
          <w:u w:val="single"/>
          <w:lang w:eastAsia="zh-CN" w:bidi="ar-SA"/>
        </w:rPr>
        <w:t xml:space="preserve"> </w:t>
      </w:r>
    </w:p>
    <w:p w:rsidR="00CA3FB1" w:rsidRPr="007C7B28" w:rsidRDefault="00CA3FB1" w:rsidP="00CA3FB1">
      <w:pPr>
        <w:jc w:val="both"/>
      </w:pPr>
      <w:r w:rsidRPr="007C7B28">
        <w:t xml:space="preserve">Two STAs that establish a transparent multi-band RSNA create one PMKSA and one PTKSA for </w:t>
      </w:r>
      <w:r w:rsidRPr="007C7B28">
        <w:rPr>
          <w:rFonts w:eastAsia="SimSun"/>
          <w:bCs/>
          <w:lang w:eastAsia="zh-CN" w:bidi="ar-SA"/>
        </w:rPr>
        <w:t>both the current operating band and other supported band(s).</w:t>
      </w:r>
    </w:p>
    <w:p w:rsidR="00CA3FB1" w:rsidRPr="007C7B28" w:rsidRDefault="00CA3FB1" w:rsidP="00CA3FB1">
      <w:pPr>
        <w:jc w:val="both"/>
      </w:pPr>
    </w:p>
    <w:p w:rsidR="00CA3FB1" w:rsidRPr="007C7B28" w:rsidRDefault="00CA3FB1" w:rsidP="00CA3FB1">
      <w:pPr>
        <w:jc w:val="both"/>
        <w:rPr>
          <w:rFonts w:eastAsia="SimSun"/>
          <w:bCs/>
          <w:lang w:eastAsia="zh-CN" w:bidi="ar-SA"/>
        </w:rPr>
      </w:pPr>
      <w:r w:rsidRPr="007C7B28">
        <w:rPr>
          <w:rFonts w:eastAsia="SimSun"/>
          <w:bCs/>
          <w:lang w:eastAsia="zh-CN" w:bidi="ar-SA"/>
        </w:rPr>
        <w:t xml:space="preserve">If the initiator does not have an existing PMKSA with the responder, it shall first establish a PMKSA with the responder in the current operating band, and then use the PMKSA to create a PTKSA with the responder for all involved bands. If the initiator has already established a PMKSA with the responder, the PMKSA shall be used to create a PTKSA between the two STAs for all involved bands. </w:t>
      </w:r>
    </w:p>
    <w:p w:rsidR="00CA3FB1" w:rsidRPr="007C7B28" w:rsidRDefault="00CA3FB1" w:rsidP="00CA3FB1">
      <w:pPr>
        <w:jc w:val="both"/>
        <w:rPr>
          <w:rFonts w:eastAsia="SimSun"/>
          <w:bCs/>
          <w:lang w:eastAsia="zh-CN" w:bidi="ar-SA"/>
        </w:rPr>
      </w:pPr>
    </w:p>
    <w:p w:rsidR="00CA3FB1" w:rsidRPr="007C7B28" w:rsidRDefault="00CA3FB1" w:rsidP="00CA3FB1">
      <w:pPr>
        <w:jc w:val="both"/>
        <w:rPr>
          <w:rFonts w:eastAsia="SimSun"/>
          <w:bCs/>
          <w:lang w:eastAsia="zh-CN" w:bidi="ar-SA"/>
        </w:rPr>
      </w:pPr>
      <w:r w:rsidRPr="007C7B28">
        <w:rPr>
          <w:rFonts w:eastAsia="SimSun"/>
          <w:bCs/>
          <w:lang w:eastAsia="zh-CN" w:bidi="ar-SA"/>
        </w:rPr>
        <w:t xml:space="preserve">With the PMK in place, the STA pair wishing to establish a transparent multi-band RSNA for both the current operating band and </w:t>
      </w:r>
      <w:r>
        <w:rPr>
          <w:rFonts w:eastAsia="SimSun"/>
          <w:bCs/>
          <w:lang w:eastAsia="zh-CN" w:bidi="ar-SA"/>
        </w:rPr>
        <w:t xml:space="preserve">the </w:t>
      </w:r>
      <w:r w:rsidRPr="007C7B28">
        <w:rPr>
          <w:rFonts w:eastAsia="SimSun"/>
          <w:bCs/>
          <w:lang w:eastAsia="zh-CN" w:bidi="ar-SA"/>
        </w:rPr>
        <w:t>other supported band(s) may start a 4-Way Handshake in the current operating band to negotiate a pairwise cipher suite for all involved bands, and also establish a single PTKSA for all involved bands. As specified in 8.5.3, Message 2 and Message 3 of the 4-Way Handshake convey the RSN element</w:t>
      </w:r>
      <w:r>
        <w:rPr>
          <w:rFonts w:eastAsia="SimSun"/>
          <w:bCs/>
          <w:lang w:eastAsia="zh-CN" w:bidi="ar-SA"/>
        </w:rPr>
        <w:t xml:space="preserve"> and the Multi-band element(s)</w:t>
      </w:r>
      <w:r w:rsidRPr="007C7B28">
        <w:rPr>
          <w:rFonts w:eastAsia="SimSun"/>
          <w:bCs/>
          <w:lang w:eastAsia="zh-CN" w:bidi="ar-SA"/>
        </w:rPr>
        <w:t>. The RSN el</w:t>
      </w:r>
      <w:r>
        <w:rPr>
          <w:rFonts w:eastAsia="SimSun"/>
          <w:bCs/>
          <w:lang w:eastAsia="zh-CN" w:bidi="ar-SA"/>
        </w:rPr>
        <w:t>ement and the Multi-band element(s)</w:t>
      </w:r>
      <w:r w:rsidRPr="007C7B28">
        <w:rPr>
          <w:rFonts w:eastAsia="SimSun"/>
          <w:bCs/>
          <w:lang w:eastAsia="zh-CN" w:bidi="ar-SA"/>
        </w:rPr>
        <w:t xml:space="preserve"> in Message 2 include one selected pairwise cipher suite for all involved bands. Message 3 includes the RSN element</w:t>
      </w:r>
      <w:r>
        <w:rPr>
          <w:rFonts w:eastAsia="SimSun"/>
          <w:bCs/>
          <w:lang w:eastAsia="zh-CN" w:bidi="ar-SA"/>
        </w:rPr>
        <w:t xml:space="preserve"> and the Multi-band element(s)</w:t>
      </w:r>
      <w:r w:rsidRPr="007C7B28">
        <w:rPr>
          <w:rFonts w:eastAsia="SimSun"/>
          <w:bCs/>
          <w:lang w:eastAsia="zh-CN" w:bidi="ar-SA"/>
        </w:rPr>
        <w:t xml:space="preserve"> that the STA would send in a Beacon, mmWave Beacon, Announce, Probe Response or Information Response frame. Message 3 may optionally include </w:t>
      </w:r>
      <w:r>
        <w:rPr>
          <w:rFonts w:eastAsia="SimSun"/>
          <w:bCs/>
          <w:lang w:eastAsia="zh-CN" w:bidi="ar-SA"/>
        </w:rPr>
        <w:t>a second RSN element and Multi-band elements</w:t>
      </w:r>
      <w:r w:rsidRPr="007C7B28">
        <w:rPr>
          <w:rFonts w:eastAsia="SimSun"/>
          <w:bCs/>
          <w:lang w:eastAsia="zh-CN" w:bidi="ar-SA"/>
        </w:rPr>
        <w:t xml:space="preserve"> that indicate the STA’s pairwise cipher suite assignment for all involved bands.</w:t>
      </w:r>
    </w:p>
    <w:p w:rsidR="00345EB2" w:rsidRPr="00CC2956" w:rsidRDefault="00345EB2" w:rsidP="00CC2956">
      <w:pPr>
        <w:jc w:val="both"/>
        <w:rPr>
          <w:rFonts w:eastAsia="SimSun"/>
          <w:bCs/>
          <w:lang w:eastAsia="zh-CN" w:bidi="ar-SA"/>
        </w:rPr>
      </w:pPr>
    </w:p>
    <w:p w:rsidR="00180C52" w:rsidRPr="00066F65" w:rsidRDefault="00180C52" w:rsidP="003701DB">
      <w:pPr>
        <w:pStyle w:val="Heading2"/>
        <w:numPr>
          <w:ilvl w:val="1"/>
          <w:numId w:val="146"/>
        </w:numPr>
      </w:pPr>
      <w:bookmarkStart w:id="1059" w:name="_Toc259717053"/>
      <w:r w:rsidRPr="00066F65">
        <w:t>Keys and key distribution</w:t>
      </w:r>
      <w:bookmarkEnd w:id="1059"/>
    </w:p>
    <w:p w:rsidR="00180C52" w:rsidRPr="009448FC" w:rsidRDefault="00180C52" w:rsidP="00180C52">
      <w:pPr>
        <w:rPr>
          <w:b/>
          <w:sz w:val="28"/>
        </w:rPr>
      </w:pPr>
    </w:p>
    <w:p w:rsidR="00180C52" w:rsidRPr="009448FC" w:rsidRDefault="007053D3" w:rsidP="003701DB">
      <w:pPr>
        <w:pStyle w:val="Heading3"/>
        <w:numPr>
          <w:ilvl w:val="2"/>
          <w:numId w:val="147"/>
        </w:numPr>
      </w:pPr>
      <w:bookmarkStart w:id="1060" w:name="_Ref246133913"/>
      <w:bookmarkStart w:id="1061" w:name="_Toc259717054"/>
      <w:r w:rsidRPr="009448FC">
        <w:t>EAPOL</w:t>
      </w:r>
      <w:r w:rsidR="00180C52" w:rsidRPr="009448FC">
        <w:t>-Key frames</w:t>
      </w:r>
      <w:bookmarkEnd w:id="1060"/>
      <w:bookmarkEnd w:id="1061"/>
    </w:p>
    <w:p w:rsidR="00180C52" w:rsidRPr="009448FC" w:rsidRDefault="00916506" w:rsidP="00180C52">
      <w:pPr>
        <w:pStyle w:val="Editinginstruction"/>
        <w:rPr>
          <w:b w:val="0"/>
        </w:rPr>
      </w:pPr>
      <w:r w:rsidRPr="009448FC">
        <w:rPr>
          <w:b w:val="0"/>
        </w:rPr>
        <w:t xml:space="preserve">.11 </w:t>
      </w:r>
      <w:r w:rsidR="00180C52" w:rsidRPr="009448FC">
        <w:rPr>
          <w:b w:val="0"/>
        </w:rPr>
        <w:t>Editor</w:t>
      </w:r>
      <w:r w:rsidR="00E75997" w:rsidRPr="009448FC">
        <w:rPr>
          <w:b w:val="0"/>
        </w:rPr>
        <w:t xml:space="preserve"> Note: </w:t>
      </w:r>
      <w:r w:rsidR="00180C52" w:rsidRPr="009448FC">
        <w:rPr>
          <w:b w:val="0"/>
        </w:rPr>
        <w:t>Add the Key ID KDE to Table 8-4 at the appropriate position:</w:t>
      </w:r>
    </w:p>
    <w:p w:rsidR="00180C52" w:rsidRPr="009448FC" w:rsidRDefault="00180C52" w:rsidP="00180C52">
      <w:pPr>
        <w:rPr>
          <w:rFonts w:eastAsia="MS Mincho"/>
        </w:rPr>
      </w:pPr>
    </w:p>
    <w:p w:rsidR="00180C52" w:rsidRPr="009448FC" w:rsidRDefault="00180C52" w:rsidP="00180C52">
      <w:pPr>
        <w:jc w:val="center"/>
        <w:rPr>
          <w:rFonts w:eastAsia="MS Mincho"/>
          <w:b/>
        </w:rPr>
      </w:pPr>
      <w:r w:rsidRPr="009448FC">
        <w:rPr>
          <w:rFonts w:eastAsia="MS Mincho"/>
          <w:b/>
        </w:rPr>
        <w:t>Table 8-4 – KDE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1253"/>
        <w:gridCol w:w="3329"/>
      </w:tblGrid>
      <w:tr w:rsidR="00180C52" w:rsidRPr="00066F65" w:rsidTr="00D0037C">
        <w:trPr>
          <w:jc w:val="center"/>
        </w:trPr>
        <w:tc>
          <w:tcPr>
            <w:tcW w:w="1320" w:type="dxa"/>
          </w:tcPr>
          <w:p w:rsidR="00180C52" w:rsidRPr="009448FC" w:rsidRDefault="00180C52" w:rsidP="00E870B1">
            <w:pPr>
              <w:jc w:val="center"/>
              <w:rPr>
                <w:rFonts w:eastAsia="MS Mincho"/>
                <w:b/>
              </w:rPr>
            </w:pPr>
            <w:r w:rsidRPr="009448FC">
              <w:rPr>
                <w:rFonts w:eastAsia="MS Mincho"/>
                <w:b/>
              </w:rPr>
              <w:t>OUI</w:t>
            </w:r>
          </w:p>
        </w:tc>
        <w:tc>
          <w:tcPr>
            <w:tcW w:w="1253" w:type="dxa"/>
          </w:tcPr>
          <w:p w:rsidR="00180C52" w:rsidRPr="009448FC" w:rsidRDefault="00180C52" w:rsidP="00E870B1">
            <w:pPr>
              <w:jc w:val="center"/>
              <w:rPr>
                <w:rFonts w:eastAsia="MS Mincho"/>
                <w:b/>
              </w:rPr>
            </w:pPr>
            <w:r w:rsidRPr="009448FC">
              <w:rPr>
                <w:rFonts w:eastAsia="MS Mincho"/>
                <w:b/>
              </w:rPr>
              <w:t>Data type</w:t>
            </w:r>
          </w:p>
        </w:tc>
        <w:tc>
          <w:tcPr>
            <w:tcW w:w="3329" w:type="dxa"/>
          </w:tcPr>
          <w:p w:rsidR="00180C52" w:rsidRPr="009448FC" w:rsidRDefault="00180C52" w:rsidP="00E870B1">
            <w:pPr>
              <w:jc w:val="center"/>
              <w:rPr>
                <w:rFonts w:eastAsia="MS Mincho"/>
                <w:b/>
              </w:rPr>
            </w:pPr>
            <w:r w:rsidRPr="009448FC">
              <w:rPr>
                <w:rFonts w:eastAsia="MS Mincho"/>
                <w:b/>
              </w:rPr>
              <w:t>Meaning</w:t>
            </w:r>
          </w:p>
        </w:tc>
      </w:tr>
      <w:tr w:rsidR="00180C52" w:rsidRPr="00066F65" w:rsidTr="00D0037C">
        <w:trPr>
          <w:jc w:val="center"/>
        </w:trPr>
        <w:tc>
          <w:tcPr>
            <w:tcW w:w="1320" w:type="dxa"/>
          </w:tcPr>
          <w:p w:rsidR="00180C52" w:rsidRPr="009448FC" w:rsidRDefault="00180C52" w:rsidP="00E870B1">
            <w:pPr>
              <w:jc w:val="both"/>
              <w:rPr>
                <w:rFonts w:eastAsia="MS Mincho"/>
              </w:rPr>
            </w:pPr>
            <w:r w:rsidRPr="009448FC">
              <w:rPr>
                <w:rFonts w:eastAsia="MS Mincho"/>
              </w:rPr>
              <w:t>00-0F-AC</w:t>
            </w:r>
          </w:p>
        </w:tc>
        <w:tc>
          <w:tcPr>
            <w:tcW w:w="1253" w:type="dxa"/>
          </w:tcPr>
          <w:p w:rsidR="00180C52" w:rsidRPr="009448FC" w:rsidRDefault="00180C52" w:rsidP="00E870B1">
            <w:pPr>
              <w:jc w:val="both"/>
              <w:rPr>
                <w:rFonts w:eastAsia="MS Mincho"/>
              </w:rPr>
            </w:pPr>
            <w:r w:rsidRPr="009448FC">
              <w:rPr>
                <w:rFonts w:eastAsia="MS Mincho"/>
              </w:rPr>
              <w:t>&lt;ANA&gt;</w:t>
            </w:r>
          </w:p>
        </w:tc>
        <w:tc>
          <w:tcPr>
            <w:tcW w:w="3329" w:type="dxa"/>
          </w:tcPr>
          <w:p w:rsidR="00180C52" w:rsidRPr="009448FC" w:rsidRDefault="00180C52" w:rsidP="00E870B1">
            <w:pPr>
              <w:jc w:val="both"/>
              <w:rPr>
                <w:rFonts w:eastAsia="MS Mincho"/>
              </w:rPr>
            </w:pPr>
            <w:r w:rsidRPr="009448FC">
              <w:rPr>
                <w:rFonts w:eastAsia="MS Mincho"/>
              </w:rPr>
              <w:t>Key ID KDE</w:t>
            </w:r>
          </w:p>
        </w:tc>
      </w:tr>
    </w:tbl>
    <w:p w:rsidR="00180C52" w:rsidRPr="009448FC" w:rsidRDefault="00180C52" w:rsidP="00180C52">
      <w:pPr>
        <w:rPr>
          <w:rFonts w:eastAsia="MS Mincho"/>
        </w:rPr>
      </w:pPr>
    </w:p>
    <w:p w:rsidR="007979B5" w:rsidRPr="009448FC" w:rsidRDefault="007979B5" w:rsidP="007979B5">
      <w:pPr>
        <w:pStyle w:val="Editinginstruction"/>
        <w:rPr>
          <w:b w:val="0"/>
        </w:rPr>
      </w:pPr>
      <w:r w:rsidRPr="009448FC">
        <w:rPr>
          <w:b w:val="0"/>
        </w:rPr>
        <w:t xml:space="preserve">.11 Editor Note: change </w:t>
      </w:r>
      <w:r w:rsidR="00E75997" w:rsidRPr="009448FC">
        <w:rPr>
          <w:b w:val="0"/>
        </w:rPr>
        <w:t>Figure 8-26 as follows</w:t>
      </w:r>
      <w:r w:rsidRPr="009448FC">
        <w:rPr>
          <w:b w:val="0"/>
        </w:rPr>
        <w:t>:</w:t>
      </w:r>
    </w:p>
    <w:p w:rsidR="007979B5" w:rsidRPr="009448FC" w:rsidRDefault="007979B5" w:rsidP="00180C52">
      <w:pPr>
        <w:rPr>
          <w:rFonts w:eastAsia="MS Mincho"/>
        </w:rPr>
      </w:pPr>
    </w:p>
    <w:tbl>
      <w:tblPr>
        <w:tblW w:w="9504"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224"/>
        <w:gridCol w:w="1872"/>
        <w:gridCol w:w="1692"/>
        <w:gridCol w:w="2448"/>
      </w:tblGrid>
      <w:tr w:rsidR="007979B5" w:rsidRPr="00066F65" w:rsidTr="00544787">
        <w:trPr>
          <w:jc w:val="center"/>
        </w:trPr>
        <w:tc>
          <w:tcPr>
            <w:tcW w:w="2268" w:type="dxa"/>
          </w:tcPr>
          <w:p w:rsidR="007979B5" w:rsidRPr="009448FC" w:rsidRDefault="007979B5" w:rsidP="00544787">
            <w:pPr>
              <w:spacing w:before="120"/>
              <w:jc w:val="center"/>
              <w:rPr>
                <w:rFonts w:eastAsia="MS Mincho"/>
                <w:sz w:val="23"/>
              </w:rPr>
            </w:pPr>
            <w:r w:rsidRPr="009448FC">
              <w:rPr>
                <w:rFonts w:eastAsia="MS Mincho"/>
                <w:sz w:val="23"/>
              </w:rPr>
              <w:lastRenderedPageBreak/>
              <w:t>KeyID (0, 1, 2, or 3)</w:t>
            </w:r>
          </w:p>
        </w:tc>
        <w:tc>
          <w:tcPr>
            <w:tcW w:w="1224" w:type="dxa"/>
          </w:tcPr>
          <w:p w:rsidR="007979B5" w:rsidRPr="009448FC" w:rsidRDefault="007979B5" w:rsidP="00544787">
            <w:pPr>
              <w:spacing w:before="120"/>
              <w:jc w:val="center"/>
              <w:rPr>
                <w:rFonts w:eastAsia="MS Mincho"/>
                <w:sz w:val="23"/>
              </w:rPr>
            </w:pPr>
            <w:r w:rsidRPr="009448FC">
              <w:rPr>
                <w:rFonts w:eastAsia="MS Mincho"/>
                <w:sz w:val="23"/>
              </w:rPr>
              <w:t>Tx</w:t>
            </w:r>
          </w:p>
        </w:tc>
        <w:tc>
          <w:tcPr>
            <w:tcW w:w="1872" w:type="dxa"/>
          </w:tcPr>
          <w:p w:rsidR="007979B5" w:rsidRPr="009448FC" w:rsidRDefault="007979B5" w:rsidP="00544787">
            <w:pPr>
              <w:spacing w:before="120"/>
              <w:jc w:val="center"/>
              <w:rPr>
                <w:rFonts w:eastAsia="MS Mincho"/>
                <w:sz w:val="23"/>
              </w:rPr>
            </w:pPr>
            <w:r w:rsidRPr="009448FC">
              <w:rPr>
                <w:rFonts w:eastAsia="MS Mincho"/>
                <w:sz w:val="23"/>
              </w:rPr>
              <w:t>Reserved (0)</w:t>
            </w:r>
          </w:p>
        </w:tc>
        <w:tc>
          <w:tcPr>
            <w:tcW w:w="1692" w:type="dxa"/>
          </w:tcPr>
          <w:p w:rsidR="007979B5" w:rsidRPr="00066F65" w:rsidRDefault="007979B5" w:rsidP="00544787">
            <w:pPr>
              <w:spacing w:before="120"/>
              <w:jc w:val="center"/>
              <w:rPr>
                <w:rFonts w:eastAsia="MS Mincho"/>
                <w:sz w:val="23"/>
                <w:szCs w:val="23"/>
                <w:u w:val="single"/>
              </w:rPr>
            </w:pPr>
            <w:r w:rsidRPr="00066F65">
              <w:rPr>
                <w:rFonts w:eastAsia="MS Mincho"/>
                <w:sz w:val="23"/>
                <w:szCs w:val="23"/>
                <w:u w:val="single"/>
              </w:rPr>
              <w:t>Band ID</w:t>
            </w:r>
          </w:p>
        </w:tc>
        <w:tc>
          <w:tcPr>
            <w:tcW w:w="2448" w:type="dxa"/>
          </w:tcPr>
          <w:p w:rsidR="007979B5" w:rsidRPr="009448FC" w:rsidRDefault="007979B5" w:rsidP="00544787">
            <w:pPr>
              <w:spacing w:before="120"/>
              <w:jc w:val="center"/>
              <w:rPr>
                <w:rFonts w:eastAsia="MS Mincho"/>
                <w:sz w:val="23"/>
              </w:rPr>
            </w:pPr>
            <w:r w:rsidRPr="009448FC">
              <w:rPr>
                <w:rFonts w:eastAsia="MS Mincho"/>
                <w:sz w:val="23"/>
              </w:rPr>
              <w:t>GTK</w:t>
            </w:r>
          </w:p>
        </w:tc>
      </w:tr>
      <w:tr w:rsidR="007979B5" w:rsidRPr="00066F65" w:rsidTr="00544787">
        <w:trPr>
          <w:jc w:val="center"/>
        </w:trPr>
        <w:tc>
          <w:tcPr>
            <w:tcW w:w="2268" w:type="dxa"/>
          </w:tcPr>
          <w:p w:rsidR="007979B5" w:rsidRPr="009448FC" w:rsidRDefault="007979B5" w:rsidP="00544787">
            <w:pPr>
              <w:spacing w:before="120"/>
              <w:jc w:val="center"/>
              <w:rPr>
                <w:rFonts w:eastAsia="MS Mincho"/>
                <w:sz w:val="23"/>
              </w:rPr>
            </w:pPr>
            <w:r w:rsidRPr="009448FC">
              <w:rPr>
                <w:rFonts w:eastAsia="MS Mincho"/>
                <w:sz w:val="23"/>
              </w:rPr>
              <w:t>bits 0-1</w:t>
            </w:r>
          </w:p>
        </w:tc>
        <w:tc>
          <w:tcPr>
            <w:tcW w:w="1224" w:type="dxa"/>
          </w:tcPr>
          <w:p w:rsidR="007979B5" w:rsidRPr="009448FC" w:rsidRDefault="007979B5" w:rsidP="00544787">
            <w:pPr>
              <w:spacing w:before="120"/>
              <w:jc w:val="center"/>
              <w:rPr>
                <w:rFonts w:eastAsia="MS Mincho"/>
                <w:sz w:val="23"/>
              </w:rPr>
            </w:pPr>
            <w:r w:rsidRPr="009448FC">
              <w:rPr>
                <w:rFonts w:eastAsia="MS Mincho"/>
                <w:sz w:val="23"/>
              </w:rPr>
              <w:t>bit 2</w:t>
            </w:r>
          </w:p>
        </w:tc>
        <w:tc>
          <w:tcPr>
            <w:tcW w:w="1872" w:type="dxa"/>
          </w:tcPr>
          <w:p w:rsidR="007979B5" w:rsidRPr="009448FC" w:rsidRDefault="007979B5" w:rsidP="00544787">
            <w:pPr>
              <w:spacing w:before="120"/>
              <w:jc w:val="center"/>
              <w:rPr>
                <w:rFonts w:eastAsia="MS Mincho"/>
                <w:sz w:val="23"/>
              </w:rPr>
            </w:pPr>
            <w:r w:rsidRPr="009448FC">
              <w:rPr>
                <w:rFonts w:eastAsia="MS Mincho"/>
                <w:sz w:val="23"/>
              </w:rPr>
              <w:t>bits 3-7</w:t>
            </w:r>
          </w:p>
        </w:tc>
        <w:tc>
          <w:tcPr>
            <w:tcW w:w="1692" w:type="dxa"/>
          </w:tcPr>
          <w:p w:rsidR="007979B5" w:rsidRPr="00066F65" w:rsidRDefault="007979B5" w:rsidP="00544787">
            <w:pPr>
              <w:spacing w:before="120"/>
              <w:jc w:val="center"/>
              <w:rPr>
                <w:rFonts w:eastAsia="MS Mincho"/>
                <w:sz w:val="23"/>
                <w:szCs w:val="23"/>
                <w:u w:val="single"/>
              </w:rPr>
            </w:pPr>
            <w:r w:rsidRPr="00066F65">
              <w:rPr>
                <w:rFonts w:eastAsia="MS Mincho"/>
                <w:sz w:val="23"/>
                <w:szCs w:val="23"/>
                <w:u w:val="single"/>
              </w:rPr>
              <w:t>1 octet</w:t>
            </w:r>
          </w:p>
        </w:tc>
        <w:tc>
          <w:tcPr>
            <w:tcW w:w="2448" w:type="dxa"/>
          </w:tcPr>
          <w:p w:rsidR="007979B5" w:rsidRPr="009448FC" w:rsidRDefault="007979B5" w:rsidP="00544787">
            <w:pPr>
              <w:spacing w:before="120"/>
              <w:jc w:val="center"/>
              <w:rPr>
                <w:rFonts w:eastAsia="MS Mincho"/>
                <w:sz w:val="23"/>
              </w:rPr>
            </w:pPr>
            <w:r w:rsidRPr="009448FC">
              <w:rPr>
                <w:rFonts w:eastAsia="MS Mincho"/>
                <w:sz w:val="23"/>
              </w:rPr>
              <w:t>(Length – 6) octets</w:t>
            </w:r>
          </w:p>
        </w:tc>
      </w:tr>
    </w:tbl>
    <w:p w:rsidR="00E75997" w:rsidRPr="009448FC" w:rsidRDefault="00E75997" w:rsidP="00E75997">
      <w:pPr>
        <w:jc w:val="center"/>
        <w:rPr>
          <w:rFonts w:eastAsia="MS Mincho"/>
          <w:b/>
        </w:rPr>
      </w:pPr>
      <w:r w:rsidRPr="009448FC">
        <w:rPr>
          <w:rFonts w:eastAsia="MS Mincho"/>
          <w:b/>
        </w:rPr>
        <w:t>Figure 8-26 – GTK KDE format</w:t>
      </w:r>
    </w:p>
    <w:p w:rsidR="007979B5" w:rsidRPr="009448FC" w:rsidRDefault="007979B5" w:rsidP="00180C52">
      <w:pPr>
        <w:rPr>
          <w:rFonts w:eastAsia="MS Mincho"/>
        </w:rPr>
      </w:pPr>
    </w:p>
    <w:p w:rsidR="00E75997" w:rsidRPr="009448FC" w:rsidRDefault="00E75997" w:rsidP="00E75997">
      <w:pPr>
        <w:pStyle w:val="Editinginstruction"/>
        <w:rPr>
          <w:b w:val="0"/>
        </w:rPr>
      </w:pPr>
      <w:r w:rsidRPr="009448FC">
        <w:rPr>
          <w:b w:val="0"/>
        </w:rPr>
        <w:t>.11 Editor Note: change Figure 8-27 as follows:</w:t>
      </w:r>
    </w:p>
    <w:p w:rsidR="00E75997" w:rsidRPr="009448FC" w:rsidRDefault="00E75997" w:rsidP="00180C52">
      <w:pPr>
        <w:rPr>
          <w:rFonts w:eastAsia="MS Mincho"/>
        </w:rPr>
      </w:pPr>
    </w:p>
    <w:tbl>
      <w:tblPr>
        <w:tblW w:w="3564"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2"/>
        <w:gridCol w:w="1692"/>
      </w:tblGrid>
      <w:tr w:rsidR="00E75997" w:rsidRPr="00066F65" w:rsidTr="00544787">
        <w:trPr>
          <w:jc w:val="center"/>
        </w:trPr>
        <w:tc>
          <w:tcPr>
            <w:tcW w:w="1872" w:type="dxa"/>
          </w:tcPr>
          <w:p w:rsidR="00E75997" w:rsidRPr="009448FC" w:rsidRDefault="00E75997" w:rsidP="00544787">
            <w:pPr>
              <w:spacing w:before="120"/>
              <w:jc w:val="center"/>
              <w:rPr>
                <w:rFonts w:eastAsia="MS Mincho"/>
                <w:sz w:val="23"/>
              </w:rPr>
            </w:pPr>
            <w:r w:rsidRPr="009448FC">
              <w:rPr>
                <w:rFonts w:eastAsia="MS Mincho"/>
                <w:sz w:val="23"/>
              </w:rPr>
              <w:t>MAC Address</w:t>
            </w:r>
          </w:p>
        </w:tc>
        <w:tc>
          <w:tcPr>
            <w:tcW w:w="1692" w:type="dxa"/>
          </w:tcPr>
          <w:p w:rsidR="00E75997" w:rsidRPr="00066F65" w:rsidRDefault="00E75997" w:rsidP="00544787">
            <w:pPr>
              <w:spacing w:before="120"/>
              <w:jc w:val="center"/>
              <w:rPr>
                <w:rFonts w:eastAsia="MS Mincho"/>
                <w:sz w:val="23"/>
                <w:szCs w:val="23"/>
                <w:u w:val="single"/>
              </w:rPr>
            </w:pPr>
            <w:r w:rsidRPr="00066F65">
              <w:rPr>
                <w:rFonts w:eastAsia="MS Mincho"/>
                <w:sz w:val="23"/>
                <w:szCs w:val="23"/>
                <w:u w:val="single"/>
              </w:rPr>
              <w:t>Band ID</w:t>
            </w:r>
          </w:p>
        </w:tc>
      </w:tr>
      <w:tr w:rsidR="00E75997" w:rsidRPr="00066F65" w:rsidTr="00544787">
        <w:trPr>
          <w:jc w:val="center"/>
        </w:trPr>
        <w:tc>
          <w:tcPr>
            <w:tcW w:w="1872" w:type="dxa"/>
          </w:tcPr>
          <w:p w:rsidR="00E75997" w:rsidRPr="009448FC" w:rsidRDefault="00E75997" w:rsidP="00544787">
            <w:pPr>
              <w:spacing w:before="120"/>
              <w:jc w:val="center"/>
              <w:rPr>
                <w:rFonts w:eastAsia="MS Mincho"/>
                <w:sz w:val="23"/>
              </w:rPr>
            </w:pPr>
            <w:r w:rsidRPr="009448FC">
              <w:rPr>
                <w:rFonts w:eastAsia="MS Mincho"/>
                <w:sz w:val="23"/>
              </w:rPr>
              <w:t>6 octets</w:t>
            </w:r>
          </w:p>
        </w:tc>
        <w:tc>
          <w:tcPr>
            <w:tcW w:w="1692" w:type="dxa"/>
          </w:tcPr>
          <w:p w:rsidR="00E75997" w:rsidRPr="00066F65" w:rsidRDefault="00E75997" w:rsidP="00544787">
            <w:pPr>
              <w:spacing w:before="120"/>
              <w:jc w:val="center"/>
              <w:rPr>
                <w:rFonts w:eastAsia="MS Mincho"/>
                <w:sz w:val="23"/>
                <w:szCs w:val="23"/>
                <w:u w:val="single"/>
              </w:rPr>
            </w:pPr>
            <w:r w:rsidRPr="00066F65">
              <w:rPr>
                <w:rFonts w:eastAsia="MS Mincho"/>
                <w:sz w:val="23"/>
                <w:szCs w:val="23"/>
                <w:u w:val="single"/>
              </w:rPr>
              <w:t>1 octet</w:t>
            </w:r>
          </w:p>
        </w:tc>
      </w:tr>
    </w:tbl>
    <w:p w:rsidR="00E75997" w:rsidRPr="009448FC" w:rsidRDefault="00E75997" w:rsidP="00E75997">
      <w:pPr>
        <w:jc w:val="center"/>
        <w:rPr>
          <w:rFonts w:eastAsia="MS Mincho"/>
          <w:b/>
        </w:rPr>
      </w:pPr>
      <w:r w:rsidRPr="009448FC">
        <w:rPr>
          <w:rFonts w:eastAsia="MS Mincho"/>
          <w:b/>
        </w:rPr>
        <w:t>Figure 8-27 – MAC address KDE format</w:t>
      </w:r>
    </w:p>
    <w:p w:rsidR="00E75997" w:rsidRPr="009448FC" w:rsidRDefault="00E75997" w:rsidP="00180C52">
      <w:pPr>
        <w:rPr>
          <w:rFonts w:eastAsia="MS Mincho"/>
        </w:rPr>
      </w:pPr>
    </w:p>
    <w:p w:rsidR="00180C52" w:rsidRPr="009448FC" w:rsidRDefault="00180C52" w:rsidP="00180C52">
      <w:pPr>
        <w:rPr>
          <w:rFonts w:eastAsia="MS Mincho"/>
        </w:rPr>
      </w:pPr>
    </w:p>
    <w:p w:rsidR="00180C52" w:rsidRPr="009448FC" w:rsidRDefault="00916506" w:rsidP="00180C52">
      <w:pPr>
        <w:pStyle w:val="Editinginstruction"/>
        <w:rPr>
          <w:b w:val="0"/>
        </w:rPr>
      </w:pPr>
      <w:r w:rsidRPr="009448FC">
        <w:rPr>
          <w:b w:val="0"/>
        </w:rPr>
        <w:t xml:space="preserve">.11 </w:t>
      </w:r>
      <w:r w:rsidR="00180C52" w:rsidRPr="009448FC">
        <w:rPr>
          <w:b w:val="0"/>
        </w:rPr>
        <w:t xml:space="preserve">Editor </w:t>
      </w:r>
      <w:r w:rsidR="00E75997" w:rsidRPr="009448FC">
        <w:rPr>
          <w:b w:val="0"/>
        </w:rPr>
        <w:t xml:space="preserve">Note: </w:t>
      </w:r>
      <w:r w:rsidR="00180C52" w:rsidRPr="009448FC">
        <w:rPr>
          <w:b w:val="0"/>
        </w:rPr>
        <w:t>Insert following Table 8-6:</w:t>
      </w:r>
    </w:p>
    <w:p w:rsidR="00180C52" w:rsidRPr="009448FC" w:rsidRDefault="00180C52" w:rsidP="00180C52">
      <w:pPr>
        <w:rPr>
          <w:rFonts w:eastAsia="MS Mincho"/>
        </w:rPr>
      </w:pPr>
    </w:p>
    <w:p w:rsidR="00180C52" w:rsidRPr="009448FC" w:rsidRDefault="00180C52" w:rsidP="00180C52">
      <w:pPr>
        <w:autoSpaceDE w:val="0"/>
        <w:jc w:val="both"/>
      </w:pPr>
      <w:r w:rsidRPr="009448FC">
        <w:t>The format of the Key ID KDE is shown in Figure 8-32a.</w:t>
      </w:r>
    </w:p>
    <w:p w:rsidR="00180C52" w:rsidRPr="009448FC" w:rsidRDefault="00180C52" w:rsidP="00180C52">
      <w:pPr>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908"/>
        <w:gridCol w:w="1908"/>
      </w:tblGrid>
      <w:tr w:rsidR="00E75997" w:rsidRPr="00066F65" w:rsidTr="00544787">
        <w:trPr>
          <w:jc w:val="center"/>
        </w:trPr>
        <w:tc>
          <w:tcPr>
            <w:tcW w:w="1908" w:type="dxa"/>
          </w:tcPr>
          <w:p w:rsidR="00E75997" w:rsidRPr="009448FC" w:rsidRDefault="00E75997" w:rsidP="00E870B1">
            <w:pPr>
              <w:jc w:val="center"/>
              <w:rPr>
                <w:rFonts w:eastAsia="MS Mincho"/>
              </w:rPr>
            </w:pPr>
            <w:r w:rsidRPr="009448FC">
              <w:rPr>
                <w:rFonts w:eastAsia="MS Mincho"/>
              </w:rPr>
              <w:t>KeyID</w:t>
            </w:r>
          </w:p>
        </w:tc>
        <w:tc>
          <w:tcPr>
            <w:tcW w:w="1908" w:type="dxa"/>
          </w:tcPr>
          <w:p w:rsidR="00E75997" w:rsidRPr="009448FC" w:rsidRDefault="00E75997" w:rsidP="00E870B1">
            <w:pPr>
              <w:jc w:val="center"/>
              <w:rPr>
                <w:rFonts w:eastAsia="MS Mincho"/>
              </w:rPr>
            </w:pPr>
            <w:r w:rsidRPr="009448FC">
              <w:rPr>
                <w:rFonts w:eastAsia="MS Mincho"/>
              </w:rPr>
              <w:t>Reserved (0)</w:t>
            </w:r>
          </w:p>
        </w:tc>
        <w:tc>
          <w:tcPr>
            <w:tcW w:w="1908" w:type="dxa"/>
          </w:tcPr>
          <w:p w:rsidR="00E75997" w:rsidRPr="009448FC" w:rsidRDefault="00E75997" w:rsidP="00E870B1">
            <w:pPr>
              <w:jc w:val="center"/>
              <w:rPr>
                <w:rFonts w:eastAsia="MS Mincho"/>
              </w:rPr>
            </w:pPr>
            <w:r w:rsidRPr="009448FC">
              <w:rPr>
                <w:rFonts w:eastAsia="MS Mincho"/>
              </w:rPr>
              <w:t>Band ID</w:t>
            </w:r>
          </w:p>
        </w:tc>
      </w:tr>
      <w:tr w:rsidR="00E75997" w:rsidRPr="00066F65" w:rsidTr="00544787">
        <w:trPr>
          <w:jc w:val="center"/>
        </w:trPr>
        <w:tc>
          <w:tcPr>
            <w:tcW w:w="1908" w:type="dxa"/>
          </w:tcPr>
          <w:p w:rsidR="00E75997" w:rsidRPr="009448FC" w:rsidRDefault="00E75997" w:rsidP="00E870B1">
            <w:pPr>
              <w:jc w:val="center"/>
              <w:rPr>
                <w:rFonts w:eastAsia="MS Mincho"/>
              </w:rPr>
            </w:pPr>
            <w:r w:rsidRPr="009448FC">
              <w:rPr>
                <w:rFonts w:eastAsia="MS Mincho"/>
              </w:rPr>
              <w:t>bits 0-1</w:t>
            </w:r>
          </w:p>
        </w:tc>
        <w:tc>
          <w:tcPr>
            <w:tcW w:w="1908" w:type="dxa"/>
          </w:tcPr>
          <w:p w:rsidR="00E75997" w:rsidRPr="009448FC" w:rsidRDefault="00E75997" w:rsidP="00E75997">
            <w:pPr>
              <w:jc w:val="center"/>
              <w:rPr>
                <w:rFonts w:eastAsia="MS Mincho"/>
              </w:rPr>
            </w:pPr>
            <w:r w:rsidRPr="009448FC">
              <w:rPr>
                <w:rFonts w:eastAsia="MS Mincho"/>
              </w:rPr>
              <w:t>bits 2-7</w:t>
            </w:r>
          </w:p>
        </w:tc>
        <w:tc>
          <w:tcPr>
            <w:tcW w:w="1908" w:type="dxa"/>
          </w:tcPr>
          <w:p w:rsidR="00E75997" w:rsidRPr="009448FC" w:rsidRDefault="00E75997" w:rsidP="00E75997">
            <w:pPr>
              <w:jc w:val="center"/>
              <w:rPr>
                <w:rFonts w:eastAsia="MS Mincho"/>
              </w:rPr>
            </w:pPr>
            <w:r w:rsidRPr="009448FC">
              <w:rPr>
                <w:rFonts w:eastAsia="MS Mincho"/>
              </w:rPr>
              <w:t>bits 8-15</w:t>
            </w:r>
          </w:p>
        </w:tc>
      </w:tr>
    </w:tbl>
    <w:p w:rsidR="00180C52" w:rsidRPr="009448FC" w:rsidRDefault="00180C52" w:rsidP="00180C52">
      <w:pPr>
        <w:jc w:val="center"/>
        <w:rPr>
          <w:rFonts w:eastAsia="MS Mincho"/>
          <w:b/>
        </w:rPr>
      </w:pPr>
      <w:r w:rsidRPr="009448FC">
        <w:rPr>
          <w:rFonts w:eastAsia="MS Mincho"/>
          <w:b/>
        </w:rPr>
        <w:t>Figure 8-32a – Key ID KDE</w:t>
      </w:r>
    </w:p>
    <w:p w:rsidR="00180C52" w:rsidRPr="009448FC" w:rsidRDefault="00180C52" w:rsidP="00180C52">
      <w:pPr>
        <w:rPr>
          <w:rFonts w:eastAsia="MS Mincho"/>
        </w:rPr>
      </w:pPr>
    </w:p>
    <w:p w:rsidR="00180C52" w:rsidRPr="009448FC" w:rsidRDefault="00180C52" w:rsidP="00180C52">
      <w:pPr>
        <w:autoSpaceDE w:val="0"/>
        <w:jc w:val="both"/>
      </w:pPr>
      <w:r w:rsidRPr="009448FC">
        <w:t>The KeyID field contains the Authenticator selected Key ID.</w:t>
      </w:r>
    </w:p>
    <w:p w:rsidR="00067233" w:rsidRPr="009448FC" w:rsidRDefault="00067233" w:rsidP="00180C52">
      <w:pPr>
        <w:autoSpaceDE w:val="0"/>
        <w:jc w:val="both"/>
      </w:pPr>
    </w:p>
    <w:p w:rsidR="00E75997" w:rsidRPr="009448FC" w:rsidRDefault="00E75997" w:rsidP="00E75997">
      <w:pPr>
        <w:autoSpaceDE w:val="0"/>
        <w:jc w:val="both"/>
      </w:pPr>
      <w:r w:rsidRPr="009448FC">
        <w:t>The Band ID field contains the identification of the band.</w:t>
      </w:r>
    </w:p>
    <w:p w:rsidR="00E75997" w:rsidRPr="009448FC" w:rsidRDefault="00E75997" w:rsidP="00180C52">
      <w:pPr>
        <w:autoSpaceDE w:val="0"/>
        <w:jc w:val="both"/>
      </w:pPr>
    </w:p>
    <w:p w:rsidR="00067233" w:rsidRPr="00345EB2" w:rsidRDefault="00067233" w:rsidP="003701DB">
      <w:pPr>
        <w:pStyle w:val="Heading3"/>
        <w:numPr>
          <w:ilvl w:val="2"/>
          <w:numId w:val="147"/>
        </w:numPr>
      </w:pPr>
      <w:bookmarkStart w:id="1062" w:name="_Ref244222747"/>
      <w:bookmarkStart w:id="1063" w:name="_Toc259717055"/>
      <w:r w:rsidRPr="009448FC">
        <w:t>4-Way Handshake</w:t>
      </w:r>
      <w:bookmarkEnd w:id="1062"/>
      <w:bookmarkEnd w:id="1063"/>
    </w:p>
    <w:p w:rsidR="00544787" w:rsidRPr="007A35B3" w:rsidRDefault="003000E9" w:rsidP="003701DB">
      <w:pPr>
        <w:pStyle w:val="Heading4"/>
        <w:numPr>
          <w:ilvl w:val="3"/>
          <w:numId w:val="187"/>
        </w:numPr>
      </w:pPr>
      <w:bookmarkStart w:id="1064" w:name="_Toc259717056"/>
      <w:r>
        <w:t>4-Way Handshake Message 2</w:t>
      </w:r>
      <w:bookmarkEnd w:id="1064"/>
    </w:p>
    <w:p w:rsidR="007A35B3" w:rsidRPr="007C7B28" w:rsidRDefault="007A35B3" w:rsidP="007A35B3">
      <w:pPr>
        <w:autoSpaceDE w:val="0"/>
        <w:jc w:val="both"/>
        <w:rPr>
          <w:i/>
        </w:rPr>
      </w:pPr>
      <w:r w:rsidRPr="007C7B28">
        <w:rPr>
          <w:bCs/>
          <w:i/>
        </w:rPr>
        <w:t>.11 Editor Note: Modify the description of the Key Data field as follows:</w:t>
      </w:r>
    </w:p>
    <w:p w:rsidR="007A35B3" w:rsidRPr="007C7B28" w:rsidRDefault="007A35B3" w:rsidP="007A35B3">
      <w:pPr>
        <w:autoSpaceDE w:val="0"/>
        <w:jc w:val="both"/>
      </w:pPr>
      <w:r w:rsidRPr="007C7B28">
        <w:rPr>
          <w:rFonts w:eastAsia="MS Mincho"/>
          <w:lang w:eastAsia="ar-SA" w:bidi="ar-SA"/>
        </w:rPr>
        <w:t xml:space="preserve">Key Data = included RSNIE – the sending STA’s RSNIE for PTK generation </w:t>
      </w:r>
      <w:r w:rsidRPr="007C7B28">
        <w:rPr>
          <w:rFonts w:eastAsia="MS Mincho"/>
          <w:u w:val="single"/>
          <w:lang w:eastAsia="ar-SA" w:bidi="ar-SA"/>
        </w:rPr>
        <w:t xml:space="preserve">for the current operating band </w:t>
      </w:r>
      <w:r w:rsidRPr="007C7B28">
        <w:rPr>
          <w:rFonts w:eastAsia="MS Mincho"/>
          <w:lang w:eastAsia="ar-SA" w:bidi="ar-SA"/>
        </w:rPr>
        <w:t xml:space="preserve">or peer RSNIE </w:t>
      </w:r>
      <w:r w:rsidRPr="007C7B28">
        <w:rPr>
          <w:rFonts w:eastAsia="MS Mincho"/>
          <w:u w:val="single"/>
          <w:lang w:eastAsia="ar-SA" w:bidi="ar-SA"/>
        </w:rPr>
        <w:t xml:space="preserve">for the current operating band or; if </w:t>
      </w:r>
      <w:r w:rsidRPr="007C7B28">
        <w:rPr>
          <w:rFonts w:eastAsia="SimSun"/>
          <w:bCs/>
          <w:u w:val="single"/>
          <w:lang w:eastAsia="zh-CN" w:bidi="ar-SA"/>
        </w:rPr>
        <w:t xml:space="preserve">dot11MultibandSupportEnabled is true, </w:t>
      </w:r>
      <w:r w:rsidRPr="007C7B28">
        <w:rPr>
          <w:rFonts w:eastAsia="MS Mincho"/>
          <w:u w:val="single"/>
          <w:lang w:eastAsia="ar-SA" w:bidi="ar-SA"/>
        </w:rPr>
        <w:t xml:space="preserve">the sending STA’s </w:t>
      </w:r>
      <w:r>
        <w:rPr>
          <w:rFonts w:eastAsia="MS Mincho"/>
          <w:u w:val="single"/>
          <w:lang w:eastAsia="ar-SA" w:bidi="ar-SA"/>
        </w:rPr>
        <w:t>Multi-band element</w:t>
      </w:r>
      <w:r w:rsidRPr="007C7B28">
        <w:rPr>
          <w:rFonts w:eastAsia="MS Mincho"/>
          <w:u w:val="single"/>
          <w:lang w:eastAsia="ar-SA" w:bidi="ar-SA"/>
        </w:rPr>
        <w:t xml:space="preserve"> for PTK generation for a supported band other than the current operating band</w:t>
      </w:r>
      <w:r>
        <w:rPr>
          <w:rFonts w:eastAsia="MS Mincho"/>
          <w:u w:val="single"/>
          <w:lang w:eastAsia="ar-SA" w:bidi="ar-SA"/>
        </w:rPr>
        <w:t xml:space="preserve"> or</w:t>
      </w:r>
      <w:r w:rsidRPr="007C7B28">
        <w:rPr>
          <w:rFonts w:eastAsia="MS Mincho"/>
          <w:u w:val="single"/>
          <w:lang w:eastAsia="ar-SA" w:bidi="ar-SA"/>
        </w:rPr>
        <w:t xml:space="preserve">; if </w:t>
      </w:r>
      <w:r w:rsidRPr="007C7B28">
        <w:rPr>
          <w:rFonts w:eastAsia="SimSun"/>
          <w:bCs/>
          <w:u w:val="single"/>
          <w:lang w:eastAsia="zh-CN" w:bidi="ar-SA"/>
        </w:rPr>
        <w:t xml:space="preserve">dot11MultibandSupportEnabled is true and both the Authenticator and </w:t>
      </w:r>
      <w:r>
        <w:rPr>
          <w:rFonts w:eastAsia="SimSun"/>
          <w:bCs/>
          <w:u w:val="single"/>
          <w:lang w:eastAsia="zh-CN" w:bidi="ar-SA"/>
        </w:rPr>
        <w:t xml:space="preserve">the </w:t>
      </w:r>
      <w:r w:rsidRPr="007C7B28">
        <w:rPr>
          <w:rFonts w:eastAsia="SimSun"/>
          <w:bCs/>
          <w:u w:val="single"/>
          <w:lang w:eastAsia="zh-CN" w:bidi="ar-SA"/>
        </w:rPr>
        <w:t>Sup</w:t>
      </w:r>
      <w:r>
        <w:rPr>
          <w:rFonts w:eastAsia="SimSun"/>
          <w:bCs/>
          <w:u w:val="single"/>
          <w:lang w:eastAsia="zh-CN" w:bidi="ar-SA"/>
        </w:rPr>
        <w:t xml:space="preserve">plicant use the same MAC address </w:t>
      </w:r>
      <w:r w:rsidRPr="007C7B28">
        <w:rPr>
          <w:bCs/>
          <w:iCs/>
        </w:rPr>
        <w:t xml:space="preserve">in the current operating band and </w:t>
      </w:r>
      <w:r>
        <w:rPr>
          <w:bCs/>
          <w:iCs/>
        </w:rPr>
        <w:t xml:space="preserve">the </w:t>
      </w:r>
      <w:r w:rsidRPr="007C7B28">
        <w:rPr>
          <w:bCs/>
          <w:iCs/>
        </w:rPr>
        <w:t>other supported band(s)</w:t>
      </w:r>
      <w:r>
        <w:rPr>
          <w:rFonts w:eastAsia="SimSun"/>
          <w:bCs/>
          <w:u w:val="single"/>
          <w:lang w:eastAsia="zh-CN" w:bidi="ar-SA"/>
        </w:rPr>
        <w:t>, the sending STA’s RSN element</w:t>
      </w:r>
      <w:r w:rsidRPr="007C7B28">
        <w:rPr>
          <w:rFonts w:eastAsia="SimSun"/>
          <w:bCs/>
          <w:u w:val="single"/>
          <w:lang w:eastAsia="zh-CN" w:bidi="ar-SA"/>
        </w:rPr>
        <w:t xml:space="preserve"> </w:t>
      </w:r>
      <w:r>
        <w:rPr>
          <w:rFonts w:eastAsia="SimSun"/>
          <w:bCs/>
          <w:u w:val="single"/>
          <w:lang w:eastAsia="zh-CN" w:bidi="ar-SA"/>
        </w:rPr>
        <w:t xml:space="preserve">and Multi-band element(s) </w:t>
      </w:r>
      <w:r w:rsidRPr="007C7B28">
        <w:rPr>
          <w:rFonts w:eastAsia="SimSun"/>
          <w:bCs/>
          <w:u w:val="single"/>
          <w:lang w:eastAsia="zh-CN" w:bidi="ar-SA"/>
        </w:rPr>
        <w:t xml:space="preserve">for generating a single PTK for </w:t>
      </w:r>
      <w:r>
        <w:rPr>
          <w:rFonts w:eastAsia="SimSun"/>
          <w:bCs/>
          <w:u w:val="single"/>
          <w:lang w:eastAsia="zh-CN" w:bidi="ar-SA"/>
        </w:rPr>
        <w:t>all involved bands</w:t>
      </w:r>
      <w:r w:rsidRPr="007C7B28">
        <w:rPr>
          <w:rFonts w:eastAsia="SimSun"/>
          <w:bCs/>
          <w:u w:val="single"/>
          <w:lang w:eastAsia="zh-CN" w:bidi="ar-SA"/>
        </w:rPr>
        <w:t xml:space="preserve">; </w:t>
      </w:r>
      <w:r w:rsidRPr="007C7B28">
        <w:rPr>
          <w:rFonts w:eastAsia="MS Mincho"/>
          <w:u w:val="single"/>
          <w:lang w:eastAsia="ar-SA" w:bidi="ar-SA"/>
        </w:rPr>
        <w:t xml:space="preserve">or if </w:t>
      </w:r>
      <w:r w:rsidRPr="007C7B28">
        <w:rPr>
          <w:rFonts w:eastAsia="SimSun"/>
          <w:bCs/>
          <w:u w:val="single"/>
          <w:lang w:eastAsia="zh-CN" w:bidi="ar-SA"/>
        </w:rPr>
        <w:t xml:space="preserve">dot11MultibandSupportEnabled is true and the Joint Multi-band RSNA subfield of the RSN capabilities field is set to 1 for both the Authenticator and </w:t>
      </w:r>
      <w:r>
        <w:rPr>
          <w:rFonts w:eastAsia="SimSun"/>
          <w:bCs/>
          <w:u w:val="single"/>
          <w:lang w:eastAsia="zh-CN" w:bidi="ar-SA"/>
        </w:rPr>
        <w:t xml:space="preserve">the </w:t>
      </w:r>
      <w:r w:rsidRPr="007C7B28">
        <w:rPr>
          <w:rFonts w:eastAsia="SimSun"/>
          <w:bCs/>
          <w:u w:val="single"/>
          <w:lang w:eastAsia="zh-CN" w:bidi="ar-SA"/>
        </w:rPr>
        <w:t>Supplicant</w:t>
      </w:r>
      <w:r>
        <w:rPr>
          <w:rFonts w:eastAsia="SimSun"/>
          <w:bCs/>
          <w:u w:val="single"/>
          <w:lang w:eastAsia="zh-CN" w:bidi="ar-SA"/>
        </w:rPr>
        <w:t>,</w:t>
      </w:r>
      <w:r w:rsidRPr="007C7B28">
        <w:rPr>
          <w:rFonts w:eastAsia="SimSun"/>
          <w:bCs/>
          <w:u w:val="single"/>
          <w:lang w:eastAsia="zh-CN" w:bidi="ar-SA"/>
        </w:rPr>
        <w:t xml:space="preserve"> and </w:t>
      </w:r>
      <w:r>
        <w:rPr>
          <w:rFonts w:eastAsia="SimSun"/>
          <w:bCs/>
          <w:u w:val="single"/>
          <w:lang w:eastAsia="zh-CN" w:bidi="ar-SA"/>
        </w:rPr>
        <w:t>either the Authenticator or</w:t>
      </w:r>
      <w:r w:rsidRPr="007C7B28">
        <w:rPr>
          <w:rFonts w:eastAsia="SimSun"/>
          <w:bCs/>
          <w:u w:val="single"/>
          <w:lang w:eastAsia="zh-CN" w:bidi="ar-SA"/>
        </w:rPr>
        <w:t xml:space="preserve"> </w:t>
      </w:r>
      <w:r>
        <w:rPr>
          <w:rFonts w:eastAsia="SimSun"/>
          <w:bCs/>
          <w:u w:val="single"/>
          <w:lang w:eastAsia="zh-CN" w:bidi="ar-SA"/>
        </w:rPr>
        <w:t xml:space="preserve">the </w:t>
      </w:r>
      <w:r w:rsidRPr="007C7B28">
        <w:rPr>
          <w:rFonts w:eastAsia="SimSun"/>
          <w:bCs/>
          <w:u w:val="single"/>
          <w:lang w:eastAsia="zh-CN" w:bidi="ar-SA"/>
        </w:rPr>
        <w:t>Supplicant</w:t>
      </w:r>
      <w:r>
        <w:rPr>
          <w:rFonts w:eastAsia="SimSun"/>
          <w:bCs/>
          <w:u w:val="single"/>
          <w:lang w:eastAsia="zh-CN" w:bidi="ar-SA"/>
        </w:rPr>
        <w:t xml:space="preserve"> uses different MAC addresses for different bands</w:t>
      </w:r>
      <w:r w:rsidRPr="007C7B28">
        <w:rPr>
          <w:rFonts w:eastAsia="SimSun"/>
          <w:bCs/>
          <w:u w:val="single"/>
          <w:lang w:eastAsia="zh-CN" w:bidi="ar-SA"/>
        </w:rPr>
        <w:t>, the sending STA’s RSN</w:t>
      </w:r>
      <w:r>
        <w:rPr>
          <w:rFonts w:eastAsia="SimSun"/>
          <w:bCs/>
          <w:u w:val="single"/>
          <w:lang w:eastAsia="zh-CN" w:bidi="ar-SA"/>
        </w:rPr>
        <w:t xml:space="preserve"> element and Multi-band element(s) </w:t>
      </w:r>
      <w:r w:rsidRPr="007C7B28">
        <w:rPr>
          <w:rFonts w:eastAsia="SimSun"/>
          <w:bCs/>
          <w:u w:val="single"/>
          <w:lang w:eastAsia="zh-CN" w:bidi="ar-SA"/>
        </w:rPr>
        <w:t xml:space="preserve">for generating </w:t>
      </w:r>
      <w:r>
        <w:rPr>
          <w:rFonts w:eastAsia="SimSun"/>
          <w:bCs/>
          <w:u w:val="single"/>
          <w:lang w:eastAsia="zh-CN" w:bidi="ar-SA"/>
        </w:rPr>
        <w:t>a different PTK</w:t>
      </w:r>
      <w:r w:rsidRPr="007C7B28">
        <w:rPr>
          <w:rFonts w:eastAsia="SimSun"/>
          <w:bCs/>
          <w:u w:val="single"/>
          <w:lang w:eastAsia="zh-CN" w:bidi="ar-SA"/>
        </w:rPr>
        <w:t xml:space="preserve"> for </w:t>
      </w:r>
      <w:r>
        <w:rPr>
          <w:rFonts w:eastAsia="SimSun"/>
          <w:bCs/>
          <w:u w:val="single"/>
          <w:lang w:eastAsia="zh-CN" w:bidi="ar-SA"/>
        </w:rPr>
        <w:t>each involved band</w:t>
      </w:r>
      <w:r w:rsidR="000F17B7">
        <w:rPr>
          <w:rFonts w:eastAsia="SimSun"/>
          <w:bCs/>
          <w:u w:val="single"/>
          <w:lang w:eastAsia="zh-CN" w:bidi="ar-SA"/>
        </w:rPr>
        <w:t>;</w:t>
      </w:r>
      <w:r w:rsidRPr="007C7B28">
        <w:rPr>
          <w:rFonts w:eastAsia="MS Mincho"/>
          <w:u w:val="single"/>
          <w:lang w:eastAsia="ar-SA" w:bidi="ar-SA"/>
        </w:rPr>
        <w:t xml:space="preserve"> </w:t>
      </w:r>
      <w:smartTag w:uri="urn:schemas-microsoft-com:office:smarttags" w:element="PersonName">
        <w:r w:rsidRPr="007C7B28">
          <w:rPr>
            <w:rFonts w:eastAsia="MS Mincho"/>
            <w:lang w:eastAsia="ar-SA" w:bidi="ar-SA"/>
          </w:rPr>
          <w:t>Li</w:t>
        </w:r>
      </w:smartTag>
      <w:r w:rsidRPr="007C7B28">
        <w:rPr>
          <w:rFonts w:eastAsia="MS Mincho"/>
          <w:lang w:eastAsia="ar-SA" w:bidi="ar-SA"/>
        </w:rPr>
        <w:t>fetime of SMK and SMKID for STK generation.</w:t>
      </w:r>
      <w:r>
        <w:rPr>
          <w:rFonts w:eastAsia="MS Mincho"/>
          <w:lang w:eastAsia="ar-SA" w:bidi="ar-SA"/>
        </w:rPr>
        <w:t xml:space="preserve"> </w:t>
      </w:r>
    </w:p>
    <w:p w:rsidR="007A35B3" w:rsidRPr="009448FC" w:rsidRDefault="007A35B3" w:rsidP="00067233">
      <w:pPr>
        <w:autoSpaceDE w:val="0"/>
        <w:jc w:val="both"/>
        <w:rPr>
          <w:sz w:val="28"/>
        </w:rPr>
      </w:pPr>
    </w:p>
    <w:p w:rsidR="00067233" w:rsidRPr="009448FC" w:rsidRDefault="00067233" w:rsidP="003701DB">
      <w:pPr>
        <w:pStyle w:val="Heading4"/>
        <w:numPr>
          <w:ilvl w:val="3"/>
          <w:numId w:val="148"/>
        </w:numPr>
      </w:pPr>
      <w:bookmarkStart w:id="1065" w:name="_Toc259717057"/>
      <w:r w:rsidRPr="009448FC">
        <w:t>4-Way Handshake Message 3</w:t>
      </w:r>
      <w:bookmarkEnd w:id="1065"/>
    </w:p>
    <w:p w:rsidR="00067233" w:rsidRPr="009448FC" w:rsidRDefault="00483AEC" w:rsidP="00067233">
      <w:pPr>
        <w:pStyle w:val="Editinginstruction"/>
        <w:rPr>
          <w:b w:val="0"/>
        </w:rPr>
      </w:pPr>
      <w:r w:rsidRPr="009448FC">
        <w:rPr>
          <w:b w:val="0"/>
        </w:rPr>
        <w:t xml:space="preserve">.11 </w:t>
      </w:r>
      <w:r w:rsidR="00067233" w:rsidRPr="009448FC">
        <w:rPr>
          <w:b w:val="0"/>
        </w:rPr>
        <w:t xml:space="preserve">Editor </w:t>
      </w:r>
      <w:r w:rsidR="00544787" w:rsidRPr="009448FC">
        <w:rPr>
          <w:b w:val="0"/>
        </w:rPr>
        <w:t>Note:</w:t>
      </w:r>
      <w:r w:rsidR="00067233" w:rsidRPr="009448FC">
        <w:rPr>
          <w:b w:val="0"/>
        </w:rPr>
        <w:t xml:space="preserve"> Modify </w:t>
      </w:r>
      <w:r w:rsidR="00544787" w:rsidRPr="009448FC">
        <w:rPr>
          <w:b w:val="0"/>
        </w:rPr>
        <w:t xml:space="preserve">the </w:t>
      </w:r>
      <w:r w:rsidR="00067233" w:rsidRPr="009448FC">
        <w:rPr>
          <w:b w:val="0"/>
        </w:rPr>
        <w:t xml:space="preserve">description of </w:t>
      </w:r>
      <w:r w:rsidR="00544787" w:rsidRPr="009448FC">
        <w:rPr>
          <w:b w:val="0"/>
        </w:rPr>
        <w:t xml:space="preserve">the </w:t>
      </w:r>
      <w:r w:rsidR="00067233" w:rsidRPr="009448FC">
        <w:rPr>
          <w:b w:val="0"/>
        </w:rPr>
        <w:t>Key Data field as follows:</w:t>
      </w:r>
    </w:p>
    <w:p w:rsidR="00067233" w:rsidRPr="009448FC" w:rsidRDefault="00067233" w:rsidP="00067233">
      <w:pPr>
        <w:rPr>
          <w:rFonts w:eastAsia="MS Mincho"/>
        </w:rPr>
      </w:pPr>
    </w:p>
    <w:p w:rsidR="00F53EC8" w:rsidRPr="007C7B28" w:rsidRDefault="00F53EC8" w:rsidP="00F53EC8">
      <w:pPr>
        <w:autoSpaceDE w:val="0"/>
        <w:rPr>
          <w:b/>
          <w:i/>
          <w:color w:val="FF0000"/>
          <w:u w:val="single"/>
        </w:rPr>
      </w:pPr>
      <w:r w:rsidRPr="007C7B28">
        <w:rPr>
          <w:rFonts w:eastAsia="MS Mincho"/>
          <w:lang w:eastAsia="he-IL"/>
        </w:rPr>
        <w:t xml:space="preserve">Key Data = For PTK generation </w:t>
      </w:r>
      <w:r w:rsidRPr="007C7B28">
        <w:rPr>
          <w:rFonts w:eastAsia="MS Mincho"/>
          <w:u w:val="single"/>
          <w:lang w:eastAsia="he-IL"/>
        </w:rPr>
        <w:t>for the current operating band</w:t>
      </w:r>
      <w:r w:rsidRPr="007C7B28">
        <w:rPr>
          <w:rFonts w:eastAsia="MS Mincho"/>
          <w:lang w:eastAsia="he-IL"/>
        </w:rPr>
        <w:t xml:space="preserve">, the AP’s Beacon/Probe Response frame’s RSN element </w:t>
      </w:r>
      <w:r w:rsidRPr="007C7B28">
        <w:rPr>
          <w:rFonts w:eastAsia="MS Mincho"/>
          <w:u w:val="single"/>
          <w:lang w:eastAsia="he-IL"/>
        </w:rPr>
        <w:t>for the current operating band</w:t>
      </w:r>
      <w:r w:rsidRPr="007C7B28">
        <w:rPr>
          <w:rFonts w:eastAsia="MS Mincho"/>
          <w:lang w:eastAsia="he-IL"/>
        </w:rPr>
        <w:t xml:space="preserve">, and, optionally, a second RSN element that is the </w:t>
      </w:r>
      <w:r w:rsidRPr="007C7B28">
        <w:rPr>
          <w:rFonts w:eastAsia="MS Mincho"/>
          <w:lang w:eastAsia="he-IL"/>
        </w:rPr>
        <w:lastRenderedPageBreak/>
        <w:t xml:space="preserve">Authenticator’s pairwise cipher suite assignment </w:t>
      </w:r>
      <w:r w:rsidRPr="007C7B28">
        <w:rPr>
          <w:rFonts w:eastAsia="MS Mincho"/>
          <w:u w:val="single"/>
          <w:lang w:eastAsia="he-IL"/>
        </w:rPr>
        <w:t>for the current operating band</w:t>
      </w:r>
      <w:r w:rsidRPr="007C7B28">
        <w:rPr>
          <w:rFonts w:eastAsia="MS Mincho"/>
          <w:lang w:eastAsia="he-IL"/>
        </w:rPr>
        <w:t>, and, if a group cipher has been negotiated, the encapsulated GTK and the GTK’s key identifier (se</w:t>
      </w:r>
      <w:r>
        <w:rPr>
          <w:rFonts w:eastAsia="MS Mincho"/>
          <w:lang w:eastAsia="he-IL"/>
        </w:rPr>
        <w:t xml:space="preserve">e </w:t>
      </w:r>
      <w:r w:rsidR="00BD151C">
        <w:rPr>
          <w:rFonts w:eastAsia="MS Mincho"/>
          <w:lang w:eastAsia="he-IL"/>
        </w:rPr>
        <w:fldChar w:fldCharType="begin"/>
      </w:r>
      <w:r>
        <w:rPr>
          <w:rFonts w:eastAsia="MS Mincho"/>
          <w:lang w:eastAsia="he-IL"/>
        </w:rPr>
        <w:instrText xml:space="preserve"> REF _Ref246133913 \r \h </w:instrText>
      </w:r>
      <w:r w:rsidR="00BD151C">
        <w:rPr>
          <w:rFonts w:eastAsia="MS Mincho"/>
          <w:lang w:eastAsia="he-IL"/>
        </w:rPr>
      </w:r>
      <w:r w:rsidR="00BD151C">
        <w:rPr>
          <w:rFonts w:eastAsia="MS Mincho"/>
          <w:lang w:eastAsia="he-IL"/>
        </w:rPr>
        <w:fldChar w:fldCharType="separate"/>
      </w:r>
      <w:r w:rsidR="003E4210">
        <w:rPr>
          <w:rFonts w:eastAsia="MS Mincho"/>
          <w:lang w:eastAsia="he-IL"/>
        </w:rPr>
        <w:t>8.5.2</w:t>
      </w:r>
      <w:r w:rsidR="00BD151C">
        <w:rPr>
          <w:rFonts w:eastAsia="MS Mincho"/>
          <w:lang w:eastAsia="he-IL"/>
        </w:rPr>
        <w:fldChar w:fldCharType="end"/>
      </w:r>
      <w:r w:rsidRPr="007C7B28">
        <w:rPr>
          <w:rFonts w:eastAsia="MS Mincho"/>
          <w:lang w:eastAsia="he-IL"/>
        </w:rPr>
        <w:t xml:space="preserve">) </w:t>
      </w:r>
      <w:r w:rsidRPr="007C7B28">
        <w:rPr>
          <w:rFonts w:eastAsia="MS Mincho"/>
          <w:u w:val="single"/>
          <w:lang w:eastAsia="he-IL"/>
        </w:rPr>
        <w:t>for the current operating band</w:t>
      </w:r>
      <w:r w:rsidRPr="007C7B28">
        <w:rPr>
          <w:rFonts w:eastAsia="MS Mincho"/>
          <w:lang w:eastAsia="he-IL"/>
        </w:rPr>
        <w:t xml:space="preserve">; or </w:t>
      </w:r>
      <w:r w:rsidRPr="007C7B28">
        <w:rPr>
          <w:rFonts w:eastAsia="MS Mincho"/>
          <w:u w:val="single"/>
          <w:lang w:eastAsia="ar-SA" w:bidi="ar-SA"/>
        </w:rPr>
        <w:t xml:space="preserve">if </w:t>
      </w:r>
      <w:r w:rsidRPr="007C7B28">
        <w:rPr>
          <w:rFonts w:eastAsia="SimSun"/>
          <w:bCs/>
          <w:u w:val="single"/>
          <w:lang w:eastAsia="zh-CN" w:bidi="ar-SA"/>
        </w:rPr>
        <w:t xml:space="preserve">dot11MultibandSupportEnabled is true, for PTK generation for a supported band other than the current operating band, the Authenticator’s Beacon/mmWave Beacon/Announce/Probe Response/Information Response frame’s </w:t>
      </w:r>
      <w:r>
        <w:rPr>
          <w:rFonts w:eastAsia="SimSun"/>
          <w:bCs/>
          <w:u w:val="single"/>
          <w:lang w:eastAsia="zh-CN" w:bidi="ar-SA"/>
        </w:rPr>
        <w:t>Multi-band element</w:t>
      </w:r>
      <w:r w:rsidRPr="007C7B28">
        <w:rPr>
          <w:rFonts w:eastAsia="SimSun"/>
          <w:bCs/>
          <w:u w:val="single"/>
          <w:lang w:eastAsia="zh-CN" w:bidi="ar-SA"/>
        </w:rPr>
        <w:t xml:space="preserve"> associated with the supported band, and optionally, a second </w:t>
      </w:r>
      <w:r>
        <w:rPr>
          <w:rFonts w:eastAsia="SimSun"/>
          <w:bCs/>
          <w:u w:val="single"/>
          <w:lang w:eastAsia="zh-CN" w:bidi="ar-SA"/>
        </w:rPr>
        <w:t>Multi-band element</w:t>
      </w:r>
      <w:r w:rsidRPr="007C7B28">
        <w:rPr>
          <w:rFonts w:eastAsia="SimSun"/>
          <w:bCs/>
          <w:u w:val="single"/>
          <w:lang w:eastAsia="zh-CN" w:bidi="ar-SA"/>
        </w:rPr>
        <w:t xml:space="preserve"> that is the Authenticator’s pairwise cipher suite assignment for the supported band, and, if group cipher for the supported band is negotiated, the encapsulated GTK and the GTK’s key identifier for the supported band; or </w:t>
      </w:r>
      <w:r w:rsidRPr="007C7B28">
        <w:rPr>
          <w:rFonts w:eastAsia="MS Mincho"/>
          <w:u w:val="single"/>
          <w:lang w:eastAsia="ar-SA" w:bidi="ar-SA"/>
        </w:rPr>
        <w:t xml:space="preserve">if </w:t>
      </w:r>
      <w:r w:rsidRPr="007C7B28">
        <w:rPr>
          <w:rFonts w:eastAsia="SimSun"/>
          <w:bCs/>
          <w:u w:val="single"/>
          <w:lang w:eastAsia="zh-CN" w:bidi="ar-SA"/>
        </w:rPr>
        <w:t xml:space="preserve">dot11MultibandSupportEnabled is true and both the Authenticator and </w:t>
      </w:r>
      <w:r>
        <w:rPr>
          <w:rFonts w:eastAsia="SimSun"/>
          <w:bCs/>
          <w:u w:val="single"/>
          <w:lang w:eastAsia="zh-CN" w:bidi="ar-SA"/>
        </w:rPr>
        <w:t xml:space="preserve">the </w:t>
      </w:r>
      <w:r w:rsidRPr="007C7B28">
        <w:rPr>
          <w:rFonts w:eastAsia="SimSun"/>
          <w:bCs/>
          <w:u w:val="single"/>
          <w:lang w:eastAsia="zh-CN" w:bidi="ar-SA"/>
        </w:rPr>
        <w:t>Sup</w:t>
      </w:r>
      <w:r>
        <w:rPr>
          <w:rFonts w:eastAsia="SimSun"/>
          <w:bCs/>
          <w:u w:val="single"/>
          <w:lang w:eastAsia="zh-CN" w:bidi="ar-SA"/>
        </w:rPr>
        <w:t xml:space="preserve">plicant use the same MAC address </w:t>
      </w:r>
      <w:r w:rsidRPr="007C7B28">
        <w:rPr>
          <w:bCs/>
          <w:iCs/>
        </w:rPr>
        <w:t xml:space="preserve">in the current operating band and </w:t>
      </w:r>
      <w:r>
        <w:rPr>
          <w:bCs/>
          <w:iCs/>
        </w:rPr>
        <w:t xml:space="preserve">the </w:t>
      </w:r>
      <w:r w:rsidRPr="007C7B28">
        <w:rPr>
          <w:bCs/>
          <w:iCs/>
        </w:rPr>
        <w:t>other supported band(s)</w:t>
      </w:r>
      <w:r w:rsidRPr="007C7B28">
        <w:rPr>
          <w:rFonts w:eastAsia="SimSun"/>
          <w:bCs/>
          <w:u w:val="single"/>
          <w:lang w:eastAsia="zh-CN" w:bidi="ar-SA"/>
        </w:rPr>
        <w:t xml:space="preserve">, for generating a single PTK for </w:t>
      </w:r>
      <w:r>
        <w:rPr>
          <w:rFonts w:eastAsia="SimSun"/>
          <w:bCs/>
          <w:u w:val="single"/>
          <w:lang w:eastAsia="zh-CN" w:bidi="ar-SA"/>
        </w:rPr>
        <w:t>all involved bands</w:t>
      </w:r>
      <w:r w:rsidRPr="007C7B28">
        <w:rPr>
          <w:rFonts w:eastAsia="SimSun"/>
          <w:bCs/>
          <w:u w:val="single"/>
          <w:lang w:eastAsia="zh-CN" w:bidi="ar-SA"/>
        </w:rPr>
        <w:t>, the Authenticator’s Beacon/mmWave Beacon/Announce/Probe Response/Info</w:t>
      </w:r>
      <w:r>
        <w:rPr>
          <w:rFonts w:eastAsia="SimSun"/>
          <w:bCs/>
          <w:u w:val="single"/>
          <w:lang w:eastAsia="zh-CN" w:bidi="ar-SA"/>
        </w:rPr>
        <w:t>rmation Response frame’s RSN element and Multi-band element(s)</w:t>
      </w:r>
      <w:r w:rsidRPr="007C7B28">
        <w:rPr>
          <w:rFonts w:eastAsia="SimSun"/>
          <w:bCs/>
          <w:u w:val="single"/>
          <w:lang w:eastAsia="zh-CN" w:bidi="ar-SA"/>
        </w:rPr>
        <w:t>, a</w:t>
      </w:r>
      <w:r>
        <w:rPr>
          <w:rFonts w:eastAsia="SimSun"/>
          <w:bCs/>
          <w:u w:val="single"/>
          <w:lang w:eastAsia="zh-CN" w:bidi="ar-SA"/>
        </w:rPr>
        <w:t>nd optionally, additional RSN element and Multi-band element(s)</w:t>
      </w:r>
      <w:r w:rsidRPr="007C7B28">
        <w:rPr>
          <w:rFonts w:eastAsia="SimSun"/>
          <w:bCs/>
          <w:u w:val="single"/>
          <w:lang w:eastAsia="zh-CN" w:bidi="ar-SA"/>
        </w:rPr>
        <w:t xml:space="preserve"> that indicate the Authenticator’s</w:t>
      </w:r>
      <w:r>
        <w:rPr>
          <w:rFonts w:eastAsia="SimSun"/>
          <w:bCs/>
          <w:u w:val="single"/>
          <w:lang w:eastAsia="zh-CN" w:bidi="ar-SA"/>
        </w:rPr>
        <w:t xml:space="preserve"> assignment of one</w:t>
      </w:r>
      <w:r w:rsidRPr="007C7B28">
        <w:rPr>
          <w:rFonts w:eastAsia="SimSun"/>
          <w:bCs/>
          <w:u w:val="single"/>
          <w:lang w:eastAsia="zh-CN" w:bidi="ar-SA"/>
        </w:rPr>
        <w:t xml:space="preserve"> pairwise cipher suite for </w:t>
      </w:r>
      <w:r>
        <w:rPr>
          <w:rFonts w:eastAsia="SimSun"/>
          <w:bCs/>
          <w:u w:val="single"/>
          <w:lang w:eastAsia="zh-CN" w:bidi="ar-SA"/>
        </w:rPr>
        <w:t>all involved bands</w:t>
      </w:r>
      <w:r w:rsidRPr="007C7B28">
        <w:rPr>
          <w:rFonts w:eastAsia="SimSun"/>
          <w:bCs/>
          <w:u w:val="single"/>
          <w:lang w:eastAsia="zh-CN" w:bidi="ar-SA"/>
        </w:rPr>
        <w:t>;</w:t>
      </w:r>
      <w:r>
        <w:rPr>
          <w:rFonts w:eastAsia="SimSun"/>
          <w:bCs/>
          <w:u w:val="single"/>
          <w:lang w:eastAsia="zh-CN" w:bidi="ar-SA"/>
        </w:rPr>
        <w:t xml:space="preserve"> if a </w:t>
      </w:r>
      <w:r w:rsidRPr="007C7B28">
        <w:rPr>
          <w:rFonts w:eastAsia="SimSun"/>
          <w:bCs/>
          <w:u w:val="single"/>
          <w:lang w:eastAsia="zh-CN" w:bidi="ar-SA"/>
        </w:rPr>
        <w:t xml:space="preserve">group cipher for </w:t>
      </w:r>
      <w:r>
        <w:rPr>
          <w:rFonts w:eastAsia="SimSun"/>
          <w:bCs/>
          <w:u w:val="single"/>
          <w:lang w:eastAsia="zh-CN" w:bidi="ar-SA"/>
        </w:rPr>
        <w:t>all involved</w:t>
      </w:r>
      <w:r w:rsidRPr="007C7B28">
        <w:rPr>
          <w:rFonts w:eastAsia="SimSun"/>
          <w:bCs/>
          <w:u w:val="single"/>
          <w:lang w:eastAsia="zh-CN" w:bidi="ar-SA"/>
        </w:rPr>
        <w:t xml:space="preserve"> band</w:t>
      </w:r>
      <w:r>
        <w:rPr>
          <w:rFonts w:eastAsia="SimSun"/>
          <w:bCs/>
          <w:u w:val="single"/>
          <w:lang w:eastAsia="zh-CN" w:bidi="ar-SA"/>
        </w:rPr>
        <w:t>s is</w:t>
      </w:r>
      <w:r w:rsidRPr="007C7B28">
        <w:rPr>
          <w:rFonts w:eastAsia="SimSun"/>
          <w:bCs/>
          <w:u w:val="single"/>
          <w:lang w:eastAsia="zh-CN" w:bidi="ar-SA"/>
        </w:rPr>
        <w:t xml:space="preserve"> negotiated, the encapsulated GTK and the GTK’s key identifier for </w:t>
      </w:r>
      <w:r>
        <w:rPr>
          <w:rFonts w:eastAsia="SimSun"/>
          <w:bCs/>
          <w:u w:val="single"/>
          <w:lang w:eastAsia="zh-CN" w:bidi="ar-SA"/>
        </w:rPr>
        <w:t>all involved bands</w:t>
      </w:r>
      <w:r w:rsidRPr="007C7B28">
        <w:rPr>
          <w:rFonts w:eastAsia="SimSun"/>
          <w:bCs/>
          <w:u w:val="single"/>
          <w:lang w:eastAsia="zh-CN" w:bidi="ar-SA"/>
        </w:rPr>
        <w:t>;</w:t>
      </w:r>
      <w:r w:rsidR="00D11F2E">
        <w:rPr>
          <w:rFonts w:eastAsia="SimSun"/>
          <w:bCs/>
          <w:u w:val="single"/>
          <w:lang w:eastAsia="zh-CN" w:bidi="ar-SA"/>
        </w:rPr>
        <w:t xml:space="preserve"> </w:t>
      </w:r>
      <w:r w:rsidRPr="007C7B28">
        <w:rPr>
          <w:rFonts w:eastAsia="SimSun"/>
          <w:bCs/>
          <w:u w:val="single"/>
          <w:lang w:eastAsia="zh-CN" w:bidi="ar-SA"/>
        </w:rPr>
        <w:t>or i</w:t>
      </w:r>
      <w:r w:rsidRPr="007C7B28">
        <w:rPr>
          <w:rFonts w:eastAsia="MS Mincho"/>
          <w:u w:val="single"/>
          <w:lang w:eastAsia="ar-SA" w:bidi="ar-SA"/>
        </w:rPr>
        <w:t xml:space="preserve">f </w:t>
      </w:r>
      <w:r w:rsidRPr="007C7B28">
        <w:rPr>
          <w:rFonts w:eastAsia="SimSun"/>
          <w:bCs/>
          <w:u w:val="single"/>
          <w:lang w:eastAsia="zh-CN" w:bidi="ar-SA"/>
        </w:rPr>
        <w:t xml:space="preserve">dot11MultibandSupportEnabled is true </w:t>
      </w:r>
      <w:r>
        <w:rPr>
          <w:rFonts w:eastAsia="SimSun"/>
          <w:bCs/>
          <w:u w:val="single"/>
          <w:lang w:eastAsia="zh-CN" w:bidi="ar-SA"/>
        </w:rPr>
        <w:t xml:space="preserve">and </w:t>
      </w:r>
      <w:r w:rsidRPr="007C7B28">
        <w:rPr>
          <w:rFonts w:eastAsia="SimSun"/>
          <w:bCs/>
          <w:u w:val="single"/>
          <w:lang w:eastAsia="zh-CN" w:bidi="ar-SA"/>
        </w:rPr>
        <w:t>the Joint Multi-band RSNA subfield is set to 1</w:t>
      </w:r>
      <w:r>
        <w:rPr>
          <w:rFonts w:eastAsia="SimSun"/>
          <w:bCs/>
          <w:u w:val="single"/>
          <w:lang w:eastAsia="zh-CN" w:bidi="ar-SA"/>
        </w:rPr>
        <w:t xml:space="preserve"> for </w:t>
      </w:r>
      <w:r w:rsidRPr="007C7B28">
        <w:rPr>
          <w:rFonts w:eastAsia="SimSun"/>
          <w:bCs/>
          <w:u w:val="single"/>
          <w:lang w:eastAsia="zh-CN" w:bidi="ar-SA"/>
        </w:rPr>
        <w:t>both the Authenticator and Supplicant</w:t>
      </w:r>
      <w:r>
        <w:rPr>
          <w:rFonts w:eastAsia="SimSun"/>
          <w:bCs/>
          <w:u w:val="single"/>
          <w:lang w:eastAsia="zh-CN" w:bidi="ar-SA"/>
        </w:rPr>
        <w:t>,</w:t>
      </w:r>
      <w:r w:rsidRPr="007C7B28">
        <w:rPr>
          <w:rFonts w:eastAsia="SimSun"/>
          <w:bCs/>
          <w:u w:val="single"/>
          <w:lang w:eastAsia="zh-CN" w:bidi="ar-SA"/>
        </w:rPr>
        <w:t xml:space="preserve"> and </w:t>
      </w:r>
      <w:r>
        <w:rPr>
          <w:rFonts w:eastAsia="SimSun"/>
          <w:bCs/>
          <w:u w:val="single"/>
          <w:lang w:eastAsia="zh-CN" w:bidi="ar-SA"/>
        </w:rPr>
        <w:t>either the Authenticator or</w:t>
      </w:r>
      <w:r w:rsidRPr="007C7B28">
        <w:rPr>
          <w:rFonts w:eastAsia="SimSun"/>
          <w:bCs/>
          <w:u w:val="single"/>
          <w:lang w:eastAsia="zh-CN" w:bidi="ar-SA"/>
        </w:rPr>
        <w:t xml:space="preserve"> </w:t>
      </w:r>
      <w:r>
        <w:rPr>
          <w:rFonts w:eastAsia="SimSun"/>
          <w:bCs/>
          <w:u w:val="single"/>
          <w:lang w:eastAsia="zh-CN" w:bidi="ar-SA"/>
        </w:rPr>
        <w:t xml:space="preserve">the </w:t>
      </w:r>
      <w:r w:rsidRPr="007C7B28">
        <w:rPr>
          <w:rFonts w:eastAsia="SimSun"/>
          <w:bCs/>
          <w:u w:val="single"/>
          <w:lang w:eastAsia="zh-CN" w:bidi="ar-SA"/>
        </w:rPr>
        <w:t>Supplicant</w:t>
      </w:r>
      <w:r>
        <w:rPr>
          <w:rFonts w:eastAsia="SimSun"/>
          <w:bCs/>
          <w:u w:val="single"/>
          <w:lang w:eastAsia="zh-CN" w:bidi="ar-SA"/>
        </w:rPr>
        <w:t xml:space="preserve"> uses different MAC addresses for different bands</w:t>
      </w:r>
      <w:r w:rsidRPr="007C7B28">
        <w:rPr>
          <w:rFonts w:eastAsia="SimSun"/>
          <w:bCs/>
          <w:u w:val="single"/>
          <w:lang w:eastAsia="zh-CN" w:bidi="ar-SA"/>
        </w:rPr>
        <w:t>, for generating different PTKs for the current operating band and other supported band(s), the Authenticator’s Beacon/mmWave Beacon/Announce/Probe Response/Information Response frame’s RSN</w:t>
      </w:r>
      <w:r>
        <w:rPr>
          <w:rFonts w:eastAsia="SimSun"/>
          <w:bCs/>
          <w:u w:val="single"/>
          <w:lang w:eastAsia="zh-CN" w:bidi="ar-SA"/>
        </w:rPr>
        <w:t xml:space="preserve"> element and Multi-band element(s),</w:t>
      </w:r>
      <w:r w:rsidRPr="007C7B28">
        <w:rPr>
          <w:rFonts w:eastAsia="SimSun"/>
          <w:bCs/>
          <w:u w:val="single"/>
          <w:lang w:eastAsia="zh-CN" w:bidi="ar-SA"/>
        </w:rPr>
        <w:t xml:space="preserve"> and optionally, additional RSN</w:t>
      </w:r>
      <w:r>
        <w:rPr>
          <w:rFonts w:eastAsia="SimSun"/>
          <w:bCs/>
          <w:u w:val="single"/>
          <w:lang w:eastAsia="zh-CN" w:bidi="ar-SA"/>
        </w:rPr>
        <w:t xml:space="preserve"> element and Multi-band elements</w:t>
      </w:r>
      <w:r w:rsidRPr="007C7B28">
        <w:rPr>
          <w:rFonts w:eastAsia="SimSun"/>
          <w:bCs/>
          <w:u w:val="single"/>
          <w:lang w:eastAsia="zh-CN" w:bidi="ar-SA"/>
        </w:rPr>
        <w:t xml:space="preserve"> that are the Authenticator’s pairwise cipher suite assignment</w:t>
      </w:r>
      <w:r>
        <w:rPr>
          <w:rFonts w:eastAsia="SimSun"/>
          <w:bCs/>
          <w:u w:val="single"/>
          <w:lang w:eastAsia="zh-CN" w:bidi="ar-SA"/>
        </w:rPr>
        <w:t>s</w:t>
      </w:r>
      <w:r w:rsidRPr="007C7B28">
        <w:rPr>
          <w:rFonts w:eastAsia="SimSun"/>
          <w:bCs/>
          <w:u w:val="single"/>
          <w:lang w:eastAsia="zh-CN" w:bidi="ar-SA"/>
        </w:rPr>
        <w:t xml:space="preserve"> for </w:t>
      </w:r>
      <w:r>
        <w:rPr>
          <w:rFonts w:eastAsia="SimSun"/>
          <w:bCs/>
          <w:u w:val="single"/>
          <w:lang w:eastAsia="zh-CN" w:bidi="ar-SA"/>
        </w:rPr>
        <w:t>one or more involved bands;</w:t>
      </w:r>
      <w:r w:rsidRPr="007C7B28">
        <w:rPr>
          <w:rFonts w:eastAsia="SimSun"/>
          <w:bCs/>
          <w:u w:val="single"/>
          <w:lang w:eastAsia="zh-CN" w:bidi="ar-SA"/>
        </w:rPr>
        <w:t xml:space="preserve"> </w:t>
      </w:r>
      <w:r>
        <w:rPr>
          <w:rFonts w:eastAsia="SimSun"/>
          <w:bCs/>
          <w:u w:val="single"/>
          <w:lang w:eastAsia="zh-CN" w:bidi="ar-SA"/>
        </w:rPr>
        <w:t>i</w:t>
      </w:r>
      <w:r w:rsidRPr="007C7B28">
        <w:rPr>
          <w:rFonts w:eastAsia="SimSun"/>
          <w:bCs/>
          <w:u w:val="single"/>
          <w:lang w:eastAsia="zh-CN" w:bidi="ar-SA"/>
        </w:rPr>
        <w:t xml:space="preserve">f group ciphers for </w:t>
      </w:r>
      <w:r>
        <w:rPr>
          <w:rFonts w:eastAsia="SimSun"/>
          <w:bCs/>
          <w:u w:val="single"/>
          <w:lang w:eastAsia="zh-CN" w:bidi="ar-SA"/>
        </w:rPr>
        <w:t>the involved bands</w:t>
      </w:r>
      <w:r w:rsidRPr="007C7B28">
        <w:rPr>
          <w:rFonts w:eastAsia="SimSun"/>
          <w:bCs/>
          <w:u w:val="single"/>
          <w:lang w:eastAsia="zh-CN" w:bidi="ar-SA"/>
        </w:rPr>
        <w:t xml:space="preserve"> are negotiated, the encapsulated GTKs and the GTK’s key identifiers for </w:t>
      </w:r>
      <w:r>
        <w:rPr>
          <w:rFonts w:eastAsia="SimSun"/>
          <w:bCs/>
          <w:u w:val="single"/>
          <w:lang w:eastAsia="zh-CN" w:bidi="ar-SA"/>
        </w:rPr>
        <w:t>the involved bands</w:t>
      </w:r>
      <w:r w:rsidRPr="007C7B28">
        <w:rPr>
          <w:rFonts w:eastAsia="SimSun"/>
          <w:bCs/>
          <w:u w:val="single"/>
          <w:lang w:eastAsia="zh-CN" w:bidi="ar-SA"/>
        </w:rPr>
        <w:t xml:space="preserve">. </w:t>
      </w:r>
      <w:r w:rsidRPr="007C7B28">
        <w:rPr>
          <w:rFonts w:eastAsia="MS Mincho"/>
          <w:lang w:eastAsia="he-IL"/>
        </w:rPr>
        <w:t xml:space="preserve">For STK generation Initiator RSNIE, </w:t>
      </w:r>
      <w:smartTag w:uri="urn:schemas-microsoft-com:office:smarttags" w:element="PersonName">
        <w:r w:rsidRPr="007C7B28">
          <w:rPr>
            <w:rFonts w:eastAsia="MS Mincho"/>
            <w:lang w:eastAsia="he-IL"/>
          </w:rPr>
          <w:t>Li</w:t>
        </w:r>
      </w:smartTag>
      <w:r w:rsidRPr="007C7B28">
        <w:rPr>
          <w:rFonts w:eastAsia="MS Mincho"/>
          <w:lang w:eastAsia="he-IL"/>
        </w:rPr>
        <w:t xml:space="preserve">fetime of SMK is used. If </w:t>
      </w:r>
      <w:r w:rsidRPr="007C7B28">
        <w:rPr>
          <w:lang w:eastAsia="he-IL"/>
        </w:rPr>
        <w:t xml:space="preserve">the Extended KeyID for Unicast subfield of the RSN Capabilities field is set to 1 </w:t>
      </w:r>
      <w:r w:rsidRPr="007C7B28">
        <w:rPr>
          <w:u w:val="single"/>
        </w:rPr>
        <w:t>for both the Authenticator/STA_I and Supplicant/STA_P</w:t>
      </w:r>
      <w:r w:rsidRPr="007C7B28">
        <w:rPr>
          <w:lang w:eastAsia="he-IL"/>
        </w:rPr>
        <w:t>,</w:t>
      </w:r>
      <w:r w:rsidRPr="007C7B28">
        <w:rPr>
          <w:rFonts w:eastAsia="MS Mincho"/>
          <w:lang w:eastAsia="he-IL"/>
        </w:rPr>
        <w:t xml:space="preserve"> then the Authenticator/STA includes the Key ID KDE with the assigned key identifier </w:t>
      </w:r>
      <w:r w:rsidRPr="007C7B28">
        <w:rPr>
          <w:rFonts w:eastAsia="MS Mincho"/>
          <w:u w:val="single"/>
          <w:lang w:eastAsia="he-IL"/>
        </w:rPr>
        <w:t>for the current operating band</w:t>
      </w:r>
      <w:r w:rsidRPr="007C7B28">
        <w:rPr>
          <w:rFonts w:eastAsia="MS Mincho"/>
          <w:lang w:eastAsia="he-IL"/>
        </w:rPr>
        <w:t xml:space="preserve">; or </w:t>
      </w:r>
      <w:r w:rsidRPr="007C7B28">
        <w:rPr>
          <w:rFonts w:eastAsia="MS Mincho"/>
          <w:u w:val="single"/>
          <w:lang w:eastAsia="ar-SA" w:bidi="ar-SA"/>
        </w:rPr>
        <w:t xml:space="preserve">if </w:t>
      </w:r>
      <w:r w:rsidRPr="007C7B28">
        <w:rPr>
          <w:rFonts w:eastAsia="SimSun"/>
          <w:bCs/>
          <w:u w:val="single"/>
          <w:lang w:eastAsia="zh-CN" w:bidi="ar-SA"/>
        </w:rPr>
        <w:t>dot11MultibandSupportEnabled is true, the Authenticator includes the Key ID KDE</w:t>
      </w:r>
      <w:r>
        <w:rPr>
          <w:rFonts w:eastAsia="SimSun"/>
          <w:bCs/>
          <w:u w:val="single"/>
          <w:lang w:eastAsia="zh-CN" w:bidi="ar-SA"/>
        </w:rPr>
        <w:t>(s)</w:t>
      </w:r>
      <w:r w:rsidRPr="007C7B28">
        <w:rPr>
          <w:rFonts w:eastAsia="SimSun"/>
          <w:bCs/>
          <w:u w:val="single"/>
          <w:lang w:eastAsia="zh-CN" w:bidi="ar-SA"/>
        </w:rPr>
        <w:t xml:space="preserve"> with the assigned key identifier</w:t>
      </w:r>
      <w:r>
        <w:rPr>
          <w:rFonts w:eastAsia="SimSun"/>
          <w:bCs/>
          <w:u w:val="single"/>
          <w:lang w:eastAsia="zh-CN" w:bidi="ar-SA"/>
        </w:rPr>
        <w:t>(s)</w:t>
      </w:r>
      <w:r w:rsidRPr="007C7B28">
        <w:rPr>
          <w:rFonts w:eastAsia="SimSun"/>
          <w:bCs/>
          <w:u w:val="single"/>
          <w:lang w:eastAsia="zh-CN" w:bidi="ar-SA"/>
        </w:rPr>
        <w:t xml:space="preserve"> for</w:t>
      </w:r>
      <w:r>
        <w:rPr>
          <w:rFonts w:eastAsia="SimSun"/>
          <w:bCs/>
          <w:u w:val="single"/>
          <w:lang w:eastAsia="zh-CN" w:bidi="ar-SA"/>
        </w:rPr>
        <w:t xml:space="preserve"> one or more supported bands.</w:t>
      </w:r>
      <w:r w:rsidRPr="007C7B28">
        <w:rPr>
          <w:rFonts w:eastAsia="SimSun"/>
          <w:bCs/>
          <w:u w:val="single"/>
          <w:lang w:eastAsia="zh-CN" w:bidi="ar-SA"/>
        </w:rPr>
        <w:t xml:space="preserve"> </w:t>
      </w:r>
    </w:p>
    <w:p w:rsidR="00067233" w:rsidRPr="009448FC" w:rsidRDefault="00067233" w:rsidP="00180C52">
      <w:pPr>
        <w:autoSpaceDE w:val="0"/>
        <w:jc w:val="both"/>
      </w:pPr>
    </w:p>
    <w:p w:rsidR="0034576B" w:rsidRPr="009448FC" w:rsidRDefault="0034576B" w:rsidP="00886ECD">
      <w:pPr>
        <w:autoSpaceDE w:val="0"/>
        <w:jc w:val="both"/>
        <w:rPr>
          <w:i/>
        </w:rPr>
      </w:pPr>
      <w:r w:rsidRPr="009448FC">
        <w:rPr>
          <w:i/>
        </w:rPr>
        <w:t xml:space="preserve">.11 Editor Note: </w:t>
      </w:r>
      <w:r w:rsidR="00776627" w:rsidRPr="009448FC">
        <w:rPr>
          <w:i/>
        </w:rPr>
        <w:t>after the sentence “</w:t>
      </w:r>
      <w:r w:rsidR="00776627" w:rsidRPr="00B145D1">
        <w:t>Processing for PTK generation is as follows:</w:t>
      </w:r>
      <w:r w:rsidR="00776627" w:rsidRPr="009448FC">
        <w:rPr>
          <w:i/>
        </w:rPr>
        <w:t>” and before the sentence</w:t>
      </w:r>
      <w:r w:rsidR="00886ECD" w:rsidRPr="009448FC">
        <w:rPr>
          <w:i/>
        </w:rPr>
        <w:t xml:space="preserve"> </w:t>
      </w:r>
      <w:r w:rsidR="00776627" w:rsidRPr="009448FC">
        <w:rPr>
          <w:i/>
        </w:rPr>
        <w:t>”</w:t>
      </w:r>
      <w:r w:rsidR="00776627" w:rsidRPr="009448FC">
        <w:t xml:space="preserve"> </w:t>
      </w:r>
      <w:r w:rsidR="00776627" w:rsidRPr="00B145D1">
        <w:t>The Authenticator sends Message 3 to the Supplicant</w:t>
      </w:r>
      <w:r w:rsidR="00776627" w:rsidRPr="009448FC">
        <w:rPr>
          <w:i/>
        </w:rPr>
        <w:t xml:space="preserve">.” add </w:t>
      </w:r>
      <w:r w:rsidR="00B145D1">
        <w:rPr>
          <w:i/>
        </w:rPr>
        <w:t xml:space="preserve">the </w:t>
      </w:r>
      <w:r w:rsidR="00776627" w:rsidRPr="009448FC">
        <w:rPr>
          <w:i/>
        </w:rPr>
        <w:t>following:</w:t>
      </w:r>
    </w:p>
    <w:p w:rsidR="00776627" w:rsidRPr="009448FC" w:rsidRDefault="00776627" w:rsidP="00180C52">
      <w:pPr>
        <w:autoSpaceDE w:val="0"/>
        <w:jc w:val="both"/>
        <w:rPr>
          <w:i/>
        </w:rPr>
      </w:pPr>
    </w:p>
    <w:p w:rsidR="00886ECD" w:rsidRPr="00066F65" w:rsidRDefault="00776627" w:rsidP="00180C52">
      <w:pPr>
        <w:autoSpaceDE w:val="0"/>
        <w:jc w:val="both"/>
        <w:rPr>
          <w:rFonts w:eastAsia="MS Mincho"/>
          <w:u w:val="single"/>
        </w:rPr>
      </w:pPr>
      <w:r w:rsidRPr="00066F65">
        <w:rPr>
          <w:rFonts w:eastAsia="MS Mincho"/>
          <w:u w:val="single"/>
        </w:rPr>
        <w:t>If the Extended Key ID for Unicast subfield of the RSN Capabilities field is set to 1 for both the Authenticator and the Supplicant, then the Authenticator assigns a new Key ID for the PTKSA in the range 0 through 1. Otherwise the Key ID 0 use used. The Authenticator uses the MLME-SETKEYS.request primitive to install the new key in the IEEE 802.11 MAC to receive Class 3 unicast MPDUs protected by the PTK with the assigned Key ID.</w:t>
      </w:r>
    </w:p>
    <w:p w:rsidR="00886ECD" w:rsidRPr="00066F65" w:rsidRDefault="00886ECD" w:rsidP="00180C52">
      <w:pPr>
        <w:autoSpaceDE w:val="0"/>
        <w:jc w:val="both"/>
        <w:rPr>
          <w:rFonts w:eastAsia="MS Mincho"/>
          <w:u w:val="single"/>
        </w:rPr>
      </w:pPr>
    </w:p>
    <w:p w:rsidR="00776627" w:rsidRPr="00B145D1" w:rsidRDefault="00B145D1" w:rsidP="006D5010">
      <w:pPr>
        <w:rPr>
          <w:b/>
          <w:i/>
          <w:color w:val="FF0000"/>
          <w:sz w:val="20"/>
          <w:u w:val="single"/>
        </w:rPr>
      </w:pPr>
      <w:r w:rsidRPr="00B145D1">
        <w:rPr>
          <w:rFonts w:eastAsia="MS Mincho"/>
          <w:sz w:val="20"/>
          <w:u w:val="single"/>
        </w:rPr>
        <w:t xml:space="preserve">NOTE – </w:t>
      </w:r>
      <w:r w:rsidR="00886ECD" w:rsidRPr="00B145D1">
        <w:rPr>
          <w:rFonts w:eastAsia="MS Mincho"/>
          <w:sz w:val="20"/>
          <w:u w:val="single"/>
        </w:rPr>
        <w:t>If an existing PTK is still in effect, the Authenticator IEEE 802.11 MAC continues to transmit Class 3 unicast MPDUs (if any) using the existing key. With the installation of the new key for receive, the Authenticator is able to receive Class 3 unicast MPDUs using either the old key (if present) or the new key.</w:t>
      </w:r>
      <w:r w:rsidR="006D5010" w:rsidRPr="00B145D1">
        <w:rPr>
          <w:b/>
          <w:i/>
          <w:color w:val="FF0000"/>
          <w:sz w:val="20"/>
          <w:u w:val="single"/>
        </w:rPr>
        <w:t xml:space="preserve"> </w:t>
      </w:r>
    </w:p>
    <w:p w:rsidR="00550821" w:rsidRPr="00066F65" w:rsidRDefault="00550821" w:rsidP="00886ECD">
      <w:pPr>
        <w:rPr>
          <w:b/>
          <w:i/>
          <w:color w:val="FF0000"/>
          <w:u w:val="single"/>
        </w:rPr>
      </w:pPr>
    </w:p>
    <w:p w:rsidR="00550821" w:rsidRPr="009448FC" w:rsidRDefault="00550821" w:rsidP="00550821">
      <w:pPr>
        <w:pStyle w:val="Editinginstruction"/>
        <w:rPr>
          <w:b w:val="0"/>
        </w:rPr>
      </w:pPr>
      <w:r w:rsidRPr="009448FC">
        <w:rPr>
          <w:b w:val="0"/>
        </w:rPr>
        <w:t>.11 Editor Note: in the paragraph that starts with “</w:t>
      </w:r>
      <w:r w:rsidRPr="00B145D1">
        <w:rPr>
          <w:b w:val="0"/>
          <w:i w:val="0"/>
        </w:rPr>
        <w:t>On reception of Message 3, the Supplicant silently…”</w:t>
      </w:r>
      <w:r w:rsidRPr="009448FC">
        <w:rPr>
          <w:b w:val="0"/>
        </w:rPr>
        <w:t xml:space="preserve"> change as follows:</w:t>
      </w:r>
    </w:p>
    <w:p w:rsidR="00550821" w:rsidRPr="009448FC" w:rsidRDefault="00550821" w:rsidP="00550821">
      <w:pPr>
        <w:pStyle w:val="Editinginstruction"/>
        <w:rPr>
          <w:b w:val="0"/>
        </w:rPr>
      </w:pPr>
    </w:p>
    <w:p w:rsidR="00550821" w:rsidRPr="00066F65" w:rsidRDefault="00550821" w:rsidP="00550821">
      <w:pPr>
        <w:ind w:left="540" w:hanging="540"/>
        <w:rPr>
          <w:rFonts w:eastAsia="MS Mincho"/>
          <w:u w:val="single"/>
        </w:rPr>
      </w:pPr>
      <w:r w:rsidRPr="00066F65">
        <w:rPr>
          <w:rFonts w:eastAsia="MS Mincho"/>
          <w:u w:val="single"/>
        </w:rPr>
        <w:t xml:space="preserve">d) </w:t>
      </w:r>
      <w:r w:rsidRPr="00066F65">
        <w:rPr>
          <w:rFonts w:eastAsia="MS Mincho"/>
          <w:u w:val="single"/>
        </w:rPr>
        <w:tab/>
        <w:t>Uses the MLME-SETKEYS.request primitive to configure the IEEE 802.11 MAC to send and receive Class 3 unicast MPDUs protected by the PTK with the assigned Key ID.</w:t>
      </w:r>
    </w:p>
    <w:p w:rsidR="00550821" w:rsidRPr="009448FC" w:rsidRDefault="00550821" w:rsidP="00550821">
      <w:pPr>
        <w:rPr>
          <w:rFonts w:eastAsia="MS Mincho"/>
        </w:rPr>
      </w:pPr>
      <w:r w:rsidRPr="009448FC">
        <w:rPr>
          <w:rFonts w:eastAsia="MS Mincho"/>
          <w:strike/>
        </w:rPr>
        <w:t>d</w:t>
      </w:r>
      <w:r w:rsidRPr="00066F65">
        <w:rPr>
          <w:rFonts w:eastAsia="MS Mincho"/>
          <w:u w:val="single"/>
        </w:rPr>
        <w:t>e</w:t>
      </w:r>
      <w:r w:rsidRPr="009448FC">
        <w:rPr>
          <w:rFonts w:eastAsia="MS Mincho"/>
        </w:rPr>
        <w:t>)</w:t>
      </w:r>
      <w:r w:rsidR="00080054">
        <w:rPr>
          <w:rFonts w:eastAsia="MS Mincho"/>
        </w:rPr>
        <w:t xml:space="preserve"> </w:t>
      </w:r>
      <w:r w:rsidRPr="009448FC">
        <w:rPr>
          <w:rFonts w:eastAsia="MS Mincho"/>
        </w:rPr>
        <w:t>Constructs Message 4.</w:t>
      </w:r>
    </w:p>
    <w:p w:rsidR="00550821" w:rsidRPr="009448FC" w:rsidRDefault="00550821" w:rsidP="00550821">
      <w:pPr>
        <w:rPr>
          <w:rFonts w:eastAsia="MS Mincho"/>
        </w:rPr>
      </w:pPr>
      <w:r w:rsidRPr="009448FC">
        <w:rPr>
          <w:rFonts w:eastAsia="MS Mincho"/>
          <w:strike/>
        </w:rPr>
        <w:t>e</w:t>
      </w:r>
      <w:r w:rsidRPr="009448FC">
        <w:rPr>
          <w:rFonts w:eastAsia="MS Mincho"/>
        </w:rPr>
        <w:t>f)</w:t>
      </w:r>
      <w:r w:rsidR="0096593D">
        <w:rPr>
          <w:rFonts w:eastAsia="MS Mincho"/>
        </w:rPr>
        <w:t xml:space="preserve"> </w:t>
      </w:r>
      <w:r w:rsidRPr="009448FC">
        <w:rPr>
          <w:rFonts w:eastAsia="MS Mincho"/>
        </w:rPr>
        <w:t>Sends Message 4 to the Authenticator.</w:t>
      </w:r>
    </w:p>
    <w:p w:rsidR="00550821" w:rsidRPr="009448FC" w:rsidRDefault="00550821" w:rsidP="00822AD2">
      <w:pPr>
        <w:ind w:left="540" w:hanging="540"/>
        <w:rPr>
          <w:rFonts w:eastAsia="MS Mincho"/>
          <w:strike/>
        </w:rPr>
      </w:pPr>
      <w:r w:rsidRPr="009448FC">
        <w:rPr>
          <w:rFonts w:eastAsia="MS Mincho"/>
          <w:strike/>
        </w:rPr>
        <w:lastRenderedPageBreak/>
        <w:t>f)</w:t>
      </w:r>
      <w:r w:rsidR="00080054">
        <w:rPr>
          <w:rFonts w:eastAsia="MS Mincho"/>
          <w:strike/>
        </w:rPr>
        <w:t xml:space="preserve">  </w:t>
      </w:r>
      <w:r w:rsidRPr="009448FC">
        <w:rPr>
          <w:rFonts w:eastAsia="MS Mincho"/>
          <w:strike/>
        </w:rPr>
        <w:t>Uses the MLME-SETKEYS.request primitive to configure the IEEE 802.11 MAC to send and receive Class 3 unicast MPDUs protected by the PTK. The GTK is also configured by MLMESETKEYS primitive.</w:t>
      </w:r>
      <w:r w:rsidR="00C26C88" w:rsidRPr="00066F65">
        <w:rPr>
          <w:b/>
          <w:i/>
          <w:color w:val="FF0000"/>
          <w:u w:val="single"/>
        </w:rPr>
        <w:t xml:space="preserve"> </w:t>
      </w:r>
    </w:p>
    <w:p w:rsidR="00550821" w:rsidRPr="009448FC" w:rsidRDefault="00550821" w:rsidP="00550821">
      <w:pPr>
        <w:pStyle w:val="Editinginstruction"/>
        <w:rPr>
          <w:b w:val="0"/>
        </w:rPr>
      </w:pPr>
    </w:p>
    <w:p w:rsidR="008D6399" w:rsidRPr="009448FC" w:rsidRDefault="008D6399" w:rsidP="008D6399">
      <w:pPr>
        <w:pStyle w:val="Editinginstruction"/>
        <w:rPr>
          <w:b w:val="0"/>
        </w:rPr>
      </w:pPr>
      <w:r w:rsidRPr="009448FC">
        <w:rPr>
          <w:b w:val="0"/>
        </w:rPr>
        <w:t>.11 Editor Note: before the</w:t>
      </w:r>
      <w:r w:rsidR="00281486" w:rsidRPr="009448FC">
        <w:rPr>
          <w:b w:val="0"/>
        </w:rPr>
        <w:t xml:space="preserve"> </w:t>
      </w:r>
      <w:r w:rsidRPr="009448FC">
        <w:rPr>
          <w:b w:val="0"/>
        </w:rPr>
        <w:t>paragraph that starts with “</w:t>
      </w:r>
      <w:r w:rsidRPr="00B145D1">
        <w:rPr>
          <w:b w:val="0"/>
          <w:i w:val="0"/>
        </w:rPr>
        <w:t>The STA_I sends Message 3 to the STA_P. On reception of Message 3, the STA_P silently…</w:t>
      </w:r>
      <w:r w:rsidRPr="009448FC">
        <w:rPr>
          <w:b w:val="0"/>
        </w:rPr>
        <w:t>” add following text:</w:t>
      </w:r>
    </w:p>
    <w:p w:rsidR="008D6399" w:rsidRPr="009448FC" w:rsidRDefault="008D6399" w:rsidP="008D6399">
      <w:pPr>
        <w:pStyle w:val="Editinginstruction"/>
        <w:rPr>
          <w:b w:val="0"/>
        </w:rPr>
      </w:pPr>
    </w:p>
    <w:p w:rsidR="008D6399" w:rsidRPr="009448FC" w:rsidRDefault="008D6399" w:rsidP="008D6399">
      <w:pPr>
        <w:rPr>
          <w:rFonts w:eastAsia="MS Mincho"/>
        </w:rPr>
      </w:pPr>
      <w:r w:rsidRPr="00066F65">
        <w:rPr>
          <w:rFonts w:eastAsia="MS Mincho"/>
          <w:u w:val="single"/>
        </w:rPr>
        <w:t xml:space="preserve">If the Extended Key ID for Unicast subfield of the RSN Capabilities field is set to 1 for both the STA_I and the STA_P, then the Authenticator assigns a new Key ID for the STKSA in the range 0 through 1. Otherwise the Key ID 0 use used. The STA_I uses the MLME-SETKEYS.request primitive to install the new key in the IEEE 802.11 MAC to receive Class 3 unicast MPDUs protected by the STK with the assigned Key ID. </w:t>
      </w:r>
      <w:r w:rsidRPr="009448FC">
        <w:rPr>
          <w:rFonts w:eastAsia="MS Mincho"/>
        </w:rPr>
        <w:t>The STA_I sends Message 3 to the STA_P.</w:t>
      </w:r>
    </w:p>
    <w:p w:rsidR="008D6399" w:rsidRPr="009448FC" w:rsidRDefault="008D6399" w:rsidP="008D6399">
      <w:pPr>
        <w:rPr>
          <w:rFonts w:eastAsia="MS Mincho"/>
        </w:rPr>
      </w:pPr>
    </w:p>
    <w:p w:rsidR="008D6399" w:rsidRPr="00946103" w:rsidRDefault="00946103" w:rsidP="008D6399">
      <w:pPr>
        <w:rPr>
          <w:rFonts w:eastAsia="MS Mincho"/>
          <w:sz w:val="20"/>
          <w:szCs w:val="20"/>
          <w:highlight w:val="green"/>
          <w:u w:val="single"/>
        </w:rPr>
      </w:pPr>
      <w:r w:rsidRPr="00946103">
        <w:rPr>
          <w:rFonts w:eastAsia="MS Mincho"/>
          <w:sz w:val="20"/>
          <w:szCs w:val="20"/>
          <w:u w:val="single"/>
        </w:rPr>
        <w:t xml:space="preserve">NOTE – </w:t>
      </w:r>
      <w:r w:rsidR="008D6399" w:rsidRPr="00946103">
        <w:rPr>
          <w:rFonts w:eastAsia="MS Mincho"/>
          <w:sz w:val="20"/>
          <w:szCs w:val="20"/>
          <w:u w:val="single"/>
        </w:rPr>
        <w:t>If an existing STK is still in effect, the STA_I IEEE 802.11 MAC continues to transmit Class 3 unicast MPDUs (if any) using the existing key. With the installation of the new key for receive, the STA_I is able to receive Class 3 unicast MPDUs using both the old key (if present) or the new key.</w:t>
      </w:r>
    </w:p>
    <w:p w:rsidR="008D6399" w:rsidRPr="009448FC" w:rsidRDefault="008D6399" w:rsidP="008D6399">
      <w:pPr>
        <w:pStyle w:val="Editinginstruction"/>
        <w:rPr>
          <w:b w:val="0"/>
        </w:rPr>
      </w:pPr>
    </w:p>
    <w:p w:rsidR="00A3370D" w:rsidRPr="009448FC" w:rsidRDefault="00A3370D" w:rsidP="00C56576">
      <w:pPr>
        <w:pStyle w:val="Editinginstruction"/>
        <w:rPr>
          <w:b w:val="0"/>
        </w:rPr>
      </w:pPr>
      <w:r w:rsidRPr="009448FC">
        <w:rPr>
          <w:b w:val="0"/>
        </w:rPr>
        <w:t>.11 Editor Note: in the</w:t>
      </w:r>
      <w:r w:rsidR="00281486" w:rsidRPr="009448FC">
        <w:rPr>
          <w:b w:val="0"/>
        </w:rPr>
        <w:t xml:space="preserve"> </w:t>
      </w:r>
      <w:r w:rsidRPr="009448FC">
        <w:rPr>
          <w:b w:val="0"/>
        </w:rPr>
        <w:t>paragraph that starts with “</w:t>
      </w:r>
      <w:r w:rsidRPr="009448FC">
        <w:rPr>
          <w:b w:val="0"/>
          <w:i w:val="0"/>
        </w:rPr>
        <w:t>The STA_I sends Message 3 to the STA_P. On reception of Message 3, the STA_P silently</w:t>
      </w:r>
      <w:r w:rsidRPr="009448FC">
        <w:rPr>
          <w:b w:val="0"/>
        </w:rPr>
        <w:t>…”</w:t>
      </w:r>
      <w:r w:rsidR="00AB5FB5" w:rsidRPr="009448FC">
        <w:rPr>
          <w:b w:val="0"/>
        </w:rPr>
        <w:t xml:space="preserve"> add after</w:t>
      </w:r>
      <w:r w:rsidR="001170A3" w:rsidRPr="009448FC">
        <w:rPr>
          <w:b w:val="0"/>
        </w:rPr>
        <w:t xml:space="preserve"> </w:t>
      </w:r>
      <w:r w:rsidR="00C56576" w:rsidRPr="009448FC">
        <w:rPr>
          <w:b w:val="0"/>
        </w:rPr>
        <w:t xml:space="preserve">bullet </w:t>
      </w:r>
      <w:r w:rsidR="00AB5FB5" w:rsidRPr="009448FC">
        <w:rPr>
          <w:b w:val="0"/>
        </w:rPr>
        <w:t>c):</w:t>
      </w:r>
    </w:p>
    <w:p w:rsidR="00AB5FB5" w:rsidRPr="009448FC" w:rsidRDefault="00AB5FB5" w:rsidP="00A3370D">
      <w:pPr>
        <w:pStyle w:val="Editinginstruction"/>
        <w:rPr>
          <w:b w:val="0"/>
        </w:rPr>
      </w:pPr>
    </w:p>
    <w:p w:rsidR="00AB5FB5" w:rsidRPr="00066F65" w:rsidRDefault="00AB5FB5" w:rsidP="003701DB">
      <w:pPr>
        <w:numPr>
          <w:ilvl w:val="0"/>
          <w:numId w:val="158"/>
        </w:numPr>
        <w:suppressAutoHyphens/>
        <w:rPr>
          <w:rFonts w:eastAsia="MS Mincho"/>
          <w:u w:val="single"/>
        </w:rPr>
      </w:pPr>
      <w:r w:rsidRPr="00066F65">
        <w:rPr>
          <w:rFonts w:eastAsia="MS Mincho"/>
          <w:u w:val="single"/>
        </w:rPr>
        <w:t>The STA_P uses the MLME-SETKEYS.request primitive to configure the IEEE 802.11 MAC to send and receive Class 3 unicast MPDUs protected by the STK with the assigned Key ID.</w:t>
      </w:r>
      <w:r w:rsidR="00D852BD" w:rsidRPr="009448FC">
        <w:rPr>
          <w:b/>
          <w:i/>
          <w:color w:val="FF0000"/>
        </w:rPr>
        <w:t xml:space="preserve"> </w:t>
      </w:r>
    </w:p>
    <w:p w:rsidR="00AB5FB5" w:rsidRPr="009448FC" w:rsidRDefault="00AB5FB5" w:rsidP="00A3370D">
      <w:pPr>
        <w:pStyle w:val="Editinginstruction"/>
        <w:rPr>
          <w:b w:val="0"/>
        </w:rPr>
      </w:pPr>
    </w:p>
    <w:p w:rsidR="00191E40" w:rsidRPr="009448FC" w:rsidRDefault="00191E40" w:rsidP="003701DB">
      <w:pPr>
        <w:pStyle w:val="Heading4"/>
        <w:numPr>
          <w:ilvl w:val="3"/>
          <w:numId w:val="148"/>
        </w:numPr>
      </w:pPr>
      <w:bookmarkStart w:id="1066" w:name="_Toc259717058"/>
      <w:r w:rsidRPr="009448FC">
        <w:t>4-Way Handshake Message 4</w:t>
      </w:r>
      <w:bookmarkEnd w:id="1066"/>
    </w:p>
    <w:p w:rsidR="008D6399" w:rsidRPr="009448FC" w:rsidRDefault="00A977C7" w:rsidP="000D7D5B">
      <w:pPr>
        <w:rPr>
          <w:rFonts w:eastAsia="MS Mincho"/>
          <w:i/>
        </w:rPr>
      </w:pPr>
      <w:r w:rsidRPr="009448FC">
        <w:rPr>
          <w:b/>
        </w:rPr>
        <w:t>.</w:t>
      </w:r>
      <w:r w:rsidRPr="009448FC">
        <w:rPr>
          <w:i/>
        </w:rPr>
        <w:t>11 Editor Note: in the</w:t>
      </w:r>
      <w:r w:rsidR="00281486" w:rsidRPr="009448FC">
        <w:rPr>
          <w:i/>
        </w:rPr>
        <w:t xml:space="preserve"> </w:t>
      </w:r>
      <w:r w:rsidRPr="009448FC">
        <w:rPr>
          <w:i/>
        </w:rPr>
        <w:t>paragraph that starts with “</w:t>
      </w:r>
      <w:r w:rsidR="000D7D5B" w:rsidRPr="009448FC">
        <w:rPr>
          <w:rFonts w:eastAsia="MS Mincho"/>
        </w:rPr>
        <w:t>On reception of Message 4, the Authenticator verifies that the Key Replay Counter</w:t>
      </w:r>
      <w:r w:rsidR="000D7D5B" w:rsidRPr="009448FC">
        <w:rPr>
          <w:rFonts w:eastAsia="MS Mincho"/>
          <w:i/>
        </w:rPr>
        <w:t>…” modify as follows:</w:t>
      </w:r>
    </w:p>
    <w:p w:rsidR="000D7D5B" w:rsidRPr="009448FC" w:rsidRDefault="000D7D5B" w:rsidP="000D7D5B">
      <w:pPr>
        <w:rPr>
          <w:rFonts w:eastAsia="MS Mincho"/>
          <w:i/>
        </w:rPr>
      </w:pPr>
    </w:p>
    <w:p w:rsidR="000D7D5B" w:rsidRPr="00066F65" w:rsidRDefault="000D7D5B" w:rsidP="000D7D5B">
      <w:pPr>
        <w:ind w:left="360" w:hanging="360"/>
        <w:rPr>
          <w:rFonts w:eastAsia="MS Mincho"/>
          <w:u w:val="single"/>
        </w:rPr>
      </w:pPr>
      <w:r w:rsidRPr="009448FC">
        <w:rPr>
          <w:rFonts w:eastAsia="MS Mincho"/>
        </w:rPr>
        <w:t>b)</w:t>
      </w:r>
      <w:r w:rsidR="00D11F2E">
        <w:rPr>
          <w:rFonts w:eastAsia="MS Mincho"/>
        </w:rPr>
        <w:t xml:space="preserve"> </w:t>
      </w:r>
      <w:r w:rsidRPr="009448FC">
        <w:rPr>
          <w:rFonts w:eastAsia="MS Mincho"/>
        </w:rPr>
        <w:t>If the MIC is valid, the Authenticator uses the MLME-SETKEYS.request primitive to configure</w:t>
      </w:r>
      <w:r w:rsidR="00281486" w:rsidRPr="009448FC">
        <w:rPr>
          <w:rFonts w:eastAsia="MS Mincho"/>
        </w:rPr>
        <w:t xml:space="preserve"> </w:t>
      </w:r>
      <w:r w:rsidRPr="009448FC">
        <w:rPr>
          <w:rFonts w:eastAsia="MS Mincho"/>
        </w:rPr>
        <w:t xml:space="preserve">the </w:t>
      </w:r>
      <w:r w:rsidRPr="009448FC">
        <w:rPr>
          <w:rFonts w:eastAsia="MS Mincho"/>
          <w:strike/>
        </w:rPr>
        <w:t xml:space="preserve">PTK into the </w:t>
      </w:r>
      <w:r w:rsidRPr="009448FC">
        <w:rPr>
          <w:rFonts w:eastAsia="MS Mincho"/>
        </w:rPr>
        <w:t>IEEE 802.11 MAC</w:t>
      </w:r>
      <w:r w:rsidRPr="00066F65">
        <w:rPr>
          <w:rFonts w:eastAsia="MS Mincho"/>
          <w:u w:val="single"/>
        </w:rPr>
        <w:t xml:space="preserve"> to send Class 3 unicast MPDUs using for the new PTK.</w:t>
      </w:r>
    </w:p>
    <w:p w:rsidR="00A44A26" w:rsidRPr="009448FC" w:rsidRDefault="00A44A26" w:rsidP="00A32F6B">
      <w:pPr>
        <w:rPr>
          <w:b/>
        </w:rPr>
      </w:pPr>
    </w:p>
    <w:p w:rsidR="00A32F6B" w:rsidRPr="009448FC" w:rsidRDefault="00A32F6B" w:rsidP="00A32F6B">
      <w:pPr>
        <w:rPr>
          <w:rFonts w:eastAsia="MS Mincho"/>
          <w:i/>
        </w:rPr>
      </w:pPr>
      <w:r w:rsidRPr="009448FC">
        <w:rPr>
          <w:b/>
        </w:rPr>
        <w:t>.</w:t>
      </w:r>
      <w:r w:rsidRPr="009448FC">
        <w:rPr>
          <w:i/>
        </w:rPr>
        <w:t>11 Editor Note: in the</w:t>
      </w:r>
      <w:r w:rsidR="00281486" w:rsidRPr="009448FC">
        <w:rPr>
          <w:i/>
        </w:rPr>
        <w:t xml:space="preserve"> </w:t>
      </w:r>
      <w:r w:rsidRPr="009448FC">
        <w:rPr>
          <w:i/>
        </w:rPr>
        <w:t>paragraph that starts with “</w:t>
      </w:r>
      <w:r w:rsidRPr="009448FC">
        <w:rPr>
          <w:rFonts w:eastAsia="MS Mincho"/>
        </w:rPr>
        <w:t xml:space="preserve">The STA_P sends Message 4 to the STA_I. On reception </w:t>
      </w:r>
      <w:r w:rsidRPr="009448FC">
        <w:rPr>
          <w:rFonts w:eastAsia="MS Mincho"/>
          <w:i/>
        </w:rPr>
        <w:t>…” modify as follows:</w:t>
      </w:r>
    </w:p>
    <w:p w:rsidR="00A32F6B" w:rsidRPr="009448FC" w:rsidRDefault="00A32F6B" w:rsidP="000D7D5B">
      <w:pPr>
        <w:ind w:left="360" w:hanging="360"/>
        <w:rPr>
          <w:rFonts w:eastAsia="MS Mincho"/>
          <w:i/>
          <w:highlight w:val="green"/>
        </w:rPr>
      </w:pPr>
    </w:p>
    <w:p w:rsidR="00A32F6B" w:rsidRPr="009448FC" w:rsidRDefault="00A32F6B" w:rsidP="00BB0B0C">
      <w:pPr>
        <w:suppressAutoHyphens/>
        <w:ind w:left="360" w:hanging="360"/>
        <w:rPr>
          <w:rFonts w:eastAsia="MS Mincho"/>
        </w:rPr>
      </w:pPr>
      <w:r w:rsidRPr="009448FC">
        <w:rPr>
          <w:rFonts w:eastAsia="MS Mincho"/>
        </w:rPr>
        <w:t>b)</w:t>
      </w:r>
      <w:r w:rsidR="00080054">
        <w:rPr>
          <w:rFonts w:eastAsia="MS Mincho"/>
        </w:rPr>
        <w:t xml:space="preserve"> </w:t>
      </w:r>
      <w:r w:rsidRPr="009448FC">
        <w:rPr>
          <w:rFonts w:eastAsia="MS Mincho"/>
        </w:rPr>
        <w:t xml:space="preserve">If the MIC is valid, the STA_I </w:t>
      </w:r>
      <w:r w:rsidRPr="009448FC">
        <w:rPr>
          <w:rFonts w:eastAsia="MS Mincho"/>
          <w:strike/>
        </w:rPr>
        <w:t>configures the STK into the IEEE 802.11 MAC</w:t>
      </w:r>
      <w:r w:rsidRPr="009448FC">
        <w:rPr>
          <w:rFonts w:eastAsia="MS Mincho"/>
        </w:rPr>
        <w:t xml:space="preserve"> </w:t>
      </w:r>
      <w:r w:rsidRPr="00066F65">
        <w:rPr>
          <w:rFonts w:eastAsia="MS Mincho"/>
          <w:u w:val="single"/>
        </w:rPr>
        <w:t>uses the MLME-SETKEYS.request primitive to configure the 802.11 MAC to send Class 3 unicast MPDUs using for the new STK</w:t>
      </w:r>
      <w:r w:rsidRPr="009448FC">
        <w:rPr>
          <w:rFonts w:eastAsia="MS Mincho"/>
        </w:rPr>
        <w:t>.</w:t>
      </w:r>
      <w:r w:rsidR="00772BB5" w:rsidRPr="009448FC">
        <w:rPr>
          <w:b/>
          <w:i/>
          <w:color w:val="FF0000"/>
        </w:rPr>
        <w:t xml:space="preserve"> </w:t>
      </w:r>
    </w:p>
    <w:p w:rsidR="008D6399" w:rsidRPr="00066F65" w:rsidRDefault="008D6399" w:rsidP="00886ECD">
      <w:pPr>
        <w:rPr>
          <w:rFonts w:eastAsia="MS Mincho"/>
          <w:u w:val="single"/>
        </w:rPr>
      </w:pPr>
    </w:p>
    <w:p w:rsidR="00B70E4F" w:rsidRPr="00066F65" w:rsidRDefault="00B70E4F" w:rsidP="00B70E4F">
      <w:pPr>
        <w:pStyle w:val="Heading2"/>
        <w:rPr>
          <w:rFonts w:eastAsia="MS Mincho"/>
        </w:rPr>
      </w:pPr>
      <w:bookmarkStart w:id="1067" w:name="_Toc259717059"/>
      <w:r w:rsidRPr="00066F65">
        <w:rPr>
          <w:rFonts w:eastAsia="MS Mincho"/>
        </w:rPr>
        <w:t>8.7 Per-frame pseudo code</w:t>
      </w:r>
      <w:bookmarkEnd w:id="1067"/>
    </w:p>
    <w:p w:rsidR="00B70E4F" w:rsidRPr="00066F65" w:rsidRDefault="00B70E4F" w:rsidP="00886ECD">
      <w:pPr>
        <w:rPr>
          <w:rFonts w:eastAsia="MS Mincho"/>
          <w:u w:val="single"/>
        </w:rPr>
      </w:pPr>
    </w:p>
    <w:p w:rsidR="00133E93" w:rsidRPr="009448FC" w:rsidRDefault="00771AB0" w:rsidP="003701DB">
      <w:pPr>
        <w:pStyle w:val="Heading3"/>
        <w:numPr>
          <w:ilvl w:val="2"/>
          <w:numId w:val="159"/>
        </w:numPr>
      </w:pPr>
      <w:bookmarkStart w:id="1068" w:name="_Toc259717060"/>
      <w:r w:rsidRPr="009448FC">
        <w:t>RSNA frame pseudo-code</w:t>
      </w:r>
      <w:bookmarkEnd w:id="1068"/>
    </w:p>
    <w:p w:rsidR="004A4824" w:rsidRPr="009448FC" w:rsidRDefault="00273AA2" w:rsidP="003701DB">
      <w:pPr>
        <w:pStyle w:val="Heading4"/>
        <w:numPr>
          <w:ilvl w:val="3"/>
          <w:numId w:val="160"/>
        </w:numPr>
      </w:pPr>
      <w:bookmarkStart w:id="1069" w:name="_Toc259717061"/>
      <w:r w:rsidRPr="009448FC">
        <w:t xml:space="preserve">Per-MPDU Rx </w:t>
      </w:r>
      <w:r w:rsidR="00133E93" w:rsidRPr="009448FC">
        <w:t>pseudo-code</w:t>
      </w:r>
      <w:bookmarkEnd w:id="1069"/>
    </w:p>
    <w:p w:rsidR="004A4824" w:rsidRPr="009448FC" w:rsidRDefault="004A4824" w:rsidP="004A4824">
      <w:pPr>
        <w:rPr>
          <w:i/>
        </w:rPr>
      </w:pPr>
      <w:r w:rsidRPr="009448FC">
        <w:rPr>
          <w:b/>
        </w:rPr>
        <w:t>.</w:t>
      </w:r>
      <w:r w:rsidRPr="009448FC">
        <w:rPr>
          <w:i/>
        </w:rPr>
        <w:t>11 Editor Note: in the pseudo-code</w:t>
      </w:r>
      <w:r w:rsidR="00B70E4F" w:rsidRPr="009448FC">
        <w:rPr>
          <w:i/>
        </w:rPr>
        <w:t xml:space="preserve">, insert the following </w:t>
      </w:r>
      <w:r w:rsidRPr="009448FC">
        <w:rPr>
          <w:i/>
        </w:rPr>
        <w:t xml:space="preserve">after </w:t>
      </w:r>
      <w:r w:rsidR="00B70E4F" w:rsidRPr="009448FC">
        <w:rPr>
          <w:i/>
        </w:rPr>
        <w:t xml:space="preserve">the </w:t>
      </w:r>
      <w:r w:rsidRPr="009448FC">
        <w:rPr>
          <w:i/>
        </w:rPr>
        <w:t>sentence “</w:t>
      </w:r>
      <w:r w:rsidRPr="009448FC">
        <w:t>if ((MPDU has individual RA and Pairwise key exists for the MPDU’s TA) or (MPDU</w:t>
      </w:r>
      <w:r w:rsidR="00B70E4F" w:rsidRPr="009448FC">
        <w:t xml:space="preserve"> has a broadcast/multicast RA </w:t>
      </w:r>
      <w:r w:rsidRPr="009448FC">
        <w:t>and network type is IBSS</w:t>
      </w:r>
      <w:r w:rsidR="00281486" w:rsidRPr="009448FC">
        <w:t xml:space="preserve"> </w:t>
      </w:r>
      <w:r w:rsidRPr="009448FC">
        <w:t>and IBSS GTK exists fo</w:t>
      </w:r>
      <w:r w:rsidR="00B70E4F" w:rsidRPr="009448FC">
        <w:t xml:space="preserve">r </w:t>
      </w:r>
      <w:r w:rsidRPr="009448FC">
        <w:t>MPDU’s RA)) then</w:t>
      </w:r>
      <w:r w:rsidRPr="009448FC">
        <w:rPr>
          <w:i/>
        </w:rPr>
        <w:t>”:</w:t>
      </w:r>
    </w:p>
    <w:p w:rsidR="004A4824" w:rsidRPr="009448FC" w:rsidRDefault="004A4824" w:rsidP="004A4824">
      <w:pPr>
        <w:rPr>
          <w:i/>
        </w:rPr>
      </w:pPr>
    </w:p>
    <w:p w:rsidR="004A4824" w:rsidRPr="009448FC" w:rsidRDefault="004A4824" w:rsidP="004A4824">
      <w:pPr>
        <w:ind w:left="1440" w:firstLine="720"/>
      </w:pPr>
      <w:r w:rsidRPr="009448FC">
        <w:t xml:space="preserve">MPDU’s RA)) </w:t>
      </w:r>
      <w:r w:rsidRPr="009448FC">
        <w:rPr>
          <w:b/>
        </w:rPr>
        <w:t>then</w:t>
      </w:r>
    </w:p>
    <w:p w:rsidR="00B2118E" w:rsidRPr="00066F65" w:rsidRDefault="00B2118E" w:rsidP="00B2118E">
      <w:pPr>
        <w:autoSpaceDE w:val="0"/>
        <w:autoSpaceDN w:val="0"/>
        <w:adjustRightInd w:val="0"/>
        <w:ind w:left="2160" w:firstLine="720"/>
        <w:rPr>
          <w:rFonts w:ascii="TimesNewRoman,Bold" w:eastAsia="MS Mincho" w:hAnsi="TimesNewRoman,Bold" w:cs="TimesNewRoman,Bold"/>
          <w:u w:val="single"/>
        </w:rPr>
      </w:pPr>
      <w:r w:rsidRPr="00066F65">
        <w:rPr>
          <w:rFonts w:ascii="TimesNewRoman,Bold" w:eastAsia="MS Mincho" w:hAnsi="TimesNewRoman,Bold" w:cs="TimesNewRoman,Bold"/>
          <w:b/>
          <w:bCs/>
          <w:u w:val="single"/>
        </w:rPr>
        <w:t xml:space="preserve">if </w:t>
      </w:r>
      <w:r w:rsidRPr="00066F65">
        <w:rPr>
          <w:rFonts w:ascii="TimesNewRoman,Bold" w:eastAsia="MS Mincho" w:hAnsi="TimesNewRoman,Bold" w:cs="TimesNewRoman,Bold"/>
          <w:u w:val="single"/>
        </w:rPr>
        <w:t xml:space="preserve">MPDU has individual RA </w:t>
      </w:r>
      <w:r w:rsidRPr="00066F65">
        <w:rPr>
          <w:rFonts w:ascii="TimesNewRoman,Bold" w:eastAsia="MS Mincho" w:hAnsi="TimesNewRoman,Bold" w:cs="TimesNewRoman,Bold"/>
          <w:b/>
          <w:bCs/>
          <w:u w:val="single"/>
        </w:rPr>
        <w:t>then</w:t>
      </w:r>
    </w:p>
    <w:p w:rsidR="00B2118E" w:rsidRPr="00066F65" w:rsidRDefault="00B2118E" w:rsidP="00B2118E">
      <w:pPr>
        <w:autoSpaceDE w:val="0"/>
        <w:autoSpaceDN w:val="0"/>
        <w:adjustRightInd w:val="0"/>
        <w:ind w:left="1440" w:firstLine="720"/>
        <w:rPr>
          <w:rFonts w:ascii="TimesNewRoman,Bold" w:eastAsia="MS Mincho" w:hAnsi="TimesNewRoman,Bold" w:cs="TimesNewRoman,Bold"/>
          <w:u w:val="single"/>
        </w:rPr>
      </w:pPr>
      <w:r w:rsidRPr="00066F65">
        <w:rPr>
          <w:rFonts w:ascii="TimesNewRoman,Bold" w:eastAsia="MS Mincho" w:hAnsi="TimesNewRoman,Bold" w:cs="TimesNewRoman,Bold"/>
          <w:b/>
          <w:bCs/>
          <w:u w:val="single"/>
        </w:rPr>
        <w:tab/>
      </w:r>
      <w:r w:rsidRPr="00066F65">
        <w:rPr>
          <w:rFonts w:ascii="TimesNewRoman,Bold" w:eastAsia="MS Mincho" w:hAnsi="TimesNewRoman,Bold" w:cs="TimesNewRoman,Bold"/>
          <w:b/>
          <w:bCs/>
          <w:u w:val="single"/>
        </w:rPr>
        <w:tab/>
      </w:r>
      <w:r w:rsidRPr="00066F65">
        <w:rPr>
          <w:rFonts w:ascii="TimesNewRoman,Bold" w:eastAsia="MS Mincho" w:hAnsi="TimesNewRoman,Bold" w:cs="TimesNewRoman,Bold"/>
          <w:u w:val="single"/>
        </w:rPr>
        <w:t>lookup pairwise key using Key ID from MPDU</w:t>
      </w:r>
    </w:p>
    <w:p w:rsidR="00B2118E" w:rsidRPr="00066F65" w:rsidRDefault="00B2118E" w:rsidP="00B2118E">
      <w:pPr>
        <w:autoSpaceDE w:val="0"/>
        <w:autoSpaceDN w:val="0"/>
        <w:adjustRightInd w:val="0"/>
        <w:ind w:left="1440" w:firstLine="720"/>
        <w:rPr>
          <w:rFonts w:ascii="TimesNewRoman,Bold" w:eastAsia="MS Mincho" w:hAnsi="TimesNewRoman,Bold" w:cs="TimesNewRoman,Bold"/>
          <w:b/>
          <w:bCs/>
          <w:u w:val="single"/>
        </w:rPr>
      </w:pPr>
      <w:r w:rsidRPr="00066F65">
        <w:rPr>
          <w:rFonts w:ascii="TimesNewRoman,Bold" w:eastAsia="MS Mincho" w:hAnsi="TimesNewRoman,Bold" w:cs="TimesNewRoman,Bold"/>
          <w:u w:val="single"/>
        </w:rPr>
        <w:tab/>
      </w:r>
      <w:r w:rsidRPr="00066F65">
        <w:rPr>
          <w:rFonts w:ascii="TimesNewRoman,Bold" w:eastAsia="MS Mincho" w:hAnsi="TimesNewRoman,Bold" w:cs="TimesNewRoman,Bold"/>
          <w:b/>
          <w:bCs/>
          <w:u w:val="single"/>
        </w:rPr>
        <w:t>else</w:t>
      </w:r>
    </w:p>
    <w:p w:rsidR="00B2118E" w:rsidRPr="00066F65" w:rsidRDefault="00B2118E" w:rsidP="00B2118E">
      <w:pPr>
        <w:autoSpaceDE w:val="0"/>
        <w:autoSpaceDN w:val="0"/>
        <w:adjustRightInd w:val="0"/>
        <w:ind w:left="1440" w:firstLine="720"/>
        <w:rPr>
          <w:rFonts w:ascii="TimesNewRoman,Bold" w:eastAsia="MS Mincho" w:hAnsi="TimesNewRoman,Bold" w:cs="TimesNewRoman,Bold"/>
          <w:u w:val="single"/>
        </w:rPr>
      </w:pPr>
      <w:r w:rsidRPr="00066F65">
        <w:rPr>
          <w:rFonts w:ascii="TimesNewRoman,Bold" w:eastAsia="MS Mincho" w:hAnsi="TimesNewRoman,Bold" w:cs="TimesNewRoman,Bold"/>
          <w:u w:val="single"/>
        </w:rPr>
        <w:tab/>
      </w:r>
      <w:r w:rsidRPr="00066F65">
        <w:rPr>
          <w:rFonts w:ascii="TimesNewRoman,Bold" w:eastAsia="MS Mincho" w:hAnsi="TimesNewRoman,Bold" w:cs="TimesNewRoman,Bold"/>
          <w:u w:val="single"/>
        </w:rPr>
        <w:tab/>
        <w:t>lookup group key using Key ID from MPDU</w:t>
      </w:r>
    </w:p>
    <w:p w:rsidR="00B2118E" w:rsidRPr="00066F65" w:rsidRDefault="00B2118E" w:rsidP="00B2118E">
      <w:pPr>
        <w:autoSpaceDE w:val="0"/>
        <w:autoSpaceDN w:val="0"/>
        <w:adjustRightInd w:val="0"/>
        <w:ind w:left="1440" w:firstLine="720"/>
        <w:rPr>
          <w:rFonts w:ascii="TimesNewRoman,Bold" w:eastAsia="MS Mincho" w:hAnsi="TimesNewRoman,Bold" w:cs="TimesNewRoman,Bold"/>
          <w:u w:val="single"/>
        </w:rPr>
      </w:pPr>
      <w:r w:rsidRPr="00066F65">
        <w:rPr>
          <w:rFonts w:ascii="TimesNewRoman,Bold" w:eastAsia="MS Mincho" w:hAnsi="TimesNewRoman,Bold" w:cs="TimesNewRoman,Bold"/>
          <w:b/>
          <w:bCs/>
          <w:u w:val="single"/>
        </w:rPr>
        <w:tab/>
        <w:t>endif</w:t>
      </w:r>
    </w:p>
    <w:p w:rsidR="00B2118E" w:rsidRPr="009448FC" w:rsidRDefault="00B2118E" w:rsidP="00B2118E">
      <w:pPr>
        <w:autoSpaceDE w:val="0"/>
        <w:autoSpaceDN w:val="0"/>
        <w:adjustRightInd w:val="0"/>
        <w:ind w:left="2160" w:firstLine="720"/>
        <w:rPr>
          <w:rFonts w:ascii="TimesNewRoman,Bold" w:eastAsia="MS Mincho" w:hAnsi="TimesNewRoman,Bold"/>
          <w:b/>
        </w:rPr>
      </w:pPr>
      <w:r w:rsidRPr="009448FC">
        <w:rPr>
          <w:rFonts w:ascii="TimesNewRoman,Bold" w:eastAsia="MS Mincho" w:hAnsi="TimesNewRoman,Bold"/>
          <w:b/>
        </w:rPr>
        <w:t xml:space="preserve">if </w:t>
      </w:r>
      <w:r w:rsidRPr="009448FC">
        <w:rPr>
          <w:rFonts w:ascii="TimesNewRoman" w:eastAsia="MS Mincho" w:hAnsi="TimesNewRoman"/>
        </w:rPr>
        <w:t xml:space="preserve">key is null </w:t>
      </w:r>
      <w:r w:rsidRPr="009448FC">
        <w:rPr>
          <w:rFonts w:ascii="TimesNewRoman,Bold" w:eastAsia="MS Mincho" w:hAnsi="TimesNewRoman,Bold"/>
          <w:b/>
        </w:rPr>
        <w:t>then</w:t>
      </w:r>
    </w:p>
    <w:p w:rsidR="00B2118E" w:rsidRPr="009448FC" w:rsidRDefault="00B2118E" w:rsidP="00A93AE6">
      <w:pPr>
        <w:autoSpaceDE w:val="0"/>
        <w:autoSpaceDN w:val="0"/>
        <w:adjustRightInd w:val="0"/>
        <w:ind w:left="2160" w:firstLine="720"/>
        <w:rPr>
          <w:rFonts w:ascii="TimesNewRoman,Bold" w:eastAsia="MS Mincho" w:hAnsi="TimesNewRoman,Bold"/>
          <w:b/>
        </w:rPr>
      </w:pPr>
    </w:p>
    <w:p w:rsidR="008C36FC" w:rsidRPr="00066F65" w:rsidRDefault="008C36FC" w:rsidP="003701DB">
      <w:pPr>
        <w:pStyle w:val="Heading1"/>
        <w:numPr>
          <w:ilvl w:val="0"/>
          <w:numId w:val="160"/>
        </w:numPr>
        <w:rPr>
          <w:rFonts w:ascii="Times New Roman" w:hAnsi="Times New Roman"/>
        </w:rPr>
      </w:pPr>
      <w:bookmarkStart w:id="1070" w:name="_Toc244137079"/>
      <w:bookmarkStart w:id="1071" w:name="_Toc202073915"/>
      <w:bookmarkStart w:id="1072" w:name="_Toc205016570"/>
      <w:bookmarkStart w:id="1073" w:name="_Toc205121576"/>
      <w:bookmarkStart w:id="1074" w:name="_Toc206227459"/>
      <w:bookmarkStart w:id="1075" w:name="_Toc206415406"/>
      <w:bookmarkStart w:id="1076" w:name="_Toc206418213"/>
      <w:bookmarkStart w:id="1077" w:name="_Toc207098903"/>
      <w:bookmarkStart w:id="1078" w:name="_Toc207099511"/>
      <w:bookmarkStart w:id="1079" w:name="_Toc207100430"/>
      <w:bookmarkStart w:id="1080" w:name="_Toc207348352"/>
      <w:bookmarkStart w:id="1081" w:name="_Toc215582733"/>
      <w:bookmarkStart w:id="1082" w:name="_Toc235400299"/>
      <w:bookmarkStart w:id="1083" w:name="_Ref259716525"/>
      <w:bookmarkStart w:id="1084" w:name="_Toc259717062"/>
      <w:bookmarkEnd w:id="1070"/>
      <w:r w:rsidRPr="00066F65">
        <w:rPr>
          <w:rFonts w:ascii="Times New Roman" w:hAnsi="Times New Roman"/>
        </w:rPr>
        <w:t>MAC sublayer functional description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rsidR="001C1377" w:rsidRPr="009448FC" w:rsidRDefault="001C1377" w:rsidP="00FC7E64"/>
    <w:p w:rsidR="00A64127" w:rsidRPr="009448FC" w:rsidRDefault="00A64127" w:rsidP="003701DB">
      <w:pPr>
        <w:pStyle w:val="Heading2"/>
        <w:numPr>
          <w:ilvl w:val="1"/>
          <w:numId w:val="206"/>
        </w:numPr>
        <w:rPr>
          <w:rFonts w:ascii="Times New Roman" w:hAnsi="Times New Roman"/>
          <w:u w:val="none"/>
        </w:rPr>
      </w:pPr>
      <w:r w:rsidRPr="009448FC">
        <w:rPr>
          <w:rFonts w:ascii="Times New Roman" w:hAnsi="Times New Roman"/>
          <w:u w:val="none"/>
        </w:rPr>
        <w:t xml:space="preserve"> </w:t>
      </w:r>
      <w:bookmarkStart w:id="1085" w:name="_Toc235400300"/>
      <w:bookmarkStart w:id="1086" w:name="_Toc259717063"/>
      <w:r w:rsidRPr="009448FC">
        <w:rPr>
          <w:rFonts w:ascii="Times New Roman" w:hAnsi="Times New Roman"/>
          <w:u w:val="none"/>
        </w:rPr>
        <w:t>MAC Architecture</w:t>
      </w:r>
      <w:bookmarkEnd w:id="1085"/>
      <w:bookmarkEnd w:id="1086"/>
    </w:p>
    <w:p w:rsidR="000F554C" w:rsidRPr="009448FC" w:rsidRDefault="000F554C" w:rsidP="00FC7E64"/>
    <w:p w:rsidR="00A64127" w:rsidRPr="009448FC" w:rsidRDefault="00B16B97" w:rsidP="00A64127">
      <w:pPr>
        <w:pStyle w:val="Editinginstruction"/>
        <w:rPr>
          <w:b w:val="0"/>
        </w:rPr>
      </w:pPr>
      <w:r w:rsidRPr="009448FC">
        <w:rPr>
          <w:b w:val="0"/>
        </w:rPr>
        <w:t xml:space="preserve">.11 Editor Note: </w:t>
      </w:r>
      <w:r w:rsidR="00892B7A" w:rsidRPr="009448FC">
        <w:rPr>
          <w:b w:val="0"/>
        </w:rPr>
        <w:t xml:space="preserve">Replace the </w:t>
      </w:r>
      <w:r w:rsidR="00C114AD">
        <w:rPr>
          <w:b w:val="0"/>
        </w:rPr>
        <w:t xml:space="preserve">first paragraph and Figure 9-1 </w:t>
      </w:r>
      <w:r w:rsidR="00892B7A" w:rsidRPr="009448FC">
        <w:rPr>
          <w:b w:val="0"/>
        </w:rPr>
        <w:t>with the following</w:t>
      </w:r>
      <w:r w:rsidR="00A64127" w:rsidRPr="009448FC">
        <w:rPr>
          <w:b w:val="0"/>
        </w:rPr>
        <w:t>:</w:t>
      </w:r>
    </w:p>
    <w:p w:rsidR="00A64127" w:rsidRPr="009448FC" w:rsidRDefault="00A64127" w:rsidP="00A64127">
      <w:pPr>
        <w:pStyle w:val="Editinginstruction"/>
      </w:pPr>
    </w:p>
    <w:p w:rsidR="00A64127" w:rsidRPr="00066F65" w:rsidRDefault="00A64127" w:rsidP="00754D71">
      <w:pPr>
        <w:rPr>
          <w:u w:val="single"/>
        </w:rPr>
      </w:pPr>
      <w:r w:rsidRPr="00066F65">
        <w:rPr>
          <w:u w:val="single"/>
        </w:rPr>
        <w:t>The MAC architecture is shown in Figure 9-</w:t>
      </w:r>
      <w:r w:rsidR="00771DE5" w:rsidRPr="00066F65">
        <w:rPr>
          <w:u w:val="single"/>
        </w:rPr>
        <w:t xml:space="preserve">1. When operating with </w:t>
      </w:r>
      <w:r w:rsidR="00754D71" w:rsidRPr="00066F65">
        <w:rPr>
          <w:u w:val="single"/>
        </w:rPr>
        <w:t xml:space="preserve">any </w:t>
      </w:r>
      <w:r w:rsidR="00771DE5" w:rsidRPr="00066F65">
        <w:rPr>
          <w:u w:val="single"/>
        </w:rPr>
        <w:t xml:space="preserve">of the Clause 14 through 20 PHYs, the MAC provides the PCF and HCF </w:t>
      </w:r>
      <w:r w:rsidRPr="00066F65">
        <w:rPr>
          <w:color w:val="000000"/>
          <w:u w:val="single"/>
        </w:rPr>
        <w:t>through the services of the DCF. In a non-mmWave QoS STA implementation, both DCF and HCF are present.</w:t>
      </w:r>
      <w:r w:rsidR="00F61539" w:rsidRPr="00066F65">
        <w:rPr>
          <w:color w:val="000000"/>
          <w:u w:val="single"/>
        </w:rPr>
        <w:t xml:space="preserve"> In a non-mmWave non-QoS STA implementation, only DCF is present.</w:t>
      </w:r>
      <w:r w:rsidR="00EE1100" w:rsidRPr="00066F65">
        <w:rPr>
          <w:color w:val="000000"/>
          <w:u w:val="single"/>
        </w:rPr>
        <w:t xml:space="preserve"> </w:t>
      </w:r>
      <w:r w:rsidRPr="00066F65">
        <w:rPr>
          <w:color w:val="000000"/>
          <w:u w:val="single"/>
        </w:rPr>
        <w:t>PCF is optional</w:t>
      </w:r>
      <w:r w:rsidRPr="00066F65">
        <w:rPr>
          <w:u w:val="single"/>
        </w:rPr>
        <w:t xml:space="preserve"> in all non-</w:t>
      </w:r>
      <w:r w:rsidR="00B96FB9" w:rsidRPr="00066F65">
        <w:rPr>
          <w:u w:val="single"/>
        </w:rPr>
        <w:t>mSTA</w:t>
      </w:r>
      <w:r w:rsidRPr="00066F65">
        <w:rPr>
          <w:u w:val="single"/>
        </w:rPr>
        <w:t>s.</w:t>
      </w:r>
    </w:p>
    <w:p w:rsidR="00A64127" w:rsidRPr="009448FC" w:rsidRDefault="00A64127" w:rsidP="00A64127"/>
    <w:p w:rsidR="00A64127" w:rsidRPr="00066F65" w:rsidRDefault="00A64127" w:rsidP="00F87ACD">
      <w:pPr>
        <w:rPr>
          <w:u w:val="single"/>
        </w:rPr>
      </w:pPr>
      <w:r w:rsidRPr="00066F65">
        <w:rPr>
          <w:u w:val="single"/>
        </w:rPr>
        <w:t xml:space="preserve">When operating with a mmWave PHY (Clause </w:t>
      </w:r>
      <w:r w:rsidR="00BD151C" w:rsidRPr="00066F65">
        <w:rPr>
          <w:u w:val="single"/>
        </w:rPr>
        <w:fldChar w:fldCharType="begin"/>
      </w:r>
      <w:r w:rsidR="00F87ACD" w:rsidRPr="00066F65">
        <w:rPr>
          <w:u w:val="single"/>
        </w:rPr>
        <w:instrText xml:space="preserve"> REF _Ref243723745 \r \h </w:instrText>
      </w:r>
      <w:r w:rsidR="00BD151C" w:rsidRPr="00066F65">
        <w:rPr>
          <w:u w:val="single"/>
        </w:rPr>
      </w:r>
      <w:r w:rsidR="00BD151C" w:rsidRPr="00066F65">
        <w:rPr>
          <w:u w:val="single"/>
        </w:rPr>
        <w:fldChar w:fldCharType="separate"/>
      </w:r>
      <w:r w:rsidR="003E4210">
        <w:rPr>
          <w:u w:val="single"/>
        </w:rPr>
        <w:t>21</w:t>
      </w:r>
      <w:r w:rsidR="00BD151C" w:rsidRPr="00066F65">
        <w:rPr>
          <w:u w:val="single"/>
        </w:rPr>
        <w:fldChar w:fldCharType="end"/>
      </w:r>
      <w:r w:rsidRPr="00066F65">
        <w:rPr>
          <w:u w:val="single"/>
        </w:rPr>
        <w:t>) the MAC provides services using the mmWave Channel Access mechanisms. Specific rules apply for access during scheduled periods, which include the association beamforming training period (A-BFT), announcement time period (AT), contention-based period (CBP), and service period (SP).</w:t>
      </w:r>
      <w:r w:rsidR="00485100" w:rsidRPr="00066F65">
        <w:rPr>
          <w:u w:val="single"/>
        </w:rPr>
        <w:t xml:space="preserve"> The DCF is used during contention-based access periods. </w:t>
      </w:r>
      <w:r w:rsidRPr="00066F65">
        <w:rPr>
          <w:u w:val="single"/>
        </w:rPr>
        <w:t>Polled access is built on service period and contention-based period access.</w:t>
      </w:r>
    </w:p>
    <w:p w:rsidR="00A64127" w:rsidRPr="009448FC" w:rsidRDefault="00A64127" w:rsidP="00A64127"/>
    <w:p w:rsidR="00A64127" w:rsidRPr="00066F65" w:rsidRDefault="00A64127" w:rsidP="00A64127">
      <w:pPr>
        <w:jc w:val="center"/>
        <w:rPr>
          <w:u w:val="single"/>
        </w:rPr>
      </w:pPr>
      <w:r w:rsidRPr="009448FC">
        <w:t xml:space="preserve"> </w:t>
      </w:r>
      <w:r w:rsidR="00DC2ECA" w:rsidRPr="009448FC">
        <w:object w:dxaOrig="10090" w:dyaOrig="3512">
          <v:shape id="_x0000_i1043" type="#_x0000_t75" style="width:504.45pt;height:175.7pt" o:ole="" o:bordertopcolor="this" o:borderleftcolor="this" o:borderbottomcolor="this" o:borderrightcolor="this" filled="t">
            <v:imagedata r:id="rId133" o:title=""/>
            <w10:bordertop type="single" width="4"/>
            <w10:borderleft type="single" width="4"/>
            <w10:borderbottom type="single" width="4"/>
            <w10:borderright type="single" width="4"/>
          </v:shape>
          <o:OLEObject Type="Embed" ProgID="Visio.Drawing.11" ShapeID="_x0000_i1043" DrawAspect="Content" ObjectID="_1334048225" r:id="rId134"/>
        </w:object>
      </w:r>
    </w:p>
    <w:p w:rsidR="00A64127" w:rsidRPr="00066F65" w:rsidRDefault="00A64127" w:rsidP="00A64127">
      <w:pPr>
        <w:jc w:val="center"/>
        <w:rPr>
          <w:b/>
          <w:bCs/>
          <w:u w:val="single"/>
        </w:rPr>
      </w:pPr>
      <w:r w:rsidRPr="00066F65">
        <w:rPr>
          <w:b/>
          <w:bCs/>
          <w:u w:val="single"/>
        </w:rPr>
        <w:t>Figure 9-1</w:t>
      </w:r>
      <w:r w:rsidR="00F07751" w:rsidRPr="00066F65">
        <w:rPr>
          <w:b/>
          <w:bCs/>
          <w:u w:val="single"/>
        </w:rPr>
        <w:t xml:space="preserve"> </w:t>
      </w:r>
      <w:r w:rsidRPr="00066F65">
        <w:rPr>
          <w:b/>
          <w:bCs/>
          <w:u w:val="single"/>
        </w:rPr>
        <w:t>—</w:t>
      </w:r>
      <w:r w:rsidR="00F07751" w:rsidRPr="00066F65">
        <w:rPr>
          <w:b/>
          <w:bCs/>
          <w:u w:val="single"/>
        </w:rPr>
        <w:t xml:space="preserve"> </w:t>
      </w:r>
      <w:r w:rsidRPr="00066F65">
        <w:rPr>
          <w:b/>
          <w:bCs/>
          <w:u w:val="single"/>
        </w:rPr>
        <w:t>MAC architecture</w:t>
      </w:r>
    </w:p>
    <w:p w:rsidR="00A64127" w:rsidRDefault="00BE5866" w:rsidP="00A64127">
      <w:r>
        <w:t xml:space="preserve"> </w:t>
      </w:r>
    </w:p>
    <w:p w:rsidR="00AF3487" w:rsidRPr="009448FC" w:rsidRDefault="00AF3487" w:rsidP="00AF3487">
      <w:pPr>
        <w:pStyle w:val="Heading3"/>
      </w:pPr>
      <w:bookmarkStart w:id="1087" w:name="_Toc259717064"/>
      <w:r>
        <w:t>9.1.3 Hybrid coordination function (HCF)</w:t>
      </w:r>
      <w:bookmarkEnd w:id="1087"/>
      <w:r w:rsidRPr="009448FC">
        <w:t xml:space="preserve"> </w:t>
      </w:r>
    </w:p>
    <w:p w:rsidR="00AF3487" w:rsidRDefault="00AF3487" w:rsidP="00A64127"/>
    <w:p w:rsidR="00AF3487" w:rsidRDefault="00AF3487" w:rsidP="00AF3487">
      <w:pPr>
        <w:pStyle w:val="Heading4"/>
      </w:pPr>
      <w:bookmarkStart w:id="1088" w:name="_Toc259717065"/>
      <w:r>
        <w:lastRenderedPageBreak/>
        <w:t>9.1.3.1 HCF contention-based channel access (EDCA)</w:t>
      </w:r>
      <w:bookmarkEnd w:id="1088"/>
    </w:p>
    <w:p w:rsidR="00AF3487" w:rsidRDefault="00AF3487" w:rsidP="00A64127"/>
    <w:p w:rsidR="00AF3487" w:rsidRPr="009448FC" w:rsidRDefault="00AF3487" w:rsidP="00AF3487">
      <w:pPr>
        <w:rPr>
          <w:rFonts w:eastAsia="MS Mincho"/>
          <w:i/>
        </w:rPr>
      </w:pPr>
      <w:r w:rsidRPr="009448FC">
        <w:rPr>
          <w:rFonts w:eastAsia="MS Mincho"/>
          <w:i/>
        </w:rPr>
        <w:t xml:space="preserve">.11 Editor note: </w:t>
      </w:r>
      <w:r>
        <w:rPr>
          <w:rFonts w:eastAsia="MS Mincho"/>
          <w:i/>
        </w:rPr>
        <w:t>change the 4</w:t>
      </w:r>
      <w:r w:rsidRPr="00AF3487">
        <w:rPr>
          <w:rFonts w:eastAsia="MS Mincho"/>
          <w:i/>
          <w:vertAlign w:val="superscript"/>
        </w:rPr>
        <w:t>th</w:t>
      </w:r>
      <w:r>
        <w:rPr>
          <w:rFonts w:eastAsia="MS Mincho"/>
          <w:i/>
        </w:rPr>
        <w:t xml:space="preserve"> paragraph as indicated below</w:t>
      </w:r>
      <w:r w:rsidRPr="009448FC">
        <w:rPr>
          <w:rFonts w:eastAsia="MS Mincho"/>
          <w:i/>
        </w:rPr>
        <w:t>:</w:t>
      </w:r>
    </w:p>
    <w:p w:rsidR="00AF3487" w:rsidRDefault="00AF3487" w:rsidP="00A64127"/>
    <w:p w:rsidR="00AF3487" w:rsidRDefault="00AF3487" w:rsidP="00AF3487">
      <w:pPr>
        <w:autoSpaceDE w:val="0"/>
        <w:autoSpaceDN w:val="0"/>
        <w:adjustRightInd w:val="0"/>
      </w:pPr>
      <w:r w:rsidRPr="00AF3487">
        <w:t xml:space="preserve">The AP </w:t>
      </w:r>
      <w:r w:rsidRPr="00AF3487">
        <w:rPr>
          <w:u w:val="single"/>
        </w:rPr>
        <w:t>and PCP</w:t>
      </w:r>
      <w:r>
        <w:t xml:space="preserve"> </w:t>
      </w:r>
      <w:r w:rsidRPr="00AF3487">
        <w:t>may use a different set of EDCA parameters than it advertises to the STAs in its BSS.</w:t>
      </w:r>
    </w:p>
    <w:p w:rsidR="00AF3487" w:rsidRPr="009448FC" w:rsidRDefault="00AF3487" w:rsidP="00A64127"/>
    <w:p w:rsidR="00892B7A" w:rsidRPr="009448FC" w:rsidRDefault="00892B7A" w:rsidP="003701DB">
      <w:pPr>
        <w:pStyle w:val="Heading3"/>
        <w:numPr>
          <w:ilvl w:val="2"/>
          <w:numId w:val="127"/>
        </w:numPr>
      </w:pPr>
      <w:bookmarkStart w:id="1089" w:name="_Toc259717066"/>
      <w:r w:rsidRPr="009448FC">
        <w:t>Fragmentation/defragmentation overview</w:t>
      </w:r>
      <w:bookmarkEnd w:id="1089"/>
      <w:r w:rsidRPr="009448FC">
        <w:t xml:space="preserve"> </w:t>
      </w:r>
    </w:p>
    <w:p w:rsidR="00892B7A" w:rsidRPr="009448FC" w:rsidRDefault="00892B7A" w:rsidP="00A64127"/>
    <w:p w:rsidR="00892B7A" w:rsidRPr="009448FC" w:rsidRDefault="00892B7A" w:rsidP="00892B7A">
      <w:pPr>
        <w:rPr>
          <w:rFonts w:eastAsia="MS Mincho"/>
          <w:i/>
        </w:rPr>
      </w:pPr>
      <w:r w:rsidRPr="009448FC">
        <w:rPr>
          <w:rFonts w:eastAsia="MS Mincho"/>
          <w:i/>
        </w:rPr>
        <w:t>.11 Editor note: Insert the following after (Figure 9-2 Fragmentation):</w:t>
      </w:r>
    </w:p>
    <w:p w:rsidR="00892B7A" w:rsidRPr="009448FC" w:rsidRDefault="00892B7A" w:rsidP="00892B7A">
      <w:pPr>
        <w:rPr>
          <w:rFonts w:eastAsia="MS Mincho"/>
          <w:b/>
          <w:i/>
        </w:rPr>
      </w:pPr>
    </w:p>
    <w:p w:rsidR="00892B7A" w:rsidRPr="00066F65" w:rsidRDefault="00892B7A" w:rsidP="00892B7A">
      <w:pPr>
        <w:autoSpaceDE w:val="0"/>
        <w:autoSpaceDN w:val="0"/>
        <w:adjustRightInd w:val="0"/>
        <w:rPr>
          <w:rFonts w:eastAsia="MS Mincho"/>
          <w:color w:val="000000"/>
          <w:u w:val="single"/>
        </w:rPr>
      </w:pPr>
      <w:r w:rsidRPr="00066F65">
        <w:rPr>
          <w:rFonts w:eastAsia="MS Mincho"/>
          <w:color w:val="000000"/>
          <w:u w:val="single"/>
        </w:rPr>
        <w:t xml:space="preserve">MPDUs that are not aggregated in the A-MPDU may be transmitted with regular ACK acknowledgment even under BA agreement. </w:t>
      </w:r>
    </w:p>
    <w:p w:rsidR="00892B7A" w:rsidRPr="00066F65" w:rsidRDefault="00892B7A" w:rsidP="00892B7A">
      <w:pPr>
        <w:autoSpaceDE w:val="0"/>
        <w:autoSpaceDN w:val="0"/>
        <w:adjustRightInd w:val="0"/>
        <w:rPr>
          <w:rFonts w:eastAsia="MS Mincho"/>
          <w:color w:val="000000"/>
          <w:u w:val="single"/>
        </w:rPr>
      </w:pPr>
    </w:p>
    <w:p w:rsidR="00534B7C" w:rsidRPr="005C51CC" w:rsidRDefault="00892B7A" w:rsidP="005C51CC">
      <w:pPr>
        <w:rPr>
          <w:color w:val="000000"/>
          <w:u w:val="single"/>
        </w:rPr>
      </w:pPr>
      <w:r w:rsidRPr="00066F65">
        <w:rPr>
          <w:rFonts w:eastAsia="MS Mincho"/>
          <w:color w:val="000000"/>
          <w:u w:val="single"/>
        </w:rPr>
        <w:t xml:space="preserve">The MSDU shall not be fragmented if the </w:t>
      </w:r>
      <w:r w:rsidRPr="00066F65">
        <w:rPr>
          <w:color w:val="000000"/>
          <w:u w:val="single"/>
        </w:rPr>
        <w:t xml:space="preserve">No-Fragmentation field in the ADDBA extension of the ADDBA frame is set to 1 in the ADDBA response frame of the BA Agreement handshake. If the ADDBA response frame has the No-Fragmentation field in the ADDBA extension of the ADDBA frame set to 0 the originator may send fragmented non-aggregated MSDU with regular ACK acknowledgement </w:t>
      </w:r>
      <w:r w:rsidRPr="00066F65">
        <w:rPr>
          <w:rFonts w:eastAsia="MS Mincho"/>
          <w:color w:val="000000"/>
          <w:u w:val="single"/>
        </w:rPr>
        <w:t>under BA agreement.</w:t>
      </w:r>
      <w:r w:rsidRPr="00066F65">
        <w:rPr>
          <w:color w:val="000000"/>
          <w:u w:val="single"/>
        </w:rPr>
        <w:t xml:space="preserve"> The recipient shall not acknowledge the MPDUs of fragmented MSDU with regular ACK if they are received in the A-MPDU.</w:t>
      </w:r>
    </w:p>
    <w:p w:rsidR="008131E2" w:rsidRPr="009448FC" w:rsidRDefault="008131E2" w:rsidP="003701DB">
      <w:pPr>
        <w:pStyle w:val="Heading2"/>
        <w:numPr>
          <w:ilvl w:val="1"/>
          <w:numId w:val="127"/>
        </w:numPr>
        <w:rPr>
          <w:u w:val="none"/>
        </w:rPr>
      </w:pPr>
      <w:bookmarkStart w:id="1090" w:name="_Toc259717067"/>
      <w:r>
        <w:rPr>
          <w:u w:val="none"/>
        </w:rPr>
        <w:t>DCF</w:t>
      </w:r>
      <w:bookmarkEnd w:id="1090"/>
    </w:p>
    <w:p w:rsidR="008131E2" w:rsidRPr="009448FC" w:rsidRDefault="008131E2" w:rsidP="00892B7A"/>
    <w:p w:rsidR="00DB7B7B" w:rsidRPr="00DB7B7B" w:rsidRDefault="00DB7B7B" w:rsidP="003701DB">
      <w:pPr>
        <w:pStyle w:val="ListParagraph"/>
        <w:keepNext/>
        <w:keepLines/>
        <w:numPr>
          <w:ilvl w:val="0"/>
          <w:numId w:val="28"/>
        </w:numPr>
        <w:spacing w:before="280"/>
        <w:outlineLvl w:val="1"/>
        <w:rPr>
          <w:rFonts w:ascii="Arial" w:eastAsia="Times New Roman" w:hAnsi="Arial"/>
          <w:b/>
          <w:bCs/>
          <w:vanish/>
          <w:sz w:val="28"/>
          <w:szCs w:val="28"/>
          <w:u w:val="single"/>
        </w:rPr>
      </w:pPr>
    </w:p>
    <w:p w:rsidR="00DB7B7B" w:rsidRPr="00DB7B7B" w:rsidRDefault="00DB7B7B" w:rsidP="003701DB">
      <w:pPr>
        <w:pStyle w:val="ListParagraph"/>
        <w:keepNext/>
        <w:keepLines/>
        <w:numPr>
          <w:ilvl w:val="1"/>
          <w:numId w:val="28"/>
        </w:numPr>
        <w:spacing w:before="280"/>
        <w:outlineLvl w:val="1"/>
        <w:rPr>
          <w:rFonts w:ascii="Arial" w:eastAsia="Times New Roman" w:hAnsi="Arial"/>
          <w:b/>
          <w:bCs/>
          <w:vanish/>
          <w:sz w:val="28"/>
          <w:szCs w:val="28"/>
          <w:u w:val="single"/>
        </w:rPr>
      </w:pPr>
    </w:p>
    <w:p w:rsidR="002016C3" w:rsidRPr="009448FC" w:rsidRDefault="002016C3" w:rsidP="002016C3">
      <w:pPr>
        <w:autoSpaceDE w:val="0"/>
        <w:autoSpaceDN w:val="0"/>
        <w:adjustRightInd w:val="0"/>
        <w:rPr>
          <w:i/>
        </w:rPr>
      </w:pPr>
      <w:r w:rsidRPr="009448FC">
        <w:rPr>
          <w:i/>
        </w:rPr>
        <w:t>.11 Editor’s instructions: make the following changes in this subclause</w:t>
      </w:r>
    </w:p>
    <w:p w:rsidR="002016C3" w:rsidRPr="009448FC" w:rsidRDefault="002016C3" w:rsidP="006C671C">
      <w:pPr>
        <w:autoSpaceDE w:val="0"/>
        <w:autoSpaceDN w:val="0"/>
        <w:adjustRightInd w:val="0"/>
      </w:pPr>
    </w:p>
    <w:p w:rsidR="006C671C" w:rsidRPr="009448FC" w:rsidRDefault="006C671C" w:rsidP="006C671C">
      <w:pPr>
        <w:autoSpaceDE w:val="0"/>
        <w:autoSpaceDN w:val="0"/>
        <w:adjustRightInd w:val="0"/>
      </w:pPr>
      <w:r w:rsidRPr="009448FC">
        <w:t>The basic medium access protocol is DCF that allows for automatic medium sharing between compatible PHYs through the use of CSMA/CA and a random backoff time following a busy medium condition. In addition, all individually addressed traffic uses immediate positive acknowledgment (ACK frame) where retransmission is scheduled by the sender if no ACK is received.</w:t>
      </w:r>
    </w:p>
    <w:p w:rsidR="006C671C" w:rsidRPr="009448FC" w:rsidRDefault="006C671C" w:rsidP="006C671C">
      <w:pPr>
        <w:autoSpaceDE w:val="0"/>
        <w:autoSpaceDN w:val="0"/>
        <w:adjustRightInd w:val="0"/>
      </w:pPr>
    </w:p>
    <w:p w:rsidR="006C671C" w:rsidRPr="00066F65" w:rsidRDefault="006C671C" w:rsidP="00485100">
      <w:pPr>
        <w:autoSpaceDE w:val="0"/>
        <w:autoSpaceDN w:val="0"/>
        <w:adjustRightInd w:val="0"/>
        <w:rPr>
          <w:iCs/>
          <w:u w:val="single"/>
        </w:rPr>
      </w:pPr>
      <w:r w:rsidRPr="00066F65">
        <w:rPr>
          <w:iCs/>
          <w:u w:val="single"/>
        </w:rPr>
        <w:t xml:space="preserve">Due to its specific propagation characteristics, the WM in the </w:t>
      </w:r>
      <w:r w:rsidR="007F2FB4" w:rsidRPr="00066F65">
        <w:rPr>
          <w:iCs/>
          <w:u w:val="single"/>
        </w:rPr>
        <w:t xml:space="preserve">UB </w:t>
      </w:r>
      <w:r w:rsidRPr="00066F65">
        <w:rPr>
          <w:iCs/>
          <w:u w:val="single"/>
        </w:rPr>
        <w:t xml:space="preserve">is a combination of SFSDOM and SFDOM. Any STA in the </w:t>
      </w:r>
      <w:r w:rsidR="007F2FB4" w:rsidRPr="00066F65">
        <w:rPr>
          <w:iCs/>
          <w:u w:val="single"/>
        </w:rPr>
        <w:t>UB</w:t>
      </w:r>
      <w:r w:rsidR="00281486" w:rsidRPr="00066F65">
        <w:rPr>
          <w:iCs/>
          <w:u w:val="single"/>
        </w:rPr>
        <w:t xml:space="preserve"> </w:t>
      </w:r>
      <w:r w:rsidR="00485100" w:rsidRPr="00066F65">
        <w:rPr>
          <w:iCs/>
          <w:u w:val="single"/>
        </w:rPr>
        <w:t>operates in either SFSDOM or SFDOM</w:t>
      </w:r>
      <w:r w:rsidRPr="00066F65">
        <w:rPr>
          <w:iCs/>
          <w:u w:val="single"/>
        </w:rPr>
        <w:t xml:space="preserve"> depending on who are the intended receivers of </w:t>
      </w:r>
      <w:r w:rsidR="00485100" w:rsidRPr="00066F65">
        <w:rPr>
          <w:iCs/>
          <w:u w:val="single"/>
        </w:rPr>
        <w:t>the STA’s transmissions and which other STAs are simultaneously transmitting</w:t>
      </w:r>
      <w:r w:rsidRPr="00066F65">
        <w:rPr>
          <w:iCs/>
          <w:u w:val="single"/>
        </w:rPr>
        <w:t xml:space="preserve">. The STA </w:t>
      </w:r>
      <w:r w:rsidR="00485100" w:rsidRPr="00066F65">
        <w:rPr>
          <w:iCs/>
          <w:u w:val="single"/>
        </w:rPr>
        <w:t xml:space="preserve">does not have precise </w:t>
      </w:r>
      <w:r w:rsidRPr="00066F65">
        <w:rPr>
          <w:iCs/>
          <w:u w:val="single"/>
        </w:rPr>
        <w:t xml:space="preserve">knowledge </w:t>
      </w:r>
      <w:r w:rsidR="00485100" w:rsidRPr="00066F65">
        <w:rPr>
          <w:iCs/>
          <w:u w:val="single"/>
        </w:rPr>
        <w:t xml:space="preserve">of </w:t>
      </w:r>
      <w:r w:rsidRPr="00066F65">
        <w:rPr>
          <w:iCs/>
          <w:u w:val="single"/>
        </w:rPr>
        <w:t xml:space="preserve">when it operates in the SFSDOM or in the SFDOM. The DCF is modified to allow sharing of the mmWave specific medium between compatible PHYs. </w:t>
      </w:r>
    </w:p>
    <w:p w:rsidR="006C671C" w:rsidRPr="009448FC" w:rsidRDefault="006C671C" w:rsidP="006C671C">
      <w:pPr>
        <w:autoSpaceDE w:val="0"/>
        <w:autoSpaceDN w:val="0"/>
        <w:adjustRightInd w:val="0"/>
      </w:pPr>
    </w:p>
    <w:p w:rsidR="006C671C" w:rsidRPr="009448FC" w:rsidRDefault="006C671C" w:rsidP="006C671C">
      <w:pPr>
        <w:autoSpaceDE w:val="0"/>
        <w:autoSpaceDN w:val="0"/>
        <w:adjustRightInd w:val="0"/>
      </w:pPr>
      <w:r w:rsidRPr="009448FC">
        <w:t xml:space="preserve">The CSMA/CA protocol is designed to reduce the collision probability between multiple STAs accessing a medium, at the point where collisions would most likely occur. Just after the medium becomes idle following a busy medium (as indicated by the CS function) is when the highest probability of a collision exists. This is because multiple STAs could have been waiting for the medium to become available again. This is the situation that necessitates a random backoff procedure to resolve medium contention conflicts. </w:t>
      </w:r>
    </w:p>
    <w:p w:rsidR="006C671C" w:rsidRPr="009448FC" w:rsidRDefault="006C671C" w:rsidP="006C671C">
      <w:pPr>
        <w:autoSpaceDE w:val="0"/>
        <w:autoSpaceDN w:val="0"/>
        <w:adjustRightInd w:val="0"/>
      </w:pPr>
    </w:p>
    <w:p w:rsidR="006C671C" w:rsidRPr="00066F65" w:rsidRDefault="006C671C" w:rsidP="00EE610C">
      <w:pPr>
        <w:autoSpaceDE w:val="0"/>
        <w:autoSpaceDN w:val="0"/>
        <w:adjustRightInd w:val="0"/>
        <w:rPr>
          <w:bCs/>
          <w:u w:val="single"/>
        </w:rPr>
      </w:pPr>
      <w:r w:rsidRPr="00066F65">
        <w:rPr>
          <w:bCs/>
          <w:u w:val="single"/>
        </w:rPr>
        <w:t xml:space="preserve">In the </w:t>
      </w:r>
      <w:r w:rsidR="007F2FB4" w:rsidRPr="00066F65">
        <w:rPr>
          <w:iCs/>
          <w:u w:val="single"/>
        </w:rPr>
        <w:t>UB</w:t>
      </w:r>
      <w:r w:rsidR="00281486" w:rsidRPr="00066F65">
        <w:rPr>
          <w:iCs/>
          <w:u w:val="single"/>
        </w:rPr>
        <w:t xml:space="preserve"> </w:t>
      </w:r>
      <w:r w:rsidRPr="00066F65">
        <w:rPr>
          <w:bCs/>
          <w:u w:val="single"/>
        </w:rPr>
        <w:t xml:space="preserve">the CS function may not properly indicate the medium busy condition. In the SFDOM, the transmission of a STA may interfere (collide) with the transmission of another STA even though the CS function at the first STA does not indicate medium busy. The interference (collision) is identified </w:t>
      </w:r>
      <w:r w:rsidRPr="00066F65">
        <w:rPr>
          <w:bCs/>
          <w:u w:val="single"/>
        </w:rPr>
        <w:lastRenderedPageBreak/>
        <w:t>when the expected</w:t>
      </w:r>
      <w:r w:rsidR="00281486" w:rsidRPr="00066F65">
        <w:rPr>
          <w:bCs/>
          <w:u w:val="single"/>
        </w:rPr>
        <w:t xml:space="preserve"> response frame is not received</w:t>
      </w:r>
      <w:r w:rsidRPr="00066F65">
        <w:rPr>
          <w:bCs/>
          <w:u w:val="single"/>
        </w:rPr>
        <w:t>. SFS is achieved by the proper combination of the STA antenna configuration during the media access and data transfer phases.</w:t>
      </w:r>
      <w:r w:rsidR="00281486" w:rsidRPr="00066F65">
        <w:rPr>
          <w:bCs/>
          <w:u w:val="single"/>
        </w:rPr>
        <w:t xml:space="preserve"> </w:t>
      </w:r>
    </w:p>
    <w:p w:rsidR="006C671C" w:rsidRPr="009448FC" w:rsidRDefault="006C671C" w:rsidP="006C671C">
      <w:pPr>
        <w:autoSpaceDE w:val="0"/>
        <w:autoSpaceDN w:val="0"/>
        <w:adjustRightInd w:val="0"/>
      </w:pPr>
    </w:p>
    <w:p w:rsidR="006C671C" w:rsidRPr="009448FC" w:rsidRDefault="006C671C" w:rsidP="006C671C">
      <w:pPr>
        <w:autoSpaceDE w:val="0"/>
        <w:autoSpaceDN w:val="0"/>
        <w:adjustRightInd w:val="0"/>
        <w:rPr>
          <w:i/>
        </w:rPr>
      </w:pPr>
      <w:r w:rsidRPr="009448FC">
        <w:rPr>
          <w:i/>
        </w:rPr>
        <w:t>.11 Editor’s instructions: fix the references in subclause 9.2 DCF, IEEE P802.11n/D9.0, March 2009 to reflect the rules for the mmWave MCS control frame’s transmission in the paragraph that starts with:</w:t>
      </w:r>
    </w:p>
    <w:p w:rsidR="006C671C" w:rsidRPr="009448FC" w:rsidRDefault="006C671C" w:rsidP="006C671C">
      <w:pPr>
        <w:autoSpaceDE w:val="0"/>
        <w:autoSpaceDN w:val="0"/>
        <w:adjustRightInd w:val="0"/>
      </w:pPr>
      <w:r w:rsidRPr="009448FC">
        <w:t>“STAs that are members of a BSS are able to receive and transmit at all the data rates in the BSSBasicRateSet parameter of the MLME-START.request or BSSBasicRateSet parameter of the BSSDescription representing the SelectedBSS parameter of the MLME-JOIN.request, see 10.3.3.1.4 (Effect of receipt) and 10.3.10.1.4 (Effect of receipt). …”</w:t>
      </w:r>
    </w:p>
    <w:p w:rsidR="006C671C" w:rsidRPr="009448FC" w:rsidRDefault="006C671C" w:rsidP="006C671C">
      <w:pPr>
        <w:autoSpaceDE w:val="0"/>
        <w:autoSpaceDN w:val="0"/>
        <w:adjustRightInd w:val="0"/>
      </w:pPr>
    </w:p>
    <w:p w:rsidR="006C671C" w:rsidRPr="009448FC" w:rsidRDefault="006C671C" w:rsidP="006C671C">
      <w:pPr>
        <w:autoSpaceDE w:val="0"/>
        <w:autoSpaceDN w:val="0"/>
        <w:adjustRightInd w:val="0"/>
      </w:pPr>
      <w:r w:rsidRPr="009448FC">
        <w:rPr>
          <w:i/>
        </w:rPr>
        <w:t xml:space="preserve">.11 Editor’s instructions: add </w:t>
      </w:r>
      <w:r w:rsidR="005D2322" w:rsidRPr="009448FC">
        <w:rPr>
          <w:i/>
        </w:rPr>
        <w:t xml:space="preserve">the following </w:t>
      </w:r>
      <w:r w:rsidRPr="009448FC">
        <w:rPr>
          <w:i/>
        </w:rPr>
        <w:t xml:space="preserve">new paragraph after </w:t>
      </w:r>
      <w:r w:rsidR="00EE610C" w:rsidRPr="009448FC">
        <w:rPr>
          <w:i/>
        </w:rPr>
        <w:t xml:space="preserve">the </w:t>
      </w:r>
      <w:r w:rsidRPr="009448FC">
        <w:rPr>
          <w:i/>
        </w:rPr>
        <w:t xml:space="preserve">one that starts with: </w:t>
      </w:r>
      <w:r w:rsidRPr="009448FC">
        <w:t xml:space="preserve">“Data frames sent under the DCF shall use the frame type Data …” </w:t>
      </w:r>
    </w:p>
    <w:p w:rsidR="006C671C" w:rsidRPr="009448FC" w:rsidRDefault="00BE5866" w:rsidP="006C671C">
      <w:pPr>
        <w:autoSpaceDE w:val="0"/>
        <w:autoSpaceDN w:val="0"/>
        <w:adjustRightInd w:val="0"/>
      </w:pPr>
      <w:r>
        <w:t xml:space="preserve"> </w:t>
      </w:r>
    </w:p>
    <w:p w:rsidR="006C671C" w:rsidRPr="00066F65" w:rsidRDefault="00EE610C" w:rsidP="001E40E3">
      <w:pPr>
        <w:autoSpaceDE w:val="0"/>
        <w:autoSpaceDN w:val="0"/>
        <w:adjustRightInd w:val="0"/>
        <w:rPr>
          <w:bCs/>
          <w:iCs/>
          <w:u w:val="single"/>
        </w:rPr>
      </w:pPr>
      <w:r w:rsidRPr="00066F65">
        <w:rPr>
          <w:bCs/>
          <w:iCs/>
          <w:u w:val="single"/>
        </w:rPr>
        <w:t xml:space="preserve">While in the WAKE state and operating under DCF but not transmitting, </w:t>
      </w:r>
      <w:r w:rsidR="00A6426E" w:rsidRPr="00A6426E">
        <w:rPr>
          <w:bCs/>
          <w:iCs/>
          <w:u w:val="single"/>
        </w:rPr>
        <w:t>an mSTA configures its receive antenna to a quasi-omni pattern in order to receive frames transmitted by any STA that is covered by this antenna pattern</w:t>
      </w:r>
      <w:r w:rsidR="006C671C" w:rsidRPr="00066F65">
        <w:rPr>
          <w:bCs/>
          <w:iCs/>
          <w:u w:val="single"/>
        </w:rPr>
        <w:t>.</w:t>
      </w:r>
      <w:r w:rsidR="00733397" w:rsidRPr="00066F65">
        <w:rPr>
          <w:bCs/>
          <w:iCs/>
          <w:u w:val="single"/>
        </w:rPr>
        <w:t xml:space="preserve"> </w:t>
      </w:r>
    </w:p>
    <w:p w:rsidR="006C671C" w:rsidRPr="009448FC" w:rsidRDefault="006C671C" w:rsidP="003701DB">
      <w:pPr>
        <w:pStyle w:val="Heading3"/>
        <w:numPr>
          <w:ilvl w:val="2"/>
          <w:numId w:val="126"/>
        </w:numPr>
      </w:pPr>
      <w:bookmarkStart w:id="1091" w:name="_Ref244079268"/>
      <w:bookmarkStart w:id="1092" w:name="_Toc259717068"/>
      <w:r w:rsidRPr="009448FC">
        <w:t>IFS</w:t>
      </w:r>
      <w:bookmarkEnd w:id="1091"/>
      <w:bookmarkEnd w:id="1092"/>
    </w:p>
    <w:p w:rsidR="00FE006F" w:rsidRPr="009448FC" w:rsidRDefault="00FE006F" w:rsidP="00FE006F">
      <w:pPr>
        <w:jc w:val="both"/>
        <w:rPr>
          <w:b/>
          <w:i/>
        </w:rPr>
      </w:pPr>
    </w:p>
    <w:p w:rsidR="00FE006F" w:rsidRPr="009448FC" w:rsidRDefault="00FE006F" w:rsidP="00FE006F">
      <w:pPr>
        <w:jc w:val="both"/>
      </w:pPr>
      <w:r w:rsidRPr="009448FC">
        <w:rPr>
          <w:i/>
        </w:rPr>
        <w:t>.11 Editor instructions: please make the following changes to (9.2.3 IFS) of 802.11-2007+amendments</w:t>
      </w:r>
    </w:p>
    <w:p w:rsidR="00FE006F" w:rsidRPr="009448FC" w:rsidRDefault="00FE006F" w:rsidP="00FE006F"/>
    <w:p w:rsidR="00FE006F" w:rsidRPr="009448FC" w:rsidRDefault="00FE006F" w:rsidP="00FE006F">
      <w:pPr>
        <w:autoSpaceDE w:val="0"/>
        <w:autoSpaceDN w:val="0"/>
        <w:adjustRightInd w:val="0"/>
      </w:pPr>
      <w:r w:rsidRPr="009448FC">
        <w:rPr>
          <w:rFonts w:ascii="TimesNewRomanPSMT" w:hAnsi="TimesNewRomanPSMT"/>
        </w:rPr>
        <w:t xml:space="preserve">The time interval between frames is called the IFS. A STA shall determine that the medium is idle through the use of the CS function for the interval specified. </w:t>
      </w:r>
      <w:r w:rsidRPr="009448FC">
        <w:rPr>
          <w:rFonts w:ascii="TimesNewRomanPSMT" w:hAnsi="TimesNewRomanPSMT"/>
          <w:strike/>
        </w:rPr>
        <w:t>Six</w:t>
      </w:r>
      <w:r w:rsidRPr="00066F65">
        <w:rPr>
          <w:rFonts w:ascii="TimesNewRomanPSMT" w:hAnsi="TimesNewRomanPSMT" w:cs="TimesNewRomanPSMT"/>
          <w:u w:val="single"/>
          <w:lang w:eastAsia="ko-KR" w:bidi="ar-SA"/>
        </w:rPr>
        <w:t>Eight</w:t>
      </w:r>
      <w:r w:rsidRPr="009448FC">
        <w:rPr>
          <w:rFonts w:ascii="TimesNewRomanPSMT" w:hAnsi="TimesNewRomanPSMT"/>
        </w:rPr>
        <w:t xml:space="preserve"> different IFSs are defined to provide priority levels for access to the wireless media; Figure 9-3 shows some of these relationships. All timings are referenced from PHY interface signals PHY-TXEND.confirm, PHY-TXSTART.confirm, PHY-RXSTART.indication, and PHY-RXEND.indication.</w:t>
      </w:r>
    </w:p>
    <w:p w:rsidR="00FE006F" w:rsidRPr="009448FC" w:rsidRDefault="00FE006F" w:rsidP="00FE006F"/>
    <w:p w:rsidR="00FE006F" w:rsidRPr="009448FC" w:rsidRDefault="00D01BAF" w:rsidP="00FE006F">
      <w:pPr>
        <w:jc w:val="both"/>
        <w:rPr>
          <w:i/>
        </w:rPr>
      </w:pPr>
      <w:r w:rsidRPr="009448FC">
        <w:rPr>
          <w:i/>
        </w:rPr>
        <w:t>.11 Editor c</w:t>
      </w:r>
      <w:r w:rsidR="00FE006F" w:rsidRPr="009448FC">
        <w:rPr>
          <w:i/>
        </w:rPr>
        <w:t>hange the list of items after the first paragraph of 9.2.3 as follows (existing letters are not shown for clarity):</w:t>
      </w:r>
    </w:p>
    <w:p w:rsidR="00FE006F" w:rsidRPr="009448FC" w:rsidRDefault="00FE006F" w:rsidP="00FE006F"/>
    <w:p w:rsidR="00FE006F" w:rsidRPr="00066F65" w:rsidRDefault="00FE006F" w:rsidP="00FE006F">
      <w:pPr>
        <w:rPr>
          <w:u w:val="single"/>
        </w:rPr>
      </w:pPr>
      <w:r w:rsidRPr="00066F65">
        <w:rPr>
          <w:u w:val="single"/>
        </w:rPr>
        <w:t xml:space="preserve">g) SBIFS </w:t>
      </w:r>
      <w:r w:rsidR="009670EB">
        <w:rPr>
          <w:u w:val="single"/>
        </w:rPr>
        <w:t>S</w:t>
      </w:r>
      <w:r w:rsidRPr="00066F65">
        <w:rPr>
          <w:u w:val="single"/>
        </w:rPr>
        <w:t xml:space="preserve">hort </w:t>
      </w:r>
      <w:r w:rsidR="009670EB">
        <w:rPr>
          <w:u w:val="single"/>
        </w:rPr>
        <w:t>B</w:t>
      </w:r>
      <w:r w:rsidRPr="00066F65">
        <w:rPr>
          <w:u w:val="single"/>
        </w:rPr>
        <w:t xml:space="preserve">eamforming </w:t>
      </w:r>
      <w:r w:rsidR="009670EB">
        <w:rPr>
          <w:u w:val="single"/>
        </w:rPr>
        <w:t>I</w:t>
      </w:r>
      <w:r w:rsidRPr="00066F65">
        <w:rPr>
          <w:u w:val="single"/>
        </w:rPr>
        <w:t xml:space="preserve">nterframe </w:t>
      </w:r>
      <w:r w:rsidR="009670EB">
        <w:rPr>
          <w:u w:val="single"/>
        </w:rPr>
        <w:t>Spacing</w:t>
      </w:r>
    </w:p>
    <w:p w:rsidR="00FE006F" w:rsidRPr="00B12DA8" w:rsidRDefault="00FE006F" w:rsidP="00B12DA8">
      <w:pPr>
        <w:rPr>
          <w:u w:val="single"/>
        </w:rPr>
      </w:pPr>
      <w:r w:rsidRPr="00066F65">
        <w:rPr>
          <w:u w:val="single"/>
        </w:rPr>
        <w:t>h</w:t>
      </w:r>
      <w:r w:rsidRPr="00B12DA8">
        <w:rPr>
          <w:u w:val="single"/>
        </w:rPr>
        <w:t xml:space="preserve">) BRPIFS </w:t>
      </w:r>
      <w:r w:rsidR="00B12DA8" w:rsidRPr="00B12DA8">
        <w:rPr>
          <w:rFonts w:ascii="TimesNewRomanPSMT" w:hAnsi="TimesNewRomanPSMT" w:cs="TimesNewRomanPSMT"/>
          <w:u w:val="single"/>
        </w:rPr>
        <w:t>Beam Refinement Protocol Interframe Spacing</w:t>
      </w:r>
      <w:r w:rsidR="00B12DA8">
        <w:rPr>
          <w:rFonts w:ascii="TimesNewRomanPSMT" w:hAnsi="TimesNewRomanPSMT" w:cs="TimesNewRomanPSMT"/>
          <w:u w:val="single"/>
        </w:rPr>
        <w:t xml:space="preserve"> </w:t>
      </w:r>
    </w:p>
    <w:p w:rsidR="00FE006F" w:rsidRPr="009448FC" w:rsidRDefault="00FE006F" w:rsidP="00FE006F">
      <w:pPr>
        <w:pStyle w:val="Heading4"/>
      </w:pPr>
      <w:bookmarkStart w:id="1093" w:name="_Toc259717069"/>
      <w:r w:rsidRPr="009448FC">
        <w:t>9.2.3.0b RIFS</w:t>
      </w:r>
      <w:bookmarkEnd w:id="1093"/>
    </w:p>
    <w:p w:rsidR="00FE006F" w:rsidRPr="009448FC" w:rsidRDefault="00FE006F" w:rsidP="00FE006F"/>
    <w:p w:rsidR="0030785F" w:rsidRPr="009448FC" w:rsidRDefault="0030785F" w:rsidP="0030785F">
      <w:r w:rsidRPr="009448FC">
        <w:rPr>
          <w:i/>
        </w:rPr>
        <w:t>.11 Editor change the first paragraph as follows:</w:t>
      </w:r>
    </w:p>
    <w:p w:rsidR="00FE006F" w:rsidRPr="009448FC" w:rsidRDefault="00FE006F" w:rsidP="00FE006F"/>
    <w:p w:rsidR="00FE006F" w:rsidRPr="009448FC" w:rsidRDefault="00FE006F" w:rsidP="00FE006F">
      <w:pPr>
        <w:autoSpaceDE w:val="0"/>
        <w:autoSpaceDN w:val="0"/>
        <w:adjustRightInd w:val="0"/>
        <w:rPr>
          <w:rFonts w:ascii="TimesNewRomanPSMT" w:hAnsi="TimesNewRomanPSMT"/>
        </w:rPr>
      </w:pPr>
      <w:r w:rsidRPr="009448FC">
        <w:rPr>
          <w:rFonts w:ascii="TimesNewRomanPSMT" w:hAnsi="TimesNewRomanPSMT"/>
        </w:rPr>
        <w:t xml:space="preserve">RIFS may be used in place of SIFS to separate multiple transmissions from a single transmitter, when </w:t>
      </w:r>
      <w:r w:rsidRPr="00066F65">
        <w:rPr>
          <w:rFonts w:ascii="TimesNewRomanPSMT" w:hAnsi="TimesNewRomanPSMT" w:cs="TimesNewRomanPSMT"/>
          <w:u w:val="single"/>
          <w:lang w:eastAsia="ko-KR" w:bidi="ar-SA"/>
        </w:rPr>
        <w:t xml:space="preserve">each transmission occurs with the same transmit antenna configuration, except during a receive sector sweep, and </w:t>
      </w:r>
      <w:r w:rsidRPr="009448FC">
        <w:rPr>
          <w:rFonts w:ascii="TimesNewRomanPSMT" w:hAnsi="TimesNewRomanPSMT"/>
        </w:rPr>
        <w:t>no SIFS-separated response transmission is expected. RIFS shall not be used between frames with different RA values. The duration of RIFS is defined by the aRIFS PHY characteristic (see Table 20-24</w:t>
      </w:r>
      <w:r w:rsidR="00843B35" w:rsidRPr="00843B35">
        <w:rPr>
          <w:rFonts w:ascii="TimesNewRomanPSMT" w:hAnsi="TimesNewRomanPSMT"/>
          <w:u w:val="single"/>
        </w:rPr>
        <w:t xml:space="preserve"> and Table 74</w:t>
      </w:r>
      <w:r w:rsidRPr="009448FC">
        <w:rPr>
          <w:rFonts w:ascii="TimesNewRomanPSMT" w:hAnsi="TimesNewRomanPSMT"/>
        </w:rPr>
        <w:t>). The RIFS is the time from the end of the last symbol of the previous frame to the beginning of the first symbol of the preamble of the subsequent frame as seen at the air interface. A STA shall not allow the space between frames that are defined to be separated by a RIFS time, as measured on the medium, to vary from the nominal RIFS value (aRIFSTime) by more than ±10% of aRIFSTime. Two frames separated by a RIFS shall both be HT</w:t>
      </w:r>
      <w:r w:rsidRPr="00066F65">
        <w:rPr>
          <w:rFonts w:ascii="TimesNewRomanPSMT" w:hAnsi="TimesNewRomanPSMT" w:cs="TimesNewRomanPSMT"/>
          <w:u w:val="single"/>
          <w:lang w:eastAsia="ko-KR" w:bidi="ar-SA"/>
        </w:rPr>
        <w:t>/mmWave</w:t>
      </w:r>
      <w:r w:rsidRPr="009448FC">
        <w:rPr>
          <w:rFonts w:ascii="TimesNewRomanPSMT" w:hAnsi="TimesNewRomanPSMT"/>
        </w:rPr>
        <w:t xml:space="preserve"> PPDUs.</w:t>
      </w:r>
    </w:p>
    <w:p w:rsidR="00FE006F" w:rsidRPr="009448FC" w:rsidRDefault="00FE006F" w:rsidP="00FE006F">
      <w:pPr>
        <w:autoSpaceDE w:val="0"/>
        <w:autoSpaceDN w:val="0"/>
        <w:adjustRightInd w:val="0"/>
      </w:pPr>
    </w:p>
    <w:p w:rsidR="00FE006F" w:rsidRPr="009448FC" w:rsidRDefault="00FE006F" w:rsidP="003701DB">
      <w:pPr>
        <w:pStyle w:val="Heading4"/>
        <w:numPr>
          <w:ilvl w:val="3"/>
          <w:numId w:val="125"/>
        </w:numPr>
      </w:pPr>
      <w:bookmarkStart w:id="1094" w:name="_Toc259717070"/>
      <w:r w:rsidRPr="009448FC">
        <w:lastRenderedPageBreak/>
        <w:t>SIFS</w:t>
      </w:r>
      <w:bookmarkEnd w:id="1094"/>
    </w:p>
    <w:p w:rsidR="00FE006F" w:rsidRPr="009448FC" w:rsidRDefault="00FE006F" w:rsidP="00FE006F">
      <w:pPr>
        <w:autoSpaceDE w:val="0"/>
        <w:autoSpaceDN w:val="0"/>
        <w:adjustRightInd w:val="0"/>
        <w:rPr>
          <w:rFonts w:ascii="TimesNewRoman" w:hAnsi="TimesNewRoman"/>
          <w:sz w:val="20"/>
        </w:rPr>
      </w:pPr>
    </w:p>
    <w:p w:rsidR="00FE006F" w:rsidRPr="009448FC" w:rsidRDefault="0030785F" w:rsidP="00FE006F">
      <w:r w:rsidRPr="009448FC">
        <w:rPr>
          <w:i/>
        </w:rPr>
        <w:t>.11 Editor c</w:t>
      </w:r>
      <w:r w:rsidR="00FE006F" w:rsidRPr="009448FC">
        <w:rPr>
          <w:i/>
        </w:rPr>
        <w:t>hange the first paragraph as follows:</w:t>
      </w:r>
    </w:p>
    <w:p w:rsidR="00FE006F" w:rsidRPr="009448FC" w:rsidRDefault="00FE006F" w:rsidP="00FE006F">
      <w:pPr>
        <w:autoSpaceDE w:val="0"/>
        <w:autoSpaceDN w:val="0"/>
        <w:adjustRightInd w:val="0"/>
        <w:rPr>
          <w:rFonts w:ascii="TimesNewRoman" w:hAnsi="TimesNewRoman"/>
          <w:sz w:val="20"/>
        </w:rPr>
      </w:pPr>
    </w:p>
    <w:p w:rsidR="00FE006F" w:rsidRPr="00066F65" w:rsidRDefault="00FE006F" w:rsidP="005B4FC2">
      <w:pPr>
        <w:autoSpaceDE w:val="0"/>
        <w:autoSpaceDN w:val="0"/>
        <w:adjustRightInd w:val="0"/>
        <w:rPr>
          <w:rFonts w:ascii="TimesNewRomanPSMT" w:hAnsi="TimesNewRomanPSMT" w:cs="TimesNewRomanPSMT"/>
          <w:u w:val="single"/>
          <w:lang w:eastAsia="ko-KR" w:bidi="ar-SA"/>
        </w:rPr>
      </w:pPr>
      <w:r w:rsidRPr="009448FC">
        <w:rPr>
          <w:rFonts w:ascii="TimesNewRomanPSMT" w:hAnsi="TimesNewRomanPSMT"/>
        </w:rPr>
        <w:t xml:space="preserve">The SIFS shall be used prior to transmission of an ACK frame, a PPDU containing a BlockAck frame that is an immediate response to either a BlockAckReq frame or an A-MPDU, </w:t>
      </w:r>
      <w:r w:rsidRPr="00066F65">
        <w:rPr>
          <w:rFonts w:ascii="TimesNewRomanPSMT" w:hAnsi="TimesNewRomanPSMT" w:cs="TimesNewRomanPSMT"/>
          <w:u w:val="single"/>
          <w:lang w:eastAsia="ko-KR" w:bidi="ar-SA"/>
        </w:rPr>
        <w:t xml:space="preserve">a mmWaveCTS frame, a mmWaveDTS frame, an SS-ACK frame, a response frame transmitted in the AT, </w:t>
      </w:r>
      <w:r w:rsidRPr="009448FC">
        <w:rPr>
          <w:rFonts w:ascii="TimesNewRomanPSMT" w:hAnsi="TimesNewRomanPSMT"/>
        </w:rPr>
        <w:t xml:space="preserve">the second or subsequent MPDU of a fragment burst, and by a STA responding to any polling by the PCF. The SIFS may also be used by a PC for any types of frames during the CFP (see 9.3). The SIFS is the time from the end of the last symbol, or signal extension if present, of the previous frame to the beginning of the first symbol of the preamble of the subsequent frame as seen at the air interface. </w:t>
      </w:r>
    </w:p>
    <w:p w:rsidR="00FE006F" w:rsidRPr="009448FC" w:rsidRDefault="00FE006F" w:rsidP="00FE006F"/>
    <w:p w:rsidR="00FE006F" w:rsidRPr="009448FC" w:rsidRDefault="00FE006F" w:rsidP="003701DB">
      <w:pPr>
        <w:pStyle w:val="Heading4"/>
        <w:numPr>
          <w:ilvl w:val="3"/>
          <w:numId w:val="124"/>
        </w:numPr>
      </w:pPr>
      <w:bookmarkStart w:id="1095" w:name="_Toc259717071"/>
      <w:r w:rsidRPr="009448FC">
        <w:t>AIFS</w:t>
      </w:r>
      <w:bookmarkEnd w:id="1095"/>
    </w:p>
    <w:p w:rsidR="0030785F" w:rsidRPr="009448FC" w:rsidRDefault="0030785F" w:rsidP="0030785F">
      <w:r w:rsidRPr="009448FC">
        <w:rPr>
          <w:i/>
        </w:rPr>
        <w:t>.11 Editor change the first paragraph as follows:</w:t>
      </w:r>
    </w:p>
    <w:p w:rsidR="00FE006F" w:rsidRPr="009448FC" w:rsidRDefault="00903568" w:rsidP="00FE006F">
      <w:r>
        <w:t xml:space="preserve"> </w:t>
      </w:r>
    </w:p>
    <w:p w:rsidR="00FE006F" w:rsidRPr="009448FC" w:rsidRDefault="00FE006F" w:rsidP="00FE006F">
      <w:pPr>
        <w:autoSpaceDE w:val="0"/>
        <w:autoSpaceDN w:val="0"/>
        <w:adjustRightInd w:val="0"/>
        <w:rPr>
          <w:rFonts w:ascii="TimesNewRomanPSMT" w:hAnsi="TimesNewRomanPSMT"/>
        </w:rPr>
      </w:pPr>
      <w:r w:rsidRPr="009448FC">
        <w:rPr>
          <w:rFonts w:ascii="TimesNewRomanPSMT" w:hAnsi="TimesNewRomanPSMT"/>
        </w:rPr>
        <w:t xml:space="preserve">The AIFS shall be used by QoS STAs to transmit all data frames (MPDUs) </w:t>
      </w:r>
      <w:r w:rsidRPr="00066F65">
        <w:rPr>
          <w:rFonts w:ascii="TimesNewRomanPSMT" w:hAnsi="TimesNewRomanPSMT" w:cs="TimesNewRomanPSMT"/>
          <w:u w:val="single"/>
          <w:lang w:eastAsia="ko-KR" w:bidi="ar-SA"/>
        </w:rPr>
        <w:t>except during the AT or a SP</w:t>
      </w:r>
      <w:r w:rsidRPr="009448FC">
        <w:rPr>
          <w:rFonts w:ascii="TimesNewRomanPSMT" w:hAnsi="TimesNewRomanPSMT"/>
        </w:rPr>
        <w:t>, all management frames (MMPDUs)</w:t>
      </w:r>
      <w:r w:rsidRPr="00066F65">
        <w:rPr>
          <w:rFonts w:ascii="TimesNewRomanPSMT" w:hAnsi="TimesNewRomanPSMT" w:cs="TimesNewRomanPSMT"/>
          <w:u w:val="single"/>
          <w:lang w:eastAsia="ko-KR" w:bidi="ar-SA"/>
        </w:rPr>
        <w:t xml:space="preserve"> except during the AT or</w:t>
      </w:r>
      <w:r w:rsidR="00EE1100" w:rsidRPr="00066F65">
        <w:rPr>
          <w:rFonts w:ascii="TimesNewRomanPSMT" w:hAnsi="TimesNewRomanPSMT" w:cs="TimesNewRomanPSMT"/>
          <w:u w:val="single"/>
          <w:lang w:eastAsia="ko-KR" w:bidi="ar-SA"/>
        </w:rPr>
        <w:t xml:space="preserve"> </w:t>
      </w:r>
      <w:r w:rsidRPr="00066F65">
        <w:rPr>
          <w:rFonts w:ascii="TimesNewRomanPSMT" w:hAnsi="TimesNewRomanPSMT" w:cs="TimesNewRomanPSMT"/>
          <w:u w:val="single"/>
          <w:lang w:eastAsia="ko-KR" w:bidi="ar-SA"/>
        </w:rPr>
        <w:t>a SP, all extension frames except for the mmWave Beacon frame,</w:t>
      </w:r>
      <w:r w:rsidRPr="009448FC">
        <w:rPr>
          <w:rFonts w:ascii="TimesNewRomanPSMT" w:hAnsi="TimesNewRomanPSMT"/>
        </w:rPr>
        <w:t xml:space="preserve"> and the following control frames: PS-Poll</w:t>
      </w:r>
      <w:r w:rsidRPr="00066F65">
        <w:rPr>
          <w:rFonts w:ascii="TimesNewRomanPSMT" w:hAnsi="TimesNewRomanPSMT" w:cs="TimesNewRomanPSMT"/>
          <w:u w:val="single"/>
          <w:lang w:eastAsia="ko-KR" w:bidi="ar-SA"/>
        </w:rPr>
        <w:t>, SS (if first transmission by initiator</w:t>
      </w:r>
      <w:r w:rsidRPr="00D14B25">
        <w:rPr>
          <w:rFonts w:ascii="TimesNewRomanPSMT" w:hAnsi="TimesNewRomanPSMT" w:cs="TimesNewRomanPSMT"/>
          <w:u w:val="single"/>
          <w:lang w:eastAsia="ko-KR" w:bidi="ar-SA"/>
        </w:rPr>
        <w:t xml:space="preserve"> in a CBP), Poll (</w:t>
      </w:r>
      <w:r w:rsidR="00D316CB" w:rsidRPr="00D316CB">
        <w:rPr>
          <w:rFonts w:ascii="TimesNewRomanPSMT" w:hAnsi="TimesNewRomanPSMT" w:cs="TimesNewRomanPSMT"/>
          <w:u w:val="single"/>
          <w:lang w:eastAsia="ko-KR" w:bidi="ar-SA"/>
        </w:rPr>
        <w:t xml:space="preserve">if first transmission </w:t>
      </w:r>
      <w:r w:rsidR="009977B4">
        <w:rPr>
          <w:rFonts w:ascii="TimesNewRomanPSMT" w:hAnsi="TimesNewRomanPSMT" w:cs="TimesNewRomanPSMT"/>
          <w:u w:val="single"/>
          <w:lang w:eastAsia="ko-KR" w:bidi="ar-SA"/>
        </w:rPr>
        <w:t xml:space="preserve">and when </w:t>
      </w:r>
      <w:r w:rsidR="00D316CB" w:rsidRPr="00D316CB">
        <w:rPr>
          <w:rFonts w:ascii="TimesNewRomanPSMT" w:hAnsi="TimesNewRomanPSMT" w:cs="TimesNewRomanPSMT"/>
          <w:u w:val="single"/>
          <w:lang w:eastAsia="ko-KR" w:bidi="ar-SA"/>
        </w:rPr>
        <w:t>in a CBP</w:t>
      </w:r>
      <w:r w:rsidRPr="00D14B25">
        <w:rPr>
          <w:rFonts w:ascii="TimesNewRomanPSMT" w:hAnsi="TimesNewRomanPSMT" w:cs="TimesNewRomanPSMT"/>
          <w:u w:val="single"/>
          <w:lang w:eastAsia="ko-KR" w:bidi="ar-SA"/>
        </w:rPr>
        <w:t xml:space="preserve">), </w:t>
      </w:r>
      <w:r w:rsidR="00D14B25" w:rsidRPr="00D14B25">
        <w:rPr>
          <w:u w:val="single"/>
        </w:rPr>
        <w:t>Grant (</w:t>
      </w:r>
      <w:r w:rsidR="009977B4" w:rsidRPr="00D316CB">
        <w:rPr>
          <w:rFonts w:ascii="TimesNewRomanPSMT" w:hAnsi="TimesNewRomanPSMT" w:cs="TimesNewRomanPSMT"/>
          <w:u w:val="single"/>
          <w:lang w:eastAsia="ko-KR" w:bidi="ar-SA"/>
        </w:rPr>
        <w:t>if first transmission</w:t>
      </w:r>
      <w:r w:rsidR="009977B4">
        <w:rPr>
          <w:rFonts w:ascii="TimesNewRomanPSMT" w:hAnsi="TimesNewRomanPSMT" w:cs="TimesNewRomanPSMT"/>
          <w:u w:val="single"/>
          <w:lang w:eastAsia="ko-KR" w:bidi="ar-SA"/>
        </w:rPr>
        <w:t xml:space="preserve"> and when in </w:t>
      </w:r>
      <w:r w:rsidR="009977B4" w:rsidRPr="00D316CB">
        <w:rPr>
          <w:rFonts w:ascii="TimesNewRomanPSMT" w:hAnsi="TimesNewRomanPSMT" w:cs="TimesNewRomanPSMT"/>
          <w:u w:val="single"/>
          <w:lang w:eastAsia="ko-KR" w:bidi="ar-SA"/>
        </w:rPr>
        <w:t>a CBP</w:t>
      </w:r>
      <w:r w:rsidR="00D14B25" w:rsidRPr="00D14B25">
        <w:rPr>
          <w:u w:val="single"/>
        </w:rPr>
        <w:t xml:space="preserve"> and not transmitted in response to a SPR), </w:t>
      </w:r>
      <w:r w:rsidRPr="00D14B25">
        <w:rPr>
          <w:rFonts w:ascii="TimesNewRomanPSMT" w:hAnsi="TimesNewRomanPSMT" w:cs="TimesNewRomanPSMT"/>
          <w:u w:val="single"/>
          <w:lang w:eastAsia="ko-KR" w:bidi="ar-SA"/>
        </w:rPr>
        <w:t>S</w:t>
      </w:r>
      <w:r w:rsidRPr="00066F65">
        <w:rPr>
          <w:rFonts w:ascii="TimesNewRomanPSMT" w:hAnsi="TimesNewRomanPSMT" w:cs="TimesNewRomanPSMT"/>
          <w:u w:val="single"/>
          <w:lang w:eastAsia="ko-KR" w:bidi="ar-SA"/>
        </w:rPr>
        <w:t>PR (when in a CBP and not transmitted as a response to a Poll)</w:t>
      </w:r>
      <w:r w:rsidRPr="009448FC">
        <w:rPr>
          <w:rFonts w:ascii="TimesNewRomanPSMT" w:hAnsi="TimesNewRomanPSMT"/>
        </w:rPr>
        <w:t xml:space="preserve">, RTS, </w:t>
      </w:r>
      <w:r w:rsidR="005B4FC2" w:rsidRPr="009448FC">
        <w:rPr>
          <w:rFonts w:ascii="TimesNewRomanPSMT" w:hAnsi="TimesNewRomanPSMT"/>
        </w:rPr>
        <w:t>mmWaveCTS</w:t>
      </w:r>
      <w:r w:rsidR="00281486" w:rsidRPr="009448FC">
        <w:rPr>
          <w:rFonts w:ascii="TimesNewRomanPSMT" w:hAnsi="TimesNewRomanPSMT"/>
        </w:rPr>
        <w:t xml:space="preserve"> </w:t>
      </w:r>
      <w:r w:rsidRPr="009448FC">
        <w:rPr>
          <w:rFonts w:ascii="TimesNewRomanPSMT" w:hAnsi="TimesNewRomanPSMT"/>
        </w:rPr>
        <w:t>(when not transmitted as a response to the RTS), BlockAckReq, and BlockAck (when not transmitted as a response to the BlockAckReq). A STA using the EDCA shall obtain a TXOP for an AC if the STA’s CS mechanism (see 9.2.1) determines that the medium is idle at the AIFS[AC] slot boundary (see 9.9.1.3), after a correctly received frame, and the backoff time for that AC has expired.</w:t>
      </w:r>
    </w:p>
    <w:p w:rsidR="00FE006F" w:rsidRPr="009448FC" w:rsidRDefault="00FE006F" w:rsidP="00FE006F"/>
    <w:p w:rsidR="0030785F" w:rsidRPr="009448FC" w:rsidRDefault="0030785F" w:rsidP="0030785F">
      <w:r w:rsidRPr="009448FC">
        <w:rPr>
          <w:i/>
        </w:rPr>
        <w:t>.11 Editor change the first paragraph as follows:</w:t>
      </w:r>
    </w:p>
    <w:p w:rsidR="00FE006F" w:rsidRPr="009448FC" w:rsidRDefault="00FE006F" w:rsidP="00FE006F"/>
    <w:p w:rsidR="00FE006F" w:rsidRPr="009448FC" w:rsidRDefault="00FE006F" w:rsidP="00FE006F">
      <w:pPr>
        <w:autoSpaceDE w:val="0"/>
        <w:autoSpaceDN w:val="0"/>
        <w:adjustRightInd w:val="0"/>
        <w:rPr>
          <w:rFonts w:ascii="TimesNewRomanPSMT" w:hAnsi="TimesNewRomanPSMT"/>
        </w:rPr>
      </w:pPr>
      <w:r w:rsidRPr="009448FC">
        <w:rPr>
          <w:rFonts w:ascii="TimesNewRomanPSMT" w:hAnsi="TimesNewRomanPSMT"/>
        </w:rPr>
        <w:t>A non-AP</w:t>
      </w:r>
      <w:r w:rsidRPr="00066F65">
        <w:rPr>
          <w:rFonts w:ascii="TimesNewRomanPSMT" w:hAnsi="TimesNewRomanPSMT" w:cs="TimesNewRomanPSMT"/>
          <w:u w:val="single"/>
          <w:lang w:eastAsia="ko-KR" w:bidi="ar-SA"/>
        </w:rPr>
        <w:t>/non-PCP</w:t>
      </w:r>
      <w:r w:rsidRPr="009448FC">
        <w:rPr>
          <w:rFonts w:ascii="TimesNewRomanPSMT" w:hAnsi="TimesNewRomanPSMT"/>
        </w:rPr>
        <w:t xml:space="preserve"> QoS STA computes the time periods for each AIFS[AC] from the dot11EDCATableAIFSN attributes in the MIB. QoS STAs update their dot11EDCATableAIFSN values using information in the most recent EDCA Parameter Set element of Beacon frames received from the AP of the BSS (see 7.3.2.28)</w:t>
      </w:r>
      <w:r w:rsidRPr="00066F65">
        <w:rPr>
          <w:rFonts w:ascii="TimesNewRomanPSMT" w:hAnsi="TimesNewRomanPSMT" w:cs="TimesNewRomanPSMT"/>
          <w:u w:val="single"/>
          <w:lang w:eastAsia="ko-KR" w:bidi="ar-SA"/>
        </w:rPr>
        <w:t xml:space="preserve"> when operating in the LB or HB, or the most recent EDCA Parameter Set element of mmWave Beacon and Announce frames received from the AP/PCP of the BSS/PBSS when operating in the UB</w:t>
      </w:r>
      <w:r w:rsidRPr="009448FC">
        <w:rPr>
          <w:rFonts w:ascii="TimesNewRomanPSMT" w:hAnsi="TimesNewRomanPSMT"/>
        </w:rPr>
        <w:t>. A QoS AP</w:t>
      </w:r>
      <w:r w:rsidRPr="00066F65">
        <w:rPr>
          <w:rFonts w:ascii="TimesNewRomanPSMT" w:hAnsi="TimesNewRomanPSMT" w:cs="TimesNewRomanPSMT"/>
          <w:u w:val="single"/>
          <w:lang w:eastAsia="ko-KR" w:bidi="ar-SA"/>
        </w:rPr>
        <w:t>/PCP</w:t>
      </w:r>
      <w:r w:rsidRPr="009448FC">
        <w:rPr>
          <w:rFonts w:ascii="TimesNewRomanPSMT" w:hAnsi="TimesNewRomanPSMT"/>
        </w:rPr>
        <w:t xml:space="preserve"> computes the time periods for each AIFS[AC] from the dot11QAPEDCATableAIFSN attributes in its MIB.</w:t>
      </w:r>
    </w:p>
    <w:p w:rsidR="00FE006F" w:rsidRPr="009448FC" w:rsidRDefault="00FE006F" w:rsidP="00FE006F"/>
    <w:p w:rsidR="00FE006F" w:rsidRPr="009448FC" w:rsidRDefault="0030785F" w:rsidP="00FE006F">
      <w:pPr>
        <w:rPr>
          <w:i/>
        </w:rPr>
      </w:pPr>
      <w:r w:rsidRPr="009448FC">
        <w:rPr>
          <w:i/>
        </w:rPr>
        <w:t xml:space="preserve">.11 Editor </w:t>
      </w:r>
      <w:r w:rsidR="00FE006F" w:rsidRPr="009448FC">
        <w:rPr>
          <w:i/>
        </w:rPr>
        <w:t>Insert the following two subclauses (9.2.3.6 and 9.2.3.7) after 9.2.3.5 EIFS:</w:t>
      </w:r>
    </w:p>
    <w:p w:rsidR="00FE006F" w:rsidRPr="009448FC" w:rsidRDefault="00FE006F" w:rsidP="00FE006F"/>
    <w:p w:rsidR="00FE006F" w:rsidRPr="00D14B25" w:rsidRDefault="00FE006F" w:rsidP="003701DB">
      <w:pPr>
        <w:pStyle w:val="Heading4"/>
        <w:numPr>
          <w:ilvl w:val="3"/>
          <w:numId w:val="123"/>
        </w:numPr>
      </w:pPr>
      <w:bookmarkStart w:id="1096" w:name="_Toc259717072"/>
      <w:r w:rsidRPr="009448FC">
        <w:t>SBIFS</w:t>
      </w:r>
      <w:bookmarkEnd w:id="1096"/>
    </w:p>
    <w:p w:rsidR="00FE006F" w:rsidRPr="00066F65" w:rsidRDefault="00FE006F" w:rsidP="00F154EF">
      <w:pPr>
        <w:autoSpaceDE w:val="0"/>
        <w:autoSpaceDN w:val="0"/>
        <w:adjustRightInd w:val="0"/>
        <w:rPr>
          <w:rFonts w:ascii="TimesNewRomanPSMT" w:hAnsi="TimesNewRomanPSMT" w:cs="TimesNewRomanPSMT"/>
          <w:u w:val="single"/>
          <w:lang w:eastAsia="ko-KR" w:bidi="ar-SA"/>
        </w:rPr>
      </w:pPr>
      <w:r w:rsidRPr="00066F65">
        <w:rPr>
          <w:rFonts w:ascii="TimesNewRomanPSMT" w:hAnsi="TimesNewRomanPSMT" w:cs="TimesNewRomanPSMT"/>
          <w:u w:val="single"/>
          <w:lang w:eastAsia="ko-KR" w:bidi="ar-SA"/>
        </w:rPr>
        <w:t>SBIFS (Short Beamforming Interframe Spacing) shall be used to separate multiple transmissions from a single transmitter, during a receive sector sweep or when each transmission occurs with a different transmit antenna configuration and no SIFS-separated res</w:t>
      </w:r>
      <w:r w:rsidR="00D14B25">
        <w:rPr>
          <w:rFonts w:ascii="TimesNewRomanPSMT" w:hAnsi="TimesNewRomanPSMT" w:cs="TimesNewRomanPSMT"/>
          <w:u w:val="single"/>
          <w:lang w:eastAsia="ko-KR" w:bidi="ar-SA"/>
        </w:rPr>
        <w:t xml:space="preserve">ponse transmission is expected. </w:t>
      </w:r>
      <w:r w:rsidRPr="00066F65">
        <w:rPr>
          <w:rFonts w:ascii="TimesNewRomanPSMT" w:hAnsi="TimesNewRomanPSMT" w:cs="TimesNewRomanPSMT"/>
          <w:u w:val="single"/>
          <w:lang w:eastAsia="ko-KR" w:bidi="ar-SA"/>
        </w:rPr>
        <w:t xml:space="preserve">The duration of SBIFS is </w:t>
      </w:r>
      <w:r w:rsidR="00843B35">
        <w:rPr>
          <w:rFonts w:ascii="TimesNewRomanPSMT" w:hAnsi="TimesNewRomanPSMT" w:cs="TimesNewRomanPSMT"/>
          <w:u w:val="single"/>
          <w:lang w:eastAsia="ko-KR" w:bidi="ar-SA"/>
        </w:rPr>
        <w:t>determined</w:t>
      </w:r>
      <w:r w:rsidRPr="00066F65">
        <w:rPr>
          <w:rFonts w:ascii="TimesNewRomanPSMT" w:hAnsi="TimesNewRomanPSMT" w:cs="TimesNewRomanPSMT"/>
          <w:u w:val="single"/>
          <w:lang w:eastAsia="ko-KR" w:bidi="ar-SA"/>
        </w:rPr>
        <w:t xml:space="preserve"> by the aSBIFS PHY characteristic. The SBIFS is the time from the end of the last symbol of the previous frame to the beginning of the first symbol of the preamble of the subsequent frame as seen at the air interface. A STA shall not allow the space between frames that are defined to be separated by a SBIFS time, as measured on the medium, to vary from the nominal SBIFS </w:t>
      </w:r>
      <w:r w:rsidRPr="00066F65">
        <w:rPr>
          <w:rFonts w:ascii="TimesNewRomanPSMT" w:hAnsi="TimesNewRomanPSMT" w:cs="TimesNewRomanPSMT"/>
          <w:u w:val="single"/>
          <w:lang w:eastAsia="ko-KR" w:bidi="ar-SA"/>
        </w:rPr>
        <w:lastRenderedPageBreak/>
        <w:t>value (aSBIFSTime) by more than ±10% of aSBIFSTime. Two frames separated by a SBIFS shall both be mmWave PPDUs.</w:t>
      </w:r>
    </w:p>
    <w:p w:rsidR="00FE006F" w:rsidRPr="009448FC" w:rsidRDefault="00FE006F" w:rsidP="00FE006F"/>
    <w:p w:rsidR="00FE006F" w:rsidRPr="009F1DC0" w:rsidRDefault="00FE006F" w:rsidP="003701DB">
      <w:pPr>
        <w:pStyle w:val="Heading4"/>
        <w:numPr>
          <w:ilvl w:val="3"/>
          <w:numId w:val="122"/>
        </w:numPr>
      </w:pPr>
      <w:bookmarkStart w:id="1097" w:name="_Toc259717073"/>
      <w:r w:rsidRPr="009448FC">
        <w:t>BRPIFS</w:t>
      </w:r>
      <w:bookmarkEnd w:id="1097"/>
    </w:p>
    <w:p w:rsidR="00FE006F" w:rsidRPr="006D4ED3" w:rsidRDefault="009A1285" w:rsidP="00FE006F">
      <w:pPr>
        <w:autoSpaceDE w:val="0"/>
        <w:autoSpaceDN w:val="0"/>
        <w:adjustRightInd w:val="0"/>
        <w:rPr>
          <w:rFonts w:ascii="TimesNewRomanPSMT" w:hAnsi="TimesNewRomanPSMT" w:cs="TimesNewRomanPSMT"/>
          <w:color w:val="000000"/>
          <w:u w:val="single"/>
          <w:lang w:eastAsia="ko-KR" w:bidi="ar-SA"/>
        </w:rPr>
      </w:pPr>
      <w:r w:rsidRPr="009A1285">
        <w:rPr>
          <w:rFonts w:ascii="TimesNewRomanPSMT" w:hAnsi="TimesNewRomanPSMT" w:cs="TimesNewRomanPSMT"/>
          <w:u w:val="single"/>
          <w:lang w:eastAsia="ko-KR" w:bidi="ar-SA"/>
        </w:rPr>
        <w:t>The BRPIFS (Beam Refinement Protocol Interframe Spacing) shall be used by STAs between any combination of transmissions of BRP-TX and BRP-RX packets</w:t>
      </w:r>
      <w:r w:rsidR="00FE006F" w:rsidRPr="00066F65">
        <w:rPr>
          <w:rFonts w:ascii="TimesNewRomanPSMT" w:hAnsi="TimesNewRomanPSMT" w:cs="TimesNewRomanPSMT"/>
          <w:u w:val="single"/>
          <w:lang w:eastAsia="ko-KR" w:bidi="ar-SA"/>
        </w:rPr>
        <w:t xml:space="preserve">. The BRPIFS is the </w:t>
      </w:r>
      <w:r w:rsidR="006D4ED3">
        <w:rPr>
          <w:rFonts w:ascii="TimesNewRomanPSMT" w:hAnsi="TimesNewRomanPSMT" w:cs="TimesNewRomanPSMT"/>
          <w:u w:val="single"/>
          <w:lang w:eastAsia="ko-KR" w:bidi="ar-SA"/>
        </w:rPr>
        <w:t xml:space="preserve">maximum </w:t>
      </w:r>
      <w:r w:rsidR="00FE006F" w:rsidRPr="00066F65">
        <w:rPr>
          <w:rFonts w:ascii="TimesNewRomanPSMT" w:hAnsi="TimesNewRomanPSMT" w:cs="TimesNewRomanPSMT"/>
          <w:u w:val="single"/>
          <w:lang w:eastAsia="ko-KR" w:bidi="ar-SA"/>
        </w:rPr>
        <w:t>time from the end of the last symbol of the previous PPDU, or training field if present in the PPDU, to the beginning of the first symbol of the preamble of the subsequent PPDU as seen at the air interface.</w:t>
      </w:r>
      <w:r w:rsidR="006D4ED3">
        <w:rPr>
          <w:rFonts w:ascii="TimesNewRomanPSMT" w:hAnsi="TimesNewRomanPSMT" w:cs="TimesNewRomanPSMT"/>
          <w:u w:val="single"/>
          <w:lang w:eastAsia="ko-KR" w:bidi="ar-SA"/>
        </w:rPr>
        <w:t xml:space="preserve"> </w:t>
      </w:r>
      <w:r w:rsidR="006D4ED3" w:rsidRPr="006D4ED3">
        <w:rPr>
          <w:rFonts w:ascii="TimesNewRomanPSMT" w:hAnsi="TimesNewRomanPSMT" w:cs="TimesNewRomanPSMT"/>
          <w:color w:val="000000"/>
          <w:u w:val="single"/>
          <w:lang w:eastAsia="ko-KR"/>
        </w:rPr>
        <w:t>The corresponding minimum time is SIFS.</w:t>
      </w:r>
      <w:r w:rsidR="00D11F2E">
        <w:rPr>
          <w:rFonts w:ascii="TimesNewRomanPSMT" w:hAnsi="TimesNewRomanPSMT" w:cs="TimesNewRomanPSMT"/>
          <w:color w:val="000000"/>
          <w:u w:val="single"/>
          <w:lang w:eastAsia="ko-KR"/>
        </w:rPr>
        <w:t xml:space="preserve"> </w:t>
      </w:r>
      <w:r w:rsidR="006D4ED3" w:rsidRPr="006D4ED3">
        <w:rPr>
          <w:rFonts w:ascii="TimesNewRomanPSMT" w:hAnsi="TimesNewRomanPSMT" w:cs="TimesNewRomanPSMT"/>
          <w:color w:val="000000"/>
          <w:u w:val="single"/>
          <w:lang w:eastAsia="ko-KR"/>
        </w:rPr>
        <w:t>BRPIFS is defined to be equal to aBRPIFS</w:t>
      </w:r>
      <w:r w:rsidR="006D4ED3" w:rsidRPr="006D4ED3">
        <w:rPr>
          <w:color w:val="000000"/>
          <w:u w:val="single"/>
          <w:lang w:eastAsia="ko-KR"/>
        </w:rPr>
        <w:t>±</w:t>
      </w:r>
      <w:r w:rsidR="006D4ED3" w:rsidRPr="006D4ED3">
        <w:rPr>
          <w:rFonts w:ascii="TimesNewRomanPSMT" w:hAnsi="TimesNewRomanPSMT" w:cs="TimesNewRomanPSMT"/>
          <w:color w:val="000000"/>
          <w:u w:val="single"/>
          <w:lang w:eastAsia="ko-KR"/>
        </w:rPr>
        <w:t>10%.</w:t>
      </w:r>
    </w:p>
    <w:p w:rsidR="006C671C" w:rsidRPr="009448FC" w:rsidRDefault="006C671C" w:rsidP="004F6E9F">
      <w:pPr>
        <w:autoSpaceDE w:val="0"/>
        <w:autoSpaceDN w:val="0"/>
        <w:adjustRightInd w:val="0"/>
        <w:rPr>
          <w:i/>
          <w:sz w:val="28"/>
        </w:rPr>
      </w:pPr>
    </w:p>
    <w:p w:rsidR="006C671C" w:rsidRPr="009448FC" w:rsidRDefault="006C671C" w:rsidP="003701DB">
      <w:pPr>
        <w:pStyle w:val="Heading3"/>
        <w:numPr>
          <w:ilvl w:val="2"/>
          <w:numId w:val="121"/>
        </w:numPr>
      </w:pPr>
      <w:bookmarkStart w:id="1098" w:name="_Toc259717074"/>
      <w:r w:rsidRPr="009448FC">
        <w:t>Random backoff time</w:t>
      </w:r>
      <w:bookmarkEnd w:id="1098"/>
    </w:p>
    <w:p w:rsidR="006C671C" w:rsidRPr="009448FC" w:rsidRDefault="006C671C" w:rsidP="006C671C">
      <w:pPr>
        <w:autoSpaceDE w:val="0"/>
        <w:autoSpaceDN w:val="0"/>
        <w:adjustRightInd w:val="0"/>
        <w:rPr>
          <w:i/>
        </w:rPr>
      </w:pPr>
      <w:r w:rsidRPr="009448FC">
        <w:rPr>
          <w:i/>
        </w:rPr>
        <w:t>.11 Editor’s instructions: change the following sentence:</w:t>
      </w:r>
    </w:p>
    <w:p w:rsidR="006C671C" w:rsidRPr="009448FC" w:rsidRDefault="006C671C" w:rsidP="009F1DC0">
      <w:pPr>
        <w:autoSpaceDE w:val="0"/>
        <w:autoSpaceDN w:val="0"/>
        <w:adjustRightInd w:val="0"/>
      </w:pPr>
      <w:r w:rsidRPr="009448FC">
        <w:t xml:space="preserve"> “… that have been deferring to the same event </w:t>
      </w:r>
      <w:r w:rsidRPr="00066F65">
        <w:rPr>
          <w:iCs/>
          <w:u w:val="single"/>
        </w:rPr>
        <w:t>in HB and in LB</w:t>
      </w:r>
      <w:r w:rsidRPr="009448FC">
        <w:t>”</w:t>
      </w:r>
    </w:p>
    <w:p w:rsidR="006C671C" w:rsidRPr="009448FC" w:rsidRDefault="006C671C" w:rsidP="003701DB">
      <w:pPr>
        <w:pStyle w:val="Heading3"/>
        <w:numPr>
          <w:ilvl w:val="2"/>
          <w:numId w:val="120"/>
        </w:numPr>
      </w:pPr>
      <w:bookmarkStart w:id="1099" w:name="_Toc259717075"/>
      <w:r w:rsidRPr="009448FC">
        <w:t>DCF access procedure</w:t>
      </w:r>
      <w:bookmarkEnd w:id="1099"/>
    </w:p>
    <w:p w:rsidR="006C671C" w:rsidRPr="009448FC" w:rsidRDefault="006C671C" w:rsidP="006C671C">
      <w:pPr>
        <w:autoSpaceDE w:val="0"/>
        <w:autoSpaceDN w:val="0"/>
        <w:adjustRightInd w:val="0"/>
        <w:rPr>
          <w:b/>
        </w:rPr>
      </w:pPr>
    </w:p>
    <w:p w:rsidR="006C671C" w:rsidRPr="00DB7B7B" w:rsidRDefault="006C671C" w:rsidP="003701DB">
      <w:pPr>
        <w:pStyle w:val="Heading4"/>
        <w:numPr>
          <w:ilvl w:val="3"/>
          <w:numId w:val="119"/>
        </w:numPr>
        <w:rPr>
          <w:szCs w:val="24"/>
        </w:rPr>
      </w:pPr>
      <w:bookmarkStart w:id="1100" w:name="_Ref243816181"/>
      <w:bookmarkStart w:id="1101" w:name="_Toc259717076"/>
      <w:r w:rsidRPr="00DB7B7B">
        <w:rPr>
          <w:rStyle w:val="Heading4Char"/>
          <w:b/>
          <w:sz w:val="24"/>
          <w:szCs w:val="24"/>
        </w:rPr>
        <w:t>Basic</w:t>
      </w:r>
      <w:r w:rsidRPr="00DB7B7B">
        <w:rPr>
          <w:szCs w:val="24"/>
        </w:rPr>
        <w:t xml:space="preserve"> access</w:t>
      </w:r>
      <w:bookmarkEnd w:id="1100"/>
      <w:bookmarkEnd w:id="1101"/>
    </w:p>
    <w:p w:rsidR="006C671C" w:rsidRPr="009448FC" w:rsidRDefault="006C671C" w:rsidP="006C671C">
      <w:pPr>
        <w:autoSpaceDE w:val="0"/>
        <w:autoSpaceDN w:val="0"/>
        <w:adjustRightInd w:val="0"/>
        <w:rPr>
          <w:b/>
        </w:rPr>
      </w:pPr>
    </w:p>
    <w:p w:rsidR="006C671C" w:rsidRPr="009448FC" w:rsidRDefault="006C671C" w:rsidP="006C671C">
      <w:pPr>
        <w:autoSpaceDE w:val="0"/>
        <w:autoSpaceDN w:val="0"/>
        <w:adjustRightInd w:val="0"/>
        <w:rPr>
          <w:b/>
          <w:sz w:val="22"/>
        </w:rPr>
      </w:pPr>
      <w:r w:rsidRPr="009448FC">
        <w:rPr>
          <w:i/>
        </w:rPr>
        <w:t xml:space="preserve">.11 Editor’s instructions: add </w:t>
      </w:r>
      <w:r w:rsidR="00E870B1" w:rsidRPr="009448FC">
        <w:rPr>
          <w:i/>
        </w:rPr>
        <w:t xml:space="preserve">the </w:t>
      </w:r>
      <w:r w:rsidRPr="009448FC">
        <w:rPr>
          <w:i/>
        </w:rPr>
        <w:t>following paragraphs after the second</w:t>
      </w:r>
      <w:r w:rsidR="00E870B1" w:rsidRPr="009448FC">
        <w:rPr>
          <w:i/>
        </w:rPr>
        <w:t xml:space="preserve"> paragraph</w:t>
      </w:r>
    </w:p>
    <w:p w:rsidR="006C671C" w:rsidRPr="009448FC" w:rsidRDefault="006C671C" w:rsidP="006C671C">
      <w:pPr>
        <w:autoSpaceDE w:val="0"/>
        <w:autoSpaceDN w:val="0"/>
        <w:adjustRightInd w:val="0"/>
      </w:pPr>
    </w:p>
    <w:p w:rsidR="006C671C" w:rsidRPr="00066F65" w:rsidRDefault="006C671C" w:rsidP="006C671C">
      <w:pPr>
        <w:autoSpaceDE w:val="0"/>
        <w:autoSpaceDN w:val="0"/>
        <w:adjustRightInd w:val="0"/>
        <w:rPr>
          <w:bCs/>
          <w:iCs/>
          <w:u w:val="single"/>
        </w:rPr>
      </w:pPr>
      <w:r w:rsidRPr="00066F65">
        <w:rPr>
          <w:bCs/>
          <w:iCs/>
          <w:u w:val="single"/>
        </w:rPr>
        <w:t>A</w:t>
      </w:r>
      <w:r w:rsidR="002F0A96" w:rsidRPr="00066F65">
        <w:rPr>
          <w:bCs/>
          <w:iCs/>
          <w:u w:val="single"/>
        </w:rPr>
        <w:t>n</w:t>
      </w:r>
      <w:r w:rsidRPr="00066F65">
        <w:rPr>
          <w:bCs/>
          <w:iCs/>
          <w:u w:val="single"/>
        </w:rPr>
        <w:t xml:space="preserve"> </w:t>
      </w:r>
      <w:r w:rsidR="00B96FB9" w:rsidRPr="00066F65">
        <w:rPr>
          <w:bCs/>
          <w:iCs/>
          <w:u w:val="single"/>
        </w:rPr>
        <w:t>mSTA</w:t>
      </w:r>
      <w:r w:rsidRPr="00066F65">
        <w:rPr>
          <w:bCs/>
          <w:iCs/>
          <w:u w:val="single"/>
        </w:rPr>
        <w:t xml:space="preserve"> operating under the DCF access method should transmit MPDUs and control frames with its transmit antenna pattern directed towards the intended receiver. </w:t>
      </w:r>
    </w:p>
    <w:p w:rsidR="006C671C" w:rsidRPr="00066F65" w:rsidRDefault="006C671C" w:rsidP="006C671C">
      <w:pPr>
        <w:autoSpaceDE w:val="0"/>
        <w:autoSpaceDN w:val="0"/>
        <w:adjustRightInd w:val="0"/>
        <w:rPr>
          <w:bCs/>
          <w:iCs/>
          <w:u w:val="single"/>
        </w:rPr>
      </w:pPr>
    </w:p>
    <w:p w:rsidR="006C671C" w:rsidRPr="00066F65" w:rsidRDefault="00EE610C" w:rsidP="006C671C">
      <w:pPr>
        <w:autoSpaceDE w:val="0"/>
        <w:autoSpaceDN w:val="0"/>
        <w:adjustRightInd w:val="0"/>
        <w:rPr>
          <w:bCs/>
          <w:iCs/>
          <w:u w:val="single"/>
        </w:rPr>
      </w:pPr>
      <w:r w:rsidRPr="00066F65">
        <w:rPr>
          <w:bCs/>
          <w:iCs/>
          <w:u w:val="single"/>
        </w:rPr>
        <w:t>A</w:t>
      </w:r>
      <w:r w:rsidR="002F0A96" w:rsidRPr="00066F65">
        <w:rPr>
          <w:bCs/>
          <w:iCs/>
          <w:u w:val="single"/>
        </w:rPr>
        <w:t>n</w:t>
      </w:r>
      <w:r w:rsidRPr="00066F65">
        <w:rPr>
          <w:bCs/>
          <w:iCs/>
          <w:u w:val="single"/>
        </w:rPr>
        <w:t xml:space="preserve"> </w:t>
      </w:r>
      <w:r w:rsidR="00B96FB9" w:rsidRPr="00066F65">
        <w:rPr>
          <w:bCs/>
          <w:iCs/>
          <w:u w:val="single"/>
        </w:rPr>
        <w:t>mSTA</w:t>
      </w:r>
      <w:r w:rsidRPr="00066F65">
        <w:rPr>
          <w:bCs/>
          <w:iCs/>
          <w:u w:val="single"/>
        </w:rPr>
        <w:t xml:space="preserve"> operating under the DCF access method that is not participating in a TxOP exchange may configure its receiving antenna array to a quasi-omni </w:t>
      </w:r>
      <w:r w:rsidR="00CC21E9" w:rsidRPr="00066F65">
        <w:rPr>
          <w:bCs/>
          <w:iCs/>
          <w:u w:val="single"/>
        </w:rPr>
        <w:t>antenna</w:t>
      </w:r>
      <w:r w:rsidR="00281486" w:rsidRPr="00066F65">
        <w:rPr>
          <w:bCs/>
          <w:iCs/>
          <w:u w:val="single"/>
        </w:rPr>
        <w:t xml:space="preserve"> </w:t>
      </w:r>
      <w:r w:rsidRPr="00066F65">
        <w:rPr>
          <w:bCs/>
          <w:iCs/>
          <w:u w:val="single"/>
        </w:rPr>
        <w:t xml:space="preserve">pattern so as to be ready to receive frames from any </w:t>
      </w:r>
      <w:r w:rsidR="00B96FB9" w:rsidRPr="00066F65">
        <w:rPr>
          <w:bCs/>
          <w:iCs/>
          <w:u w:val="single"/>
        </w:rPr>
        <w:t>mSTA</w:t>
      </w:r>
      <w:r w:rsidR="006C671C" w:rsidRPr="00066F65">
        <w:rPr>
          <w:bCs/>
          <w:iCs/>
          <w:u w:val="single"/>
        </w:rPr>
        <w:t>.</w:t>
      </w:r>
      <w:r w:rsidRPr="00066F65">
        <w:rPr>
          <w:bCs/>
          <w:iCs/>
          <w:u w:val="single"/>
        </w:rPr>
        <w:t xml:space="preserve"> </w:t>
      </w:r>
    </w:p>
    <w:p w:rsidR="006C671C" w:rsidRPr="00066F65" w:rsidRDefault="006C671C" w:rsidP="006C671C">
      <w:pPr>
        <w:autoSpaceDE w:val="0"/>
        <w:autoSpaceDN w:val="0"/>
        <w:adjustRightInd w:val="0"/>
        <w:rPr>
          <w:bCs/>
          <w:iCs/>
          <w:u w:val="single"/>
        </w:rPr>
      </w:pPr>
    </w:p>
    <w:p w:rsidR="006C671C" w:rsidRPr="00066F65" w:rsidRDefault="00EE610C" w:rsidP="006C671C">
      <w:pPr>
        <w:autoSpaceDE w:val="0"/>
        <w:autoSpaceDN w:val="0"/>
        <w:adjustRightInd w:val="0"/>
        <w:rPr>
          <w:bCs/>
          <w:iCs/>
          <w:u w:val="single"/>
        </w:rPr>
      </w:pPr>
      <w:r w:rsidRPr="00066F65">
        <w:rPr>
          <w:bCs/>
          <w:iCs/>
          <w:u w:val="single"/>
        </w:rPr>
        <w:t>A</w:t>
      </w:r>
      <w:r w:rsidR="002F0A96" w:rsidRPr="00066F65">
        <w:rPr>
          <w:bCs/>
          <w:iCs/>
          <w:u w:val="single"/>
        </w:rPr>
        <w:t>n</w:t>
      </w:r>
      <w:r w:rsidRPr="00066F65">
        <w:rPr>
          <w:bCs/>
          <w:iCs/>
          <w:u w:val="single"/>
        </w:rPr>
        <w:t xml:space="preserve"> </w:t>
      </w:r>
      <w:r w:rsidR="00B96FB9" w:rsidRPr="00066F65">
        <w:rPr>
          <w:bCs/>
          <w:iCs/>
          <w:u w:val="single"/>
        </w:rPr>
        <w:t>mSTA</w:t>
      </w:r>
      <w:r w:rsidRPr="00066F65">
        <w:rPr>
          <w:bCs/>
          <w:iCs/>
          <w:u w:val="single"/>
        </w:rPr>
        <w:t xml:space="preserve"> operating under the DCF access method that is participating in a TxOP exchange </w:t>
      </w:r>
      <w:r w:rsidR="00197B6C" w:rsidRPr="00066F65">
        <w:rPr>
          <w:bCs/>
          <w:iCs/>
          <w:u w:val="single"/>
        </w:rPr>
        <w:t>should</w:t>
      </w:r>
      <w:r w:rsidR="00281486" w:rsidRPr="00066F65">
        <w:rPr>
          <w:bCs/>
          <w:iCs/>
          <w:u w:val="single"/>
        </w:rPr>
        <w:t xml:space="preserve"> </w:t>
      </w:r>
      <w:r w:rsidRPr="00066F65">
        <w:rPr>
          <w:bCs/>
          <w:iCs/>
          <w:u w:val="single"/>
        </w:rPr>
        <w:t>configure its receiving antenna array to be directed toward the other transmitter involved in the TxOP</w:t>
      </w:r>
      <w:r w:rsidR="006C671C" w:rsidRPr="00066F65">
        <w:rPr>
          <w:bCs/>
          <w:iCs/>
          <w:u w:val="single"/>
        </w:rPr>
        <w:t>.</w:t>
      </w:r>
      <w:r w:rsidRPr="00066F65">
        <w:rPr>
          <w:bCs/>
          <w:iCs/>
          <w:u w:val="single"/>
        </w:rPr>
        <w:t xml:space="preserve"> </w:t>
      </w:r>
    </w:p>
    <w:p w:rsidR="006C671C" w:rsidRPr="009448FC" w:rsidRDefault="006C671C" w:rsidP="006C671C">
      <w:pPr>
        <w:autoSpaceDE w:val="0"/>
        <w:autoSpaceDN w:val="0"/>
        <w:adjustRightInd w:val="0"/>
        <w:rPr>
          <w:b/>
        </w:rPr>
      </w:pPr>
    </w:p>
    <w:p w:rsidR="00E43BFA" w:rsidRPr="009448FC" w:rsidRDefault="006C671C" w:rsidP="003701DB">
      <w:pPr>
        <w:pStyle w:val="Heading4"/>
        <w:numPr>
          <w:ilvl w:val="3"/>
          <w:numId w:val="118"/>
        </w:numPr>
      </w:pPr>
      <w:bookmarkStart w:id="1102" w:name="_Toc259717077"/>
      <w:r w:rsidRPr="009448FC">
        <w:t>Backoff procedure for DCF</w:t>
      </w:r>
      <w:bookmarkEnd w:id="1102"/>
    </w:p>
    <w:p w:rsidR="00E43BFA" w:rsidRPr="009448FC" w:rsidRDefault="00E43BFA" w:rsidP="00E43BFA">
      <w:pPr>
        <w:autoSpaceDE w:val="0"/>
        <w:autoSpaceDN w:val="0"/>
        <w:adjustRightInd w:val="0"/>
        <w:rPr>
          <w:rFonts w:eastAsia="MS Mincho"/>
          <w:i/>
        </w:rPr>
      </w:pPr>
      <w:r w:rsidRPr="009448FC">
        <w:rPr>
          <w:i/>
        </w:rPr>
        <w:t>.11 Editor’s instructions:</w:t>
      </w:r>
      <w:r w:rsidR="00D11F2E">
        <w:rPr>
          <w:i/>
        </w:rPr>
        <w:t xml:space="preserve"> </w:t>
      </w:r>
      <w:r w:rsidRPr="009448FC">
        <w:rPr>
          <w:rFonts w:eastAsia="MS Mincho"/>
          <w:i/>
        </w:rPr>
        <w:t>Modify the third paragraph as shown:</w:t>
      </w:r>
    </w:p>
    <w:p w:rsidR="00E43BFA" w:rsidRPr="009448FC" w:rsidRDefault="00E43BFA" w:rsidP="00E43BFA">
      <w:pPr>
        <w:autoSpaceDE w:val="0"/>
        <w:autoSpaceDN w:val="0"/>
        <w:adjustRightInd w:val="0"/>
        <w:rPr>
          <w:rFonts w:ascii="Arial" w:eastAsia="MS Mincho" w:hAnsi="Arial"/>
          <w:sz w:val="20"/>
        </w:rPr>
      </w:pPr>
    </w:p>
    <w:p w:rsidR="00E43BFA" w:rsidRPr="009448FC" w:rsidRDefault="00E43BFA" w:rsidP="00E43BFA">
      <w:pPr>
        <w:autoSpaceDE w:val="0"/>
        <w:autoSpaceDN w:val="0"/>
        <w:adjustRightInd w:val="0"/>
        <w:rPr>
          <w:rFonts w:ascii="Arial" w:eastAsia="MS Mincho" w:hAnsi="Arial"/>
        </w:rPr>
      </w:pPr>
      <w:r w:rsidRPr="009448FC">
        <w:rPr>
          <w:rFonts w:ascii="TimesNewRoman" w:eastAsia="MS Mincho" w:hAnsi="TimesNewRoman"/>
        </w:rPr>
        <w:t>To begin the backoff procedure, the STA shall set its Backoff Timer to a random backoff time using the equation in 9.2.4. All backoff slots occur following a DIFS period during which the medium is determined to be idle for the duration of the DIFS period, or following an EIFS period during which the medium is determined to be idle for the duration of the EIFS period, as appropriate (see 9.2.3)</w:t>
      </w:r>
      <w:r w:rsidRPr="00066F65">
        <w:rPr>
          <w:rFonts w:ascii="TimesNewRoman" w:eastAsia="MS Mincho" w:hAnsi="TimesNewRoman" w:cs="TimesNewRoman"/>
          <w:u w:val="single"/>
        </w:rPr>
        <w:t>, except that no backoff slots for DCF occur during the</w:t>
      </w:r>
      <w:r w:rsidRPr="00066F65">
        <w:rPr>
          <w:u w:val="single"/>
        </w:rPr>
        <w:t xml:space="preserve"> BT, the A-BFT, the AT and non-CBP portions of the DTT</w:t>
      </w:r>
      <w:r w:rsidRPr="009448FC">
        <w:rPr>
          <w:rFonts w:ascii="TimesNewRoman" w:eastAsia="MS Mincho" w:hAnsi="TimesNewRoman"/>
        </w:rPr>
        <w:t>.</w:t>
      </w:r>
    </w:p>
    <w:p w:rsidR="00E43BFA" w:rsidRPr="009448FC" w:rsidRDefault="00E43BFA" w:rsidP="006C671C">
      <w:pPr>
        <w:autoSpaceDE w:val="0"/>
        <w:autoSpaceDN w:val="0"/>
        <w:adjustRightInd w:val="0"/>
        <w:rPr>
          <w:i/>
        </w:rPr>
      </w:pPr>
    </w:p>
    <w:p w:rsidR="006C671C" w:rsidRPr="009448FC" w:rsidRDefault="006C671C" w:rsidP="006C671C">
      <w:pPr>
        <w:autoSpaceDE w:val="0"/>
        <w:autoSpaceDN w:val="0"/>
        <w:adjustRightInd w:val="0"/>
      </w:pPr>
      <w:r w:rsidRPr="009448FC">
        <w:rPr>
          <w:i/>
        </w:rPr>
        <w:t xml:space="preserve">.11 Editor’s instructions: replace all appearances of </w:t>
      </w:r>
      <w:r w:rsidR="008A136D" w:rsidRPr="009448FC">
        <w:rPr>
          <w:i/>
        </w:rPr>
        <w:t xml:space="preserve">the </w:t>
      </w:r>
      <w:r w:rsidRPr="009448FC">
        <w:rPr>
          <w:i/>
        </w:rPr>
        <w:t>word “</w:t>
      </w:r>
      <w:r w:rsidRPr="009448FC">
        <w:t>DIFS”</w:t>
      </w:r>
      <w:r w:rsidRPr="009448FC">
        <w:rPr>
          <w:i/>
        </w:rPr>
        <w:t xml:space="preserve"> by “</w:t>
      </w:r>
      <w:r w:rsidRPr="009448FC">
        <w:t xml:space="preserve">DIFS (PIFS </w:t>
      </w:r>
      <w:r w:rsidR="008A136D" w:rsidRPr="009448FC">
        <w:t>in the UB</w:t>
      </w:r>
      <w:r w:rsidRPr="009448FC">
        <w:t xml:space="preserve">)”; </w:t>
      </w:r>
      <w:r w:rsidRPr="009448FC">
        <w:rPr>
          <w:i/>
        </w:rPr>
        <w:t xml:space="preserve">insert Figure 9-6a </w:t>
      </w:r>
      <w:r w:rsidR="002C10FA">
        <w:rPr>
          <w:i/>
        </w:rPr>
        <w:t xml:space="preserve">and Figure 9-6b </w:t>
      </w:r>
      <w:r w:rsidRPr="009448FC">
        <w:rPr>
          <w:i/>
        </w:rPr>
        <w:t xml:space="preserve">immediately following Figure 9-6. </w:t>
      </w:r>
    </w:p>
    <w:p w:rsidR="006C671C" w:rsidRDefault="006C671C" w:rsidP="006C671C">
      <w:pPr>
        <w:autoSpaceDE w:val="0"/>
        <w:autoSpaceDN w:val="0"/>
        <w:adjustRightInd w:val="0"/>
      </w:pPr>
    </w:p>
    <w:p w:rsidR="002C10FA" w:rsidRDefault="002C10FA" w:rsidP="002C10FA">
      <w:pPr>
        <w:autoSpaceDE w:val="0"/>
        <w:autoSpaceDN w:val="0"/>
        <w:adjustRightInd w:val="0"/>
        <w:jc w:val="center"/>
      </w:pPr>
      <w:r>
        <w:object w:dxaOrig="10348" w:dyaOrig="5410">
          <v:shape id="_x0000_i1044" type="#_x0000_t75" style="width:327.85pt;height:172.55pt" o:ole="">
            <v:imagedata r:id="rId135" o:title=""/>
          </v:shape>
          <o:OLEObject Type="Embed" ProgID="Visio.Drawing.11" ShapeID="_x0000_i1044" DrawAspect="Content" ObjectID="_1334048226" r:id="rId136"/>
        </w:object>
      </w:r>
    </w:p>
    <w:p w:rsidR="002C10FA" w:rsidRPr="00066F65" w:rsidRDefault="002C10FA" w:rsidP="002C10FA">
      <w:pPr>
        <w:autoSpaceDE w:val="0"/>
        <w:autoSpaceDN w:val="0"/>
        <w:adjustRightInd w:val="0"/>
        <w:jc w:val="center"/>
        <w:rPr>
          <w:b/>
          <w:bCs/>
          <w:iCs/>
          <w:u w:val="single"/>
        </w:rPr>
      </w:pPr>
      <w:r w:rsidRPr="00066F65">
        <w:rPr>
          <w:b/>
          <w:bCs/>
          <w:iCs/>
          <w:u w:val="single"/>
        </w:rPr>
        <w:t xml:space="preserve">Figure 9-6a — </w:t>
      </w:r>
      <w:r>
        <w:rPr>
          <w:b/>
          <w:bCs/>
          <w:iCs/>
          <w:u w:val="single"/>
        </w:rPr>
        <w:t>Example topology of NAV setting in mSTAs</w:t>
      </w:r>
      <w:r w:rsidRPr="00066F65">
        <w:rPr>
          <w:iCs/>
          <w:u w:val="single"/>
        </w:rPr>
        <w:t xml:space="preserve"> </w:t>
      </w:r>
    </w:p>
    <w:p w:rsidR="002C10FA" w:rsidRPr="009448FC" w:rsidRDefault="002C10FA" w:rsidP="006C671C">
      <w:pPr>
        <w:autoSpaceDE w:val="0"/>
        <w:autoSpaceDN w:val="0"/>
        <w:adjustRightInd w:val="0"/>
      </w:pPr>
    </w:p>
    <w:p w:rsidR="00D7118E" w:rsidRPr="009448FC" w:rsidRDefault="00662E23" w:rsidP="006C671C">
      <w:pPr>
        <w:autoSpaceDE w:val="0"/>
        <w:autoSpaceDN w:val="0"/>
        <w:adjustRightInd w:val="0"/>
        <w:jc w:val="center"/>
      </w:pPr>
      <w:r w:rsidRPr="009448FC">
        <w:object w:dxaOrig="14238" w:dyaOrig="6206">
          <v:shape id="_x0000_i1045" type="#_x0000_t75" style="width:467.75pt;height:205.6pt" o:ole="" o:bordertopcolor="this" o:borderleftcolor="this" o:borderbottomcolor="this" o:borderrightcolor="this" filled="t">
            <v:imagedata r:id="rId137" o:title=""/>
            <w10:bordertop type="single" width="4"/>
            <w10:borderleft type="single" width="4"/>
            <w10:borderbottom type="single" width="4"/>
            <w10:borderright type="single" width="4"/>
          </v:shape>
          <o:OLEObject Type="Embed" ProgID="Visio.Drawing.11" ShapeID="_x0000_i1045" DrawAspect="Content" ObjectID="_1334048227" r:id="rId138"/>
        </w:object>
      </w:r>
    </w:p>
    <w:p w:rsidR="00D7118E" w:rsidRPr="009448FC" w:rsidRDefault="00D7118E" w:rsidP="006C671C">
      <w:pPr>
        <w:autoSpaceDE w:val="0"/>
        <w:autoSpaceDN w:val="0"/>
        <w:adjustRightInd w:val="0"/>
        <w:jc w:val="center"/>
      </w:pPr>
    </w:p>
    <w:p w:rsidR="006C671C" w:rsidRPr="00066F65" w:rsidRDefault="006C671C" w:rsidP="007F2FB4">
      <w:pPr>
        <w:autoSpaceDE w:val="0"/>
        <w:autoSpaceDN w:val="0"/>
        <w:adjustRightInd w:val="0"/>
        <w:jc w:val="center"/>
        <w:rPr>
          <w:b/>
          <w:bCs/>
          <w:iCs/>
          <w:u w:val="single"/>
        </w:rPr>
      </w:pPr>
      <w:r w:rsidRPr="00066F65">
        <w:rPr>
          <w:b/>
          <w:bCs/>
          <w:iCs/>
          <w:u w:val="single"/>
        </w:rPr>
        <w:t>Figure 9-6</w:t>
      </w:r>
      <w:r w:rsidR="007003FD">
        <w:rPr>
          <w:b/>
          <w:bCs/>
          <w:iCs/>
          <w:u w:val="single"/>
        </w:rPr>
        <w:t>b</w:t>
      </w:r>
      <w:r w:rsidR="00F07751" w:rsidRPr="00066F65">
        <w:rPr>
          <w:b/>
          <w:bCs/>
          <w:iCs/>
          <w:u w:val="single"/>
        </w:rPr>
        <w:t xml:space="preserve"> </w:t>
      </w:r>
      <w:r w:rsidRPr="00066F65">
        <w:rPr>
          <w:b/>
          <w:bCs/>
          <w:iCs/>
          <w:u w:val="single"/>
        </w:rPr>
        <w:t>—</w:t>
      </w:r>
      <w:r w:rsidR="00F07751" w:rsidRPr="00066F65">
        <w:rPr>
          <w:b/>
          <w:bCs/>
          <w:iCs/>
          <w:u w:val="single"/>
        </w:rPr>
        <w:t xml:space="preserve"> </w:t>
      </w:r>
      <w:r w:rsidRPr="00066F65">
        <w:rPr>
          <w:b/>
          <w:bCs/>
          <w:iCs/>
          <w:u w:val="single"/>
        </w:rPr>
        <w:t xml:space="preserve">Backoff procedure in </w:t>
      </w:r>
      <w:r w:rsidR="007F2FB4" w:rsidRPr="00066F65">
        <w:rPr>
          <w:b/>
          <w:bCs/>
          <w:iCs/>
          <w:u w:val="single"/>
        </w:rPr>
        <w:t>the UB</w:t>
      </w:r>
      <w:r w:rsidR="007F2FB4" w:rsidRPr="00066F65">
        <w:rPr>
          <w:iCs/>
          <w:u w:val="single"/>
        </w:rPr>
        <w:t xml:space="preserve"> </w:t>
      </w:r>
    </w:p>
    <w:p w:rsidR="006C671C" w:rsidRPr="009448FC" w:rsidRDefault="006C671C" w:rsidP="006C671C">
      <w:pPr>
        <w:autoSpaceDE w:val="0"/>
        <w:autoSpaceDN w:val="0"/>
        <w:adjustRightInd w:val="0"/>
        <w:rPr>
          <w:i/>
          <w:sz w:val="28"/>
        </w:rPr>
      </w:pPr>
    </w:p>
    <w:p w:rsidR="006C671C" w:rsidRPr="009448FC" w:rsidRDefault="006C671C" w:rsidP="006C671C">
      <w:pPr>
        <w:autoSpaceDE w:val="0"/>
        <w:autoSpaceDN w:val="0"/>
        <w:adjustRightInd w:val="0"/>
        <w:rPr>
          <w:sz w:val="22"/>
        </w:rPr>
      </w:pPr>
      <w:r w:rsidRPr="009448FC">
        <w:rPr>
          <w:i/>
        </w:rPr>
        <w:t>.11 Editor’s instructions: add the following text at end of the subclause</w:t>
      </w:r>
      <w:r w:rsidRPr="009448FC">
        <w:rPr>
          <w:sz w:val="22"/>
        </w:rPr>
        <w:t xml:space="preserve"> </w:t>
      </w:r>
    </w:p>
    <w:p w:rsidR="006C671C" w:rsidRPr="009448FC" w:rsidRDefault="006C671C" w:rsidP="006C671C">
      <w:pPr>
        <w:autoSpaceDE w:val="0"/>
        <w:autoSpaceDN w:val="0"/>
        <w:adjustRightInd w:val="0"/>
        <w:rPr>
          <w:b/>
          <w:i/>
        </w:rPr>
      </w:pPr>
    </w:p>
    <w:p w:rsidR="00843B35" w:rsidRDefault="00843B35" w:rsidP="0026355D">
      <w:pPr>
        <w:autoSpaceDE w:val="0"/>
        <w:autoSpaceDN w:val="0"/>
        <w:adjustRightInd w:val="0"/>
        <w:rPr>
          <w:rFonts w:eastAsia="MS Mincho"/>
          <w:u w:val="single"/>
        </w:rPr>
      </w:pPr>
      <w:r w:rsidRPr="00843B35">
        <w:rPr>
          <w:rFonts w:eastAsia="MS Mincho"/>
          <w:u w:val="single"/>
        </w:rPr>
        <w:t>Figure 9-6b describes the backoff procedure in the UB for the example topology shown in Figure 9-6a.</w:t>
      </w:r>
      <w:r>
        <w:rPr>
          <w:rFonts w:eastAsia="MS Mincho"/>
          <w:u w:val="single"/>
        </w:rPr>
        <w:t xml:space="preserve"> </w:t>
      </w:r>
    </w:p>
    <w:p w:rsidR="00843B35" w:rsidRDefault="00843B35"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At the time that STA A starts transmitting a frame to STA E and STA E starts receiving the frame, the antennas of both stations are directed to the peer, i.e.</w:t>
      </w:r>
      <w:r w:rsidR="00C956E1">
        <w:rPr>
          <w:rFonts w:eastAsia="MS Mincho"/>
          <w:u w:val="single"/>
        </w:rPr>
        <w:t>,</w:t>
      </w:r>
      <w:r w:rsidRPr="00066F65">
        <w:rPr>
          <w:rFonts w:eastAsia="MS Mincho"/>
          <w:u w:val="single"/>
        </w:rPr>
        <w:t xml:space="preserve"> the transmitting antennas of STA A are directed to STA E and the receiving antennas of STA E are directed to STA A. At this point, STA B, STA C and STA D are not involved in any frame exchange, so they are in receiving mode with the configuration of their receiving antenna arrays set to a quasi-omni </w:t>
      </w:r>
      <w:r w:rsidR="00CC21E9" w:rsidRPr="00066F65">
        <w:rPr>
          <w:rFonts w:eastAsia="MS Mincho"/>
          <w:u w:val="single"/>
        </w:rPr>
        <w:t>antenna pattern</w:t>
      </w:r>
      <w:r w:rsidR="00281486" w:rsidRPr="00066F65">
        <w:rPr>
          <w:rFonts w:eastAsia="MS Mincho"/>
          <w:u w:val="single"/>
        </w:rPr>
        <w:t xml:space="preserve"> </w:t>
      </w:r>
      <w:r w:rsidRPr="00066F65">
        <w:rPr>
          <w:rFonts w:eastAsia="MS Mincho"/>
          <w:u w:val="single"/>
        </w:rPr>
        <w:t>so as to be ready to receive frames from any STA.</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STA B receives the frame transmitted by STA A (to STA E) and CS (physical and virtual) in STA B indicates a busy medium during the exchange between STA A and STA E.</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STA D is not able to receive the frame transmitted by STA A or the response transmitted by STA E, hence CS in STA D indicates IDLE for the duration of the exchange between STA A and STA E.</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The physical CS function of STA C indicates a medium busy condition when it receives the response sent by STA E, but indicates an idle medium condition during the transmission from STA A.</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STA A and STA E, which are directly involved in the frame exchange, STA B, which received the frame sent by STA A, and STA C, which received the response sent by STA E, are synchronized at point A, where the transaction between STA A and STA E completes.</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Since STA D cannot hear the directional transmissions either from STA A or STA C, its physical CS indicates an idle medium condition for the duration of the frame exchange,enabling a frame exchange with STA B at the same time as the frame exchange between STA A and STA E. This is an example of SFS.</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 xml:space="preserve">Because STA C is unaware of the transmission of the frame from STA A to STA E, STA C transmits an RTS to STA B. But STA C does not receive a </w:t>
      </w:r>
      <w:r w:rsidR="005B4FC2" w:rsidRPr="00066F65">
        <w:rPr>
          <w:rFonts w:eastAsia="MS Mincho"/>
          <w:u w:val="single"/>
        </w:rPr>
        <w:t>mmWaveCTS</w:t>
      </w:r>
      <w:r w:rsidR="00281486" w:rsidRPr="00066F65">
        <w:rPr>
          <w:rFonts w:eastAsia="MS Mincho"/>
          <w:u w:val="single"/>
        </w:rPr>
        <w:t xml:space="preserve"> </w:t>
      </w:r>
      <w:r w:rsidRPr="00066F65">
        <w:rPr>
          <w:rFonts w:eastAsia="MS Mincho"/>
          <w:u w:val="single"/>
        </w:rPr>
        <w:t>from STA B since the CS at STA B is busy when STA B receives the RTS from the STA C. This causes STA C to retry the RTS transmission following the expiration of a backoff count which occurs after the completion of the exchange between STA A and STA E.</w:t>
      </w:r>
    </w:p>
    <w:p w:rsidR="006C671C" w:rsidRPr="009448FC" w:rsidRDefault="006C671C" w:rsidP="006C671C">
      <w:pPr>
        <w:autoSpaceDE w:val="0"/>
        <w:autoSpaceDN w:val="0"/>
        <w:adjustRightInd w:val="0"/>
        <w:rPr>
          <w:b/>
        </w:rPr>
      </w:pPr>
    </w:p>
    <w:p w:rsidR="006C671C" w:rsidRPr="009448FC" w:rsidRDefault="006C671C" w:rsidP="006C671C">
      <w:pPr>
        <w:autoSpaceDE w:val="0"/>
        <w:autoSpaceDN w:val="0"/>
        <w:adjustRightInd w:val="0"/>
        <w:rPr>
          <w:b/>
          <w:sz w:val="22"/>
        </w:rPr>
      </w:pPr>
      <w:r w:rsidRPr="009448FC">
        <w:rPr>
          <w:i/>
        </w:rPr>
        <w:t xml:space="preserve">.11 Editor’s instructions: add the </w:t>
      </w:r>
      <w:r w:rsidR="0026355D" w:rsidRPr="009448FC">
        <w:rPr>
          <w:i/>
        </w:rPr>
        <w:t xml:space="preserve">following </w:t>
      </w:r>
      <w:r w:rsidRPr="009448FC">
        <w:rPr>
          <w:i/>
        </w:rPr>
        <w:t xml:space="preserve">text after </w:t>
      </w:r>
      <w:r w:rsidR="0026355D" w:rsidRPr="009448FC">
        <w:rPr>
          <w:i/>
        </w:rPr>
        <w:t xml:space="preserve">the indicated </w:t>
      </w:r>
      <w:r w:rsidRPr="009448FC">
        <w:rPr>
          <w:i/>
        </w:rPr>
        <w:t>paragraph</w:t>
      </w:r>
      <w:r w:rsidR="0026355D" w:rsidRPr="009448FC">
        <w:rPr>
          <w:i/>
        </w:rPr>
        <w:t>:</w:t>
      </w:r>
    </w:p>
    <w:p w:rsidR="006C671C" w:rsidRPr="009448FC" w:rsidRDefault="006C671C" w:rsidP="006C671C">
      <w:pPr>
        <w:autoSpaceDE w:val="0"/>
        <w:autoSpaceDN w:val="0"/>
        <w:adjustRightInd w:val="0"/>
      </w:pPr>
      <w:r w:rsidRPr="009448FC">
        <w:t>The effect of this procedure is that when multiple STAs are deferring and go into random backoff, then the STA selecting the smallest backoff time using the random function will win the contention (assuming all of the contending STAs detect the same instances of WM activity at their respective receivers</w:t>
      </w:r>
      <w:r w:rsidR="0026355D" w:rsidRPr="00066F65">
        <w:rPr>
          <w:rFonts w:eastAsia="MS Mincho"/>
          <w:u w:val="single"/>
        </w:rPr>
        <w:t>, which is not always true, due to hidden node effects and interference events</w:t>
      </w:r>
      <w:r w:rsidRPr="009448FC">
        <w:t>).</w:t>
      </w:r>
      <w:r w:rsidR="0026355D" w:rsidRPr="009448FC">
        <w:t xml:space="preserve"> </w:t>
      </w:r>
      <w:r w:rsidR="0026355D" w:rsidRPr="00066F65">
        <w:rPr>
          <w:rFonts w:eastAsia="MS Mincho"/>
          <w:u w:val="single"/>
        </w:rPr>
        <w:t xml:space="preserve">In the UB, the number of STAs that are able to detect each WM transmission is reduced even further due to a mixture of SFSDOM and SFDOM. </w:t>
      </w:r>
    </w:p>
    <w:p w:rsidR="006C671C" w:rsidRPr="009448FC" w:rsidRDefault="006C671C" w:rsidP="006C671C">
      <w:pPr>
        <w:autoSpaceDE w:val="0"/>
        <w:autoSpaceDN w:val="0"/>
        <w:adjustRightInd w:val="0"/>
      </w:pPr>
    </w:p>
    <w:p w:rsidR="006C671C" w:rsidRPr="009448FC" w:rsidRDefault="006C671C" w:rsidP="003701DB">
      <w:pPr>
        <w:pStyle w:val="Heading4"/>
        <w:numPr>
          <w:ilvl w:val="3"/>
          <w:numId w:val="117"/>
        </w:numPr>
      </w:pPr>
      <w:bookmarkStart w:id="1103" w:name="_Toc259717078"/>
      <w:r w:rsidRPr="009448FC">
        <w:t>Recovery procedures and retransmit limits</w:t>
      </w:r>
      <w:bookmarkEnd w:id="1103"/>
    </w:p>
    <w:p w:rsidR="006C671C" w:rsidRPr="009448FC" w:rsidRDefault="006C671C" w:rsidP="006C671C">
      <w:pPr>
        <w:autoSpaceDE w:val="0"/>
        <w:autoSpaceDN w:val="0"/>
        <w:adjustRightInd w:val="0"/>
        <w:rPr>
          <w:i/>
        </w:rPr>
      </w:pPr>
      <w:r w:rsidRPr="009448FC">
        <w:rPr>
          <w:i/>
        </w:rPr>
        <w:t xml:space="preserve">.11 Editor’s instructions: </w:t>
      </w:r>
      <w:r w:rsidR="002B22B5" w:rsidRPr="009448FC">
        <w:rPr>
          <w:i/>
        </w:rPr>
        <w:t>change the indicated paragraph as follows</w:t>
      </w:r>
      <w:r w:rsidR="002016C3" w:rsidRPr="009448FC">
        <w:rPr>
          <w:i/>
        </w:rPr>
        <w:t>:</w:t>
      </w:r>
    </w:p>
    <w:p w:rsidR="006C671C" w:rsidRPr="009448FC" w:rsidRDefault="002B22B5" w:rsidP="002B22B5">
      <w:pPr>
        <w:autoSpaceDE w:val="0"/>
        <w:autoSpaceDN w:val="0"/>
        <w:adjustRightInd w:val="0"/>
      </w:pPr>
      <w:r w:rsidRPr="009448FC">
        <w:t xml:space="preserve">Retries for failed transmission attempts shall continue until the SRC for the MPDU of type Data or MMPDU is equal to dot11ShortRetryLimit or until the LRC for the MPDU of type Data or MMPDU is equal to dot11LongRetryLimit. </w:t>
      </w:r>
      <w:r w:rsidR="006C671C" w:rsidRPr="009448FC">
        <w:t xml:space="preserve">When either of these limits is reached, retry attempts shall cease, and the MPDU of type Data (and any MSDU of which it is a part) or MMPDU shall be discarded. </w:t>
      </w:r>
      <w:r w:rsidR="009B6108" w:rsidRPr="00066F65">
        <w:rPr>
          <w:iCs/>
          <w:u w:val="single"/>
        </w:rPr>
        <w:t>In the UB, in addition to random access within a CBP, retry attempts can use scheduled SP provided scheduled access is supported by the AP or PCP of the BSS that the STA is associated with</w:t>
      </w:r>
      <w:r w:rsidR="006C671C" w:rsidRPr="00066F65">
        <w:rPr>
          <w:iCs/>
          <w:u w:val="single"/>
        </w:rPr>
        <w:t>.</w:t>
      </w:r>
      <w:r w:rsidR="00D11F2E">
        <w:rPr>
          <w:iCs/>
          <w:u w:val="single"/>
        </w:rPr>
        <w:t xml:space="preserve"> </w:t>
      </w:r>
    </w:p>
    <w:p w:rsidR="006C671C" w:rsidRPr="009448FC" w:rsidRDefault="006C671C" w:rsidP="006C671C">
      <w:pPr>
        <w:autoSpaceDE w:val="0"/>
        <w:autoSpaceDN w:val="0"/>
        <w:adjustRightInd w:val="0"/>
        <w:rPr>
          <w:b/>
        </w:rPr>
      </w:pPr>
    </w:p>
    <w:p w:rsidR="006C671C" w:rsidRPr="009448FC" w:rsidRDefault="006C671C" w:rsidP="003701DB">
      <w:pPr>
        <w:pStyle w:val="Heading4"/>
        <w:numPr>
          <w:ilvl w:val="3"/>
          <w:numId w:val="116"/>
        </w:numPr>
      </w:pPr>
      <w:bookmarkStart w:id="1104" w:name="_Toc259717079"/>
      <w:r w:rsidRPr="009448FC">
        <w:t>Setting and resetting the NAV</w:t>
      </w:r>
      <w:bookmarkEnd w:id="1104"/>
    </w:p>
    <w:p w:rsidR="006C671C" w:rsidRPr="009448FC" w:rsidRDefault="006C671C" w:rsidP="006C671C">
      <w:pPr>
        <w:autoSpaceDE w:val="0"/>
        <w:autoSpaceDN w:val="0"/>
        <w:adjustRightInd w:val="0"/>
        <w:rPr>
          <w:i/>
        </w:rPr>
      </w:pPr>
      <w:r w:rsidRPr="009448FC">
        <w:rPr>
          <w:i/>
        </w:rPr>
        <w:t>.11 Editor’s instructions: fix sentence in the last paragraph as follows:</w:t>
      </w:r>
    </w:p>
    <w:p w:rsidR="006C671C" w:rsidRPr="009448FC" w:rsidRDefault="006C671C" w:rsidP="006C671C">
      <w:pPr>
        <w:autoSpaceDE w:val="0"/>
        <w:autoSpaceDN w:val="0"/>
        <w:adjustRightInd w:val="0"/>
      </w:pPr>
      <w:r w:rsidRPr="00066F65">
        <w:rPr>
          <w:iCs/>
          <w:u w:val="single"/>
        </w:rPr>
        <w:t>In LB and HB a</w:t>
      </w:r>
      <w:r w:rsidRPr="009448FC">
        <w:t xml:space="preserve"> STA that used information from an RTS frame as the most recent basis to update its NAV setting is permitted to reset its NAV</w:t>
      </w:r>
      <w:r w:rsidR="00F95867" w:rsidRPr="009448FC">
        <w:t>.</w:t>
      </w:r>
    </w:p>
    <w:p w:rsidR="006C671C" w:rsidRPr="00066F65" w:rsidRDefault="006C671C" w:rsidP="006C671C">
      <w:pPr>
        <w:rPr>
          <w:rFonts w:eastAsia="MS Mincho"/>
          <w:color w:val="FF0000"/>
          <w:u w:val="single"/>
          <w:lang w:eastAsia="ko-KR"/>
        </w:rPr>
      </w:pPr>
    </w:p>
    <w:p w:rsidR="006C671C" w:rsidRPr="00066F65" w:rsidRDefault="006C671C" w:rsidP="00EE610C">
      <w:pPr>
        <w:rPr>
          <w:rFonts w:eastAsia="MS Mincho"/>
          <w:sz w:val="20"/>
          <w:u w:val="single"/>
          <w:lang w:eastAsia="ko-KR"/>
        </w:rPr>
      </w:pPr>
      <w:r w:rsidRPr="00066F65">
        <w:rPr>
          <w:rFonts w:eastAsia="MS Mincho"/>
          <w:sz w:val="20"/>
          <w:u w:val="single"/>
          <w:lang w:eastAsia="ko-KR"/>
        </w:rPr>
        <w:t>NOTE</w:t>
      </w:r>
      <w:r w:rsidR="00F95867" w:rsidRPr="00066F65">
        <w:rPr>
          <w:rFonts w:eastAsia="MS Mincho"/>
          <w:sz w:val="20"/>
          <w:u w:val="single"/>
          <w:lang w:eastAsia="ko-KR"/>
        </w:rPr>
        <w:t xml:space="preserve"> – </w:t>
      </w:r>
      <w:r w:rsidRPr="00066F65">
        <w:rPr>
          <w:rFonts w:eastAsia="MS Mincho"/>
          <w:sz w:val="20"/>
          <w:u w:val="single"/>
          <w:lang w:eastAsia="ko-KR"/>
        </w:rPr>
        <w:t>A</w:t>
      </w:r>
      <w:r w:rsidR="002F0A96" w:rsidRPr="00066F65">
        <w:rPr>
          <w:rFonts w:eastAsia="MS Mincho"/>
          <w:sz w:val="20"/>
          <w:u w:val="single"/>
          <w:lang w:eastAsia="ko-KR"/>
        </w:rPr>
        <w:t>n</w:t>
      </w:r>
      <w:r w:rsidRPr="00066F65">
        <w:rPr>
          <w:rFonts w:eastAsia="MS Mincho"/>
          <w:sz w:val="20"/>
          <w:u w:val="single"/>
          <w:lang w:eastAsia="ko-KR"/>
        </w:rPr>
        <w:t xml:space="preserve"> </w:t>
      </w:r>
      <w:r w:rsidR="00B96FB9" w:rsidRPr="00066F65">
        <w:rPr>
          <w:rFonts w:eastAsia="MS Mincho"/>
          <w:sz w:val="20"/>
          <w:u w:val="single"/>
          <w:lang w:eastAsia="ko-KR"/>
        </w:rPr>
        <w:t>mSTA</w:t>
      </w:r>
      <w:r w:rsidRPr="00066F65">
        <w:rPr>
          <w:rFonts w:eastAsia="MS Mincho"/>
          <w:sz w:val="20"/>
          <w:u w:val="single"/>
          <w:lang w:eastAsia="ko-KR"/>
        </w:rPr>
        <w:t xml:space="preserve"> operating in the UB is not permitted to use this reset procedure</w:t>
      </w:r>
      <w:r w:rsidR="00EC3946" w:rsidRPr="00066F65">
        <w:rPr>
          <w:rFonts w:eastAsia="MS Mincho"/>
          <w:sz w:val="20"/>
          <w:u w:val="single"/>
          <w:lang w:eastAsia="ko-KR"/>
        </w:rPr>
        <w:t xml:space="preserve"> because there </w:t>
      </w:r>
      <w:r w:rsidR="00EE610C" w:rsidRPr="00066F65">
        <w:rPr>
          <w:rFonts w:eastAsia="MS Mincho"/>
          <w:sz w:val="20"/>
          <w:u w:val="single"/>
          <w:lang w:eastAsia="ko-KR"/>
        </w:rPr>
        <w:t xml:space="preserve">might </w:t>
      </w:r>
      <w:r w:rsidRPr="00066F65">
        <w:rPr>
          <w:rFonts w:eastAsia="MS Mincho"/>
          <w:sz w:val="20"/>
          <w:u w:val="single"/>
          <w:lang w:eastAsia="ko-KR"/>
        </w:rPr>
        <w:t xml:space="preserve">be significant receive sensitivity difference between the RTS and the subsequent data </w:t>
      </w:r>
      <w:r w:rsidR="00EE610C" w:rsidRPr="00066F65">
        <w:rPr>
          <w:rFonts w:eastAsia="MS Mincho"/>
          <w:sz w:val="20"/>
          <w:u w:val="single"/>
          <w:lang w:eastAsia="ko-KR"/>
        </w:rPr>
        <w:t>due to</w:t>
      </w:r>
      <w:r w:rsidRPr="00066F65">
        <w:rPr>
          <w:rFonts w:eastAsia="MS Mincho"/>
          <w:sz w:val="20"/>
          <w:u w:val="single"/>
          <w:lang w:eastAsia="ko-KR"/>
        </w:rPr>
        <w:t xml:space="preserve"> the use of</w:t>
      </w:r>
      <w:r w:rsidR="00F95867" w:rsidRPr="00066F65">
        <w:rPr>
          <w:rFonts w:eastAsia="MS Mincho"/>
          <w:sz w:val="20"/>
          <w:u w:val="single"/>
          <w:lang w:eastAsia="ko-KR"/>
        </w:rPr>
        <w:t xml:space="preserve"> </w:t>
      </w:r>
      <w:r w:rsidRPr="00066F65">
        <w:rPr>
          <w:rFonts w:eastAsia="MS Mincho"/>
          <w:sz w:val="20"/>
          <w:u w:val="single"/>
          <w:lang w:eastAsia="ko-KR"/>
        </w:rPr>
        <w:t>receive beamforming.</w:t>
      </w:r>
      <w:r w:rsidR="00EE610C" w:rsidRPr="00066F65">
        <w:rPr>
          <w:rFonts w:eastAsia="MS Mincho"/>
          <w:sz w:val="20"/>
          <w:u w:val="single"/>
          <w:lang w:eastAsia="ko-KR"/>
        </w:rPr>
        <w:t xml:space="preserve"> </w:t>
      </w:r>
    </w:p>
    <w:p w:rsidR="005B4FC2" w:rsidRPr="00066F65" w:rsidRDefault="005B4FC2" w:rsidP="00934364">
      <w:pPr>
        <w:rPr>
          <w:rFonts w:eastAsia="MS Mincho"/>
          <w:u w:val="single"/>
          <w:lang w:eastAsia="ko-KR"/>
        </w:rPr>
      </w:pPr>
    </w:p>
    <w:p w:rsidR="00D57F59" w:rsidRPr="009448FC" w:rsidRDefault="00D57F59" w:rsidP="00D57F59">
      <w:pPr>
        <w:autoSpaceDE w:val="0"/>
        <w:autoSpaceDN w:val="0"/>
        <w:adjustRightInd w:val="0"/>
        <w:rPr>
          <w:i/>
        </w:rPr>
      </w:pPr>
      <w:r w:rsidRPr="009448FC">
        <w:rPr>
          <w:i/>
        </w:rPr>
        <w:t>.11 Editor’s instructions: add after last paragraph</w:t>
      </w:r>
    </w:p>
    <w:p w:rsidR="0070354D" w:rsidRPr="00066F65" w:rsidRDefault="00D57F59" w:rsidP="00293306">
      <w:pPr>
        <w:autoSpaceDE w:val="0"/>
        <w:autoSpaceDN w:val="0"/>
        <w:adjustRightInd w:val="0"/>
        <w:rPr>
          <w:rFonts w:eastAsia="MS Mincho"/>
          <w:u w:val="single"/>
        </w:rPr>
      </w:pPr>
      <w:r w:rsidRPr="00066F65">
        <w:rPr>
          <w:rFonts w:eastAsia="MS Mincho"/>
          <w:u w:val="single"/>
        </w:rPr>
        <w:t>STAs operating in the UB update their NAV timers according to the procedures described in</w:t>
      </w:r>
      <w:r w:rsidR="00281486" w:rsidRPr="00066F65">
        <w:rPr>
          <w:rFonts w:eastAsia="MS Mincho"/>
          <w:u w:val="single"/>
        </w:rPr>
        <w:t xml:space="preserve"> </w:t>
      </w:r>
      <w:r w:rsidR="00BD151C">
        <w:rPr>
          <w:rFonts w:eastAsia="MS Mincho"/>
          <w:u w:val="single"/>
        </w:rPr>
        <w:fldChar w:fldCharType="begin"/>
      </w:r>
      <w:r w:rsidR="00293306">
        <w:rPr>
          <w:rFonts w:eastAsia="MS Mincho"/>
          <w:u w:val="single"/>
        </w:rPr>
        <w:instrText xml:space="preserve"> REF _Ref243982491 \r \h </w:instrText>
      </w:r>
      <w:r w:rsidR="00BD151C">
        <w:rPr>
          <w:rFonts w:eastAsia="MS Mincho"/>
          <w:u w:val="single"/>
        </w:rPr>
      </w:r>
      <w:r w:rsidR="00BD151C">
        <w:rPr>
          <w:rFonts w:eastAsia="MS Mincho"/>
          <w:u w:val="single"/>
        </w:rPr>
        <w:fldChar w:fldCharType="separate"/>
      </w:r>
      <w:r w:rsidR="003E4210">
        <w:rPr>
          <w:rFonts w:eastAsia="MS Mincho"/>
          <w:u w:val="single"/>
        </w:rPr>
        <w:t>9.23.10</w:t>
      </w:r>
      <w:r w:rsidR="00BD151C">
        <w:rPr>
          <w:rFonts w:eastAsia="MS Mincho"/>
          <w:u w:val="single"/>
        </w:rPr>
        <w:fldChar w:fldCharType="end"/>
      </w:r>
      <w:r w:rsidR="00E163B9">
        <w:rPr>
          <w:rFonts w:eastAsia="MS Mincho"/>
          <w:u w:val="single"/>
        </w:rPr>
        <w:t>.</w:t>
      </w:r>
    </w:p>
    <w:p w:rsidR="005B4FC2" w:rsidRPr="009448FC" w:rsidRDefault="00DB7B7B" w:rsidP="003701DB">
      <w:pPr>
        <w:pStyle w:val="Heading4"/>
        <w:numPr>
          <w:ilvl w:val="3"/>
          <w:numId w:val="115"/>
        </w:numPr>
      </w:pPr>
      <w:bookmarkStart w:id="1105" w:name="_Toc259717080"/>
      <w:r>
        <w:lastRenderedPageBreak/>
        <w:t>CTS p</w:t>
      </w:r>
      <w:r w:rsidR="005B4FC2" w:rsidRPr="009448FC">
        <w:t>rocedure</w:t>
      </w:r>
      <w:bookmarkEnd w:id="1105"/>
      <w:r w:rsidR="005B4FC2" w:rsidRPr="009448FC">
        <w:t xml:space="preserve"> </w:t>
      </w:r>
    </w:p>
    <w:p w:rsidR="005B4FC2" w:rsidRPr="009448FC" w:rsidRDefault="005B4FC2" w:rsidP="005B4FC2">
      <w:pPr>
        <w:autoSpaceDE w:val="0"/>
        <w:autoSpaceDN w:val="0"/>
        <w:adjustRightInd w:val="0"/>
        <w:rPr>
          <w:i/>
        </w:rPr>
      </w:pPr>
      <w:r w:rsidRPr="009448FC">
        <w:rPr>
          <w:i/>
        </w:rPr>
        <w:t xml:space="preserve">.11 Editor’s instructions: add </w:t>
      </w:r>
      <w:r w:rsidR="009D5C20" w:rsidRPr="009448FC">
        <w:rPr>
          <w:i/>
        </w:rPr>
        <w:t xml:space="preserve">the following </w:t>
      </w:r>
      <w:r w:rsidRPr="009448FC">
        <w:rPr>
          <w:i/>
        </w:rPr>
        <w:t xml:space="preserve">new paragraph at </w:t>
      </w:r>
      <w:r w:rsidR="009D5C20" w:rsidRPr="009448FC">
        <w:rPr>
          <w:i/>
        </w:rPr>
        <w:t>the e</w:t>
      </w:r>
      <w:r w:rsidRPr="009448FC">
        <w:rPr>
          <w:i/>
        </w:rPr>
        <w:t>nd of the subclause:</w:t>
      </w:r>
    </w:p>
    <w:p w:rsidR="005B4FC2" w:rsidRPr="009448FC" w:rsidRDefault="005B4FC2" w:rsidP="005B4FC2">
      <w:pPr>
        <w:autoSpaceDE w:val="0"/>
        <w:autoSpaceDN w:val="0"/>
        <w:adjustRightInd w:val="0"/>
        <w:rPr>
          <w:i/>
          <w:sz w:val="28"/>
        </w:rPr>
      </w:pPr>
    </w:p>
    <w:p w:rsidR="00412B58" w:rsidRPr="009448FC" w:rsidRDefault="009B6108" w:rsidP="005B4FC2">
      <w:pPr>
        <w:autoSpaceDE w:val="0"/>
        <w:autoSpaceDN w:val="0"/>
        <w:adjustRightInd w:val="0"/>
        <w:rPr>
          <w:b/>
          <w:sz w:val="28"/>
        </w:rPr>
      </w:pPr>
      <w:r w:rsidRPr="00066F65">
        <w:rPr>
          <w:iCs/>
          <w:u w:val="single"/>
        </w:rPr>
        <w:t>An mSTA does not transmit CTS frames and uses a mmWaveCTS frame instead of a CTS frame</w:t>
      </w:r>
      <w:r w:rsidR="00737B53">
        <w:rPr>
          <w:iCs/>
          <w:u w:val="single"/>
        </w:rPr>
        <w:t xml:space="preserve"> in all instances where a CTS is sent (</w:t>
      </w:r>
      <w:r w:rsidR="00BD151C">
        <w:rPr>
          <w:iCs/>
          <w:u w:val="single"/>
        </w:rPr>
        <w:fldChar w:fldCharType="begin"/>
      </w:r>
      <w:r w:rsidR="00737B53">
        <w:rPr>
          <w:iCs/>
          <w:u w:val="single"/>
        </w:rPr>
        <w:instrText xml:space="preserve"> REF _Ref253733467 \r \h </w:instrText>
      </w:r>
      <w:r w:rsidR="00BD151C">
        <w:rPr>
          <w:iCs/>
          <w:u w:val="single"/>
        </w:rPr>
      </w:r>
      <w:r w:rsidR="00BD151C">
        <w:rPr>
          <w:iCs/>
          <w:u w:val="single"/>
        </w:rPr>
        <w:fldChar w:fldCharType="separate"/>
      </w:r>
      <w:r w:rsidR="003E4210">
        <w:rPr>
          <w:iCs/>
          <w:u w:val="single"/>
        </w:rPr>
        <w:t>11.3.3</w:t>
      </w:r>
      <w:r w:rsidR="00BD151C">
        <w:rPr>
          <w:iCs/>
          <w:u w:val="single"/>
        </w:rPr>
        <w:fldChar w:fldCharType="end"/>
      </w:r>
      <w:r w:rsidR="00737B53">
        <w:rPr>
          <w:iCs/>
          <w:u w:val="single"/>
        </w:rPr>
        <w:t>)</w:t>
      </w:r>
      <w:r w:rsidRPr="00066F65">
        <w:rPr>
          <w:iCs/>
          <w:u w:val="single"/>
        </w:rPr>
        <w:t>. A STA operating in the LB or the HB does not transmit mmWaveCTS frames</w:t>
      </w:r>
      <w:r w:rsidR="00737B53">
        <w:rPr>
          <w:iCs/>
          <w:u w:val="single"/>
        </w:rPr>
        <w:t xml:space="preserve"> (</w:t>
      </w:r>
      <w:r w:rsidR="00BD151C">
        <w:rPr>
          <w:iCs/>
          <w:u w:val="single"/>
        </w:rPr>
        <w:fldChar w:fldCharType="begin"/>
      </w:r>
      <w:r w:rsidR="00737B53">
        <w:rPr>
          <w:iCs/>
          <w:u w:val="single"/>
        </w:rPr>
        <w:instrText xml:space="preserve"> REF _Ref253733467 \r \h </w:instrText>
      </w:r>
      <w:r w:rsidR="00BD151C">
        <w:rPr>
          <w:iCs/>
          <w:u w:val="single"/>
        </w:rPr>
      </w:r>
      <w:r w:rsidR="00BD151C">
        <w:rPr>
          <w:iCs/>
          <w:u w:val="single"/>
        </w:rPr>
        <w:fldChar w:fldCharType="separate"/>
      </w:r>
      <w:r w:rsidR="003E4210">
        <w:rPr>
          <w:iCs/>
          <w:u w:val="single"/>
        </w:rPr>
        <w:t>11.3.3</w:t>
      </w:r>
      <w:r w:rsidR="00BD151C">
        <w:rPr>
          <w:iCs/>
          <w:u w:val="single"/>
        </w:rPr>
        <w:fldChar w:fldCharType="end"/>
      </w:r>
      <w:r w:rsidR="00737B53">
        <w:rPr>
          <w:iCs/>
          <w:u w:val="single"/>
        </w:rPr>
        <w:t>)</w:t>
      </w:r>
      <w:r w:rsidR="00B46FB3" w:rsidRPr="00066F65">
        <w:rPr>
          <w:iCs/>
          <w:u w:val="single"/>
        </w:rPr>
        <w:t>.</w:t>
      </w:r>
    </w:p>
    <w:p w:rsidR="00B52FCD" w:rsidRPr="00737B53" w:rsidRDefault="00B52FCD" w:rsidP="00412B58"/>
    <w:p w:rsidR="00B52FCD" w:rsidRPr="009448FC" w:rsidRDefault="00B52FCD" w:rsidP="003701DB">
      <w:pPr>
        <w:pStyle w:val="Heading3"/>
        <w:numPr>
          <w:ilvl w:val="2"/>
          <w:numId w:val="114"/>
        </w:numPr>
      </w:pPr>
      <w:bookmarkStart w:id="1106" w:name="_Toc259717081"/>
      <w:r w:rsidRPr="009448FC">
        <w:t>Broadcast and multicast MPDU transfer procedure</w:t>
      </w:r>
      <w:bookmarkEnd w:id="1106"/>
    </w:p>
    <w:p w:rsidR="00B52FCD" w:rsidRPr="009448FC" w:rsidRDefault="00B52FCD" w:rsidP="00412B58"/>
    <w:p w:rsidR="00B52FCD" w:rsidRPr="009448FC" w:rsidRDefault="00B52FCD" w:rsidP="00B52FCD">
      <w:pPr>
        <w:rPr>
          <w:i/>
        </w:rPr>
      </w:pPr>
      <w:r w:rsidRPr="009448FC">
        <w:rPr>
          <w:i/>
        </w:rPr>
        <w:t xml:space="preserve">.11 Editor Note: </w:t>
      </w:r>
      <w:r w:rsidR="006E1C2B" w:rsidRPr="009448FC">
        <w:rPr>
          <w:i/>
        </w:rPr>
        <w:t xml:space="preserve">make the indicated changes </w:t>
      </w:r>
      <w:r w:rsidRPr="009448FC">
        <w:rPr>
          <w:i/>
        </w:rPr>
        <w:t>in this subclause:</w:t>
      </w:r>
    </w:p>
    <w:p w:rsidR="00B52FCD" w:rsidRPr="009448FC" w:rsidRDefault="00B52FCD" w:rsidP="00B52FCD">
      <w:pPr>
        <w:rPr>
          <w:b/>
          <w:i/>
        </w:rPr>
      </w:pPr>
    </w:p>
    <w:p w:rsidR="00B52FCD" w:rsidRPr="009448FC" w:rsidRDefault="00B52FCD" w:rsidP="00B52FCD">
      <w:pPr>
        <w:autoSpaceDE w:val="0"/>
        <w:autoSpaceDN w:val="0"/>
        <w:adjustRightInd w:val="0"/>
      </w:pPr>
      <w:r w:rsidRPr="009448FC">
        <w:t>In the absence of a PCF, when broadcast or multicast MPDUs are transferred from a STA with the To DS field clear, only the basic access procedure shall be used. Regardless of the length of the frame, no RTS/CTS</w:t>
      </w:r>
      <w:r w:rsidR="00281486" w:rsidRPr="009448FC">
        <w:t xml:space="preserve"> </w:t>
      </w:r>
      <w:r w:rsidR="00737B53" w:rsidRPr="00737B53">
        <w:rPr>
          <w:u w:val="single"/>
        </w:rPr>
        <w:t>or RTS/mmWaveCTS</w:t>
      </w:r>
      <w:r w:rsidR="00737B53">
        <w:t xml:space="preserve"> </w:t>
      </w:r>
      <w:r w:rsidRPr="009448FC">
        <w:t>exchange shall be used. In addition, no ACK shall be transmitted by any of the recipients of the frame. Any broadcast or multicast MPDUs transferred from a STA with a To DS field set shall, in addition to conforming to the basic access procedure of CSMA/C</w:t>
      </w:r>
      <w:r w:rsidR="000B6DB4">
        <w:t>A, obey the rules for RTS/</w:t>
      </w:r>
      <w:r w:rsidRPr="009448FC">
        <w:t>CTS</w:t>
      </w:r>
      <w:r w:rsidR="00281486" w:rsidRPr="009448FC">
        <w:t xml:space="preserve"> </w:t>
      </w:r>
      <w:r w:rsidRPr="009448FC">
        <w:t>exchange and the ACK procedure because the MPDU is directed to the AP</w:t>
      </w:r>
      <w:r w:rsidRPr="00F268EE">
        <w:rPr>
          <w:u w:val="single"/>
        </w:rPr>
        <w:t>. In addition</w:t>
      </w:r>
      <w:r w:rsidR="00AC2A3D">
        <w:rPr>
          <w:u w:val="single"/>
        </w:rPr>
        <w:t>,</w:t>
      </w:r>
      <w:r w:rsidRPr="00F268EE">
        <w:rPr>
          <w:u w:val="single"/>
        </w:rPr>
        <w:t xml:space="preserve"> in the </w:t>
      </w:r>
      <w:r w:rsidRPr="00F268EE">
        <w:rPr>
          <w:iCs/>
          <w:u w:val="single"/>
        </w:rPr>
        <w:t>UB</w:t>
      </w:r>
      <w:r w:rsidR="00281486" w:rsidRPr="00F268EE">
        <w:rPr>
          <w:iCs/>
          <w:u w:val="single"/>
        </w:rPr>
        <w:t xml:space="preserve"> </w:t>
      </w:r>
      <w:r w:rsidRPr="00F268EE">
        <w:rPr>
          <w:u w:val="single"/>
        </w:rPr>
        <w:t xml:space="preserve">the MPDU transmission shall </w:t>
      </w:r>
      <w:r w:rsidRPr="00F268EE">
        <w:rPr>
          <w:iCs/>
          <w:u w:val="single"/>
        </w:rPr>
        <w:t xml:space="preserve">conform to the access procedures defined in </w:t>
      </w:r>
      <w:r w:rsidR="00BD151C" w:rsidRPr="00F268EE">
        <w:rPr>
          <w:iCs/>
          <w:u w:val="single"/>
        </w:rPr>
        <w:fldChar w:fldCharType="begin"/>
      </w:r>
      <w:r w:rsidRPr="00F268EE">
        <w:rPr>
          <w:iCs/>
          <w:u w:val="single"/>
        </w:rPr>
        <w:instrText xml:space="preserve"> REF _Ref236673519 \n \h </w:instrText>
      </w:r>
      <w:r w:rsidR="00BD151C" w:rsidRPr="00F268EE">
        <w:rPr>
          <w:iCs/>
          <w:u w:val="single"/>
        </w:rPr>
      </w:r>
      <w:r w:rsidR="00BD151C" w:rsidRPr="00F268EE">
        <w:rPr>
          <w:iCs/>
          <w:u w:val="single"/>
        </w:rPr>
        <w:fldChar w:fldCharType="separate"/>
      </w:r>
      <w:r w:rsidR="003E4210">
        <w:rPr>
          <w:iCs/>
          <w:u w:val="single"/>
        </w:rPr>
        <w:t>9.23</w:t>
      </w:r>
      <w:r w:rsidR="00BD151C" w:rsidRPr="00F268EE">
        <w:rPr>
          <w:iCs/>
          <w:u w:val="single"/>
        </w:rPr>
        <w:fldChar w:fldCharType="end"/>
      </w:r>
      <w:r w:rsidRPr="00F268EE">
        <w:rPr>
          <w:iCs/>
          <w:u w:val="single"/>
        </w:rPr>
        <w:t>.</w:t>
      </w:r>
      <w:r w:rsidRPr="00066F65">
        <w:rPr>
          <w:iCs/>
          <w:u w:val="single"/>
        </w:rPr>
        <w:t xml:space="preserve"> </w:t>
      </w:r>
      <w:r w:rsidRPr="009448FC">
        <w:t xml:space="preserve">The broadcast/multicast message shall be distributed into the BSS. </w:t>
      </w:r>
    </w:p>
    <w:p w:rsidR="00F95867" w:rsidRPr="009448FC" w:rsidRDefault="00BE1F31" w:rsidP="00B52FCD">
      <w:pPr>
        <w:autoSpaceDE w:val="0"/>
        <w:autoSpaceDN w:val="0"/>
        <w:adjustRightInd w:val="0"/>
      </w:pPr>
      <w:r>
        <w:t xml:space="preserve"> </w:t>
      </w:r>
    </w:p>
    <w:p w:rsidR="00B52FCD" w:rsidRPr="009448FC" w:rsidRDefault="00B52FCD" w:rsidP="00B52FCD">
      <w:pPr>
        <w:autoSpaceDE w:val="0"/>
        <w:autoSpaceDN w:val="0"/>
        <w:adjustRightInd w:val="0"/>
      </w:pPr>
      <w:r w:rsidRPr="009448FC">
        <w:t>The STA originating the message shall receive the message as a broadcast/multicast message. Therefore, all STAs shall filter out broadcast/multicast messages that contain their address as the source address. Broadcast and multicast MSDUs shall be propagated throughout the ESS.</w:t>
      </w:r>
    </w:p>
    <w:p w:rsidR="00B52FCD" w:rsidRPr="009448FC" w:rsidRDefault="00B52FCD" w:rsidP="00B52FCD">
      <w:pPr>
        <w:autoSpaceDE w:val="0"/>
        <w:autoSpaceDN w:val="0"/>
        <w:adjustRightInd w:val="0"/>
      </w:pPr>
    </w:p>
    <w:p w:rsidR="00B52FCD" w:rsidRPr="009448FC" w:rsidRDefault="00B52FCD" w:rsidP="00B52FCD">
      <w:pPr>
        <w:autoSpaceDE w:val="0"/>
        <w:autoSpaceDN w:val="0"/>
        <w:adjustRightInd w:val="0"/>
      </w:pPr>
      <w:r w:rsidRPr="009448FC">
        <w:t>There is no MAC-level recovery on broadcast or multicast frames, except for those frames sent with the To DS field set. As a result, the reliability of this traffic is reduced, relative to the reliability of individually addressed traffic, due to the increased probability of lost frames from interference, collisions, or time-varying channel properties.</w:t>
      </w:r>
    </w:p>
    <w:p w:rsidR="00B52FCD" w:rsidRPr="009448FC" w:rsidRDefault="00B52FCD" w:rsidP="00B52FCD"/>
    <w:p w:rsidR="00B52FCD" w:rsidRPr="00066F65" w:rsidRDefault="00B52FCD" w:rsidP="00B52FCD">
      <w:pPr>
        <w:rPr>
          <w:u w:val="single"/>
        </w:rPr>
      </w:pPr>
      <w:r w:rsidRPr="00066F65">
        <w:rPr>
          <w:u w:val="single"/>
        </w:rPr>
        <w:t xml:space="preserve">If multiple copies of </w:t>
      </w:r>
      <w:r w:rsidRPr="00066F65">
        <w:rPr>
          <w:iCs/>
          <w:u w:val="single"/>
        </w:rPr>
        <w:t xml:space="preserve">broadcast or multicast MPDUs with a To DS field clear are transferred </w:t>
      </w:r>
      <w:r w:rsidRPr="00066F65">
        <w:rPr>
          <w:u w:val="single"/>
        </w:rPr>
        <w:t xml:space="preserve">in the </w:t>
      </w:r>
      <w:r w:rsidRPr="00066F65">
        <w:rPr>
          <w:iCs/>
          <w:u w:val="single"/>
        </w:rPr>
        <w:t xml:space="preserve">UB, </w:t>
      </w:r>
      <w:r w:rsidRPr="00066F65">
        <w:rPr>
          <w:u w:val="single"/>
        </w:rPr>
        <w:t xml:space="preserve">the STA shall not transmit </w:t>
      </w:r>
      <w:r w:rsidR="00144D71" w:rsidRPr="00066F65">
        <w:rPr>
          <w:u w:val="single"/>
        </w:rPr>
        <w:t xml:space="preserve">a different </w:t>
      </w:r>
      <w:r w:rsidRPr="00066F65">
        <w:rPr>
          <w:u w:val="single"/>
        </w:rPr>
        <w:t xml:space="preserve">frame with </w:t>
      </w:r>
      <w:r w:rsidR="00144D71" w:rsidRPr="00066F65">
        <w:rPr>
          <w:u w:val="single"/>
        </w:rPr>
        <w:t xml:space="preserve">a </w:t>
      </w:r>
      <w:r w:rsidRPr="00066F65">
        <w:rPr>
          <w:u w:val="single"/>
        </w:rPr>
        <w:t xml:space="preserve">consecutive SN before </w:t>
      </w:r>
      <w:r w:rsidR="00144D71" w:rsidRPr="00066F65">
        <w:rPr>
          <w:u w:val="single"/>
        </w:rPr>
        <w:t xml:space="preserve">the </w:t>
      </w:r>
      <w:r w:rsidRPr="00066F65">
        <w:rPr>
          <w:u w:val="single"/>
        </w:rPr>
        <w:t xml:space="preserve">completion </w:t>
      </w:r>
      <w:r w:rsidR="00144D71" w:rsidRPr="00066F65">
        <w:rPr>
          <w:u w:val="single"/>
        </w:rPr>
        <w:t xml:space="preserve">of the </w:t>
      </w:r>
      <w:r w:rsidRPr="00066F65">
        <w:rPr>
          <w:u w:val="single"/>
        </w:rPr>
        <w:t xml:space="preserve">transmission of all </w:t>
      </w:r>
      <w:r w:rsidR="00AC2A3D" w:rsidRPr="00AC2A3D">
        <w:rPr>
          <w:u w:val="single"/>
        </w:rPr>
        <w:t>copies of the broadcast or multicast MPDU</w:t>
      </w:r>
      <w:r w:rsidRPr="00066F65">
        <w:rPr>
          <w:u w:val="single"/>
        </w:rPr>
        <w:t xml:space="preserve">. </w:t>
      </w:r>
    </w:p>
    <w:p w:rsidR="00B52FCD" w:rsidRPr="009448FC" w:rsidRDefault="00B52FCD" w:rsidP="00412B58"/>
    <w:p w:rsidR="00412B58" w:rsidRPr="009448FC" w:rsidRDefault="00412B58" w:rsidP="003701DB">
      <w:pPr>
        <w:pStyle w:val="Heading3"/>
        <w:numPr>
          <w:ilvl w:val="2"/>
          <w:numId w:val="113"/>
        </w:numPr>
      </w:pPr>
      <w:bookmarkStart w:id="1107" w:name="_Toc259717082"/>
      <w:r w:rsidRPr="009448FC">
        <w:t xml:space="preserve">NAV </w:t>
      </w:r>
      <w:r w:rsidR="00DB7B7B">
        <w:t>d</w:t>
      </w:r>
      <w:r w:rsidRPr="009448FC">
        <w:t>istribution</w:t>
      </w:r>
      <w:bookmarkEnd w:id="1107"/>
    </w:p>
    <w:p w:rsidR="00412B58" w:rsidRPr="009448FC" w:rsidRDefault="00412B58" w:rsidP="00412B58">
      <w:pPr>
        <w:autoSpaceDE w:val="0"/>
        <w:autoSpaceDN w:val="0"/>
        <w:adjustRightInd w:val="0"/>
        <w:rPr>
          <w:rFonts w:ascii="Arial" w:eastAsia="MS Mincho" w:hAnsi="Arial"/>
          <w:b/>
          <w:sz w:val="18"/>
        </w:rPr>
      </w:pPr>
      <w:r w:rsidRPr="009448FC">
        <w:rPr>
          <w:i/>
        </w:rPr>
        <w:t>.11 Editor’s instructions: modify text as follows:</w:t>
      </w:r>
      <w:r w:rsidRPr="009448FC">
        <w:rPr>
          <w:rFonts w:ascii="Arial" w:eastAsia="MS Mincho" w:hAnsi="Arial"/>
          <w:b/>
          <w:sz w:val="18"/>
        </w:rPr>
        <w:t xml:space="preserve"> </w:t>
      </w:r>
    </w:p>
    <w:p w:rsidR="00412B58" w:rsidRPr="009448FC" w:rsidRDefault="00412B58" w:rsidP="00412B58">
      <w:pPr>
        <w:autoSpaceDE w:val="0"/>
        <w:autoSpaceDN w:val="0"/>
        <w:adjustRightInd w:val="0"/>
        <w:rPr>
          <w:rFonts w:ascii="Arial" w:eastAsia="MS Mincho" w:hAnsi="Arial"/>
          <w:b/>
          <w:sz w:val="20"/>
        </w:rPr>
      </w:pPr>
    </w:p>
    <w:p w:rsidR="00412B58" w:rsidRPr="009448FC" w:rsidRDefault="00412B58" w:rsidP="00412B58">
      <w:pPr>
        <w:autoSpaceDE w:val="0"/>
        <w:autoSpaceDN w:val="0"/>
        <w:adjustRightInd w:val="0"/>
        <w:rPr>
          <w:rFonts w:eastAsia="MS Mincho"/>
        </w:rPr>
      </w:pPr>
      <w:r w:rsidRPr="009448FC">
        <w:rPr>
          <w:rFonts w:eastAsia="MS Mincho"/>
        </w:rPr>
        <w:t xml:space="preserve">“… the node may </w:t>
      </w:r>
      <w:r w:rsidRPr="00AC2A3D">
        <w:rPr>
          <w:rFonts w:eastAsia="MS Mincho"/>
          <w:strike/>
        </w:rPr>
        <w:t>first</w:t>
      </w:r>
      <w:r w:rsidRPr="009448FC">
        <w:rPr>
          <w:rFonts w:eastAsia="MS Mincho"/>
        </w:rPr>
        <w:t xml:space="preserve"> transmit a CTS frame with the RA field equal to its own MAC address (CTS-to-self) </w:t>
      </w:r>
      <w:r w:rsidR="00AC2A3D" w:rsidRPr="00AC2A3D">
        <w:rPr>
          <w:rFonts w:eastAsia="MS Mincho"/>
          <w:u w:val="single"/>
        </w:rPr>
        <w:t xml:space="preserve">if operating in the HB or LB, </w:t>
      </w:r>
      <w:r w:rsidRPr="00066F65">
        <w:rPr>
          <w:rFonts w:eastAsia="MS Mincho"/>
          <w:u w:val="single"/>
        </w:rPr>
        <w:t xml:space="preserve">or </w:t>
      </w:r>
      <w:r w:rsidR="00AC2A3D">
        <w:rPr>
          <w:rFonts w:eastAsia="MS Mincho"/>
          <w:u w:val="single"/>
        </w:rPr>
        <w:t>a</w:t>
      </w:r>
      <w:r w:rsidRPr="00066F65">
        <w:rPr>
          <w:rFonts w:eastAsia="MS Mincho"/>
          <w:u w:val="single"/>
        </w:rPr>
        <w:t xml:space="preserve"> mmWaveCTS </w:t>
      </w:r>
      <w:r w:rsidR="00AC2A3D" w:rsidRPr="00AC2A3D">
        <w:rPr>
          <w:rFonts w:eastAsia="MS Mincho"/>
          <w:u w:val="single"/>
        </w:rPr>
        <w:t>with the RA field equal to the TA field and equal to its own MAC address (mmWaveCTS-to-self) if operating in the UB</w:t>
      </w:r>
      <w:r w:rsidRPr="00066F65">
        <w:rPr>
          <w:rFonts w:eastAsia="MS Mincho"/>
          <w:u w:val="single"/>
        </w:rPr>
        <w:t>.</w:t>
      </w:r>
      <w:r w:rsidRPr="009448FC">
        <w:rPr>
          <w:rFonts w:eastAsia="MS Mincho"/>
        </w:rPr>
        <w:t xml:space="preserve"> A duration value </w:t>
      </w:r>
      <w:r w:rsidRPr="00066F65">
        <w:rPr>
          <w:rFonts w:eastAsia="MS Mincho"/>
          <w:u w:val="single"/>
        </w:rPr>
        <w:t>in the frame</w:t>
      </w:r>
      <w:r w:rsidRPr="009448FC">
        <w:rPr>
          <w:rFonts w:eastAsia="MS Mincho"/>
        </w:rPr>
        <w:t xml:space="preserve"> protects the pending transmission, plus possibly an ACK frame.”</w:t>
      </w:r>
    </w:p>
    <w:p w:rsidR="00D12205" w:rsidRPr="009448FC" w:rsidRDefault="00D12205" w:rsidP="003701DB">
      <w:pPr>
        <w:pStyle w:val="Heading2"/>
        <w:numPr>
          <w:ilvl w:val="1"/>
          <w:numId w:val="207"/>
        </w:numPr>
        <w:rPr>
          <w:u w:val="none"/>
        </w:rPr>
      </w:pPr>
      <w:bookmarkStart w:id="1108" w:name="_Toc259717083"/>
      <w:r w:rsidRPr="009448FC">
        <w:rPr>
          <w:u w:val="none"/>
        </w:rPr>
        <w:t>Fragmentation</w:t>
      </w:r>
      <w:bookmarkEnd w:id="1108"/>
    </w:p>
    <w:p w:rsidR="00D12205" w:rsidRPr="009448FC" w:rsidRDefault="00D12205" w:rsidP="00412B58">
      <w:pPr>
        <w:autoSpaceDE w:val="0"/>
        <w:autoSpaceDN w:val="0"/>
        <w:adjustRightInd w:val="0"/>
        <w:rPr>
          <w:rFonts w:eastAsia="MS Mincho"/>
        </w:rPr>
      </w:pPr>
    </w:p>
    <w:p w:rsidR="00D12205" w:rsidRPr="009448FC" w:rsidRDefault="00D12205" w:rsidP="00D12205">
      <w:pPr>
        <w:rPr>
          <w:rFonts w:eastAsia="MS Mincho"/>
          <w:i/>
        </w:rPr>
      </w:pPr>
      <w:r w:rsidRPr="009448FC">
        <w:rPr>
          <w:rFonts w:eastAsia="MS Mincho"/>
          <w:i/>
        </w:rPr>
        <w:t>.11 Editor note: Insert the following paragraph at end of the subclause:</w:t>
      </w:r>
    </w:p>
    <w:p w:rsidR="00D12205" w:rsidRPr="009448FC" w:rsidRDefault="00D12205" w:rsidP="00D12205">
      <w:pPr>
        <w:rPr>
          <w:rFonts w:eastAsia="MS Mincho"/>
          <w:b/>
          <w:i/>
        </w:rPr>
      </w:pPr>
    </w:p>
    <w:p w:rsidR="00D12205" w:rsidRPr="00066F65" w:rsidRDefault="00D12205" w:rsidP="00D12205">
      <w:pPr>
        <w:rPr>
          <w:rFonts w:eastAsia="MS Mincho"/>
          <w:u w:val="single"/>
        </w:rPr>
      </w:pPr>
      <w:r w:rsidRPr="00066F65">
        <w:rPr>
          <w:rFonts w:eastAsia="MS Mincho"/>
          <w:u w:val="single"/>
        </w:rPr>
        <w:lastRenderedPageBreak/>
        <w:t xml:space="preserve">MAC that supports </w:t>
      </w:r>
      <w:r w:rsidR="007D333C">
        <w:rPr>
          <w:rFonts w:eastAsia="MS Mincho"/>
          <w:u w:val="single"/>
        </w:rPr>
        <w:t xml:space="preserve">the </w:t>
      </w:r>
      <w:r w:rsidRPr="00066F65">
        <w:rPr>
          <w:rFonts w:eastAsia="MS Mincho"/>
          <w:u w:val="single"/>
        </w:rPr>
        <w:t>mmWave PHY shall complete the transmission of a fragmented MSDU before starting transmission of the following fragmented MSDU.</w:t>
      </w:r>
    </w:p>
    <w:p w:rsidR="00D12205" w:rsidRPr="009448FC" w:rsidRDefault="00D12205" w:rsidP="00412B58">
      <w:pPr>
        <w:autoSpaceDE w:val="0"/>
        <w:autoSpaceDN w:val="0"/>
        <w:adjustRightInd w:val="0"/>
        <w:rPr>
          <w:rFonts w:ascii="Arial" w:eastAsia="MS Mincho" w:hAnsi="Arial"/>
          <w:sz w:val="20"/>
        </w:rPr>
      </w:pPr>
    </w:p>
    <w:p w:rsidR="0021265A" w:rsidRPr="009448FC" w:rsidRDefault="0021265A" w:rsidP="003701DB">
      <w:pPr>
        <w:pStyle w:val="Heading2"/>
        <w:numPr>
          <w:ilvl w:val="1"/>
          <w:numId w:val="112"/>
        </w:numPr>
        <w:rPr>
          <w:u w:val="none"/>
        </w:rPr>
      </w:pPr>
      <w:bookmarkStart w:id="1109" w:name="_Toc259717084"/>
      <w:r w:rsidRPr="009448FC">
        <w:rPr>
          <w:u w:val="none"/>
        </w:rPr>
        <w:t>Multirate support</w:t>
      </w:r>
      <w:bookmarkEnd w:id="1109"/>
    </w:p>
    <w:p w:rsidR="005B4FC2" w:rsidRPr="009448FC" w:rsidRDefault="005B4FC2" w:rsidP="005B4FC2">
      <w:pPr>
        <w:autoSpaceDE w:val="0"/>
        <w:autoSpaceDN w:val="0"/>
        <w:adjustRightInd w:val="0"/>
        <w:rPr>
          <w:b/>
          <w:sz w:val="28"/>
        </w:rPr>
      </w:pPr>
    </w:p>
    <w:p w:rsidR="0021265A" w:rsidRPr="009448FC" w:rsidRDefault="0021265A" w:rsidP="0021265A">
      <w:pPr>
        <w:pStyle w:val="Heading3"/>
      </w:pPr>
      <w:bookmarkStart w:id="1110" w:name="_Toc259717085"/>
      <w:r w:rsidRPr="009448FC">
        <w:t>9.6.0a Overview</w:t>
      </w:r>
      <w:bookmarkEnd w:id="1110"/>
    </w:p>
    <w:p w:rsidR="005B4FC2" w:rsidRPr="00066F65" w:rsidRDefault="005B4FC2" w:rsidP="00934364">
      <w:pPr>
        <w:rPr>
          <w:rFonts w:eastAsia="MS Mincho"/>
          <w:u w:val="single"/>
          <w:lang w:eastAsia="ko-KR"/>
        </w:rPr>
      </w:pPr>
    </w:p>
    <w:p w:rsidR="0021265A" w:rsidRPr="009448FC" w:rsidRDefault="0021265A" w:rsidP="0021265A">
      <w:pPr>
        <w:rPr>
          <w:rFonts w:eastAsia="MS Mincho"/>
          <w:i/>
        </w:rPr>
      </w:pPr>
      <w:r w:rsidRPr="009448FC">
        <w:rPr>
          <w:rFonts w:eastAsia="MS Mincho"/>
          <w:i/>
        </w:rPr>
        <w:t>.11 Editor: Change the third paragraph of this subclause as follows:</w:t>
      </w:r>
    </w:p>
    <w:p w:rsidR="0021265A" w:rsidRPr="00066F65" w:rsidRDefault="0021265A" w:rsidP="00934364">
      <w:pPr>
        <w:rPr>
          <w:rFonts w:eastAsia="MS Mincho"/>
          <w:u w:val="single"/>
          <w:lang w:eastAsia="ko-KR"/>
        </w:rPr>
      </w:pPr>
    </w:p>
    <w:p w:rsidR="0021265A" w:rsidRPr="009448FC" w:rsidRDefault="0021265A" w:rsidP="00411B53">
      <w:pPr>
        <w:autoSpaceDE w:val="0"/>
        <w:autoSpaceDN w:val="0"/>
        <w:adjustRightInd w:val="0"/>
        <w:rPr>
          <w:rFonts w:eastAsia="MS Mincho"/>
        </w:rPr>
      </w:pPr>
      <w:r w:rsidRPr="009448FC">
        <w:rPr>
          <w:rFonts w:eastAsia="MS Mincho"/>
        </w:rPr>
        <w:t xml:space="preserve">Otherwise the frame shall be transmitted using a rate that is in accordance with rules defined in 9.6.0d and 9.6.0e </w:t>
      </w:r>
      <w:r w:rsidRPr="00066F65">
        <w:rPr>
          <w:rFonts w:eastAsia="MS Mincho"/>
          <w:u w:val="single"/>
        </w:rPr>
        <w:t>when the STA is not a</w:t>
      </w:r>
      <w:r w:rsidR="002F0A96" w:rsidRPr="00066F65">
        <w:rPr>
          <w:rFonts w:eastAsia="MS Mincho"/>
          <w:u w:val="single"/>
        </w:rPr>
        <w:t>n</w:t>
      </w:r>
      <w:r w:rsidRPr="00066F65">
        <w:rPr>
          <w:rFonts w:eastAsia="MS Mincho"/>
          <w:u w:val="single"/>
        </w:rPr>
        <w:t xml:space="preserve"> </w:t>
      </w:r>
      <w:r w:rsidR="00B96FB9" w:rsidRPr="00066F65">
        <w:rPr>
          <w:rFonts w:eastAsia="MS Mincho"/>
          <w:u w:val="single"/>
        </w:rPr>
        <w:t>mSTA</w:t>
      </w:r>
      <w:r w:rsidR="000B6DB4">
        <w:rPr>
          <w:rFonts w:eastAsia="MS Mincho"/>
          <w:u w:val="single"/>
        </w:rPr>
        <w:t xml:space="preserve"> operating in the UB</w:t>
      </w:r>
      <w:r w:rsidRPr="00066F65">
        <w:rPr>
          <w:rFonts w:eastAsia="MS Mincho"/>
          <w:u w:val="single"/>
        </w:rPr>
        <w:t xml:space="preserve">. For </w:t>
      </w:r>
      <w:r w:rsidR="00E74D84">
        <w:rPr>
          <w:rFonts w:eastAsia="MS Mincho"/>
          <w:u w:val="single"/>
        </w:rPr>
        <w:t xml:space="preserve">an </w:t>
      </w:r>
      <w:r w:rsidR="00B96FB9" w:rsidRPr="00066F65">
        <w:rPr>
          <w:rFonts w:eastAsia="MS Mincho"/>
          <w:u w:val="single"/>
        </w:rPr>
        <w:t>mSTA</w:t>
      </w:r>
      <w:r w:rsidR="000B6DB4">
        <w:rPr>
          <w:rFonts w:eastAsia="MS Mincho"/>
          <w:u w:val="single"/>
        </w:rPr>
        <w:t xml:space="preserve"> operating in the UB</w:t>
      </w:r>
      <w:r w:rsidRPr="00066F65">
        <w:rPr>
          <w:rFonts w:eastAsia="MS Mincho"/>
          <w:u w:val="single"/>
        </w:rPr>
        <w:t xml:space="preserve">, the frame shall be transmitted using a rate that is in accordance with rules defined in </w:t>
      </w:r>
      <w:fldSimple w:instr=" REF _Ref246651293 \h  \* MERGEFORMAT ">
        <w:r w:rsidR="003E4210" w:rsidRPr="003E4210">
          <w:rPr>
            <w:u w:val="single"/>
          </w:rPr>
          <w:t>9.6.0f Usage of mmWave Control modulation class</w:t>
        </w:r>
      </w:fldSimple>
      <w:r w:rsidR="00411B53" w:rsidRPr="00066F65">
        <w:rPr>
          <w:rFonts w:eastAsia="MS Mincho"/>
          <w:u w:val="single"/>
        </w:rPr>
        <w:t xml:space="preserve"> </w:t>
      </w:r>
      <w:r w:rsidRPr="00066F65">
        <w:rPr>
          <w:rFonts w:eastAsia="MS Mincho"/>
          <w:u w:val="single"/>
        </w:rPr>
        <w:t xml:space="preserve">through </w:t>
      </w:r>
      <w:fldSimple w:instr=" REF _Ref251937472 \h  \* MERGEFORMAT ">
        <w:r w:rsidR="003E4210" w:rsidRPr="003E4210">
          <w:rPr>
            <w:u w:val="single"/>
          </w:rPr>
          <w:t>9.6.0j Rate selection for BRP packets</w:t>
        </w:r>
      </w:fldSimple>
      <w:r w:rsidRPr="00DB30FF">
        <w:rPr>
          <w:rFonts w:eastAsia="MS Mincho"/>
          <w:u w:val="single"/>
        </w:rPr>
        <w:t>.</w:t>
      </w:r>
    </w:p>
    <w:p w:rsidR="0021265A" w:rsidRPr="000B6DB4" w:rsidRDefault="00BE5866" w:rsidP="00934364">
      <w:pPr>
        <w:rPr>
          <w:rFonts w:eastAsia="MS Mincho"/>
          <w:lang w:eastAsia="ko-KR"/>
        </w:rPr>
      </w:pPr>
      <w:r>
        <w:rPr>
          <w:rFonts w:eastAsia="MS Mincho"/>
          <w:lang w:eastAsia="ko-KR"/>
        </w:rPr>
        <w:t xml:space="preserve"> </w:t>
      </w:r>
    </w:p>
    <w:p w:rsidR="0021265A" w:rsidRPr="009448FC" w:rsidRDefault="0021265A" w:rsidP="0021265A">
      <w:pPr>
        <w:rPr>
          <w:rFonts w:eastAsia="MS Mincho"/>
          <w:i/>
        </w:rPr>
      </w:pPr>
      <w:r w:rsidRPr="009448FC">
        <w:rPr>
          <w:rFonts w:eastAsia="MS Mincho"/>
          <w:i/>
        </w:rPr>
        <w:t xml:space="preserve">.11 Editor: insert the following </w:t>
      </w:r>
      <w:r w:rsidR="009E0B1E" w:rsidRPr="009448FC">
        <w:rPr>
          <w:rFonts w:eastAsia="MS Mincho"/>
          <w:i/>
        </w:rPr>
        <w:t xml:space="preserve">four </w:t>
      </w:r>
      <w:r w:rsidRPr="009448FC">
        <w:rPr>
          <w:rFonts w:eastAsia="MS Mincho"/>
          <w:i/>
        </w:rPr>
        <w:t>subclauses:</w:t>
      </w:r>
    </w:p>
    <w:p w:rsidR="0021265A" w:rsidRPr="00066F65" w:rsidRDefault="0021265A" w:rsidP="00934364">
      <w:pPr>
        <w:rPr>
          <w:rFonts w:eastAsia="MS Mincho"/>
          <w:u w:val="single"/>
          <w:lang w:eastAsia="ko-KR"/>
        </w:rPr>
      </w:pPr>
    </w:p>
    <w:p w:rsidR="0021265A" w:rsidRPr="009448FC" w:rsidRDefault="0021265A" w:rsidP="007533BE">
      <w:pPr>
        <w:pStyle w:val="Heading3"/>
      </w:pPr>
      <w:bookmarkStart w:id="1111" w:name="_Ref246651293"/>
      <w:bookmarkStart w:id="1112" w:name="_Toc259717086"/>
      <w:r w:rsidRPr="009448FC">
        <w:t xml:space="preserve">9.6.0f </w:t>
      </w:r>
      <w:r w:rsidR="007533BE" w:rsidRPr="009448FC">
        <w:t>Usage of mmWave Control modulation class</w:t>
      </w:r>
      <w:bookmarkEnd w:id="1111"/>
      <w:bookmarkEnd w:id="1112"/>
    </w:p>
    <w:p w:rsidR="0021265A" w:rsidRPr="000B6DB4" w:rsidRDefault="00BE5866" w:rsidP="00934364">
      <w:pPr>
        <w:rPr>
          <w:rFonts w:eastAsia="MS Mincho"/>
          <w:lang w:eastAsia="ko-KR"/>
        </w:rPr>
      </w:pPr>
      <w:r>
        <w:rPr>
          <w:rFonts w:eastAsia="MS Mincho"/>
          <w:lang w:eastAsia="ko-KR"/>
        </w:rPr>
        <w:t xml:space="preserve"> </w:t>
      </w:r>
    </w:p>
    <w:p w:rsidR="007533BE" w:rsidRPr="009448FC" w:rsidRDefault="007533BE" w:rsidP="008B29D6">
      <w:pPr>
        <w:autoSpaceDE w:val="0"/>
        <w:autoSpaceDN w:val="0"/>
        <w:adjustRightInd w:val="0"/>
        <w:jc w:val="both"/>
      </w:pPr>
      <w:r w:rsidRPr="009448FC">
        <w:t>The mmWave Control modulation class has on</w:t>
      </w:r>
      <w:r w:rsidR="00E52BF0" w:rsidRPr="009448FC">
        <w:t>ly one MCS, which is mmWave MCS</w:t>
      </w:r>
      <w:r w:rsidR="00CE0690" w:rsidRPr="009448FC">
        <w:t xml:space="preserve"> </w:t>
      </w:r>
      <w:r w:rsidRPr="009448FC">
        <w:t xml:space="preserve">0 defined in Clause </w:t>
      </w:r>
      <w:r w:rsidR="00BD151C" w:rsidRPr="009448FC">
        <w:fldChar w:fldCharType="begin"/>
      </w:r>
      <w:r w:rsidR="008B29D6" w:rsidRPr="009448FC">
        <w:instrText xml:space="preserve"> REF _Ref243723026 \r \h </w:instrText>
      </w:r>
      <w:r w:rsidR="00BD151C" w:rsidRPr="009448FC">
        <w:fldChar w:fldCharType="separate"/>
      </w:r>
      <w:r w:rsidR="003E4210">
        <w:t>21</w:t>
      </w:r>
      <w:r w:rsidR="00BD151C" w:rsidRPr="009448FC">
        <w:fldChar w:fldCharType="end"/>
      </w:r>
      <w:r w:rsidRPr="009448FC">
        <w:t>. The mmWave Beacon, Sector Sweep frame, SS-Feedba</w:t>
      </w:r>
      <w:r w:rsidR="00DB30FF">
        <w:t>ck, SS-ACK, and the first BRP</w:t>
      </w:r>
      <w:r w:rsidRPr="009448FC">
        <w:t xml:space="preserve"> packet in beam refinement shall </w:t>
      </w:r>
      <w:r w:rsidR="000B6DB4">
        <w:t xml:space="preserve">always </w:t>
      </w:r>
      <w:r w:rsidRPr="009448FC">
        <w:t>be transmitted using the mmWave Control modulation class. Other mmWave beamforming training frames may be transmitted using the mmWave Control modulation class or the mmWave SC</w:t>
      </w:r>
      <w:r w:rsidR="00281486" w:rsidRPr="009448FC">
        <w:t xml:space="preserve"> </w:t>
      </w:r>
      <w:r w:rsidRPr="009448FC">
        <w:t>modulation class. Other mmWave control frames and management frames may be transmitted using the mmWave Control modulation class.</w:t>
      </w:r>
      <w:r w:rsidR="00281486" w:rsidRPr="009448FC">
        <w:t xml:space="preserve"> </w:t>
      </w:r>
    </w:p>
    <w:p w:rsidR="007533BE" w:rsidRPr="009448FC" w:rsidRDefault="007533BE" w:rsidP="007533BE">
      <w:pPr>
        <w:autoSpaceDE w:val="0"/>
        <w:autoSpaceDN w:val="0"/>
        <w:adjustRightInd w:val="0"/>
        <w:jc w:val="both"/>
      </w:pPr>
    </w:p>
    <w:p w:rsidR="007533BE" w:rsidRPr="009448FC" w:rsidRDefault="007533BE" w:rsidP="007533BE">
      <w:pPr>
        <w:autoSpaceDE w:val="0"/>
        <w:autoSpaceDN w:val="0"/>
        <w:adjustRightInd w:val="0"/>
        <w:jc w:val="both"/>
        <w:rPr>
          <w:sz w:val="22"/>
        </w:rPr>
      </w:pPr>
      <w:r w:rsidRPr="009448FC">
        <w:t>An A-MPDU shall not be transmitted using the mmWave control modulation class</w:t>
      </w:r>
      <w:r w:rsidRPr="009448FC">
        <w:rPr>
          <w:sz w:val="22"/>
        </w:rPr>
        <w:t>.</w:t>
      </w:r>
    </w:p>
    <w:p w:rsidR="007533BE" w:rsidRPr="00066F65" w:rsidRDefault="007533BE" w:rsidP="00934364">
      <w:pPr>
        <w:rPr>
          <w:rFonts w:eastAsia="MS Mincho"/>
          <w:u w:val="single"/>
          <w:lang w:eastAsia="ko-KR"/>
        </w:rPr>
      </w:pPr>
    </w:p>
    <w:p w:rsidR="007533BE" w:rsidRPr="009448FC" w:rsidRDefault="007533BE" w:rsidP="007533BE">
      <w:pPr>
        <w:pStyle w:val="Heading3"/>
      </w:pPr>
      <w:bookmarkStart w:id="1113" w:name="_Toc259717087"/>
      <w:r w:rsidRPr="009448FC">
        <w:t xml:space="preserve">9.6.0g Rate selection rules for control frames transmitted by </w:t>
      </w:r>
      <w:r w:rsidR="00B96FB9" w:rsidRPr="009448FC">
        <w:t>mSTA</w:t>
      </w:r>
      <w:r w:rsidRPr="009448FC">
        <w:t>s</w:t>
      </w:r>
      <w:bookmarkEnd w:id="1113"/>
    </w:p>
    <w:p w:rsidR="007533BE" w:rsidRPr="00066F65" w:rsidRDefault="007533BE" w:rsidP="00934364">
      <w:pPr>
        <w:rPr>
          <w:rFonts w:eastAsia="MS Mincho"/>
          <w:u w:val="single"/>
          <w:lang w:eastAsia="ko-KR"/>
        </w:rPr>
      </w:pPr>
    </w:p>
    <w:p w:rsidR="007533BE" w:rsidRPr="009448FC" w:rsidRDefault="007533BE" w:rsidP="00B743AD">
      <w:pPr>
        <w:autoSpaceDE w:val="0"/>
        <w:autoSpaceDN w:val="0"/>
        <w:adjustRightInd w:val="0"/>
        <w:jc w:val="both"/>
        <w:outlineLvl w:val="0"/>
      </w:pPr>
      <w:r w:rsidRPr="009448FC">
        <w:t xml:space="preserve">This sub-clause describes the rate selection rules for control frames transmitted by </w:t>
      </w:r>
      <w:r w:rsidR="00B96FB9" w:rsidRPr="009448FC">
        <w:t>mSTA</w:t>
      </w:r>
      <w:r w:rsidRPr="009448FC">
        <w:t xml:space="preserve">s to other </w:t>
      </w:r>
      <w:r w:rsidR="00B96FB9" w:rsidRPr="009448FC">
        <w:t>mSTA</w:t>
      </w:r>
      <w:r w:rsidRPr="009448FC">
        <w:t xml:space="preserve">s while operating in the </w:t>
      </w:r>
      <w:r w:rsidR="007D3F67" w:rsidRPr="009448FC">
        <w:t>UB</w:t>
      </w:r>
      <w:r w:rsidRPr="009448FC">
        <w:t xml:space="preserve">. The rate selection rules shall only apply for MCSs defined in Clause </w:t>
      </w:r>
      <w:r w:rsidR="00BD151C" w:rsidRPr="009448FC">
        <w:fldChar w:fldCharType="begin"/>
      </w:r>
      <w:r w:rsidR="00B743AD" w:rsidRPr="009448FC">
        <w:instrText xml:space="preserve"> REF _Ref243723092 \r \h </w:instrText>
      </w:r>
      <w:r w:rsidR="00BD151C" w:rsidRPr="009448FC">
        <w:fldChar w:fldCharType="separate"/>
      </w:r>
      <w:r w:rsidR="003E4210">
        <w:t>21</w:t>
      </w:r>
      <w:r w:rsidR="00BD151C" w:rsidRPr="009448FC">
        <w:fldChar w:fldCharType="end"/>
      </w:r>
      <w:r w:rsidRPr="009448FC">
        <w:t xml:space="preserve">. </w:t>
      </w:r>
    </w:p>
    <w:p w:rsidR="007533BE" w:rsidRPr="009448FC" w:rsidRDefault="007533BE" w:rsidP="007533BE">
      <w:pPr>
        <w:autoSpaceDE w:val="0"/>
        <w:autoSpaceDN w:val="0"/>
        <w:adjustRightInd w:val="0"/>
        <w:jc w:val="both"/>
      </w:pPr>
    </w:p>
    <w:p w:rsidR="007533BE" w:rsidRPr="009448FC" w:rsidRDefault="007533BE" w:rsidP="00BD6DCC">
      <w:pPr>
        <w:autoSpaceDE w:val="0"/>
        <w:autoSpaceDN w:val="0"/>
        <w:adjustRightInd w:val="0"/>
        <w:jc w:val="both"/>
      </w:pPr>
      <w:r w:rsidRPr="009448FC">
        <w:t>A control frame that is not BA, nor BAR and that is not a control response frame shall be transmitted by a</w:t>
      </w:r>
      <w:r w:rsidR="002F0A96" w:rsidRPr="009448FC">
        <w:t>n</w:t>
      </w:r>
      <w:r w:rsidRPr="009448FC">
        <w:t xml:space="preserve"> </w:t>
      </w:r>
      <w:r w:rsidR="00B96FB9" w:rsidRPr="009448FC">
        <w:t>mSTA</w:t>
      </w:r>
      <w:r w:rsidRPr="009448FC">
        <w:t xml:space="preserve"> using an MCS from the mandatory MCS set of the mmWave SC</w:t>
      </w:r>
      <w:r w:rsidR="00281486" w:rsidRPr="009448FC">
        <w:t xml:space="preserve"> </w:t>
      </w:r>
      <w:r w:rsidRPr="009448FC">
        <w:t>modulation class.</w:t>
      </w:r>
      <w:r w:rsidR="00281486" w:rsidRPr="009448FC">
        <w:t xml:space="preserve"> </w:t>
      </w:r>
      <w:r w:rsidRPr="009448FC">
        <w:t>A mmWave control response frame that is not a BA frame shall be transmitted using the same</w:t>
      </w:r>
      <w:r w:rsidR="00080054">
        <w:t xml:space="preserve"> </w:t>
      </w:r>
      <w:r w:rsidR="00BD6DCC">
        <w:t xml:space="preserve">type of PHY </w:t>
      </w:r>
      <w:r w:rsidRPr="009448FC">
        <w:t>of the frame that elicited the response and shall use the highest mandatory MCS that is the same as or lower than the MCS of the frame that elicited the response.</w:t>
      </w:r>
    </w:p>
    <w:p w:rsidR="007533BE" w:rsidRPr="009448FC" w:rsidRDefault="007533BE" w:rsidP="007533BE">
      <w:pPr>
        <w:autoSpaceDE w:val="0"/>
        <w:autoSpaceDN w:val="0"/>
        <w:adjustRightInd w:val="0"/>
        <w:jc w:val="both"/>
      </w:pPr>
    </w:p>
    <w:p w:rsidR="007533BE" w:rsidRPr="009448FC" w:rsidRDefault="007533BE" w:rsidP="007533BE">
      <w:pPr>
        <w:autoSpaceDE w:val="0"/>
        <w:autoSpaceDN w:val="0"/>
        <w:adjustRightInd w:val="0"/>
        <w:jc w:val="both"/>
      </w:pPr>
      <w:r w:rsidRPr="009448FC">
        <w:t>A</w:t>
      </w:r>
      <w:r w:rsidR="002F0A96" w:rsidRPr="009448FC">
        <w:t>n</w:t>
      </w:r>
      <w:r w:rsidRPr="009448FC">
        <w:t xml:space="preserve"> </w:t>
      </w:r>
      <w:r w:rsidR="00B96FB9" w:rsidRPr="009448FC">
        <w:t>mSTA</w:t>
      </w:r>
      <w:r w:rsidRPr="009448FC">
        <w:t xml:space="preserve"> transmitting a BAR frame that is not a response transmission may use any MCS supported by the receiver as reported in the Supported MCS set. </w:t>
      </w:r>
    </w:p>
    <w:p w:rsidR="007533BE" w:rsidRPr="009448FC" w:rsidRDefault="00E212C0" w:rsidP="007533BE">
      <w:pPr>
        <w:autoSpaceDE w:val="0"/>
        <w:autoSpaceDN w:val="0"/>
        <w:adjustRightInd w:val="0"/>
        <w:jc w:val="both"/>
      </w:pPr>
      <w:r>
        <w:t xml:space="preserve"> </w:t>
      </w:r>
    </w:p>
    <w:p w:rsidR="007533BE" w:rsidRPr="009448FC" w:rsidRDefault="00DB1E73" w:rsidP="00DB1E73">
      <w:pPr>
        <w:autoSpaceDE w:val="0"/>
        <w:autoSpaceDN w:val="0"/>
        <w:adjustRightInd w:val="0"/>
        <w:jc w:val="both"/>
      </w:pPr>
      <w:r w:rsidRPr="009448FC">
        <w:lastRenderedPageBreak/>
        <w:t>An mSTA transmitting a BA frame that is a response transmission shall transmit the frame using the</w:t>
      </w:r>
      <w:r w:rsidR="00533138" w:rsidRPr="009448FC">
        <w:t xml:space="preserve"> </w:t>
      </w:r>
      <w:r w:rsidRPr="009448FC">
        <w:t xml:space="preserve">same modulation class as the frame that solicited the response and the MCS chosen from the Supported MCS </w:t>
      </w:r>
      <w:r w:rsidR="00533138" w:rsidRPr="009448FC">
        <w:t xml:space="preserve">set </w:t>
      </w:r>
      <w:r w:rsidRPr="009448FC">
        <w:t xml:space="preserve">of the STA that </w:t>
      </w:r>
      <w:r w:rsidR="00533138" w:rsidRPr="009448FC">
        <w:t xml:space="preserve">transmitted the frame that </w:t>
      </w:r>
      <w:r w:rsidRPr="009448FC">
        <w:t>solicited the response.</w:t>
      </w:r>
    </w:p>
    <w:p w:rsidR="007533BE" w:rsidRPr="009448FC" w:rsidRDefault="007533BE" w:rsidP="007533BE">
      <w:pPr>
        <w:autoSpaceDE w:val="0"/>
        <w:autoSpaceDN w:val="0"/>
        <w:adjustRightInd w:val="0"/>
        <w:jc w:val="both"/>
      </w:pPr>
    </w:p>
    <w:p w:rsidR="007533BE" w:rsidRPr="009448FC" w:rsidRDefault="007533BE" w:rsidP="00CE0690">
      <w:pPr>
        <w:autoSpaceDE w:val="0"/>
        <w:autoSpaceDN w:val="0"/>
        <w:adjustRightInd w:val="0"/>
        <w:jc w:val="both"/>
        <w:rPr>
          <w:sz w:val="20"/>
        </w:rPr>
      </w:pPr>
      <w:r w:rsidRPr="009448FC">
        <w:rPr>
          <w:sz w:val="20"/>
        </w:rPr>
        <w:t>N</w:t>
      </w:r>
      <w:r w:rsidR="00CE0690" w:rsidRPr="009448FC">
        <w:rPr>
          <w:sz w:val="20"/>
        </w:rPr>
        <w:t xml:space="preserve">OTE – </w:t>
      </w:r>
      <w:r w:rsidRPr="009448FC">
        <w:rPr>
          <w:sz w:val="20"/>
        </w:rPr>
        <w:t>A control response frame is a control frame that is transmitted within an MPDU as a response to a re</w:t>
      </w:r>
      <w:r w:rsidR="00543700" w:rsidRPr="009448FC">
        <w:rPr>
          <w:sz w:val="20"/>
        </w:rPr>
        <w:t xml:space="preserve">ception </w:t>
      </w:r>
      <w:r w:rsidRPr="009448FC">
        <w:rPr>
          <w:sz w:val="20"/>
        </w:rPr>
        <w:t>SIFS time after the PPDU containing the frame that elicits the response, e.g. a mmWaveCTS</w:t>
      </w:r>
      <w:r w:rsidR="00281486" w:rsidRPr="009448FC">
        <w:rPr>
          <w:sz w:val="20"/>
        </w:rPr>
        <w:t xml:space="preserve"> </w:t>
      </w:r>
      <w:r w:rsidRPr="009448FC">
        <w:rPr>
          <w:sz w:val="20"/>
        </w:rPr>
        <w:t>in response to an RTS reception, an ACK in response to a DATA reception, a BA in response to a BAR reception. In some situations, the transmission of some of these control frames is not a control response transmission, such as when a mmWaveCTS is used to initiate a TXOP.</w:t>
      </w:r>
    </w:p>
    <w:p w:rsidR="007533BE" w:rsidRPr="009448FC" w:rsidRDefault="007533BE" w:rsidP="007533BE">
      <w:pPr>
        <w:autoSpaceDE w:val="0"/>
        <w:autoSpaceDN w:val="0"/>
        <w:adjustRightInd w:val="0"/>
        <w:jc w:val="both"/>
      </w:pPr>
    </w:p>
    <w:p w:rsidR="007533BE" w:rsidRPr="009448FC" w:rsidRDefault="007533BE" w:rsidP="007533BE">
      <w:pPr>
        <w:autoSpaceDE w:val="0"/>
        <w:autoSpaceDN w:val="0"/>
        <w:adjustRightInd w:val="0"/>
        <w:jc w:val="both"/>
      </w:pPr>
      <w:r w:rsidRPr="009448FC">
        <w:t>The rules in this subclause shall not apply to control frames that are contained in A-MPDUs that also include at least one MPDU of type Data or Management.</w:t>
      </w:r>
    </w:p>
    <w:p w:rsidR="007533BE" w:rsidRPr="00066F65" w:rsidRDefault="007533BE" w:rsidP="00934364">
      <w:pPr>
        <w:rPr>
          <w:rFonts w:eastAsia="MS Mincho"/>
          <w:u w:val="single"/>
          <w:lang w:eastAsia="ko-KR"/>
        </w:rPr>
      </w:pPr>
    </w:p>
    <w:p w:rsidR="007533BE" w:rsidRPr="009448FC" w:rsidRDefault="007533BE" w:rsidP="007533BE">
      <w:pPr>
        <w:pStyle w:val="Heading3"/>
      </w:pPr>
      <w:bookmarkStart w:id="1114" w:name="_Toc259717088"/>
      <w:r w:rsidRPr="009448FC">
        <w:t xml:space="preserve">9.6.0h Rate selection for group addressed data and management frames transmitted by </w:t>
      </w:r>
      <w:r w:rsidR="00B96FB9" w:rsidRPr="009448FC">
        <w:t>mSTA</w:t>
      </w:r>
      <w:r w:rsidRPr="009448FC">
        <w:t>s</w:t>
      </w:r>
      <w:bookmarkEnd w:id="1114"/>
    </w:p>
    <w:p w:rsidR="007533BE" w:rsidRPr="00066F65" w:rsidRDefault="007533BE" w:rsidP="00934364">
      <w:pPr>
        <w:rPr>
          <w:rFonts w:eastAsia="MS Mincho"/>
          <w:u w:val="single"/>
          <w:lang w:eastAsia="ko-KR"/>
        </w:rPr>
      </w:pPr>
    </w:p>
    <w:p w:rsidR="007533BE" w:rsidRPr="009448FC" w:rsidRDefault="007533BE" w:rsidP="00D71A88">
      <w:pPr>
        <w:autoSpaceDE w:val="0"/>
        <w:autoSpaceDN w:val="0"/>
        <w:adjustRightInd w:val="0"/>
        <w:jc w:val="both"/>
        <w:outlineLvl w:val="0"/>
      </w:pPr>
      <w:r w:rsidRPr="009448FC">
        <w:t xml:space="preserve">This subclause describes the rate selection rules for group addressed data and management frames as transmitted by </w:t>
      </w:r>
      <w:r w:rsidR="00B96FB9" w:rsidRPr="009448FC">
        <w:t>mSTA</w:t>
      </w:r>
      <w:r w:rsidRPr="009448FC">
        <w:t xml:space="preserve">s to other </w:t>
      </w:r>
      <w:r w:rsidR="00B96FB9" w:rsidRPr="009448FC">
        <w:t>mSTA</w:t>
      </w:r>
      <w:r w:rsidRPr="009448FC">
        <w:t xml:space="preserve">s while operating in the </w:t>
      </w:r>
      <w:r w:rsidR="00281486" w:rsidRPr="009448FC">
        <w:t>UB</w:t>
      </w:r>
      <w:r w:rsidRPr="009448FC">
        <w:t xml:space="preserve">. The rate selection rules shall only apply for MCSs defined in Clause </w:t>
      </w:r>
      <w:r w:rsidR="00BD151C" w:rsidRPr="009448FC">
        <w:fldChar w:fldCharType="begin"/>
      </w:r>
      <w:r w:rsidR="00D71A88" w:rsidRPr="009448FC">
        <w:instrText xml:space="preserve"> REF _Ref243723250 \r \h </w:instrText>
      </w:r>
      <w:r w:rsidR="00BD151C" w:rsidRPr="009448FC">
        <w:fldChar w:fldCharType="separate"/>
      </w:r>
      <w:r w:rsidR="003E4210">
        <w:t>21</w:t>
      </w:r>
      <w:r w:rsidR="00BD151C" w:rsidRPr="009448FC">
        <w:fldChar w:fldCharType="end"/>
      </w:r>
      <w:r w:rsidRPr="009448FC">
        <w:t xml:space="preserve">. </w:t>
      </w:r>
    </w:p>
    <w:p w:rsidR="007533BE" w:rsidRPr="009448FC" w:rsidRDefault="007533BE" w:rsidP="007533BE">
      <w:pPr>
        <w:autoSpaceDE w:val="0"/>
        <w:autoSpaceDN w:val="0"/>
        <w:adjustRightInd w:val="0"/>
        <w:jc w:val="both"/>
      </w:pPr>
    </w:p>
    <w:p w:rsidR="007533BE" w:rsidRPr="009448FC" w:rsidRDefault="007533BE" w:rsidP="007533BE">
      <w:pPr>
        <w:jc w:val="both"/>
      </w:pPr>
      <w:r w:rsidRPr="009448FC">
        <w:t>If a single transmission of a group-addressed frame is intended to reach more than one receiver and the supported MCS set of each of the intended receivers is known to the sender, then the MCS used for the transmission shall be an MCS common to the supported MCS sets of all the intended receivers.</w:t>
      </w:r>
      <w:r w:rsidR="00281486" w:rsidRPr="009448FC">
        <w:t xml:space="preserve"> </w:t>
      </w:r>
      <w:r w:rsidRPr="009448FC">
        <w:t xml:space="preserve">If such an MCS is not known, the frame shall be transmitted using a MCS from the mandatory MCS set of the mmWave SC </w:t>
      </w:r>
      <w:r w:rsidR="002966F3" w:rsidRPr="009448FC">
        <w:t>PHY.</w:t>
      </w:r>
    </w:p>
    <w:p w:rsidR="007533BE" w:rsidRPr="009448FC" w:rsidRDefault="007533BE" w:rsidP="007533BE">
      <w:pPr>
        <w:autoSpaceDE w:val="0"/>
        <w:autoSpaceDN w:val="0"/>
        <w:adjustRightInd w:val="0"/>
        <w:jc w:val="both"/>
      </w:pPr>
    </w:p>
    <w:p w:rsidR="007533BE" w:rsidRPr="009448FC" w:rsidRDefault="007533BE" w:rsidP="0073042B">
      <w:pPr>
        <w:autoSpaceDE w:val="0"/>
        <w:autoSpaceDN w:val="0"/>
        <w:adjustRightInd w:val="0"/>
        <w:jc w:val="both"/>
        <w:rPr>
          <w:sz w:val="22"/>
        </w:rPr>
      </w:pPr>
      <w:r w:rsidRPr="009448FC">
        <w:t>If a single transmission of the group-addressed frame is intended to reach only one receiver, the frame shall be transmitted following the rate selection rules of unicast frames as described in section 9.</w:t>
      </w:r>
      <w:r w:rsidR="0073042B" w:rsidRPr="009448FC">
        <w:t>6</w:t>
      </w:r>
      <w:r w:rsidRPr="009448FC">
        <w:t>.</w:t>
      </w:r>
      <w:r w:rsidR="0073042B" w:rsidRPr="009448FC">
        <w:t>0i</w:t>
      </w:r>
      <w:r w:rsidRPr="009448FC">
        <w:t>.</w:t>
      </w:r>
    </w:p>
    <w:p w:rsidR="007533BE" w:rsidRPr="00066F65" w:rsidRDefault="007533BE" w:rsidP="00934364">
      <w:pPr>
        <w:rPr>
          <w:rFonts w:eastAsia="MS Mincho"/>
          <w:u w:val="single"/>
          <w:lang w:eastAsia="ko-KR"/>
        </w:rPr>
      </w:pPr>
    </w:p>
    <w:p w:rsidR="007533BE" w:rsidRPr="009448FC" w:rsidRDefault="007533BE" w:rsidP="007533BE">
      <w:pPr>
        <w:pStyle w:val="Heading3"/>
      </w:pPr>
      <w:bookmarkStart w:id="1115" w:name="_Ref246651313"/>
      <w:bookmarkStart w:id="1116" w:name="_Toc259717089"/>
      <w:r w:rsidRPr="009448FC">
        <w:t xml:space="preserve">9.6.0i Rate selection for unicast data and management frames transmitted by </w:t>
      </w:r>
      <w:r w:rsidR="00B96FB9" w:rsidRPr="009448FC">
        <w:t>mSTA</w:t>
      </w:r>
      <w:r w:rsidRPr="009448FC">
        <w:t>s</w:t>
      </w:r>
      <w:bookmarkEnd w:id="1115"/>
      <w:bookmarkEnd w:id="1116"/>
    </w:p>
    <w:p w:rsidR="007533BE" w:rsidRPr="00066F65" w:rsidRDefault="007533BE" w:rsidP="00934364">
      <w:pPr>
        <w:rPr>
          <w:rFonts w:eastAsia="MS Mincho"/>
          <w:u w:val="single"/>
          <w:lang w:eastAsia="ko-KR"/>
        </w:rPr>
      </w:pPr>
    </w:p>
    <w:p w:rsidR="007533BE" w:rsidRPr="009448FC" w:rsidRDefault="007533BE" w:rsidP="00A245D4">
      <w:pPr>
        <w:autoSpaceDE w:val="0"/>
        <w:autoSpaceDN w:val="0"/>
        <w:adjustRightInd w:val="0"/>
        <w:jc w:val="both"/>
        <w:outlineLvl w:val="0"/>
      </w:pPr>
      <w:r w:rsidRPr="009448FC">
        <w:t xml:space="preserve">This subclause describes the rate selection rules for unicast addressed data and management frames as transmitted by </w:t>
      </w:r>
      <w:r w:rsidR="00B96FB9" w:rsidRPr="009448FC">
        <w:t>mSTA</w:t>
      </w:r>
      <w:r w:rsidRPr="009448FC">
        <w:t xml:space="preserve">s to other </w:t>
      </w:r>
      <w:r w:rsidR="00B96FB9" w:rsidRPr="009448FC">
        <w:t>mSTA</w:t>
      </w:r>
      <w:r w:rsidR="00281486" w:rsidRPr="009448FC">
        <w:t>s while operating in the UB</w:t>
      </w:r>
      <w:r w:rsidRPr="009448FC">
        <w:t xml:space="preserve">. The rate selection rules shall only apply for MCSs defined in Clause </w:t>
      </w:r>
      <w:r w:rsidR="00BD151C" w:rsidRPr="009448FC">
        <w:fldChar w:fldCharType="begin"/>
      </w:r>
      <w:r w:rsidR="00A245D4" w:rsidRPr="009448FC">
        <w:instrText xml:space="preserve"> REF _Ref243723327 \r \h </w:instrText>
      </w:r>
      <w:r w:rsidR="00BD151C" w:rsidRPr="009448FC">
        <w:fldChar w:fldCharType="separate"/>
      </w:r>
      <w:r w:rsidR="003E4210">
        <w:t>21</w:t>
      </w:r>
      <w:r w:rsidR="00BD151C" w:rsidRPr="009448FC">
        <w:fldChar w:fldCharType="end"/>
      </w:r>
      <w:r w:rsidRPr="009448FC">
        <w:t xml:space="preserve">. </w:t>
      </w:r>
    </w:p>
    <w:p w:rsidR="007533BE" w:rsidRPr="009448FC" w:rsidRDefault="007533BE" w:rsidP="007533BE">
      <w:pPr>
        <w:autoSpaceDE w:val="0"/>
        <w:autoSpaceDN w:val="0"/>
        <w:adjustRightInd w:val="0"/>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A unicast data or management frame that shall be sent using any MCS subject to the following constraints:</w:t>
      </w:r>
    </w:p>
    <w:p w:rsidR="007533BE" w:rsidRPr="009448FC" w:rsidRDefault="007533BE" w:rsidP="007533BE">
      <w:pPr>
        <w:autoSpaceDE w:val="0"/>
        <w:autoSpaceDN w:val="0"/>
        <w:adjustRightInd w:val="0"/>
        <w:jc w:val="both"/>
        <w:rPr>
          <w:rFonts w:ascii="TimesNewRomanPSMT" w:hAnsi="TimesNewRomanPSMT"/>
        </w:rPr>
      </w:pPr>
    </w:p>
    <w:p w:rsidR="007533BE" w:rsidRPr="009448FC" w:rsidRDefault="007533BE" w:rsidP="003701DB">
      <w:pPr>
        <w:numPr>
          <w:ilvl w:val="0"/>
          <w:numId w:val="19"/>
        </w:numPr>
        <w:tabs>
          <w:tab w:val="clear" w:pos="1080"/>
          <w:tab w:val="num" w:pos="720"/>
        </w:tabs>
        <w:autoSpaceDE w:val="0"/>
        <w:autoSpaceDN w:val="0"/>
        <w:adjustRightInd w:val="0"/>
        <w:ind w:left="720"/>
        <w:jc w:val="both"/>
        <w:rPr>
          <w:rFonts w:ascii="TimesNewRomanPSMT" w:hAnsi="TimesNewRomanPSMT"/>
        </w:rPr>
      </w:pPr>
      <w:r w:rsidRPr="009448FC">
        <w:rPr>
          <w:rFonts w:ascii="TimesNewRomanPSMT" w:hAnsi="TimesNewRomanPSMT"/>
        </w:rPr>
        <w:t>A STA shall not transmit a frame using a MCS that is not supported by the receiver STA, as reported in the Supported Receiving MCS field in management frames transmitted by the receiver STA.</w:t>
      </w:r>
      <w:r w:rsidR="00D11F2E">
        <w:rPr>
          <w:rFonts w:ascii="TimesNewRomanPSMT" w:hAnsi="TimesNewRomanPSMT"/>
        </w:rPr>
        <w:t xml:space="preserve"> </w:t>
      </w:r>
    </w:p>
    <w:p w:rsidR="007533BE" w:rsidRPr="009448FC" w:rsidRDefault="007533BE" w:rsidP="003701DB">
      <w:pPr>
        <w:numPr>
          <w:ilvl w:val="0"/>
          <w:numId w:val="19"/>
        </w:numPr>
        <w:tabs>
          <w:tab w:val="clear" w:pos="1080"/>
          <w:tab w:val="num" w:pos="720"/>
        </w:tabs>
        <w:autoSpaceDE w:val="0"/>
        <w:autoSpaceDN w:val="0"/>
        <w:adjustRightInd w:val="0"/>
        <w:ind w:left="720"/>
        <w:jc w:val="both"/>
        <w:rPr>
          <w:rFonts w:ascii="TimesNewRomanPSMT" w:hAnsi="TimesNewRomanPSMT"/>
        </w:rPr>
      </w:pPr>
      <w:r w:rsidRPr="009448FC">
        <w:rPr>
          <w:rFonts w:ascii="TimesNewRomanPSMT" w:hAnsi="TimesNewRomanPSMT"/>
        </w:rPr>
        <w:t>A STA shall not initiate transmission of a frame at a MCS higher than the highest Transmission MCS in the OperationalMCSSet, which is a parameter of the MLME-JOIN.request primitive.</w:t>
      </w:r>
    </w:p>
    <w:p w:rsidR="007533BE" w:rsidRPr="009448FC" w:rsidRDefault="007533BE" w:rsidP="007533BE">
      <w:pPr>
        <w:autoSpaceDE w:val="0"/>
        <w:autoSpaceDN w:val="0"/>
        <w:adjustRightInd w:val="0"/>
        <w:ind w:left="360"/>
        <w:jc w:val="both"/>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 xml:space="preserve">In case when the Supported MCS set of the receiving STA is not known, the transmitting STA shall transmit using a MCS from the mandatory MCS set of </w:t>
      </w:r>
      <w:r w:rsidR="002966F3" w:rsidRPr="009448FC">
        <w:t xml:space="preserve">the mmWave SC </w:t>
      </w:r>
      <w:r w:rsidRPr="009448FC">
        <w:t>PHY mode</w:t>
      </w:r>
      <w:r w:rsidRPr="009448FC">
        <w:rPr>
          <w:rFonts w:ascii="TimesNewRomanPSMT" w:hAnsi="TimesNewRomanPSMT"/>
        </w:rPr>
        <w:t>.</w:t>
      </w:r>
      <w:r w:rsidR="00D11F2E">
        <w:rPr>
          <w:rFonts w:ascii="TimesNewRomanPSMT" w:hAnsi="TimesNewRomanPSMT"/>
        </w:rPr>
        <w:t xml:space="preserve"> </w:t>
      </w:r>
    </w:p>
    <w:p w:rsidR="007533BE" w:rsidRPr="009448FC" w:rsidRDefault="007533BE" w:rsidP="007533BE">
      <w:pPr>
        <w:autoSpaceDE w:val="0"/>
        <w:autoSpaceDN w:val="0"/>
        <w:adjustRightInd w:val="0"/>
        <w:jc w:val="both"/>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lastRenderedPageBreak/>
        <w:t>The rules in this subclause also apply to A-MPDUs that contain at least one control type MPDU and at least one MPDU of type Data or Management.</w:t>
      </w:r>
    </w:p>
    <w:p w:rsidR="007533BE" w:rsidRPr="009448FC" w:rsidRDefault="007533BE" w:rsidP="007533BE">
      <w:pPr>
        <w:autoSpaceDE w:val="0"/>
        <w:autoSpaceDN w:val="0"/>
        <w:adjustRightInd w:val="0"/>
        <w:jc w:val="both"/>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A STA shall not transmit an A-MPDU that contains at least one frame of type Data with MCS</w:t>
      </w:r>
      <w:r w:rsidR="00CE0690" w:rsidRPr="009448FC">
        <w:rPr>
          <w:rFonts w:ascii="TimesNewRomanPSMT" w:hAnsi="TimesNewRomanPSMT"/>
        </w:rPr>
        <w:t xml:space="preserve"> </w:t>
      </w:r>
      <w:r w:rsidRPr="009448FC">
        <w:rPr>
          <w:rFonts w:ascii="TimesNewRomanPSMT" w:hAnsi="TimesNewRomanPSMT"/>
        </w:rPr>
        <w:t xml:space="preserve">0. </w:t>
      </w:r>
    </w:p>
    <w:p w:rsidR="007551ED" w:rsidRPr="009448FC" w:rsidRDefault="007551ED" w:rsidP="007551ED">
      <w:pPr>
        <w:pStyle w:val="Heading3"/>
      </w:pPr>
      <w:bookmarkStart w:id="1117" w:name="_Ref251937464"/>
      <w:bookmarkStart w:id="1118" w:name="_Ref251937472"/>
      <w:bookmarkStart w:id="1119" w:name="_Toc259717090"/>
      <w:r w:rsidRPr="009448FC">
        <w:t>9.6.0</w:t>
      </w:r>
      <w:r>
        <w:t>j</w:t>
      </w:r>
      <w:r w:rsidRPr="009448FC">
        <w:t xml:space="preserve"> Rate selection for </w:t>
      </w:r>
      <w:r>
        <w:t>BRP packets</w:t>
      </w:r>
      <w:bookmarkEnd w:id="1117"/>
      <w:bookmarkEnd w:id="1118"/>
      <w:bookmarkEnd w:id="1119"/>
    </w:p>
    <w:p w:rsidR="00CF44D4" w:rsidRDefault="00CF44D4" w:rsidP="007551ED"/>
    <w:p w:rsidR="00CF44D4" w:rsidRDefault="007551ED" w:rsidP="007551ED">
      <w:r>
        <w:t xml:space="preserve">The first BRP packet </w:t>
      </w:r>
      <w:r w:rsidR="00CF44D4">
        <w:t xml:space="preserve">transmitted </w:t>
      </w:r>
      <w:r>
        <w:t>from the initiator to the responder after the SLS phase shall use MCS0.</w:t>
      </w:r>
    </w:p>
    <w:p w:rsidR="00CF44D4" w:rsidRDefault="00CF44D4" w:rsidP="007551ED"/>
    <w:p w:rsidR="007551ED" w:rsidRDefault="007551ED" w:rsidP="007551ED">
      <w:r>
        <w:t xml:space="preserve">The first BRP packet </w:t>
      </w:r>
      <w:r w:rsidR="00CF44D4">
        <w:t xml:space="preserve">transmitted </w:t>
      </w:r>
      <w:r>
        <w:t>from the responder to the initiator after the SLS phase shall use MCS0.</w:t>
      </w:r>
    </w:p>
    <w:p w:rsidR="00CF44D4" w:rsidRDefault="00CF44D4" w:rsidP="007551ED"/>
    <w:p w:rsidR="007551ED" w:rsidRDefault="007551ED" w:rsidP="00760511">
      <w:r>
        <w:t xml:space="preserve">BRP packets </w:t>
      </w:r>
      <w:r w:rsidR="00CF44D4">
        <w:t xml:space="preserve">transmitted </w:t>
      </w:r>
      <w:r>
        <w:t>during b</w:t>
      </w:r>
      <w:r w:rsidR="00CF44D4">
        <w:t>eam refinement should use MCS1, and</w:t>
      </w:r>
      <w:r>
        <w:t xml:space="preserve"> shall use MCS0-MCS</w:t>
      </w:r>
      <w:r w:rsidR="00760511">
        <w:t>12</w:t>
      </w:r>
      <w:r>
        <w:t>.</w:t>
      </w:r>
    </w:p>
    <w:p w:rsidR="00CF44D4" w:rsidRDefault="00CF44D4" w:rsidP="006B625C"/>
    <w:p w:rsidR="006B625C" w:rsidRDefault="006B625C" w:rsidP="006B625C">
      <w:r>
        <w:t xml:space="preserve">BRP packets transmitted during the BRP setup </w:t>
      </w:r>
      <w:r w:rsidR="005A515D">
        <w:t>sub-</w:t>
      </w:r>
      <w:r>
        <w:t xml:space="preserve">phase, the MID </w:t>
      </w:r>
      <w:r w:rsidR="005A515D">
        <w:t>sub-</w:t>
      </w:r>
      <w:r>
        <w:t xml:space="preserve">phase and the BC </w:t>
      </w:r>
      <w:r w:rsidR="005A515D">
        <w:t>sub-</w:t>
      </w:r>
      <w:r>
        <w:t>phase shall use MCS0.</w:t>
      </w:r>
    </w:p>
    <w:p w:rsidR="00CF44D4" w:rsidRDefault="00CF44D4" w:rsidP="006B625C"/>
    <w:p w:rsidR="006B625C" w:rsidRDefault="006B625C" w:rsidP="006B625C">
      <w:r>
        <w:t xml:space="preserve">BRP packets transmitted during a BC </w:t>
      </w:r>
      <w:r w:rsidR="005A515D">
        <w:t>sub-</w:t>
      </w:r>
      <w:r>
        <w:t xml:space="preserve">phase, as part of a BC </w:t>
      </w:r>
      <w:r w:rsidR="005A515D">
        <w:t>sub-</w:t>
      </w:r>
      <w:r>
        <w:t xml:space="preserve">phase </w:t>
      </w:r>
      <w:r w:rsidR="00760511">
        <w:t>only training, may use MCS0-MCS12</w:t>
      </w:r>
      <w:r>
        <w:t>.</w:t>
      </w:r>
    </w:p>
    <w:p w:rsidR="00CF44D4" w:rsidRDefault="00CF44D4" w:rsidP="006B625C"/>
    <w:p w:rsidR="007551ED" w:rsidRDefault="007551ED" w:rsidP="006B625C">
      <w:r>
        <w:t xml:space="preserve">BRP packets </w:t>
      </w:r>
      <w:r w:rsidR="00CF44D4">
        <w:t xml:space="preserve">transmitted </w:t>
      </w:r>
      <w:r>
        <w:t xml:space="preserve">during beam tracking </w:t>
      </w:r>
      <w:r w:rsidR="00CF44D4">
        <w:t>may</w:t>
      </w:r>
      <w:r>
        <w:t xml:space="preserve"> use any MCS.</w:t>
      </w:r>
    </w:p>
    <w:p w:rsidR="007551ED" w:rsidRPr="00066F65" w:rsidRDefault="007551ED" w:rsidP="00934364">
      <w:pPr>
        <w:rPr>
          <w:rFonts w:eastAsia="MS Mincho"/>
          <w:u w:val="single"/>
          <w:lang w:eastAsia="ko-KR"/>
        </w:rPr>
      </w:pPr>
    </w:p>
    <w:p w:rsidR="007533BE" w:rsidRPr="009448FC" w:rsidRDefault="007533BE" w:rsidP="003701DB">
      <w:pPr>
        <w:pStyle w:val="Heading3"/>
        <w:numPr>
          <w:ilvl w:val="2"/>
          <w:numId w:val="111"/>
        </w:numPr>
      </w:pPr>
      <w:bookmarkStart w:id="1120" w:name="_Toc259717091"/>
      <w:r w:rsidRPr="009448FC">
        <w:t>Modulation classes</w:t>
      </w:r>
      <w:bookmarkEnd w:id="1120"/>
    </w:p>
    <w:p w:rsidR="007533BE" w:rsidRPr="00066F65" w:rsidRDefault="007533BE" w:rsidP="00934364">
      <w:pPr>
        <w:rPr>
          <w:rFonts w:eastAsia="MS Mincho"/>
          <w:u w:val="single"/>
          <w:lang w:eastAsia="ko-KR"/>
        </w:rPr>
      </w:pPr>
    </w:p>
    <w:p w:rsidR="009E0B1E" w:rsidRPr="009448FC" w:rsidRDefault="009E0B1E" w:rsidP="009E0B1E">
      <w:pPr>
        <w:rPr>
          <w:rFonts w:eastAsia="MS Mincho"/>
          <w:i/>
        </w:rPr>
      </w:pPr>
      <w:r w:rsidRPr="009448FC">
        <w:rPr>
          <w:rFonts w:eastAsia="MS Mincho"/>
          <w:i/>
        </w:rPr>
        <w:t>.11 Editor: Add the following rows to (Table 9-2-Modualtion classes):</w:t>
      </w:r>
    </w:p>
    <w:p w:rsidR="009E0B1E" w:rsidRPr="00066F65" w:rsidRDefault="009E0B1E" w:rsidP="00934364">
      <w:pPr>
        <w:rPr>
          <w:rFonts w:eastAsia="MS Mincho"/>
          <w:u w:val="single"/>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700"/>
        <w:gridCol w:w="3960"/>
        <w:gridCol w:w="1908"/>
      </w:tblGrid>
      <w:tr w:rsidR="009E0B1E" w:rsidRPr="00066F65" w:rsidTr="00D0037C">
        <w:tc>
          <w:tcPr>
            <w:tcW w:w="1548" w:type="dxa"/>
            <w:vMerge w:val="restart"/>
          </w:tcPr>
          <w:p w:rsidR="009E0B1E" w:rsidRPr="009448FC" w:rsidRDefault="009E0B1E" w:rsidP="00D0037C">
            <w:pPr>
              <w:jc w:val="center"/>
              <w:rPr>
                <w:rFonts w:eastAsia="MS Mincho"/>
                <w:b/>
              </w:rPr>
            </w:pPr>
            <w:r w:rsidRPr="009448FC">
              <w:rPr>
                <w:rFonts w:eastAsia="MS Mincho"/>
                <w:b/>
              </w:rPr>
              <w:t>Modulation Class</w:t>
            </w:r>
          </w:p>
        </w:tc>
        <w:tc>
          <w:tcPr>
            <w:tcW w:w="2700" w:type="dxa"/>
            <w:vMerge w:val="restart"/>
          </w:tcPr>
          <w:p w:rsidR="009E0B1E" w:rsidRPr="009448FC" w:rsidRDefault="009E0B1E" w:rsidP="00D0037C">
            <w:pPr>
              <w:jc w:val="center"/>
              <w:rPr>
                <w:rFonts w:eastAsia="MS Mincho"/>
                <w:b/>
              </w:rPr>
            </w:pPr>
            <w:r w:rsidRPr="009448FC">
              <w:rPr>
                <w:rFonts w:eastAsia="MS Mincho"/>
                <w:b/>
              </w:rPr>
              <w:t>Description of modulation</w:t>
            </w:r>
          </w:p>
        </w:tc>
        <w:tc>
          <w:tcPr>
            <w:tcW w:w="5868" w:type="dxa"/>
            <w:gridSpan w:val="2"/>
          </w:tcPr>
          <w:p w:rsidR="009E0B1E" w:rsidRPr="009448FC" w:rsidRDefault="009E0B1E" w:rsidP="00D0037C">
            <w:pPr>
              <w:jc w:val="center"/>
              <w:rPr>
                <w:rFonts w:eastAsia="MS Mincho"/>
                <w:b/>
              </w:rPr>
            </w:pPr>
            <w:r w:rsidRPr="009448FC">
              <w:rPr>
                <w:rFonts w:eastAsia="MS Mincho"/>
                <w:b/>
              </w:rPr>
              <w:t>Condition that selects this modulation</w:t>
            </w:r>
          </w:p>
        </w:tc>
      </w:tr>
      <w:tr w:rsidR="00D0037C" w:rsidRPr="00066F65" w:rsidTr="00D0037C">
        <w:tc>
          <w:tcPr>
            <w:tcW w:w="1548" w:type="dxa"/>
            <w:vMerge/>
          </w:tcPr>
          <w:p w:rsidR="009E0B1E" w:rsidRPr="009448FC" w:rsidRDefault="009E0B1E" w:rsidP="00D0037C">
            <w:pPr>
              <w:jc w:val="center"/>
              <w:rPr>
                <w:rFonts w:eastAsia="MS Mincho"/>
                <w:b/>
              </w:rPr>
            </w:pPr>
          </w:p>
        </w:tc>
        <w:tc>
          <w:tcPr>
            <w:tcW w:w="2700" w:type="dxa"/>
            <w:vMerge/>
          </w:tcPr>
          <w:p w:rsidR="009E0B1E" w:rsidRPr="009448FC" w:rsidRDefault="009E0B1E" w:rsidP="00D0037C">
            <w:pPr>
              <w:jc w:val="center"/>
              <w:rPr>
                <w:rFonts w:eastAsia="MS Mincho"/>
                <w:b/>
              </w:rPr>
            </w:pPr>
          </w:p>
        </w:tc>
        <w:tc>
          <w:tcPr>
            <w:tcW w:w="3960" w:type="dxa"/>
          </w:tcPr>
          <w:p w:rsidR="009E0B1E" w:rsidRPr="009448FC" w:rsidRDefault="009E0B1E" w:rsidP="00D0037C">
            <w:pPr>
              <w:jc w:val="center"/>
              <w:rPr>
                <w:rFonts w:eastAsia="MS Mincho"/>
                <w:b/>
              </w:rPr>
            </w:pPr>
            <w:r w:rsidRPr="009448FC">
              <w:rPr>
                <w:rFonts w:eastAsia="Batang"/>
                <w:b/>
              </w:rPr>
              <w:t xml:space="preserve">PHYs defined by Clauses 14, 15, 16, 17, 18, </w:t>
            </w:r>
            <w:r w:rsidR="00DA1E9B" w:rsidRPr="009448FC">
              <w:rPr>
                <w:rFonts w:eastAsia="Batang"/>
                <w:b/>
              </w:rPr>
              <w:t>19</w:t>
            </w:r>
            <w:r w:rsidRPr="009448FC">
              <w:rPr>
                <w:rFonts w:eastAsia="Batang"/>
                <w:b/>
              </w:rPr>
              <w:t xml:space="preserve"> </w:t>
            </w:r>
            <w:r w:rsidRPr="00066F65">
              <w:rPr>
                <w:rFonts w:eastAsia="Batang"/>
                <w:b/>
                <w:bCs/>
                <w:szCs w:val="22"/>
                <w:u w:val="single"/>
                <w:lang w:eastAsia="ja-JP" w:bidi="ar-SA"/>
              </w:rPr>
              <w:t xml:space="preserve">or </w:t>
            </w:r>
            <w:r w:rsidR="00DA1E9B" w:rsidRPr="00066F65">
              <w:rPr>
                <w:rFonts w:eastAsia="Batang"/>
                <w:b/>
                <w:bCs/>
                <w:szCs w:val="22"/>
                <w:u w:val="single"/>
                <w:lang w:eastAsia="ja-JP" w:bidi="ar-SA"/>
              </w:rPr>
              <w:t>21</w:t>
            </w:r>
          </w:p>
        </w:tc>
        <w:tc>
          <w:tcPr>
            <w:tcW w:w="1908" w:type="dxa"/>
          </w:tcPr>
          <w:p w:rsidR="009E0B1E" w:rsidRPr="009448FC" w:rsidRDefault="009E0B1E" w:rsidP="00D0037C">
            <w:pPr>
              <w:jc w:val="center"/>
              <w:rPr>
                <w:rFonts w:eastAsia="MS Mincho"/>
                <w:b/>
              </w:rPr>
            </w:pPr>
            <w:r w:rsidRPr="009448FC">
              <w:rPr>
                <w:rFonts w:eastAsia="MS Mincho"/>
                <w:b/>
              </w:rPr>
              <w:t>Clause 20 PHY</w:t>
            </w:r>
          </w:p>
        </w:tc>
      </w:tr>
      <w:tr w:rsidR="00D0037C" w:rsidRPr="00066F65" w:rsidTr="00D0037C">
        <w:tc>
          <w:tcPr>
            <w:tcW w:w="1548" w:type="dxa"/>
          </w:tcPr>
          <w:p w:rsidR="009E0B1E" w:rsidRPr="00066F65" w:rsidRDefault="009E0B1E" w:rsidP="00D0037C">
            <w:pPr>
              <w:jc w:val="center"/>
              <w:rPr>
                <w:rFonts w:eastAsia="MS Mincho"/>
                <w:szCs w:val="22"/>
                <w:u w:val="single"/>
                <w:lang w:eastAsia="ko-KR"/>
              </w:rPr>
            </w:pPr>
            <w:r w:rsidRPr="00066F65">
              <w:rPr>
                <w:rFonts w:eastAsia="MS Mincho"/>
                <w:szCs w:val="22"/>
                <w:u w:val="single"/>
                <w:lang w:eastAsia="ko-KR"/>
              </w:rPr>
              <w:t>9</w:t>
            </w:r>
          </w:p>
        </w:tc>
        <w:tc>
          <w:tcPr>
            <w:tcW w:w="270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mmWave Control</w:t>
            </w:r>
          </w:p>
        </w:tc>
        <w:tc>
          <w:tcPr>
            <w:tcW w:w="396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 xml:space="preserve">Clause </w:t>
            </w:r>
            <w:fldSimple w:instr=" REF _Ref243723820 \r \h  \* MERGEFORMAT ">
              <w:r w:rsidR="003E4210" w:rsidRPr="003E4210">
                <w:rPr>
                  <w:rFonts w:eastAsia="MS Mincho"/>
                  <w:szCs w:val="22"/>
                  <w:u w:val="single"/>
                  <w:lang w:eastAsia="ko-KR"/>
                </w:rPr>
                <w:t>21.4</w:t>
              </w:r>
            </w:fldSimple>
            <w:r w:rsidR="009F484C" w:rsidRPr="00066F65">
              <w:rPr>
                <w:rFonts w:eastAsia="MS Mincho"/>
                <w:szCs w:val="22"/>
                <w:u w:val="single"/>
                <w:lang w:eastAsia="ko-KR"/>
              </w:rPr>
              <w:t xml:space="preserve"> </w:t>
            </w:r>
            <w:r w:rsidRPr="00066F65">
              <w:rPr>
                <w:rFonts w:eastAsia="MS Mincho"/>
                <w:szCs w:val="22"/>
                <w:u w:val="single"/>
                <w:lang w:eastAsia="ko-KR"/>
              </w:rPr>
              <w:t>transmission</w:t>
            </w:r>
          </w:p>
        </w:tc>
        <w:tc>
          <w:tcPr>
            <w:tcW w:w="1908"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NA</w:t>
            </w:r>
          </w:p>
        </w:tc>
      </w:tr>
      <w:tr w:rsidR="00D0037C" w:rsidRPr="00066F65" w:rsidTr="00D0037C">
        <w:tc>
          <w:tcPr>
            <w:tcW w:w="1548" w:type="dxa"/>
          </w:tcPr>
          <w:p w:rsidR="009E0B1E" w:rsidRPr="00066F65" w:rsidRDefault="009E0B1E" w:rsidP="00D0037C">
            <w:pPr>
              <w:jc w:val="center"/>
              <w:rPr>
                <w:rFonts w:eastAsia="MS Mincho"/>
                <w:szCs w:val="22"/>
                <w:u w:val="single"/>
                <w:lang w:eastAsia="ko-KR"/>
              </w:rPr>
            </w:pPr>
            <w:r w:rsidRPr="00066F65">
              <w:rPr>
                <w:rFonts w:eastAsia="MS Mincho"/>
                <w:szCs w:val="22"/>
                <w:u w:val="single"/>
                <w:lang w:eastAsia="ko-KR"/>
              </w:rPr>
              <w:t>10</w:t>
            </w:r>
          </w:p>
        </w:tc>
        <w:tc>
          <w:tcPr>
            <w:tcW w:w="270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mmWave SC</w:t>
            </w:r>
          </w:p>
        </w:tc>
        <w:tc>
          <w:tcPr>
            <w:tcW w:w="396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 xml:space="preserve">Clause </w:t>
            </w:r>
            <w:fldSimple w:instr=" REF _Ref243723887 \r \h  \* MERGEFORMAT ">
              <w:r w:rsidR="003E4210" w:rsidRPr="003E4210">
                <w:rPr>
                  <w:rFonts w:eastAsia="MS Mincho"/>
                  <w:szCs w:val="22"/>
                  <w:u w:val="single"/>
                  <w:lang w:eastAsia="ko-KR"/>
                </w:rPr>
                <w:t>21.6</w:t>
              </w:r>
            </w:fldSimple>
            <w:r w:rsidR="006E0EC9" w:rsidRPr="00066F65">
              <w:rPr>
                <w:rFonts w:eastAsia="MS Mincho"/>
                <w:szCs w:val="22"/>
                <w:u w:val="single"/>
                <w:lang w:eastAsia="ko-KR"/>
              </w:rPr>
              <w:t xml:space="preserve"> </w:t>
            </w:r>
            <w:r w:rsidRPr="00066F65">
              <w:rPr>
                <w:rFonts w:eastAsia="MS Mincho"/>
                <w:szCs w:val="22"/>
                <w:u w:val="single"/>
                <w:lang w:eastAsia="ko-KR"/>
              </w:rPr>
              <w:t>transmission</w:t>
            </w:r>
          </w:p>
        </w:tc>
        <w:tc>
          <w:tcPr>
            <w:tcW w:w="1908"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NA</w:t>
            </w:r>
          </w:p>
        </w:tc>
      </w:tr>
      <w:tr w:rsidR="00D0037C" w:rsidRPr="00066F65" w:rsidTr="00D0037C">
        <w:tc>
          <w:tcPr>
            <w:tcW w:w="1548" w:type="dxa"/>
          </w:tcPr>
          <w:p w:rsidR="009E0B1E" w:rsidRPr="00066F65" w:rsidRDefault="009E0B1E" w:rsidP="00D0037C">
            <w:pPr>
              <w:jc w:val="center"/>
              <w:rPr>
                <w:rFonts w:eastAsia="MS Mincho"/>
                <w:szCs w:val="22"/>
                <w:u w:val="single"/>
                <w:lang w:eastAsia="ko-KR"/>
              </w:rPr>
            </w:pPr>
            <w:r w:rsidRPr="00066F65">
              <w:rPr>
                <w:rFonts w:eastAsia="MS Mincho"/>
                <w:szCs w:val="22"/>
                <w:u w:val="single"/>
                <w:lang w:eastAsia="ko-KR"/>
              </w:rPr>
              <w:t>11</w:t>
            </w:r>
          </w:p>
        </w:tc>
        <w:tc>
          <w:tcPr>
            <w:tcW w:w="270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mmWave OFDM</w:t>
            </w:r>
          </w:p>
        </w:tc>
        <w:tc>
          <w:tcPr>
            <w:tcW w:w="396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 xml:space="preserve">Clause </w:t>
            </w:r>
            <w:fldSimple w:instr=" REF _Ref243723935 \r \h  \* MERGEFORMAT ">
              <w:r w:rsidR="003E4210" w:rsidRPr="003E4210">
                <w:rPr>
                  <w:rFonts w:eastAsia="MS Mincho"/>
                  <w:szCs w:val="22"/>
                  <w:u w:val="single"/>
                  <w:lang w:eastAsia="ko-KR"/>
                </w:rPr>
                <w:t>21.5</w:t>
              </w:r>
            </w:fldSimple>
            <w:r w:rsidR="00F92CEE" w:rsidRPr="00066F65">
              <w:rPr>
                <w:rFonts w:eastAsia="MS Mincho"/>
                <w:szCs w:val="22"/>
                <w:u w:val="single"/>
                <w:lang w:eastAsia="ko-KR"/>
              </w:rPr>
              <w:t xml:space="preserve"> </w:t>
            </w:r>
            <w:r w:rsidRPr="00066F65">
              <w:rPr>
                <w:rFonts w:eastAsia="MS Mincho"/>
                <w:szCs w:val="22"/>
                <w:u w:val="single"/>
                <w:lang w:eastAsia="ko-KR"/>
              </w:rPr>
              <w:t>transmission</w:t>
            </w:r>
          </w:p>
        </w:tc>
        <w:tc>
          <w:tcPr>
            <w:tcW w:w="1908"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NA</w:t>
            </w:r>
          </w:p>
        </w:tc>
      </w:tr>
      <w:tr w:rsidR="00DB30FF" w:rsidRPr="00066F65" w:rsidTr="00D0037C">
        <w:tc>
          <w:tcPr>
            <w:tcW w:w="1548" w:type="dxa"/>
          </w:tcPr>
          <w:p w:rsidR="00DB30FF" w:rsidRPr="00066F65" w:rsidRDefault="00DB30FF" w:rsidP="00D0037C">
            <w:pPr>
              <w:jc w:val="center"/>
              <w:rPr>
                <w:rFonts w:eastAsia="MS Mincho"/>
                <w:szCs w:val="22"/>
                <w:u w:val="single"/>
                <w:lang w:eastAsia="ko-KR"/>
              </w:rPr>
            </w:pPr>
            <w:r>
              <w:rPr>
                <w:rFonts w:eastAsia="MS Mincho"/>
                <w:szCs w:val="22"/>
                <w:u w:val="single"/>
                <w:lang w:eastAsia="ko-KR"/>
              </w:rPr>
              <w:t>12</w:t>
            </w:r>
          </w:p>
        </w:tc>
        <w:tc>
          <w:tcPr>
            <w:tcW w:w="2700" w:type="dxa"/>
          </w:tcPr>
          <w:p w:rsidR="00DB30FF" w:rsidRPr="00066F65" w:rsidRDefault="00DB30FF" w:rsidP="00D0037C">
            <w:pPr>
              <w:jc w:val="both"/>
              <w:rPr>
                <w:rFonts w:eastAsia="MS Mincho"/>
                <w:szCs w:val="22"/>
                <w:u w:val="single"/>
                <w:lang w:eastAsia="ko-KR"/>
              </w:rPr>
            </w:pPr>
            <w:r>
              <w:rPr>
                <w:rFonts w:eastAsia="MS Mincho"/>
                <w:szCs w:val="22"/>
                <w:u w:val="single"/>
                <w:lang w:eastAsia="ko-KR"/>
              </w:rPr>
              <w:t>mmWave low power SC</w:t>
            </w:r>
          </w:p>
        </w:tc>
        <w:tc>
          <w:tcPr>
            <w:tcW w:w="3960" w:type="dxa"/>
          </w:tcPr>
          <w:p w:rsidR="00DB30FF" w:rsidRPr="00066F65" w:rsidRDefault="00DB30FF" w:rsidP="00D0037C">
            <w:pPr>
              <w:jc w:val="both"/>
              <w:rPr>
                <w:rFonts w:eastAsia="MS Mincho"/>
                <w:szCs w:val="22"/>
                <w:u w:val="single"/>
                <w:lang w:eastAsia="ko-KR"/>
              </w:rPr>
            </w:pPr>
            <w:r>
              <w:rPr>
                <w:rFonts w:eastAsia="MS Mincho"/>
                <w:szCs w:val="22"/>
                <w:u w:val="single"/>
                <w:lang w:eastAsia="ko-KR"/>
              </w:rPr>
              <w:t xml:space="preserve">Clause </w:t>
            </w:r>
            <w:r w:rsidR="00BD151C">
              <w:rPr>
                <w:rFonts w:eastAsia="MS Mincho"/>
                <w:szCs w:val="22"/>
                <w:u w:val="single"/>
                <w:lang w:eastAsia="ko-KR"/>
              </w:rPr>
              <w:fldChar w:fldCharType="begin"/>
            </w:r>
            <w:r>
              <w:rPr>
                <w:rFonts w:eastAsia="MS Mincho"/>
                <w:szCs w:val="22"/>
                <w:u w:val="single"/>
                <w:lang w:eastAsia="ko-KR"/>
              </w:rPr>
              <w:instrText xml:space="preserve"> REF _Ref251937576 \r \h </w:instrText>
            </w:r>
            <w:r w:rsidR="00BD151C">
              <w:rPr>
                <w:rFonts w:eastAsia="MS Mincho"/>
                <w:szCs w:val="22"/>
                <w:u w:val="single"/>
                <w:lang w:eastAsia="ko-KR"/>
              </w:rPr>
            </w:r>
            <w:r w:rsidR="00BD151C">
              <w:rPr>
                <w:rFonts w:eastAsia="MS Mincho"/>
                <w:szCs w:val="22"/>
                <w:u w:val="single"/>
                <w:lang w:eastAsia="ko-KR"/>
              </w:rPr>
              <w:fldChar w:fldCharType="separate"/>
            </w:r>
            <w:r w:rsidR="003E4210">
              <w:rPr>
                <w:rFonts w:eastAsia="MS Mincho"/>
                <w:szCs w:val="22"/>
                <w:u w:val="single"/>
                <w:lang w:eastAsia="ko-KR"/>
              </w:rPr>
              <w:t>21.7</w:t>
            </w:r>
            <w:r w:rsidR="00BD151C">
              <w:rPr>
                <w:rFonts w:eastAsia="MS Mincho"/>
                <w:szCs w:val="22"/>
                <w:u w:val="single"/>
                <w:lang w:eastAsia="ko-KR"/>
              </w:rPr>
              <w:fldChar w:fldCharType="end"/>
            </w:r>
            <w:r>
              <w:rPr>
                <w:rFonts w:eastAsia="MS Mincho"/>
                <w:szCs w:val="22"/>
                <w:u w:val="single"/>
                <w:lang w:eastAsia="ko-KR"/>
              </w:rPr>
              <w:t xml:space="preserve"> transmission</w:t>
            </w:r>
          </w:p>
        </w:tc>
        <w:tc>
          <w:tcPr>
            <w:tcW w:w="1908" w:type="dxa"/>
          </w:tcPr>
          <w:p w:rsidR="00DB30FF" w:rsidRPr="00066F65" w:rsidRDefault="00DB30FF" w:rsidP="00D0037C">
            <w:pPr>
              <w:jc w:val="both"/>
              <w:rPr>
                <w:rFonts w:eastAsia="MS Mincho"/>
                <w:szCs w:val="22"/>
                <w:u w:val="single"/>
                <w:lang w:eastAsia="ko-KR"/>
              </w:rPr>
            </w:pPr>
            <w:r>
              <w:rPr>
                <w:rFonts w:eastAsia="MS Mincho"/>
                <w:szCs w:val="22"/>
                <w:u w:val="single"/>
                <w:lang w:eastAsia="ko-KR"/>
              </w:rPr>
              <w:t>NA</w:t>
            </w:r>
          </w:p>
        </w:tc>
      </w:tr>
    </w:tbl>
    <w:p w:rsidR="007533BE" w:rsidRPr="00066F65" w:rsidRDefault="007533BE" w:rsidP="00934364">
      <w:pPr>
        <w:rPr>
          <w:rFonts w:eastAsia="MS Mincho"/>
          <w:u w:val="single"/>
          <w:lang w:eastAsia="ko-KR"/>
        </w:rPr>
      </w:pPr>
    </w:p>
    <w:p w:rsidR="00D4563E" w:rsidRPr="009448FC" w:rsidRDefault="00D4563E" w:rsidP="00D4563E">
      <w:pPr>
        <w:pStyle w:val="Heading2"/>
        <w:rPr>
          <w:u w:val="none"/>
        </w:rPr>
      </w:pPr>
      <w:bookmarkStart w:id="1121" w:name="_Toc259717092"/>
      <w:r w:rsidRPr="009448FC">
        <w:rPr>
          <w:u w:val="none"/>
        </w:rPr>
        <w:t>9.7c A-MSDU operation</w:t>
      </w:r>
      <w:bookmarkEnd w:id="1121"/>
    </w:p>
    <w:p w:rsidR="00D4563E" w:rsidRPr="009448FC" w:rsidRDefault="00D4563E" w:rsidP="00D4563E">
      <w:pPr>
        <w:rPr>
          <w:i/>
        </w:rPr>
      </w:pPr>
    </w:p>
    <w:p w:rsidR="00D4563E" w:rsidRPr="009448FC" w:rsidRDefault="00D4563E" w:rsidP="00D4563E">
      <w:pPr>
        <w:rPr>
          <w:i/>
        </w:rPr>
      </w:pPr>
      <w:r w:rsidRPr="009448FC">
        <w:rPr>
          <w:i/>
        </w:rPr>
        <w:t xml:space="preserve">.11 Editor instructions: Insert at start of the sub clause: </w:t>
      </w:r>
    </w:p>
    <w:p w:rsidR="0080280C" w:rsidRPr="009448FC" w:rsidRDefault="0080280C" w:rsidP="00D4563E"/>
    <w:p w:rsidR="00B225BA" w:rsidRPr="00066F65" w:rsidRDefault="00B225BA" w:rsidP="00B225BA">
      <w:pPr>
        <w:rPr>
          <w:rFonts w:eastAsia="Batang"/>
          <w:color w:val="000000"/>
          <w:u w:val="single"/>
          <w:lang w:eastAsia="ko-KR"/>
        </w:rPr>
      </w:pPr>
      <w:r w:rsidRPr="00066F65">
        <w:rPr>
          <w:rFonts w:eastAsia="Batang"/>
          <w:color w:val="000000"/>
          <w:u w:val="single"/>
          <w:lang w:eastAsia="ko-KR"/>
        </w:rPr>
        <w:t xml:space="preserve">The transmitter of frames for a TID corresponding to a PTP TSPEC shall use format that is the result of the PTP TSPEC negotiation for that TID. The A-MSDU subframe format is negotiated using the PTP TSPEC </w:t>
      </w:r>
      <w:r w:rsidRPr="00066F65">
        <w:rPr>
          <w:iCs/>
          <w:u w:val="single"/>
        </w:rPr>
        <w:t>(</w:t>
      </w:r>
      <w:r w:rsidR="00BD151C" w:rsidRPr="00066F65">
        <w:rPr>
          <w:iCs/>
          <w:u w:val="single"/>
        </w:rPr>
        <w:fldChar w:fldCharType="begin"/>
      </w:r>
      <w:r w:rsidRPr="00066F65">
        <w:rPr>
          <w:iCs/>
          <w:u w:val="single"/>
        </w:rPr>
        <w:instrText xml:space="preserve"> REF _Ref244146312 \r \h </w:instrText>
      </w:r>
      <w:r w:rsidR="00BD151C" w:rsidRPr="00066F65">
        <w:rPr>
          <w:iCs/>
          <w:u w:val="single"/>
        </w:rPr>
      </w:r>
      <w:r w:rsidR="00BD151C" w:rsidRPr="00066F65">
        <w:rPr>
          <w:iCs/>
          <w:u w:val="single"/>
        </w:rPr>
        <w:fldChar w:fldCharType="separate"/>
      </w:r>
      <w:r w:rsidR="003E4210">
        <w:rPr>
          <w:iCs/>
          <w:u w:val="single"/>
        </w:rPr>
        <w:t>7.3.2.30</w:t>
      </w:r>
      <w:r w:rsidR="00BD151C" w:rsidRPr="00066F65">
        <w:rPr>
          <w:iCs/>
          <w:u w:val="single"/>
        </w:rPr>
        <w:fldChar w:fldCharType="end"/>
      </w:r>
      <w:r w:rsidRPr="00066F65">
        <w:rPr>
          <w:iCs/>
          <w:u w:val="single"/>
        </w:rPr>
        <w:t>)</w:t>
      </w:r>
      <w:r w:rsidRPr="00066F65">
        <w:rPr>
          <w:rFonts w:eastAsia="Batang"/>
          <w:color w:val="000000"/>
          <w:u w:val="single"/>
          <w:lang w:eastAsia="ko-KR"/>
        </w:rPr>
        <w:t>: the Short A-MSDU subframe format shall not be used for frames of the corresponding flow if the A-MSDU subframe field of the P2P TSPEC element is set to 0 either in the ADDTS request frame or in the ADDTS response frame. Prior to PTP TSPEC negotiation, a STA shall use the A-MSDU subframe format if the STA employs MSDU aggregation.</w:t>
      </w:r>
      <w:r w:rsidR="00D11F2E">
        <w:rPr>
          <w:rFonts w:eastAsia="Batang"/>
          <w:color w:val="000000"/>
          <w:u w:val="single"/>
          <w:lang w:eastAsia="ko-KR"/>
        </w:rPr>
        <w:t xml:space="preserve"> </w:t>
      </w:r>
    </w:p>
    <w:p w:rsidR="00B225BA" w:rsidRPr="009448FC" w:rsidRDefault="00B225BA" w:rsidP="00D4563E">
      <w:pPr>
        <w:rPr>
          <w:color w:val="000000"/>
        </w:rPr>
      </w:pPr>
    </w:p>
    <w:p w:rsidR="007F20A2" w:rsidRPr="009448FC" w:rsidRDefault="007F20A2" w:rsidP="007F20A2">
      <w:pPr>
        <w:pStyle w:val="Heading2"/>
        <w:rPr>
          <w:u w:val="none"/>
        </w:rPr>
      </w:pPr>
      <w:bookmarkStart w:id="1122" w:name="_Toc259717093"/>
      <w:r w:rsidRPr="009448FC">
        <w:rPr>
          <w:u w:val="none"/>
        </w:rPr>
        <w:lastRenderedPageBreak/>
        <w:t>9.7d A-MPDU operation</w:t>
      </w:r>
      <w:bookmarkEnd w:id="1122"/>
    </w:p>
    <w:p w:rsidR="007F20A2" w:rsidRPr="009448FC" w:rsidRDefault="007F20A2" w:rsidP="00D4563E">
      <w:pPr>
        <w:rPr>
          <w:rFonts w:eastAsia="MS Mincho"/>
        </w:rPr>
      </w:pPr>
    </w:p>
    <w:p w:rsidR="007F20A2" w:rsidRPr="009448FC" w:rsidRDefault="007F20A2" w:rsidP="007F20A2">
      <w:pPr>
        <w:pStyle w:val="Heading3"/>
      </w:pPr>
      <w:bookmarkStart w:id="1123" w:name="_Toc259717094"/>
      <w:r w:rsidRPr="009448FC">
        <w:t>9.7d.1 A-MPDU contents</w:t>
      </w:r>
      <w:bookmarkEnd w:id="1123"/>
    </w:p>
    <w:p w:rsidR="007F20A2" w:rsidRPr="009448FC" w:rsidRDefault="007F20A2" w:rsidP="007F20A2">
      <w:pPr>
        <w:rPr>
          <w:b/>
        </w:rPr>
      </w:pPr>
    </w:p>
    <w:p w:rsidR="007F20A2" w:rsidRPr="009448FC" w:rsidRDefault="007F20A2" w:rsidP="007F20A2">
      <w:pPr>
        <w:outlineLvl w:val="0"/>
        <w:rPr>
          <w:i/>
        </w:rPr>
      </w:pPr>
      <w:r w:rsidRPr="009448FC">
        <w:rPr>
          <w:i/>
        </w:rPr>
        <w:t xml:space="preserve">.11 Editor Note: Add </w:t>
      </w:r>
      <w:r w:rsidR="006E1C2B" w:rsidRPr="009448FC">
        <w:rPr>
          <w:i/>
        </w:rPr>
        <w:t xml:space="preserve">the following </w:t>
      </w:r>
      <w:r w:rsidRPr="009448FC">
        <w:rPr>
          <w:i/>
        </w:rPr>
        <w:t>paragraph</w:t>
      </w:r>
      <w:r w:rsidR="006E1C2B" w:rsidRPr="009448FC">
        <w:rPr>
          <w:i/>
        </w:rPr>
        <w:t>s</w:t>
      </w:r>
      <w:r w:rsidRPr="009448FC">
        <w:rPr>
          <w:i/>
        </w:rPr>
        <w:t xml:space="preserve"> at end of the sub clause:</w:t>
      </w:r>
    </w:p>
    <w:p w:rsidR="0080280C" w:rsidRPr="009448FC" w:rsidRDefault="0080280C" w:rsidP="007F20A2">
      <w:pPr>
        <w:outlineLvl w:val="0"/>
        <w:rPr>
          <w:i/>
        </w:rPr>
      </w:pPr>
    </w:p>
    <w:p w:rsidR="007F20A2" w:rsidRPr="00066F65" w:rsidRDefault="0035361B" w:rsidP="007F20A2">
      <w:pPr>
        <w:rPr>
          <w:u w:val="single"/>
        </w:rPr>
      </w:pPr>
      <w:r w:rsidRPr="00066F65">
        <w:rPr>
          <w:u w:val="single"/>
        </w:rPr>
        <w:t>An mSTA shall transmit an A-MPDU in either the Data Enabled Immediate Response context or the Control Response context specified in Table 7-57w.</w:t>
      </w:r>
      <w:r w:rsidR="00D11F2E">
        <w:rPr>
          <w:u w:val="single"/>
        </w:rPr>
        <w:t xml:space="preserve"> </w:t>
      </w:r>
    </w:p>
    <w:p w:rsidR="0035361B" w:rsidRPr="00066F65" w:rsidRDefault="0035361B" w:rsidP="007F20A2">
      <w:pPr>
        <w:rPr>
          <w:u w:val="single"/>
        </w:rPr>
      </w:pPr>
    </w:p>
    <w:p w:rsidR="007F20A2" w:rsidRPr="00066F65" w:rsidRDefault="0035361B" w:rsidP="007F20A2">
      <w:pPr>
        <w:outlineLvl w:val="0"/>
        <w:rPr>
          <w:u w:val="single"/>
        </w:rPr>
      </w:pPr>
      <w:r w:rsidRPr="00066F65">
        <w:rPr>
          <w:u w:val="single"/>
        </w:rPr>
        <w:t>The contents of an A-MPDU transmitted by an mSTA in the data enabled immediate response context shall be the ACK MPDU, or the HT-immediate BlockAck, or the Action No Ack as specified in Table 7-57x.</w:t>
      </w:r>
      <w:r w:rsidR="00D11F2E">
        <w:rPr>
          <w:u w:val="single"/>
        </w:rPr>
        <w:t xml:space="preserve"> </w:t>
      </w:r>
    </w:p>
    <w:p w:rsidR="007F20A2" w:rsidRPr="00066F65" w:rsidRDefault="007F20A2" w:rsidP="007F20A2">
      <w:pPr>
        <w:rPr>
          <w:b/>
          <w:bCs/>
          <w:i/>
          <w:iCs/>
          <w:u w:val="single"/>
        </w:rPr>
      </w:pPr>
    </w:p>
    <w:p w:rsidR="007F20A2" w:rsidRPr="009448FC" w:rsidRDefault="007F20A2" w:rsidP="007F20A2">
      <w:pPr>
        <w:pStyle w:val="Heading3"/>
      </w:pPr>
      <w:bookmarkStart w:id="1124" w:name="_Toc259717095"/>
      <w:r w:rsidRPr="009448FC">
        <w:t>9.7d.2 A-MPDU length limit rules</w:t>
      </w:r>
      <w:bookmarkEnd w:id="1124"/>
    </w:p>
    <w:p w:rsidR="0080280C" w:rsidRPr="009448FC" w:rsidRDefault="0080280C" w:rsidP="007F20A2">
      <w:pPr>
        <w:outlineLvl w:val="0"/>
        <w:rPr>
          <w:i/>
        </w:rPr>
      </w:pPr>
    </w:p>
    <w:p w:rsidR="007F20A2" w:rsidRPr="009448FC" w:rsidRDefault="007F20A2" w:rsidP="007F20A2">
      <w:pPr>
        <w:outlineLvl w:val="0"/>
        <w:rPr>
          <w:i/>
        </w:rPr>
      </w:pPr>
      <w:r w:rsidRPr="009448FC">
        <w:rPr>
          <w:i/>
        </w:rPr>
        <w:t>.11 Editor Note: change all occurrences of “</w:t>
      </w:r>
      <w:r w:rsidRPr="009448FC">
        <w:t>HT</w:t>
      </w:r>
      <w:r w:rsidRPr="009448FC">
        <w:rPr>
          <w:i/>
        </w:rPr>
        <w:t>” by “</w:t>
      </w:r>
      <w:r w:rsidRPr="009448FC">
        <w:t>HT/mmWave</w:t>
      </w:r>
      <w:r w:rsidRPr="009448FC">
        <w:rPr>
          <w:i/>
        </w:rPr>
        <w:t>” and of “</w:t>
      </w:r>
      <w:r w:rsidRPr="009448FC">
        <w:t>Table 7-43l</w:t>
      </w:r>
      <w:r w:rsidRPr="009448FC">
        <w:rPr>
          <w:i/>
        </w:rPr>
        <w:t>” by “</w:t>
      </w:r>
      <w:r w:rsidRPr="009448FC">
        <w:t xml:space="preserve">Table 7-43l </w:t>
      </w:r>
      <w:r w:rsidR="00FD4C59" w:rsidRPr="009448FC">
        <w:t>for an HT STA and in the mmWave Capabilities element for a</w:t>
      </w:r>
      <w:r w:rsidR="002F0A96" w:rsidRPr="009448FC">
        <w:t>n</w:t>
      </w:r>
      <w:r w:rsidR="00FD4C59" w:rsidRPr="009448FC">
        <w:t xml:space="preserve"> </w:t>
      </w:r>
      <w:r w:rsidR="00B96FB9" w:rsidRPr="009448FC">
        <w:t>mSTA</w:t>
      </w:r>
      <w:r w:rsidRPr="009448FC">
        <w:rPr>
          <w:i/>
        </w:rPr>
        <w:t>”</w:t>
      </w:r>
    </w:p>
    <w:p w:rsidR="007F20A2" w:rsidRPr="009448FC" w:rsidRDefault="007F20A2" w:rsidP="007F20A2">
      <w:pPr>
        <w:rPr>
          <w:b/>
          <w:i/>
        </w:rPr>
      </w:pPr>
    </w:p>
    <w:p w:rsidR="007F20A2" w:rsidRPr="009448FC" w:rsidRDefault="007F20A2" w:rsidP="007F20A2">
      <w:pPr>
        <w:pStyle w:val="Heading3"/>
      </w:pPr>
      <w:bookmarkStart w:id="1125" w:name="_Toc259717096"/>
      <w:r w:rsidRPr="009448FC">
        <w:t>9.7d.3 Minimum MPDU Start Spacing</w:t>
      </w:r>
      <w:bookmarkEnd w:id="1125"/>
    </w:p>
    <w:p w:rsidR="0080280C" w:rsidRPr="009448FC" w:rsidRDefault="0080280C" w:rsidP="00FD4C59">
      <w:pPr>
        <w:outlineLvl w:val="0"/>
        <w:rPr>
          <w:i/>
        </w:rPr>
      </w:pPr>
    </w:p>
    <w:p w:rsidR="00FD4C59" w:rsidRPr="009448FC" w:rsidRDefault="00FD4C59" w:rsidP="00FD4C59">
      <w:pPr>
        <w:outlineLvl w:val="0"/>
        <w:rPr>
          <w:i/>
        </w:rPr>
      </w:pPr>
      <w:r w:rsidRPr="009448FC">
        <w:rPr>
          <w:i/>
        </w:rPr>
        <w:t>.11 Editor Note: change all occurrences of “</w:t>
      </w:r>
      <w:r w:rsidRPr="009448FC">
        <w:t>HT</w:t>
      </w:r>
      <w:r w:rsidRPr="009448FC">
        <w:rPr>
          <w:i/>
        </w:rPr>
        <w:t>” by “</w:t>
      </w:r>
      <w:r w:rsidRPr="009448FC">
        <w:t>HT/mmWave</w:t>
      </w:r>
      <w:r w:rsidRPr="009448FC">
        <w:rPr>
          <w:i/>
        </w:rPr>
        <w:t>”, of “</w:t>
      </w:r>
      <w:r w:rsidRPr="009448FC">
        <w:t>Table 7-43l</w:t>
      </w:r>
      <w:r w:rsidRPr="009448FC">
        <w:rPr>
          <w:i/>
        </w:rPr>
        <w:t>” by “</w:t>
      </w:r>
      <w:r w:rsidRPr="009448FC">
        <w:t>Table 7-43l for an HT STA and in the mmWave Capabilities element for a</w:t>
      </w:r>
      <w:r w:rsidR="002F0A96" w:rsidRPr="009448FC">
        <w:t>n</w:t>
      </w:r>
      <w:r w:rsidRPr="009448FC">
        <w:t xml:space="preserve"> </w:t>
      </w:r>
      <w:r w:rsidR="00B96FB9" w:rsidRPr="009448FC">
        <w:t>mSTA</w:t>
      </w:r>
      <w:r w:rsidRPr="009448FC">
        <w:rPr>
          <w:i/>
        </w:rPr>
        <w:t>”, and of “</w:t>
      </w:r>
      <w:r w:rsidRPr="009448FC">
        <w:t>20.6</w:t>
      </w:r>
      <w:r w:rsidRPr="009448FC">
        <w:rPr>
          <w:i/>
        </w:rPr>
        <w:t>” by “</w:t>
      </w:r>
      <w:r w:rsidRPr="009448FC">
        <w:t>20.6 for an HT STA and 21 for a</w:t>
      </w:r>
      <w:r w:rsidR="002F0A96" w:rsidRPr="009448FC">
        <w:t>n</w:t>
      </w:r>
      <w:r w:rsidRPr="009448FC">
        <w:t xml:space="preserve"> </w:t>
      </w:r>
      <w:r w:rsidR="00B96FB9" w:rsidRPr="009448FC">
        <w:t>mSTA</w:t>
      </w:r>
      <w:r w:rsidRPr="009448FC">
        <w:rPr>
          <w:i/>
        </w:rPr>
        <w:t>”</w:t>
      </w:r>
    </w:p>
    <w:p w:rsidR="007F20A2" w:rsidRPr="009448FC" w:rsidRDefault="007F20A2" w:rsidP="007F20A2"/>
    <w:p w:rsidR="007F20A2" w:rsidRPr="009448FC" w:rsidRDefault="007F20A2" w:rsidP="007F20A2">
      <w:pPr>
        <w:pStyle w:val="Heading3"/>
      </w:pPr>
      <w:bookmarkStart w:id="1126" w:name="_Toc259717097"/>
      <w:r w:rsidRPr="009448FC">
        <w:t>9.7d.4 A-MPDU aggregation of group addressed data frames</w:t>
      </w:r>
      <w:bookmarkEnd w:id="1126"/>
    </w:p>
    <w:p w:rsidR="00583AF4" w:rsidRPr="009448FC" w:rsidRDefault="00583AF4" w:rsidP="007F20A2">
      <w:pPr>
        <w:outlineLvl w:val="0"/>
        <w:rPr>
          <w:i/>
          <w:sz w:val="28"/>
        </w:rPr>
      </w:pPr>
    </w:p>
    <w:p w:rsidR="00583AF4" w:rsidRPr="009448FC" w:rsidRDefault="00583AF4" w:rsidP="00614FFA">
      <w:pPr>
        <w:outlineLvl w:val="0"/>
        <w:rPr>
          <w:i/>
        </w:rPr>
      </w:pPr>
      <w:r w:rsidRPr="009448FC">
        <w:rPr>
          <w:i/>
        </w:rPr>
        <w:t xml:space="preserve">.11 Editor Note: Insert the following </w:t>
      </w:r>
      <w:r w:rsidR="00EB2051" w:rsidRPr="009448FC">
        <w:rPr>
          <w:i/>
        </w:rPr>
        <w:t>as the new 3</w:t>
      </w:r>
      <w:r w:rsidR="00EB2051" w:rsidRPr="009448FC">
        <w:rPr>
          <w:i/>
          <w:vertAlign w:val="superscript"/>
        </w:rPr>
        <w:t>rd</w:t>
      </w:r>
      <w:r w:rsidR="00EB2051" w:rsidRPr="009448FC">
        <w:rPr>
          <w:i/>
        </w:rPr>
        <w:t xml:space="preserve"> </w:t>
      </w:r>
      <w:r w:rsidRPr="009448FC">
        <w:rPr>
          <w:i/>
        </w:rPr>
        <w:t>paragraph: “</w:t>
      </w:r>
      <w:r w:rsidR="00EB2051" w:rsidRPr="009448FC">
        <w:t>A</w:t>
      </w:r>
      <w:r w:rsidR="00614FFA" w:rsidRPr="009448FC">
        <w:t>n mSTA</w:t>
      </w:r>
      <w:r w:rsidR="00EB2051" w:rsidRPr="009448FC">
        <w:t xml:space="preserve"> may transmit an A-MPDU containing MPDUs with a group addressed RA.</w:t>
      </w:r>
      <w:r w:rsidRPr="009448FC">
        <w:rPr>
          <w:i/>
        </w:rPr>
        <w:t>”</w:t>
      </w:r>
    </w:p>
    <w:p w:rsidR="00583AF4" w:rsidRPr="009448FC" w:rsidRDefault="00583AF4" w:rsidP="007F20A2">
      <w:pPr>
        <w:outlineLvl w:val="0"/>
        <w:rPr>
          <w:i/>
        </w:rPr>
      </w:pPr>
    </w:p>
    <w:p w:rsidR="007F20A2" w:rsidRPr="009448FC" w:rsidRDefault="007F20A2" w:rsidP="007F20A2">
      <w:pPr>
        <w:outlineLvl w:val="0"/>
        <w:rPr>
          <w:i/>
        </w:rPr>
      </w:pPr>
      <w:r w:rsidRPr="009448FC">
        <w:rPr>
          <w:i/>
        </w:rPr>
        <w:t xml:space="preserve">.11 Editor Note: </w:t>
      </w:r>
      <w:r w:rsidR="00EB2051" w:rsidRPr="009448FC">
        <w:rPr>
          <w:i/>
        </w:rPr>
        <w:t>change the last paragraph as follows:</w:t>
      </w:r>
    </w:p>
    <w:p w:rsidR="007F20A2" w:rsidRPr="00066F65" w:rsidRDefault="007F20A2" w:rsidP="00D4563E">
      <w:pPr>
        <w:rPr>
          <w:rFonts w:eastAsia="MS Mincho"/>
          <w:iCs/>
          <w:u w:val="single"/>
          <w:lang w:eastAsia="ko-KR"/>
        </w:rPr>
      </w:pPr>
    </w:p>
    <w:p w:rsidR="00EB2051" w:rsidRPr="009448FC" w:rsidRDefault="00EB2051" w:rsidP="00EB2051">
      <w:pPr>
        <w:outlineLvl w:val="0"/>
      </w:pPr>
      <w:r w:rsidRPr="009448FC">
        <w:t xml:space="preserve">When an HT AP </w:t>
      </w:r>
      <w:r w:rsidRPr="00066F65">
        <w:rPr>
          <w:iCs/>
          <w:u w:val="single"/>
        </w:rPr>
        <w:t xml:space="preserve">or </w:t>
      </w:r>
      <w:r w:rsidR="00017103" w:rsidRPr="00066F65">
        <w:rPr>
          <w:iCs/>
          <w:u w:val="single"/>
        </w:rPr>
        <w:t>a</w:t>
      </w:r>
      <w:r w:rsidR="002F0A96" w:rsidRPr="00066F65">
        <w:rPr>
          <w:iCs/>
          <w:u w:val="single"/>
        </w:rPr>
        <w:t>n</w:t>
      </w:r>
      <w:r w:rsidR="00017103" w:rsidRPr="00066F65">
        <w:rPr>
          <w:iCs/>
          <w:u w:val="single"/>
        </w:rPr>
        <w:t xml:space="preserve"> </w:t>
      </w:r>
      <w:r w:rsidR="00B96FB9" w:rsidRPr="00066F65">
        <w:rPr>
          <w:iCs/>
          <w:u w:val="single"/>
        </w:rPr>
        <w:t>mSTA</w:t>
      </w:r>
      <w:r w:rsidRPr="009448FC">
        <w:t xml:space="preserve"> transmits an A-MPDU containing MPDUs with a group addressed RA, both of the following shall apply:</w:t>
      </w:r>
    </w:p>
    <w:p w:rsidR="00EB2051" w:rsidRPr="009448FC" w:rsidRDefault="00EB2051" w:rsidP="00197B6C">
      <w:pPr>
        <w:ind w:left="720"/>
        <w:outlineLvl w:val="0"/>
      </w:pPr>
      <w:r w:rsidRPr="009448FC">
        <w:t xml:space="preserve">— the value of Maximum A-MPDU Length Exponent that applies is the minimum value in the Maximum A-MPDU Length Exponent subfield of the A-MPDU Parameters field of the HT Capabilities element across all HT STAs associated with the AP </w:t>
      </w:r>
      <w:r w:rsidRPr="00066F65">
        <w:rPr>
          <w:iCs/>
          <w:u w:val="single"/>
        </w:rPr>
        <w:t xml:space="preserve">or of the mmWave Capabilities element across all </w:t>
      </w:r>
      <w:r w:rsidR="00B96FB9" w:rsidRPr="00066F65">
        <w:rPr>
          <w:iCs/>
          <w:u w:val="single"/>
        </w:rPr>
        <w:t>mSTA</w:t>
      </w:r>
      <w:r w:rsidRPr="00066F65">
        <w:rPr>
          <w:iCs/>
          <w:u w:val="single"/>
        </w:rPr>
        <w:t>s associated with the PCP/AP</w:t>
      </w:r>
      <w:r w:rsidRPr="009448FC">
        <w:t>;</w:t>
      </w:r>
    </w:p>
    <w:p w:rsidR="00EB2051" w:rsidRPr="009448FC" w:rsidRDefault="00EB2051" w:rsidP="00197B6C">
      <w:pPr>
        <w:ind w:left="720"/>
        <w:outlineLvl w:val="0"/>
      </w:pPr>
      <w:r w:rsidRPr="009448FC">
        <w:t>— the value of Minimum MPDU Start Spacing that applies is the maximum value in the Minimum MPDU Start Spacing subfield of the A-MPDU Parameters field of the HT Capabilities element across all HT STAs associated with the AP</w:t>
      </w:r>
      <w:r w:rsidR="0068705C" w:rsidRPr="009448FC">
        <w:t xml:space="preserve"> </w:t>
      </w:r>
      <w:r w:rsidR="0068705C" w:rsidRPr="00066F65">
        <w:rPr>
          <w:iCs/>
          <w:u w:val="single"/>
        </w:rPr>
        <w:t xml:space="preserve">or of the mmWave Capabilities element across all </w:t>
      </w:r>
      <w:r w:rsidR="00B96FB9" w:rsidRPr="00066F65">
        <w:rPr>
          <w:iCs/>
          <w:u w:val="single"/>
        </w:rPr>
        <w:t>mSTA</w:t>
      </w:r>
      <w:r w:rsidR="0068705C" w:rsidRPr="00066F65">
        <w:rPr>
          <w:iCs/>
          <w:u w:val="single"/>
        </w:rPr>
        <w:t>s associated with the PCP/AP</w:t>
      </w:r>
      <w:r w:rsidRPr="009448FC">
        <w:t>.</w:t>
      </w:r>
    </w:p>
    <w:p w:rsidR="00EB2051" w:rsidRPr="00066F65" w:rsidRDefault="00EB2051" w:rsidP="00D4563E">
      <w:pPr>
        <w:rPr>
          <w:rFonts w:eastAsia="MS Mincho"/>
          <w:iCs/>
          <w:u w:val="single"/>
          <w:lang w:eastAsia="ko-KR"/>
        </w:rPr>
      </w:pPr>
    </w:p>
    <w:p w:rsidR="00261EE5" w:rsidRPr="009448FC" w:rsidRDefault="00261EE5" w:rsidP="00261EE5">
      <w:pPr>
        <w:pStyle w:val="Heading2"/>
        <w:rPr>
          <w:u w:val="none"/>
        </w:rPr>
      </w:pPr>
      <w:bookmarkStart w:id="1127" w:name="_Toc259717098"/>
      <w:r w:rsidRPr="009448FC">
        <w:rPr>
          <w:u w:val="none"/>
        </w:rPr>
        <w:lastRenderedPageBreak/>
        <w:t>9.7e PPDU duration constraint</w:t>
      </w:r>
      <w:bookmarkEnd w:id="1127"/>
    </w:p>
    <w:p w:rsidR="00261EE5" w:rsidRPr="009448FC" w:rsidRDefault="00261EE5" w:rsidP="00261EE5">
      <w:pPr>
        <w:rPr>
          <w:rFonts w:eastAsia="MS Mincho"/>
        </w:rPr>
      </w:pPr>
    </w:p>
    <w:p w:rsidR="00261EE5" w:rsidRPr="009448FC" w:rsidRDefault="00261EE5" w:rsidP="00261EE5">
      <w:pPr>
        <w:autoSpaceDE w:val="0"/>
        <w:autoSpaceDN w:val="0"/>
        <w:adjustRightInd w:val="0"/>
        <w:rPr>
          <w:b/>
        </w:rPr>
      </w:pPr>
      <w:r w:rsidRPr="009448FC">
        <w:rPr>
          <w:i/>
        </w:rPr>
        <w:t>.11 Editor’s instructions: add at end of the subclause</w:t>
      </w:r>
    </w:p>
    <w:p w:rsidR="00261EE5" w:rsidRPr="00066F65" w:rsidRDefault="00261EE5" w:rsidP="00261EE5">
      <w:pPr>
        <w:rPr>
          <w:u w:val="single"/>
        </w:rPr>
      </w:pPr>
      <w:r w:rsidRPr="00066F65">
        <w:rPr>
          <w:u w:val="single"/>
        </w:rPr>
        <w:t>A</w:t>
      </w:r>
      <w:r w:rsidR="002F0A96" w:rsidRPr="00066F65">
        <w:rPr>
          <w:u w:val="single"/>
        </w:rPr>
        <w:t>n</w:t>
      </w:r>
      <w:r w:rsidRPr="00066F65">
        <w:rPr>
          <w:u w:val="single"/>
        </w:rPr>
        <w:t xml:space="preserve"> </w:t>
      </w:r>
      <w:r w:rsidR="00B96FB9" w:rsidRPr="00066F65">
        <w:rPr>
          <w:u w:val="single"/>
        </w:rPr>
        <w:t>mSTA</w:t>
      </w:r>
      <w:r w:rsidRPr="00066F65">
        <w:rPr>
          <w:u w:val="single"/>
        </w:rPr>
        <w:t xml:space="preserve"> shall not transmit a PPDU that has a duration (as determined by the PHY-TXTIME.confirm primitive defined in 10.4.6) that is greater than aMMWavePPDUMaxTime. </w:t>
      </w:r>
    </w:p>
    <w:p w:rsidR="00261EE5" w:rsidRPr="00066F65" w:rsidRDefault="00261EE5" w:rsidP="00D4563E">
      <w:pPr>
        <w:rPr>
          <w:rFonts w:eastAsia="MS Mincho"/>
          <w:iCs/>
          <w:u w:val="single"/>
          <w:lang w:eastAsia="ko-KR"/>
        </w:rPr>
      </w:pPr>
    </w:p>
    <w:p w:rsidR="00ED438E" w:rsidRPr="009448FC" w:rsidRDefault="00ED438E" w:rsidP="00ED438E">
      <w:pPr>
        <w:pStyle w:val="Heading2"/>
        <w:rPr>
          <w:u w:val="none"/>
        </w:rPr>
      </w:pPr>
      <w:bookmarkStart w:id="1128" w:name="_Toc259717099"/>
      <w:r w:rsidRPr="009448FC">
        <w:rPr>
          <w:u w:val="none"/>
        </w:rPr>
        <w:t>9.8 Operation across regulatory domains</w:t>
      </w:r>
      <w:bookmarkEnd w:id="1128"/>
    </w:p>
    <w:p w:rsidR="00ED438E" w:rsidRPr="00066F65" w:rsidRDefault="00ED438E" w:rsidP="00D4563E">
      <w:pPr>
        <w:rPr>
          <w:rFonts w:eastAsia="MS Mincho"/>
          <w:iCs/>
          <w:u w:val="single"/>
          <w:lang w:eastAsia="ko-KR"/>
        </w:rPr>
      </w:pPr>
    </w:p>
    <w:p w:rsidR="00ED438E" w:rsidRPr="009448FC" w:rsidRDefault="00ED438E" w:rsidP="00ED438E">
      <w:pPr>
        <w:rPr>
          <w:i/>
        </w:rPr>
      </w:pPr>
      <w:r w:rsidRPr="009448FC">
        <w:rPr>
          <w:i/>
        </w:rPr>
        <w:t>.11 Editor Note: throughout this subclause, replace all occurrences of “</w:t>
      </w:r>
      <w:r w:rsidRPr="009448FC">
        <w:t>Beacon</w:t>
      </w:r>
      <w:r w:rsidRPr="009448FC">
        <w:rPr>
          <w:i/>
        </w:rPr>
        <w:t>” by “</w:t>
      </w:r>
      <w:r w:rsidRPr="009448FC">
        <w:t>Beacon/mmWave Beacon</w:t>
      </w:r>
      <w:r w:rsidRPr="009448FC">
        <w:rPr>
          <w:i/>
        </w:rPr>
        <w:t>”</w:t>
      </w:r>
    </w:p>
    <w:p w:rsidR="00ED438E" w:rsidRPr="00066F65" w:rsidRDefault="00ED438E" w:rsidP="00ED438E">
      <w:pPr>
        <w:rPr>
          <w:rFonts w:eastAsia="MS Mincho"/>
          <w:iCs/>
          <w:u w:val="single"/>
          <w:lang w:eastAsia="ko-KR"/>
        </w:rPr>
      </w:pPr>
    </w:p>
    <w:p w:rsidR="00ED438E" w:rsidRPr="009448FC" w:rsidRDefault="00ED438E" w:rsidP="00ED438E">
      <w:pPr>
        <w:rPr>
          <w:i/>
        </w:rPr>
      </w:pPr>
      <w:r w:rsidRPr="009448FC">
        <w:rPr>
          <w:i/>
        </w:rPr>
        <w:t>.11 Editor Note: throughout this subclause, replace all occurrences of “</w:t>
      </w:r>
      <w:r w:rsidRPr="009448FC">
        <w:t>AP</w:t>
      </w:r>
      <w:r w:rsidRPr="009448FC">
        <w:rPr>
          <w:i/>
        </w:rPr>
        <w:t>” by “</w:t>
      </w:r>
      <w:r w:rsidRPr="009448FC">
        <w:t>AP/PCP</w:t>
      </w:r>
      <w:r w:rsidRPr="009448FC">
        <w:rPr>
          <w:i/>
        </w:rPr>
        <w:t>”</w:t>
      </w:r>
    </w:p>
    <w:p w:rsidR="00ED438E" w:rsidRPr="00066F65" w:rsidRDefault="00ED438E" w:rsidP="00D4563E">
      <w:pPr>
        <w:rPr>
          <w:rFonts w:eastAsia="MS Mincho"/>
          <w:iCs/>
          <w:u w:val="single"/>
          <w:lang w:eastAsia="ko-KR"/>
        </w:rPr>
      </w:pPr>
    </w:p>
    <w:p w:rsidR="006C671C" w:rsidRPr="009448FC" w:rsidRDefault="006C671C" w:rsidP="00640E19">
      <w:pPr>
        <w:pStyle w:val="Heading2"/>
        <w:rPr>
          <w:u w:val="none"/>
        </w:rPr>
      </w:pPr>
      <w:bookmarkStart w:id="1129" w:name="_Toc259717100"/>
      <w:r w:rsidRPr="009448FC">
        <w:rPr>
          <w:u w:val="none"/>
        </w:rPr>
        <w:t>9.9 HCF</w:t>
      </w:r>
      <w:bookmarkEnd w:id="1129"/>
    </w:p>
    <w:p w:rsidR="006C671C" w:rsidRPr="009448FC" w:rsidRDefault="006C671C" w:rsidP="006C671C">
      <w:pPr>
        <w:autoSpaceDE w:val="0"/>
        <w:autoSpaceDN w:val="0"/>
        <w:adjustRightInd w:val="0"/>
        <w:rPr>
          <w:b/>
          <w:sz w:val="22"/>
        </w:rPr>
      </w:pPr>
      <w:r w:rsidRPr="009448FC">
        <w:rPr>
          <w:i/>
        </w:rPr>
        <w:t>.11 Editor’s instructions: add at end of the subclause</w:t>
      </w:r>
    </w:p>
    <w:p w:rsidR="006C671C" w:rsidRPr="009448FC" w:rsidRDefault="006C671C" w:rsidP="006C671C">
      <w:pPr>
        <w:autoSpaceDE w:val="0"/>
        <w:autoSpaceDN w:val="0"/>
        <w:adjustRightInd w:val="0"/>
        <w:rPr>
          <w:b/>
        </w:rPr>
      </w:pPr>
    </w:p>
    <w:p w:rsidR="006C671C" w:rsidRPr="00066F65" w:rsidRDefault="006C671C" w:rsidP="00EE610C">
      <w:pPr>
        <w:autoSpaceDE w:val="0"/>
        <w:autoSpaceDN w:val="0"/>
        <w:adjustRightInd w:val="0"/>
        <w:outlineLvl w:val="0"/>
        <w:rPr>
          <w:iCs/>
          <w:u w:val="single"/>
        </w:rPr>
      </w:pPr>
      <w:r w:rsidRPr="00066F65">
        <w:rPr>
          <w:iCs/>
          <w:u w:val="single"/>
        </w:rPr>
        <w:t xml:space="preserve">HCCA is not supported by </w:t>
      </w:r>
      <w:r w:rsidR="00B96FB9" w:rsidRPr="00066F65">
        <w:rPr>
          <w:iCs/>
          <w:u w:val="single"/>
        </w:rPr>
        <w:t>mSTA</w:t>
      </w:r>
      <w:r w:rsidR="00EE610C" w:rsidRPr="00066F65">
        <w:rPr>
          <w:iCs/>
          <w:u w:val="single"/>
        </w:rPr>
        <w:t>s</w:t>
      </w:r>
      <w:r w:rsidRPr="00066F65">
        <w:rPr>
          <w:iCs/>
          <w:u w:val="single"/>
        </w:rPr>
        <w:t xml:space="preserve"> operating in the UB.</w:t>
      </w:r>
      <w:r w:rsidR="00EE610C" w:rsidRPr="00066F65">
        <w:rPr>
          <w:iCs/>
          <w:u w:val="single"/>
        </w:rPr>
        <w:t xml:space="preserve"> </w:t>
      </w:r>
    </w:p>
    <w:p w:rsidR="006C671C" w:rsidRPr="009448FC" w:rsidRDefault="006C671C" w:rsidP="006C671C">
      <w:pPr>
        <w:autoSpaceDE w:val="0"/>
        <w:autoSpaceDN w:val="0"/>
        <w:adjustRightInd w:val="0"/>
      </w:pPr>
    </w:p>
    <w:p w:rsidR="00517497" w:rsidRPr="009448FC" w:rsidRDefault="00517497" w:rsidP="00517497">
      <w:pPr>
        <w:pStyle w:val="Heading3"/>
      </w:pPr>
      <w:bookmarkStart w:id="1130" w:name="_Toc259717101"/>
      <w:r w:rsidRPr="009448FC">
        <w:t>9.9.1 HCF contention-based channel access (EDCA)</w:t>
      </w:r>
      <w:bookmarkEnd w:id="1130"/>
    </w:p>
    <w:p w:rsidR="006C671C" w:rsidRPr="009448FC" w:rsidRDefault="006C671C" w:rsidP="00640E19">
      <w:pPr>
        <w:pStyle w:val="Heading4"/>
      </w:pPr>
      <w:bookmarkStart w:id="1131" w:name="_Toc259717102"/>
      <w:r w:rsidRPr="009448FC">
        <w:t>9.9.1.1 Reference implementation</w:t>
      </w:r>
      <w:bookmarkEnd w:id="1131"/>
    </w:p>
    <w:p w:rsidR="006C671C" w:rsidRPr="009448FC" w:rsidRDefault="006C671C" w:rsidP="006C671C">
      <w:pPr>
        <w:autoSpaceDE w:val="0"/>
        <w:autoSpaceDN w:val="0"/>
        <w:adjustRightInd w:val="0"/>
        <w:rPr>
          <w:i/>
        </w:rPr>
      </w:pPr>
      <w:r w:rsidRPr="009448FC">
        <w:rPr>
          <w:i/>
        </w:rPr>
        <w:t>.11 Editor’s instructions: add after the second paragraph</w:t>
      </w:r>
    </w:p>
    <w:p w:rsidR="006C671C" w:rsidRPr="00066F65" w:rsidRDefault="00EE610C" w:rsidP="006C671C">
      <w:pPr>
        <w:autoSpaceDE w:val="0"/>
        <w:autoSpaceDN w:val="0"/>
        <w:adjustRightInd w:val="0"/>
        <w:rPr>
          <w:iCs/>
          <w:u w:val="single"/>
        </w:rPr>
      </w:pPr>
      <w:r w:rsidRPr="00066F65">
        <w:rPr>
          <w:iCs/>
          <w:u w:val="single"/>
        </w:rPr>
        <w:t>A</w:t>
      </w:r>
      <w:r w:rsidR="002F0A96" w:rsidRPr="00066F65">
        <w:rPr>
          <w:iCs/>
          <w:u w:val="single"/>
        </w:rPr>
        <w:t>n</w:t>
      </w:r>
      <w:r w:rsidRPr="00066F65">
        <w:rPr>
          <w:iCs/>
          <w:u w:val="single"/>
        </w:rPr>
        <w:t xml:space="preserve"> </w:t>
      </w:r>
      <w:r w:rsidR="00B96FB9" w:rsidRPr="00066F65">
        <w:rPr>
          <w:iCs/>
          <w:u w:val="single"/>
        </w:rPr>
        <w:t>mSTA</w:t>
      </w:r>
      <w:r w:rsidRPr="00066F65">
        <w:rPr>
          <w:iCs/>
          <w:u w:val="single"/>
        </w:rPr>
        <w:t xml:space="preserve"> may implement a single AC. If the </w:t>
      </w:r>
      <w:r w:rsidR="00B96FB9" w:rsidRPr="00066F65">
        <w:rPr>
          <w:iCs/>
          <w:u w:val="single"/>
        </w:rPr>
        <w:t>mSTA</w:t>
      </w:r>
      <w:r w:rsidRPr="00066F65">
        <w:rPr>
          <w:iCs/>
          <w:u w:val="single"/>
        </w:rPr>
        <w:t xml:space="preserve"> implements a single AC, all UP and frame types shall be mapped to AC = AC_BE</w:t>
      </w:r>
      <w:r w:rsidR="006C671C" w:rsidRPr="00066F65">
        <w:rPr>
          <w:iCs/>
          <w:u w:val="single"/>
        </w:rPr>
        <w:t xml:space="preserve">. </w:t>
      </w:r>
    </w:p>
    <w:p w:rsidR="00F3282A" w:rsidRPr="009448FC" w:rsidRDefault="00F3282A" w:rsidP="00F3282A">
      <w:pPr>
        <w:rPr>
          <w:b/>
        </w:rPr>
      </w:pPr>
    </w:p>
    <w:p w:rsidR="00E43BFA" w:rsidRPr="009448FC" w:rsidRDefault="00E43BFA" w:rsidP="00E43BFA">
      <w:pPr>
        <w:pStyle w:val="Heading4"/>
      </w:pPr>
      <w:bookmarkStart w:id="1132" w:name="_Toc259717103"/>
      <w:r w:rsidRPr="009448FC">
        <w:t>9.9.1.5 EDCA backoff procedure</w:t>
      </w:r>
      <w:bookmarkEnd w:id="1132"/>
    </w:p>
    <w:p w:rsidR="007460CE" w:rsidRPr="009448FC" w:rsidRDefault="007460CE" w:rsidP="007460CE">
      <w:pPr>
        <w:autoSpaceDE w:val="0"/>
        <w:autoSpaceDN w:val="0"/>
        <w:adjustRightInd w:val="0"/>
        <w:rPr>
          <w:rFonts w:eastAsia="MS Mincho"/>
          <w:i/>
        </w:rPr>
      </w:pPr>
      <w:r w:rsidRPr="009448FC">
        <w:rPr>
          <w:i/>
        </w:rPr>
        <w:t>.11 Editor’s instructions:</w:t>
      </w:r>
      <w:r w:rsidR="00D11F2E">
        <w:rPr>
          <w:i/>
        </w:rPr>
        <w:t xml:space="preserve"> </w:t>
      </w:r>
      <w:r w:rsidRPr="009448FC">
        <w:rPr>
          <w:rFonts w:eastAsia="MS Mincho"/>
          <w:i/>
        </w:rPr>
        <w:t>Modify the indicated (second to last) paragraph of the subclause as shown:</w:t>
      </w:r>
    </w:p>
    <w:p w:rsidR="007460CE" w:rsidRPr="009448FC" w:rsidRDefault="007460CE" w:rsidP="007460CE">
      <w:pPr>
        <w:autoSpaceDE w:val="0"/>
        <w:autoSpaceDN w:val="0"/>
        <w:adjustRightInd w:val="0"/>
        <w:rPr>
          <w:rFonts w:ascii="Arial" w:eastAsia="MS Mincho" w:hAnsi="Arial"/>
          <w:sz w:val="20"/>
        </w:rPr>
      </w:pPr>
    </w:p>
    <w:p w:rsidR="007460CE" w:rsidRPr="009448FC" w:rsidRDefault="007460CE" w:rsidP="007460CE">
      <w:pPr>
        <w:autoSpaceDE w:val="0"/>
        <w:autoSpaceDN w:val="0"/>
        <w:adjustRightInd w:val="0"/>
        <w:rPr>
          <w:rFonts w:ascii="Arial" w:eastAsia="MS Mincho" w:hAnsi="Arial"/>
        </w:rPr>
      </w:pPr>
      <w:r w:rsidRPr="009448FC">
        <w:rPr>
          <w:rFonts w:ascii="TimesNewRoman" w:eastAsia="MS Mincho" w:hAnsi="TimesNewRoman"/>
        </w:rPr>
        <w:t>All backoff slots occur following an AIFS[AC] period during which the medium is determined to be idle for the duration of the AIFS[AC] period, or following an EIFS – DIFS + AIFS[AC] period during which the medium is determined to be idle for the duration of the EIFS – DIFS + AIFS[AC] period, as appropriate (see 9.2.3)</w:t>
      </w:r>
      <w:r w:rsidRPr="00066F65">
        <w:rPr>
          <w:rFonts w:ascii="TimesNewRoman" w:eastAsia="MS Mincho" w:hAnsi="TimesNewRoman" w:cs="TimesNewRoman"/>
          <w:u w:val="single"/>
        </w:rPr>
        <w:t>, except that no backoff slots for EDCA occur during the</w:t>
      </w:r>
      <w:r w:rsidRPr="00066F65">
        <w:rPr>
          <w:u w:val="single"/>
        </w:rPr>
        <w:t xml:space="preserve"> BT, the A-BFT, the AT and non-CBP portions of the DTT</w:t>
      </w:r>
      <w:r w:rsidRPr="009448FC">
        <w:rPr>
          <w:rFonts w:ascii="TimesNewRoman" w:eastAsia="MS Mincho" w:hAnsi="TimesNewRoman"/>
        </w:rPr>
        <w:t>.</w:t>
      </w:r>
    </w:p>
    <w:p w:rsidR="00E43BFA" w:rsidRPr="009448FC" w:rsidRDefault="00E43BFA" w:rsidP="00F3282A">
      <w:pPr>
        <w:rPr>
          <w:b/>
        </w:rPr>
      </w:pPr>
    </w:p>
    <w:p w:rsidR="00675359" w:rsidRPr="009448FC" w:rsidRDefault="0056266F" w:rsidP="00675359">
      <w:pPr>
        <w:pStyle w:val="Heading4"/>
      </w:pPr>
      <w:bookmarkStart w:id="1133" w:name="_Toc259717104"/>
      <w:r w:rsidRPr="009448FC">
        <w:t>9.9.1.7</w:t>
      </w:r>
      <w:r w:rsidR="00675359" w:rsidRPr="009448FC">
        <w:t xml:space="preserve"> </w:t>
      </w:r>
      <w:r w:rsidRPr="009448FC">
        <w:t>Truncation of TxOP</w:t>
      </w:r>
      <w:bookmarkEnd w:id="1133"/>
    </w:p>
    <w:p w:rsidR="00F3282A" w:rsidRPr="009448FC" w:rsidRDefault="00F3282A" w:rsidP="00F3282A">
      <w:pPr>
        <w:autoSpaceDE w:val="0"/>
        <w:autoSpaceDN w:val="0"/>
        <w:adjustRightInd w:val="0"/>
        <w:rPr>
          <w:i/>
        </w:rPr>
      </w:pPr>
      <w:r w:rsidRPr="009448FC">
        <w:rPr>
          <w:i/>
        </w:rPr>
        <w:t>.11 Editor’s instructions:</w:t>
      </w:r>
      <w:r w:rsidR="00DE6806" w:rsidRPr="009448FC">
        <w:rPr>
          <w:i/>
        </w:rPr>
        <w:t xml:space="preserve"> </w:t>
      </w:r>
      <w:r w:rsidRPr="009448FC">
        <w:rPr>
          <w:i/>
        </w:rPr>
        <w:t xml:space="preserve">Append </w:t>
      </w:r>
      <w:r w:rsidR="00DE6806" w:rsidRPr="009448FC">
        <w:rPr>
          <w:i/>
        </w:rPr>
        <w:t>the indicate</w:t>
      </w:r>
      <w:r w:rsidR="00517497" w:rsidRPr="009448FC">
        <w:rPr>
          <w:i/>
        </w:rPr>
        <w:t>d</w:t>
      </w:r>
      <w:r w:rsidR="00DE6806" w:rsidRPr="009448FC">
        <w:rPr>
          <w:i/>
        </w:rPr>
        <w:t xml:space="preserve"> text </w:t>
      </w:r>
      <w:r w:rsidRPr="009448FC">
        <w:rPr>
          <w:i/>
        </w:rPr>
        <w:t>to the first paragraph:</w:t>
      </w:r>
    </w:p>
    <w:p w:rsidR="00F3282A" w:rsidRPr="009448FC" w:rsidRDefault="00F3282A" w:rsidP="00F3282A">
      <w:pPr>
        <w:autoSpaceDE w:val="0"/>
        <w:autoSpaceDN w:val="0"/>
        <w:adjustRightInd w:val="0"/>
        <w:rPr>
          <w:i/>
          <w:sz w:val="28"/>
        </w:rPr>
      </w:pPr>
    </w:p>
    <w:p w:rsidR="00F3282A" w:rsidRPr="00066F65" w:rsidRDefault="00F3282A" w:rsidP="009949AF">
      <w:pPr>
        <w:autoSpaceDE w:val="0"/>
        <w:autoSpaceDN w:val="0"/>
        <w:adjustRightInd w:val="0"/>
        <w:rPr>
          <w:iCs/>
          <w:u w:val="single"/>
        </w:rPr>
      </w:pPr>
      <w:r w:rsidRPr="009448FC">
        <w:t>When a STA gains access to the channel using EDCA and</w:t>
      </w:r>
      <w:r w:rsidR="00281486" w:rsidRPr="009448FC">
        <w:t xml:space="preserve"> </w:t>
      </w:r>
      <w:r w:rsidRPr="009448FC">
        <w:t>empties its transmission queue, it may transmit a CF-End frame provided that the remaining duration is long enough to transmit this frame. By transmitting the CF-End frame, the STA is explicitly indicating the completion of its TXOP</w:t>
      </w:r>
      <w:r w:rsidRPr="00066F65">
        <w:rPr>
          <w:iCs/>
          <w:u w:val="single"/>
        </w:rPr>
        <w:t>.</w:t>
      </w:r>
      <w:r w:rsidR="009949AF" w:rsidRPr="00066F65">
        <w:rPr>
          <w:iCs/>
          <w:u w:val="single"/>
        </w:rPr>
        <w:t xml:space="preserve"> </w:t>
      </w:r>
      <w:r w:rsidRPr="00066F65">
        <w:rPr>
          <w:iCs/>
          <w:u w:val="single"/>
        </w:rPr>
        <w:t xml:space="preserve">In UB the STA shall not send </w:t>
      </w:r>
      <w:r w:rsidR="009949AF" w:rsidRPr="00066F65">
        <w:rPr>
          <w:iCs/>
          <w:u w:val="single"/>
        </w:rPr>
        <w:t>a</w:t>
      </w:r>
      <w:r w:rsidRPr="00066F65">
        <w:rPr>
          <w:iCs/>
          <w:u w:val="single"/>
        </w:rPr>
        <w:t xml:space="preserve"> mmWaveCF-End with non zero value in the Duration/ID field if the remaining duration is shorter than 2*mmWaveCF-End duration +2*SIFS.</w:t>
      </w:r>
    </w:p>
    <w:p w:rsidR="00F3282A" w:rsidRPr="00066F65" w:rsidRDefault="00F3282A" w:rsidP="00F3282A">
      <w:pPr>
        <w:autoSpaceDE w:val="0"/>
        <w:autoSpaceDN w:val="0"/>
        <w:adjustRightInd w:val="0"/>
        <w:rPr>
          <w:iCs/>
          <w:u w:val="single"/>
        </w:rPr>
      </w:pPr>
    </w:p>
    <w:p w:rsidR="00F3282A" w:rsidRPr="009448FC" w:rsidRDefault="00F3282A" w:rsidP="00F3282A">
      <w:pPr>
        <w:autoSpaceDE w:val="0"/>
        <w:autoSpaceDN w:val="0"/>
        <w:adjustRightInd w:val="0"/>
        <w:rPr>
          <w:i/>
        </w:rPr>
      </w:pPr>
      <w:r w:rsidRPr="009448FC">
        <w:rPr>
          <w:i/>
        </w:rPr>
        <w:t>.11 Editor’s instructions:</w:t>
      </w:r>
      <w:r w:rsidR="00DE6806" w:rsidRPr="009448FC">
        <w:rPr>
          <w:i/>
        </w:rPr>
        <w:t xml:space="preserve"> </w:t>
      </w:r>
      <w:r w:rsidRPr="009448FC">
        <w:rPr>
          <w:i/>
        </w:rPr>
        <w:t xml:space="preserve">Modify </w:t>
      </w:r>
      <w:r w:rsidR="00DE6806" w:rsidRPr="009448FC">
        <w:rPr>
          <w:i/>
        </w:rPr>
        <w:t xml:space="preserve">the </w:t>
      </w:r>
      <w:r w:rsidRPr="009448FC">
        <w:rPr>
          <w:i/>
        </w:rPr>
        <w:t>text as follows:</w:t>
      </w:r>
    </w:p>
    <w:p w:rsidR="00F3282A" w:rsidRPr="009448FC" w:rsidRDefault="00F3282A" w:rsidP="00F3282A">
      <w:pPr>
        <w:autoSpaceDE w:val="0"/>
        <w:autoSpaceDN w:val="0"/>
        <w:adjustRightInd w:val="0"/>
      </w:pPr>
      <w:r w:rsidRPr="00066F65">
        <w:rPr>
          <w:iCs/>
          <w:u w:val="single"/>
        </w:rPr>
        <w:t>In LB and HB</w:t>
      </w:r>
      <w:r w:rsidRPr="009448FC">
        <w:t xml:space="preserve"> </w:t>
      </w:r>
      <w:r w:rsidRPr="00066F65">
        <w:rPr>
          <w:iCs/>
          <w:u w:val="single"/>
        </w:rPr>
        <w:t xml:space="preserve">a </w:t>
      </w:r>
      <w:r w:rsidRPr="009448FC">
        <w:t>STA shall interpret the reception of a CF-End frame as a NAV reset, i.e., it resets its NAV timer to zero at the end of the PPDU containing this frame. After receiving a CF-End frame with a matching BSSID, an AP may respond by transmitting a CF-End frame after SIFS.</w:t>
      </w:r>
    </w:p>
    <w:p w:rsidR="00F36F2E" w:rsidRPr="009448FC" w:rsidRDefault="00F36F2E" w:rsidP="00F3282A">
      <w:pPr>
        <w:autoSpaceDE w:val="0"/>
        <w:autoSpaceDN w:val="0"/>
        <w:adjustRightInd w:val="0"/>
      </w:pPr>
    </w:p>
    <w:p w:rsidR="00F3282A" w:rsidRPr="00066F65" w:rsidRDefault="00F3282A" w:rsidP="00B64642">
      <w:pPr>
        <w:autoSpaceDE w:val="0"/>
        <w:autoSpaceDN w:val="0"/>
        <w:adjustRightInd w:val="0"/>
        <w:rPr>
          <w:iCs/>
          <w:u w:val="single"/>
        </w:rPr>
      </w:pPr>
      <w:r w:rsidRPr="00066F65">
        <w:rPr>
          <w:iCs/>
          <w:u w:val="single"/>
        </w:rPr>
        <w:t>In UB a STA that is not in the listening mode</w:t>
      </w:r>
      <w:r w:rsidR="00B64642" w:rsidRPr="00066F65">
        <w:rPr>
          <w:iCs/>
          <w:u w:val="single"/>
        </w:rPr>
        <w:t xml:space="preserve"> </w:t>
      </w:r>
      <w:r w:rsidR="00B64642" w:rsidRPr="00EA01D5">
        <w:rPr>
          <w:iCs/>
          <w:u w:val="single"/>
        </w:rPr>
        <w:t>(</w:t>
      </w:r>
      <w:fldSimple w:instr=" REF _Ref244252698 \h  \* MERGEFORMAT ">
        <w:r w:rsidR="003E4210" w:rsidRPr="003E4210">
          <w:rPr>
            <w:u w:val="single"/>
          </w:rPr>
          <w:t>9.23.6.5 mmWave Protected Period</w:t>
        </w:r>
      </w:fldSimple>
      <w:r w:rsidR="00B64642" w:rsidRPr="00EA01D5">
        <w:rPr>
          <w:iCs/>
          <w:u w:val="single"/>
        </w:rPr>
        <w:t>)</w:t>
      </w:r>
      <w:r w:rsidR="00281486" w:rsidRPr="00066F65">
        <w:rPr>
          <w:iCs/>
          <w:u w:val="single"/>
        </w:rPr>
        <w:t xml:space="preserve"> </w:t>
      </w:r>
      <w:r w:rsidRPr="00066F65">
        <w:rPr>
          <w:iCs/>
          <w:u w:val="single"/>
        </w:rPr>
        <w:t>shall interpret the reception of an mmWaveCF-End frame as a NAV reset, i.e.</w:t>
      </w:r>
      <w:r w:rsidR="0085623C" w:rsidRPr="00066F65">
        <w:rPr>
          <w:iCs/>
          <w:u w:val="single"/>
        </w:rPr>
        <w:t>,</w:t>
      </w:r>
      <w:r w:rsidRPr="00066F65">
        <w:rPr>
          <w:iCs/>
          <w:u w:val="single"/>
        </w:rPr>
        <w:t xml:space="preserve"> it resets its NAV timer to zero at end of the time interval </w:t>
      </w:r>
      <w:r w:rsidR="00F36F2E" w:rsidRPr="00066F65">
        <w:rPr>
          <w:iCs/>
          <w:u w:val="single"/>
        </w:rPr>
        <w:t>indicated in the</w:t>
      </w:r>
      <w:r w:rsidRPr="00066F65">
        <w:rPr>
          <w:iCs/>
          <w:u w:val="single"/>
        </w:rPr>
        <w:t xml:space="preserve"> value </w:t>
      </w:r>
      <w:r w:rsidR="00F36F2E" w:rsidRPr="00066F65">
        <w:rPr>
          <w:iCs/>
          <w:u w:val="single"/>
        </w:rPr>
        <w:t xml:space="preserve">of the </w:t>
      </w:r>
      <w:r w:rsidRPr="00066F65">
        <w:rPr>
          <w:iCs/>
          <w:u w:val="single"/>
        </w:rPr>
        <w:t xml:space="preserve">Duration/ID field of the </w:t>
      </w:r>
      <w:r w:rsidR="00F36F2E" w:rsidRPr="00066F65">
        <w:rPr>
          <w:iCs/>
          <w:u w:val="single"/>
        </w:rPr>
        <w:t xml:space="preserve">received </w:t>
      </w:r>
      <w:r w:rsidRPr="00066F65">
        <w:rPr>
          <w:iCs/>
          <w:u w:val="single"/>
        </w:rPr>
        <w:t>frame. The interval starts at PHY-RXEND.indication of the frame</w:t>
      </w:r>
      <w:r w:rsidR="009949AF" w:rsidRPr="00066F65">
        <w:rPr>
          <w:iCs/>
          <w:u w:val="single"/>
        </w:rPr>
        <w:t xml:space="preserve"> reception</w:t>
      </w:r>
      <w:r w:rsidRPr="00066F65">
        <w:rPr>
          <w:iCs/>
          <w:u w:val="single"/>
        </w:rPr>
        <w:t xml:space="preserve">. The STA shall not transmit during the interval if the RA field of the frame is not equal to the STA MAC address. The STA may transmit </w:t>
      </w:r>
      <w:r w:rsidR="009949AF" w:rsidRPr="00066F65">
        <w:rPr>
          <w:iCs/>
          <w:u w:val="single"/>
        </w:rPr>
        <w:t>a</w:t>
      </w:r>
      <w:r w:rsidRPr="00066F65">
        <w:rPr>
          <w:iCs/>
          <w:u w:val="single"/>
        </w:rPr>
        <w:t xml:space="preserve"> mmWaveCF-End frame if the RA field of the </w:t>
      </w:r>
      <w:r w:rsidR="009949AF" w:rsidRPr="00066F65">
        <w:rPr>
          <w:iCs/>
          <w:u w:val="single"/>
        </w:rPr>
        <w:t xml:space="preserve">received </w:t>
      </w:r>
      <w:r w:rsidRPr="00066F65">
        <w:rPr>
          <w:iCs/>
          <w:u w:val="single"/>
        </w:rPr>
        <w:t xml:space="preserve">frame is equal to the STA MAC address and value of the Duration/ID field in the </w:t>
      </w:r>
      <w:r w:rsidR="009949AF" w:rsidRPr="00066F65">
        <w:rPr>
          <w:iCs/>
          <w:u w:val="single"/>
        </w:rPr>
        <w:t xml:space="preserve">received </w:t>
      </w:r>
      <w:r w:rsidRPr="00066F65">
        <w:rPr>
          <w:iCs/>
          <w:u w:val="single"/>
        </w:rPr>
        <w:t>frame is not equal to zero.</w:t>
      </w:r>
    </w:p>
    <w:p w:rsidR="00F3282A" w:rsidRPr="009448FC" w:rsidRDefault="00F3282A" w:rsidP="00F3282A">
      <w:pPr>
        <w:autoSpaceDE w:val="0"/>
        <w:autoSpaceDN w:val="0"/>
        <w:adjustRightInd w:val="0"/>
      </w:pPr>
    </w:p>
    <w:p w:rsidR="00F3282A" w:rsidRPr="009448FC" w:rsidRDefault="00F3282A" w:rsidP="00F3282A">
      <w:pPr>
        <w:autoSpaceDE w:val="0"/>
        <w:autoSpaceDN w:val="0"/>
        <w:adjustRightInd w:val="0"/>
        <w:rPr>
          <w:i/>
        </w:rPr>
      </w:pPr>
      <w:r w:rsidRPr="009448FC">
        <w:rPr>
          <w:i/>
        </w:rPr>
        <w:t>.11 Editor’s instructions:</w:t>
      </w:r>
      <w:r w:rsidR="00DE6806" w:rsidRPr="009448FC">
        <w:rPr>
          <w:i/>
        </w:rPr>
        <w:t xml:space="preserve"> </w:t>
      </w:r>
      <w:r w:rsidRPr="009448FC">
        <w:rPr>
          <w:i/>
        </w:rPr>
        <w:t xml:space="preserve">Modify </w:t>
      </w:r>
      <w:r w:rsidR="00DE6806" w:rsidRPr="009448FC">
        <w:rPr>
          <w:i/>
        </w:rPr>
        <w:t xml:space="preserve">the </w:t>
      </w:r>
      <w:r w:rsidRPr="009448FC">
        <w:rPr>
          <w:i/>
        </w:rPr>
        <w:t>text as follows:</w:t>
      </w:r>
    </w:p>
    <w:p w:rsidR="00F3282A" w:rsidRPr="00066F65" w:rsidRDefault="00F3282A" w:rsidP="009949AF">
      <w:pPr>
        <w:autoSpaceDE w:val="0"/>
        <w:autoSpaceDN w:val="0"/>
        <w:adjustRightInd w:val="0"/>
        <w:rPr>
          <w:iCs/>
          <w:u w:val="single"/>
        </w:rPr>
      </w:pPr>
      <w:r w:rsidRPr="00066F65">
        <w:rPr>
          <w:iCs/>
          <w:u w:val="single"/>
        </w:rPr>
        <w:t>In LB and HB</w:t>
      </w:r>
      <w:r w:rsidR="00693298">
        <w:rPr>
          <w:iCs/>
          <w:u w:val="single"/>
        </w:rPr>
        <w:t>,</w:t>
      </w:r>
      <w:r w:rsidRPr="009448FC">
        <w:t xml:space="preserve"> STAs that receive </w:t>
      </w:r>
      <w:r w:rsidR="009949AF" w:rsidRPr="009448FC">
        <w:t>a</w:t>
      </w:r>
      <w:r w:rsidRPr="009448FC">
        <w:t xml:space="preserve"> CF-End frame reset their NAV and can start contending for the medium without further delay. </w:t>
      </w:r>
      <w:r w:rsidRPr="00066F65">
        <w:rPr>
          <w:iCs/>
          <w:u w:val="single"/>
        </w:rPr>
        <w:t>In UB</w:t>
      </w:r>
      <w:r w:rsidR="00693298">
        <w:rPr>
          <w:iCs/>
          <w:u w:val="single"/>
        </w:rPr>
        <w:t>,</w:t>
      </w:r>
      <w:r w:rsidRPr="00066F65">
        <w:rPr>
          <w:iCs/>
          <w:u w:val="single"/>
        </w:rPr>
        <w:t xml:space="preserve"> STAs that receive </w:t>
      </w:r>
      <w:r w:rsidR="009949AF" w:rsidRPr="00066F65">
        <w:rPr>
          <w:iCs/>
          <w:u w:val="single"/>
        </w:rPr>
        <w:t>a</w:t>
      </w:r>
      <w:r w:rsidRPr="00066F65">
        <w:rPr>
          <w:iCs/>
          <w:u w:val="single"/>
        </w:rPr>
        <w:t xml:space="preserve"> mmWaveCF-End frame can start contending for the medium at </w:t>
      </w:r>
      <w:r w:rsidR="00E74D84">
        <w:rPr>
          <w:iCs/>
          <w:u w:val="single"/>
        </w:rPr>
        <w:t xml:space="preserve">the </w:t>
      </w:r>
      <w:r w:rsidRPr="00066F65">
        <w:rPr>
          <w:iCs/>
          <w:u w:val="single"/>
        </w:rPr>
        <w:t xml:space="preserve">end of the time interval equal to </w:t>
      </w:r>
      <w:r w:rsidR="00693298">
        <w:rPr>
          <w:iCs/>
          <w:u w:val="single"/>
        </w:rPr>
        <w:t xml:space="preserve">the </w:t>
      </w:r>
      <w:r w:rsidRPr="00066F65">
        <w:rPr>
          <w:iCs/>
          <w:u w:val="single"/>
        </w:rPr>
        <w:t>value in Duration/ID field of the frame</w:t>
      </w:r>
      <w:r w:rsidR="002363FB" w:rsidRPr="00066F65">
        <w:rPr>
          <w:iCs/>
          <w:u w:val="single"/>
        </w:rPr>
        <w:t xml:space="preserve"> if none of its NAV timers has a non-zero value</w:t>
      </w:r>
      <w:r w:rsidRPr="00066F65">
        <w:rPr>
          <w:iCs/>
          <w:u w:val="single"/>
        </w:rPr>
        <w:t>.</w:t>
      </w:r>
      <w:r w:rsidR="00D11F2E">
        <w:rPr>
          <w:iCs/>
          <w:u w:val="single"/>
        </w:rPr>
        <w:t xml:space="preserve"> </w:t>
      </w:r>
    </w:p>
    <w:p w:rsidR="00F3282A" w:rsidRPr="009448FC" w:rsidRDefault="00F3282A" w:rsidP="00F3282A">
      <w:pPr>
        <w:autoSpaceDE w:val="0"/>
        <w:autoSpaceDN w:val="0"/>
        <w:adjustRightInd w:val="0"/>
      </w:pPr>
    </w:p>
    <w:p w:rsidR="00F3282A" w:rsidRPr="009448FC" w:rsidRDefault="00F3282A" w:rsidP="009949AF">
      <w:pPr>
        <w:autoSpaceDE w:val="0"/>
        <w:autoSpaceDN w:val="0"/>
        <w:adjustRightInd w:val="0"/>
        <w:rPr>
          <w:i/>
        </w:rPr>
      </w:pPr>
      <w:r w:rsidRPr="009448FC">
        <w:rPr>
          <w:i/>
        </w:rPr>
        <w:t>.11 Editor’s instructions: in other non modified paragraphs replace each appearance of “</w:t>
      </w:r>
      <w:r w:rsidRPr="009448FC">
        <w:t>CF-End frame</w:t>
      </w:r>
      <w:r w:rsidRPr="009448FC">
        <w:rPr>
          <w:i/>
        </w:rPr>
        <w:t>” by “</w:t>
      </w:r>
      <w:r w:rsidRPr="009448FC">
        <w:t>CF-End frame in LB and H</w:t>
      </w:r>
      <w:r w:rsidR="009949AF" w:rsidRPr="009448FC">
        <w:t>B</w:t>
      </w:r>
      <w:r w:rsidRPr="009448FC">
        <w:t>, and mmWaveCF-End frame in UB</w:t>
      </w:r>
      <w:r w:rsidRPr="009448FC">
        <w:rPr>
          <w:i/>
        </w:rPr>
        <w:t>”</w:t>
      </w:r>
    </w:p>
    <w:p w:rsidR="00675359" w:rsidRPr="00066F65" w:rsidRDefault="00675359" w:rsidP="006C671C">
      <w:pPr>
        <w:autoSpaceDE w:val="0"/>
        <w:autoSpaceDN w:val="0"/>
        <w:adjustRightInd w:val="0"/>
        <w:rPr>
          <w:b/>
          <w:i/>
          <w:iCs/>
          <w:color w:val="FF0000"/>
          <w:u w:val="single"/>
        </w:rPr>
      </w:pPr>
    </w:p>
    <w:p w:rsidR="009115A8" w:rsidRPr="009448FC" w:rsidRDefault="009115A8" w:rsidP="009115A8">
      <w:pPr>
        <w:pStyle w:val="Heading2"/>
        <w:rPr>
          <w:u w:val="none"/>
        </w:rPr>
      </w:pPr>
      <w:bookmarkStart w:id="1134" w:name="_Toc259717105"/>
      <w:r w:rsidRPr="009448FC">
        <w:rPr>
          <w:u w:val="none"/>
        </w:rPr>
        <w:t>9.10 Block Acknoledgement (Block Ack)</w:t>
      </w:r>
      <w:bookmarkEnd w:id="1134"/>
    </w:p>
    <w:p w:rsidR="009115A8" w:rsidRPr="00066F65" w:rsidRDefault="009115A8" w:rsidP="006C671C">
      <w:pPr>
        <w:autoSpaceDE w:val="0"/>
        <w:autoSpaceDN w:val="0"/>
        <w:adjustRightInd w:val="0"/>
        <w:rPr>
          <w:iCs/>
          <w:u w:val="single"/>
        </w:rPr>
      </w:pPr>
    </w:p>
    <w:p w:rsidR="008B1FCA" w:rsidRPr="00066F65" w:rsidRDefault="008B1FCA" w:rsidP="006C671C">
      <w:pPr>
        <w:autoSpaceDE w:val="0"/>
        <w:autoSpaceDN w:val="0"/>
        <w:adjustRightInd w:val="0"/>
        <w:rPr>
          <w:iCs/>
          <w:u w:val="single"/>
        </w:rPr>
      </w:pPr>
      <w:r w:rsidRPr="009448FC">
        <w:rPr>
          <w:i/>
        </w:rPr>
        <w:t>.11 Editor</w:t>
      </w:r>
      <w:r w:rsidR="00CD401F" w:rsidRPr="009448FC">
        <w:rPr>
          <w:i/>
        </w:rPr>
        <w:t>:</w:t>
      </w:r>
      <w:r w:rsidRPr="009448FC">
        <w:rPr>
          <w:i/>
        </w:rPr>
        <w:t xml:space="preserve"> throughout subclause</w:t>
      </w:r>
      <w:r w:rsidR="009A50BF" w:rsidRPr="009448FC">
        <w:rPr>
          <w:i/>
        </w:rPr>
        <w:t xml:space="preserve"> 9.10</w:t>
      </w:r>
      <w:r w:rsidRPr="009448FC">
        <w:rPr>
          <w:i/>
        </w:rPr>
        <w:t>, replace “</w:t>
      </w:r>
      <w:r w:rsidRPr="009448FC">
        <w:t>HT STA</w:t>
      </w:r>
      <w:r w:rsidRPr="009448FC">
        <w:rPr>
          <w:i/>
        </w:rPr>
        <w:t>” by “</w:t>
      </w:r>
      <w:r w:rsidRPr="009448FC">
        <w:t>HT STA/mSTA</w:t>
      </w:r>
      <w:r w:rsidRPr="009448FC">
        <w:rPr>
          <w:i/>
        </w:rPr>
        <w:t>”</w:t>
      </w:r>
    </w:p>
    <w:p w:rsidR="009115A8" w:rsidRPr="00066F65" w:rsidRDefault="009115A8" w:rsidP="006C671C">
      <w:pPr>
        <w:autoSpaceDE w:val="0"/>
        <w:autoSpaceDN w:val="0"/>
        <w:adjustRightInd w:val="0"/>
        <w:rPr>
          <w:iCs/>
          <w:u w:val="single"/>
        </w:rPr>
      </w:pPr>
    </w:p>
    <w:p w:rsidR="008B1FCA" w:rsidRPr="009448FC" w:rsidRDefault="008B1FCA" w:rsidP="008B1FCA">
      <w:pPr>
        <w:pStyle w:val="Heading3"/>
      </w:pPr>
      <w:bookmarkStart w:id="1135" w:name="_Toc259717106"/>
      <w:r w:rsidRPr="009448FC">
        <w:t>9.10.1 Introduction</w:t>
      </w:r>
      <w:bookmarkEnd w:id="1135"/>
    </w:p>
    <w:p w:rsidR="008B1FCA" w:rsidRPr="00066F65" w:rsidRDefault="008B1FCA" w:rsidP="006C671C">
      <w:pPr>
        <w:autoSpaceDE w:val="0"/>
        <w:autoSpaceDN w:val="0"/>
        <w:adjustRightInd w:val="0"/>
        <w:rPr>
          <w:iCs/>
          <w:u w:val="single"/>
        </w:rPr>
      </w:pPr>
    </w:p>
    <w:p w:rsidR="008B1FCA" w:rsidRPr="009448FC" w:rsidRDefault="008B1FCA" w:rsidP="008B1FCA">
      <w:pPr>
        <w:rPr>
          <w:i/>
        </w:rPr>
      </w:pPr>
      <w:r w:rsidRPr="009448FC">
        <w:rPr>
          <w:i/>
        </w:rPr>
        <w:t>.11 Editor Inserting the following paragraph after the third paragraph:</w:t>
      </w:r>
    </w:p>
    <w:p w:rsidR="009A50BF" w:rsidRPr="00066F65" w:rsidRDefault="009A50BF" w:rsidP="008B1FCA">
      <w:pPr>
        <w:autoSpaceDE w:val="0"/>
        <w:autoSpaceDN w:val="0"/>
        <w:adjustRightInd w:val="0"/>
        <w:rPr>
          <w:rFonts w:eastAsia="MS Mincho"/>
          <w:u w:val="single"/>
        </w:rPr>
      </w:pPr>
    </w:p>
    <w:p w:rsidR="008B1FCA" w:rsidRPr="00066F65" w:rsidRDefault="008B1FCA" w:rsidP="008B1FCA">
      <w:pPr>
        <w:autoSpaceDE w:val="0"/>
        <w:autoSpaceDN w:val="0"/>
        <w:adjustRightInd w:val="0"/>
        <w:rPr>
          <w:iCs/>
          <w:u w:val="single"/>
        </w:rPr>
      </w:pPr>
      <w:r w:rsidRPr="00066F65">
        <w:rPr>
          <w:rFonts w:eastAsia="MS Mincho"/>
          <w:u w:val="single"/>
        </w:rPr>
        <w:t>An mSTA shall support the HT-Immediate Block Ack extension</w:t>
      </w:r>
      <w:r w:rsidRPr="009448FC">
        <w:rPr>
          <w:rFonts w:eastAsia="MS Mincho"/>
        </w:rPr>
        <w:t>.</w:t>
      </w:r>
      <w:r w:rsidRPr="00066F65">
        <w:rPr>
          <w:rFonts w:eastAsia="MS Mincho"/>
          <w:u w:val="single"/>
        </w:rPr>
        <w:t xml:space="preserve"> An mSTA does not support the HT-Delayed Block Ack extension.</w:t>
      </w:r>
    </w:p>
    <w:p w:rsidR="009115A8" w:rsidRPr="00066F65" w:rsidRDefault="009115A8" w:rsidP="006C671C">
      <w:pPr>
        <w:autoSpaceDE w:val="0"/>
        <w:autoSpaceDN w:val="0"/>
        <w:adjustRightInd w:val="0"/>
        <w:rPr>
          <w:iCs/>
          <w:u w:val="single"/>
        </w:rPr>
      </w:pPr>
    </w:p>
    <w:p w:rsidR="008B1FCA" w:rsidRPr="009448FC" w:rsidRDefault="008B1FCA" w:rsidP="008B1FCA">
      <w:pPr>
        <w:pStyle w:val="Heading3"/>
      </w:pPr>
      <w:bookmarkStart w:id="1136" w:name="_Toc259717107"/>
      <w:r w:rsidRPr="009448FC">
        <w:t>9.10.7 HT-immediate Block Ack extensions</w:t>
      </w:r>
      <w:bookmarkEnd w:id="1136"/>
    </w:p>
    <w:p w:rsidR="008B1FCA" w:rsidRPr="00066F65" w:rsidRDefault="008B1FCA" w:rsidP="006C671C">
      <w:pPr>
        <w:autoSpaceDE w:val="0"/>
        <w:autoSpaceDN w:val="0"/>
        <w:adjustRightInd w:val="0"/>
        <w:rPr>
          <w:iCs/>
          <w:u w:val="single"/>
        </w:rPr>
      </w:pPr>
    </w:p>
    <w:p w:rsidR="008B1FCA" w:rsidRPr="009448FC" w:rsidRDefault="008B1FCA" w:rsidP="008B1FCA">
      <w:pPr>
        <w:pStyle w:val="Heading4"/>
      </w:pPr>
      <w:bookmarkStart w:id="1137" w:name="_Toc259717108"/>
      <w:r w:rsidRPr="009448FC">
        <w:t>9.10.7.2 HT-immediate Block Ack architecture</w:t>
      </w:r>
      <w:bookmarkEnd w:id="1137"/>
    </w:p>
    <w:p w:rsidR="00CD401F" w:rsidRPr="00066F65" w:rsidRDefault="00CD401F" w:rsidP="006C671C">
      <w:pPr>
        <w:autoSpaceDE w:val="0"/>
        <w:autoSpaceDN w:val="0"/>
        <w:adjustRightInd w:val="0"/>
        <w:rPr>
          <w:iCs/>
          <w:u w:val="single"/>
        </w:rPr>
      </w:pPr>
    </w:p>
    <w:p w:rsidR="00CD401F" w:rsidRPr="009448FC" w:rsidRDefault="00CD401F" w:rsidP="00CD401F">
      <w:pPr>
        <w:autoSpaceDE w:val="0"/>
        <w:autoSpaceDN w:val="0"/>
        <w:adjustRightInd w:val="0"/>
        <w:rPr>
          <w:i/>
        </w:rPr>
      </w:pPr>
      <w:r w:rsidRPr="009448FC">
        <w:rPr>
          <w:i/>
        </w:rPr>
        <w:t>.11 Editor: insert the following subclause</w:t>
      </w:r>
    </w:p>
    <w:p w:rsidR="00CD401F" w:rsidRPr="00066F65" w:rsidRDefault="00CD401F" w:rsidP="006C671C">
      <w:pPr>
        <w:autoSpaceDE w:val="0"/>
        <w:autoSpaceDN w:val="0"/>
        <w:adjustRightInd w:val="0"/>
        <w:rPr>
          <w:iCs/>
          <w:u w:val="single"/>
        </w:rPr>
      </w:pPr>
    </w:p>
    <w:p w:rsidR="00CD401F" w:rsidRPr="009448FC" w:rsidRDefault="00CD401F" w:rsidP="005C2F13">
      <w:pPr>
        <w:pStyle w:val="Heading5"/>
      </w:pPr>
      <w:bookmarkStart w:id="1138" w:name="_Toc259717109"/>
      <w:r w:rsidRPr="009448FC">
        <w:t xml:space="preserve">9.10.7.2.1 </w:t>
      </w:r>
      <w:r w:rsidR="005C2F13" w:rsidRPr="009448FC">
        <w:t>Data and acknowledgement transfer</w:t>
      </w:r>
      <w:bookmarkEnd w:id="1138"/>
    </w:p>
    <w:p w:rsidR="00CD401F" w:rsidRPr="00066F65" w:rsidRDefault="00BE5866" w:rsidP="006C671C">
      <w:pPr>
        <w:autoSpaceDE w:val="0"/>
        <w:autoSpaceDN w:val="0"/>
        <w:adjustRightInd w:val="0"/>
        <w:rPr>
          <w:iCs/>
          <w:u w:val="single"/>
        </w:rPr>
      </w:pPr>
      <w:r>
        <w:rPr>
          <w:iCs/>
          <w:u w:val="single"/>
        </w:rPr>
        <w:t xml:space="preserve"> </w:t>
      </w:r>
    </w:p>
    <w:p w:rsidR="008B1FCA" w:rsidRPr="00066F65" w:rsidRDefault="008B1FCA" w:rsidP="008B1FCA">
      <w:pPr>
        <w:rPr>
          <w:u w:val="single"/>
          <w:lang w:bidi="ar-SA"/>
        </w:rPr>
      </w:pPr>
      <w:r w:rsidRPr="00066F65">
        <w:rPr>
          <w:u w:val="single"/>
          <w:lang w:bidi="ar-SA"/>
        </w:rPr>
        <w:lastRenderedPageBreak/>
        <w:t xml:space="preserve">Under </w:t>
      </w:r>
      <w:r w:rsidR="008B3E64">
        <w:rPr>
          <w:u w:val="single"/>
          <w:lang w:bidi="ar-SA"/>
        </w:rPr>
        <w:t xml:space="preserve">a </w:t>
      </w:r>
      <w:r w:rsidRPr="00066F65">
        <w:rPr>
          <w:u w:val="single"/>
          <w:lang w:bidi="ar-SA"/>
        </w:rPr>
        <w:t xml:space="preserve">BA agreement the regular </w:t>
      </w:r>
      <w:r w:rsidR="008B3E64">
        <w:rPr>
          <w:u w:val="single"/>
          <w:lang w:bidi="ar-SA"/>
        </w:rPr>
        <w:t>ACK</w:t>
      </w:r>
      <w:r w:rsidRPr="00066F65">
        <w:rPr>
          <w:u w:val="single"/>
          <w:lang w:bidi="ar-SA"/>
        </w:rPr>
        <w:t xml:space="preserve"> acknowledgement may be used in order to improve efficiency. </w:t>
      </w:r>
      <w:r w:rsidR="008B3E64" w:rsidRPr="008B3E64">
        <w:rPr>
          <w:u w:val="single"/>
          <w:lang w:bidi="ar-SA"/>
        </w:rPr>
        <w:t>STAs shall respond with an ACK to the reception of frames that are covered by a BA agreement but that are not part of an A-MPDU and that are received with their Ack Policy subfield in the QoS control field set to Normal Ack.</w:t>
      </w:r>
    </w:p>
    <w:p w:rsidR="008B1FCA" w:rsidRPr="00066F65" w:rsidRDefault="008B1FCA" w:rsidP="008B1FCA">
      <w:pPr>
        <w:rPr>
          <w:u w:val="single"/>
          <w:lang w:bidi="ar-SA"/>
        </w:rPr>
      </w:pPr>
    </w:p>
    <w:p w:rsidR="008B1FCA" w:rsidRPr="00066F65" w:rsidRDefault="008B1FCA" w:rsidP="008B1FCA">
      <w:pPr>
        <w:rPr>
          <w:u w:val="single"/>
          <w:lang w:bidi="ar-SA"/>
        </w:rPr>
      </w:pPr>
      <w:r w:rsidRPr="00066F65">
        <w:rPr>
          <w:u w:val="single"/>
          <w:lang w:bidi="ar-SA"/>
        </w:rPr>
        <w:t>The Block Ack record shall be updated irrespective of the acknowledgement type (regular or Blo</w:t>
      </w:r>
      <w:r w:rsidR="008B3E64">
        <w:rPr>
          <w:u w:val="single"/>
          <w:lang w:bidi="ar-SA"/>
        </w:rPr>
        <w:t>ck ACK) for the TID/TSID with a</w:t>
      </w:r>
      <w:r w:rsidRPr="00066F65">
        <w:rPr>
          <w:u w:val="single"/>
          <w:lang w:bidi="ar-SA"/>
        </w:rPr>
        <w:t xml:space="preserve"> Block Ack</w:t>
      </w:r>
      <w:r w:rsidR="008B3E64">
        <w:rPr>
          <w:u w:val="single"/>
          <w:lang w:bidi="ar-SA"/>
        </w:rPr>
        <w:t xml:space="preserve"> agreement</w:t>
      </w:r>
      <w:r w:rsidRPr="00066F65">
        <w:rPr>
          <w:u w:val="single"/>
          <w:lang w:bidi="ar-SA"/>
        </w:rPr>
        <w:t>.</w:t>
      </w:r>
      <w:r w:rsidR="00080054">
        <w:rPr>
          <w:u w:val="single"/>
          <w:lang w:bidi="ar-SA"/>
        </w:rPr>
        <w:t xml:space="preserve"> </w:t>
      </w:r>
    </w:p>
    <w:p w:rsidR="008B1FCA" w:rsidRPr="00066F65" w:rsidRDefault="008B1FCA" w:rsidP="008B1FCA">
      <w:pPr>
        <w:rPr>
          <w:u w:val="single"/>
          <w:lang w:bidi="ar-SA"/>
        </w:rPr>
      </w:pPr>
    </w:p>
    <w:p w:rsidR="008B1FCA" w:rsidRPr="00066F65" w:rsidRDefault="008B1FCA" w:rsidP="008B1FCA">
      <w:pPr>
        <w:autoSpaceDE w:val="0"/>
        <w:autoSpaceDN w:val="0"/>
        <w:adjustRightInd w:val="0"/>
        <w:rPr>
          <w:iCs/>
          <w:u w:val="single"/>
        </w:rPr>
      </w:pPr>
      <w:r w:rsidRPr="00066F65">
        <w:rPr>
          <w:u w:val="single"/>
          <w:lang w:bidi="ar-SA"/>
        </w:rPr>
        <w:t>The reception of QoS data frames using Normal Ack policy shall not be used by the recipient as an indication to reset the timer employed in detecting a Block Ack timeout (see 11.5). This allows the recipient to delete the Block Ack if the originator does not switch back to using Block Ack.</w:t>
      </w:r>
    </w:p>
    <w:p w:rsidR="009115A8" w:rsidRPr="00066F65" w:rsidRDefault="009115A8" w:rsidP="006C671C">
      <w:pPr>
        <w:autoSpaceDE w:val="0"/>
        <w:autoSpaceDN w:val="0"/>
        <w:adjustRightInd w:val="0"/>
        <w:rPr>
          <w:iCs/>
          <w:u w:val="single"/>
        </w:rPr>
      </w:pPr>
    </w:p>
    <w:p w:rsidR="007061DE" w:rsidRPr="009448FC" w:rsidRDefault="007061DE" w:rsidP="003701DB">
      <w:pPr>
        <w:pStyle w:val="Heading2"/>
        <w:numPr>
          <w:ilvl w:val="1"/>
          <w:numId w:val="109"/>
        </w:numPr>
        <w:rPr>
          <w:u w:val="none"/>
        </w:rPr>
      </w:pPr>
      <w:bookmarkStart w:id="1139" w:name="_Ref243799086"/>
      <w:bookmarkStart w:id="1140" w:name="_Toc259717110"/>
      <w:r w:rsidRPr="009448FC">
        <w:rPr>
          <w:u w:val="none"/>
        </w:rPr>
        <w:t>Reverse Direction (RD) protocol</w:t>
      </w:r>
      <w:bookmarkEnd w:id="1139"/>
      <w:bookmarkEnd w:id="1140"/>
    </w:p>
    <w:p w:rsidR="007061DE" w:rsidRPr="00066F65" w:rsidRDefault="007061DE" w:rsidP="006C671C">
      <w:pPr>
        <w:autoSpaceDE w:val="0"/>
        <w:autoSpaceDN w:val="0"/>
        <w:adjustRightInd w:val="0"/>
        <w:rPr>
          <w:iCs/>
          <w:u w:val="single"/>
        </w:rPr>
      </w:pPr>
    </w:p>
    <w:p w:rsidR="007061DE" w:rsidRPr="009448FC" w:rsidRDefault="007061DE" w:rsidP="007061DE">
      <w:pPr>
        <w:rPr>
          <w:i/>
        </w:rPr>
      </w:pPr>
      <w:r w:rsidRPr="009448FC">
        <w:rPr>
          <w:i/>
        </w:rPr>
        <w:t>.11 Editor Note: Insert the following paragraph at start of the subclause</w:t>
      </w:r>
    </w:p>
    <w:p w:rsidR="007061DE" w:rsidRPr="009448FC" w:rsidRDefault="007061DE" w:rsidP="007061DE">
      <w:pPr>
        <w:rPr>
          <w:b/>
          <w:i/>
        </w:rPr>
      </w:pPr>
    </w:p>
    <w:p w:rsidR="007061DE" w:rsidRPr="00066F65" w:rsidRDefault="007061DE" w:rsidP="000F27FC">
      <w:pPr>
        <w:rPr>
          <w:b/>
          <w:bCs/>
          <w:i/>
          <w:iCs/>
          <w:u w:val="single"/>
        </w:rPr>
      </w:pPr>
      <w:r w:rsidRPr="00066F65">
        <w:rPr>
          <w:u w:val="single"/>
        </w:rPr>
        <w:t xml:space="preserve">The RD functionality is provided by the MAC that supports HT PHY (clause 20) and the MAC that supports mmWave PHY (clause </w:t>
      </w:r>
      <w:r w:rsidR="00BD151C" w:rsidRPr="00066F65">
        <w:rPr>
          <w:u w:val="single"/>
        </w:rPr>
        <w:fldChar w:fldCharType="begin"/>
      </w:r>
      <w:r w:rsidR="000F27FC" w:rsidRPr="00066F65">
        <w:rPr>
          <w:u w:val="single"/>
        </w:rPr>
        <w:instrText xml:space="preserve"> REF _Ref243723985 \r \h </w:instrText>
      </w:r>
      <w:r w:rsidR="00BD151C" w:rsidRPr="00066F65">
        <w:rPr>
          <w:u w:val="single"/>
        </w:rPr>
      </w:r>
      <w:r w:rsidR="00BD151C" w:rsidRPr="00066F65">
        <w:rPr>
          <w:u w:val="single"/>
        </w:rPr>
        <w:fldChar w:fldCharType="separate"/>
      </w:r>
      <w:r w:rsidR="003E4210">
        <w:rPr>
          <w:u w:val="single"/>
        </w:rPr>
        <w:t>21</w:t>
      </w:r>
      <w:r w:rsidR="00BD151C" w:rsidRPr="00066F65">
        <w:rPr>
          <w:u w:val="single"/>
        </w:rPr>
        <w:fldChar w:fldCharType="end"/>
      </w:r>
      <w:r w:rsidRPr="00066F65">
        <w:rPr>
          <w:u w:val="single"/>
        </w:rPr>
        <w:t>). Normative behavior of the RD defined in this subclause applies to both types of supported PHYs. In the MAC that supports the HT PHY the RDG/More PPDU field and the AC Constraint field are present in the HTC field, and in the MAC that supports the mmWave PHY the RDG/More PPDU field and the AC Constraint field are present in the QoS control field.</w:t>
      </w:r>
      <w:r w:rsidR="00D11F2E">
        <w:rPr>
          <w:u w:val="single"/>
        </w:rPr>
        <w:t xml:space="preserve"> </w:t>
      </w:r>
    </w:p>
    <w:p w:rsidR="007061DE" w:rsidRPr="009448FC" w:rsidRDefault="007061DE" w:rsidP="007061DE">
      <w:pPr>
        <w:rPr>
          <w:b/>
          <w:i/>
        </w:rPr>
      </w:pPr>
    </w:p>
    <w:p w:rsidR="007061DE" w:rsidRPr="00066F65" w:rsidRDefault="007061DE" w:rsidP="007061DE">
      <w:pPr>
        <w:autoSpaceDE w:val="0"/>
        <w:autoSpaceDN w:val="0"/>
        <w:adjustRightInd w:val="0"/>
        <w:rPr>
          <w:iCs/>
          <w:u w:val="single"/>
        </w:rPr>
      </w:pPr>
      <w:r w:rsidRPr="009448FC">
        <w:rPr>
          <w:i/>
        </w:rPr>
        <w:t xml:space="preserve">.11 Editor Note: replace all </w:t>
      </w:r>
      <w:r w:rsidR="00157FFB" w:rsidRPr="009448FC">
        <w:rPr>
          <w:i/>
        </w:rPr>
        <w:t xml:space="preserve">occurrences </w:t>
      </w:r>
      <w:r w:rsidRPr="009448FC">
        <w:rPr>
          <w:i/>
        </w:rPr>
        <w:t xml:space="preserve">of </w:t>
      </w:r>
      <w:r w:rsidR="00157FFB" w:rsidRPr="009448FC">
        <w:rPr>
          <w:i/>
        </w:rPr>
        <w:t>“</w:t>
      </w:r>
      <w:r w:rsidRPr="009448FC">
        <w:t>+HTC MPDU</w:t>
      </w:r>
      <w:r w:rsidR="00157FFB" w:rsidRPr="009448FC">
        <w:rPr>
          <w:i/>
        </w:rPr>
        <w:t>”</w:t>
      </w:r>
      <w:r w:rsidRPr="009448FC">
        <w:rPr>
          <w:i/>
        </w:rPr>
        <w:t xml:space="preserve"> </w:t>
      </w:r>
      <w:r w:rsidR="001A08DA" w:rsidRPr="009448FC">
        <w:rPr>
          <w:i/>
        </w:rPr>
        <w:t>by “</w:t>
      </w:r>
      <w:r w:rsidR="001A08DA" w:rsidRPr="009448FC">
        <w:t>+HTC/mmWave MPDU</w:t>
      </w:r>
      <w:r w:rsidR="001A08DA" w:rsidRPr="009448FC">
        <w:rPr>
          <w:i/>
        </w:rPr>
        <w:t xml:space="preserve">”, </w:t>
      </w:r>
      <w:r w:rsidR="00157FFB" w:rsidRPr="009448FC">
        <w:rPr>
          <w:i/>
        </w:rPr>
        <w:t>“</w:t>
      </w:r>
      <w:r w:rsidRPr="009448FC">
        <w:t>+HTC frame</w:t>
      </w:r>
      <w:r w:rsidR="00157FFB" w:rsidRPr="009448FC">
        <w:rPr>
          <w:i/>
        </w:rPr>
        <w:t>”</w:t>
      </w:r>
      <w:r w:rsidRPr="009448FC">
        <w:rPr>
          <w:i/>
        </w:rPr>
        <w:t xml:space="preserve"> by</w:t>
      </w:r>
      <w:r w:rsidR="00281486" w:rsidRPr="009448FC">
        <w:rPr>
          <w:i/>
        </w:rPr>
        <w:t xml:space="preserve"> </w:t>
      </w:r>
      <w:r w:rsidR="00157FFB" w:rsidRPr="009448FC">
        <w:rPr>
          <w:i/>
        </w:rPr>
        <w:t>“</w:t>
      </w:r>
      <w:r w:rsidRPr="009448FC">
        <w:t>+HTC/mmWave frame</w:t>
      </w:r>
      <w:r w:rsidR="00157FFB" w:rsidRPr="009448FC">
        <w:rPr>
          <w:i/>
        </w:rPr>
        <w:t>”</w:t>
      </w:r>
      <w:r w:rsidR="001A08DA" w:rsidRPr="009448FC">
        <w:rPr>
          <w:i/>
        </w:rPr>
        <w:t>, and wherever applicable “</w:t>
      </w:r>
      <w:r w:rsidR="001A08DA" w:rsidRPr="009448FC">
        <w:t>HT</w:t>
      </w:r>
      <w:r w:rsidR="001A08DA" w:rsidRPr="009448FC">
        <w:rPr>
          <w:i/>
        </w:rPr>
        <w:t>” by “</w:t>
      </w:r>
      <w:r w:rsidR="001A08DA" w:rsidRPr="009448FC">
        <w:t>HT/mmWave</w:t>
      </w:r>
      <w:r w:rsidR="001A08DA" w:rsidRPr="009448FC">
        <w:rPr>
          <w:i/>
        </w:rPr>
        <w:t>”</w:t>
      </w:r>
    </w:p>
    <w:p w:rsidR="007061DE" w:rsidRDefault="007061DE" w:rsidP="006C671C">
      <w:pPr>
        <w:autoSpaceDE w:val="0"/>
        <w:autoSpaceDN w:val="0"/>
        <w:adjustRightInd w:val="0"/>
        <w:rPr>
          <w:iCs/>
          <w:u w:val="single"/>
        </w:rPr>
      </w:pPr>
    </w:p>
    <w:p w:rsidR="00EA01D5" w:rsidRPr="00066F65" w:rsidRDefault="00EA01D5" w:rsidP="006C671C">
      <w:pPr>
        <w:autoSpaceDE w:val="0"/>
        <w:autoSpaceDN w:val="0"/>
        <w:adjustRightInd w:val="0"/>
        <w:rPr>
          <w:iCs/>
          <w:u w:val="single"/>
        </w:rPr>
      </w:pPr>
      <w:r w:rsidRPr="009448FC">
        <w:rPr>
          <w:i/>
        </w:rPr>
        <w:t>.11 Editor Note:</w:t>
      </w:r>
      <w:r>
        <w:rPr>
          <w:i/>
        </w:rPr>
        <w:t xml:space="preserve"> Insert the following subclause</w:t>
      </w:r>
    </w:p>
    <w:p w:rsidR="008C36FC" w:rsidRPr="009448FC" w:rsidRDefault="008C36FC" w:rsidP="003701DB">
      <w:pPr>
        <w:pStyle w:val="Heading2"/>
        <w:numPr>
          <w:ilvl w:val="1"/>
          <w:numId w:val="29"/>
        </w:numPr>
        <w:rPr>
          <w:u w:val="none"/>
        </w:rPr>
      </w:pPr>
      <w:bookmarkStart w:id="1141" w:name="_Toc205016608"/>
      <w:bookmarkStart w:id="1142" w:name="_Toc205121614"/>
      <w:bookmarkStart w:id="1143" w:name="_Toc206227497"/>
      <w:bookmarkStart w:id="1144" w:name="_Toc206415444"/>
      <w:bookmarkStart w:id="1145" w:name="_Toc206418251"/>
      <w:bookmarkStart w:id="1146" w:name="_Toc207098934"/>
      <w:bookmarkStart w:id="1147" w:name="_Toc207099542"/>
      <w:bookmarkStart w:id="1148" w:name="_Toc207100461"/>
      <w:bookmarkStart w:id="1149" w:name="_Toc207348383"/>
      <w:bookmarkStart w:id="1150" w:name="_Toc215582764"/>
      <w:bookmarkStart w:id="1151" w:name="_Toc235400302"/>
      <w:bookmarkStart w:id="1152" w:name="_Ref236671149"/>
      <w:bookmarkStart w:id="1153" w:name="_Ref236673519"/>
      <w:bookmarkStart w:id="1154" w:name="_Ref251938029"/>
      <w:bookmarkStart w:id="1155" w:name="_Ref252008929"/>
      <w:bookmarkStart w:id="1156" w:name="_Ref259716087"/>
      <w:bookmarkStart w:id="1157" w:name="_Toc259717111"/>
      <w:r w:rsidRPr="009448FC">
        <w:rPr>
          <w:u w:val="none"/>
        </w:rPr>
        <w:t>mmWave Channel access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rsidR="0089044F" w:rsidRPr="009448FC" w:rsidRDefault="0089044F" w:rsidP="0089044F"/>
    <w:p w:rsidR="00A2780A" w:rsidRPr="009448FC" w:rsidRDefault="00A2780A" w:rsidP="00A2780A">
      <w:r w:rsidRPr="009448FC">
        <w:t>Channel access by an mSTA operating in the UB occurs during Beacon Intervals (BI) and is coordinated using a schedule. An mSTA operating as a PCP or AP generates the schedule and communicates it to STAs using mmWave Beacon and Announce frames. A non-PCP STA that is a non-AP STA and that receives scheduling information initiates access to the medium during the scheduled periods using the access rules specific to that period. A non-PCP that is a non</w:t>
      </w:r>
      <w:r w:rsidR="0025019A">
        <w:t>-</w:t>
      </w:r>
      <w:r w:rsidRPr="009448FC">
        <w:t xml:space="preserve">AP STA can access the medium in response to an explicit Poll frame or a Grant frame received from the PCP or AP. A non-PCP STA that is a non-AP STA operating in the UB and that does not receive either scheduling information or a mmWave Beacon frame with the CBP Only field set to one from a PCP or AP is </w:t>
      </w:r>
      <w:r w:rsidR="00E74D84">
        <w:t xml:space="preserve">only </w:t>
      </w:r>
      <w:r w:rsidRPr="009448FC">
        <w:t>allowed to transmit mmWave Beacon frames.</w:t>
      </w:r>
    </w:p>
    <w:p w:rsidR="00A2780A" w:rsidRPr="009448FC" w:rsidRDefault="00BE5866" w:rsidP="0089044F">
      <w:r>
        <w:t xml:space="preserve"> </w:t>
      </w:r>
    </w:p>
    <w:p w:rsidR="00DC2ECA" w:rsidRPr="009448FC" w:rsidRDefault="00DC2ECA" w:rsidP="003701DB">
      <w:pPr>
        <w:pStyle w:val="Heading3"/>
        <w:numPr>
          <w:ilvl w:val="2"/>
          <w:numId w:val="204"/>
        </w:numPr>
        <w:rPr>
          <w:rFonts w:eastAsia="MS Mincho"/>
        </w:rPr>
      </w:pPr>
      <w:bookmarkStart w:id="1158" w:name="_Toc259717112"/>
      <w:r w:rsidRPr="00041214">
        <w:t xml:space="preserve">Beacon </w:t>
      </w:r>
      <w:r w:rsidR="00135ABB">
        <w:t>i</w:t>
      </w:r>
      <w:r w:rsidRPr="00041214">
        <w:t xml:space="preserve">nterval (BI) </w:t>
      </w:r>
      <w:r w:rsidR="00135ABB">
        <w:t>s</w:t>
      </w:r>
      <w:r w:rsidRPr="00041214">
        <w:t>tructure</w:t>
      </w:r>
      <w:bookmarkEnd w:id="1158"/>
    </w:p>
    <w:p w:rsidR="00DC2ECA" w:rsidRPr="009448FC" w:rsidRDefault="00DC2ECA" w:rsidP="0089044F"/>
    <w:p w:rsidR="00A2780A" w:rsidRPr="009448FC" w:rsidRDefault="00A2780A" w:rsidP="00A2780A">
      <w:r w:rsidRPr="009448FC">
        <w:t>Medium time within a BSS operating in the UB is divided into Beacon Intervals (BI). Subdivisions within the BI are called access periods. Different access periods within the BI have different access rules. The access periods are described in a schedule that is communicated by the PCP or AP to the non-PCP and non-AP STAs within the BSS. The schedule</w:t>
      </w:r>
      <w:r w:rsidR="00CB6FE9">
        <w:t xml:space="preserve"> communicated by the PCP or AP </w:t>
      </w:r>
      <w:r w:rsidRPr="009448FC">
        <w:t>can include the following access periods:</w:t>
      </w:r>
    </w:p>
    <w:p w:rsidR="00A2780A" w:rsidRPr="009448FC" w:rsidRDefault="00A2780A" w:rsidP="00A2780A"/>
    <w:p w:rsidR="00A2780A" w:rsidRPr="009448FC" w:rsidRDefault="00A2780A" w:rsidP="003701DB">
      <w:pPr>
        <w:numPr>
          <w:ilvl w:val="0"/>
          <w:numId w:val="22"/>
        </w:numPr>
      </w:pPr>
      <w:r w:rsidRPr="009448FC">
        <w:rPr>
          <w:b/>
        </w:rPr>
        <w:t>BT:</w:t>
      </w:r>
      <w:r w:rsidRPr="009448FC">
        <w:t xml:space="preserve"> An access period during which one or more mmWave Beacon frames is transmitted. Not all mmWave Beacon frames are detectable by all non-PCP and non-AP STAs. Not all BIs contain a BT. A non-PCP STA that is a non-AP STA shall not transmit during the BT of the BSS of which it is a member. </w:t>
      </w:r>
    </w:p>
    <w:p w:rsidR="00A2780A" w:rsidRPr="009448FC" w:rsidRDefault="00A2780A" w:rsidP="003701DB">
      <w:pPr>
        <w:numPr>
          <w:ilvl w:val="0"/>
          <w:numId w:val="22"/>
        </w:numPr>
      </w:pPr>
      <w:r w:rsidRPr="009448FC">
        <w:rPr>
          <w:b/>
        </w:rPr>
        <w:t>A-BFT:</w:t>
      </w:r>
      <w:r w:rsidRPr="009448FC">
        <w:t xml:space="preserve"> An access period during which beamforming training is performed with a PCP or AP. The presence of the A-BFT is optional and signaled in mmWave Beacon frames.</w:t>
      </w:r>
    </w:p>
    <w:p w:rsidR="00A2780A" w:rsidRPr="009448FC" w:rsidRDefault="00A2780A" w:rsidP="003701DB">
      <w:pPr>
        <w:numPr>
          <w:ilvl w:val="0"/>
          <w:numId w:val="22"/>
        </w:numPr>
      </w:pPr>
      <w:r w:rsidRPr="009448FC">
        <w:rPr>
          <w:b/>
        </w:rPr>
        <w:t xml:space="preserve">AT: </w:t>
      </w:r>
      <w:r w:rsidRPr="009448FC">
        <w:t>A request-response based management access period during which a PCP or AP delivers non-MSDUs and provides access opportunities for STAs to return non-MSDUs. The presence of the AT is optional and signaled in mmWave Beacon frames.</w:t>
      </w:r>
    </w:p>
    <w:p w:rsidR="00A2780A" w:rsidRPr="009448FC" w:rsidRDefault="00A2780A" w:rsidP="003701DB">
      <w:pPr>
        <w:numPr>
          <w:ilvl w:val="0"/>
          <w:numId w:val="22"/>
        </w:numPr>
      </w:pPr>
      <w:r w:rsidRPr="009448FC">
        <w:rPr>
          <w:b/>
        </w:rPr>
        <w:t>DTT:</w:t>
      </w:r>
      <w:r w:rsidRPr="009448FC">
        <w:t xml:space="preserve"> An access period during which frame exchanges are performed between STAs.</w:t>
      </w:r>
    </w:p>
    <w:p w:rsidR="00A2780A" w:rsidRPr="009448FC" w:rsidRDefault="00A2780A" w:rsidP="00A2780A">
      <w:pPr>
        <w:rPr>
          <w:b/>
        </w:rPr>
      </w:pPr>
    </w:p>
    <w:p w:rsidR="00A2780A" w:rsidRPr="009448FC" w:rsidRDefault="00A2780A" w:rsidP="00A2780A">
      <w:r w:rsidRPr="009448FC">
        <w:t>The DTT, in turn, is comprised of contention-based access periods (CBPs) and service periods (SPs).</w:t>
      </w:r>
      <w:bookmarkStart w:id="1159" w:name="_Toc220325105"/>
      <w:bookmarkStart w:id="1160" w:name="_Toc220331666"/>
      <w:bookmarkStart w:id="1161" w:name="_Toc220332177"/>
      <w:bookmarkStart w:id="1162" w:name="_Toc222660039"/>
      <w:bookmarkStart w:id="1163" w:name="_Toc222660604"/>
      <w:bookmarkStart w:id="1164" w:name="_Toc222806285"/>
      <w:bookmarkStart w:id="1165" w:name="_Toc222806861"/>
      <w:bookmarkStart w:id="1166" w:name="_Toc222807682"/>
      <w:bookmarkStart w:id="1167" w:name="_Toc222809400"/>
      <w:bookmarkStart w:id="1168" w:name="_Toc220325107"/>
      <w:bookmarkStart w:id="1169" w:name="_Toc220331668"/>
      <w:bookmarkStart w:id="1170" w:name="_Toc220332179"/>
      <w:bookmarkStart w:id="1171" w:name="_Toc222660041"/>
      <w:bookmarkStart w:id="1172" w:name="_Toc222660606"/>
      <w:bookmarkStart w:id="1173" w:name="_Toc222806287"/>
      <w:bookmarkStart w:id="1174" w:name="_Toc222806863"/>
      <w:bookmarkStart w:id="1175" w:name="_Toc222807684"/>
      <w:bookmarkStart w:id="1176" w:name="_Toc222809402"/>
      <w:bookmarkStart w:id="1177" w:name="_Toc220325118"/>
      <w:bookmarkStart w:id="1178" w:name="_Toc220331679"/>
      <w:bookmarkStart w:id="1179" w:name="_Toc220332190"/>
      <w:bookmarkStart w:id="1180" w:name="_Toc222660052"/>
      <w:bookmarkStart w:id="1181" w:name="_Toc222660617"/>
      <w:bookmarkStart w:id="1182" w:name="_Toc222806298"/>
      <w:bookmarkStart w:id="1183" w:name="_Toc222806874"/>
      <w:bookmarkStart w:id="1184" w:name="_Toc222807695"/>
      <w:bookmarkStart w:id="1185" w:name="_Toc222809413"/>
      <w:bookmarkStart w:id="1186" w:name="_Toc220325120"/>
      <w:bookmarkStart w:id="1187" w:name="_Toc220331681"/>
      <w:bookmarkStart w:id="1188" w:name="_Toc220332192"/>
      <w:bookmarkStart w:id="1189" w:name="_Toc222660054"/>
      <w:bookmarkStart w:id="1190" w:name="_Toc222660619"/>
      <w:bookmarkStart w:id="1191" w:name="_Toc222806300"/>
      <w:bookmarkStart w:id="1192" w:name="_Toc222806876"/>
      <w:bookmarkStart w:id="1193" w:name="_Toc222807697"/>
      <w:bookmarkStart w:id="1194" w:name="_Toc222809415"/>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A2780A" w:rsidRPr="009448FC" w:rsidRDefault="00A2780A" w:rsidP="00A2780A"/>
    <w:p w:rsidR="00A2780A" w:rsidRPr="009448FC" w:rsidRDefault="00BD151C" w:rsidP="00A2780A">
      <w:r w:rsidRPr="009448FC">
        <w:fldChar w:fldCharType="begin"/>
      </w:r>
      <w:r w:rsidR="00A2780A" w:rsidRPr="009448FC">
        <w:instrText xml:space="preserve"> REF _Ref246084921 \h </w:instrText>
      </w:r>
      <w:r w:rsidRPr="009448FC">
        <w:fldChar w:fldCharType="separate"/>
      </w:r>
      <w:r w:rsidR="003E4210" w:rsidRPr="00066F65">
        <w:t xml:space="preserve">Figure </w:t>
      </w:r>
      <w:r w:rsidR="003E4210">
        <w:rPr>
          <w:noProof/>
        </w:rPr>
        <w:t>82</w:t>
      </w:r>
      <w:r w:rsidRPr="009448FC">
        <w:fldChar w:fldCharType="end"/>
      </w:r>
      <w:r w:rsidR="00A2780A" w:rsidRPr="009448FC">
        <w:t xml:space="preserve"> illustrates an example of a BI structure comprised of a BT, an A-BFT, an AT, and two CBPs and SPs within the DTT. Any combination in the number of SPs and CBPs can be present in the DTT.</w:t>
      </w:r>
    </w:p>
    <w:p w:rsidR="00A2780A" w:rsidRPr="009448FC" w:rsidRDefault="00A2780A" w:rsidP="00A2780A"/>
    <w:p w:rsidR="00A2780A" w:rsidRPr="009448FC" w:rsidRDefault="00014713" w:rsidP="00A2780A">
      <w:pPr>
        <w:jc w:val="center"/>
      </w:pPr>
      <w:r w:rsidRPr="009448FC">
        <w:object w:dxaOrig="8449" w:dyaOrig="1867">
          <v:shape id="_x0000_i1046" type="#_x0000_t75" style="width:422.5pt;height:93.3pt" o:ole="">
            <v:imagedata r:id="rId139" o:title=""/>
          </v:shape>
          <o:OLEObject Type="Embed" ProgID="Visio.Drawing.11" ShapeID="_x0000_i1046" DrawAspect="Content" ObjectID="_1334048228" r:id="rId140"/>
        </w:object>
      </w:r>
    </w:p>
    <w:p w:rsidR="00A2780A" w:rsidRPr="00066F65" w:rsidRDefault="00A2780A" w:rsidP="00BA5BC4">
      <w:pPr>
        <w:pStyle w:val="Caption"/>
      </w:pPr>
      <w:bookmarkStart w:id="1195" w:name="_Ref246084921"/>
      <w:bookmarkStart w:id="1196" w:name="_Toc259717514"/>
      <w:r w:rsidRPr="00066F65">
        <w:t xml:space="preserve">Figure </w:t>
      </w:r>
      <w:r w:rsidR="00BD151C">
        <w:fldChar w:fldCharType="begin"/>
      </w:r>
      <w:r w:rsidR="00801316">
        <w:instrText xml:space="preserve"> SEQ Figure \* ARABIC </w:instrText>
      </w:r>
      <w:r w:rsidR="00BD151C">
        <w:fldChar w:fldCharType="separate"/>
      </w:r>
      <w:r w:rsidR="003E4210">
        <w:rPr>
          <w:noProof/>
        </w:rPr>
        <w:t>82</w:t>
      </w:r>
      <w:r w:rsidR="00BD151C">
        <w:fldChar w:fldCharType="end"/>
      </w:r>
      <w:bookmarkEnd w:id="1195"/>
      <w:r w:rsidRPr="00066F65">
        <w:t xml:space="preserve"> – Example of a BI structure</w:t>
      </w:r>
      <w:bookmarkEnd w:id="1196"/>
    </w:p>
    <w:p w:rsidR="00A2780A" w:rsidRPr="009448FC" w:rsidRDefault="00A2780A" w:rsidP="00A2780A">
      <w:pPr>
        <w:autoSpaceDE w:val="0"/>
        <w:autoSpaceDN w:val="0"/>
        <w:adjustRightInd w:val="0"/>
        <w:rPr>
          <w:rFonts w:ascii="Arial" w:eastAsia="MS Mincho" w:hAnsi="Arial"/>
          <w:sz w:val="20"/>
        </w:rPr>
      </w:pPr>
    </w:p>
    <w:p w:rsidR="00A2780A" w:rsidRPr="009448FC" w:rsidRDefault="00A2780A" w:rsidP="00A2780A">
      <w:r w:rsidRPr="009448FC">
        <w:t xml:space="preserve">The details of the access protocol within each of the access periods are described in the remaining subclauses of </w:t>
      </w:r>
      <w:r w:rsidR="00BD151C">
        <w:fldChar w:fldCharType="begin"/>
      </w:r>
      <w:r w:rsidR="00EA01D5">
        <w:instrText xml:space="preserve"> REF _Ref251938029 \r \h </w:instrText>
      </w:r>
      <w:r w:rsidR="00BD151C">
        <w:fldChar w:fldCharType="separate"/>
      </w:r>
      <w:r w:rsidR="003E4210">
        <w:t>9.23</w:t>
      </w:r>
      <w:r w:rsidR="00BD151C">
        <w:fldChar w:fldCharType="end"/>
      </w:r>
      <w:r w:rsidRPr="009448FC">
        <w:t xml:space="preserve"> and within subclause </w:t>
      </w:r>
      <w:r w:rsidR="00BD151C">
        <w:fldChar w:fldCharType="begin"/>
      </w:r>
      <w:r w:rsidR="00EA01D5">
        <w:instrText xml:space="preserve"> REF _Ref251938024 \r \h </w:instrText>
      </w:r>
      <w:r w:rsidR="00BD151C">
        <w:fldChar w:fldCharType="separate"/>
      </w:r>
      <w:r w:rsidR="003E4210">
        <w:t>9.25</w:t>
      </w:r>
      <w:r w:rsidR="00BD151C">
        <w:fldChar w:fldCharType="end"/>
      </w:r>
      <w:r w:rsidRPr="009448FC">
        <w:t>.</w:t>
      </w:r>
    </w:p>
    <w:p w:rsidR="00DC2ECA" w:rsidRPr="009448FC" w:rsidRDefault="00DC2ECA" w:rsidP="0089044F"/>
    <w:p w:rsidR="008C36FC" w:rsidRPr="00041214" w:rsidRDefault="008C36FC" w:rsidP="003701DB">
      <w:pPr>
        <w:pStyle w:val="Heading3"/>
        <w:numPr>
          <w:ilvl w:val="2"/>
          <w:numId w:val="204"/>
        </w:numPr>
      </w:pPr>
      <w:bookmarkStart w:id="1197" w:name="_Toc205016609"/>
      <w:bookmarkStart w:id="1198" w:name="_Toc205121615"/>
      <w:bookmarkStart w:id="1199" w:name="_Toc206227498"/>
      <w:bookmarkStart w:id="1200" w:name="_Toc206415445"/>
      <w:bookmarkStart w:id="1201" w:name="_Toc206418252"/>
      <w:bookmarkStart w:id="1202" w:name="_Toc207098935"/>
      <w:bookmarkStart w:id="1203" w:name="_Toc207099543"/>
      <w:bookmarkStart w:id="1204" w:name="_Toc207100462"/>
      <w:bookmarkStart w:id="1205" w:name="_Toc207348384"/>
      <w:bookmarkStart w:id="1206" w:name="_Toc215582765"/>
      <w:bookmarkStart w:id="1207" w:name="_Toc235400303"/>
      <w:bookmarkStart w:id="1208" w:name="_Toc259717113"/>
      <w:r w:rsidRPr="00041214">
        <w:t>Interframe space (IFS)</w:t>
      </w:r>
      <w:bookmarkEnd w:id="1197"/>
      <w:bookmarkEnd w:id="1198"/>
      <w:bookmarkEnd w:id="1199"/>
      <w:bookmarkEnd w:id="1200"/>
      <w:bookmarkEnd w:id="1201"/>
      <w:bookmarkEnd w:id="1202"/>
      <w:bookmarkEnd w:id="1203"/>
      <w:bookmarkEnd w:id="1204"/>
      <w:bookmarkEnd w:id="1205"/>
      <w:bookmarkEnd w:id="1206"/>
      <w:bookmarkEnd w:id="1207"/>
      <w:bookmarkEnd w:id="1208"/>
    </w:p>
    <w:p w:rsidR="00FE6B12" w:rsidRPr="009448FC" w:rsidRDefault="00FE6B12" w:rsidP="00FE6B12">
      <w:pPr>
        <w:widowControl w:val="0"/>
        <w:autoSpaceDE w:val="0"/>
        <w:autoSpaceDN w:val="0"/>
        <w:adjustRightInd w:val="0"/>
        <w:rPr>
          <w:rFonts w:ascii="TimesNewRoman" w:hAnsi="TimesNewRoman"/>
          <w:b/>
          <w:sz w:val="22"/>
        </w:rPr>
      </w:pPr>
    </w:p>
    <w:p w:rsidR="00FE006F" w:rsidRPr="009448FC" w:rsidRDefault="00FE006F" w:rsidP="00FE006F">
      <w:pPr>
        <w:widowControl w:val="0"/>
        <w:autoSpaceDE w:val="0"/>
        <w:autoSpaceDN w:val="0"/>
        <w:adjustRightInd w:val="0"/>
      </w:pPr>
      <w:r w:rsidRPr="009448FC">
        <w:t>STAs shall use the interframe spaces defined in 9.2.3 when oper</w:t>
      </w:r>
      <w:r w:rsidR="00C00589">
        <w:t>a</w:t>
      </w:r>
      <w:r w:rsidRPr="009448FC">
        <w:t>ting in the UB.</w:t>
      </w:r>
    </w:p>
    <w:p w:rsidR="00FE6B12" w:rsidRPr="009448FC" w:rsidRDefault="00FE6B12" w:rsidP="00666A6D">
      <w:pPr>
        <w:widowControl w:val="0"/>
        <w:autoSpaceDE w:val="0"/>
        <w:autoSpaceDN w:val="0"/>
        <w:adjustRightInd w:val="0"/>
        <w:rPr>
          <w:b/>
          <w:i/>
          <w:sz w:val="22"/>
        </w:rPr>
      </w:pPr>
    </w:p>
    <w:p w:rsidR="008C36FC" w:rsidRPr="00041214" w:rsidRDefault="008C36FC" w:rsidP="003701DB">
      <w:pPr>
        <w:pStyle w:val="Heading3"/>
        <w:numPr>
          <w:ilvl w:val="2"/>
          <w:numId w:val="204"/>
        </w:numPr>
      </w:pPr>
      <w:bookmarkStart w:id="1209" w:name="_Toc207098936"/>
      <w:bookmarkStart w:id="1210" w:name="_Toc207099544"/>
      <w:bookmarkStart w:id="1211" w:name="_Toc207100463"/>
      <w:bookmarkStart w:id="1212" w:name="_Toc207348385"/>
      <w:bookmarkStart w:id="1213" w:name="_Toc215582766"/>
      <w:bookmarkStart w:id="1214" w:name="_Toc235400304"/>
      <w:bookmarkStart w:id="1215" w:name="_Ref236727701"/>
      <w:bookmarkStart w:id="1216" w:name="_Ref243983673"/>
      <w:bookmarkStart w:id="1217" w:name="_Ref246313992"/>
      <w:bookmarkStart w:id="1218" w:name="_Toc259717114"/>
      <w:r w:rsidRPr="00041214">
        <w:t xml:space="preserve">AT </w:t>
      </w:r>
      <w:r w:rsidR="00135ABB">
        <w:t>t</w:t>
      </w:r>
      <w:r w:rsidRPr="00041214">
        <w:t xml:space="preserve">ransmission </w:t>
      </w:r>
      <w:r w:rsidR="00135ABB">
        <w:t>r</w:t>
      </w:r>
      <w:r w:rsidRPr="00041214">
        <w:t>ules</w:t>
      </w:r>
      <w:bookmarkEnd w:id="1209"/>
      <w:bookmarkEnd w:id="1210"/>
      <w:bookmarkEnd w:id="1211"/>
      <w:bookmarkEnd w:id="1212"/>
      <w:bookmarkEnd w:id="1213"/>
      <w:bookmarkEnd w:id="1214"/>
      <w:bookmarkEnd w:id="1215"/>
      <w:bookmarkEnd w:id="1216"/>
      <w:bookmarkEnd w:id="1217"/>
      <w:bookmarkEnd w:id="1218"/>
      <w:r w:rsidR="0089044F" w:rsidRPr="00041214">
        <w:t xml:space="preserve"> </w:t>
      </w:r>
    </w:p>
    <w:p w:rsidR="0089044F" w:rsidRPr="009448FC" w:rsidRDefault="0089044F" w:rsidP="00FB56F4">
      <w:pPr>
        <w:pStyle w:val="BodyText"/>
        <w:jc w:val="left"/>
        <w:rPr>
          <w:rFonts w:ascii="Times New Roman" w:hAnsi="Times New Roman"/>
        </w:rPr>
      </w:pPr>
    </w:p>
    <w:p w:rsidR="0089044F" w:rsidRPr="009448FC" w:rsidRDefault="0089044F" w:rsidP="0000124D">
      <w:pPr>
        <w:autoSpaceDE w:val="0"/>
        <w:autoSpaceDN w:val="0"/>
        <w:adjustRightInd w:val="0"/>
        <w:rPr>
          <w:rFonts w:eastAsia="MS Mincho"/>
        </w:rPr>
      </w:pPr>
      <w:r w:rsidRPr="009448FC">
        <w:rPr>
          <w:rFonts w:eastAsia="MS Mincho"/>
        </w:rPr>
        <w:t>The presence of an AT in the current BI is signaled by the AT Present field set to one in the current mmWave Beacon (</w:t>
      </w:r>
      <w:r w:rsidR="00BD151C" w:rsidRPr="009448FC">
        <w:rPr>
          <w:rFonts w:eastAsia="MS Mincho"/>
        </w:rPr>
        <w:fldChar w:fldCharType="begin"/>
      </w:r>
      <w:r w:rsidR="00022F6D" w:rsidRPr="009448FC">
        <w:rPr>
          <w:rFonts w:eastAsia="MS Mincho"/>
        </w:rPr>
        <w:instrText xml:space="preserve"> REF _Ref236726090 \r \h </w:instrText>
      </w:r>
      <w:r w:rsidR="00BD151C" w:rsidRPr="009448FC">
        <w:rPr>
          <w:rFonts w:eastAsia="MS Mincho"/>
        </w:rPr>
      </w:r>
      <w:r w:rsidR="00BD151C" w:rsidRPr="009448FC">
        <w:rPr>
          <w:rFonts w:eastAsia="MS Mincho"/>
        </w:rPr>
        <w:fldChar w:fldCharType="separate"/>
      </w:r>
      <w:r w:rsidR="003E4210">
        <w:rPr>
          <w:rFonts w:eastAsia="MS Mincho"/>
        </w:rPr>
        <w:t>7.2.4.1</w:t>
      </w:r>
      <w:r w:rsidR="00BD151C" w:rsidRPr="009448FC">
        <w:rPr>
          <w:rFonts w:eastAsia="MS Mincho"/>
        </w:rPr>
        <w:fldChar w:fldCharType="end"/>
      </w:r>
      <w:r w:rsidRPr="009448FC">
        <w:rPr>
          <w:rFonts w:eastAsia="MS Mincho"/>
        </w:rPr>
        <w:t>). The Next mmWave AT element (</w:t>
      </w:r>
      <w:r w:rsidR="00BD151C" w:rsidRPr="009448FC">
        <w:rPr>
          <w:rFonts w:eastAsia="MS Mincho"/>
        </w:rPr>
        <w:fldChar w:fldCharType="begin"/>
      </w:r>
      <w:r w:rsidR="0000124D" w:rsidRPr="009448FC">
        <w:rPr>
          <w:rFonts w:eastAsia="MS Mincho"/>
        </w:rPr>
        <w:instrText xml:space="preserve"> REF _Ref244235053 \r \h </w:instrText>
      </w:r>
      <w:r w:rsidR="00BD151C" w:rsidRPr="009448FC">
        <w:rPr>
          <w:rFonts w:eastAsia="MS Mincho"/>
        </w:rPr>
      </w:r>
      <w:r w:rsidR="00BD151C" w:rsidRPr="009448FC">
        <w:rPr>
          <w:rFonts w:eastAsia="MS Mincho"/>
        </w:rPr>
        <w:fldChar w:fldCharType="separate"/>
      </w:r>
      <w:r w:rsidR="003E4210">
        <w:rPr>
          <w:rFonts w:eastAsia="MS Mincho"/>
        </w:rPr>
        <w:t>7.3.2.98</w:t>
      </w:r>
      <w:r w:rsidR="00BD151C" w:rsidRPr="009448FC">
        <w:rPr>
          <w:rFonts w:eastAsia="MS Mincho"/>
        </w:rPr>
        <w:fldChar w:fldCharType="end"/>
      </w:r>
      <w:r w:rsidRPr="009448FC">
        <w:rPr>
          <w:rFonts w:eastAsia="MS Mincho"/>
        </w:rPr>
        <w:t>) transmitted in the Announce frame (</w:t>
      </w:r>
      <w:r w:rsidR="00BD151C" w:rsidRPr="009448FC">
        <w:rPr>
          <w:rFonts w:eastAsia="MS Mincho"/>
        </w:rPr>
        <w:fldChar w:fldCharType="begin"/>
      </w:r>
      <w:r w:rsidR="00022F6D" w:rsidRPr="009448FC">
        <w:rPr>
          <w:rFonts w:eastAsia="MS Mincho"/>
        </w:rPr>
        <w:instrText xml:space="preserve"> REF _Ref236369174 \r \h </w:instrText>
      </w:r>
      <w:r w:rsidR="00BD151C" w:rsidRPr="009448FC">
        <w:rPr>
          <w:rFonts w:eastAsia="MS Mincho"/>
        </w:rPr>
      </w:r>
      <w:r w:rsidR="00BD151C" w:rsidRPr="009448FC">
        <w:rPr>
          <w:rFonts w:eastAsia="MS Mincho"/>
        </w:rPr>
        <w:fldChar w:fldCharType="separate"/>
      </w:r>
      <w:r w:rsidR="003E4210">
        <w:rPr>
          <w:rFonts w:eastAsia="MS Mincho"/>
        </w:rPr>
        <w:t>7.4.13.2</w:t>
      </w:r>
      <w:r w:rsidR="00BD151C" w:rsidRPr="009448FC">
        <w:rPr>
          <w:rFonts w:eastAsia="MS Mincho"/>
        </w:rPr>
        <w:fldChar w:fldCharType="end"/>
      </w:r>
      <w:r w:rsidRPr="009448FC">
        <w:rPr>
          <w:rFonts w:eastAsia="MS Mincho"/>
        </w:rPr>
        <w:t>) or in the mmWave Beacon frame indicates the earliest start time for the next AT. The AT is a contiguous period of time which ends at the earliest of the following events:</w:t>
      </w:r>
    </w:p>
    <w:p w:rsidR="0089044F" w:rsidRPr="009448FC" w:rsidRDefault="0089044F" w:rsidP="003701DB">
      <w:pPr>
        <w:numPr>
          <w:ilvl w:val="0"/>
          <w:numId w:val="65"/>
        </w:numPr>
        <w:autoSpaceDE w:val="0"/>
        <w:autoSpaceDN w:val="0"/>
        <w:adjustRightInd w:val="0"/>
        <w:rPr>
          <w:rFonts w:eastAsia="MS Mincho"/>
        </w:rPr>
      </w:pPr>
      <w:r w:rsidRPr="009448FC">
        <w:rPr>
          <w:rFonts w:eastAsia="MS Mincho"/>
        </w:rPr>
        <w:t>the start time of the first SP in this BI</w:t>
      </w:r>
      <w:r w:rsidR="0080280C" w:rsidRPr="009448FC">
        <w:rPr>
          <w:rFonts w:eastAsia="MS Mincho"/>
        </w:rPr>
        <w:t>;</w:t>
      </w:r>
    </w:p>
    <w:p w:rsidR="0089044F" w:rsidRPr="009448FC" w:rsidRDefault="0089044F" w:rsidP="003701DB">
      <w:pPr>
        <w:numPr>
          <w:ilvl w:val="0"/>
          <w:numId w:val="65"/>
        </w:numPr>
        <w:autoSpaceDE w:val="0"/>
        <w:autoSpaceDN w:val="0"/>
        <w:adjustRightInd w:val="0"/>
        <w:rPr>
          <w:rFonts w:eastAsia="MS Mincho"/>
        </w:rPr>
      </w:pPr>
      <w:r w:rsidRPr="009448FC">
        <w:rPr>
          <w:rFonts w:eastAsia="MS Mincho"/>
        </w:rPr>
        <w:t>the start time of the first CBP in this BI</w:t>
      </w:r>
      <w:r w:rsidR="0080280C" w:rsidRPr="009448FC">
        <w:rPr>
          <w:rFonts w:eastAsia="MS Mincho"/>
        </w:rPr>
        <w:t>;</w:t>
      </w:r>
    </w:p>
    <w:p w:rsidR="0089044F" w:rsidRPr="009448FC" w:rsidRDefault="002C2471" w:rsidP="0089044F">
      <w:pPr>
        <w:autoSpaceDE w:val="0"/>
        <w:autoSpaceDN w:val="0"/>
        <w:adjustRightInd w:val="0"/>
        <w:rPr>
          <w:rFonts w:eastAsia="MS Mincho"/>
        </w:rPr>
      </w:pPr>
      <w:r>
        <w:rPr>
          <w:rFonts w:eastAsia="MS Mincho"/>
        </w:rPr>
        <w:t xml:space="preserve"> </w:t>
      </w:r>
    </w:p>
    <w:p w:rsidR="0089044F" w:rsidRPr="009448FC" w:rsidRDefault="0089044F" w:rsidP="0089044F">
      <w:pPr>
        <w:autoSpaceDE w:val="0"/>
        <w:autoSpaceDN w:val="0"/>
        <w:adjustRightInd w:val="0"/>
        <w:rPr>
          <w:rFonts w:eastAsia="MS Mincho"/>
        </w:rPr>
      </w:pPr>
      <w:r w:rsidRPr="009448FC">
        <w:rPr>
          <w:rFonts w:eastAsia="MS Mincho"/>
        </w:rPr>
        <w:t xml:space="preserve">An example of an AT is shown in </w:t>
      </w:r>
      <w:fldSimple w:instr=" REF _Ref236133413 \h  \* MERGEFORMAT ">
        <w:r w:rsidR="003E4210" w:rsidRPr="009448FC">
          <w:t xml:space="preserve">Figure </w:t>
        </w:r>
        <w:r w:rsidR="003E4210">
          <w:rPr>
            <w:noProof/>
          </w:rPr>
          <w:t>83</w:t>
        </w:r>
      </w:fldSimple>
      <w:r w:rsidRPr="009448FC">
        <w:rPr>
          <w:rFonts w:eastAsia="MS Mincho"/>
        </w:rPr>
        <w:t>.</w:t>
      </w:r>
    </w:p>
    <w:p w:rsidR="005639C3" w:rsidRPr="009448FC" w:rsidRDefault="005639C3" w:rsidP="00FB56F4">
      <w:pPr>
        <w:pStyle w:val="BodyText"/>
        <w:jc w:val="left"/>
        <w:rPr>
          <w:rFonts w:ascii="Times New Roman" w:hAnsi="Times New Roman"/>
        </w:rPr>
      </w:pPr>
    </w:p>
    <w:p w:rsidR="00BF246B" w:rsidRPr="009448FC" w:rsidRDefault="00281486" w:rsidP="00BF246B">
      <w:pPr>
        <w:pStyle w:val="BodyText"/>
        <w:jc w:val="center"/>
        <w:rPr>
          <w:rFonts w:ascii="Times New Roman" w:hAnsi="Times New Roman"/>
        </w:rPr>
      </w:pPr>
      <w:r w:rsidRPr="009448FC">
        <w:rPr>
          <w:rFonts w:ascii="Times New Roman" w:hAnsi="Times New Roman"/>
        </w:rPr>
        <w:lastRenderedPageBreak/>
        <w:t xml:space="preserve"> </w:t>
      </w:r>
      <w:r w:rsidR="0089044F" w:rsidRPr="009448FC">
        <w:object w:dxaOrig="6938" w:dyaOrig="4042">
          <v:shape id="_x0000_i1047" type="#_x0000_t75" style="width:332.4pt;height:190.2pt" o:ole="">
            <v:imagedata r:id="rId141" o:title=""/>
          </v:shape>
          <o:OLEObject Type="Embed" ProgID="Visio.Drawing.11" ShapeID="_x0000_i1047" DrawAspect="Content" ObjectID="_1334048229" r:id="rId142"/>
        </w:object>
      </w:r>
    </w:p>
    <w:p w:rsidR="00BF246B" w:rsidRPr="00066F65" w:rsidRDefault="000904BC" w:rsidP="00BA5BC4">
      <w:pPr>
        <w:pStyle w:val="Caption"/>
      </w:pPr>
      <w:bookmarkStart w:id="1219" w:name="_Ref236133413"/>
      <w:bookmarkStart w:id="1220" w:name="_Toc259717515"/>
      <w:r w:rsidRPr="009448FC">
        <w:rPr>
          <w:rFonts w:ascii="Times New Roman" w:hAnsi="Times New Roman"/>
        </w:rPr>
        <w:t xml:space="preserve">Figure </w:t>
      </w:r>
      <w:r w:rsidR="00BD151C" w:rsidRPr="009448FC">
        <w:rPr>
          <w:rFonts w:ascii="Times New Roman" w:hAnsi="Times New Roman"/>
        </w:rPr>
        <w:fldChar w:fldCharType="begin"/>
      </w:r>
      <w:r w:rsidRPr="009448FC">
        <w:rPr>
          <w:rFonts w:ascii="Times New Roman" w:hAnsi="Times New Roman"/>
        </w:rPr>
        <w:instrText xml:space="preserve"> SEQ Figure \* ARABIC </w:instrText>
      </w:r>
      <w:r w:rsidR="00BD151C" w:rsidRPr="009448FC">
        <w:rPr>
          <w:rFonts w:ascii="Times New Roman" w:hAnsi="Times New Roman"/>
        </w:rPr>
        <w:fldChar w:fldCharType="separate"/>
      </w:r>
      <w:r w:rsidR="003E4210">
        <w:rPr>
          <w:rFonts w:ascii="Times New Roman" w:hAnsi="Times New Roman"/>
          <w:noProof/>
        </w:rPr>
        <w:t>83</w:t>
      </w:r>
      <w:r w:rsidR="00BD151C" w:rsidRPr="009448FC">
        <w:rPr>
          <w:rFonts w:ascii="Times New Roman" w:hAnsi="Times New Roman"/>
        </w:rPr>
        <w:fldChar w:fldCharType="end"/>
      </w:r>
      <w:bookmarkEnd w:id="1219"/>
      <w:r w:rsidR="00BF246B" w:rsidRPr="009448FC">
        <w:rPr>
          <w:rFonts w:ascii="Times New Roman" w:hAnsi="Times New Roman"/>
        </w:rPr>
        <w:t xml:space="preserve"> – Example of frame exchanges during the AT</w:t>
      </w:r>
      <w:bookmarkEnd w:id="1220"/>
    </w:p>
    <w:p w:rsidR="00BF246B" w:rsidRPr="009448FC" w:rsidRDefault="00BF246B" w:rsidP="001D1828">
      <w:pPr>
        <w:pStyle w:val="BodyText"/>
        <w:jc w:val="left"/>
        <w:rPr>
          <w:rFonts w:ascii="Times New Roman" w:hAnsi="Times New Roman"/>
        </w:rPr>
      </w:pPr>
    </w:p>
    <w:p w:rsidR="0089044F" w:rsidRPr="009448FC" w:rsidRDefault="0089044F" w:rsidP="004F53BE">
      <w:pPr>
        <w:autoSpaceDE w:val="0"/>
        <w:autoSpaceDN w:val="0"/>
        <w:adjustRightInd w:val="0"/>
        <w:rPr>
          <w:rFonts w:eastAsia="MS Mincho"/>
        </w:rPr>
      </w:pPr>
      <w:r w:rsidRPr="009448FC">
        <w:rPr>
          <w:rFonts w:eastAsia="MS Mincho"/>
        </w:rPr>
        <w:t xml:space="preserve">During an AT, request and response frames are exchanged between the PCP/AP and any subset of STAs. </w:t>
      </w:r>
      <w:r w:rsidR="00846EF0" w:rsidRPr="00846EF0">
        <w:rPr>
          <w:rFonts w:eastAsia="MS Mincho"/>
        </w:rPr>
        <w:t>The PCP/AP initiates all frame exchanges that occur during the AT.</w:t>
      </w:r>
      <w:r w:rsidR="00846EF0">
        <w:rPr>
          <w:rFonts w:eastAsia="MS Mincho"/>
        </w:rPr>
        <w:t xml:space="preserve"> </w:t>
      </w:r>
      <w:r w:rsidRPr="009448FC">
        <w:rPr>
          <w:rFonts w:eastAsia="MS Mincho"/>
        </w:rPr>
        <w:t>The PCP/AP shall not start transmission of a request frame sooner than a guard time</w:t>
      </w:r>
      <w:r w:rsidR="004F53BE" w:rsidRPr="009448FC">
        <w:rPr>
          <w:rFonts w:eastAsia="MS Mincho"/>
        </w:rPr>
        <w:t xml:space="preserve"> (</w:t>
      </w:r>
      <w:r w:rsidR="00BD151C">
        <w:rPr>
          <w:rFonts w:eastAsia="MS Mincho"/>
        </w:rPr>
        <w:fldChar w:fldCharType="begin"/>
      </w:r>
      <w:r w:rsidR="00CD7900">
        <w:rPr>
          <w:rFonts w:eastAsia="MS Mincho"/>
        </w:rPr>
        <w:instrText xml:space="preserve"> REF _Ref244252297 \h </w:instrText>
      </w:r>
      <w:r w:rsidR="00BD151C">
        <w:rPr>
          <w:rFonts w:eastAsia="MS Mincho"/>
        </w:rPr>
      </w:r>
      <w:r w:rsidR="00BD151C">
        <w:rPr>
          <w:rFonts w:eastAsia="MS Mincho"/>
        </w:rPr>
        <w:fldChar w:fldCharType="separate"/>
      </w:r>
      <w:r w:rsidR="003E4210">
        <w:t xml:space="preserve">9.23.6.4 </w:t>
      </w:r>
      <w:r w:rsidR="003E4210" w:rsidRPr="009448FC">
        <w:t>Guard time</w:t>
      </w:r>
      <w:r w:rsidR="00BD151C">
        <w:rPr>
          <w:rFonts w:eastAsia="MS Mincho"/>
        </w:rPr>
        <w:fldChar w:fldCharType="end"/>
      </w:r>
      <w:r w:rsidR="004F53BE" w:rsidRPr="009448FC">
        <w:rPr>
          <w:rFonts w:eastAsia="MS Mincho"/>
        </w:rPr>
        <w:t xml:space="preserve">) </w:t>
      </w:r>
      <w:r w:rsidRPr="009448FC">
        <w:rPr>
          <w:rFonts w:eastAsia="MS Mincho"/>
        </w:rPr>
        <w:t xml:space="preserve">following the end of the previous BT or A-BFT when present in the BI. The PCP/AP shall not start transmission </w:t>
      </w:r>
      <w:r w:rsidR="009B6108" w:rsidRPr="009448FC">
        <w:rPr>
          <w:rFonts w:eastAsia="MS Mincho"/>
        </w:rPr>
        <w:t xml:space="preserve">of a request frame </w:t>
      </w:r>
      <w:r w:rsidRPr="009448FC">
        <w:rPr>
          <w:rFonts w:eastAsia="MS Mincho"/>
        </w:rPr>
        <w:t>before TBTT if the AT is the first period in the BI.</w:t>
      </w:r>
      <w:r w:rsidR="00D11F2E">
        <w:rPr>
          <w:rFonts w:eastAsia="MS Mincho"/>
        </w:rPr>
        <w:t xml:space="preserve"> </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 xml:space="preserve">A non-PCP/non-AP STA shall not transmit during the AT except in response to a received </w:t>
      </w:r>
      <w:r w:rsidR="00AF26A2">
        <w:rPr>
          <w:rFonts w:eastAsia="MS Mincho"/>
        </w:rPr>
        <w:t xml:space="preserve">unicast </w:t>
      </w:r>
      <w:r w:rsidRPr="009448FC">
        <w:rPr>
          <w:rFonts w:eastAsia="MS Mincho"/>
        </w:rPr>
        <w:t>frame that has the value of the TA field equal to the MAC address of the PCP/AP and that was addressed to the STA.</w:t>
      </w:r>
      <w:r w:rsidR="00D11F2E">
        <w:rPr>
          <w:rFonts w:eastAsia="MS Mincho"/>
        </w:rPr>
        <w:t xml:space="preserve"> </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STAs shall not transmit frames that are not request or response frames during the AT. Request and response frames transmitted during the AT shall be one of the following:</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A frame of type Management</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An ACK frame</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 xml:space="preserve">A Grant, Poll, RTS or </w:t>
      </w:r>
      <w:r w:rsidR="005B4FC2" w:rsidRPr="009448FC">
        <w:rPr>
          <w:rFonts w:eastAsia="MS Mincho"/>
        </w:rPr>
        <w:t>mmWaveCTS</w:t>
      </w:r>
      <w:r w:rsidR="00281486" w:rsidRPr="009448FC">
        <w:rPr>
          <w:rFonts w:eastAsia="MS Mincho"/>
        </w:rPr>
        <w:t xml:space="preserve"> </w:t>
      </w:r>
      <w:r w:rsidRPr="009448FC">
        <w:rPr>
          <w:rFonts w:eastAsia="MS Mincho"/>
        </w:rPr>
        <w:t>frame when transmitted as a request frame</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 xml:space="preserve">An SPR or </w:t>
      </w:r>
      <w:r w:rsidR="005B4FC2" w:rsidRPr="009448FC">
        <w:rPr>
          <w:rFonts w:eastAsia="MS Mincho"/>
        </w:rPr>
        <w:t>mmWaveCTS</w:t>
      </w:r>
      <w:r w:rsidR="00281486" w:rsidRPr="009448FC">
        <w:rPr>
          <w:rFonts w:eastAsia="MS Mincho"/>
        </w:rPr>
        <w:t xml:space="preserve"> </w:t>
      </w:r>
      <w:r w:rsidRPr="009448FC">
        <w:rPr>
          <w:rFonts w:eastAsia="MS Mincho"/>
        </w:rPr>
        <w:t>frame when transmitted as a response frame</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A frame of type Data only if part of a secure authentication exchange</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Unicast request frames transmitted during the AT shall not be sent using management frames of subtype action no ACK.</w:t>
      </w:r>
    </w:p>
    <w:p w:rsidR="0089044F" w:rsidRPr="009448FC" w:rsidRDefault="0089044F" w:rsidP="0089044F">
      <w:pPr>
        <w:autoSpaceDE w:val="0"/>
        <w:autoSpaceDN w:val="0"/>
        <w:adjustRightInd w:val="0"/>
        <w:rPr>
          <w:rFonts w:eastAsia="MS Mincho"/>
        </w:rPr>
      </w:pPr>
    </w:p>
    <w:p w:rsidR="0089044F" w:rsidRPr="009448FC" w:rsidRDefault="0089044F" w:rsidP="006860EA">
      <w:pPr>
        <w:autoSpaceDE w:val="0"/>
        <w:autoSpaceDN w:val="0"/>
        <w:adjustRightInd w:val="0"/>
        <w:rPr>
          <w:rFonts w:eastAsia="MS Mincho"/>
        </w:rPr>
      </w:pPr>
      <w:r w:rsidRPr="009448FC">
        <w:rPr>
          <w:rFonts w:eastAsia="MS Mincho"/>
        </w:rPr>
        <w:t>A non-PCP/non-AP STA shall transmit a response frame, which may be an ACK frame or an Association Request frame, addressed to the PCP/AP after receiving a unicast request frame addressed to the STA that was transmitted by the PCP/AP during the AT. The response frame shall be transmitted with a spacing of SIFS after the end of the request frame.</w:t>
      </w:r>
      <w:r w:rsidR="00EE1100" w:rsidRPr="009448FC">
        <w:rPr>
          <w:rFonts w:eastAsia="MS Mincho"/>
        </w:rPr>
        <w:t xml:space="preserve"> </w:t>
      </w:r>
      <w:r w:rsidRPr="009448FC">
        <w:rPr>
          <w:rFonts w:eastAsia="MS Mincho"/>
        </w:rPr>
        <w:t>The PCP/AP shall interpret the receipt of the response frame as an acknowledgement of the request frame. Response frames transmitted by non-PCP/non-AP</w:t>
      </w:r>
      <w:r w:rsidRPr="009448FC" w:rsidDel="0085571A">
        <w:rPr>
          <w:rFonts w:eastAsia="MS Mincho"/>
        </w:rPr>
        <w:t xml:space="preserve"> </w:t>
      </w:r>
      <w:r w:rsidRPr="009448FC">
        <w:rPr>
          <w:rFonts w:eastAsia="MS Mincho"/>
        </w:rPr>
        <w:t xml:space="preserve">STAs during the AT shall be transmitted with a unicast address </w:t>
      </w:r>
      <w:r w:rsidR="006860EA">
        <w:rPr>
          <w:rFonts w:eastAsia="MS Mincho"/>
        </w:rPr>
        <w:t>destined</w:t>
      </w:r>
      <w:r w:rsidRPr="009448FC">
        <w:rPr>
          <w:rFonts w:eastAsia="MS Mincho"/>
        </w:rPr>
        <w:t xml:space="preserve"> to the PCP/AP.</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sz w:val="20"/>
        </w:rPr>
      </w:pPr>
      <w:r w:rsidRPr="009448FC">
        <w:rPr>
          <w:rFonts w:eastAsia="MS Mincho"/>
          <w:sz w:val="20"/>
        </w:rPr>
        <w:t>NOTE – STAs do not transmit a response frame to the PCP/AP when they receive a request frame from the PCP/AP with the RA equal to the broadcast/multicast address (see 9.2.7 and 9.2.8).</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lastRenderedPageBreak/>
        <w:t>The PCP/AP may repeat transmission of a unicast frame to a STA or send a frame to any other STA if the PCP/AP does not receive a PHY-RXSTART.indication within aSIFSTime + aSlotTime + aPHY-RX-START-Delay starting at the PHY-TXEND.confirm from the end of the transmission and the medium is idle.</w:t>
      </w:r>
    </w:p>
    <w:p w:rsidR="0089044F" w:rsidRPr="009448FC" w:rsidRDefault="0089044F" w:rsidP="0089044F">
      <w:pPr>
        <w:autoSpaceDE w:val="0"/>
        <w:autoSpaceDN w:val="0"/>
        <w:adjustRightInd w:val="0"/>
        <w:rPr>
          <w:rFonts w:eastAsia="MS Mincho"/>
        </w:rPr>
      </w:pPr>
    </w:p>
    <w:p w:rsidR="00BD533E" w:rsidRPr="009448FC" w:rsidRDefault="0089044F" w:rsidP="00876C08">
      <w:pPr>
        <w:pStyle w:val="BodyText"/>
        <w:jc w:val="left"/>
        <w:rPr>
          <w:rFonts w:ascii="Times New Roman" w:hAnsi="Times New Roman"/>
        </w:rPr>
      </w:pPr>
      <w:r w:rsidRPr="009448FC">
        <w:rPr>
          <w:rFonts w:ascii="Times New Roman" w:hAnsi="Times New Roman"/>
        </w:rPr>
        <w:t xml:space="preserve">Multiple request and response frame exchanges between the PCP/AP and a STA may occur during a single AT. The PCP/AP should complete at least one acknowledged frame exchange with each associated non-PCP/non-AP STA every </w:t>
      </w:r>
      <w:r w:rsidR="004D1A1B">
        <w:rPr>
          <w:rFonts w:ascii="Times New Roman" w:hAnsi="Times New Roman"/>
        </w:rPr>
        <w:t>dot11MaxLostBeacons</w:t>
      </w:r>
      <w:r w:rsidRPr="009448FC">
        <w:rPr>
          <w:rFonts w:ascii="Times New Roman" w:hAnsi="Times New Roman"/>
        </w:rPr>
        <w:t xml:space="preserve"> BIs. </w:t>
      </w:r>
    </w:p>
    <w:p w:rsidR="00876C08" w:rsidRPr="009448FC" w:rsidRDefault="00876C08" w:rsidP="00876C08">
      <w:pPr>
        <w:pStyle w:val="BodyText"/>
        <w:jc w:val="left"/>
        <w:rPr>
          <w:rFonts w:ascii="Times New Roman" w:hAnsi="Times New Roman"/>
        </w:rPr>
      </w:pPr>
    </w:p>
    <w:p w:rsidR="00BD533E" w:rsidRPr="009448FC" w:rsidRDefault="00BD533E" w:rsidP="0089044F">
      <w:pPr>
        <w:pStyle w:val="BodyText"/>
        <w:jc w:val="left"/>
        <w:rPr>
          <w:rFonts w:ascii="Times New Roman" w:hAnsi="Times New Roman"/>
        </w:rPr>
      </w:pPr>
      <w:r w:rsidRPr="009448FC">
        <w:rPr>
          <w:rFonts w:ascii="Times New Roman" w:hAnsi="Times New Roman"/>
        </w:rPr>
        <w:t>During the AT,</w:t>
      </w:r>
      <w:r w:rsidRPr="009448FC" w:rsidDel="00D32850">
        <w:rPr>
          <w:rFonts w:ascii="Times New Roman" w:hAnsi="Times New Roman"/>
        </w:rPr>
        <w:t xml:space="preserve"> </w:t>
      </w:r>
      <w:r w:rsidRPr="009448FC">
        <w:rPr>
          <w:rFonts w:ascii="Times New Roman" w:hAnsi="Times New Roman"/>
        </w:rPr>
        <w:t>the PCP/AP should schedule transmissions to non-PCP/non-AP STAs in power save mode before transmissions to non-PCP/non-AP STAs that are not in power save mode.</w:t>
      </w:r>
    </w:p>
    <w:p w:rsidR="008C36FC" w:rsidRPr="009448FC" w:rsidRDefault="008C36FC" w:rsidP="00C162CE">
      <w:pPr>
        <w:pStyle w:val="BodyText"/>
        <w:jc w:val="left"/>
      </w:pPr>
    </w:p>
    <w:p w:rsidR="008C36FC" w:rsidRPr="00041214" w:rsidRDefault="008C36FC" w:rsidP="003701DB">
      <w:pPr>
        <w:pStyle w:val="Heading3"/>
        <w:numPr>
          <w:ilvl w:val="2"/>
          <w:numId w:val="204"/>
        </w:numPr>
      </w:pPr>
      <w:bookmarkStart w:id="1221" w:name="_Toc205016611"/>
      <w:bookmarkStart w:id="1222" w:name="_Toc205121617"/>
      <w:bookmarkStart w:id="1223" w:name="_Toc206227500"/>
      <w:bookmarkStart w:id="1224" w:name="_Toc206415447"/>
      <w:bookmarkStart w:id="1225" w:name="_Toc206418254"/>
      <w:bookmarkStart w:id="1226" w:name="_Toc207098937"/>
      <w:bookmarkStart w:id="1227" w:name="_Toc207099545"/>
      <w:bookmarkStart w:id="1228" w:name="_Toc207100464"/>
      <w:bookmarkStart w:id="1229" w:name="_Toc207348386"/>
      <w:bookmarkStart w:id="1230" w:name="_Toc215582767"/>
      <w:bookmarkStart w:id="1231" w:name="_Toc235400305"/>
      <w:bookmarkStart w:id="1232" w:name="_Toc259717115"/>
      <w:r w:rsidRPr="009448FC">
        <w:t xml:space="preserve">DTT </w:t>
      </w:r>
      <w:r w:rsidR="00135ABB">
        <w:t>t</w:t>
      </w:r>
      <w:r w:rsidRPr="009448FC">
        <w:t xml:space="preserve">ransmission </w:t>
      </w:r>
      <w:r w:rsidR="00135ABB">
        <w:t>r</w:t>
      </w:r>
      <w:r w:rsidRPr="009448FC">
        <w:t>ules</w:t>
      </w:r>
      <w:bookmarkEnd w:id="1221"/>
      <w:bookmarkEnd w:id="1222"/>
      <w:bookmarkEnd w:id="1223"/>
      <w:bookmarkEnd w:id="1224"/>
      <w:bookmarkEnd w:id="1225"/>
      <w:bookmarkEnd w:id="1226"/>
      <w:bookmarkEnd w:id="1227"/>
      <w:bookmarkEnd w:id="1228"/>
      <w:bookmarkEnd w:id="1229"/>
      <w:bookmarkEnd w:id="1230"/>
      <w:bookmarkEnd w:id="1231"/>
      <w:bookmarkEnd w:id="1232"/>
    </w:p>
    <w:p w:rsidR="00410A61" w:rsidRPr="009448FC" w:rsidRDefault="00410A61" w:rsidP="003844AE">
      <w:pPr>
        <w:pStyle w:val="BodyText"/>
        <w:outlineLvl w:val="0"/>
        <w:rPr>
          <w:rFonts w:ascii="Times New Roman" w:hAnsi="Times New Roman"/>
        </w:rPr>
      </w:pPr>
      <w:r w:rsidRPr="009448FC">
        <w:rPr>
          <w:rFonts w:ascii="Times New Roman" w:hAnsi="Times New Roman"/>
        </w:rPr>
        <w:t xml:space="preserve">During the DTT, a STA may transmit frames (following the appropriate access procedures) if any of the following conditions </w:t>
      </w:r>
      <w:r w:rsidR="004D4984" w:rsidRPr="009448FC">
        <w:rPr>
          <w:rFonts w:ascii="Times New Roman" w:hAnsi="Times New Roman"/>
        </w:rPr>
        <w:t xml:space="preserve">are </w:t>
      </w:r>
      <w:r w:rsidRPr="009448FC">
        <w:rPr>
          <w:rFonts w:ascii="Times New Roman" w:hAnsi="Times New Roman"/>
        </w:rPr>
        <w:t>met:</w:t>
      </w:r>
    </w:p>
    <w:p w:rsidR="00410A61" w:rsidRPr="009448FC" w:rsidRDefault="00410A61" w:rsidP="003701DB">
      <w:pPr>
        <w:pStyle w:val="BodyText"/>
        <w:numPr>
          <w:ilvl w:val="0"/>
          <w:numId w:val="18"/>
        </w:numPr>
        <w:jc w:val="left"/>
        <w:rPr>
          <w:rFonts w:ascii="Times New Roman" w:hAnsi="Times New Roman"/>
        </w:rPr>
      </w:pPr>
      <w:r w:rsidRPr="009448FC">
        <w:rPr>
          <w:rFonts w:ascii="Times New Roman" w:hAnsi="Times New Roman"/>
        </w:rPr>
        <w:t>During a CBP</w:t>
      </w:r>
      <w:r w:rsidR="006C671C" w:rsidRPr="009448FC">
        <w:rPr>
          <w:rFonts w:ascii="Times New Roman" w:hAnsi="Times New Roman"/>
        </w:rPr>
        <w:t xml:space="preserve"> (</w:t>
      </w:r>
      <w:fldSimple w:instr=" REF _Ref251938378 \h  \* MERGEFORMAT ">
        <w:r w:rsidR="003E4210" w:rsidRPr="003E4210">
          <w:rPr>
            <w:rFonts w:ascii="Times New Roman" w:eastAsia="Times New Roman" w:hAnsi="Times New Roman"/>
            <w:szCs w:val="24"/>
            <w:lang w:bidi="he-IL"/>
          </w:rPr>
          <w:t>9.23.6.2 Contention-based period (CBP) allocation</w:t>
        </w:r>
      </w:fldSimple>
      <w:r w:rsidR="00022F6D" w:rsidRPr="009448FC">
        <w:rPr>
          <w:rFonts w:ascii="Times New Roman" w:hAnsi="Times New Roman"/>
        </w:rPr>
        <w:t xml:space="preserve">, </w:t>
      </w:r>
      <w:fldSimple w:instr=" REF _Ref244079150 \r \h  \* MERGEFORMAT ">
        <w:r w:rsidR="003E4210" w:rsidRPr="003E4210">
          <w:rPr>
            <w:rFonts w:ascii="Times New Roman" w:eastAsia="Times New Roman" w:hAnsi="Times New Roman"/>
            <w:szCs w:val="24"/>
            <w:lang w:bidi="he-IL"/>
          </w:rPr>
          <w:t>9.23.7</w:t>
        </w:r>
      </w:fldSimple>
      <w:r w:rsidR="00EA7F94">
        <w:rPr>
          <w:rFonts w:ascii="Times New Roman" w:hAnsi="Times New Roman"/>
        </w:rPr>
        <w:t xml:space="preserve"> </w:t>
      </w:r>
      <w:fldSimple w:instr=" REF _Ref244079150 \h  \* MERGEFORMAT ">
        <w:r w:rsidR="003E4210" w:rsidRPr="003E4210">
          <w:rPr>
            <w:rFonts w:ascii="Times New Roman" w:eastAsia="Times New Roman" w:hAnsi="Times New Roman"/>
            <w:szCs w:val="24"/>
            <w:lang w:bidi="he-IL"/>
          </w:rPr>
          <w:t>Dynamic allocation of service period</w:t>
        </w:r>
      </w:fldSimple>
      <w:r w:rsidR="00022F6D" w:rsidRPr="009448FC">
        <w:rPr>
          <w:rFonts w:ascii="Times New Roman" w:hAnsi="Times New Roman"/>
        </w:rPr>
        <w:t xml:space="preserve"> and </w:t>
      </w:r>
      <w:r w:rsidR="00BD151C">
        <w:fldChar w:fldCharType="begin"/>
      </w:r>
      <w:r w:rsidR="00515A1B">
        <w:instrText xml:space="preserve"> REF _Ref253745295 \r \h </w:instrText>
      </w:r>
      <w:r w:rsidR="00BD151C">
        <w:fldChar w:fldCharType="separate"/>
      </w:r>
      <w:r w:rsidR="003E4210">
        <w:t>9.23.8</w:t>
      </w:r>
      <w:r w:rsidR="00BD151C">
        <w:fldChar w:fldCharType="end"/>
      </w:r>
      <w:r w:rsidR="006C671C" w:rsidRPr="009448FC">
        <w:rPr>
          <w:rFonts w:ascii="Times New Roman" w:hAnsi="Times New Roman"/>
        </w:rPr>
        <w:t>)</w:t>
      </w:r>
    </w:p>
    <w:p w:rsidR="00410A61" w:rsidRPr="009448FC" w:rsidRDefault="00410A61" w:rsidP="003701DB">
      <w:pPr>
        <w:pStyle w:val="BodyText"/>
        <w:numPr>
          <w:ilvl w:val="0"/>
          <w:numId w:val="18"/>
        </w:numPr>
        <w:jc w:val="left"/>
        <w:rPr>
          <w:rFonts w:ascii="Times New Roman" w:hAnsi="Times New Roman"/>
        </w:rPr>
      </w:pPr>
      <w:r w:rsidRPr="009448FC">
        <w:rPr>
          <w:rFonts w:ascii="Times New Roman" w:hAnsi="Times New Roman"/>
        </w:rPr>
        <w:t>During a SP for which the STA is identified as source or destination</w:t>
      </w:r>
      <w:r w:rsidR="00E41D08" w:rsidRPr="009448FC">
        <w:rPr>
          <w:rFonts w:ascii="Times New Roman" w:hAnsi="Times New Roman"/>
        </w:rPr>
        <w:t xml:space="preserve"> (</w:t>
      </w:r>
      <w:fldSimple w:instr=" REF _Ref251938245 \h  \* MERGEFORMAT ">
        <w:r w:rsidR="003E4210" w:rsidRPr="003E4210">
          <w:rPr>
            <w:rFonts w:ascii="Times New Roman" w:eastAsia="Times New Roman" w:hAnsi="Times New Roman"/>
            <w:szCs w:val="24"/>
            <w:lang w:bidi="he-IL"/>
          </w:rPr>
          <w:t>9.23.6.1 Service period (SP) allocation</w:t>
        </w:r>
      </w:fldSimple>
      <w:r w:rsidR="00022F6D" w:rsidRPr="009448FC">
        <w:rPr>
          <w:rFonts w:ascii="Times New Roman" w:hAnsi="Times New Roman"/>
        </w:rPr>
        <w:t xml:space="preserve"> and </w:t>
      </w:r>
      <w:fldSimple w:instr=" REF _Ref244079150 \r \h  \* MERGEFORMAT ">
        <w:r w:rsidR="003E4210" w:rsidRPr="003E4210">
          <w:rPr>
            <w:rFonts w:ascii="Times New Roman" w:eastAsia="Times New Roman" w:hAnsi="Times New Roman"/>
            <w:szCs w:val="24"/>
            <w:lang w:bidi="he-IL"/>
          </w:rPr>
          <w:t>9.23.7</w:t>
        </w:r>
      </w:fldSimple>
      <w:r w:rsidR="00EA7F94">
        <w:rPr>
          <w:rFonts w:ascii="Times New Roman" w:hAnsi="Times New Roman"/>
        </w:rPr>
        <w:t xml:space="preserve"> </w:t>
      </w:r>
      <w:fldSimple w:instr=" REF _Ref244079150 \h  \* MERGEFORMAT ">
        <w:r w:rsidR="003E4210" w:rsidRPr="003E4210">
          <w:rPr>
            <w:rFonts w:ascii="Times New Roman" w:eastAsia="Times New Roman" w:hAnsi="Times New Roman"/>
            <w:szCs w:val="24"/>
            <w:lang w:bidi="he-IL"/>
          </w:rPr>
          <w:t>Dynamic allocation of service period</w:t>
        </w:r>
      </w:fldSimple>
      <w:r w:rsidR="00E41D08" w:rsidRPr="009448FC">
        <w:rPr>
          <w:rFonts w:ascii="Times New Roman" w:hAnsi="Times New Roman"/>
        </w:rPr>
        <w:t>)</w:t>
      </w:r>
    </w:p>
    <w:p w:rsidR="008C36FC" w:rsidRPr="009448FC" w:rsidRDefault="00410A61" w:rsidP="00E72A26">
      <w:pPr>
        <w:pStyle w:val="BodyText"/>
        <w:jc w:val="left"/>
        <w:rPr>
          <w:rFonts w:ascii="Times New Roman" w:hAnsi="Times New Roman"/>
        </w:rPr>
      </w:pPr>
      <w:r w:rsidRPr="009448FC">
        <w:rPr>
          <w:rFonts w:ascii="Times New Roman" w:hAnsi="Times New Roman"/>
        </w:rPr>
        <w:t>and shall not transmit if none of these conditions is met.</w:t>
      </w:r>
      <w:r w:rsidR="008C36FC" w:rsidRPr="009448FC">
        <w:rPr>
          <w:rFonts w:ascii="Times New Roman" w:hAnsi="Times New Roman"/>
        </w:rPr>
        <w:t xml:space="preserve"> A STA initiating data transfer shall ensure that the transaction, including acknowledgements, completes before the end of the CBP or SP in which it was initiated.</w:t>
      </w:r>
      <w:r w:rsidR="008972DC" w:rsidRPr="009448FC">
        <w:rPr>
          <w:rFonts w:ascii="Times New Roman" w:hAnsi="Times New Roman"/>
        </w:rPr>
        <w:t xml:space="preserve"> </w:t>
      </w:r>
    </w:p>
    <w:p w:rsidR="008C36FC" w:rsidRPr="009448FC" w:rsidRDefault="008C36FC" w:rsidP="003701DB">
      <w:pPr>
        <w:pStyle w:val="Heading3"/>
        <w:numPr>
          <w:ilvl w:val="2"/>
          <w:numId w:val="204"/>
        </w:numPr>
      </w:pPr>
      <w:bookmarkStart w:id="1233" w:name="_Toc236396724"/>
      <w:bookmarkStart w:id="1234" w:name="_Toc205121618"/>
      <w:bookmarkStart w:id="1235" w:name="_Toc206227501"/>
      <w:bookmarkStart w:id="1236" w:name="_Toc206415448"/>
      <w:bookmarkStart w:id="1237" w:name="_Toc206418255"/>
      <w:bookmarkStart w:id="1238" w:name="_Toc207098938"/>
      <w:bookmarkStart w:id="1239" w:name="_Toc207099546"/>
      <w:bookmarkStart w:id="1240" w:name="_Toc207100465"/>
      <w:bookmarkStart w:id="1241" w:name="_Toc207348387"/>
      <w:bookmarkStart w:id="1242" w:name="_Toc215582768"/>
      <w:bookmarkStart w:id="1243" w:name="_Toc235400306"/>
      <w:bookmarkStart w:id="1244" w:name="_Ref236724842"/>
      <w:bookmarkStart w:id="1245" w:name="_Ref244147829"/>
      <w:bookmarkStart w:id="1246" w:name="_Toc259717116"/>
      <w:bookmarkEnd w:id="1233"/>
      <w:r w:rsidRPr="005030A3">
        <w:t>Contention</w:t>
      </w:r>
      <w:r w:rsidRPr="009448FC">
        <w:t xml:space="preserve">-based </w:t>
      </w:r>
      <w:bookmarkEnd w:id="1234"/>
      <w:bookmarkEnd w:id="1235"/>
      <w:bookmarkEnd w:id="1236"/>
      <w:bookmarkEnd w:id="1237"/>
      <w:bookmarkEnd w:id="1238"/>
      <w:bookmarkEnd w:id="1239"/>
      <w:bookmarkEnd w:id="1240"/>
      <w:bookmarkEnd w:id="1241"/>
      <w:bookmarkEnd w:id="1242"/>
      <w:bookmarkEnd w:id="1243"/>
      <w:bookmarkEnd w:id="1244"/>
      <w:r w:rsidR="00135ABB">
        <w:t>p</w:t>
      </w:r>
      <w:r w:rsidR="00634722" w:rsidRPr="009448FC">
        <w:t xml:space="preserve">eriod </w:t>
      </w:r>
      <w:r w:rsidR="00135ABB">
        <w:t xml:space="preserve">(CBP) </w:t>
      </w:r>
      <w:r w:rsidR="00634722" w:rsidRPr="009448FC">
        <w:t>transmission rules</w:t>
      </w:r>
      <w:bookmarkEnd w:id="1245"/>
      <w:bookmarkEnd w:id="1246"/>
      <w:r w:rsidR="00634722" w:rsidRPr="009448FC">
        <w:t xml:space="preserve"> </w:t>
      </w:r>
    </w:p>
    <w:p w:rsidR="00640E19" w:rsidRPr="009448FC" w:rsidRDefault="00640E19" w:rsidP="00E6506D">
      <w:r w:rsidRPr="009448FC">
        <w:t>The definition of contention</w:t>
      </w:r>
      <w:r w:rsidR="0092426A" w:rsidRPr="009448FC">
        <w:t>-</w:t>
      </w:r>
      <w:r w:rsidRPr="009448FC">
        <w:t>base</w:t>
      </w:r>
      <w:r w:rsidR="0092426A" w:rsidRPr="009448FC">
        <w:t>d</w:t>
      </w:r>
      <w:r w:rsidRPr="009448FC">
        <w:t xml:space="preserve"> </w:t>
      </w:r>
      <w:r w:rsidR="00E6506D" w:rsidRPr="009448FC">
        <w:t>transm</w:t>
      </w:r>
      <w:r w:rsidR="00022F6D" w:rsidRPr="009448FC">
        <w:t xml:space="preserve">ission rules used within a CBP </w:t>
      </w:r>
      <w:r w:rsidRPr="009448FC">
        <w:t>is provide</w:t>
      </w:r>
      <w:r w:rsidR="0092426A" w:rsidRPr="009448FC">
        <w:t>d</w:t>
      </w:r>
      <w:r w:rsidRPr="009448FC">
        <w:t xml:space="preserve"> in section 9.2 DCF and in section 9.9 HCF</w:t>
      </w:r>
      <w:r w:rsidR="0092426A" w:rsidRPr="009448FC">
        <w:t>.</w:t>
      </w:r>
      <w:r w:rsidRPr="009448FC">
        <w:t xml:space="preserve"> </w:t>
      </w:r>
    </w:p>
    <w:p w:rsidR="00695432" w:rsidRPr="009448FC" w:rsidRDefault="00695432" w:rsidP="00A02036"/>
    <w:p w:rsidR="00843B35" w:rsidRDefault="00843B35" w:rsidP="00843B35">
      <w:pPr>
        <w:jc w:val="both"/>
        <w:outlineLvl w:val="0"/>
      </w:pPr>
      <w:r>
        <w:t>A BF initiator (</w:t>
      </w:r>
      <w:r w:rsidR="00BD151C" w:rsidRPr="009448FC">
        <w:fldChar w:fldCharType="begin"/>
      </w:r>
      <w:r w:rsidRPr="009448FC">
        <w:instrText xml:space="preserve"> REF _Ref246108918 \r \h </w:instrText>
      </w:r>
      <w:r w:rsidR="00BD151C" w:rsidRPr="009448FC">
        <w:fldChar w:fldCharType="separate"/>
      </w:r>
      <w:r w:rsidR="003E4210">
        <w:t>9.25</w:t>
      </w:r>
      <w:r w:rsidR="00BD151C" w:rsidRPr="009448FC">
        <w:fldChar w:fldCharType="end"/>
      </w:r>
      <w:r>
        <w:t>) shall not initiate an SLS phase within a CBP if there is not enough time within the CBP to complete the SLS phase.</w:t>
      </w:r>
    </w:p>
    <w:p w:rsidR="00843B35" w:rsidRDefault="00BE5866" w:rsidP="00843B35">
      <w:pPr>
        <w:jc w:val="both"/>
        <w:outlineLvl w:val="0"/>
      </w:pPr>
      <w:r>
        <w:t xml:space="preserve"> </w:t>
      </w:r>
    </w:p>
    <w:p w:rsidR="00843B35" w:rsidRDefault="00843B35" w:rsidP="00843B35">
      <w:pPr>
        <w:jc w:val="both"/>
        <w:outlineLvl w:val="0"/>
      </w:pPr>
      <w:r>
        <w:t>A BF initiator (</w:t>
      </w:r>
      <w:r w:rsidR="00BD151C" w:rsidRPr="009448FC">
        <w:fldChar w:fldCharType="begin"/>
      </w:r>
      <w:r w:rsidRPr="009448FC">
        <w:instrText xml:space="preserve"> REF _Ref246108918 \r \h </w:instrText>
      </w:r>
      <w:r w:rsidR="00BD151C" w:rsidRPr="009448FC">
        <w:fldChar w:fldCharType="separate"/>
      </w:r>
      <w:r w:rsidR="003E4210">
        <w:t>9.25</w:t>
      </w:r>
      <w:r w:rsidR="00BD151C" w:rsidRPr="009448FC">
        <w:fldChar w:fldCharType="end"/>
      </w:r>
      <w:r>
        <w:t>) shall not initiate a BRP phase within a CBP if there is not enough time within the CBP to complete the BRP phase.</w:t>
      </w:r>
    </w:p>
    <w:p w:rsidR="00843B35" w:rsidRDefault="00843B35" w:rsidP="007D1D51">
      <w:pPr>
        <w:jc w:val="both"/>
        <w:outlineLvl w:val="0"/>
      </w:pPr>
    </w:p>
    <w:p w:rsidR="00634361" w:rsidRDefault="00634361" w:rsidP="007D1D51">
      <w:pPr>
        <w:jc w:val="both"/>
        <w:outlineLvl w:val="0"/>
      </w:pPr>
      <w:r w:rsidRPr="00634361">
        <w:t>A STA with multiple antenna</w:t>
      </w:r>
      <w:r w:rsidR="00971297">
        <w:t>s</w:t>
      </w:r>
      <w:r w:rsidRPr="00634361">
        <w:t xml:space="preserve"> within CBPs should use only one antenna in its frame transmission, CCA and frame reception. The algorithm to select an antenna and switch active antenna is implementation dependent. Within CBPs, a STA that is ch</w:t>
      </w:r>
      <w:r w:rsidR="00971297">
        <w:t>anging to a different antenna</w:t>
      </w:r>
      <w:r w:rsidRPr="00634361">
        <w:t xml:space="preserve"> in order to transmit shal</w:t>
      </w:r>
      <w:r w:rsidR="00971297">
        <w:t>l perform CCA on that antenna</w:t>
      </w:r>
      <w:r w:rsidRPr="00634361">
        <w:t xml:space="preserve"> until a frame sequence is detected by which it can correctly set its NAV, or until a period of time equal to the ProbeDelay has transpired.</w:t>
      </w:r>
    </w:p>
    <w:p w:rsidR="00634361" w:rsidRPr="009448FC" w:rsidRDefault="00634361" w:rsidP="007D1D51">
      <w:pPr>
        <w:jc w:val="both"/>
        <w:outlineLvl w:val="0"/>
      </w:pPr>
    </w:p>
    <w:p w:rsidR="008C36FC" w:rsidRPr="009448FC" w:rsidRDefault="009C7C1D" w:rsidP="003701DB">
      <w:pPr>
        <w:pStyle w:val="Heading3"/>
        <w:numPr>
          <w:ilvl w:val="2"/>
          <w:numId w:val="204"/>
        </w:numPr>
      </w:pPr>
      <w:bookmarkStart w:id="1247" w:name="_Toc213489903"/>
      <w:bookmarkStart w:id="1248" w:name="_Toc213492854"/>
      <w:bookmarkStart w:id="1249" w:name="_Toc214613069"/>
      <w:bookmarkStart w:id="1250" w:name="_Toc214805620"/>
      <w:bookmarkStart w:id="1251" w:name="_Toc205121625"/>
      <w:bookmarkStart w:id="1252" w:name="_Toc206227508"/>
      <w:bookmarkStart w:id="1253" w:name="_Toc206415455"/>
      <w:bookmarkStart w:id="1254" w:name="_Toc206418262"/>
      <w:bookmarkStart w:id="1255" w:name="_Toc205016613"/>
      <w:bookmarkStart w:id="1256" w:name="_Toc205121626"/>
      <w:bookmarkStart w:id="1257" w:name="_Toc206227509"/>
      <w:bookmarkStart w:id="1258" w:name="_Toc206415456"/>
      <w:bookmarkStart w:id="1259" w:name="_Toc206418263"/>
      <w:bookmarkStart w:id="1260" w:name="_Toc207098945"/>
      <w:bookmarkStart w:id="1261" w:name="_Toc207099553"/>
      <w:bookmarkStart w:id="1262" w:name="_Toc207100472"/>
      <w:bookmarkStart w:id="1263" w:name="_Toc207348394"/>
      <w:bookmarkStart w:id="1264" w:name="_Toc215582775"/>
      <w:bookmarkStart w:id="1265" w:name="_Toc235400315"/>
      <w:bookmarkStart w:id="1266" w:name="_Ref236671207"/>
      <w:bookmarkStart w:id="1267" w:name="_Ref236724075"/>
      <w:bookmarkStart w:id="1268" w:name="_Ref252008885"/>
      <w:bookmarkStart w:id="1269" w:name="_Ref252009007"/>
      <w:bookmarkStart w:id="1270" w:name="_Toc259717117"/>
      <w:bookmarkEnd w:id="1247"/>
      <w:bookmarkEnd w:id="1248"/>
      <w:bookmarkEnd w:id="1249"/>
      <w:bookmarkEnd w:id="1250"/>
      <w:bookmarkEnd w:id="1251"/>
      <w:bookmarkEnd w:id="1252"/>
      <w:bookmarkEnd w:id="1253"/>
      <w:bookmarkEnd w:id="1254"/>
      <w:r w:rsidRPr="009448FC">
        <w:t xml:space="preserve">Time division based </w:t>
      </w:r>
      <w:r w:rsidR="008C36FC" w:rsidRPr="009448FC">
        <w:t>channel access</w:t>
      </w:r>
      <w:bookmarkEnd w:id="1255"/>
      <w:bookmarkEnd w:id="1256"/>
      <w:bookmarkEnd w:id="1257"/>
      <w:bookmarkEnd w:id="1258"/>
      <w:bookmarkEnd w:id="1259"/>
      <w:bookmarkEnd w:id="1260"/>
      <w:bookmarkEnd w:id="1261"/>
      <w:bookmarkEnd w:id="1262"/>
      <w:bookmarkEnd w:id="1263"/>
      <w:bookmarkEnd w:id="1264"/>
      <w:r w:rsidRPr="009448FC">
        <w:t xml:space="preserve"> in DTT</w:t>
      </w:r>
      <w:bookmarkEnd w:id="1265"/>
      <w:bookmarkEnd w:id="1266"/>
      <w:bookmarkEnd w:id="1267"/>
      <w:bookmarkEnd w:id="1268"/>
      <w:bookmarkEnd w:id="1269"/>
      <w:bookmarkEnd w:id="1270"/>
    </w:p>
    <w:p w:rsidR="00313FD2" w:rsidRPr="009448FC" w:rsidRDefault="00E747BE" w:rsidP="00D04599">
      <w:pPr>
        <w:rPr>
          <w:b/>
          <w:i/>
        </w:rPr>
      </w:pPr>
      <w:r w:rsidRPr="009448FC">
        <w:t>T</w:t>
      </w:r>
      <w:r w:rsidR="00D05BB7" w:rsidRPr="009448FC">
        <w:t xml:space="preserve">he </w:t>
      </w:r>
      <w:r w:rsidR="00D05BB7" w:rsidRPr="00D04599">
        <w:t xml:space="preserve">PCP/AP schedules each allocation with a specified start time from the TSF and fixed duration. </w:t>
      </w:r>
      <w:r w:rsidR="00313FD2" w:rsidRPr="00D04599">
        <w:rPr>
          <w:rFonts w:eastAsia="Batang"/>
        </w:rPr>
        <w:t>An allocation can be a Service Period (SP), where ownership of channel time is granted to a single STA, or a Contention-Based Period (CBP), where all STAs may compete for channel access.</w:t>
      </w:r>
      <w:r w:rsidR="009D107C" w:rsidRPr="00D04599">
        <w:rPr>
          <w:rFonts w:eastAsia="Batang"/>
        </w:rPr>
        <w:t xml:space="preserve"> </w:t>
      </w:r>
      <w:r w:rsidR="008C36FC" w:rsidRPr="00D04599">
        <w:t xml:space="preserve">The </w:t>
      </w:r>
      <w:r w:rsidR="00313FD2" w:rsidRPr="00D04599">
        <w:rPr>
          <w:rFonts w:eastAsia="Batang"/>
        </w:rPr>
        <w:t>PCP</w:t>
      </w:r>
      <w:r w:rsidR="00281903" w:rsidRPr="00D04599">
        <w:t>/AP</w:t>
      </w:r>
      <w:r w:rsidR="00281903" w:rsidRPr="009448FC">
        <w:t xml:space="preserve"> </w:t>
      </w:r>
      <w:r w:rsidR="00313FD2" w:rsidRPr="009448FC">
        <w:rPr>
          <w:rFonts w:eastAsia="Batang"/>
        </w:rPr>
        <w:t xml:space="preserve">shall reference </w:t>
      </w:r>
      <w:r w:rsidR="009C7C1D" w:rsidRPr="009448FC">
        <w:rPr>
          <w:rFonts w:eastAsia="Batang"/>
        </w:rPr>
        <w:t xml:space="preserve">the </w:t>
      </w:r>
      <w:r w:rsidR="008C36FC" w:rsidRPr="009448FC">
        <w:t xml:space="preserve">start time of each </w:t>
      </w:r>
      <w:r w:rsidR="00313FD2" w:rsidRPr="009448FC">
        <w:t>allocation</w:t>
      </w:r>
      <w:r w:rsidR="009D107C" w:rsidRPr="009448FC">
        <w:t xml:space="preserve"> </w:t>
      </w:r>
      <w:r w:rsidR="008C36FC" w:rsidRPr="009448FC">
        <w:t xml:space="preserve">from the </w:t>
      </w:r>
      <w:r w:rsidR="00313FD2" w:rsidRPr="009448FC">
        <w:t xml:space="preserve">TSF. </w:t>
      </w:r>
    </w:p>
    <w:p w:rsidR="00E25E90" w:rsidRPr="009448FC" w:rsidRDefault="00E25E90" w:rsidP="00D04599"/>
    <w:p w:rsidR="00313FD2" w:rsidRPr="009448FC" w:rsidRDefault="00560B04" w:rsidP="00D04599">
      <w:pPr>
        <w:rPr>
          <w:rFonts w:eastAsia="Batang"/>
        </w:rPr>
      </w:pPr>
      <w:r w:rsidRPr="009448FC">
        <w:rPr>
          <w:rFonts w:eastAsia="Batang"/>
        </w:rPr>
        <w:lastRenderedPageBreak/>
        <w:t xml:space="preserve">The PCP/AP shall only schedule SPs or CBPs during the DTT of a BI following the end of an allocated </w:t>
      </w:r>
      <w:r w:rsidR="003E0596" w:rsidRPr="009448FC">
        <w:rPr>
          <w:rFonts w:eastAsia="Batang"/>
        </w:rPr>
        <w:t>BT</w:t>
      </w:r>
      <w:r w:rsidRPr="009448FC">
        <w:rPr>
          <w:rFonts w:eastAsia="Batang"/>
        </w:rPr>
        <w:t xml:space="preserve">, A-BFT and AT </w:t>
      </w:r>
      <w:r w:rsidR="003E0596" w:rsidRPr="009448FC">
        <w:rPr>
          <w:rFonts w:eastAsia="Batang"/>
        </w:rPr>
        <w:t>when any one of these periods are present in the BI</w:t>
      </w:r>
      <w:r w:rsidRPr="009448FC">
        <w:rPr>
          <w:rFonts w:eastAsia="Batang"/>
        </w:rPr>
        <w:t xml:space="preserve">. </w:t>
      </w:r>
    </w:p>
    <w:p w:rsidR="00271F9E" w:rsidRPr="00066F65" w:rsidRDefault="00271F9E" w:rsidP="00D04599">
      <w:pPr>
        <w:rPr>
          <w:rFonts w:eastAsia="Batang"/>
          <w:u w:val="single"/>
          <w:lang w:eastAsia="ko-KR" w:bidi="ar-SA"/>
        </w:rPr>
      </w:pPr>
    </w:p>
    <w:p w:rsidR="0042324C" w:rsidRPr="009448FC" w:rsidRDefault="00EC4F86" w:rsidP="00D04599">
      <w:r w:rsidRPr="009448FC">
        <w:t xml:space="preserve">The schedule of the DTT of a BI is communicated through the Extended Schedule element. </w:t>
      </w:r>
      <w:r w:rsidR="00B31A29" w:rsidRPr="009448FC">
        <w:t>The PCP</w:t>
      </w:r>
      <w:r w:rsidR="0076676B" w:rsidRPr="009448FC">
        <w:t xml:space="preserve">/AP </w:t>
      </w:r>
      <w:r w:rsidR="00B31A29" w:rsidRPr="009448FC">
        <w:t xml:space="preserve">shall transmit the </w:t>
      </w:r>
      <w:r w:rsidR="006A2966" w:rsidRPr="009448FC">
        <w:t>Extended Schedule</w:t>
      </w:r>
      <w:r w:rsidR="009D107C" w:rsidRPr="009448FC">
        <w:t xml:space="preserve"> </w:t>
      </w:r>
      <w:r w:rsidR="00877796" w:rsidRPr="009448FC">
        <w:t>element</w:t>
      </w:r>
      <w:r w:rsidR="00B31A29" w:rsidRPr="009448FC">
        <w:t xml:space="preserve"> </w:t>
      </w:r>
      <w:r w:rsidR="009737B9" w:rsidRPr="009448FC">
        <w:t xml:space="preserve">in the Announce frame or in the </w:t>
      </w:r>
      <w:r w:rsidR="00397C10" w:rsidRPr="009448FC">
        <w:t>mmWave</w:t>
      </w:r>
      <w:r w:rsidR="009D107C" w:rsidRPr="009448FC">
        <w:t xml:space="preserve"> </w:t>
      </w:r>
      <w:r w:rsidR="00604B66" w:rsidRPr="009448FC">
        <w:t>Beacon</w:t>
      </w:r>
      <w:r w:rsidR="009D107C" w:rsidRPr="009448FC">
        <w:t xml:space="preserve"> </w:t>
      </w:r>
      <w:r w:rsidR="009737B9" w:rsidRPr="009448FC">
        <w:t>frame</w:t>
      </w:r>
      <w:r w:rsidR="00B31A29" w:rsidRPr="009448FC">
        <w:t xml:space="preserve">. The </w:t>
      </w:r>
      <w:r w:rsidR="006A2966" w:rsidRPr="009448FC">
        <w:t>Extended Schedule</w:t>
      </w:r>
      <w:r w:rsidR="009D107C" w:rsidRPr="009448FC">
        <w:t xml:space="preserve"> </w:t>
      </w:r>
      <w:r w:rsidR="00877796" w:rsidRPr="009448FC">
        <w:t>element</w:t>
      </w:r>
      <w:r w:rsidR="00B31A29" w:rsidRPr="009448FC">
        <w:t xml:space="preserve"> shall contain the scheduling information of all allocations in the </w:t>
      </w:r>
      <w:r w:rsidR="009E4832" w:rsidRPr="009448FC">
        <w:t>DTT</w:t>
      </w:r>
      <w:r w:rsidR="00B31A29" w:rsidRPr="009448FC">
        <w:t>.</w:t>
      </w:r>
      <w:r w:rsidR="00D951B9" w:rsidRPr="009448FC">
        <w:t xml:space="preserve"> The PCP</w:t>
      </w:r>
      <w:r w:rsidR="0076676B" w:rsidRPr="009448FC">
        <w:t xml:space="preserve">/AP </w:t>
      </w:r>
      <w:r w:rsidR="00D951B9" w:rsidRPr="009448FC">
        <w:t>should attempt to schedule SPs for a STA</w:t>
      </w:r>
      <w:r w:rsidR="009E7D63" w:rsidRPr="009448FC">
        <w:t xml:space="preserve"> such that the scheduled SPs do not overlap in time with the traffic scheduling constraints indicated by this STA in the TSCONST field of the associated </w:t>
      </w:r>
      <w:r w:rsidR="009D107C" w:rsidRPr="009448FC">
        <w:t xml:space="preserve">Extended </w:t>
      </w:r>
      <w:r w:rsidR="009E7D63" w:rsidRPr="009448FC">
        <w:t xml:space="preserve">mmWave TSPEC </w:t>
      </w:r>
      <w:r w:rsidR="00877796" w:rsidRPr="009448FC">
        <w:t>element</w:t>
      </w:r>
      <w:r w:rsidR="009E7D63" w:rsidRPr="009448FC">
        <w:t>.</w:t>
      </w:r>
    </w:p>
    <w:p w:rsidR="00B46387" w:rsidRPr="009448FC" w:rsidRDefault="00B46387" w:rsidP="00D04599"/>
    <w:p w:rsidR="00EC4F86" w:rsidRPr="009448FC" w:rsidRDefault="00EC4F86" w:rsidP="00D04599">
      <w:r w:rsidRPr="009448FC">
        <w:t>An SP or CBP allocation within an Extended Schedule element may be comprised of one or more individual allocations. The start time of the ith individual SP or CBP allocation is given by (A_start + (i-1)*A_period), where A_start is the value of the Allocation start field for the SP or CBP, A_period is the value of the Allocation block period field for the SP or CBP, and i is an integer greater than zero and less than or equal to the value of the Number of blocks field for the SP or CBP. The end of the i</w:t>
      </w:r>
      <w:r w:rsidRPr="00543256">
        <w:rPr>
          <w:vertAlign w:val="superscript"/>
        </w:rPr>
        <w:t>th</w:t>
      </w:r>
      <w:r w:rsidRPr="009448FC">
        <w:t xml:space="preserve"> individual SP or CBP allocation is computed by adding the start time of the i</w:t>
      </w:r>
      <w:r w:rsidRPr="00543256">
        <w:rPr>
          <w:vertAlign w:val="superscript"/>
        </w:rPr>
        <w:t>th</w:t>
      </w:r>
      <w:r w:rsidRPr="009448FC">
        <w:t xml:space="preserve"> individual allocation to the value of the Allocation block duration field for the corresponding SP or CBP allocation. </w:t>
      </w:r>
    </w:p>
    <w:p w:rsidR="00EC4F86" w:rsidRPr="009448FC" w:rsidRDefault="00EC4F86" w:rsidP="00D04599"/>
    <w:p w:rsidR="00E25E90" w:rsidRPr="009448FC" w:rsidRDefault="00E25E90" w:rsidP="00D04599">
      <w:r w:rsidRPr="009448FC">
        <w:t xml:space="preserve">If the PCP Active subfield in the Allocation field for an allocation within an Extended Schedule </w:t>
      </w:r>
      <w:r w:rsidR="00877796" w:rsidRPr="009448FC">
        <w:t>element</w:t>
      </w:r>
      <w:r w:rsidRPr="009448FC">
        <w:t xml:space="preserve"> is set to one, the PCP shall be in the receive state for the duration of that allocation, except when transmitting during that allocation. The AP shall set the PCP Active field to one for every allocation within an Extended Schedule </w:t>
      </w:r>
      <w:r w:rsidR="00877796" w:rsidRPr="009448FC">
        <w:t>element</w:t>
      </w:r>
      <w:r w:rsidRPr="009448FC">
        <w:t xml:space="preserve"> transmitted by the AP.</w:t>
      </w:r>
      <w:r w:rsidR="00D11F2E">
        <w:t xml:space="preserve"> </w:t>
      </w:r>
    </w:p>
    <w:p w:rsidR="00E25E90" w:rsidRPr="009448FC" w:rsidRDefault="00E25E90" w:rsidP="00D04599"/>
    <w:p w:rsidR="0042324C" w:rsidRDefault="0042324C" w:rsidP="00D04599">
      <w:r w:rsidRPr="009448FC">
        <w:t>Non-PCP/</w:t>
      </w:r>
      <w:r w:rsidR="00DA1E95" w:rsidRPr="009448FC">
        <w:t>non-</w:t>
      </w:r>
      <w:r w:rsidRPr="009448FC">
        <w:t xml:space="preserve">AP </w:t>
      </w:r>
      <w:r w:rsidR="00B96FB9" w:rsidRPr="009448FC">
        <w:t>mSTA</w:t>
      </w:r>
      <w:r w:rsidRPr="009448FC">
        <w:t xml:space="preserve">s shall be capable of </w:t>
      </w:r>
      <w:r w:rsidR="003E0596" w:rsidRPr="009448FC">
        <w:t>processing the Poll and Grant frames</w:t>
      </w:r>
      <w:r w:rsidR="00281486" w:rsidRPr="009448FC">
        <w:t xml:space="preserve"> </w:t>
      </w:r>
      <w:r w:rsidRPr="009448FC">
        <w:t xml:space="preserve">and </w:t>
      </w:r>
      <w:r w:rsidR="00B46387" w:rsidRPr="009448FC">
        <w:t xml:space="preserve">the </w:t>
      </w:r>
      <w:r w:rsidRPr="009448FC">
        <w:t>SP Info field (</w:t>
      </w:r>
      <w:r w:rsidR="00BD151C">
        <w:fldChar w:fldCharType="begin"/>
      </w:r>
      <w:r w:rsidR="00BC5849">
        <w:instrText xml:space="preserve"> REF _Ref253745357 \h </w:instrText>
      </w:r>
      <w:r w:rsidR="00BD151C">
        <w:fldChar w:fldCharType="separate"/>
      </w:r>
      <w:r w:rsidR="003E4210">
        <w:t xml:space="preserve">7.3a.2 </w:t>
      </w:r>
      <w:r w:rsidR="003E4210" w:rsidRPr="009448FC">
        <w:t>SP Info field</w:t>
      </w:r>
      <w:r w:rsidR="00BD151C">
        <w:fldChar w:fldCharType="end"/>
      </w:r>
      <w:r w:rsidRPr="009448FC">
        <w:t xml:space="preserve">) to operate as a destination in </w:t>
      </w:r>
      <w:r w:rsidR="00BB029B" w:rsidRPr="009448FC">
        <w:t xml:space="preserve">an </w:t>
      </w:r>
      <w:r w:rsidRPr="009448FC">
        <w:t xml:space="preserve">SP and in </w:t>
      </w:r>
      <w:r w:rsidR="003213D2" w:rsidRPr="009448FC">
        <w:t xml:space="preserve">a </w:t>
      </w:r>
      <w:r w:rsidRPr="009448FC">
        <w:t>CBP.</w:t>
      </w:r>
      <w:r w:rsidR="00DB742F" w:rsidRPr="009448FC">
        <w:t xml:space="preserve"> </w:t>
      </w:r>
      <w:r w:rsidR="003E0596" w:rsidRPr="009448FC">
        <w:t xml:space="preserve">A PCP/AP shall be capable of processing the SPR frame transmitted by a non-PCP/non-AP STA and responding to a SPR frame with a Grant frame. </w:t>
      </w:r>
    </w:p>
    <w:p w:rsidR="00701D4A" w:rsidRDefault="00BE5866" w:rsidP="00D04599">
      <w:r>
        <w:t xml:space="preserve"> </w:t>
      </w:r>
    </w:p>
    <w:p w:rsidR="00701D4A" w:rsidRPr="004D1E33" w:rsidRDefault="00701D4A" w:rsidP="00701D4A">
      <w:pPr>
        <w:autoSpaceDE w:val="0"/>
        <w:autoSpaceDN w:val="0"/>
        <w:adjustRightInd w:val="0"/>
      </w:pPr>
      <w:r w:rsidRPr="004D1E33">
        <w:t>Listening Mode is a mode of operation during which a</w:t>
      </w:r>
      <w:r>
        <w:t>n</w:t>
      </w:r>
      <w:r w:rsidRPr="004D1E33">
        <w:t xml:space="preserve"> </w:t>
      </w:r>
      <w:r>
        <w:t>m</w:t>
      </w:r>
      <w:r w:rsidRPr="004D1E33">
        <w:t>STA is in receiving state and meets at least one of the following conditions:</w:t>
      </w:r>
    </w:p>
    <w:p w:rsidR="00701D4A" w:rsidRPr="004D1E33" w:rsidRDefault="00701D4A" w:rsidP="003701DB">
      <w:pPr>
        <w:numPr>
          <w:ilvl w:val="0"/>
          <w:numId w:val="210"/>
        </w:numPr>
        <w:autoSpaceDE w:val="0"/>
        <w:autoSpaceDN w:val="0"/>
        <w:adjustRightInd w:val="0"/>
      </w:pPr>
      <w:r w:rsidRPr="004D1E33">
        <w:t xml:space="preserve">its receiving antennas are in the </w:t>
      </w:r>
      <w:r>
        <w:t>quasi-</w:t>
      </w:r>
      <w:r w:rsidRPr="004D1E33">
        <w:t>omni mode</w:t>
      </w:r>
    </w:p>
    <w:p w:rsidR="00701D4A" w:rsidRPr="004D1E33" w:rsidRDefault="00701D4A" w:rsidP="003701DB">
      <w:pPr>
        <w:numPr>
          <w:ilvl w:val="0"/>
          <w:numId w:val="210"/>
        </w:numPr>
        <w:autoSpaceDE w:val="0"/>
        <w:autoSpaceDN w:val="0"/>
        <w:adjustRightInd w:val="0"/>
      </w:pPr>
      <w:r w:rsidRPr="004D1E33">
        <w:t xml:space="preserve">its receiving antennas are directed to the peer </w:t>
      </w:r>
      <w:r>
        <w:t>m</w:t>
      </w:r>
      <w:r w:rsidRPr="004D1E33">
        <w:t xml:space="preserve">STA </w:t>
      </w:r>
      <w:r>
        <w:t>f</w:t>
      </w:r>
      <w:r w:rsidRPr="004D1E33">
        <w:t xml:space="preserve">or which this </w:t>
      </w:r>
      <w:r>
        <w:t>m</w:t>
      </w:r>
      <w:r w:rsidRPr="004D1E33">
        <w:t xml:space="preserve">STA is either the destination or source </w:t>
      </w:r>
      <w:r>
        <w:t>m</w:t>
      </w:r>
      <w:r w:rsidRPr="004D1E33">
        <w:t>STA</w:t>
      </w:r>
    </w:p>
    <w:p w:rsidR="00701D4A" w:rsidRPr="009448FC" w:rsidRDefault="00701D4A" w:rsidP="00D04599"/>
    <w:p w:rsidR="008C36FC" w:rsidRPr="00041214" w:rsidRDefault="00390C73" w:rsidP="00B2663E">
      <w:pPr>
        <w:pStyle w:val="Heading4"/>
      </w:pPr>
      <w:bookmarkStart w:id="1271" w:name="_Toc235400316"/>
      <w:bookmarkStart w:id="1272" w:name="_Ref236724096"/>
      <w:bookmarkStart w:id="1273" w:name="_Ref244147553"/>
      <w:bookmarkStart w:id="1274" w:name="_Ref250036220"/>
      <w:bookmarkStart w:id="1275" w:name="_Ref251938230"/>
      <w:bookmarkStart w:id="1276" w:name="_Ref251938236"/>
      <w:bookmarkStart w:id="1277" w:name="_Ref251938245"/>
      <w:bookmarkStart w:id="1278" w:name="_Toc259717118"/>
      <w:r>
        <w:t>9.23.6</w:t>
      </w:r>
      <w:r w:rsidR="00B2663E">
        <w:t xml:space="preserve">.1 </w:t>
      </w:r>
      <w:r w:rsidR="0024479E" w:rsidRPr="00D04599">
        <w:t>Service</w:t>
      </w:r>
      <w:r w:rsidR="0024479E" w:rsidRPr="009448FC">
        <w:t xml:space="preserve"> </w:t>
      </w:r>
      <w:r w:rsidR="00135ABB">
        <w:t>p</w:t>
      </w:r>
      <w:r w:rsidR="0024479E" w:rsidRPr="009448FC">
        <w:t>eriod (SP) allocation</w:t>
      </w:r>
      <w:bookmarkEnd w:id="1271"/>
      <w:bookmarkEnd w:id="1272"/>
      <w:bookmarkEnd w:id="1273"/>
      <w:bookmarkEnd w:id="1274"/>
      <w:bookmarkEnd w:id="1275"/>
      <w:bookmarkEnd w:id="1276"/>
      <w:bookmarkEnd w:id="1277"/>
      <w:bookmarkEnd w:id="1278"/>
    </w:p>
    <w:p w:rsidR="0024479E" w:rsidRPr="009448FC" w:rsidRDefault="0024479E" w:rsidP="00CB2392">
      <w:pPr>
        <w:autoSpaceDE w:val="0"/>
        <w:autoSpaceDN w:val="0"/>
        <w:adjustRightInd w:val="0"/>
        <w:rPr>
          <w:b/>
          <w:i/>
        </w:rPr>
      </w:pPr>
      <w:r w:rsidRPr="009448FC">
        <w:t>The PCP</w:t>
      </w:r>
      <w:r w:rsidR="0008234C" w:rsidRPr="009448FC">
        <w:t>/</w:t>
      </w:r>
      <w:r w:rsidR="00655EA4" w:rsidRPr="009448FC">
        <w:t xml:space="preserve">AP </w:t>
      </w:r>
      <w:r w:rsidRPr="009448FC">
        <w:t xml:space="preserve">shall set the </w:t>
      </w:r>
      <w:r w:rsidR="00CB2392" w:rsidRPr="009448FC">
        <w:t>SP</w:t>
      </w:r>
      <w:r w:rsidRPr="009448FC">
        <w:t>Type</w:t>
      </w:r>
      <w:r w:rsidR="00281486" w:rsidRPr="009448FC">
        <w:t xml:space="preserve"> </w:t>
      </w:r>
      <w:r w:rsidRPr="009448FC">
        <w:t xml:space="preserve">field to zero in the </w:t>
      </w:r>
      <w:r w:rsidR="006A2966" w:rsidRPr="009448FC">
        <w:t>Extended Schedule</w:t>
      </w:r>
      <w:r w:rsidR="00CB2392" w:rsidRPr="009448FC">
        <w:t xml:space="preserve"> </w:t>
      </w:r>
      <w:r w:rsidR="00877796" w:rsidRPr="009448FC">
        <w:t>element</w:t>
      </w:r>
      <w:r w:rsidRPr="009448FC">
        <w:t xml:space="preserve"> to allocate a SP.</w:t>
      </w:r>
    </w:p>
    <w:p w:rsidR="0024479E" w:rsidRPr="009448FC" w:rsidRDefault="0024479E" w:rsidP="0024479E"/>
    <w:p w:rsidR="0024479E" w:rsidRPr="009448FC" w:rsidRDefault="0024479E" w:rsidP="0024479E">
      <w:r w:rsidRPr="009448FC">
        <w:t xml:space="preserve">A SP is assigned to the source STA identified in the Source AID field in the </w:t>
      </w:r>
      <w:r w:rsidR="006A2966" w:rsidRPr="009448FC">
        <w:t>Extended Schedule</w:t>
      </w:r>
      <w:r w:rsidR="00DB742F" w:rsidRPr="009448FC">
        <w:t xml:space="preserve"> </w:t>
      </w:r>
      <w:r w:rsidR="00877796" w:rsidRPr="009448FC">
        <w:t>element</w:t>
      </w:r>
      <w:r w:rsidRPr="009448FC">
        <w:t>. The source STA shall initiate the frame exchange sequence that takes place during the SP at the start of the SP. The SP allocation identifies the TC or TS for which the allocation is made, however, the type of traffic transmitted is not restricted to the specified TC or TS.</w:t>
      </w:r>
      <w:r w:rsidR="00A15311" w:rsidRPr="009448FC">
        <w:t xml:space="preserve"> </w:t>
      </w:r>
    </w:p>
    <w:p w:rsidR="0024479E" w:rsidRPr="00066F65" w:rsidRDefault="0024479E" w:rsidP="0024479E">
      <w:pPr>
        <w:rPr>
          <w:u w:val="single"/>
        </w:rPr>
      </w:pPr>
    </w:p>
    <w:p w:rsidR="0024479E" w:rsidRPr="009448FC" w:rsidRDefault="002756C7" w:rsidP="002756C7">
      <w:r w:rsidRPr="009448FC">
        <w:t>Except when transmitting a frame as part of the SP recovery procedure (</w:t>
      </w:r>
      <w:r w:rsidR="00BD151C">
        <w:fldChar w:fldCharType="begin"/>
      </w:r>
      <w:r w:rsidR="00543256">
        <w:instrText xml:space="preserve"> REF _Ref251938630 \h </w:instrText>
      </w:r>
      <w:r w:rsidR="00BD151C">
        <w:fldChar w:fldCharType="separate"/>
      </w:r>
      <w:r w:rsidR="003E4210">
        <w:t xml:space="preserve">9.23.6.6 </w:t>
      </w:r>
      <w:r w:rsidR="003E4210" w:rsidRPr="009448FC">
        <w:t xml:space="preserve">Service </w:t>
      </w:r>
      <w:r w:rsidR="003E4210">
        <w:t>p</w:t>
      </w:r>
      <w:r w:rsidR="003E4210" w:rsidRPr="009448FC">
        <w:t xml:space="preserve">eriod </w:t>
      </w:r>
      <w:r w:rsidR="003E4210">
        <w:t>r</w:t>
      </w:r>
      <w:r w:rsidR="003E4210" w:rsidRPr="009448FC">
        <w:t>ecovery</w:t>
      </w:r>
      <w:r w:rsidR="00BD151C">
        <w:fldChar w:fldCharType="end"/>
      </w:r>
      <w:r w:rsidRPr="009448FC">
        <w:t xml:space="preserve">) or transmitting a response to the source STA, the STA identified by the Destination AID field in the Extended Schedule </w:t>
      </w:r>
      <w:r w:rsidR="00877796" w:rsidRPr="009448FC">
        <w:t>element</w:t>
      </w:r>
      <w:r w:rsidRPr="009448FC">
        <w:t xml:space="preserve"> should be in receive </w:t>
      </w:r>
      <w:r w:rsidR="00EC4F86" w:rsidRPr="009448FC">
        <w:t>state</w:t>
      </w:r>
      <w:r w:rsidRPr="009448FC">
        <w:t xml:space="preserve"> for the duration of the SP in order to receive transmissions from the source STA</w:t>
      </w:r>
      <w:r w:rsidR="0024479E" w:rsidRPr="009448FC">
        <w:t xml:space="preserve">. </w:t>
      </w:r>
      <w:r w:rsidRPr="009448FC">
        <w:t xml:space="preserve">If the Destination AID field of the scheduled SP is set to the broadcast AID and the Source AID field of the scheduled SP is not set to the broadcast AID, then </w:t>
      </w:r>
      <w:r w:rsidRPr="009448FC">
        <w:lastRenderedPageBreak/>
        <w:t xml:space="preserve">all STAs on the PBSS/infrastructure BSS should be in receive state in order to receive transmissions from the source STA for the duration of the SP. Subclause </w:t>
      </w:r>
      <w:r w:rsidR="00BD151C" w:rsidRPr="009448FC">
        <w:fldChar w:fldCharType="begin"/>
      </w:r>
      <w:r w:rsidR="00DB742F" w:rsidRPr="009448FC">
        <w:instrText xml:space="preserve"> REF _Ref244079150 \r \h </w:instrText>
      </w:r>
      <w:r w:rsidR="00BD151C" w:rsidRPr="009448FC">
        <w:fldChar w:fldCharType="separate"/>
      </w:r>
      <w:r w:rsidR="003E4210">
        <w:t>9.23.7</w:t>
      </w:r>
      <w:r w:rsidR="00BD151C" w:rsidRPr="009448FC">
        <w:fldChar w:fldCharType="end"/>
      </w:r>
      <w:r w:rsidRPr="009448FC">
        <w:t xml:space="preserve"> describes the rules for when the scheduled SP has both the Source and Destination AID fields set to the broadcast AID</w:t>
      </w:r>
      <w:r w:rsidR="0024479E" w:rsidRPr="009448FC">
        <w:t>.</w:t>
      </w:r>
    </w:p>
    <w:p w:rsidR="0024479E" w:rsidRPr="009448FC" w:rsidRDefault="0024479E" w:rsidP="0024479E"/>
    <w:p w:rsidR="0024479E" w:rsidRPr="009448FC" w:rsidRDefault="002756C7" w:rsidP="0024479E">
      <w:r w:rsidRPr="009448FC">
        <w:t xml:space="preserve">Except when the rules in </w:t>
      </w:r>
      <w:r w:rsidR="00BD151C" w:rsidRPr="009448FC">
        <w:fldChar w:fldCharType="begin"/>
      </w:r>
      <w:r w:rsidR="00DB742F" w:rsidRPr="009448FC">
        <w:instrText xml:space="preserve"> REF _Ref244079150 \r \h </w:instrText>
      </w:r>
      <w:r w:rsidR="00BD151C" w:rsidRPr="009448FC">
        <w:fldChar w:fldCharType="separate"/>
      </w:r>
      <w:r w:rsidR="003E4210">
        <w:t>9.23.7</w:t>
      </w:r>
      <w:r w:rsidR="00BD151C" w:rsidRPr="009448FC">
        <w:fldChar w:fldCharType="end"/>
      </w:r>
      <w:r w:rsidRPr="009448FC">
        <w:t xml:space="preserve">, </w:t>
      </w:r>
      <w:r w:rsidR="00BD151C">
        <w:fldChar w:fldCharType="begin"/>
      </w:r>
      <w:r w:rsidR="00515A1B">
        <w:instrText xml:space="preserve"> REF _Ref253745295 \r \h </w:instrText>
      </w:r>
      <w:r w:rsidR="00BD151C">
        <w:fldChar w:fldCharType="separate"/>
      </w:r>
      <w:r w:rsidR="003E4210">
        <w:t>9.23.8</w:t>
      </w:r>
      <w:r w:rsidR="00BD151C">
        <w:fldChar w:fldCharType="end"/>
      </w:r>
      <w:r w:rsidRPr="009448FC">
        <w:t xml:space="preserve">, or </w:t>
      </w:r>
      <w:r w:rsidR="00BD151C" w:rsidRPr="009448FC">
        <w:fldChar w:fldCharType="begin"/>
      </w:r>
      <w:r w:rsidR="00DB742F" w:rsidRPr="009448FC">
        <w:instrText xml:space="preserve"> REF _Ref244079318 \r \h </w:instrText>
      </w:r>
      <w:r w:rsidR="00BD151C" w:rsidRPr="009448FC">
        <w:fldChar w:fldCharType="separate"/>
      </w:r>
      <w:r w:rsidR="003E4210">
        <w:t>9.23.9</w:t>
      </w:r>
      <w:r w:rsidR="00BD151C" w:rsidRPr="009448FC">
        <w:fldChar w:fldCharType="end"/>
      </w:r>
      <w:r w:rsidRPr="009448FC">
        <w:t xml:space="preserve"> are used, only a STA identified as the source STA or destination STA of a SP shall transmit during the SP</w:t>
      </w:r>
      <w:r w:rsidR="0024479E" w:rsidRPr="009448FC">
        <w:t>.</w:t>
      </w:r>
      <w:r w:rsidRPr="009448FC">
        <w:t xml:space="preserve"> </w:t>
      </w:r>
    </w:p>
    <w:p w:rsidR="0024479E" w:rsidRPr="009448FC" w:rsidRDefault="0024479E" w:rsidP="0024479E"/>
    <w:p w:rsidR="00E25E90" w:rsidRPr="009448FC" w:rsidRDefault="00E25E90" w:rsidP="009431F1">
      <w:r w:rsidRPr="009448FC">
        <w:t xml:space="preserve">The PCP/AP shall set the Beamforming Training field to one in the Allocation field for an SP within an Extended Schedule </w:t>
      </w:r>
      <w:r w:rsidR="00877796" w:rsidRPr="009448FC">
        <w:t>element</w:t>
      </w:r>
      <w:r w:rsidRPr="009448FC">
        <w:t xml:space="preserve"> to indicate that the source STA of this SP will initiate beamforming training with the destination STA at the start of that SP.</w:t>
      </w:r>
    </w:p>
    <w:p w:rsidR="00E25E90" w:rsidRPr="009448FC" w:rsidRDefault="00E25E90" w:rsidP="009431F1"/>
    <w:p w:rsidR="0024479E" w:rsidRPr="009448FC" w:rsidRDefault="00E25E90" w:rsidP="009431F1">
      <w:r w:rsidRPr="009448FC">
        <w:t xml:space="preserve">If the PCP Active field is zero in the Allocation field for an SP within an Extended Schedule </w:t>
      </w:r>
      <w:r w:rsidR="00877796" w:rsidRPr="009448FC">
        <w:t>element</w:t>
      </w:r>
      <w:r w:rsidRPr="009448FC">
        <w:t>, neither the destination STA of the SP nor the source STA of the SP shall transmit to the PCP during the SP</w:t>
      </w:r>
      <w:r w:rsidR="009E37EA" w:rsidRPr="009448FC">
        <w:t xml:space="preserve">. </w:t>
      </w:r>
    </w:p>
    <w:p w:rsidR="008C36FC" w:rsidRPr="009448FC" w:rsidRDefault="008C36FC" w:rsidP="003213D2"/>
    <w:p w:rsidR="005C137A" w:rsidRPr="009448FC" w:rsidRDefault="008C36FC" w:rsidP="00B46387">
      <w:pPr>
        <w:autoSpaceDE w:val="0"/>
        <w:autoSpaceDN w:val="0"/>
        <w:adjustRightInd w:val="0"/>
      </w:pPr>
      <w:r w:rsidRPr="009448FC">
        <w:t xml:space="preserve">In no case shall </w:t>
      </w:r>
      <w:r w:rsidR="0024479E" w:rsidRPr="009448FC">
        <w:t xml:space="preserve">the </w:t>
      </w:r>
      <w:r w:rsidRPr="009448FC">
        <w:rPr>
          <w:rFonts w:eastAsia="PMingLiU"/>
        </w:rPr>
        <w:t xml:space="preserve">source </w:t>
      </w:r>
      <w:r w:rsidR="0024479E" w:rsidRPr="009448FC">
        <w:t xml:space="preserve">or destination </w:t>
      </w:r>
      <w:r w:rsidRPr="009448FC">
        <w:t xml:space="preserve">STA extend </w:t>
      </w:r>
      <w:r w:rsidRPr="009448FC">
        <w:rPr>
          <w:rFonts w:eastAsia="PMingLiU"/>
        </w:rPr>
        <w:t>a</w:t>
      </w:r>
      <w:r w:rsidRPr="009448FC">
        <w:t xml:space="preserve"> transmission </w:t>
      </w:r>
      <w:r w:rsidRPr="009448FC">
        <w:rPr>
          <w:rFonts w:eastAsia="PMingLiU"/>
        </w:rPr>
        <w:t xml:space="preserve">frame exchange sequence </w:t>
      </w:r>
      <w:r w:rsidRPr="009448FC">
        <w:t xml:space="preserve">that started during a SP beyond the end of that SP. A STA </w:t>
      </w:r>
      <w:r w:rsidR="00174E1B" w:rsidRPr="009448FC">
        <w:t xml:space="preserve">that initiates a sequence </w:t>
      </w:r>
      <w:r w:rsidRPr="009448FC">
        <w:t xml:space="preserve">shall ensure that </w:t>
      </w:r>
      <w:r w:rsidR="00174E1B" w:rsidRPr="009448FC">
        <w:t>the</w:t>
      </w:r>
      <w:r w:rsidR="00EE1100" w:rsidRPr="009448FC">
        <w:t xml:space="preserve"> </w:t>
      </w:r>
      <w:r w:rsidRPr="009448FC">
        <w:t>frame exchange sequence, including any control frame responses, completes before the end of the SP.</w:t>
      </w:r>
    </w:p>
    <w:p w:rsidR="003B4066" w:rsidRDefault="00BE5866" w:rsidP="00B46387">
      <w:pPr>
        <w:autoSpaceDE w:val="0"/>
        <w:autoSpaceDN w:val="0"/>
        <w:adjustRightInd w:val="0"/>
      </w:pPr>
      <w:r>
        <w:t xml:space="preserve"> </w:t>
      </w:r>
    </w:p>
    <w:p w:rsidR="003B4066" w:rsidRDefault="003B4066" w:rsidP="00B46387">
      <w:pPr>
        <w:autoSpaceDE w:val="0"/>
        <w:autoSpaceDN w:val="0"/>
        <w:adjustRightInd w:val="0"/>
      </w:pPr>
      <w:r>
        <w:t xml:space="preserve">If the mSTA participates </w:t>
      </w:r>
      <w:r w:rsidRPr="00E453E1">
        <w:t xml:space="preserve">as source </w:t>
      </w:r>
      <w:r>
        <w:t>m</w:t>
      </w:r>
      <w:r w:rsidRPr="00E453E1">
        <w:t xml:space="preserve">STA and/or destination </w:t>
      </w:r>
      <w:r>
        <w:t>m</w:t>
      </w:r>
      <w:r w:rsidRPr="00E453E1">
        <w:t>STA</w:t>
      </w:r>
      <w:r>
        <w:t xml:space="preserve"> in two or more SPs, the PCP mSTA and the AP mSTA should not allocate the SPs separated by less than </w:t>
      </w:r>
      <w:r w:rsidRPr="00E453E1">
        <w:t>aMinListeningTime</w:t>
      </w:r>
      <w:r>
        <w:t xml:space="preserve"> microseconds between the end of SP in which the mSTA is either source or destination mSTA and the start of any SP in which the mSTA is either source or destination mSTA.</w:t>
      </w:r>
      <w:r w:rsidR="00D11F2E">
        <w:t xml:space="preserve"> </w:t>
      </w:r>
    </w:p>
    <w:p w:rsidR="003B4066" w:rsidRPr="009448FC" w:rsidRDefault="003B4066" w:rsidP="00B46387">
      <w:pPr>
        <w:autoSpaceDE w:val="0"/>
        <w:autoSpaceDN w:val="0"/>
        <w:adjustRightInd w:val="0"/>
      </w:pPr>
    </w:p>
    <w:p w:rsidR="007A0BD4" w:rsidRPr="009448FC" w:rsidRDefault="00390C73" w:rsidP="00B2663E">
      <w:pPr>
        <w:pStyle w:val="Heading4"/>
      </w:pPr>
      <w:bookmarkStart w:id="1279" w:name="_Toc222806326"/>
      <w:bookmarkStart w:id="1280" w:name="_Toc222806902"/>
      <w:bookmarkStart w:id="1281" w:name="_Toc222807723"/>
      <w:bookmarkStart w:id="1282" w:name="_Toc222809441"/>
      <w:bookmarkStart w:id="1283" w:name="_Toc222806328"/>
      <w:bookmarkStart w:id="1284" w:name="_Toc222806904"/>
      <w:bookmarkStart w:id="1285" w:name="_Toc222807725"/>
      <w:bookmarkStart w:id="1286" w:name="_Toc222809443"/>
      <w:bookmarkStart w:id="1287" w:name="_Toc222806329"/>
      <w:bookmarkStart w:id="1288" w:name="_Toc222806905"/>
      <w:bookmarkStart w:id="1289" w:name="_Toc222807726"/>
      <w:bookmarkStart w:id="1290" w:name="_Toc222809444"/>
      <w:bookmarkStart w:id="1291" w:name="_Toc222806330"/>
      <w:bookmarkStart w:id="1292" w:name="_Toc222806906"/>
      <w:bookmarkStart w:id="1293" w:name="_Toc222807727"/>
      <w:bookmarkStart w:id="1294" w:name="_Toc222809445"/>
      <w:bookmarkStart w:id="1295" w:name="_Toc222806331"/>
      <w:bookmarkStart w:id="1296" w:name="_Toc222806907"/>
      <w:bookmarkStart w:id="1297" w:name="_Toc222807728"/>
      <w:bookmarkStart w:id="1298" w:name="_Toc222809446"/>
      <w:bookmarkStart w:id="1299" w:name="_Toc222806332"/>
      <w:bookmarkStart w:id="1300" w:name="_Toc222806908"/>
      <w:bookmarkStart w:id="1301" w:name="_Toc222807729"/>
      <w:bookmarkStart w:id="1302" w:name="_Toc222809447"/>
      <w:bookmarkStart w:id="1303" w:name="_Toc235400317"/>
      <w:bookmarkStart w:id="1304" w:name="_Ref236724115"/>
      <w:bookmarkStart w:id="1305" w:name="_Ref243814707"/>
      <w:bookmarkStart w:id="1306" w:name="_Ref244147503"/>
      <w:bookmarkStart w:id="1307" w:name="_Ref251938378"/>
      <w:bookmarkStart w:id="1308" w:name="_Toc259717119"/>
      <w:bookmarkStart w:id="1309" w:name="_Toc205121629"/>
      <w:bookmarkStart w:id="1310" w:name="_Toc206227512"/>
      <w:bookmarkStart w:id="1311" w:name="_Toc206415459"/>
      <w:bookmarkStart w:id="1312" w:name="_Toc206418266"/>
      <w:bookmarkStart w:id="1313" w:name="_Toc207098948"/>
      <w:bookmarkStart w:id="1314" w:name="_Toc207099556"/>
      <w:bookmarkStart w:id="1315" w:name="_Toc207100475"/>
      <w:bookmarkStart w:id="1316" w:name="_Toc207348397"/>
      <w:bookmarkStart w:id="1317" w:name="_Toc2155827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t>9.23.6</w:t>
      </w:r>
      <w:r w:rsidR="00B2663E">
        <w:t xml:space="preserve">.2 </w:t>
      </w:r>
      <w:r w:rsidR="00135ABB">
        <w:t>Contention-b</w:t>
      </w:r>
      <w:r w:rsidR="00675F1A" w:rsidRPr="009448FC">
        <w:t xml:space="preserve">ased </w:t>
      </w:r>
      <w:r w:rsidR="00135ABB">
        <w:t>p</w:t>
      </w:r>
      <w:r w:rsidR="00675F1A" w:rsidRPr="009448FC">
        <w:t>eriod (CBP) allocation</w:t>
      </w:r>
      <w:bookmarkEnd w:id="1303"/>
      <w:bookmarkEnd w:id="1304"/>
      <w:bookmarkEnd w:id="1305"/>
      <w:bookmarkEnd w:id="1306"/>
      <w:bookmarkEnd w:id="1307"/>
      <w:bookmarkEnd w:id="1308"/>
    </w:p>
    <w:p w:rsidR="00675F1A" w:rsidRPr="009448FC" w:rsidRDefault="00675F1A" w:rsidP="009431F1">
      <w:r w:rsidRPr="009448FC">
        <w:t>The PCP</w:t>
      </w:r>
      <w:r w:rsidR="0008234C" w:rsidRPr="009448FC">
        <w:t>/</w:t>
      </w:r>
      <w:r w:rsidR="00655EA4" w:rsidRPr="009448FC">
        <w:t xml:space="preserve">AP </w:t>
      </w:r>
      <w:r w:rsidRPr="009448FC">
        <w:t xml:space="preserve">shall set the </w:t>
      </w:r>
      <w:r w:rsidR="00CB2392" w:rsidRPr="009448FC">
        <w:t>SP</w:t>
      </w:r>
      <w:r w:rsidRPr="009448FC">
        <w:t>Type</w:t>
      </w:r>
      <w:r w:rsidR="00CB2392" w:rsidRPr="009448FC">
        <w:t xml:space="preserve"> </w:t>
      </w:r>
      <w:r w:rsidRPr="009448FC">
        <w:t xml:space="preserve">field to one, the Source AID field to </w:t>
      </w:r>
      <w:r w:rsidR="00BE6380" w:rsidRPr="009448FC">
        <w:t>broadcast AID</w:t>
      </w:r>
      <w:r w:rsidRPr="009448FC">
        <w:t xml:space="preserve">, and the Destination AID field to </w:t>
      </w:r>
      <w:r w:rsidR="00BE6380" w:rsidRPr="009448FC">
        <w:t>broadcast AID</w:t>
      </w:r>
      <w:r w:rsidRPr="009448FC">
        <w:t xml:space="preserve"> </w:t>
      </w:r>
      <w:r w:rsidR="009431F1" w:rsidRPr="009448FC">
        <w:t xml:space="preserve">in an Allocation field within an Extended Schedule </w:t>
      </w:r>
      <w:r w:rsidR="00877796" w:rsidRPr="009448FC">
        <w:t>element</w:t>
      </w:r>
      <w:r w:rsidR="009431F1" w:rsidRPr="009448FC">
        <w:t xml:space="preserve"> </w:t>
      </w:r>
      <w:r w:rsidRPr="009448FC">
        <w:t>to allocate a CBP.</w:t>
      </w:r>
    </w:p>
    <w:p w:rsidR="00675F1A" w:rsidRPr="009448FC" w:rsidRDefault="00675F1A" w:rsidP="00675F1A"/>
    <w:p w:rsidR="00675F1A" w:rsidRPr="009448FC" w:rsidRDefault="009431F1" w:rsidP="009D107C">
      <w:r w:rsidRPr="009448FC">
        <w:t xml:space="preserve">All CBPs are initiated and allocated by the PCP/AP, except when allocated by a non-PCP/non-AP STA </w:t>
      </w:r>
      <w:r w:rsidR="00D95D08" w:rsidRPr="009448FC">
        <w:t xml:space="preserve">with the transmission of </w:t>
      </w:r>
      <w:r w:rsidRPr="009448FC">
        <w:t>a Grant frame following a SP truncation (</w:t>
      </w:r>
      <w:r w:rsidR="00BD151C">
        <w:fldChar w:fldCharType="begin"/>
      </w:r>
      <w:r w:rsidR="00515A1B">
        <w:instrText xml:space="preserve"> REF _Ref253745295 \r \h </w:instrText>
      </w:r>
      <w:r w:rsidR="00BD151C">
        <w:fldChar w:fldCharType="separate"/>
      </w:r>
      <w:r w:rsidR="003E4210">
        <w:t>9.23.8</w:t>
      </w:r>
      <w:r w:rsidR="00BD151C">
        <w:fldChar w:fldCharType="end"/>
      </w:r>
      <w:r w:rsidRPr="009448FC">
        <w:t>)</w:t>
      </w:r>
      <w:r w:rsidR="00655EA4" w:rsidRPr="009448FC">
        <w:t>.</w:t>
      </w:r>
      <w:r w:rsidR="00675F1A" w:rsidRPr="009448FC">
        <w:t xml:space="preserve"> Multiple CBPs may be present in a beacon interval, with the location and duration of each determined by the PCP</w:t>
      </w:r>
      <w:r w:rsidR="0008234C" w:rsidRPr="009448FC">
        <w:t>/</w:t>
      </w:r>
      <w:r w:rsidR="00655EA4" w:rsidRPr="009448FC">
        <w:t xml:space="preserve">AP </w:t>
      </w:r>
      <w:r w:rsidR="00675F1A" w:rsidRPr="009448FC">
        <w:t xml:space="preserve">and announced in the </w:t>
      </w:r>
      <w:r w:rsidR="006A2966" w:rsidRPr="009448FC">
        <w:t>Extended Schedule</w:t>
      </w:r>
      <w:r w:rsidRPr="009448FC">
        <w:t xml:space="preserve"> </w:t>
      </w:r>
      <w:r w:rsidR="00877796" w:rsidRPr="009448FC">
        <w:t>element</w:t>
      </w:r>
      <w:r w:rsidR="00675F1A" w:rsidRPr="009448FC">
        <w:t>.</w:t>
      </w:r>
      <w:r w:rsidR="00D95D08" w:rsidRPr="009448FC">
        <w:t xml:space="preserve"> </w:t>
      </w:r>
      <w:r w:rsidR="009D107C" w:rsidRPr="009448FC">
        <w:t>When only one CBP is present and no other allocations exist for the DTT, then the PCP/AP shall announce the presence of the CBP by setting the CBP only field to one in the mmWave Capability field</w:t>
      </w:r>
      <w:r w:rsidR="00B910DA" w:rsidRPr="009448FC">
        <w:t xml:space="preserve"> of the mmWave Beacon</w:t>
      </w:r>
      <w:r w:rsidR="009D107C" w:rsidRPr="009448FC">
        <w:t xml:space="preserve">. If at least one non-CBP allocation is present or more than one CBP is present or no allocations are present within a DTT, then the PCP/AP shall set the CBP only field to zero in the mmWave Capability field in the mmWave Beacon transmitted </w:t>
      </w:r>
      <w:r w:rsidR="00570F73">
        <w:t>during the BT</w:t>
      </w:r>
      <w:r w:rsidR="009D107C" w:rsidRPr="009448FC">
        <w:t xml:space="preserve">. The PCP/AP shall set the CBP only field to zero in the mmWave Capability field within a transmitted mmWave Beacon if the mmWave Beacon contains at least one Extended Schedule </w:t>
      </w:r>
      <w:r w:rsidR="00877796" w:rsidRPr="009448FC">
        <w:t>element</w:t>
      </w:r>
      <w:r w:rsidR="009D107C" w:rsidRPr="009448FC">
        <w:t>.</w:t>
      </w:r>
      <w:r w:rsidR="00D95D08" w:rsidRPr="009448FC">
        <w:t xml:space="preserve"> </w:t>
      </w:r>
    </w:p>
    <w:p w:rsidR="00675F1A" w:rsidRPr="009448FC" w:rsidRDefault="00675F1A" w:rsidP="00675F1A"/>
    <w:p w:rsidR="009D107C" w:rsidRPr="009448FC" w:rsidRDefault="009D107C" w:rsidP="00675F1A">
      <w:r w:rsidRPr="009448FC">
        <w:t xml:space="preserve">When the entire DTT is allocated to CBP through the CBP only field in the mmWave Capability field, then that CBP is pseudo-static and exists for </w:t>
      </w:r>
      <w:r w:rsidR="004D1A1B">
        <w:t>dot11MaxLostBeacons</w:t>
      </w:r>
      <w:r w:rsidRPr="009448FC">
        <w:t xml:space="preserve"> BIs following the most recently transmitted mmWave Beacon that contained the indication, except that the CBP is canceled by the transmission by the PCP/AP of an mmWave Beacon with the CBP only field of the mmWave Capability field set to zero or an Announce frame with an Extended Schedule </w:t>
      </w:r>
      <w:r w:rsidR="00877796" w:rsidRPr="009448FC">
        <w:t>element</w:t>
      </w:r>
      <w:r w:rsidRPr="009448FC">
        <w:t xml:space="preserve">. </w:t>
      </w:r>
    </w:p>
    <w:p w:rsidR="009D107C" w:rsidRPr="009448FC" w:rsidRDefault="009D107C" w:rsidP="00675F1A"/>
    <w:p w:rsidR="0073344E" w:rsidRPr="009448FC" w:rsidRDefault="0073344E" w:rsidP="00675F1A">
      <w:r w:rsidRPr="009448FC">
        <w:lastRenderedPageBreak/>
        <w:t xml:space="preserve">In no case shall a STA extend a transmission frame exchange sequence that started during a CBP beyond the end of that CBP. A STA that initiates a sequence shall ensure that the frame exchange sequence, including any control frame responses, completes before the end of the CBP. </w:t>
      </w:r>
    </w:p>
    <w:p w:rsidR="0073344E" w:rsidRPr="009448FC" w:rsidRDefault="0073344E" w:rsidP="00675F1A"/>
    <w:p w:rsidR="00675F1A" w:rsidRPr="009448FC" w:rsidRDefault="00675F1A" w:rsidP="009D107C">
      <w:r w:rsidRPr="009448FC">
        <w:t xml:space="preserve">Channel access during a CBP shall follow the rules described in </w:t>
      </w:r>
      <w:r w:rsidR="00BD151C">
        <w:fldChar w:fldCharType="begin"/>
      </w:r>
      <w:r w:rsidR="00DB742F">
        <w:instrText xml:space="preserve"> REF _Ref244147829 \r \h </w:instrText>
      </w:r>
      <w:r w:rsidR="00BD151C">
        <w:fldChar w:fldCharType="separate"/>
      </w:r>
      <w:r w:rsidR="003E4210">
        <w:t>9.23.5</w:t>
      </w:r>
      <w:r w:rsidR="00BD151C">
        <w:fldChar w:fldCharType="end"/>
      </w:r>
      <w:r w:rsidRPr="009448FC">
        <w:t>.</w:t>
      </w:r>
    </w:p>
    <w:p w:rsidR="00675F1A" w:rsidRPr="009448FC" w:rsidRDefault="00675F1A" w:rsidP="00675F1A">
      <w:pPr>
        <w:rPr>
          <w:b/>
        </w:rPr>
      </w:pPr>
    </w:p>
    <w:p w:rsidR="002209D4" w:rsidRPr="009448FC" w:rsidRDefault="00A4532A" w:rsidP="00B2663E">
      <w:pPr>
        <w:pStyle w:val="Heading4"/>
      </w:pPr>
      <w:bookmarkStart w:id="1318" w:name="_Toc213489909"/>
      <w:bookmarkStart w:id="1319" w:name="_Toc213492860"/>
      <w:bookmarkStart w:id="1320" w:name="_Toc214613075"/>
      <w:bookmarkStart w:id="1321" w:name="_Toc214805626"/>
      <w:bookmarkStart w:id="1322" w:name="_Ref244252374"/>
      <w:bookmarkStart w:id="1323" w:name="_Ref244252535"/>
      <w:bookmarkStart w:id="1324" w:name="_Ref244252607"/>
      <w:bookmarkStart w:id="1325" w:name="_Toc259717120"/>
      <w:bookmarkEnd w:id="1309"/>
      <w:bookmarkEnd w:id="1310"/>
      <w:bookmarkEnd w:id="1311"/>
      <w:bookmarkEnd w:id="1312"/>
      <w:bookmarkEnd w:id="1313"/>
      <w:bookmarkEnd w:id="1314"/>
      <w:bookmarkEnd w:id="1315"/>
      <w:bookmarkEnd w:id="1316"/>
      <w:bookmarkEnd w:id="1317"/>
      <w:bookmarkEnd w:id="1318"/>
      <w:bookmarkEnd w:id="1319"/>
      <w:bookmarkEnd w:id="1320"/>
      <w:bookmarkEnd w:id="1321"/>
      <w:r>
        <w:t>9.23.6</w:t>
      </w:r>
      <w:r w:rsidR="00B2663E">
        <w:t xml:space="preserve">.3 </w:t>
      </w:r>
      <w:r w:rsidR="002209D4" w:rsidRPr="009448FC">
        <w:t>Pseudo-static allocations</w:t>
      </w:r>
      <w:bookmarkEnd w:id="1322"/>
      <w:bookmarkEnd w:id="1323"/>
      <w:bookmarkEnd w:id="1324"/>
      <w:bookmarkEnd w:id="1325"/>
    </w:p>
    <w:p w:rsidR="00615669" w:rsidRPr="009448FC" w:rsidRDefault="00615669" w:rsidP="00615669">
      <w:pPr>
        <w:autoSpaceDE w:val="0"/>
        <w:autoSpaceDN w:val="0"/>
        <w:adjustRightInd w:val="0"/>
        <w:rPr>
          <w:rFonts w:eastAsia="MS Mincho"/>
        </w:rPr>
      </w:pPr>
      <w:r w:rsidRPr="009448FC">
        <w:rPr>
          <w:rFonts w:eastAsia="MS Mincho"/>
        </w:rPr>
        <w:t xml:space="preserve">An SP or CBP allocation is pseudo-static if the Pseudo-static field in the Allocation control field for the SP or CBP is set to one. A pseudo-static SP or CBP recurs at the same relative offset to TBTT and with the same duration in up to </w:t>
      </w:r>
      <w:r w:rsidR="004D1A1B">
        <w:rPr>
          <w:rFonts w:eastAsia="MS Mincho"/>
        </w:rPr>
        <w:t>dot11MaxLostBeacons</w:t>
      </w:r>
      <w:r w:rsidRPr="009448FC">
        <w:rPr>
          <w:rFonts w:eastAsia="MS Mincho"/>
        </w:rPr>
        <w:t xml:space="preserve"> BIs following the last received Extended Schedule </w:t>
      </w:r>
      <w:r w:rsidR="00877796" w:rsidRPr="009448FC">
        <w:rPr>
          <w:rFonts w:eastAsia="MS Mincho"/>
        </w:rPr>
        <w:t>element</w:t>
      </w:r>
      <w:r w:rsidRPr="009448FC">
        <w:rPr>
          <w:rFonts w:eastAsia="MS Mincho"/>
        </w:rPr>
        <w:t xml:space="preserve"> containing the pseudo-static allocation. A STA can fail to receive up to </w:t>
      </w:r>
      <w:r w:rsidR="004D1A1B">
        <w:rPr>
          <w:rFonts w:eastAsia="MS Mincho"/>
        </w:rPr>
        <w:t>dot11MaxLostBeacons</w:t>
      </w:r>
      <w:r w:rsidRPr="009448FC">
        <w:rPr>
          <w:rFonts w:eastAsia="MS Mincho"/>
        </w:rPr>
        <w:t xml:space="preserve"> -1 Extended Schedule </w:t>
      </w:r>
      <w:r w:rsidR="00877796" w:rsidRPr="009448FC">
        <w:rPr>
          <w:rFonts w:eastAsia="MS Mincho"/>
        </w:rPr>
        <w:t>element</w:t>
      </w:r>
      <w:r w:rsidRPr="009448FC">
        <w:rPr>
          <w:rFonts w:eastAsia="MS Mincho"/>
        </w:rPr>
        <w:t>s in consecutive BIs and still may access the channel during the pseudo-static SP or CBP. The STA shall cease transmission during a pseudo-static SP if it fails to receive a</w:t>
      </w:r>
      <w:r w:rsidR="00631CA9" w:rsidRPr="009448FC">
        <w:rPr>
          <w:rFonts w:eastAsia="MS Mincho"/>
        </w:rPr>
        <w:t>n</w:t>
      </w:r>
      <w:r w:rsidRPr="009448FC">
        <w:rPr>
          <w:rFonts w:eastAsia="MS Mincho"/>
        </w:rPr>
        <w:t xml:space="preserve"> Extended Schedule </w:t>
      </w:r>
      <w:r w:rsidR="00877796" w:rsidRPr="009448FC">
        <w:rPr>
          <w:rFonts w:eastAsia="MS Mincho"/>
        </w:rPr>
        <w:t>element</w:t>
      </w:r>
      <w:r w:rsidRPr="009448FC">
        <w:rPr>
          <w:rFonts w:eastAsia="MS Mincho"/>
        </w:rPr>
        <w:t xml:space="preserve"> for </w:t>
      </w:r>
      <w:r w:rsidR="004D1A1B">
        <w:rPr>
          <w:rFonts w:eastAsia="MS Mincho"/>
        </w:rPr>
        <w:t>dot11MaxLostBeacons</w:t>
      </w:r>
      <w:r w:rsidRPr="009448FC">
        <w:rPr>
          <w:rFonts w:eastAsia="MS Mincho"/>
        </w:rPr>
        <w:t xml:space="preserve"> consecutive BIs.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The PCP/AP may change the offset relative to TBTT or the duration of a pseudo-static allocation by transmitting a modified Allocation field in an Extended Schedule </w:t>
      </w:r>
      <w:r w:rsidR="00877796" w:rsidRPr="009448FC">
        <w:rPr>
          <w:rFonts w:eastAsia="MS Mincho"/>
        </w:rPr>
        <w:t>element</w:t>
      </w:r>
      <w:r w:rsidRPr="009448FC">
        <w:rPr>
          <w:rFonts w:eastAsia="MS Mincho"/>
        </w:rPr>
        <w:t xml:space="preserve"> before </w:t>
      </w:r>
      <w:r w:rsidR="004D1A1B">
        <w:rPr>
          <w:rFonts w:eastAsia="MS Mincho"/>
        </w:rPr>
        <w:t>dot11MaxLostBeacons</w:t>
      </w:r>
      <w:r w:rsidRPr="009448FC">
        <w:rPr>
          <w:rFonts w:eastAsia="MS Mincho"/>
        </w:rPr>
        <w:t xml:space="preserve"> BIs from the last transmitted Extended Schedule </w:t>
      </w:r>
      <w:r w:rsidR="00877796" w:rsidRPr="009448FC">
        <w:rPr>
          <w:rFonts w:eastAsia="MS Mincho"/>
        </w:rPr>
        <w:t>element</w:t>
      </w:r>
      <w:r w:rsidRPr="009448FC">
        <w:rPr>
          <w:rFonts w:eastAsia="MS Mincho"/>
        </w:rPr>
        <w:t xml:space="preserve">. The PCP/AP may delete a pseudo-static allocation by transmitting an Extended Schedule </w:t>
      </w:r>
      <w:r w:rsidR="00877796" w:rsidRPr="009448FC">
        <w:rPr>
          <w:rFonts w:eastAsia="MS Mincho"/>
        </w:rPr>
        <w:t>element</w:t>
      </w:r>
      <w:r w:rsidRPr="009448FC">
        <w:rPr>
          <w:rFonts w:eastAsia="MS Mincho"/>
        </w:rPr>
        <w:t xml:space="preserve"> that does not include an allocation field containing that allocation’s TID, source AID and destination AID before the completion of </w:t>
      </w:r>
      <w:r w:rsidR="004D1A1B">
        <w:rPr>
          <w:rFonts w:eastAsia="MS Mincho"/>
        </w:rPr>
        <w:t>dot11MaxLostBeacons</w:t>
      </w:r>
      <w:r w:rsidRPr="009448FC">
        <w:rPr>
          <w:rFonts w:eastAsia="MS Mincho"/>
        </w:rPr>
        <w:t xml:space="preserve"> BIs from the last transmitted Extended Schedule </w:t>
      </w:r>
      <w:r w:rsidR="00877796" w:rsidRPr="009448FC">
        <w:rPr>
          <w:rFonts w:eastAsia="MS Mincho"/>
        </w:rPr>
        <w:t>element</w:t>
      </w:r>
      <w:r w:rsidRPr="009448FC">
        <w:rPr>
          <w:rFonts w:eastAsia="MS Mincho"/>
        </w:rPr>
        <w:t xml:space="preserve">. In either case the PCP/AP should not schedule a new allocation that overlaps with the previous pseudo-static allocation for a minimum of </w:t>
      </w:r>
      <w:r w:rsidR="004D1A1B">
        <w:rPr>
          <w:rFonts w:eastAsia="MS Mincho"/>
        </w:rPr>
        <w:t>dot11MaxLostBeacons</w:t>
      </w:r>
      <w:r w:rsidRPr="009448FC">
        <w:rPr>
          <w:rFonts w:eastAsia="MS Mincho"/>
        </w:rPr>
        <w:t xml:space="preserve"> BIs unless both the new and previous allocation are for a CBP or the new allocation identifies the same source STA as the original pseudo-static allocation.</w:t>
      </w:r>
    </w:p>
    <w:p w:rsidR="00615669" w:rsidRDefault="00615669" w:rsidP="00615669">
      <w:pPr>
        <w:autoSpaceDE w:val="0"/>
        <w:autoSpaceDN w:val="0"/>
        <w:adjustRightInd w:val="0"/>
        <w:rPr>
          <w:rFonts w:eastAsia="MS Mincho"/>
        </w:rPr>
      </w:pPr>
    </w:p>
    <w:p w:rsidR="00223001" w:rsidRDefault="00223001" w:rsidP="00615669">
      <w:pPr>
        <w:autoSpaceDE w:val="0"/>
        <w:autoSpaceDN w:val="0"/>
        <w:adjustRightInd w:val="0"/>
        <w:rPr>
          <w:rFonts w:eastAsia="MS Mincho"/>
        </w:rPr>
      </w:pPr>
      <w:r w:rsidRPr="00223001">
        <w:rPr>
          <w:rFonts w:eastAsia="MS Mincho"/>
        </w:rPr>
        <w:t>To maintain the same position of the allocation with respect to the start of a BI, the value of the Allocation Block Period subfield within an Allocation field of the Extended Schedule element shall be set to be an integer multiple or submultiple of the BI duration.</w:t>
      </w:r>
      <w:r w:rsidR="00D11F2E">
        <w:rPr>
          <w:rFonts w:eastAsia="MS Mincho"/>
        </w:rPr>
        <w:t xml:space="preserve"> </w:t>
      </w:r>
    </w:p>
    <w:p w:rsidR="00223001" w:rsidRPr="009448FC" w:rsidRDefault="00223001" w:rsidP="00615669">
      <w:pPr>
        <w:autoSpaceDE w:val="0"/>
        <w:autoSpaceDN w:val="0"/>
        <w:adjustRightInd w:val="0"/>
        <w:rPr>
          <w:rFonts w:eastAsia="MS Mincho"/>
        </w:rPr>
      </w:pPr>
    </w:p>
    <w:p w:rsidR="00615669" w:rsidRPr="009448FC" w:rsidRDefault="00615669" w:rsidP="00B46FB3">
      <w:pPr>
        <w:rPr>
          <w:rFonts w:eastAsia="MS Mincho"/>
        </w:rPr>
      </w:pPr>
      <w:r w:rsidRPr="009448FC">
        <w:rPr>
          <w:rFonts w:eastAsia="MS Mincho"/>
        </w:rPr>
        <w:t xml:space="preserve">If the destination STA of a pseudo-static allocation receives an Extended Schedule </w:t>
      </w:r>
      <w:r w:rsidR="00877796" w:rsidRPr="009448FC">
        <w:rPr>
          <w:rFonts w:eastAsia="MS Mincho"/>
        </w:rPr>
        <w:t>element</w:t>
      </w:r>
      <w:r w:rsidRPr="009448FC">
        <w:rPr>
          <w:rFonts w:eastAsia="MS Mincho"/>
        </w:rPr>
        <w:t xml:space="preserve"> with an Allocation field that indicates a change in the schedule of the pseudo-static allocation, the STA </w:t>
      </w:r>
      <w:r w:rsidR="00EC4F86" w:rsidRPr="009448FC">
        <w:rPr>
          <w:rFonts w:eastAsia="MS Mincho"/>
        </w:rPr>
        <w:t>should</w:t>
      </w:r>
      <w:r w:rsidRPr="009448FC">
        <w:rPr>
          <w:rFonts w:eastAsia="MS Mincho"/>
        </w:rPr>
        <w:t xml:space="preserve"> enter receive </w:t>
      </w:r>
      <w:r w:rsidR="00B46FB3" w:rsidRPr="009448FC">
        <w:rPr>
          <w:rFonts w:eastAsia="MS Mincho"/>
        </w:rPr>
        <w:t xml:space="preserve">state </w:t>
      </w:r>
      <w:r w:rsidRPr="009448FC">
        <w:rPr>
          <w:rFonts w:eastAsia="MS Mincho"/>
        </w:rPr>
        <w:t xml:space="preserve">during the new pseudo-static allocation and may enter receive </w:t>
      </w:r>
      <w:r w:rsidR="00B46FB3" w:rsidRPr="009448FC">
        <w:rPr>
          <w:rFonts w:eastAsia="MS Mincho"/>
        </w:rPr>
        <w:t>state</w:t>
      </w:r>
      <w:r w:rsidRPr="009448FC">
        <w:rPr>
          <w:rFonts w:eastAsia="MS Mincho"/>
        </w:rPr>
        <w:t xml:space="preserve"> during the previous allocation.</w:t>
      </w:r>
      <w:r w:rsidR="00D11F2E">
        <w:rPr>
          <w:rFonts w:eastAsia="MS Mincho"/>
        </w:rPr>
        <w:t xml:space="preserve"> </w:t>
      </w:r>
    </w:p>
    <w:p w:rsidR="00675F1A" w:rsidRPr="009448FC" w:rsidRDefault="00675F1A" w:rsidP="00AA1BAF"/>
    <w:p w:rsidR="00F21323" w:rsidRPr="009448FC" w:rsidRDefault="00A4532A" w:rsidP="00B2663E">
      <w:pPr>
        <w:pStyle w:val="Heading4"/>
      </w:pPr>
      <w:bookmarkStart w:id="1326" w:name="_Ref244252297"/>
      <w:bookmarkStart w:id="1327" w:name="_Ref244252775"/>
      <w:bookmarkStart w:id="1328" w:name="_Toc259717121"/>
      <w:r>
        <w:t>9.23.6</w:t>
      </w:r>
      <w:r w:rsidR="00B2663E">
        <w:t xml:space="preserve">.4 </w:t>
      </w:r>
      <w:r w:rsidR="00F21323" w:rsidRPr="009448FC">
        <w:t>Guard time</w:t>
      </w:r>
      <w:bookmarkEnd w:id="1326"/>
      <w:bookmarkEnd w:id="1327"/>
      <w:bookmarkEnd w:id="1328"/>
    </w:p>
    <w:p w:rsidR="0069564A" w:rsidRPr="009448FC" w:rsidRDefault="0069564A" w:rsidP="007E7598">
      <w:r w:rsidRPr="009448FC">
        <w:t xml:space="preserve">An allocation (SP or CBP) is defined by its start time and duration as specified in the </w:t>
      </w:r>
      <w:r w:rsidR="00CC0839" w:rsidRPr="009448FC">
        <w:t>Extended</w:t>
      </w:r>
      <w:r w:rsidR="00281486" w:rsidRPr="009448FC">
        <w:t xml:space="preserve"> </w:t>
      </w:r>
      <w:r w:rsidRPr="009448FC">
        <w:t xml:space="preserve">Schedule </w:t>
      </w:r>
      <w:r w:rsidR="00877796" w:rsidRPr="009448FC">
        <w:t>element</w:t>
      </w:r>
      <w:r w:rsidRPr="009448FC">
        <w:t xml:space="preserve">. Guard time is the time between the end of one allocation and the start of the following allocation, provided these allocations are not under spatial </w:t>
      </w:r>
      <w:r w:rsidR="00B15064">
        <w:t>frequency sharing</w:t>
      </w:r>
      <w:r w:rsidRPr="009448FC">
        <w:t xml:space="preserve"> </w:t>
      </w:r>
      <w:r w:rsidR="007E7598" w:rsidRPr="009448FC">
        <w:t>(</w:t>
      </w:r>
      <w:r w:rsidR="00BD151C" w:rsidRPr="009448FC">
        <w:fldChar w:fldCharType="begin"/>
      </w:r>
      <w:r w:rsidR="007E7598" w:rsidRPr="009448FC">
        <w:instrText xml:space="preserve"> REF _Ref246666521 \n \h </w:instrText>
      </w:r>
      <w:r w:rsidR="00BD151C" w:rsidRPr="009448FC">
        <w:fldChar w:fldCharType="separate"/>
      </w:r>
      <w:r w:rsidR="003E4210">
        <w:t>11.33</w:t>
      </w:r>
      <w:r w:rsidR="00BD151C" w:rsidRPr="009448FC">
        <w:fldChar w:fldCharType="end"/>
      </w:r>
      <w:r w:rsidR="007E7598" w:rsidRPr="009448FC">
        <w:t>)</w:t>
      </w:r>
      <w:r w:rsidRPr="009448FC">
        <w:t xml:space="preserve">. Guard times are used to keep transmissions in adjacent allocations from colliding. </w:t>
      </w:r>
      <w:r w:rsidR="00BD151C" w:rsidRPr="009448FC">
        <w:fldChar w:fldCharType="begin"/>
      </w:r>
      <w:r w:rsidR="00357D0D" w:rsidRPr="009448FC">
        <w:instrText xml:space="preserve"> REF _Ref236394778 \h </w:instrText>
      </w:r>
      <w:r w:rsidR="00BD151C" w:rsidRPr="009448FC">
        <w:fldChar w:fldCharType="separate"/>
      </w:r>
      <w:r w:rsidR="003E4210" w:rsidRPr="00066F65">
        <w:t xml:space="preserve">Figure </w:t>
      </w:r>
      <w:r w:rsidR="003E4210">
        <w:rPr>
          <w:noProof/>
        </w:rPr>
        <w:t>84</w:t>
      </w:r>
      <w:r w:rsidR="00BD151C" w:rsidRPr="009448FC">
        <w:fldChar w:fldCharType="end"/>
      </w:r>
      <w:r w:rsidRPr="009448FC">
        <w:t xml:space="preserve"> shows an example of the insertion of the guard time such that the allocations are separated by at least the guard time, in case the STAs participating in the adjacent allocations drift towards each other’s allocation.</w:t>
      </w:r>
    </w:p>
    <w:p w:rsidR="0069564A" w:rsidRPr="009448FC" w:rsidRDefault="0069564A" w:rsidP="0069564A"/>
    <w:p w:rsidR="0069564A" w:rsidRPr="009448FC" w:rsidRDefault="0069564A" w:rsidP="0069564A">
      <w:pPr>
        <w:jc w:val="center"/>
      </w:pPr>
      <w:r w:rsidRPr="009448FC">
        <w:object w:dxaOrig="7992" w:dyaOrig="3636">
          <v:shape id="_x0000_i1048" type="#_x0000_t75" style="width:398.95pt;height:177.95pt" o:ole="">
            <v:imagedata r:id="rId143" o:title=""/>
          </v:shape>
          <o:OLEObject Type="Embed" ProgID="Visio.Drawing.11" ShapeID="_x0000_i1048" DrawAspect="Content" ObjectID="_1334048230" r:id="rId144"/>
        </w:object>
      </w:r>
    </w:p>
    <w:p w:rsidR="0069564A" w:rsidRPr="00066F65" w:rsidRDefault="004C1A97" w:rsidP="00BA5BC4">
      <w:pPr>
        <w:pStyle w:val="Caption"/>
      </w:pPr>
      <w:bookmarkStart w:id="1329" w:name="_Ref236394778"/>
      <w:bookmarkStart w:id="1330" w:name="_Toc259717516"/>
      <w:r w:rsidRPr="00066F65">
        <w:t xml:space="preserve">Figure </w:t>
      </w:r>
      <w:r w:rsidR="00BD151C">
        <w:fldChar w:fldCharType="begin"/>
      </w:r>
      <w:r w:rsidR="00801316">
        <w:instrText xml:space="preserve"> SEQ Figure \* ARABIC </w:instrText>
      </w:r>
      <w:r w:rsidR="00BD151C">
        <w:fldChar w:fldCharType="separate"/>
      </w:r>
      <w:r w:rsidR="003E4210">
        <w:rPr>
          <w:noProof/>
        </w:rPr>
        <w:t>84</w:t>
      </w:r>
      <w:r w:rsidR="00BD151C">
        <w:fldChar w:fldCharType="end"/>
      </w:r>
      <w:bookmarkEnd w:id="1329"/>
      <w:r w:rsidR="00A8083F" w:rsidRPr="00066F65">
        <w:t xml:space="preserve"> </w:t>
      </w:r>
      <w:r w:rsidR="0069564A" w:rsidRPr="00066F65">
        <w:t>– The guard time</w:t>
      </w:r>
      <w:bookmarkEnd w:id="1330"/>
    </w:p>
    <w:p w:rsidR="0069564A" w:rsidRPr="009448FC" w:rsidRDefault="0069564A" w:rsidP="0069564A"/>
    <w:p w:rsidR="0069564A" w:rsidRPr="009448FC" w:rsidRDefault="0069564A" w:rsidP="0069564A">
      <w:r w:rsidRPr="009448FC">
        <w:t>The PCP</w:t>
      </w:r>
      <w:r w:rsidR="00CC0839" w:rsidRPr="009448FC">
        <w:t>/AP</w:t>
      </w:r>
      <w:r w:rsidR="00281486" w:rsidRPr="009448FC">
        <w:t xml:space="preserve"> </w:t>
      </w:r>
      <w:r w:rsidRPr="009448FC">
        <w:t>insert</w:t>
      </w:r>
      <w:r w:rsidR="0073344E" w:rsidRPr="009448FC">
        <w:t>s</w:t>
      </w:r>
      <w:r w:rsidR="00281486" w:rsidRPr="009448FC">
        <w:t xml:space="preserve"> </w:t>
      </w:r>
      <w:r w:rsidRPr="009448FC">
        <w:t>guard time when it constructs the schedule for a BI. The PCP</w:t>
      </w:r>
      <w:r w:rsidR="00CC0839" w:rsidRPr="009448FC">
        <w:t>/AP</w:t>
      </w:r>
      <w:r w:rsidRPr="009448FC">
        <w:t xml:space="preserve"> shall insert sufficient guard time between adjacent allocations to ensure that transmissions in adjacent allocations do not overlap in time.</w:t>
      </w:r>
    </w:p>
    <w:p w:rsidR="0069564A" w:rsidRPr="009448FC" w:rsidRDefault="0069564A" w:rsidP="0069564A"/>
    <w:p w:rsidR="0069564A" w:rsidRPr="009448FC" w:rsidRDefault="0069564A" w:rsidP="0069564A">
      <w:r w:rsidRPr="009448FC">
        <w:t xml:space="preserve">For each of the adjacent allocations, guard times are calculated based on the worst case drift and the maximum allowed number of lost </w:t>
      </w:r>
      <w:r w:rsidR="00CC0839" w:rsidRPr="009448FC">
        <w:t xml:space="preserve">mmWave </w:t>
      </w:r>
      <w:r w:rsidRPr="009448FC">
        <w:t>Beacons. The PCP</w:t>
      </w:r>
      <w:r w:rsidR="00CC0839" w:rsidRPr="009448FC">
        <w:t xml:space="preserve">/AP </w:t>
      </w:r>
      <w:r w:rsidRPr="009448FC">
        <w:t>shall insert a guard time between adjacent allocations that is not shorter than:</w:t>
      </w:r>
    </w:p>
    <w:p w:rsidR="0069564A" w:rsidRPr="009448FC" w:rsidRDefault="0069564A" w:rsidP="0069564A"/>
    <w:p w:rsidR="0069564A" w:rsidRPr="009448FC" w:rsidRDefault="0069564A" w:rsidP="00B46FB3">
      <w:r w:rsidRPr="009448FC">
        <w:rPr>
          <w:i/>
        </w:rPr>
        <w:t>GuardTime</w:t>
      </w:r>
      <w:r w:rsidRPr="009448FC">
        <w:t xml:space="preserve"> = ceiling((</w:t>
      </w:r>
      <w:r w:rsidR="0073344E" w:rsidRPr="009448FC">
        <w:t>MLB</w:t>
      </w:r>
      <w:r w:rsidR="0073344E" w:rsidRPr="009448FC">
        <w:rPr>
          <w:vertAlign w:val="subscript"/>
        </w:rPr>
        <w:t>Allocation</w:t>
      </w:r>
      <w:r w:rsidRPr="009448FC">
        <w:rPr>
          <w:vertAlign w:val="subscript"/>
        </w:rPr>
        <w:t>_</w:t>
      </w:r>
      <w:r w:rsidR="00773A02" w:rsidRPr="009448FC">
        <w:rPr>
          <w:vertAlign w:val="subscript"/>
        </w:rPr>
        <w:t>i</w:t>
      </w:r>
      <w:r w:rsidR="00773A02" w:rsidRPr="009448FC">
        <w:t xml:space="preserve"> </w:t>
      </w:r>
      <w:r w:rsidRPr="009448FC">
        <w:t xml:space="preserve">+ </w:t>
      </w:r>
      <w:r w:rsidR="0073344E" w:rsidRPr="009448FC">
        <w:t>MLB</w:t>
      </w:r>
      <w:r w:rsidR="0073344E" w:rsidRPr="009448FC">
        <w:rPr>
          <w:vertAlign w:val="subscript"/>
        </w:rPr>
        <w:t>Allocation</w:t>
      </w:r>
      <w:r w:rsidRPr="009448FC">
        <w:rPr>
          <w:vertAlign w:val="subscript"/>
        </w:rPr>
        <w:t>_</w:t>
      </w:r>
      <w:r w:rsidR="00773A02" w:rsidRPr="009448FC">
        <w:rPr>
          <w:vertAlign w:val="subscript"/>
        </w:rPr>
        <w:t>i</w:t>
      </w:r>
      <w:r w:rsidRPr="009448FC">
        <w:rPr>
          <w:vertAlign w:val="subscript"/>
        </w:rPr>
        <w:t>+1</w:t>
      </w:r>
      <w:r w:rsidRPr="009448FC">
        <w:t xml:space="preserve"> + 2) * ([Clock</w:t>
      </w:r>
      <w:r w:rsidR="00773A02" w:rsidRPr="009448FC">
        <w:t>A</w:t>
      </w:r>
      <w:r w:rsidRPr="009448FC">
        <w:t xml:space="preserve">ccuracy (ppm) / 1e6] * </w:t>
      </w:r>
      <w:r w:rsidR="00773A02" w:rsidRPr="009448FC">
        <w:t>DriftInterval</w:t>
      </w:r>
      <w:r w:rsidRPr="009448FC">
        <w:t xml:space="preserve">) + SIFS + </w:t>
      </w:r>
      <w:r w:rsidR="00B46FB3" w:rsidRPr="009448FC">
        <w:t>aAirPropagationTime</w:t>
      </w:r>
      <w:r w:rsidRPr="009448FC">
        <w:t>, aTSFResolution)</w:t>
      </w:r>
    </w:p>
    <w:p w:rsidR="0069564A" w:rsidRPr="009448FC" w:rsidRDefault="0069564A" w:rsidP="0069564A"/>
    <w:p w:rsidR="0069564A" w:rsidRPr="009448FC" w:rsidRDefault="0073344E" w:rsidP="00360F71">
      <w:r w:rsidRPr="009448FC">
        <w:t>The value of MLB</w:t>
      </w:r>
      <w:r w:rsidR="00773A02" w:rsidRPr="009448FC">
        <w:rPr>
          <w:vertAlign w:val="subscript"/>
        </w:rPr>
        <w:t>Allocation_i</w:t>
      </w:r>
      <w:r w:rsidRPr="009448FC">
        <w:t xml:space="preserve"> </w:t>
      </w:r>
      <w:r w:rsidR="0069564A" w:rsidRPr="009448FC">
        <w:t xml:space="preserve">for each allocation depends on whether the allocation is pseudo-static or not. </w:t>
      </w:r>
      <w:r w:rsidRPr="009448FC">
        <w:t>MLB</w:t>
      </w:r>
      <w:r w:rsidR="00773A02" w:rsidRPr="009448FC">
        <w:rPr>
          <w:vertAlign w:val="subscript"/>
        </w:rPr>
        <w:t>Allocation_i</w:t>
      </w:r>
      <w:r w:rsidR="0069564A" w:rsidRPr="009448FC">
        <w:t xml:space="preserve"> is zero for a non pseudo-static allocation and is equal to </w:t>
      </w:r>
      <w:r w:rsidR="004D1A1B">
        <w:t>dot11MaxLostBeacons</w:t>
      </w:r>
      <w:r w:rsidR="0069564A" w:rsidRPr="009448FC">
        <w:t xml:space="preserve"> if the allocation is pseudo-static. Clock</w:t>
      </w:r>
      <w:r w:rsidR="00773A02" w:rsidRPr="009448FC">
        <w:t>A</w:t>
      </w:r>
      <w:r w:rsidR="0069564A" w:rsidRPr="009448FC">
        <w:t xml:space="preserve">ccuracy is </w:t>
      </w:r>
      <w:r w:rsidR="00773A02" w:rsidRPr="009448FC">
        <w:t>equal to aClockAccuracy</w:t>
      </w:r>
      <w:r w:rsidR="0069564A" w:rsidRPr="009448FC">
        <w:t xml:space="preserve"> and </w:t>
      </w:r>
      <w:r w:rsidR="00773A02" w:rsidRPr="009448FC">
        <w:t>DriftInterval</w:t>
      </w:r>
      <w:r w:rsidR="00281486" w:rsidRPr="009448FC">
        <w:t xml:space="preserve"> </w:t>
      </w:r>
      <w:r w:rsidR="0069564A" w:rsidRPr="009448FC">
        <w:t xml:space="preserve">is the time elapsed since a synchronizing reference event. The synchronizing event is the reception of the Timestamp field from the AP/PCP. The parameter </w:t>
      </w:r>
      <w:r w:rsidR="00B46FB3" w:rsidRPr="009448FC">
        <w:t>aAirPropagationTime</w:t>
      </w:r>
      <w:r w:rsidR="0069564A" w:rsidRPr="009448FC">
        <w:t xml:space="preserve"> accounts for the propagation delay between the STAs participating in the adjacent allocations. The parameter aTSFResolution is the resolution of the TSF timer (</w:t>
      </w:r>
      <w:r w:rsidR="00BD151C" w:rsidRPr="009448FC">
        <w:fldChar w:fldCharType="begin"/>
      </w:r>
      <w:r w:rsidR="00360F71" w:rsidRPr="009448FC">
        <w:instrText xml:space="preserve"> REF _Ref243201411 \n \h </w:instrText>
      </w:r>
      <w:r w:rsidR="00BD151C" w:rsidRPr="009448FC">
        <w:fldChar w:fldCharType="separate"/>
      </w:r>
      <w:r w:rsidR="003E4210">
        <w:t>11.36</w:t>
      </w:r>
      <w:r w:rsidR="00BD151C" w:rsidRPr="009448FC">
        <w:fldChar w:fldCharType="end"/>
      </w:r>
      <w:r w:rsidR="0069564A" w:rsidRPr="009448FC">
        <w:t>). The function ceiling(x, y) shall return the value x rounded up, away from zero, to the nearest multiple of y.</w:t>
      </w:r>
    </w:p>
    <w:p w:rsidR="0069564A" w:rsidRPr="009448FC" w:rsidRDefault="0069564A" w:rsidP="0069564A"/>
    <w:p w:rsidR="009A367D" w:rsidRPr="009448FC" w:rsidRDefault="001E3FA5" w:rsidP="00B2663E">
      <w:pPr>
        <w:pStyle w:val="Heading4"/>
      </w:pPr>
      <w:bookmarkStart w:id="1331" w:name="_Ref244252698"/>
      <w:bookmarkStart w:id="1332" w:name="_Toc259717122"/>
      <w:r>
        <w:t>9.23.6</w:t>
      </w:r>
      <w:r w:rsidR="00B2663E">
        <w:t xml:space="preserve">.5 </w:t>
      </w:r>
      <w:r w:rsidR="009A367D" w:rsidRPr="009448FC">
        <w:t>mmWave Protected Period</w:t>
      </w:r>
      <w:bookmarkEnd w:id="1331"/>
      <w:bookmarkEnd w:id="1332"/>
    </w:p>
    <w:p w:rsidR="00B64377" w:rsidRPr="009448FC" w:rsidRDefault="00B64377" w:rsidP="00426FFC">
      <w:pPr>
        <w:autoSpaceDE w:val="0"/>
        <w:autoSpaceDN w:val="0"/>
        <w:adjustRightInd w:val="0"/>
        <w:rPr>
          <w:rFonts w:eastAsia="MS Mincho"/>
        </w:rPr>
      </w:pPr>
      <w:r w:rsidRPr="009448FC">
        <w:rPr>
          <w:rFonts w:eastAsia="MS Mincho"/>
        </w:rPr>
        <w:t>Communicating STA pairs of neighboring PBSS</w:t>
      </w:r>
      <w:r w:rsidR="00DE5204" w:rsidRPr="009448FC">
        <w:rPr>
          <w:rFonts w:eastAsia="MS Mincho"/>
        </w:rPr>
        <w:t>/</w:t>
      </w:r>
      <w:r w:rsidR="00030887" w:rsidRPr="009448FC">
        <w:t xml:space="preserve">infrastructure </w:t>
      </w:r>
      <w:r w:rsidR="00DE5204" w:rsidRPr="009448FC">
        <w:rPr>
          <w:rFonts w:eastAsia="MS Mincho"/>
        </w:rPr>
        <w:t>BSS</w:t>
      </w:r>
      <w:r w:rsidRPr="009448FC">
        <w:rPr>
          <w:rFonts w:eastAsia="MS Mincho"/>
        </w:rPr>
        <w:t xml:space="preserve"> might be granted SPs that potentially create interference for neighbor PBSS</w:t>
      </w:r>
      <w:r w:rsidR="00AA32C4" w:rsidRPr="009448FC">
        <w:rPr>
          <w:rFonts w:eastAsia="MS Mincho"/>
        </w:rPr>
        <w:t>/infrastructure BSS</w:t>
      </w:r>
      <w:r w:rsidRPr="009448FC">
        <w:rPr>
          <w:rFonts w:eastAsia="MS Mincho"/>
        </w:rPr>
        <w:t xml:space="preserve"> STA pairs. SPs within a PBSS</w:t>
      </w:r>
      <w:r w:rsidR="00DE5204" w:rsidRPr="009448FC">
        <w:rPr>
          <w:rFonts w:eastAsia="MS Mincho"/>
        </w:rPr>
        <w:t>/</w:t>
      </w:r>
      <w:r w:rsidR="00030887" w:rsidRPr="009448FC">
        <w:t xml:space="preserve">infrastructure </w:t>
      </w:r>
      <w:r w:rsidR="00DE5204" w:rsidRPr="009448FC">
        <w:rPr>
          <w:rFonts w:eastAsia="MS Mincho"/>
        </w:rPr>
        <w:t>BSS</w:t>
      </w:r>
      <w:r w:rsidRPr="009448FC">
        <w:rPr>
          <w:rFonts w:eastAsia="MS Mincho"/>
        </w:rPr>
        <w:t xml:space="preserve"> can also </w:t>
      </w:r>
      <w:r w:rsidR="00AA32C4" w:rsidRPr="009448FC">
        <w:rPr>
          <w:rFonts w:eastAsia="MS Mincho"/>
        </w:rPr>
        <w:t>experience</w:t>
      </w:r>
      <w:r w:rsidR="00281486" w:rsidRPr="009448FC">
        <w:rPr>
          <w:rFonts w:eastAsia="MS Mincho"/>
        </w:rPr>
        <w:t xml:space="preserve"> </w:t>
      </w:r>
      <w:r w:rsidRPr="009448FC">
        <w:rPr>
          <w:rFonts w:eastAsia="MS Mincho"/>
        </w:rPr>
        <w:t xml:space="preserve">such interference when spatial diversity conditions change. The intent of mmWave </w:t>
      </w:r>
      <w:r w:rsidR="00426FFC" w:rsidRPr="009448FC">
        <w:rPr>
          <w:rFonts w:eastAsia="MS Mincho"/>
        </w:rPr>
        <w:t>Protected Period</w:t>
      </w:r>
      <w:r w:rsidR="00281486" w:rsidRPr="009448FC">
        <w:rPr>
          <w:rFonts w:eastAsia="MS Mincho"/>
        </w:rPr>
        <w:t xml:space="preserve"> </w:t>
      </w:r>
      <w:r w:rsidRPr="009448FC">
        <w:rPr>
          <w:rFonts w:eastAsia="MS Mincho"/>
        </w:rPr>
        <w:t xml:space="preserve">is to minimize such interference by allowing any pair of STAs to protect their SP and thereby limit the transmission of frames during the </w:t>
      </w:r>
      <w:r w:rsidR="00397C10" w:rsidRPr="009448FC">
        <w:rPr>
          <w:rFonts w:eastAsia="MS Mincho"/>
        </w:rPr>
        <w:t>mmWave</w:t>
      </w:r>
      <w:r w:rsidR="00EE1100" w:rsidRPr="009448FC">
        <w:rPr>
          <w:rFonts w:eastAsia="MS Mincho"/>
        </w:rPr>
        <w:t xml:space="preserve"> </w:t>
      </w:r>
      <w:r w:rsidRPr="009448FC">
        <w:rPr>
          <w:rFonts w:eastAsia="MS Mincho"/>
        </w:rPr>
        <w:t>Protected period to not more than one pair of a set of potentially interfering pairs of communicating stations.</w:t>
      </w:r>
    </w:p>
    <w:p w:rsidR="00B64377" w:rsidRPr="009448FC" w:rsidRDefault="00B64377" w:rsidP="00B64377">
      <w:pPr>
        <w:autoSpaceDE w:val="0"/>
        <w:autoSpaceDN w:val="0"/>
        <w:adjustRightInd w:val="0"/>
        <w:rPr>
          <w:rFonts w:eastAsia="MS Mincho"/>
        </w:rPr>
      </w:pPr>
    </w:p>
    <w:p w:rsidR="00B64377" w:rsidRPr="009448FC" w:rsidRDefault="00B64377" w:rsidP="00426FFC">
      <w:pPr>
        <w:autoSpaceDE w:val="0"/>
        <w:autoSpaceDN w:val="0"/>
        <w:adjustRightInd w:val="0"/>
        <w:rPr>
          <w:rFonts w:eastAsia="MS Mincho"/>
        </w:rPr>
      </w:pPr>
      <w:r w:rsidRPr="009448FC">
        <w:rPr>
          <w:rFonts w:eastAsia="MS Mincho"/>
        </w:rPr>
        <w:lastRenderedPageBreak/>
        <w:t xml:space="preserve">A </w:t>
      </w:r>
      <w:r w:rsidR="00397C10" w:rsidRPr="009448FC">
        <w:rPr>
          <w:rFonts w:eastAsia="MS Mincho"/>
        </w:rPr>
        <w:t>mmWave</w:t>
      </w:r>
      <w:r w:rsidR="00EE1100" w:rsidRPr="009448FC">
        <w:rPr>
          <w:rFonts w:eastAsia="MS Mincho"/>
        </w:rPr>
        <w:t xml:space="preserve"> </w:t>
      </w:r>
      <w:r w:rsidRPr="009448FC">
        <w:rPr>
          <w:rFonts w:eastAsia="MS Mincho"/>
        </w:rPr>
        <w:t xml:space="preserve">Protected </w:t>
      </w:r>
      <w:r w:rsidR="00426FFC" w:rsidRPr="009448FC">
        <w:rPr>
          <w:rFonts w:eastAsia="MS Mincho"/>
        </w:rPr>
        <w:t xml:space="preserve">Period </w:t>
      </w:r>
      <w:r w:rsidRPr="009448FC">
        <w:rPr>
          <w:rFonts w:eastAsia="MS Mincho"/>
        </w:rPr>
        <w:t>can be created by the source STA during an SP</w:t>
      </w:r>
      <w:r w:rsidR="00655EA4" w:rsidRPr="009448FC">
        <w:rPr>
          <w:rFonts w:eastAsia="MS Mincho"/>
        </w:rPr>
        <w:t>.</w:t>
      </w:r>
      <w:r w:rsidRPr="009448FC">
        <w:rPr>
          <w:rFonts w:eastAsia="MS Mincho"/>
        </w:rPr>
        <w:t xml:space="preserve"> Both the source and destination STAs of an SP are owners of the </w:t>
      </w:r>
      <w:r w:rsidR="00397C10" w:rsidRPr="009448FC">
        <w:rPr>
          <w:rFonts w:eastAsia="MS Mincho"/>
        </w:rPr>
        <w:t>mmWave</w:t>
      </w:r>
      <w:r w:rsidR="00EE1100" w:rsidRPr="009448FC">
        <w:rPr>
          <w:rFonts w:eastAsia="MS Mincho"/>
        </w:rPr>
        <w:t xml:space="preserve"> </w:t>
      </w:r>
      <w:r w:rsidRPr="009448FC">
        <w:rPr>
          <w:rFonts w:eastAsia="MS Mincho"/>
        </w:rPr>
        <w:t xml:space="preserve">Protected </w:t>
      </w:r>
      <w:r w:rsidR="00426FFC" w:rsidRPr="009448FC">
        <w:rPr>
          <w:rFonts w:eastAsia="MS Mincho"/>
        </w:rPr>
        <w:t>Period</w:t>
      </w:r>
      <w:r w:rsidRPr="009448FC">
        <w:rPr>
          <w:rFonts w:eastAsia="MS Mincho"/>
        </w:rPr>
        <w:t xml:space="preserve">. During any </w:t>
      </w:r>
      <w:r w:rsidR="00397C10" w:rsidRPr="009448FC">
        <w:rPr>
          <w:rFonts w:eastAsia="MS Mincho"/>
        </w:rPr>
        <w:t>mmWave</w:t>
      </w:r>
      <w:r w:rsidR="00EE1100" w:rsidRPr="009448FC">
        <w:rPr>
          <w:rFonts w:eastAsia="MS Mincho"/>
        </w:rPr>
        <w:t xml:space="preserve"> </w:t>
      </w:r>
      <w:r w:rsidRPr="009448FC">
        <w:rPr>
          <w:rFonts w:eastAsia="MS Mincho"/>
        </w:rPr>
        <w:t xml:space="preserve">Protected </w:t>
      </w:r>
      <w:r w:rsidR="00426FFC" w:rsidRPr="009448FC">
        <w:rPr>
          <w:rFonts w:eastAsia="MS Mincho"/>
        </w:rPr>
        <w:t>Period</w:t>
      </w:r>
      <w:r w:rsidRPr="009448FC">
        <w:rPr>
          <w:rFonts w:eastAsia="MS Mincho"/>
        </w:rPr>
        <w:t>, both stations can receive frames from the other participant.</w:t>
      </w:r>
    </w:p>
    <w:p w:rsidR="00B64377" w:rsidRPr="009448FC" w:rsidRDefault="00B64377" w:rsidP="00B64377">
      <w:pPr>
        <w:autoSpaceDE w:val="0"/>
        <w:autoSpaceDN w:val="0"/>
        <w:adjustRightInd w:val="0"/>
        <w:rPr>
          <w:rFonts w:eastAsia="MS Mincho"/>
        </w:rPr>
      </w:pPr>
    </w:p>
    <w:p w:rsidR="00B64377" w:rsidRPr="009448FC" w:rsidRDefault="00397C10" w:rsidP="00E41D08">
      <w:pPr>
        <w:autoSpaceDE w:val="0"/>
        <w:autoSpaceDN w:val="0"/>
        <w:adjustRightInd w:val="0"/>
        <w:rPr>
          <w:rFonts w:eastAsia="MS Mincho"/>
        </w:rPr>
      </w:pPr>
      <w:r w:rsidRPr="009448FC">
        <w:rPr>
          <w:rFonts w:eastAsia="MS Mincho"/>
        </w:rPr>
        <w:t>A mmWave</w:t>
      </w:r>
      <w:r w:rsidR="00EE1100" w:rsidRPr="009448FC">
        <w:rPr>
          <w:rFonts w:eastAsia="MS Mincho"/>
        </w:rPr>
        <w:t xml:space="preserve"> </w:t>
      </w:r>
      <w:r w:rsidR="00426FFC" w:rsidRPr="009448FC">
        <w:rPr>
          <w:rFonts w:eastAsia="MS Mincho"/>
        </w:rPr>
        <w:t>Protected Period</w:t>
      </w:r>
      <w:r w:rsidR="00281486" w:rsidRPr="009448FC">
        <w:rPr>
          <w:rFonts w:eastAsia="MS Mincho"/>
        </w:rPr>
        <w:t xml:space="preserve"> </w:t>
      </w:r>
      <w:r w:rsidR="00B64377" w:rsidRPr="009448FC">
        <w:rPr>
          <w:rFonts w:eastAsia="MS Mincho"/>
        </w:rPr>
        <w:t>is established through an RTS/</w:t>
      </w:r>
      <w:r w:rsidR="005B4FC2" w:rsidRPr="009448FC">
        <w:rPr>
          <w:rFonts w:eastAsia="MS Mincho"/>
        </w:rPr>
        <w:t>mmWaveCTS</w:t>
      </w:r>
      <w:r w:rsidR="00281486" w:rsidRPr="009448FC">
        <w:rPr>
          <w:rFonts w:eastAsia="MS Mincho"/>
        </w:rPr>
        <w:t xml:space="preserve"> </w:t>
      </w:r>
      <w:r w:rsidR="00B64377" w:rsidRPr="009448FC">
        <w:rPr>
          <w:rFonts w:eastAsia="MS Mincho"/>
        </w:rPr>
        <w:t xml:space="preserve">handshake. To create a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Period</w:t>
      </w:r>
      <w:r w:rsidR="00B64377" w:rsidRPr="009448FC">
        <w:rPr>
          <w:rFonts w:eastAsia="MS Mincho"/>
        </w:rPr>
        <w:t xml:space="preserve">, the </w:t>
      </w:r>
      <w:r w:rsidR="00E41D08" w:rsidRPr="009448FC">
        <w:rPr>
          <w:rFonts w:eastAsia="MS Mincho"/>
        </w:rPr>
        <w:t xml:space="preserve">source </w:t>
      </w:r>
      <w:r w:rsidR="00B64377" w:rsidRPr="009448FC">
        <w:rPr>
          <w:rFonts w:eastAsia="MS Mincho"/>
        </w:rPr>
        <w:t xml:space="preserve">STA of an SP sends an RTS and the recipient STA responds with a mmWaveCTS. If the recipient STA responds with a mmWaveCTS, then a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Period</w:t>
      </w:r>
      <w:r w:rsidR="00281486" w:rsidRPr="009448FC">
        <w:rPr>
          <w:rFonts w:eastAsia="MS Mincho"/>
        </w:rPr>
        <w:t xml:space="preserve"> </w:t>
      </w:r>
      <w:r w:rsidR="00B64377" w:rsidRPr="009448FC">
        <w:rPr>
          <w:rFonts w:eastAsia="MS Mincho"/>
        </w:rPr>
        <w:t xml:space="preserve">is established, otherwise, no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 xml:space="preserve">Period </w:t>
      </w:r>
      <w:r w:rsidR="00B64377" w:rsidRPr="009448FC">
        <w:rPr>
          <w:rFonts w:eastAsia="MS Mincho"/>
        </w:rPr>
        <w:t xml:space="preserve">has been established. In all cases of mmWave Protected </w:t>
      </w:r>
      <w:r w:rsidR="00426FFC" w:rsidRPr="009448FC">
        <w:rPr>
          <w:rFonts w:eastAsia="MS Mincho"/>
        </w:rPr>
        <w:t xml:space="preserve">Period </w:t>
      </w:r>
      <w:r w:rsidR="00B64377" w:rsidRPr="009448FC">
        <w:rPr>
          <w:rFonts w:eastAsia="MS Mincho"/>
        </w:rPr>
        <w:t xml:space="preserve">establishment, the same antenna configurations that are used by the STAs that establish the mmWave Protected </w:t>
      </w:r>
      <w:r w:rsidR="00426FFC" w:rsidRPr="009448FC">
        <w:rPr>
          <w:rFonts w:eastAsia="MS Mincho"/>
        </w:rPr>
        <w:t xml:space="preserve">Period </w:t>
      </w:r>
      <w:r w:rsidR="00B64377" w:rsidRPr="009448FC">
        <w:rPr>
          <w:rFonts w:eastAsia="MS Mincho"/>
        </w:rPr>
        <w:t xml:space="preserve">are used for the exchange of frames during the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Period</w:t>
      </w:r>
      <w:r w:rsidR="00B64377" w:rsidRPr="009448FC">
        <w:rPr>
          <w:rFonts w:eastAsia="MS Mincho"/>
        </w:rPr>
        <w:t>.</w:t>
      </w:r>
    </w:p>
    <w:p w:rsidR="008C36FC" w:rsidRPr="009448FC" w:rsidRDefault="00BE5866" w:rsidP="003B4066">
      <w:pPr>
        <w:rPr>
          <w:rFonts w:eastAsia="MS Mincho"/>
        </w:rPr>
      </w:pPr>
      <w:r>
        <w:rPr>
          <w:rFonts w:eastAsia="MS Mincho"/>
        </w:rPr>
        <w:t xml:space="preserve"> </w:t>
      </w:r>
    </w:p>
    <w:p w:rsidR="008C36FC" w:rsidRPr="00103270" w:rsidRDefault="00B6107D" w:rsidP="00B2663E">
      <w:pPr>
        <w:pStyle w:val="Heading5"/>
      </w:pPr>
      <w:bookmarkStart w:id="1333" w:name="_Toc235400321"/>
      <w:bookmarkStart w:id="1334" w:name="_Ref251937843"/>
      <w:bookmarkStart w:id="1335" w:name="_Toc259717123"/>
      <w:r>
        <w:t>9.23.6</w:t>
      </w:r>
      <w:r w:rsidR="00B2663E">
        <w:t xml:space="preserve">.5.1 </w:t>
      </w:r>
      <w:r w:rsidR="00591CEA" w:rsidRPr="009448FC">
        <w:t xml:space="preserve">mmWave </w:t>
      </w:r>
      <w:r w:rsidR="00426FFC" w:rsidRPr="009448FC">
        <w:t>Protected</w:t>
      </w:r>
      <w:r w:rsidR="00281486" w:rsidRPr="009448FC">
        <w:t xml:space="preserve"> </w:t>
      </w:r>
      <w:r w:rsidR="00591CEA" w:rsidRPr="009448FC">
        <w:t xml:space="preserve">Period </w:t>
      </w:r>
      <w:r w:rsidR="002707D0" w:rsidRPr="009448FC">
        <w:t>establishment and maintenance</w:t>
      </w:r>
      <w:bookmarkEnd w:id="1333"/>
      <w:bookmarkEnd w:id="1334"/>
      <w:bookmarkEnd w:id="1335"/>
    </w:p>
    <w:p w:rsidR="00591CEA" w:rsidRPr="009448FC" w:rsidRDefault="003B4066" w:rsidP="00426FFC">
      <w:pPr>
        <w:autoSpaceDE w:val="0"/>
        <w:autoSpaceDN w:val="0"/>
        <w:adjustRightInd w:val="0"/>
        <w:rPr>
          <w:rFonts w:eastAsia="MS Mincho"/>
        </w:rPr>
      </w:pPr>
      <w:r w:rsidRPr="009448FC">
        <w:rPr>
          <w:rFonts w:eastAsia="MS Mincho"/>
        </w:rPr>
        <w:t>A</w:t>
      </w:r>
      <w:r>
        <w:rPr>
          <w:rFonts w:eastAsia="MS Mincho"/>
        </w:rPr>
        <w:t>n</w:t>
      </w:r>
      <w:r w:rsidRPr="009448FC">
        <w:rPr>
          <w:rFonts w:eastAsia="MS Mincho"/>
        </w:rPr>
        <w:t xml:space="preserve"> </w:t>
      </w:r>
      <w:r>
        <w:rPr>
          <w:rFonts w:eastAsia="MS Mincho"/>
        </w:rPr>
        <w:t>m</w:t>
      </w:r>
      <w:r w:rsidRPr="009448FC">
        <w:rPr>
          <w:rFonts w:eastAsia="MS Mincho"/>
        </w:rPr>
        <w:t xml:space="preserve">STA that attempts to create </w:t>
      </w:r>
      <w:r>
        <w:rPr>
          <w:rFonts w:eastAsia="MS Mincho"/>
        </w:rPr>
        <w:t>a</w:t>
      </w:r>
      <w:r w:rsidRPr="009448FC">
        <w:rPr>
          <w:rFonts w:eastAsia="MS Mincho"/>
        </w:rPr>
        <w:t xml:space="preserve"> mmWave Protected Period during an SP shall </w:t>
      </w:r>
      <w:r>
        <w:rPr>
          <w:rFonts w:eastAsia="MS Mincho"/>
        </w:rPr>
        <w:t>transition to</w:t>
      </w:r>
      <w:r w:rsidRPr="009448FC">
        <w:rPr>
          <w:rFonts w:eastAsia="MS Mincho"/>
        </w:rPr>
        <w:t xml:space="preserve"> listening mode not less than aMinListeningTime before the attempt</w:t>
      </w:r>
      <w:r>
        <w:rPr>
          <w:rFonts w:eastAsia="MS Mincho"/>
        </w:rPr>
        <w:t xml:space="preserve"> </w:t>
      </w:r>
      <w:r w:rsidRPr="005B4B7C">
        <w:t>and shall remain in listening mode for at least aMinListeningTime before making the attempt</w:t>
      </w:r>
      <w:r w:rsidRPr="005B4B7C">
        <w:rPr>
          <w:rFonts w:eastAsia="MS Mincho"/>
        </w:rPr>
        <w:t>.</w:t>
      </w:r>
      <w:r w:rsidRPr="009448FC">
        <w:rPr>
          <w:rFonts w:eastAsia="MS Mincho"/>
        </w:rPr>
        <w:t xml:space="preserve"> </w:t>
      </w:r>
      <w:r>
        <w:rPr>
          <w:rFonts w:eastAsia="MS Mincho"/>
        </w:rPr>
        <w:t>If an attempt is made, the</w:t>
      </w:r>
      <w:r w:rsidRPr="009448FC">
        <w:rPr>
          <w:rFonts w:eastAsia="MS Mincho"/>
        </w:rPr>
        <w:t xml:space="preserve"> </w:t>
      </w:r>
      <w:r>
        <w:rPr>
          <w:rFonts w:eastAsia="MS Mincho"/>
        </w:rPr>
        <w:t xml:space="preserve">first </w:t>
      </w:r>
      <w:r w:rsidRPr="009448FC">
        <w:rPr>
          <w:rFonts w:eastAsia="MS Mincho"/>
        </w:rPr>
        <w:t>attempt shall begin at the start of the SP.</w:t>
      </w:r>
      <w:r w:rsidR="00080054">
        <w:rPr>
          <w:rFonts w:eastAsia="MS Mincho"/>
        </w:rPr>
        <w:t xml:space="preserve"> </w:t>
      </w:r>
    </w:p>
    <w:p w:rsidR="00591CEA" w:rsidRPr="009448FC" w:rsidRDefault="00591CEA" w:rsidP="00591CEA">
      <w:pPr>
        <w:autoSpaceDE w:val="0"/>
        <w:autoSpaceDN w:val="0"/>
        <w:adjustRightInd w:val="0"/>
        <w:rPr>
          <w:rFonts w:eastAsia="MS Mincho"/>
        </w:rPr>
      </w:pPr>
    </w:p>
    <w:p w:rsidR="00591CEA" w:rsidRPr="009448FC" w:rsidRDefault="00531D29" w:rsidP="00426FFC">
      <w:pPr>
        <w:autoSpaceDE w:val="0"/>
        <w:autoSpaceDN w:val="0"/>
        <w:adjustRightInd w:val="0"/>
        <w:rPr>
          <w:rFonts w:eastAsia="MS Mincho"/>
        </w:rPr>
      </w:pPr>
      <w:r w:rsidRPr="009448FC">
        <w:rPr>
          <w:rFonts w:eastAsia="MS Mincho"/>
        </w:rPr>
        <w:t>A</w:t>
      </w:r>
      <w:r w:rsidR="00281486" w:rsidRPr="009448FC">
        <w:rPr>
          <w:rFonts w:eastAsia="MS Mincho"/>
        </w:rPr>
        <w:t xml:space="preserve"> </w:t>
      </w:r>
      <w:r w:rsidR="00591CEA" w:rsidRPr="009448FC">
        <w:rPr>
          <w:rFonts w:eastAsia="MS Mincho"/>
        </w:rPr>
        <w:t>STA</w:t>
      </w:r>
      <w:r w:rsidR="000605EA">
        <w:rPr>
          <w:rFonts w:eastAsia="MS Mincho"/>
        </w:rPr>
        <w:t xml:space="preserve"> </w:t>
      </w:r>
      <w:r w:rsidR="00591CEA" w:rsidRPr="009448FC">
        <w:rPr>
          <w:rFonts w:eastAsia="MS Mincho"/>
        </w:rPr>
        <w:t xml:space="preserve">shall not issue an RTS to establish a </w:t>
      </w:r>
      <w:r w:rsidR="00397C10" w:rsidRPr="009448FC">
        <w:rPr>
          <w:rFonts w:eastAsia="MS Mincho"/>
        </w:rPr>
        <w:t>mmWave</w:t>
      </w:r>
      <w:r w:rsidR="00EE1100" w:rsidRPr="009448FC">
        <w:rPr>
          <w:rFonts w:eastAsia="MS Mincho"/>
        </w:rPr>
        <w:t xml:space="preserve"> </w:t>
      </w:r>
      <w:r w:rsidR="00591CEA" w:rsidRPr="009448FC">
        <w:rPr>
          <w:rFonts w:eastAsia="MS Mincho"/>
        </w:rPr>
        <w:t xml:space="preserve">Protected </w:t>
      </w:r>
      <w:r w:rsidR="00426FFC" w:rsidRPr="009448FC">
        <w:rPr>
          <w:rFonts w:eastAsia="MS Mincho"/>
        </w:rPr>
        <w:t xml:space="preserve">Period </w:t>
      </w:r>
      <w:r w:rsidR="00591CEA" w:rsidRPr="009448FC">
        <w:rPr>
          <w:rFonts w:eastAsia="MS Mincho"/>
        </w:rPr>
        <w:t>if any of its NAV timers is not equal to zero.</w:t>
      </w:r>
    </w:p>
    <w:p w:rsidR="00591CEA" w:rsidRPr="009448FC" w:rsidRDefault="00591CEA" w:rsidP="00591CEA">
      <w:pPr>
        <w:autoSpaceDE w:val="0"/>
        <w:autoSpaceDN w:val="0"/>
        <w:adjustRightInd w:val="0"/>
        <w:rPr>
          <w:rFonts w:eastAsia="MS Mincho"/>
        </w:rPr>
      </w:pPr>
    </w:p>
    <w:p w:rsidR="006D055C" w:rsidRPr="009448FC" w:rsidRDefault="00591CEA" w:rsidP="00426FFC">
      <w:pPr>
        <w:autoSpaceDE w:val="0"/>
        <w:autoSpaceDN w:val="0"/>
        <w:adjustRightInd w:val="0"/>
        <w:rPr>
          <w:rFonts w:eastAsia="MS Mincho"/>
        </w:rPr>
      </w:pPr>
      <w:r w:rsidRPr="009448FC">
        <w:rPr>
          <w:rFonts w:eastAsia="MS Mincho"/>
        </w:rPr>
        <w:t>A</w:t>
      </w:r>
      <w:r w:rsidR="002F0A96" w:rsidRPr="009448FC">
        <w:rPr>
          <w:rFonts w:eastAsia="MS Mincho"/>
        </w:rPr>
        <w:t>n</w:t>
      </w:r>
      <w:r w:rsidRPr="009448FC">
        <w:rPr>
          <w:rFonts w:eastAsia="MS Mincho"/>
        </w:rPr>
        <w:t xml:space="preserve"> </w:t>
      </w:r>
      <w:r w:rsidR="00B96FB9" w:rsidRPr="009448FC">
        <w:rPr>
          <w:rFonts w:eastAsia="MS Mincho"/>
        </w:rPr>
        <w:t>mSTA</w:t>
      </w:r>
      <w:r w:rsidRPr="009448FC">
        <w:rPr>
          <w:rFonts w:eastAsia="MS Mincho"/>
        </w:rPr>
        <w:t xml:space="preserve"> that transmits an RTS to establish a </w:t>
      </w:r>
      <w:r w:rsidR="00397C10" w:rsidRPr="009448FC">
        <w:rPr>
          <w:rFonts w:eastAsia="MS Mincho"/>
        </w:rPr>
        <w:t>mmWave</w:t>
      </w:r>
      <w:r w:rsidR="00EE1100" w:rsidRPr="009448FC">
        <w:rPr>
          <w:rFonts w:eastAsia="MS Mincho"/>
        </w:rPr>
        <w:t xml:space="preserve"> </w:t>
      </w:r>
      <w:r w:rsidRPr="009448FC">
        <w:rPr>
          <w:rFonts w:eastAsia="MS Mincho"/>
        </w:rPr>
        <w:t>Protect</w:t>
      </w:r>
      <w:r w:rsidR="00426FFC" w:rsidRPr="009448FC">
        <w:rPr>
          <w:rFonts w:eastAsia="MS Mincho"/>
        </w:rPr>
        <w:t>ed</w:t>
      </w:r>
      <w:r w:rsidRPr="009448FC">
        <w:rPr>
          <w:rFonts w:eastAsia="MS Mincho"/>
        </w:rPr>
        <w:t xml:space="preserve"> </w:t>
      </w:r>
      <w:r w:rsidR="00426FFC" w:rsidRPr="009448FC">
        <w:rPr>
          <w:rFonts w:eastAsia="MS Mincho"/>
        </w:rPr>
        <w:t>Period</w:t>
      </w:r>
      <w:r w:rsidR="00281486" w:rsidRPr="009448FC">
        <w:rPr>
          <w:rFonts w:eastAsia="MS Mincho"/>
        </w:rPr>
        <w:t xml:space="preserve"> </w:t>
      </w:r>
      <w:r w:rsidRPr="009448FC">
        <w:rPr>
          <w:rFonts w:eastAsia="MS Mincho"/>
        </w:rPr>
        <w:t xml:space="preserve">during an SP in which it is a source STA shall not transmit the RTS outside of the SP and the value of the Duration field of the RTS shall not exceed the duration of the portion of the SP that remains following the RTS transmission. </w:t>
      </w:r>
    </w:p>
    <w:p w:rsidR="00531D29" w:rsidRPr="009448FC" w:rsidRDefault="00531D29" w:rsidP="00F96758">
      <w:pPr>
        <w:autoSpaceDE w:val="0"/>
        <w:autoSpaceDN w:val="0"/>
        <w:adjustRightInd w:val="0"/>
        <w:rPr>
          <w:rFonts w:eastAsia="MS Mincho"/>
        </w:rPr>
      </w:pPr>
    </w:p>
    <w:p w:rsidR="00591CEA" w:rsidRPr="009448FC" w:rsidRDefault="00591CEA" w:rsidP="00426FFC">
      <w:pPr>
        <w:autoSpaceDE w:val="0"/>
        <w:autoSpaceDN w:val="0"/>
        <w:adjustRightInd w:val="0"/>
        <w:rPr>
          <w:rFonts w:eastAsia="MS Mincho"/>
        </w:rPr>
      </w:pPr>
      <w:r w:rsidRPr="009448FC">
        <w:rPr>
          <w:rFonts w:eastAsia="MS Mincho"/>
        </w:rPr>
        <w:t xml:space="preserve">In order to accommodate STAs that have begun listening to the medium after the establishment of a mmWave Protected </w:t>
      </w:r>
      <w:r w:rsidR="00426FFC" w:rsidRPr="009448FC">
        <w:rPr>
          <w:rFonts w:eastAsia="MS Mincho"/>
        </w:rPr>
        <w:t>Period</w:t>
      </w:r>
      <w:r w:rsidRPr="009448FC">
        <w:rPr>
          <w:rFonts w:eastAsia="MS Mincho"/>
        </w:rPr>
        <w:t xml:space="preserve">, a STA that transmitted an RTS that established a mmWave </w:t>
      </w:r>
      <w:r w:rsidR="00426FFC" w:rsidRPr="009448FC">
        <w:rPr>
          <w:rFonts w:eastAsia="MS Mincho"/>
        </w:rPr>
        <w:t xml:space="preserve">Protected </w:t>
      </w:r>
      <w:r w:rsidRPr="009448FC">
        <w:rPr>
          <w:rFonts w:eastAsia="MS Mincho"/>
        </w:rPr>
        <w:t xml:space="preserve">period should transmit an additional RTS at the end of every consecutive </w:t>
      </w:r>
      <w:r w:rsidR="00D22D1E" w:rsidRPr="009448FC">
        <w:rPr>
          <w:rFonts w:eastAsia="MS Mincho"/>
        </w:rPr>
        <w:t>(</w:t>
      </w:r>
      <w:r w:rsidR="0001640D" w:rsidRPr="009448FC">
        <w:rPr>
          <w:rFonts w:eastAsia="MS Mincho"/>
        </w:rPr>
        <w:t>aMinListeningTime</w:t>
      </w:r>
      <w:r w:rsidR="00D22D1E" w:rsidRPr="009448FC">
        <w:rPr>
          <w:rFonts w:eastAsia="MS Mincho"/>
        </w:rPr>
        <w:t xml:space="preserve"> –aRTSTimeoutTime)</w:t>
      </w:r>
      <w:r w:rsidRPr="009448FC">
        <w:rPr>
          <w:rFonts w:eastAsia="MS Mincho"/>
        </w:rPr>
        <w:t xml:space="preserve"> during the </w:t>
      </w:r>
      <w:r w:rsidR="00397C10" w:rsidRPr="009448FC">
        <w:rPr>
          <w:rFonts w:eastAsia="MS Mincho"/>
        </w:rPr>
        <w:t>mmWave</w:t>
      </w:r>
      <w:r w:rsidR="00F96758" w:rsidRPr="009448FC">
        <w:rPr>
          <w:rFonts w:eastAsia="MS Mincho"/>
        </w:rPr>
        <w:t xml:space="preserve"> </w:t>
      </w:r>
      <w:r w:rsidRPr="009448FC">
        <w:rPr>
          <w:rFonts w:eastAsia="MS Mincho"/>
        </w:rPr>
        <w:t xml:space="preserve">Protected </w:t>
      </w:r>
      <w:r w:rsidR="00426FFC" w:rsidRPr="009448FC">
        <w:rPr>
          <w:rFonts w:eastAsia="MS Mincho"/>
        </w:rPr>
        <w:t xml:space="preserve">Period </w:t>
      </w:r>
      <w:r w:rsidRPr="009448FC">
        <w:rPr>
          <w:rFonts w:eastAsia="MS Mincho"/>
        </w:rPr>
        <w:t>if the duration of the RTS/</w:t>
      </w:r>
      <w:r w:rsidR="005B4FC2" w:rsidRPr="009448FC">
        <w:rPr>
          <w:rFonts w:eastAsia="MS Mincho"/>
        </w:rPr>
        <w:t xml:space="preserve">mmWaveCTS </w:t>
      </w:r>
      <w:r w:rsidRPr="009448FC">
        <w:rPr>
          <w:rFonts w:eastAsia="MS Mincho"/>
        </w:rPr>
        <w:t xml:space="preserve">exchange is not </w:t>
      </w:r>
      <w:r w:rsidR="00A42DB8" w:rsidRPr="009448FC">
        <w:rPr>
          <w:rFonts w:eastAsia="MS Mincho"/>
        </w:rPr>
        <w:t>less</w:t>
      </w:r>
      <w:r w:rsidRPr="009448FC">
        <w:rPr>
          <w:rFonts w:eastAsia="MS Mincho"/>
        </w:rPr>
        <w:t xml:space="preserve"> than the time remaining in the SP</w:t>
      </w:r>
      <w:r w:rsidR="00655EA4" w:rsidRPr="009448FC">
        <w:rPr>
          <w:rFonts w:eastAsia="MS Mincho"/>
        </w:rPr>
        <w:t>.</w:t>
      </w:r>
      <w:r w:rsidR="00D11F2E">
        <w:rPr>
          <w:rFonts w:eastAsia="MS Mincho"/>
        </w:rPr>
        <w:t xml:space="preserve"> </w:t>
      </w:r>
    </w:p>
    <w:p w:rsidR="00591CEA" w:rsidRPr="00066F65" w:rsidRDefault="00591CEA" w:rsidP="00591CEA">
      <w:pPr>
        <w:autoSpaceDE w:val="0"/>
        <w:autoSpaceDN w:val="0"/>
        <w:adjustRightInd w:val="0"/>
        <w:rPr>
          <w:rFonts w:eastAsia="MS Mincho"/>
          <w:b/>
          <w:i/>
          <w:color w:val="FF0000"/>
          <w:sz w:val="23"/>
          <w:szCs w:val="23"/>
          <w:u w:val="single"/>
        </w:rPr>
      </w:pPr>
    </w:p>
    <w:p w:rsidR="00591CEA" w:rsidRPr="009448FC" w:rsidRDefault="00591CEA" w:rsidP="00426FFC">
      <w:pPr>
        <w:autoSpaceDE w:val="0"/>
        <w:autoSpaceDN w:val="0"/>
        <w:adjustRightInd w:val="0"/>
        <w:rPr>
          <w:rFonts w:eastAsia="MS Mincho"/>
        </w:rPr>
      </w:pPr>
      <w:r w:rsidRPr="009448FC">
        <w:rPr>
          <w:rFonts w:eastAsia="MS Mincho"/>
        </w:rPr>
        <w:t>A</w:t>
      </w:r>
      <w:r w:rsidR="003B4066">
        <w:rPr>
          <w:rFonts w:eastAsia="MS Mincho"/>
        </w:rPr>
        <w:t>n</w:t>
      </w:r>
      <w:r w:rsidRPr="009448FC">
        <w:rPr>
          <w:rFonts w:eastAsia="MS Mincho"/>
        </w:rPr>
        <w:t xml:space="preserve"> </w:t>
      </w:r>
      <w:r w:rsidR="003B4066">
        <w:rPr>
          <w:rFonts w:eastAsia="MS Mincho"/>
        </w:rPr>
        <w:t>m</w:t>
      </w:r>
      <w:r w:rsidRPr="009448FC">
        <w:rPr>
          <w:rFonts w:eastAsia="MS Mincho"/>
        </w:rPr>
        <w:t xml:space="preserve">STA that transmitted an RTS that established a mmWave </w:t>
      </w:r>
      <w:r w:rsidR="00426FFC" w:rsidRPr="009448FC">
        <w:rPr>
          <w:rFonts w:eastAsia="MS Mincho"/>
        </w:rPr>
        <w:t>Protected Period</w:t>
      </w:r>
      <w:r w:rsidR="00281486" w:rsidRPr="009448FC">
        <w:rPr>
          <w:rFonts w:eastAsia="MS Mincho"/>
        </w:rPr>
        <w:t xml:space="preserve"> </w:t>
      </w:r>
      <w:r w:rsidRPr="009448FC">
        <w:rPr>
          <w:rFonts w:eastAsia="MS Mincho"/>
        </w:rPr>
        <w:t xml:space="preserve">shall transmit data frames during the </w:t>
      </w:r>
      <w:r w:rsidR="00397C10" w:rsidRPr="009448FC">
        <w:rPr>
          <w:rFonts w:eastAsia="MS Mincho"/>
        </w:rPr>
        <w:t xml:space="preserve">mmWave </w:t>
      </w:r>
      <w:r w:rsidRPr="009448FC">
        <w:rPr>
          <w:rFonts w:eastAsia="MS Mincho"/>
        </w:rPr>
        <w:t xml:space="preserve">Protected </w:t>
      </w:r>
      <w:r w:rsidR="00426FFC" w:rsidRPr="009448FC">
        <w:rPr>
          <w:rFonts w:eastAsia="MS Mincho"/>
        </w:rPr>
        <w:t>Period</w:t>
      </w:r>
      <w:r w:rsidR="00281486" w:rsidRPr="009448FC">
        <w:rPr>
          <w:rFonts w:eastAsia="MS Mincho"/>
        </w:rPr>
        <w:t xml:space="preserve"> </w:t>
      </w:r>
      <w:r w:rsidRPr="009448FC">
        <w:rPr>
          <w:rFonts w:eastAsia="MS Mincho"/>
        </w:rPr>
        <w:t>using the same antenna configuration as was used for the transmission of the RTS.</w:t>
      </w:r>
    </w:p>
    <w:p w:rsidR="00591CEA" w:rsidRDefault="00BE5866" w:rsidP="00591CEA">
      <w:pPr>
        <w:autoSpaceDE w:val="0"/>
        <w:autoSpaceDN w:val="0"/>
        <w:adjustRightInd w:val="0"/>
        <w:rPr>
          <w:rFonts w:eastAsia="MS Mincho"/>
        </w:rPr>
      </w:pPr>
      <w:r>
        <w:rPr>
          <w:rFonts w:eastAsia="MS Mincho"/>
        </w:rPr>
        <w:t xml:space="preserve"> </w:t>
      </w:r>
    </w:p>
    <w:p w:rsidR="003B4066" w:rsidRPr="004B053A" w:rsidRDefault="003B4066" w:rsidP="003B4066">
      <w:pPr>
        <w:autoSpaceDE w:val="0"/>
        <w:autoSpaceDN w:val="0"/>
        <w:adjustRightInd w:val="0"/>
      </w:pPr>
      <w:r>
        <w:t xml:space="preserve">An </w:t>
      </w:r>
      <w:r w:rsidRPr="004B053A">
        <w:t>m</w:t>
      </w:r>
      <w:r>
        <w:t>STA</w:t>
      </w:r>
      <w:r w:rsidRPr="004B053A">
        <w:t xml:space="preserve"> should transition to listening mode not less than aMinListeningTime before the start of </w:t>
      </w:r>
      <w:r>
        <w:t>an</w:t>
      </w:r>
      <w:r w:rsidRPr="004B053A">
        <w:t xml:space="preserve"> SP</w:t>
      </w:r>
      <w:r>
        <w:t xml:space="preserve"> in which it is the destination mSTA</w:t>
      </w:r>
      <w:r w:rsidRPr="004B053A">
        <w:t xml:space="preserve">. </w:t>
      </w:r>
    </w:p>
    <w:p w:rsidR="003B4066" w:rsidRDefault="003B4066" w:rsidP="003B4066">
      <w:pPr>
        <w:autoSpaceDE w:val="0"/>
        <w:autoSpaceDN w:val="0"/>
        <w:adjustRightInd w:val="0"/>
      </w:pPr>
    </w:p>
    <w:p w:rsidR="003B4066" w:rsidRPr="00E177A4" w:rsidRDefault="003B4066" w:rsidP="003B4066">
      <w:pPr>
        <w:autoSpaceDE w:val="0"/>
        <w:autoSpaceDN w:val="0"/>
        <w:adjustRightInd w:val="0"/>
      </w:pPr>
      <w:r w:rsidRPr="00F70BD6">
        <w:t xml:space="preserve">During an SP in which it is the destination </w:t>
      </w:r>
      <w:r>
        <w:t>m</w:t>
      </w:r>
      <w:r w:rsidRPr="00F70BD6">
        <w:t>STA</w:t>
      </w:r>
      <w:r>
        <w:t>,</w:t>
      </w:r>
      <w:r w:rsidRPr="00F70BD6">
        <w:t xml:space="preserve"> an mSTA that receives a valid RTS with the RA equal to the recipient </w:t>
      </w:r>
      <w:r>
        <w:t>m</w:t>
      </w:r>
      <w:r w:rsidRPr="00F70BD6">
        <w:t xml:space="preserve">STA MAC address and the TA corresponding to the source </w:t>
      </w:r>
      <w:r>
        <w:t>m</w:t>
      </w:r>
      <w:r w:rsidRPr="00F70BD6">
        <w:t xml:space="preserve">STA of the SP shall respond with a mmWaveCTS if the recipient </w:t>
      </w:r>
      <w:r>
        <w:t>m</w:t>
      </w:r>
      <w:r w:rsidRPr="00F70BD6">
        <w:t>STA has been in listening mode for aMinListeningTime at the start of the reception of the RTS and none of its NAV timers has a non-zero value.</w:t>
      </w:r>
    </w:p>
    <w:p w:rsidR="003B4066" w:rsidRPr="009448FC" w:rsidRDefault="003B4066" w:rsidP="00591CEA">
      <w:pPr>
        <w:autoSpaceDE w:val="0"/>
        <w:autoSpaceDN w:val="0"/>
        <w:adjustRightInd w:val="0"/>
        <w:rPr>
          <w:rFonts w:eastAsia="MS Mincho"/>
        </w:rPr>
      </w:pPr>
    </w:p>
    <w:p w:rsidR="002C1AC7" w:rsidRPr="009448FC" w:rsidRDefault="00AA1158" w:rsidP="00591CEA">
      <w:pPr>
        <w:autoSpaceDE w:val="0"/>
        <w:autoSpaceDN w:val="0"/>
        <w:adjustRightInd w:val="0"/>
        <w:rPr>
          <w:rFonts w:eastAsia="MS Mincho"/>
        </w:rPr>
      </w:pPr>
      <w:r w:rsidRPr="009448FC">
        <w:rPr>
          <w:rFonts w:eastAsia="MS Mincho"/>
        </w:rPr>
        <w:t xml:space="preserve">During an SP in which it is the destination </w:t>
      </w:r>
      <w:r>
        <w:rPr>
          <w:rFonts w:eastAsia="MS Mincho"/>
        </w:rPr>
        <w:t>m</w:t>
      </w:r>
      <w:r w:rsidRPr="009448FC">
        <w:rPr>
          <w:rFonts w:eastAsia="MS Mincho"/>
        </w:rPr>
        <w:t xml:space="preserve">STA, an mSTA that receives a valid RTS with the RA equal to the recipient </w:t>
      </w:r>
      <w:r>
        <w:rPr>
          <w:rFonts w:eastAsia="MS Mincho"/>
        </w:rPr>
        <w:t>m</w:t>
      </w:r>
      <w:r w:rsidRPr="009448FC">
        <w:rPr>
          <w:rFonts w:eastAsia="MS Mincho"/>
        </w:rPr>
        <w:t xml:space="preserve">STA MAC address and the TA corresponding to the source </w:t>
      </w:r>
      <w:r>
        <w:rPr>
          <w:rFonts w:eastAsia="MS Mincho"/>
        </w:rPr>
        <w:t>m</w:t>
      </w:r>
      <w:r w:rsidRPr="009448FC">
        <w:rPr>
          <w:rFonts w:eastAsia="MS Mincho"/>
        </w:rPr>
        <w:t xml:space="preserve">STA of the SP shall not respond with a mmWaveCTS if at the start of the reception of the RTS the recipient </w:t>
      </w:r>
      <w:r>
        <w:rPr>
          <w:rFonts w:eastAsia="MS Mincho"/>
        </w:rPr>
        <w:t>m</w:t>
      </w:r>
      <w:r w:rsidRPr="009448FC">
        <w:rPr>
          <w:rFonts w:eastAsia="MS Mincho"/>
        </w:rPr>
        <w:t xml:space="preserve">STA </w:t>
      </w:r>
      <w:r w:rsidRPr="009448FC">
        <w:rPr>
          <w:rFonts w:eastAsia="MS Mincho"/>
        </w:rPr>
        <w:lastRenderedPageBreak/>
        <w:t xml:space="preserve">has a non-zero value in at least one of its NAV </w:t>
      </w:r>
      <w:r w:rsidRPr="005C7D50">
        <w:rPr>
          <w:rFonts w:eastAsia="MS Mincho"/>
        </w:rPr>
        <w:t xml:space="preserve">timers </w:t>
      </w:r>
      <w:r w:rsidRPr="005C7D50">
        <w:t xml:space="preserve">or the recipient </w:t>
      </w:r>
      <w:r>
        <w:t>m</w:t>
      </w:r>
      <w:r w:rsidRPr="005C7D50">
        <w:t>STA has not been in listening mode for at least aMinListeningTime.</w:t>
      </w:r>
      <w:r w:rsidR="000B7320">
        <w:rPr>
          <w:rFonts w:eastAsia="MS Mincho"/>
        </w:rPr>
        <w:t xml:space="preserve"> </w:t>
      </w:r>
    </w:p>
    <w:p w:rsidR="002C1AC7" w:rsidRPr="009448FC" w:rsidRDefault="002C1AC7" w:rsidP="00591CEA">
      <w:pPr>
        <w:autoSpaceDE w:val="0"/>
        <w:autoSpaceDN w:val="0"/>
        <w:adjustRightInd w:val="0"/>
        <w:rPr>
          <w:rFonts w:eastAsia="MS Mincho"/>
        </w:rPr>
      </w:pPr>
    </w:p>
    <w:p w:rsidR="00591CEA" w:rsidRPr="009448FC" w:rsidRDefault="00AA1158" w:rsidP="007B4DE5">
      <w:pPr>
        <w:autoSpaceDE w:val="0"/>
        <w:autoSpaceDN w:val="0"/>
        <w:adjustRightInd w:val="0"/>
        <w:rPr>
          <w:rFonts w:eastAsia="MS Mincho"/>
        </w:rPr>
      </w:pPr>
      <w:r>
        <w:t>An mSTA may transmit a mmWaveDTS after expiration of the aRTSTimeoutTime time following the start of an SP in which it is the Destination mSTA, if any of its NAV timers has a non-zero value at that time and no RTS has been received from the Source mSTA of the SP and the mSTA has been in Listening Mode for aMinListeningTime immediately preceding the start of transmission of the mmWaveDTS. The Destination mSTA shall not transmit a mmWaveDTS if any portion of the mmWaveDTS would be transmitted outside of the SP.</w:t>
      </w:r>
    </w:p>
    <w:p w:rsidR="00591CEA" w:rsidRPr="009448FC" w:rsidRDefault="00591CEA" w:rsidP="00591CEA">
      <w:pPr>
        <w:autoSpaceDE w:val="0"/>
        <w:autoSpaceDN w:val="0"/>
        <w:adjustRightInd w:val="0"/>
        <w:rPr>
          <w:rFonts w:eastAsia="MS Mincho"/>
        </w:rPr>
      </w:pPr>
    </w:p>
    <w:p w:rsidR="00591CEA" w:rsidRPr="009448FC" w:rsidRDefault="00591CEA" w:rsidP="00591CEA">
      <w:pPr>
        <w:autoSpaceDE w:val="0"/>
        <w:autoSpaceDN w:val="0"/>
        <w:adjustRightInd w:val="0"/>
        <w:rPr>
          <w:rFonts w:eastAsia="MS Mincho"/>
        </w:rPr>
      </w:pPr>
      <w:r w:rsidRPr="009448FC">
        <w:rPr>
          <w:rFonts w:eastAsia="MS Mincho"/>
        </w:rPr>
        <w:t>The value in the duration field of a mmWaveDTS shall be calculated by subtracting the mmWaveDTS transmission time from the NAV timer in the Destination STA that has the largest value at the time of the start of the transmission of the mmWaveDTS. The NAV-DA and NAV-SA fields shall be set to the MAC addresses that identify the NAV timer in the Destination STA that was used to determine the duration field value of the mmWaveDTS.</w:t>
      </w:r>
    </w:p>
    <w:p w:rsidR="00591CEA" w:rsidRPr="009448FC" w:rsidRDefault="00591CEA" w:rsidP="00591CEA">
      <w:pPr>
        <w:autoSpaceDE w:val="0"/>
        <w:autoSpaceDN w:val="0"/>
        <w:adjustRightInd w:val="0"/>
        <w:rPr>
          <w:rFonts w:eastAsia="MS Mincho"/>
        </w:rPr>
      </w:pPr>
    </w:p>
    <w:p w:rsidR="00591CEA" w:rsidRPr="009448FC" w:rsidRDefault="00591CEA" w:rsidP="00943AA9">
      <w:pPr>
        <w:autoSpaceDE w:val="0"/>
        <w:autoSpaceDN w:val="0"/>
        <w:adjustRightInd w:val="0"/>
        <w:rPr>
          <w:rFonts w:eastAsia="MS Mincho"/>
        </w:rPr>
      </w:pPr>
      <w:r w:rsidRPr="009448FC">
        <w:rPr>
          <w:rFonts w:eastAsia="MS Mincho"/>
        </w:rPr>
        <w:t>A Destination STA that responds to an RTS with a mmWaveCTS or mmWaveDTS shall transmit the response frame SIFS time after the end of the received RTS. A Destination STA that transmits either a mmWaveCTS or a mmWaveDTS shall use the same antenna configuration for the subsequent transmission of ACK frames and data frames within the SP as is used for the transmission of the mmWaveCTS or mmWaveDTS.</w:t>
      </w:r>
    </w:p>
    <w:p w:rsidR="00591CEA" w:rsidRPr="009448FC" w:rsidRDefault="00591CEA" w:rsidP="00591CEA">
      <w:pPr>
        <w:autoSpaceDE w:val="0"/>
        <w:autoSpaceDN w:val="0"/>
        <w:adjustRightInd w:val="0"/>
        <w:rPr>
          <w:rFonts w:eastAsia="MS Mincho"/>
        </w:rPr>
      </w:pPr>
    </w:p>
    <w:p w:rsidR="00591CEA" w:rsidRPr="009448FC" w:rsidRDefault="00591CEA" w:rsidP="00AE07D7">
      <w:pPr>
        <w:autoSpaceDE w:val="0"/>
        <w:autoSpaceDN w:val="0"/>
        <w:adjustRightInd w:val="0"/>
        <w:rPr>
          <w:rFonts w:eastAsia="MS Mincho"/>
        </w:rPr>
      </w:pPr>
      <w:r w:rsidRPr="009448FC">
        <w:rPr>
          <w:rFonts w:eastAsia="MS Mincho"/>
        </w:rPr>
        <w:t xml:space="preserve">The source STA of an </w:t>
      </w:r>
      <w:r w:rsidR="00531D29" w:rsidRPr="009448FC">
        <w:rPr>
          <w:rFonts w:eastAsia="MS Mincho"/>
        </w:rPr>
        <w:t>SP</w:t>
      </w:r>
      <w:r w:rsidR="00281486" w:rsidRPr="009448FC">
        <w:rPr>
          <w:rFonts w:eastAsia="MS Mincho"/>
        </w:rPr>
        <w:t xml:space="preserve"> </w:t>
      </w:r>
      <w:r w:rsidRPr="009448FC">
        <w:rPr>
          <w:rFonts w:eastAsia="MS Mincho"/>
        </w:rPr>
        <w:t xml:space="preserve">can send a mmWaveCF-End to the destination STA of the SP to truncate a </w:t>
      </w:r>
      <w:r w:rsidR="00397C10" w:rsidRPr="009448FC">
        <w:rPr>
          <w:rFonts w:eastAsia="MS Mincho"/>
        </w:rPr>
        <w:t>mmWave</w:t>
      </w:r>
      <w:r w:rsidR="00233F0D" w:rsidRPr="009448FC">
        <w:rPr>
          <w:rFonts w:eastAsia="MS Mincho"/>
        </w:rPr>
        <w:t xml:space="preserve"> </w:t>
      </w:r>
      <w:r w:rsidRPr="009448FC">
        <w:rPr>
          <w:rFonts w:eastAsia="MS Mincho"/>
        </w:rPr>
        <w:t xml:space="preserve">Protected </w:t>
      </w:r>
      <w:r w:rsidR="00426FFC" w:rsidRPr="009448FC">
        <w:rPr>
          <w:rFonts w:eastAsia="MS Mincho"/>
        </w:rPr>
        <w:t>P</w:t>
      </w:r>
      <w:r w:rsidRPr="009448FC">
        <w:rPr>
          <w:rFonts w:eastAsia="MS Mincho"/>
        </w:rPr>
        <w:t xml:space="preserve">eriod </w:t>
      </w:r>
      <w:r w:rsidR="00233F0D" w:rsidRPr="009448FC">
        <w:rPr>
          <w:rFonts w:eastAsia="MS Mincho"/>
        </w:rPr>
        <w:t xml:space="preserve">– </w:t>
      </w:r>
      <w:r w:rsidRPr="009448FC">
        <w:rPr>
          <w:rFonts w:eastAsia="MS Mincho"/>
        </w:rPr>
        <w:t>see</w:t>
      </w:r>
      <w:r w:rsidR="00515A1B">
        <w:rPr>
          <w:rFonts w:eastAsia="MS Mincho"/>
        </w:rPr>
        <w:t xml:space="preserve"> </w:t>
      </w:r>
      <w:r w:rsidR="00BD151C">
        <w:fldChar w:fldCharType="begin"/>
      </w:r>
      <w:r w:rsidR="00515A1B">
        <w:instrText xml:space="preserve"> REF _Ref253745295 \r \h </w:instrText>
      </w:r>
      <w:r w:rsidR="00BD151C">
        <w:fldChar w:fldCharType="separate"/>
      </w:r>
      <w:r w:rsidR="003E4210">
        <w:t>9.23.8</w:t>
      </w:r>
      <w:r w:rsidR="00BD151C">
        <w:fldChar w:fldCharType="end"/>
      </w:r>
      <w:r w:rsidRPr="009448FC">
        <w:rPr>
          <w:rFonts w:eastAsia="MS Mincho"/>
        </w:rPr>
        <w:t>.</w:t>
      </w:r>
    </w:p>
    <w:p w:rsidR="008C36FC" w:rsidRPr="009448FC" w:rsidRDefault="000B7320" w:rsidP="002B2688">
      <w:pPr>
        <w:autoSpaceDE w:val="0"/>
        <w:autoSpaceDN w:val="0"/>
        <w:adjustRightInd w:val="0"/>
        <w:rPr>
          <w:rFonts w:eastAsia="MS Mincho"/>
        </w:rPr>
      </w:pPr>
      <w:r>
        <w:rPr>
          <w:rFonts w:eastAsia="MS Mincho"/>
        </w:rPr>
        <w:t xml:space="preserve"> </w:t>
      </w:r>
    </w:p>
    <w:p w:rsidR="00A17542" w:rsidRPr="009448FC" w:rsidRDefault="00B6107D" w:rsidP="003736A8">
      <w:pPr>
        <w:pStyle w:val="Heading5"/>
      </w:pPr>
      <w:bookmarkStart w:id="1336" w:name="_Toc259717124"/>
      <w:r>
        <w:t>9.23.6</w:t>
      </w:r>
      <w:r w:rsidR="003736A8">
        <w:t xml:space="preserve">.5.2 </w:t>
      </w:r>
      <w:r w:rsidR="00A17542" w:rsidRPr="009448FC">
        <w:t>NAV Update</w:t>
      </w:r>
      <w:r w:rsidR="002F7482" w:rsidRPr="009448FC">
        <w:t xml:space="preserve"> in mmWave Protected Period</w:t>
      </w:r>
      <w:bookmarkEnd w:id="1336"/>
    </w:p>
    <w:p w:rsidR="00EE41ED" w:rsidRPr="009448FC" w:rsidRDefault="00EE41ED" w:rsidP="008672ED">
      <w:pPr>
        <w:autoSpaceDE w:val="0"/>
        <w:autoSpaceDN w:val="0"/>
        <w:adjustRightInd w:val="0"/>
        <w:rPr>
          <w:rFonts w:eastAsia="MS Mincho"/>
        </w:rPr>
      </w:pPr>
      <w:r w:rsidRPr="009448FC">
        <w:rPr>
          <w:rFonts w:eastAsia="MS Mincho"/>
        </w:rPr>
        <w:t>STAs in the listening mode shall update their NAV timers according to the procedures described in</w:t>
      </w:r>
      <w:bookmarkStart w:id="1337" w:name="_Toc243399636"/>
      <w:bookmarkStart w:id="1338" w:name="_Toc243455602"/>
      <w:bookmarkStart w:id="1339" w:name="_Toc243461470"/>
      <w:bookmarkStart w:id="1340" w:name="_Toc243471601"/>
      <w:bookmarkStart w:id="1341" w:name="_Toc243794908"/>
      <w:bookmarkStart w:id="1342" w:name="_Toc243399637"/>
      <w:bookmarkStart w:id="1343" w:name="_Toc243455603"/>
      <w:bookmarkStart w:id="1344" w:name="_Toc243461471"/>
      <w:bookmarkStart w:id="1345" w:name="_Toc243471602"/>
      <w:bookmarkStart w:id="1346" w:name="_Toc243794909"/>
      <w:bookmarkEnd w:id="1337"/>
      <w:bookmarkEnd w:id="1338"/>
      <w:bookmarkEnd w:id="1339"/>
      <w:bookmarkEnd w:id="1340"/>
      <w:bookmarkEnd w:id="1341"/>
      <w:bookmarkEnd w:id="1342"/>
      <w:bookmarkEnd w:id="1343"/>
      <w:bookmarkEnd w:id="1344"/>
      <w:bookmarkEnd w:id="1345"/>
      <w:bookmarkEnd w:id="1346"/>
      <w:r w:rsidR="008672ED" w:rsidRPr="009448FC">
        <w:rPr>
          <w:rFonts w:eastAsia="MS Mincho"/>
        </w:rPr>
        <w:t xml:space="preserve"> </w:t>
      </w:r>
      <w:r w:rsidR="00BD151C">
        <w:rPr>
          <w:rFonts w:eastAsia="MS Mincho"/>
        </w:rPr>
        <w:fldChar w:fldCharType="begin"/>
      </w:r>
      <w:r w:rsidR="00AB3662">
        <w:rPr>
          <w:rFonts w:eastAsia="MS Mincho"/>
        </w:rPr>
        <w:instrText xml:space="preserve"> REF _Ref243982491 \r \h </w:instrText>
      </w:r>
      <w:r w:rsidR="00BD151C">
        <w:rPr>
          <w:rFonts w:eastAsia="MS Mincho"/>
        </w:rPr>
      </w:r>
      <w:r w:rsidR="00BD151C">
        <w:rPr>
          <w:rFonts w:eastAsia="MS Mincho"/>
        </w:rPr>
        <w:fldChar w:fldCharType="separate"/>
      </w:r>
      <w:r w:rsidR="003E4210">
        <w:rPr>
          <w:rFonts w:eastAsia="MS Mincho"/>
        </w:rPr>
        <w:t>9.23.10</w:t>
      </w:r>
      <w:r w:rsidR="00BD151C">
        <w:rPr>
          <w:rFonts w:eastAsia="MS Mincho"/>
        </w:rPr>
        <w:fldChar w:fldCharType="end"/>
      </w:r>
      <w:r w:rsidR="00D6597F" w:rsidRPr="009448FC">
        <w:rPr>
          <w:rFonts w:eastAsia="MS Mincho"/>
        </w:rPr>
        <w:t>.</w:t>
      </w:r>
    </w:p>
    <w:p w:rsidR="00900DE8" w:rsidRPr="009448FC" w:rsidRDefault="00900DE8" w:rsidP="00EE41ED">
      <w:pPr>
        <w:autoSpaceDE w:val="0"/>
        <w:autoSpaceDN w:val="0"/>
        <w:adjustRightInd w:val="0"/>
        <w:rPr>
          <w:rFonts w:eastAsia="MS Mincho"/>
        </w:rPr>
      </w:pPr>
    </w:p>
    <w:p w:rsidR="00EE41ED" w:rsidRPr="009448FC" w:rsidRDefault="00EE41ED" w:rsidP="00EE41ED">
      <w:pPr>
        <w:autoSpaceDE w:val="0"/>
        <w:autoSpaceDN w:val="0"/>
        <w:adjustRightInd w:val="0"/>
        <w:rPr>
          <w:rFonts w:eastAsia="MS Mincho"/>
        </w:rPr>
      </w:pPr>
      <w:r w:rsidRPr="009448FC">
        <w:rPr>
          <w:rFonts w:eastAsia="MS Mincho"/>
        </w:rPr>
        <w:t>When an SP terminates, either through time allocation expiration or truncation, then the source STA of that SP may reset any NAV timer to zero which has an associated variable NAV_DTSCANCELABLE with a value of TRUE.</w:t>
      </w:r>
    </w:p>
    <w:p w:rsidR="00EE41ED" w:rsidRPr="009448FC" w:rsidRDefault="00EE41ED" w:rsidP="0004091F">
      <w:pPr>
        <w:rPr>
          <w:rFonts w:eastAsia="MS Mincho"/>
          <w:b/>
        </w:rPr>
      </w:pPr>
    </w:p>
    <w:p w:rsidR="00916D9E" w:rsidRPr="003028FF" w:rsidRDefault="00C405FE" w:rsidP="003736A8">
      <w:pPr>
        <w:pStyle w:val="Heading5"/>
      </w:pPr>
      <w:bookmarkStart w:id="1347" w:name="_Toc259717125"/>
      <w:r>
        <w:t>9.23.6</w:t>
      </w:r>
      <w:r w:rsidR="003736A8">
        <w:t xml:space="preserve">.5.3 </w:t>
      </w:r>
      <w:r w:rsidR="00916D9E" w:rsidRPr="003028FF">
        <w:t>Interference report</w:t>
      </w:r>
      <w:bookmarkEnd w:id="1347"/>
      <w:r w:rsidR="00080054">
        <w:t xml:space="preserve"> </w:t>
      </w:r>
    </w:p>
    <w:p w:rsidR="00043C7F" w:rsidRDefault="00AB2B70" w:rsidP="00043C7F">
      <w:pPr>
        <w:autoSpaceDE w:val="0"/>
        <w:autoSpaceDN w:val="0"/>
        <w:adjustRightInd w:val="0"/>
      </w:pPr>
      <w:r w:rsidRPr="009448FC">
        <w:rPr>
          <w:rFonts w:eastAsia="MS Mincho"/>
        </w:rPr>
        <w:t xml:space="preserve">A STA that receives a RTS and/or mmWaveCTS frame which updates the NAV and that overlaps in </w:t>
      </w:r>
      <w:r w:rsidR="00800507" w:rsidRPr="009448FC">
        <w:rPr>
          <w:rFonts w:eastAsia="MS Mincho"/>
        </w:rPr>
        <w:t>time with an SP where the STA</w:t>
      </w:r>
      <w:r w:rsidRPr="009448FC">
        <w:rPr>
          <w:rFonts w:eastAsia="MS Mincho"/>
        </w:rPr>
        <w:t xml:space="preserve"> is destination or source, may report the overlap to the PCP</w:t>
      </w:r>
      <w:r w:rsidR="00A92A6D" w:rsidRPr="009448FC">
        <w:rPr>
          <w:rFonts w:eastAsia="MS Mincho"/>
        </w:rPr>
        <w:t>/AP</w:t>
      </w:r>
      <w:r w:rsidRPr="009448FC">
        <w:rPr>
          <w:rFonts w:eastAsia="MS Mincho"/>
        </w:rPr>
        <w:t xml:space="preserve"> </w:t>
      </w:r>
      <w:r w:rsidR="00800507" w:rsidRPr="009448FC">
        <w:rPr>
          <w:rFonts w:eastAsia="MS Mincho"/>
        </w:rPr>
        <w:t xml:space="preserve">by </w:t>
      </w:r>
      <w:r w:rsidR="00800507" w:rsidRPr="00623493">
        <w:rPr>
          <w:rFonts w:eastAsia="MS Mincho"/>
        </w:rPr>
        <w:t xml:space="preserve">sending an </w:t>
      </w:r>
      <w:r w:rsidR="00D02A7A" w:rsidRPr="00623493">
        <w:t xml:space="preserve">Extended mmWave </w:t>
      </w:r>
      <w:r w:rsidR="00800507" w:rsidRPr="00623493">
        <w:rPr>
          <w:rFonts w:eastAsia="MS Mincho"/>
        </w:rPr>
        <w:t>ADDTS Request frame</w:t>
      </w:r>
      <w:r w:rsidR="00D02A7A" w:rsidRPr="00623493">
        <w:rPr>
          <w:rFonts w:eastAsia="MS Mincho"/>
        </w:rPr>
        <w:t xml:space="preserve"> variant (</w:t>
      </w:r>
      <w:fldSimple w:instr=" REF _Ref256198048 \r \h  \* MERGEFORMAT ">
        <w:r w:rsidR="003E4210" w:rsidRPr="003E4210">
          <w:rPr>
            <w:rFonts w:eastAsia="MS Mincho"/>
          </w:rPr>
          <w:t>7.4.2.2</w:t>
        </w:r>
      </w:fldSimple>
      <w:r w:rsidR="00660C95" w:rsidRPr="00623493">
        <w:rPr>
          <w:rFonts w:eastAsia="MS Mincho"/>
        </w:rPr>
        <w:t>.2)</w:t>
      </w:r>
      <w:r w:rsidR="00800507" w:rsidRPr="00623493">
        <w:rPr>
          <w:rFonts w:eastAsia="MS Mincho"/>
        </w:rPr>
        <w:t xml:space="preserve"> and including</w:t>
      </w:r>
      <w:r w:rsidR="00281486" w:rsidRPr="00623493">
        <w:rPr>
          <w:rFonts w:eastAsia="MS Mincho"/>
        </w:rPr>
        <w:t xml:space="preserve"> </w:t>
      </w:r>
      <w:r w:rsidRPr="00623493">
        <w:rPr>
          <w:rFonts w:eastAsia="MS Mincho"/>
        </w:rPr>
        <w:t xml:space="preserve">in the </w:t>
      </w:r>
      <w:r w:rsidR="00D02A7A" w:rsidRPr="00623493">
        <w:t xml:space="preserve">Extended mmWave </w:t>
      </w:r>
      <w:r w:rsidRPr="00623493">
        <w:rPr>
          <w:rFonts w:eastAsia="MS Mincho"/>
        </w:rPr>
        <w:t xml:space="preserve">TSPEC </w:t>
      </w:r>
      <w:r w:rsidR="00D02A7A" w:rsidRPr="00623493">
        <w:rPr>
          <w:rFonts w:eastAsia="MS Mincho"/>
        </w:rPr>
        <w:t xml:space="preserve">element </w:t>
      </w:r>
      <w:r w:rsidR="00660C95" w:rsidRPr="00623493">
        <w:rPr>
          <w:rFonts w:eastAsia="MS Mincho"/>
        </w:rPr>
        <w:t>(</w:t>
      </w:r>
      <w:fldSimple w:instr=" REF _Ref244234051 \r \h  \* MERGEFORMAT ">
        <w:r w:rsidR="003E4210" w:rsidRPr="003E4210">
          <w:rPr>
            <w:rFonts w:eastAsia="MS Mincho"/>
          </w:rPr>
          <w:t>7.3.2.97</w:t>
        </w:r>
      </w:fldSimple>
      <w:r w:rsidR="00660C95" w:rsidRPr="00623493">
        <w:rPr>
          <w:rFonts w:eastAsia="MS Mincho"/>
        </w:rPr>
        <w:t xml:space="preserve">) </w:t>
      </w:r>
      <w:r w:rsidRPr="00623493">
        <w:rPr>
          <w:rFonts w:eastAsia="MS Mincho"/>
        </w:rPr>
        <w:t>the indication of interference in the TSCONST field</w:t>
      </w:r>
      <w:r w:rsidR="00660C95" w:rsidRPr="00623493">
        <w:rPr>
          <w:rFonts w:eastAsia="MS Mincho"/>
        </w:rPr>
        <w:t xml:space="preserve"> (</w:t>
      </w:r>
      <w:fldSimple w:instr=" REF _Ref236393596 \h  \* MERGEFORMAT ">
        <w:r w:rsidR="003E4210" w:rsidRPr="003E4210">
          <w:t xml:space="preserve">Figure </w:t>
        </w:r>
        <w:r w:rsidR="003E4210" w:rsidRPr="003E4210">
          <w:rPr>
            <w:noProof/>
          </w:rPr>
          <w:t>46</w:t>
        </w:r>
      </w:fldSimple>
      <w:r w:rsidR="00660C95" w:rsidRPr="00623493">
        <w:rPr>
          <w:rFonts w:eastAsia="MS Mincho"/>
        </w:rPr>
        <w:t>)</w:t>
      </w:r>
      <w:r w:rsidRPr="00623493">
        <w:rPr>
          <w:rFonts w:eastAsia="MS Mincho"/>
        </w:rPr>
        <w:t>.</w:t>
      </w:r>
      <w:r w:rsidR="00043C7F" w:rsidRPr="00623493">
        <w:t xml:space="preserve"> Transmission of the Extended mmWave ADDTS Request frame variant shall follow the rules defined</w:t>
      </w:r>
      <w:r w:rsidR="00043C7F" w:rsidRPr="000266F2">
        <w:t xml:space="preserve"> in </w:t>
      </w:r>
      <w:r w:rsidR="00BD151C">
        <w:fldChar w:fldCharType="begin"/>
      </w:r>
      <w:r w:rsidR="00043C7F">
        <w:instrText xml:space="preserve"> REF _Ref256198407 \r \h </w:instrText>
      </w:r>
      <w:r w:rsidR="00BD151C">
        <w:fldChar w:fldCharType="separate"/>
      </w:r>
      <w:r w:rsidR="003E4210">
        <w:t>11.4</w:t>
      </w:r>
      <w:r w:rsidR="00BD151C">
        <w:fldChar w:fldCharType="end"/>
      </w:r>
      <w:r w:rsidR="0052670C">
        <w:t>, with the following exceptions.</w:t>
      </w:r>
    </w:p>
    <w:p w:rsidR="00043C7F" w:rsidRPr="000266F2" w:rsidRDefault="00043C7F" w:rsidP="00043C7F">
      <w:pPr>
        <w:autoSpaceDE w:val="0"/>
        <w:autoSpaceDN w:val="0"/>
        <w:adjustRightInd w:val="0"/>
      </w:pPr>
    </w:p>
    <w:p w:rsidR="00043C7F" w:rsidRDefault="00043C7F" w:rsidP="00043C7F">
      <w:pPr>
        <w:autoSpaceDE w:val="0"/>
        <w:autoSpaceDN w:val="0"/>
        <w:adjustRightInd w:val="0"/>
      </w:pPr>
      <w:r w:rsidRPr="000266F2">
        <w:t xml:space="preserve">The TSID field of the Extended mmWave TSPEC element shall </w:t>
      </w:r>
      <w:r>
        <w:t>be set to</w:t>
      </w:r>
      <w:r w:rsidRPr="000266F2">
        <w:t xml:space="preserve"> the </w:t>
      </w:r>
      <w:r>
        <w:t xml:space="preserve">value of the </w:t>
      </w:r>
      <w:r w:rsidRPr="000266F2">
        <w:t xml:space="preserve">TSID of the SP </w:t>
      </w:r>
      <w:r>
        <w:t>in which</w:t>
      </w:r>
      <w:r w:rsidRPr="000266F2">
        <w:t xml:space="preserve"> the interference</w:t>
      </w:r>
      <w:r>
        <w:t xml:space="preserve"> was detected. One ADDTS Request frame is generated and transmitted for each SP in which interference is detected.</w:t>
      </w:r>
      <w:r w:rsidRPr="000266F2">
        <w:t xml:space="preserve"> </w:t>
      </w:r>
    </w:p>
    <w:p w:rsidR="00623493" w:rsidRPr="000266F2" w:rsidRDefault="00623493" w:rsidP="00043C7F">
      <w:pPr>
        <w:autoSpaceDE w:val="0"/>
        <w:autoSpaceDN w:val="0"/>
        <w:adjustRightInd w:val="0"/>
      </w:pPr>
    </w:p>
    <w:p w:rsidR="00043C7F" w:rsidRDefault="00043C7F" w:rsidP="00043C7F">
      <w:pPr>
        <w:autoSpaceDE w:val="0"/>
        <w:autoSpaceDN w:val="0"/>
        <w:adjustRightInd w:val="0"/>
      </w:pPr>
      <w:r>
        <w:lastRenderedPageBreak/>
        <w:t xml:space="preserve">The TSCONST field of the Extended mmWave TSPEC element may contain one or more </w:t>
      </w:r>
      <w:r w:rsidRPr="000266F2">
        <w:t xml:space="preserve">TS scheduling constraint fields. </w:t>
      </w:r>
      <w:r>
        <w:t xml:space="preserve">Each TS scheduling constrain field provides information separately </w:t>
      </w:r>
      <w:r w:rsidR="00623493">
        <w:t xml:space="preserve">for each overlapping NAV event. </w:t>
      </w:r>
      <w:r>
        <w:t xml:space="preserve">The following NAV events should be reported: </w:t>
      </w:r>
    </w:p>
    <w:p w:rsidR="00043C7F" w:rsidRPr="00D4070C" w:rsidRDefault="00043C7F" w:rsidP="003701DB">
      <w:pPr>
        <w:pStyle w:val="ListParagraph"/>
        <w:numPr>
          <w:ilvl w:val="0"/>
          <w:numId w:val="212"/>
        </w:numPr>
      </w:pPr>
      <w:r w:rsidRPr="00D4070C">
        <w:t xml:space="preserve">non-zero NAV at start of SP </w:t>
      </w:r>
    </w:p>
    <w:p w:rsidR="00043C7F" w:rsidRPr="00D4070C" w:rsidRDefault="00043C7F" w:rsidP="003701DB">
      <w:pPr>
        <w:pStyle w:val="ListParagraph"/>
        <w:numPr>
          <w:ilvl w:val="0"/>
          <w:numId w:val="212"/>
        </w:numPr>
      </w:pPr>
      <w:r w:rsidRPr="00D4070C">
        <w:t xml:space="preserve">extension of NAV </w:t>
      </w:r>
      <w:r>
        <w:t>during</w:t>
      </w:r>
      <w:r w:rsidRPr="00D4070C">
        <w:t xml:space="preserve"> the SP</w:t>
      </w:r>
      <w:r>
        <w:t xml:space="preserve">, including </w:t>
      </w:r>
      <w:r w:rsidRPr="00D4070C">
        <w:t xml:space="preserve">extension of </w:t>
      </w:r>
      <w:r>
        <w:t>an initial</w:t>
      </w:r>
      <w:r w:rsidRPr="00D4070C">
        <w:t xml:space="preserve"> non-zero NAV and transitioning of the NAV from zero to non-zero</w:t>
      </w:r>
      <w:r>
        <w:t xml:space="preserve"> value during the SP</w:t>
      </w:r>
    </w:p>
    <w:p w:rsidR="00043C7F" w:rsidRPr="00D4070C" w:rsidRDefault="00043C7F" w:rsidP="003701DB">
      <w:pPr>
        <w:pStyle w:val="ListParagraph"/>
        <w:numPr>
          <w:ilvl w:val="0"/>
          <w:numId w:val="212"/>
        </w:numPr>
      </w:pPr>
      <w:r w:rsidRPr="00D4070C">
        <w:t>truncation of</w:t>
      </w:r>
      <w:r>
        <w:t xml:space="preserve"> the</w:t>
      </w:r>
      <w:r w:rsidRPr="00D4070C">
        <w:t xml:space="preserve"> NAV </w:t>
      </w:r>
      <w:r>
        <w:t>during</w:t>
      </w:r>
      <w:r w:rsidRPr="00D4070C">
        <w:t xml:space="preserve"> the SP</w:t>
      </w:r>
    </w:p>
    <w:p w:rsidR="00623493" w:rsidRDefault="00623493" w:rsidP="00043C7F">
      <w:pPr>
        <w:autoSpaceDE w:val="0"/>
        <w:autoSpaceDN w:val="0"/>
        <w:adjustRightInd w:val="0"/>
      </w:pPr>
    </w:p>
    <w:p w:rsidR="00043C7F" w:rsidRDefault="00043C7F" w:rsidP="00043C7F">
      <w:pPr>
        <w:autoSpaceDE w:val="0"/>
        <w:autoSpaceDN w:val="0"/>
        <w:adjustRightInd w:val="0"/>
      </w:pPr>
      <w:r w:rsidRPr="000266F2">
        <w:t>The T</w:t>
      </w:r>
      <w:r>
        <w:t>S</w:t>
      </w:r>
      <w:r w:rsidRPr="000266F2">
        <w:t xml:space="preserve">CONST </w:t>
      </w:r>
      <w:r>
        <w:t>S</w:t>
      </w:r>
      <w:r w:rsidRPr="000266F2">
        <w:t xml:space="preserve">tart </w:t>
      </w:r>
      <w:r>
        <w:t>T</w:t>
      </w:r>
      <w:r w:rsidRPr="000266F2">
        <w:t xml:space="preserve">ime </w:t>
      </w:r>
      <w:r w:rsidR="00623493">
        <w:t xml:space="preserve">field </w:t>
      </w:r>
      <w:r>
        <w:t>is</w:t>
      </w:r>
      <w:r w:rsidRPr="000266F2">
        <w:t xml:space="preserve"> set</w:t>
      </w:r>
      <w:r>
        <w:t xml:space="preserve"> to the time at which the NAV timer value was captured for placement into the TSCONST Duration field</w:t>
      </w:r>
      <w:r w:rsidR="00623493">
        <w:t xml:space="preserve">. </w:t>
      </w:r>
      <w:r>
        <w:t xml:space="preserve">For event a) above, the </w:t>
      </w:r>
      <w:r w:rsidRPr="000266F2">
        <w:t>T</w:t>
      </w:r>
      <w:r>
        <w:t>S</w:t>
      </w:r>
      <w:r w:rsidRPr="000266F2">
        <w:t xml:space="preserve">CONST </w:t>
      </w:r>
      <w:r>
        <w:t>S</w:t>
      </w:r>
      <w:r w:rsidRPr="000266F2">
        <w:t xml:space="preserve">tart </w:t>
      </w:r>
      <w:r>
        <w:t>T</w:t>
      </w:r>
      <w:r w:rsidRPr="000266F2">
        <w:t xml:space="preserve">ime </w:t>
      </w:r>
      <w:r w:rsidR="00623493">
        <w:t xml:space="preserve">field </w:t>
      </w:r>
      <w:r w:rsidRPr="000266F2">
        <w:t>shall be set to the start of the SP</w:t>
      </w:r>
      <w:r>
        <w:t>.</w:t>
      </w:r>
      <w:r w:rsidR="00623493">
        <w:t xml:space="preserve"> </w:t>
      </w:r>
      <w:r>
        <w:t>For event b) above, t</w:t>
      </w:r>
      <w:r w:rsidRPr="000266F2">
        <w:t>he T</w:t>
      </w:r>
      <w:r>
        <w:t>S</w:t>
      </w:r>
      <w:r w:rsidRPr="000266F2">
        <w:t xml:space="preserve">CONST </w:t>
      </w:r>
      <w:r>
        <w:t>S</w:t>
      </w:r>
      <w:r w:rsidRPr="000266F2">
        <w:t xml:space="preserve">tart </w:t>
      </w:r>
      <w:r>
        <w:t>T</w:t>
      </w:r>
      <w:r w:rsidRPr="000266F2">
        <w:t xml:space="preserve">ime </w:t>
      </w:r>
      <w:r w:rsidR="00623493">
        <w:t xml:space="preserve">field </w:t>
      </w:r>
      <w:r w:rsidRPr="000266F2">
        <w:t xml:space="preserve">shall be set to </w:t>
      </w:r>
      <w:r>
        <w:t>the time the NAV timer was updated or initialized to the value reported in the TSCONST Duration field.</w:t>
      </w:r>
      <w:r w:rsidR="00623493">
        <w:t xml:space="preserve"> </w:t>
      </w:r>
      <w:r>
        <w:t>For event c) above, t</w:t>
      </w:r>
      <w:r w:rsidRPr="000266F2">
        <w:t>he T</w:t>
      </w:r>
      <w:r>
        <w:t>S</w:t>
      </w:r>
      <w:r w:rsidRPr="000266F2">
        <w:t xml:space="preserve">CONST </w:t>
      </w:r>
      <w:r>
        <w:t>S</w:t>
      </w:r>
      <w:r w:rsidRPr="000266F2">
        <w:t xml:space="preserve">tart </w:t>
      </w:r>
      <w:r>
        <w:t>T</w:t>
      </w:r>
      <w:r w:rsidRPr="000266F2">
        <w:t xml:space="preserve">ime </w:t>
      </w:r>
      <w:r w:rsidR="00623493">
        <w:t xml:space="preserve">field </w:t>
      </w:r>
      <w:r w:rsidRPr="000266F2">
        <w:t xml:space="preserve">shall be set to </w:t>
      </w:r>
      <w:r>
        <w:t>the time the NAV timer was reset.</w:t>
      </w:r>
    </w:p>
    <w:p w:rsidR="00043C7F" w:rsidRDefault="00043C7F" w:rsidP="00043C7F">
      <w:pPr>
        <w:autoSpaceDE w:val="0"/>
        <w:autoSpaceDN w:val="0"/>
        <w:adjustRightInd w:val="0"/>
      </w:pPr>
    </w:p>
    <w:p w:rsidR="00043C7F" w:rsidRDefault="00043C7F" w:rsidP="00043C7F">
      <w:pPr>
        <w:autoSpaceDE w:val="0"/>
        <w:autoSpaceDN w:val="0"/>
        <w:adjustRightInd w:val="0"/>
      </w:pPr>
      <w:r w:rsidRPr="000266F2">
        <w:t>The T</w:t>
      </w:r>
      <w:r>
        <w:t>S</w:t>
      </w:r>
      <w:r w:rsidRPr="000266F2">
        <w:t xml:space="preserve">CONST </w:t>
      </w:r>
      <w:r>
        <w:t>D</w:t>
      </w:r>
      <w:r w:rsidRPr="000266F2">
        <w:t xml:space="preserve">uration </w:t>
      </w:r>
      <w:r w:rsidR="00623493">
        <w:t xml:space="preserve">field </w:t>
      </w:r>
      <w:r w:rsidRPr="000266F2">
        <w:t>shall be set to</w:t>
      </w:r>
      <w:r>
        <w:t xml:space="preserve"> the NAV timer value at the TSCONST Start Time, which is the value zero for event c).</w:t>
      </w:r>
    </w:p>
    <w:p w:rsidR="00043C7F" w:rsidRDefault="00043C7F" w:rsidP="00043C7F">
      <w:pPr>
        <w:autoSpaceDE w:val="0"/>
        <w:autoSpaceDN w:val="0"/>
        <w:adjustRightInd w:val="0"/>
      </w:pPr>
    </w:p>
    <w:p w:rsidR="00043C7F" w:rsidRPr="000266F2" w:rsidRDefault="00043C7F" w:rsidP="00043C7F">
      <w:pPr>
        <w:autoSpaceDE w:val="0"/>
        <w:autoSpaceDN w:val="0"/>
        <w:adjustRightInd w:val="0"/>
      </w:pPr>
      <w:r w:rsidRPr="000266F2">
        <w:t>The T</w:t>
      </w:r>
      <w:r>
        <w:t>S</w:t>
      </w:r>
      <w:r w:rsidRPr="000266F2">
        <w:t xml:space="preserve">CONST </w:t>
      </w:r>
      <w:r>
        <w:t>P</w:t>
      </w:r>
      <w:r w:rsidRPr="000266F2">
        <w:t>eriod shall be set to zero indicating that the field is not applicable.</w:t>
      </w:r>
    </w:p>
    <w:p w:rsidR="0052670C" w:rsidRDefault="0052670C" w:rsidP="00043C7F">
      <w:pPr>
        <w:autoSpaceDE w:val="0"/>
        <w:autoSpaceDN w:val="0"/>
        <w:adjustRightInd w:val="0"/>
      </w:pPr>
    </w:p>
    <w:p w:rsidR="00043C7F" w:rsidRDefault="00043C7F" w:rsidP="00043C7F">
      <w:pPr>
        <w:autoSpaceDE w:val="0"/>
        <w:autoSpaceDN w:val="0"/>
        <w:adjustRightInd w:val="0"/>
      </w:pPr>
      <w:r w:rsidRPr="000266F2">
        <w:t xml:space="preserve">The Interferer MAC Address shall be set to the NAVDST </w:t>
      </w:r>
      <w:r>
        <w:t>of the NAV timer from which the TSCONST Start Time was derived (</w:t>
      </w:r>
      <w:r w:rsidR="00BD151C">
        <w:fldChar w:fldCharType="begin"/>
      </w:r>
      <w:r w:rsidR="0052670C">
        <w:instrText xml:space="preserve"> REF _Ref243982491 \r \h </w:instrText>
      </w:r>
      <w:r w:rsidR="00BD151C">
        <w:fldChar w:fldCharType="separate"/>
      </w:r>
      <w:r w:rsidR="003E4210">
        <w:t>9.23.10</w:t>
      </w:r>
      <w:r w:rsidR="00BD151C">
        <w:fldChar w:fldCharType="end"/>
      </w:r>
      <w:r w:rsidRPr="000266F2">
        <w:t>)</w:t>
      </w:r>
      <w:r>
        <w:t>.</w:t>
      </w:r>
    </w:p>
    <w:p w:rsidR="00043C7F" w:rsidRDefault="00043C7F" w:rsidP="00043C7F">
      <w:pPr>
        <w:autoSpaceDE w:val="0"/>
        <w:autoSpaceDN w:val="0"/>
        <w:adjustRightInd w:val="0"/>
      </w:pPr>
    </w:p>
    <w:p w:rsidR="00043C7F" w:rsidRDefault="00043C7F" w:rsidP="00043C7F">
      <w:pPr>
        <w:autoSpaceDE w:val="0"/>
        <w:autoSpaceDN w:val="0"/>
        <w:adjustRightInd w:val="0"/>
      </w:pPr>
      <w:r w:rsidRPr="000266F2">
        <w:t>All values conveyed in the T</w:t>
      </w:r>
      <w:r>
        <w:t>S</w:t>
      </w:r>
      <w:r w:rsidRPr="000266F2">
        <w:t>CONST fie</w:t>
      </w:r>
      <w:r>
        <w:t>l</w:t>
      </w:r>
      <w:r w:rsidRPr="000266F2">
        <w:t>d shall refer to the SP indicated in the TSID field of the TSPEC.</w:t>
      </w:r>
    </w:p>
    <w:p w:rsidR="00043C7F" w:rsidRPr="000266F2" w:rsidRDefault="00043C7F" w:rsidP="00043C7F">
      <w:pPr>
        <w:autoSpaceDE w:val="0"/>
        <w:autoSpaceDN w:val="0"/>
        <w:adjustRightInd w:val="0"/>
      </w:pPr>
    </w:p>
    <w:p w:rsidR="00043C7F" w:rsidRDefault="00043C7F" w:rsidP="00043C7F">
      <w:pPr>
        <w:autoSpaceDE w:val="0"/>
        <w:autoSpaceDN w:val="0"/>
        <w:adjustRightInd w:val="0"/>
      </w:pPr>
      <w:r>
        <w:t>The value of o</w:t>
      </w:r>
      <w:r w:rsidRPr="000266F2">
        <w:t xml:space="preserve">ther fields </w:t>
      </w:r>
      <w:r w:rsidR="0052670C">
        <w:t>within</w:t>
      </w:r>
      <w:r w:rsidRPr="000266F2">
        <w:t xml:space="preserve"> the Extended mmWave TSPEC element shall </w:t>
      </w:r>
      <w:r>
        <w:t>conform to the rules specified</w:t>
      </w:r>
      <w:r w:rsidRPr="000266F2">
        <w:t xml:space="preserve"> in </w:t>
      </w:r>
      <w:r w:rsidR="00BD151C">
        <w:fldChar w:fldCharType="begin"/>
      </w:r>
      <w:r w:rsidR="0052670C">
        <w:instrText xml:space="preserve"> REF _Ref257123468 \r \h </w:instrText>
      </w:r>
      <w:r w:rsidR="00BD151C">
        <w:fldChar w:fldCharType="separate"/>
      </w:r>
      <w:r w:rsidR="003E4210">
        <w:t>11.4</w:t>
      </w:r>
      <w:r w:rsidR="00BD151C">
        <w:fldChar w:fldCharType="end"/>
      </w:r>
      <w:r w:rsidRPr="000266F2">
        <w:t>.</w:t>
      </w:r>
    </w:p>
    <w:p w:rsidR="0052670C" w:rsidRDefault="0052670C" w:rsidP="00043C7F">
      <w:pPr>
        <w:autoSpaceDE w:val="0"/>
        <w:autoSpaceDN w:val="0"/>
        <w:adjustRightInd w:val="0"/>
      </w:pPr>
    </w:p>
    <w:p w:rsidR="00043C7F" w:rsidRDefault="00043C7F" w:rsidP="00043C7F">
      <w:pPr>
        <w:autoSpaceDE w:val="0"/>
        <w:autoSpaceDN w:val="0"/>
        <w:adjustRightInd w:val="0"/>
      </w:pPr>
      <w:r>
        <w:t xml:space="preserve">Use of the information conveyed in the TCONST field is implementation dependent and not specified in the spec. </w:t>
      </w:r>
    </w:p>
    <w:p w:rsidR="00F662EE" w:rsidRPr="00103270" w:rsidRDefault="0036405E" w:rsidP="003736A8">
      <w:pPr>
        <w:pStyle w:val="Heading4"/>
      </w:pPr>
      <w:r>
        <w:t xml:space="preserve"> </w:t>
      </w:r>
      <w:bookmarkStart w:id="1348" w:name="_Toc236396735"/>
      <w:bookmarkStart w:id="1349" w:name="_Toc236396736"/>
      <w:bookmarkStart w:id="1350" w:name="_Toc235400324"/>
      <w:bookmarkStart w:id="1351" w:name="_Ref243814804"/>
      <w:bookmarkStart w:id="1352" w:name="_Ref244147682"/>
      <w:bookmarkStart w:id="1353" w:name="_Ref251938621"/>
      <w:bookmarkStart w:id="1354" w:name="_Ref251938630"/>
      <w:bookmarkStart w:id="1355" w:name="_Ref251939203"/>
      <w:bookmarkStart w:id="1356" w:name="_Toc259717126"/>
      <w:bookmarkEnd w:id="1348"/>
      <w:bookmarkEnd w:id="1349"/>
      <w:r w:rsidR="002D3A22">
        <w:t>9.23.6</w:t>
      </w:r>
      <w:r w:rsidR="003736A8">
        <w:t xml:space="preserve">.6 </w:t>
      </w:r>
      <w:r w:rsidR="00F662EE" w:rsidRPr="009448FC">
        <w:t xml:space="preserve">Service </w:t>
      </w:r>
      <w:r w:rsidR="003736A8">
        <w:t>p</w:t>
      </w:r>
      <w:r w:rsidR="00F662EE" w:rsidRPr="009448FC">
        <w:t xml:space="preserve">eriod </w:t>
      </w:r>
      <w:r w:rsidR="003736A8">
        <w:t>r</w:t>
      </w:r>
      <w:r w:rsidR="00F662EE" w:rsidRPr="009448FC">
        <w:t>ecovery</w:t>
      </w:r>
      <w:bookmarkEnd w:id="1350"/>
      <w:bookmarkEnd w:id="1351"/>
      <w:bookmarkEnd w:id="1352"/>
      <w:bookmarkEnd w:id="1353"/>
      <w:bookmarkEnd w:id="1354"/>
      <w:bookmarkEnd w:id="1355"/>
      <w:bookmarkEnd w:id="1356"/>
    </w:p>
    <w:p w:rsidR="002F2194" w:rsidRPr="009448FC" w:rsidRDefault="008C36FC" w:rsidP="002F2194">
      <w:pPr>
        <w:autoSpaceDE w:val="0"/>
        <w:autoSpaceDN w:val="0"/>
        <w:adjustRightInd w:val="0"/>
      </w:pPr>
      <w:r w:rsidRPr="009448FC">
        <w:t xml:space="preserve">When a </w:t>
      </w:r>
      <w:r w:rsidR="00962AD7" w:rsidRPr="009448FC">
        <w:t>non-PCP</w:t>
      </w:r>
      <w:r w:rsidR="0008234C" w:rsidRPr="009448FC">
        <w:t>/non-</w:t>
      </w:r>
      <w:r w:rsidR="00655EA4" w:rsidRPr="009448FC">
        <w:t xml:space="preserve">AP </w:t>
      </w:r>
      <w:r w:rsidRPr="009448FC">
        <w:t xml:space="preserve">STA </w:t>
      </w:r>
      <w:r w:rsidR="00DB742F" w:rsidRPr="009448FC">
        <w:t>fails to receive</w:t>
      </w:r>
      <w:r w:rsidR="00571CD3" w:rsidRPr="009448FC">
        <w:t xml:space="preserve"> </w:t>
      </w:r>
      <w:r w:rsidRPr="009448FC">
        <w:t xml:space="preserve">the </w:t>
      </w:r>
      <w:r w:rsidR="00BB029B" w:rsidRPr="009448FC">
        <w:t xml:space="preserve">Extended </w:t>
      </w:r>
      <w:r w:rsidRPr="009448FC">
        <w:t xml:space="preserve">schedule </w:t>
      </w:r>
      <w:r w:rsidR="00877796" w:rsidRPr="009448FC">
        <w:t>element</w:t>
      </w:r>
      <w:r w:rsidR="00BB029B" w:rsidRPr="009448FC">
        <w:t xml:space="preserve"> </w:t>
      </w:r>
      <w:r w:rsidR="00571CD3" w:rsidRPr="009448FC">
        <w:t>for</w:t>
      </w:r>
      <w:r w:rsidRPr="009448FC">
        <w:t xml:space="preserve"> a </w:t>
      </w:r>
      <w:r w:rsidR="00AA32C4" w:rsidRPr="009448FC">
        <w:t>BI</w:t>
      </w:r>
      <w:r w:rsidRPr="009448FC">
        <w:t xml:space="preserve">, </w:t>
      </w:r>
      <w:r w:rsidR="00D4405B" w:rsidRPr="00D4405B">
        <w:t>it has no knowledge of the non pseudo-static SPs allocated during the BI that indicate itself as source STA, and it will therefore fail to initiate transmission during those SPs</w:t>
      </w:r>
      <w:r w:rsidRPr="009448FC">
        <w:t>.</w:t>
      </w:r>
      <w:r w:rsidR="00F558C0" w:rsidRPr="009448FC">
        <w:t xml:space="preserve"> </w:t>
      </w:r>
      <w:r w:rsidR="009670EB" w:rsidRPr="009670EB">
        <w:t xml:space="preserve">If the destination </w:t>
      </w:r>
      <w:r w:rsidR="009670EB">
        <w:t xml:space="preserve">of the </w:t>
      </w:r>
      <w:r w:rsidR="00B93DE5">
        <w:t>non pseudo-static</w:t>
      </w:r>
      <w:r w:rsidR="009670EB">
        <w:t xml:space="preserve"> SP is a PCP/AP</w:t>
      </w:r>
      <w:r w:rsidR="009670EB" w:rsidRPr="009670EB">
        <w:t xml:space="preserve"> and it does not receive</w:t>
      </w:r>
      <w:r w:rsidR="002F2194" w:rsidRPr="009448FC">
        <w:t xml:space="preserve"> any frames from the source non-PCP/non-AP STA for the </w:t>
      </w:r>
      <w:r w:rsidR="007155B3" w:rsidRPr="009448FC">
        <w:t>dot11</w:t>
      </w:r>
      <w:r w:rsidR="002F2194" w:rsidRPr="009448FC">
        <w:t xml:space="preserve">SPIdleTimeout interval from the start of the SP, the PCP/AP may truncate the SP and use the mechanism described in </w:t>
      </w:r>
      <w:r w:rsidR="00BD151C" w:rsidRPr="009448FC">
        <w:fldChar w:fldCharType="begin"/>
      </w:r>
      <w:r w:rsidR="003213D2" w:rsidRPr="009448FC">
        <w:instrText xml:space="preserve"> REF _Ref244079150 \r \h </w:instrText>
      </w:r>
      <w:r w:rsidR="00BD151C" w:rsidRPr="009448FC">
        <w:fldChar w:fldCharType="separate"/>
      </w:r>
      <w:r w:rsidR="003E4210">
        <w:t>9.23.7</w:t>
      </w:r>
      <w:r w:rsidR="00BD151C" w:rsidRPr="009448FC">
        <w:fldChar w:fldCharType="end"/>
      </w:r>
      <w:r w:rsidR="002F2194" w:rsidRPr="009448FC">
        <w:t xml:space="preserve"> to reallocate the remaining duration of the SP to the source STA of the SP or other STAs provided </w:t>
      </w:r>
      <w:r w:rsidR="00B93DE5">
        <w:t xml:space="preserve">that </w:t>
      </w:r>
      <w:r w:rsidR="002F2194" w:rsidRPr="009448FC">
        <w:t>it was a truncatable SP. If the SP is not a truncatable SP, the PCP may stay awake or may s</w:t>
      </w:r>
      <w:r w:rsidR="00B15064">
        <w:t xml:space="preserve">witch to </w:t>
      </w:r>
      <w:r w:rsidR="00E74D84">
        <w:t>D</w:t>
      </w:r>
      <w:r w:rsidR="00B15064">
        <w:t>oze state. If the non</w:t>
      </w:r>
      <w:r w:rsidR="002F2194" w:rsidRPr="009448FC">
        <w:t xml:space="preserve">-PCP/non-AP STA failed to receive the Extended schedule </w:t>
      </w:r>
      <w:r w:rsidR="00877796" w:rsidRPr="009448FC">
        <w:t>element</w:t>
      </w:r>
      <w:r w:rsidR="002F2194" w:rsidRPr="009448FC">
        <w:t xml:space="preserve"> from the PCP/AP for that BI, it may switch to </w:t>
      </w:r>
      <w:r w:rsidR="00B15064">
        <w:t>D</w:t>
      </w:r>
      <w:r w:rsidR="002F2194" w:rsidRPr="009448FC">
        <w:t xml:space="preserve">oze state or may tune its receive antenna towards </w:t>
      </w:r>
      <w:r w:rsidR="00C12267">
        <w:t xml:space="preserve">the </w:t>
      </w:r>
      <w:r w:rsidR="002F2194" w:rsidRPr="009448FC">
        <w:t>PCP/AP to receiv</w:t>
      </w:r>
      <w:r w:rsidR="003213D2" w:rsidRPr="009448FC">
        <w:t xml:space="preserve">e a </w:t>
      </w:r>
      <w:r w:rsidR="00B15064">
        <w:t>G</w:t>
      </w:r>
      <w:r w:rsidR="003213D2" w:rsidRPr="009448FC">
        <w:t>rant during non pseudo-</w:t>
      </w:r>
      <w:r w:rsidR="00B15064">
        <w:t xml:space="preserve">static SPs or </w:t>
      </w:r>
      <w:r w:rsidR="002F2194" w:rsidRPr="009448FC">
        <w:t xml:space="preserve">CBPs in the current BI. </w:t>
      </w:r>
    </w:p>
    <w:p w:rsidR="002F2194" w:rsidRPr="009448FC" w:rsidRDefault="002F2194" w:rsidP="002F2194">
      <w:pPr>
        <w:autoSpaceDE w:val="0"/>
        <w:autoSpaceDN w:val="0"/>
        <w:adjustRightInd w:val="0"/>
      </w:pPr>
    </w:p>
    <w:p w:rsidR="002F2194" w:rsidRPr="009448FC" w:rsidRDefault="002F2194" w:rsidP="002F2194">
      <w:pPr>
        <w:autoSpaceDE w:val="0"/>
        <w:autoSpaceDN w:val="0"/>
        <w:adjustRightInd w:val="0"/>
        <w:rPr>
          <w:color w:val="000000"/>
        </w:rPr>
      </w:pPr>
      <w:r w:rsidRPr="009448FC">
        <w:rPr>
          <w:color w:val="000000"/>
        </w:rPr>
        <w:t xml:space="preserve">A PCP/AP may reclaim the entire time allocated in an SP between two non-PCP/non-AP STAs if the following two conditions are met. </w:t>
      </w:r>
    </w:p>
    <w:p w:rsidR="002F2194" w:rsidRPr="009448FC" w:rsidRDefault="002F2194" w:rsidP="003701DB">
      <w:pPr>
        <w:numPr>
          <w:ilvl w:val="0"/>
          <w:numId w:val="157"/>
        </w:numPr>
        <w:autoSpaceDE w:val="0"/>
        <w:autoSpaceDN w:val="0"/>
        <w:adjustRightInd w:val="0"/>
      </w:pPr>
      <w:r w:rsidRPr="009448FC">
        <w:rPr>
          <w:color w:val="000000"/>
        </w:rPr>
        <w:t xml:space="preserve">The SP is announced within an Extended Schedule </w:t>
      </w:r>
      <w:r w:rsidR="00877796" w:rsidRPr="009448FC">
        <w:rPr>
          <w:color w:val="000000"/>
        </w:rPr>
        <w:t>element</w:t>
      </w:r>
      <w:r w:rsidRPr="009448FC">
        <w:rPr>
          <w:color w:val="000000"/>
        </w:rPr>
        <w:t xml:space="preserve"> transmitted during the AT period</w:t>
      </w:r>
    </w:p>
    <w:p w:rsidR="002F2194" w:rsidRPr="009448FC" w:rsidRDefault="002F2194" w:rsidP="003701DB">
      <w:pPr>
        <w:numPr>
          <w:ilvl w:val="0"/>
          <w:numId w:val="157"/>
        </w:numPr>
        <w:autoSpaceDE w:val="0"/>
        <w:autoSpaceDN w:val="0"/>
        <w:adjustRightInd w:val="0"/>
      </w:pPr>
      <w:r w:rsidRPr="009448FC">
        <w:rPr>
          <w:color w:val="000000"/>
        </w:rPr>
        <w:lastRenderedPageBreak/>
        <w:t>The PCP/AP does not receive a response frame from either the source or destination non-PCP/non-AP STAs of that SP as part of the AT exchange (</w:t>
      </w:r>
      <w:r w:rsidR="00BD151C" w:rsidRPr="009448FC">
        <w:rPr>
          <w:color w:val="000000"/>
        </w:rPr>
        <w:fldChar w:fldCharType="begin"/>
      </w:r>
      <w:r w:rsidR="003213D2" w:rsidRPr="009448FC">
        <w:rPr>
          <w:color w:val="000000"/>
        </w:rPr>
        <w:instrText xml:space="preserve"> REF _Ref246313992 \r \h </w:instrText>
      </w:r>
      <w:r w:rsidR="00BD151C" w:rsidRPr="009448FC">
        <w:rPr>
          <w:color w:val="000000"/>
        </w:rPr>
      </w:r>
      <w:r w:rsidR="00BD151C" w:rsidRPr="009448FC">
        <w:rPr>
          <w:color w:val="000000"/>
        </w:rPr>
        <w:fldChar w:fldCharType="separate"/>
      </w:r>
      <w:r w:rsidR="003E4210">
        <w:rPr>
          <w:color w:val="000000"/>
        </w:rPr>
        <w:t>9.23.3</w:t>
      </w:r>
      <w:r w:rsidR="00BD151C" w:rsidRPr="009448FC">
        <w:rPr>
          <w:color w:val="000000"/>
        </w:rPr>
        <w:fldChar w:fldCharType="end"/>
      </w:r>
      <w:r w:rsidRPr="009448FC">
        <w:rPr>
          <w:color w:val="000000"/>
        </w:rPr>
        <w:t xml:space="preserve">). </w:t>
      </w:r>
    </w:p>
    <w:p w:rsidR="00A6426E" w:rsidRDefault="00A6426E" w:rsidP="00B37D8C">
      <w:pPr>
        <w:autoSpaceDE w:val="0"/>
        <w:autoSpaceDN w:val="0"/>
        <w:adjustRightInd w:val="0"/>
        <w:rPr>
          <w:color w:val="000000"/>
        </w:rPr>
      </w:pPr>
    </w:p>
    <w:p w:rsidR="002F2194" w:rsidRPr="009448FC" w:rsidRDefault="00A6426E" w:rsidP="00B37D8C">
      <w:pPr>
        <w:autoSpaceDE w:val="0"/>
        <w:autoSpaceDN w:val="0"/>
        <w:adjustRightInd w:val="0"/>
      </w:pPr>
      <w:r>
        <w:rPr>
          <w:color w:val="000000"/>
        </w:rPr>
        <w:t>In either case, t</w:t>
      </w:r>
      <w:r w:rsidR="002F2194" w:rsidRPr="009448FC">
        <w:rPr>
          <w:color w:val="000000"/>
        </w:rPr>
        <w:t>he PCP/AP may reallocate the reclaimed SP time as a CBP, SP, or take no further actions.</w:t>
      </w:r>
    </w:p>
    <w:p w:rsidR="00C2449C" w:rsidRPr="009448FC" w:rsidRDefault="00C2449C" w:rsidP="00D84FF5"/>
    <w:p w:rsidR="00F35FF0" w:rsidRPr="009448FC" w:rsidRDefault="00D84FF5" w:rsidP="003701DB">
      <w:pPr>
        <w:pStyle w:val="Heading3"/>
        <w:numPr>
          <w:ilvl w:val="2"/>
          <w:numId w:val="204"/>
        </w:numPr>
      </w:pPr>
      <w:bookmarkStart w:id="1357" w:name="_Ref244079150"/>
      <w:bookmarkStart w:id="1358" w:name="_Ref244079447"/>
      <w:bookmarkStart w:id="1359" w:name="_Ref244079893"/>
      <w:bookmarkStart w:id="1360" w:name="_Toc259717127"/>
      <w:r w:rsidRPr="009448FC">
        <w:t xml:space="preserve">Dynamic </w:t>
      </w:r>
      <w:r w:rsidR="00444ED9">
        <w:t>a</w:t>
      </w:r>
      <w:r w:rsidRPr="009448FC">
        <w:t xml:space="preserve">llocation of </w:t>
      </w:r>
      <w:r w:rsidR="00444ED9">
        <w:t>s</w:t>
      </w:r>
      <w:r w:rsidRPr="009448FC">
        <w:t xml:space="preserve">ervice </w:t>
      </w:r>
      <w:r w:rsidR="00444ED9">
        <w:t>p</w:t>
      </w:r>
      <w:r w:rsidRPr="009448FC">
        <w:t>eriod</w:t>
      </w:r>
      <w:bookmarkEnd w:id="1357"/>
      <w:bookmarkEnd w:id="1358"/>
      <w:bookmarkEnd w:id="1359"/>
      <w:bookmarkEnd w:id="1360"/>
      <w:r w:rsidRPr="009448FC">
        <w:t xml:space="preserve"> </w:t>
      </w:r>
    </w:p>
    <w:p w:rsidR="00D84FF5" w:rsidRPr="009448FC" w:rsidRDefault="00D84FF5" w:rsidP="00D84FF5"/>
    <w:p w:rsidR="00F35FF0" w:rsidRPr="009448FC" w:rsidRDefault="00F35FF0" w:rsidP="00F35FF0">
      <w:pPr>
        <w:autoSpaceDE w:val="0"/>
        <w:autoSpaceDN w:val="0"/>
        <w:adjustRightInd w:val="0"/>
      </w:pPr>
      <w:r w:rsidRPr="009448FC">
        <w:t xml:space="preserve">Dynamic allocation of service period is employed to allocate channel time during scheduled SPs and CBPs. The </w:t>
      </w:r>
      <w:r w:rsidR="002827C0" w:rsidRPr="009448FC">
        <w:t>procedure</w:t>
      </w:r>
      <w:r w:rsidRPr="009448FC">
        <w:t xml:space="preserve"> includes an optional Polling Period (PP) phase and a Grant Period (GP) phase.</w:t>
      </w:r>
    </w:p>
    <w:p w:rsidR="00A82282" w:rsidRPr="009448FC" w:rsidRDefault="00A82282" w:rsidP="00F35FF0">
      <w:pPr>
        <w:autoSpaceDE w:val="0"/>
        <w:autoSpaceDN w:val="0"/>
        <w:adjustRightInd w:val="0"/>
      </w:pPr>
    </w:p>
    <w:p w:rsidR="00F35FF0" w:rsidRPr="009448FC" w:rsidRDefault="00F35FF0" w:rsidP="00931BD0">
      <w:pPr>
        <w:autoSpaceDE w:val="0"/>
        <w:autoSpaceDN w:val="0"/>
        <w:adjustRightInd w:val="0"/>
      </w:pPr>
      <w:r w:rsidRPr="009448FC">
        <w:t xml:space="preserve">The Dynamic Allocation of Service Period field in the STA Availability </w:t>
      </w:r>
      <w:r w:rsidR="00877796" w:rsidRPr="009448FC">
        <w:t>element</w:t>
      </w:r>
      <w:r w:rsidRPr="009448FC">
        <w:t xml:space="preserve"> (</w:t>
      </w:r>
      <w:r w:rsidR="00BD151C" w:rsidRPr="009448FC">
        <w:fldChar w:fldCharType="begin"/>
      </w:r>
      <w:r w:rsidR="00931BD0" w:rsidRPr="009448FC">
        <w:instrText xml:space="preserve"> REF _Ref244235153 \r \h </w:instrText>
      </w:r>
      <w:r w:rsidR="00BD151C" w:rsidRPr="009448FC">
        <w:fldChar w:fldCharType="separate"/>
      </w:r>
      <w:r w:rsidR="003E4210">
        <w:t>7.3.2.96</w:t>
      </w:r>
      <w:r w:rsidR="00BD151C" w:rsidRPr="009448FC">
        <w:fldChar w:fldCharType="end"/>
      </w:r>
      <w:r w:rsidRPr="009448FC">
        <w:t>) indicates whether a STA participates in Dynamic Allocation of Service Periods. A STA that participates in Dynamic Allocation of Service Periods responds to Poll frames during the PP. A STA that participates in Dynamic Allocation of Service Periods uses the time allocated through Grant frames</w:t>
      </w:r>
      <w:r w:rsidR="00281486" w:rsidRPr="009448FC">
        <w:t xml:space="preserve"> </w:t>
      </w:r>
      <w:r w:rsidRPr="009448FC">
        <w:t xml:space="preserve">during the GP to transmit frames. A STA may set the Dynamic Allocation of Service Period field in a transmitted STA Availability </w:t>
      </w:r>
      <w:r w:rsidR="00877796" w:rsidRPr="009448FC">
        <w:t>element</w:t>
      </w:r>
      <w:r w:rsidRPr="009448FC">
        <w:t xml:space="preserve"> to zero to indicate that it does not respond to Poll and Grant frames during the PP and the GP.</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rPr>
          <w:sz w:val="20"/>
        </w:rPr>
      </w:pPr>
      <w:r w:rsidRPr="009448FC">
        <w:rPr>
          <w:sz w:val="20"/>
        </w:rPr>
        <w:t xml:space="preserve">NOTE – A STA can receive a Grant frame in periods of the BI other than the GP, in which case the STA uses the time allocated through the Grant frame. An example is described in </w:t>
      </w:r>
      <w:fldSimple w:instr=" REF _Ref244148036 \r \h  \* MERGEFORMAT ">
        <w:r w:rsidR="003E4210" w:rsidRPr="003E4210">
          <w:rPr>
            <w:sz w:val="20"/>
          </w:rPr>
          <w:t>9.25.4</w:t>
        </w:r>
      </w:fldSimple>
      <w:r w:rsidRPr="009448FC">
        <w:rPr>
          <w:sz w:val="20"/>
        </w:rPr>
        <w:t>.</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 xml:space="preserve">The PCP/AP shall not transmit Poll or Grant frames to a STA whose Dynamic allocation of service period field in the STA Availability </w:t>
      </w:r>
      <w:r w:rsidR="00877796" w:rsidRPr="009448FC">
        <w:t>element</w:t>
      </w:r>
      <w:r w:rsidRPr="009448FC">
        <w:t xml:space="preserve"> is set to zero. The PCP/AP shall not dynamically allocate a service period to a STA that is in a Doze BI. A PCP/AP may transmit Poll or Grant frames to a STA from which it has not received a STA Availability </w:t>
      </w:r>
      <w:r w:rsidR="00877796" w:rsidRPr="009448FC">
        <w:t>element</w:t>
      </w:r>
      <w:r w:rsidRPr="009448FC">
        <w:t xml:space="preserve"> with the Dynamic allocation of service period field from the STA set to zero.</w:t>
      </w:r>
    </w:p>
    <w:p w:rsidR="00F35FF0" w:rsidRPr="009448FC" w:rsidRDefault="00F35FF0" w:rsidP="00F35FF0">
      <w:pPr>
        <w:autoSpaceDE w:val="0"/>
        <w:autoSpaceDN w:val="0"/>
        <w:adjustRightInd w:val="0"/>
      </w:pPr>
    </w:p>
    <w:p w:rsidR="00F35FF0" w:rsidRPr="009448FC" w:rsidRDefault="00F35FF0" w:rsidP="009D17AA">
      <w:pPr>
        <w:autoSpaceDE w:val="0"/>
        <w:autoSpaceDN w:val="0"/>
        <w:adjustRightInd w:val="0"/>
      </w:pPr>
      <w:r w:rsidRPr="009448FC">
        <w:t>If a PCP/AP wants to dynamically allocate Service Periods during a scheduled SP for which both the source and destination AID fields are set to the broadcast AID, the PCP/AP shall set the truncatable subfield to one within the Allocation field corresponding to the scheduled SP.</w:t>
      </w:r>
      <w:r w:rsidR="007708A1" w:rsidRPr="009448FC">
        <w:t xml:space="preserve"> </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If a non-PCP/non-AP STA is neither source nor unicast destination during a truncatable SP and the non-PCP/non-AP STA participates in Dynamic Allocation of Service Periods and the non-PCP/non-AP STA is in a</w:t>
      </w:r>
      <w:r w:rsidR="007708A1" w:rsidRPr="009448FC">
        <w:t>n</w:t>
      </w:r>
      <w:r w:rsidRPr="009448FC">
        <w:t xml:space="preserve"> </w:t>
      </w:r>
      <w:r w:rsidR="00355B34">
        <w:t>A</w:t>
      </w:r>
      <w:r w:rsidRPr="009448FC">
        <w:t>wake BI, then it</w:t>
      </w:r>
      <w:r w:rsidRPr="009448FC" w:rsidDel="00533A67">
        <w:t xml:space="preserve"> </w:t>
      </w:r>
      <w:r w:rsidRPr="009448FC">
        <w:t xml:space="preserve">should be in </w:t>
      </w:r>
      <w:r w:rsidR="00C10496" w:rsidRPr="009448FC">
        <w:t xml:space="preserve">the </w:t>
      </w:r>
      <w:r w:rsidRPr="009448FC">
        <w:t>Awake state for the duration of the truncatable SP.</w:t>
      </w:r>
    </w:p>
    <w:p w:rsidR="00F35FF0" w:rsidRPr="009448FC" w:rsidRDefault="00F35FF0" w:rsidP="00F35FF0">
      <w:pPr>
        <w:autoSpaceDE w:val="0"/>
        <w:autoSpaceDN w:val="0"/>
        <w:adjustRightInd w:val="0"/>
      </w:pPr>
    </w:p>
    <w:p w:rsidR="00F35FF0" w:rsidRPr="009448FC" w:rsidRDefault="00F35FF0" w:rsidP="00D43B67">
      <w:pPr>
        <w:autoSpaceDE w:val="0"/>
        <w:autoSpaceDN w:val="0"/>
        <w:adjustRightInd w:val="0"/>
      </w:pPr>
      <w:r w:rsidRPr="009448FC">
        <w:t xml:space="preserve">A non-PCP/non-AP STA that participates in Dynamic Allocation of Service Periods shall be in </w:t>
      </w:r>
      <w:r w:rsidR="00C10496" w:rsidRPr="009448FC">
        <w:t xml:space="preserve">the </w:t>
      </w:r>
      <w:r w:rsidRPr="009448FC">
        <w:t xml:space="preserve">Awake state for </w:t>
      </w:r>
      <w:r w:rsidR="007155B3" w:rsidRPr="009448FC">
        <w:t>dot11</w:t>
      </w:r>
      <w:r w:rsidR="00D43B67" w:rsidRPr="009448FC">
        <w:t>MinPPDuration</w:t>
      </w:r>
      <w:r w:rsidRPr="009448FC">
        <w:t xml:space="preserve"> from the start of each truncatable SP for which both the source and the destination AID fields are set to the broadcast AID and that occurs within each </w:t>
      </w:r>
      <w:r w:rsidR="00355B34">
        <w:t>A</w:t>
      </w:r>
      <w:r w:rsidRPr="009448FC">
        <w:t xml:space="preserve">wake BI of that STA. Following the expiration of </w:t>
      </w:r>
      <w:r w:rsidR="007155B3" w:rsidRPr="009448FC">
        <w:t>dot11</w:t>
      </w:r>
      <w:r w:rsidR="00D43B67" w:rsidRPr="009448FC">
        <w:t>MinPPDuration</w:t>
      </w:r>
      <w:r w:rsidRPr="009448FC">
        <w:t xml:space="preserve">, the non-PCP/non-AP STA should remain in </w:t>
      </w:r>
      <w:r w:rsidR="00C10496" w:rsidRPr="009448FC">
        <w:t xml:space="preserve">the </w:t>
      </w:r>
      <w:r w:rsidRPr="009448FC">
        <w:t>Awake state until the end of the truncatable SP.</w:t>
      </w:r>
    </w:p>
    <w:p w:rsidR="00F35FF0" w:rsidRPr="009448FC" w:rsidRDefault="00F35FF0" w:rsidP="00F35FF0">
      <w:pPr>
        <w:autoSpaceDE w:val="0"/>
        <w:autoSpaceDN w:val="0"/>
        <w:adjustRightInd w:val="0"/>
      </w:pPr>
    </w:p>
    <w:p w:rsidR="00F35FF0" w:rsidRPr="009448FC" w:rsidRDefault="00F35FF0" w:rsidP="00D43B67">
      <w:pPr>
        <w:autoSpaceDE w:val="0"/>
        <w:autoSpaceDN w:val="0"/>
        <w:adjustRightInd w:val="0"/>
      </w:pPr>
      <w:r w:rsidRPr="009448FC">
        <w:t xml:space="preserve">A STA shall be in </w:t>
      </w:r>
      <w:r w:rsidR="00C10496" w:rsidRPr="009448FC">
        <w:t xml:space="preserve">the </w:t>
      </w:r>
      <w:r w:rsidRPr="009448FC">
        <w:t xml:space="preserve">Awake state for </w:t>
      </w:r>
      <w:r w:rsidR="007155B3" w:rsidRPr="009448FC">
        <w:t>dot11</w:t>
      </w:r>
      <w:r w:rsidR="00D43B67" w:rsidRPr="009448FC">
        <w:t>MinPPDuration</w:t>
      </w:r>
      <w:r w:rsidRPr="009448FC">
        <w:t xml:space="preserve"> from the start of each scheduled CBP that occurs within each </w:t>
      </w:r>
      <w:r w:rsidR="00355B34">
        <w:t>A</w:t>
      </w:r>
      <w:r w:rsidRPr="009448FC">
        <w:t>wake BI of that STA. A STA that enters the Doze state at any time during a CBP and then returns to the Awake state later during that same CBP shall not transmit except in response to a reception or when an explicit Grant frame is received which gives the STA permission to transmit during the CBP.</w:t>
      </w:r>
    </w:p>
    <w:p w:rsidR="00F35FF0" w:rsidRPr="009448FC" w:rsidRDefault="00F35FF0" w:rsidP="00F35FF0">
      <w:pPr>
        <w:autoSpaceDE w:val="0"/>
        <w:autoSpaceDN w:val="0"/>
        <w:adjustRightInd w:val="0"/>
      </w:pPr>
    </w:p>
    <w:p w:rsidR="00F35FF0" w:rsidRPr="009448FC" w:rsidRDefault="00F35FF0" w:rsidP="006F0768">
      <w:pPr>
        <w:autoSpaceDE w:val="0"/>
        <w:autoSpaceDN w:val="0"/>
        <w:adjustRightInd w:val="0"/>
      </w:pPr>
      <w:r w:rsidRPr="009448FC">
        <w:lastRenderedPageBreak/>
        <w:t>As described in</w:t>
      </w:r>
      <w:r w:rsidR="006F0768" w:rsidRPr="009448FC">
        <w:t xml:space="preserve"> </w:t>
      </w:r>
      <w:r w:rsidR="00BD151C" w:rsidRPr="009448FC">
        <w:fldChar w:fldCharType="begin"/>
      </w:r>
      <w:r w:rsidR="006F0768" w:rsidRPr="009448FC">
        <w:instrText xml:space="preserve"> REF _Ref244079530 \r \h </w:instrText>
      </w:r>
      <w:r w:rsidR="00BD151C" w:rsidRPr="009448FC">
        <w:fldChar w:fldCharType="separate"/>
      </w:r>
      <w:r w:rsidR="003E4210">
        <w:t>0</w:t>
      </w:r>
      <w:r w:rsidR="00BD151C" w:rsidRPr="009448FC">
        <w:fldChar w:fldCharType="end"/>
      </w:r>
      <w:r w:rsidRPr="009448FC">
        <w:t xml:space="preserve">, a STA that participates in Dynamic Allocation of Service Periods and that is neither source nor destination during a truncatable SP can be in receive </w:t>
      </w:r>
      <w:r w:rsidR="00B46FB3" w:rsidRPr="009448FC">
        <w:t>state</w:t>
      </w:r>
      <w:r w:rsidRPr="009448FC">
        <w:t xml:space="preserve"> with its receive antennas configured in a quasi-omni antenna pattern for the duration of the truncatable SP.</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 xml:space="preserve">A STA that receives a Grant frame with an SP allocation </w:t>
      </w:r>
      <w:r w:rsidR="00F264C8" w:rsidRPr="009448FC">
        <w:t xml:space="preserve">for which it is either source or destination </w:t>
      </w:r>
      <w:r w:rsidRPr="009448FC">
        <w:t>shall not transmit long</w:t>
      </w:r>
      <w:r w:rsidR="00F264C8" w:rsidRPr="009448FC">
        <w:t>er than the time granted to it.</w:t>
      </w:r>
      <w:r w:rsidR="00D11F2E">
        <w:t xml:space="preserve"> </w:t>
      </w:r>
    </w:p>
    <w:p w:rsidR="00F35FF0" w:rsidRPr="009448FC" w:rsidRDefault="00F35FF0" w:rsidP="00F35FF0">
      <w:pPr>
        <w:autoSpaceDE w:val="0"/>
        <w:autoSpaceDN w:val="0"/>
        <w:adjustRightInd w:val="0"/>
      </w:pPr>
    </w:p>
    <w:p w:rsidR="00F35FF0" w:rsidRDefault="00F35FF0" w:rsidP="00F35FF0">
      <w:pPr>
        <w:autoSpaceDE w:val="0"/>
        <w:autoSpaceDN w:val="0"/>
        <w:adjustRightInd w:val="0"/>
      </w:pPr>
      <w:r w:rsidRPr="009448FC">
        <w:t>An example of dynamic allocation of service period is shown in</w:t>
      </w:r>
      <w:r w:rsidR="003736A8">
        <w:t xml:space="preserve"> </w:t>
      </w:r>
      <w:r w:rsidR="00BD151C">
        <w:fldChar w:fldCharType="begin"/>
      </w:r>
      <w:r w:rsidR="003736A8">
        <w:instrText xml:space="preserve"> REF _Ref251852269 \h </w:instrText>
      </w:r>
      <w:r w:rsidR="00BD151C">
        <w:fldChar w:fldCharType="separate"/>
      </w:r>
      <w:r w:rsidR="003E4210" w:rsidRPr="00066F65">
        <w:t xml:space="preserve">Figure </w:t>
      </w:r>
      <w:r w:rsidR="003E4210">
        <w:rPr>
          <w:noProof/>
        </w:rPr>
        <w:t>85</w:t>
      </w:r>
      <w:r w:rsidR="00BD151C">
        <w:fldChar w:fldCharType="end"/>
      </w:r>
      <w:r w:rsidRPr="009448FC">
        <w:t>.</w:t>
      </w:r>
    </w:p>
    <w:p w:rsidR="00F57F59" w:rsidRDefault="00F57F59" w:rsidP="00F35FF0">
      <w:pPr>
        <w:autoSpaceDE w:val="0"/>
        <w:autoSpaceDN w:val="0"/>
        <w:adjustRightInd w:val="0"/>
      </w:pPr>
    </w:p>
    <w:p w:rsidR="00F57F59" w:rsidRDefault="00F57F59" w:rsidP="00F35FF0">
      <w:pPr>
        <w:autoSpaceDE w:val="0"/>
        <w:autoSpaceDN w:val="0"/>
        <w:adjustRightInd w:val="0"/>
      </w:pPr>
    </w:p>
    <w:p w:rsidR="00F57F59" w:rsidRPr="009448FC" w:rsidRDefault="00F57F59" w:rsidP="00F35FF0">
      <w:pPr>
        <w:autoSpaceDE w:val="0"/>
        <w:autoSpaceDN w:val="0"/>
        <w:adjustRightInd w:val="0"/>
      </w:pPr>
      <w:r>
        <w:object w:dxaOrig="13055" w:dyaOrig="5395">
          <v:shape id="_x0000_i1049" type="#_x0000_t75" style="width:494.95pt;height:204.7pt" o:ole="">
            <v:imagedata r:id="rId145" o:title=""/>
          </v:shape>
          <o:OLEObject Type="Embed" ProgID="Visio.Drawing.11" ShapeID="_x0000_i1049" DrawAspect="Content" ObjectID="_1334048231" r:id="rId146"/>
        </w:object>
      </w:r>
    </w:p>
    <w:p w:rsidR="00FB2826" w:rsidRPr="005F368C" w:rsidRDefault="005F368C" w:rsidP="005F368C">
      <w:pPr>
        <w:tabs>
          <w:tab w:val="left" w:pos="3825"/>
        </w:tabs>
        <w:rPr>
          <w:lang w:bidi="ar-SA"/>
        </w:rPr>
      </w:pPr>
      <w:bookmarkStart w:id="1361" w:name="_Ref236395383"/>
      <w:bookmarkStart w:id="1362" w:name="_Toc205121755"/>
      <w:bookmarkStart w:id="1363" w:name="_Toc206227775"/>
      <w:bookmarkStart w:id="1364" w:name="_Toc206748179"/>
      <w:bookmarkStart w:id="1365" w:name="_Toc207100802"/>
      <w:r>
        <w:rPr>
          <w:lang w:bidi="ar-SA"/>
        </w:rPr>
        <w:tab/>
      </w:r>
    </w:p>
    <w:p w:rsidR="008C36FC" w:rsidRPr="00066F65" w:rsidRDefault="00E53378" w:rsidP="00BA5BC4">
      <w:pPr>
        <w:pStyle w:val="Caption"/>
      </w:pPr>
      <w:bookmarkStart w:id="1366" w:name="_Ref251852269"/>
      <w:bookmarkStart w:id="1367" w:name="_Toc259717517"/>
      <w:r w:rsidRPr="00066F65">
        <w:t xml:space="preserve">Figure </w:t>
      </w:r>
      <w:r w:rsidR="00BD151C">
        <w:fldChar w:fldCharType="begin"/>
      </w:r>
      <w:r w:rsidR="00801316">
        <w:instrText xml:space="preserve"> SEQ Figure \* ARABIC </w:instrText>
      </w:r>
      <w:r w:rsidR="00BD151C">
        <w:fldChar w:fldCharType="separate"/>
      </w:r>
      <w:r w:rsidR="003E4210">
        <w:rPr>
          <w:noProof/>
        </w:rPr>
        <w:t>85</w:t>
      </w:r>
      <w:r w:rsidR="00BD151C">
        <w:fldChar w:fldCharType="end"/>
      </w:r>
      <w:bookmarkEnd w:id="1361"/>
      <w:bookmarkEnd w:id="1366"/>
      <w:r w:rsidR="008C36FC" w:rsidRPr="00066F65">
        <w:t xml:space="preserve"> – </w:t>
      </w:r>
      <w:r w:rsidR="004E41A1">
        <w:t>Example of d</w:t>
      </w:r>
      <w:r w:rsidR="004E41A1" w:rsidRPr="00066F65">
        <w:t xml:space="preserve">ynamic </w:t>
      </w:r>
      <w:r w:rsidR="006514B7" w:rsidRPr="00066F65">
        <w:t xml:space="preserve">allocation of </w:t>
      </w:r>
      <w:r w:rsidR="008C36FC" w:rsidRPr="00066F65">
        <w:t>service period mechanism</w:t>
      </w:r>
      <w:bookmarkEnd w:id="1362"/>
      <w:bookmarkEnd w:id="1363"/>
      <w:bookmarkEnd w:id="1364"/>
      <w:bookmarkEnd w:id="1365"/>
      <w:bookmarkEnd w:id="1367"/>
    </w:p>
    <w:p w:rsidR="008C36FC" w:rsidRPr="00103270" w:rsidRDefault="00945CC9" w:rsidP="003736A8">
      <w:pPr>
        <w:pStyle w:val="Heading4"/>
      </w:pPr>
      <w:bookmarkStart w:id="1368" w:name="_Toc206227524"/>
      <w:bookmarkStart w:id="1369" w:name="_Toc206415471"/>
      <w:bookmarkStart w:id="1370" w:name="_Toc206418278"/>
      <w:bookmarkStart w:id="1371" w:name="_Toc207098960"/>
      <w:bookmarkStart w:id="1372" w:name="_Toc207099568"/>
      <w:bookmarkStart w:id="1373" w:name="_Toc207100487"/>
      <w:bookmarkStart w:id="1374" w:name="_Toc207348409"/>
      <w:bookmarkStart w:id="1375" w:name="_Toc215582788"/>
      <w:bookmarkStart w:id="1376" w:name="_Toc235400326"/>
      <w:bookmarkStart w:id="1377" w:name="_Ref236726786"/>
      <w:bookmarkStart w:id="1378" w:name="_Ref236726903"/>
      <w:bookmarkStart w:id="1379" w:name="_Toc259717128"/>
      <w:r>
        <w:t>9.23.7</w:t>
      </w:r>
      <w:r w:rsidR="003736A8">
        <w:t xml:space="preserve">.1 </w:t>
      </w:r>
      <w:r w:rsidR="00091E66" w:rsidRPr="009448FC">
        <w:t xml:space="preserve">Polling </w:t>
      </w:r>
      <w:r w:rsidR="00444ED9">
        <w:t>p</w:t>
      </w:r>
      <w:r w:rsidR="00091E66" w:rsidRPr="009448FC">
        <w:t>eriod (PP)</w:t>
      </w:r>
      <w:bookmarkEnd w:id="1368"/>
      <w:bookmarkEnd w:id="1369"/>
      <w:bookmarkEnd w:id="1370"/>
      <w:bookmarkEnd w:id="1371"/>
      <w:bookmarkEnd w:id="1372"/>
      <w:bookmarkEnd w:id="1373"/>
      <w:bookmarkEnd w:id="1374"/>
      <w:bookmarkEnd w:id="1375"/>
      <w:bookmarkEnd w:id="1376"/>
      <w:bookmarkEnd w:id="1377"/>
      <w:bookmarkEnd w:id="1378"/>
      <w:bookmarkEnd w:id="1379"/>
    </w:p>
    <w:p w:rsidR="00F35FF0" w:rsidRPr="009448FC" w:rsidRDefault="00F35FF0" w:rsidP="00F35FF0">
      <w:pPr>
        <w:pStyle w:val="BodyText"/>
        <w:outlineLvl w:val="0"/>
      </w:pPr>
    </w:p>
    <w:p w:rsidR="00F35FF0" w:rsidRPr="009448FC" w:rsidRDefault="00F35FF0" w:rsidP="00F35FF0">
      <w:pPr>
        <w:pStyle w:val="BodyText"/>
        <w:outlineLvl w:val="0"/>
        <w:rPr>
          <w:rFonts w:ascii="Times New Roman" w:hAnsi="Times New Roman"/>
        </w:rPr>
      </w:pPr>
      <w:r w:rsidRPr="009448FC">
        <w:rPr>
          <w:rFonts w:ascii="Times New Roman" w:hAnsi="Times New Roman"/>
        </w:rPr>
        <w:t>A PCP/AP that uses a PP to dynamically allocate an SP within the DTT shall commence the PP at a time instant indicated by at least one of the following:</w:t>
      </w:r>
    </w:p>
    <w:p w:rsidR="00F35FF0" w:rsidRPr="009448FC" w:rsidRDefault="00F35FF0" w:rsidP="003701DB">
      <w:pPr>
        <w:pStyle w:val="BodyText"/>
        <w:numPr>
          <w:ilvl w:val="0"/>
          <w:numId w:val="67"/>
        </w:numPr>
        <w:spacing w:before="0" w:after="0"/>
        <w:jc w:val="left"/>
        <w:outlineLvl w:val="0"/>
        <w:rPr>
          <w:rFonts w:ascii="Times New Roman" w:hAnsi="Times New Roman"/>
        </w:rPr>
      </w:pPr>
      <w:r w:rsidRPr="009448FC">
        <w:rPr>
          <w:rFonts w:ascii="Times New Roman" w:hAnsi="Times New Roman"/>
        </w:rPr>
        <w:t>anytime during a scheduled SP for which the source AID and destination AID are set to the broadcast AID, excluding any time that has been allocated dynamically</w:t>
      </w:r>
    </w:p>
    <w:p w:rsidR="00F35FF0" w:rsidRPr="009448FC" w:rsidRDefault="00F35FF0" w:rsidP="003701DB">
      <w:pPr>
        <w:pStyle w:val="BodyText"/>
        <w:numPr>
          <w:ilvl w:val="0"/>
          <w:numId w:val="67"/>
        </w:numPr>
        <w:spacing w:before="0" w:after="0"/>
        <w:jc w:val="left"/>
        <w:outlineLvl w:val="0"/>
        <w:rPr>
          <w:rFonts w:ascii="Times New Roman" w:hAnsi="Times New Roman"/>
        </w:rPr>
      </w:pPr>
      <w:r w:rsidRPr="009448FC">
        <w:rPr>
          <w:rFonts w:ascii="Times New Roman" w:hAnsi="Times New Roman"/>
        </w:rPr>
        <w:t>anytime during a TXOP within a scheduled CBP for which the source AID and destination AID are set to the broadcast AID, excluding any time that has been allocated dynamically</w:t>
      </w:r>
    </w:p>
    <w:p w:rsidR="00F35FF0" w:rsidRPr="009448FC" w:rsidRDefault="00F35FF0" w:rsidP="003701DB">
      <w:pPr>
        <w:pStyle w:val="BodyText"/>
        <w:numPr>
          <w:ilvl w:val="0"/>
          <w:numId w:val="67"/>
        </w:numPr>
        <w:spacing w:before="0" w:after="0"/>
        <w:jc w:val="left"/>
        <w:outlineLvl w:val="0"/>
        <w:rPr>
          <w:rFonts w:ascii="Times New Roman" w:hAnsi="Times New Roman"/>
        </w:rPr>
      </w:pPr>
      <w:r w:rsidRPr="009448FC">
        <w:rPr>
          <w:rFonts w:ascii="Times New Roman" w:hAnsi="Times New Roman"/>
        </w:rPr>
        <w:t>anytime during the relinquished channel time following an SP truncation, excluding any time that has been allocated dynamically.</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 xml:space="preserve">The PCP/AP shall not transmit a frame during a PP if any portion of that frame would extend beyond the end of the originally scheduled SP or CBP. </w:t>
      </w:r>
    </w:p>
    <w:p w:rsidR="00F35FF0" w:rsidRPr="009448FC" w:rsidRDefault="00F35FF0" w:rsidP="00F35FF0">
      <w:pPr>
        <w:pStyle w:val="BodyText"/>
        <w:rPr>
          <w:rFonts w:ascii="Times New Roman" w:hAnsi="Times New Roman"/>
        </w:rPr>
      </w:pPr>
    </w:p>
    <w:p w:rsidR="00F35FF0" w:rsidRPr="009448FC" w:rsidRDefault="00F35FF0" w:rsidP="00F35FF0">
      <w:pPr>
        <w:pStyle w:val="BodyText"/>
        <w:rPr>
          <w:rFonts w:ascii="Times New Roman" w:hAnsi="Times New Roman"/>
        </w:rPr>
      </w:pPr>
      <w:r w:rsidRPr="009448FC">
        <w:rPr>
          <w:rFonts w:ascii="Times New Roman" w:hAnsi="Times New Roman"/>
        </w:rPr>
        <w:t xml:space="preserve">During the PP, the PCP/AP may transmit unicast Poll frames to STAs to solicit SPR frames from those STAs. The Duration/ID field within each Poll frame shall be set to the duration of all remaining Poll frame transmissions if any, plus the duration of each SPR frame expected to be sent in response to each Poll frame transmission, plus all appropriate IFSs. The PCP/AP shall include a value in the </w:t>
      </w:r>
      <w:r w:rsidRPr="009448FC">
        <w:rPr>
          <w:rFonts w:ascii="Times New Roman" w:hAnsi="Times New Roman"/>
        </w:rPr>
        <w:lastRenderedPageBreak/>
        <w:t>Response Offset field within each Poll frame that ensures that the SPR transmitted in response to the receipt of that Poll frame will be transmitted entirely within the originally scheduled SP or CBP.</w:t>
      </w:r>
    </w:p>
    <w:p w:rsidR="00F35FF0" w:rsidRPr="009448FC" w:rsidRDefault="00F35FF0" w:rsidP="00F35FF0">
      <w:pPr>
        <w:pStyle w:val="BodyText"/>
        <w:rPr>
          <w:rFonts w:ascii="Times New Roman" w:hAnsi="Times New Roman"/>
        </w:rPr>
      </w:pPr>
    </w:p>
    <w:p w:rsidR="00F35FF0" w:rsidRPr="009448FC" w:rsidRDefault="00F35FF0" w:rsidP="00F35FF0">
      <w:pPr>
        <w:pStyle w:val="BodyText"/>
        <w:rPr>
          <w:rFonts w:ascii="Times New Roman" w:hAnsi="Times New Roman"/>
        </w:rPr>
      </w:pPr>
      <w:r w:rsidRPr="009448FC">
        <w:rPr>
          <w:rFonts w:ascii="Times New Roman" w:hAnsi="Times New Roman"/>
        </w:rPr>
        <w:t>A STA that receives a Poll frame shall respond to the PCP/AP with a single directional unicast SPR frame at the time offset from the end of the Poll frame indicated in the Response Offset field within the Poll frame. The Duration/ID field within the SPR frame shall be set to the value of the Duration/ID field contained in the received Poll frame, minus the value of the Response Offset field contained in the received Poll frame, minus SIFS.</w:t>
      </w:r>
    </w:p>
    <w:p w:rsidR="00F35FF0" w:rsidRPr="009448FC" w:rsidRDefault="00F35FF0" w:rsidP="00F35FF0">
      <w:pPr>
        <w:pStyle w:val="BodyText"/>
        <w:rPr>
          <w:rFonts w:ascii="Times New Roman" w:hAnsi="Times New Roman"/>
        </w:rPr>
      </w:pPr>
    </w:p>
    <w:p w:rsidR="00F35FF0" w:rsidRPr="009448FC" w:rsidRDefault="00F35FF0" w:rsidP="00F35FF0">
      <w:pPr>
        <w:autoSpaceDE w:val="0"/>
        <w:autoSpaceDN w:val="0"/>
        <w:adjustRightInd w:val="0"/>
      </w:pPr>
      <w:r w:rsidRPr="009448FC">
        <w:t>The PP ends at a time equal to the end of the last Poll frame transmission plus the value of the Response Offset field in that Poll frame plus the expected duration of the SPR transmission that is expected in response to that Poll frame plus SIFS.</w:t>
      </w:r>
    </w:p>
    <w:p w:rsidR="008C36FC" w:rsidRPr="009448FC" w:rsidRDefault="008C36FC" w:rsidP="0091073E">
      <w:pPr>
        <w:pStyle w:val="BodyText"/>
        <w:outlineLvl w:val="0"/>
        <w:rPr>
          <w:rFonts w:ascii="Times New Roman" w:hAnsi="Times New Roman"/>
        </w:rPr>
      </w:pPr>
    </w:p>
    <w:p w:rsidR="00091E66" w:rsidRPr="00103270" w:rsidRDefault="00945CC9" w:rsidP="003736A8">
      <w:pPr>
        <w:pStyle w:val="Heading4"/>
      </w:pPr>
      <w:bookmarkStart w:id="1380" w:name="_Toc241624391"/>
      <w:bookmarkStart w:id="1381" w:name="_Toc243399722"/>
      <w:bookmarkStart w:id="1382" w:name="_Toc243455688"/>
      <w:bookmarkStart w:id="1383" w:name="_Toc243461556"/>
      <w:bookmarkStart w:id="1384" w:name="_Toc243471687"/>
      <w:bookmarkStart w:id="1385" w:name="_Toc243794994"/>
      <w:bookmarkStart w:id="1386" w:name="_Toc259717129"/>
      <w:bookmarkEnd w:id="1380"/>
      <w:bookmarkEnd w:id="1381"/>
      <w:bookmarkEnd w:id="1382"/>
      <w:bookmarkEnd w:id="1383"/>
      <w:bookmarkEnd w:id="1384"/>
      <w:bookmarkEnd w:id="1385"/>
      <w:r>
        <w:t>9.23.7</w:t>
      </w:r>
      <w:r w:rsidR="003736A8">
        <w:t xml:space="preserve">.2 </w:t>
      </w:r>
      <w:r w:rsidR="00D45F4C" w:rsidRPr="009448FC">
        <w:t xml:space="preserve">Grant </w:t>
      </w:r>
      <w:r w:rsidR="00444ED9">
        <w:t>p</w:t>
      </w:r>
      <w:r w:rsidR="00D45F4C" w:rsidRPr="009448FC">
        <w:t>eriod (G</w:t>
      </w:r>
      <w:r w:rsidR="00091E66" w:rsidRPr="009448FC">
        <w:t>P)</w:t>
      </w:r>
      <w:bookmarkEnd w:id="1386"/>
    </w:p>
    <w:p w:rsidR="00F35FF0" w:rsidRPr="009448FC" w:rsidRDefault="00F35FF0" w:rsidP="00F35FF0">
      <w:pPr>
        <w:pStyle w:val="BodyText"/>
        <w:outlineLvl w:val="0"/>
        <w:rPr>
          <w:rFonts w:ascii="Times New Roman" w:hAnsi="Times New Roman"/>
        </w:rPr>
      </w:pPr>
      <w:r w:rsidRPr="009448FC">
        <w:rPr>
          <w:rFonts w:ascii="Times New Roman" w:hAnsi="Times New Roman"/>
        </w:rPr>
        <w:t>A PCP/AP that intends to dynamically allocate an SP within the DTT shall commence a GP at a time instant indicated by at least one of the following:</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SIFS interval following the end of a PP if the PP is present</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anytime during a scheduled SP for which the source AID and destination AID are set to the broadcast AID if a PP does not precede the GP, excluding any time that has been allocated dynamically</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anytime during a TXOP within a scheduled CBP for which the source AID and destination AID are set to the broadcast AID, excluding any time that has been allocated dynamically</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anytime during the relinquished channel time following an SP truncation if a PP does not precede the GP, excluding any time that has been allocated dynamically.</w:t>
      </w:r>
    </w:p>
    <w:p w:rsidR="00F35FF0" w:rsidRPr="009448FC" w:rsidRDefault="00F35FF0" w:rsidP="00F35FF0">
      <w:pPr>
        <w:pStyle w:val="BodyText"/>
        <w:outlineLvl w:val="0"/>
        <w:rPr>
          <w:rFonts w:ascii="Times New Roman" w:hAnsi="Times New Roman"/>
        </w:rPr>
      </w:pPr>
    </w:p>
    <w:p w:rsidR="00F35FF0" w:rsidRPr="009448FC" w:rsidRDefault="00F35FF0" w:rsidP="00F35FF0">
      <w:pPr>
        <w:autoSpaceDE w:val="0"/>
        <w:autoSpaceDN w:val="0"/>
        <w:adjustRightInd w:val="0"/>
      </w:pPr>
      <w:r w:rsidRPr="009448FC">
        <w:t xml:space="preserve">The PCP/AP shall not transmit a frame during a GP if any portion of that frame would extend beyond the end of the originally scheduled SP or CBP, or beyond the end of an immediately following SP if that SP has the </w:t>
      </w:r>
      <w:r w:rsidRPr="009448FC">
        <w:rPr>
          <w:rFonts w:eastAsia="MS Mincho"/>
        </w:rPr>
        <w:t>broadcast AID as both source and destination AID, whichever is later</w:t>
      </w:r>
      <w:r w:rsidRPr="009448FC">
        <w:t>.</w:t>
      </w:r>
    </w:p>
    <w:p w:rsidR="00F35FF0" w:rsidRPr="009448FC" w:rsidRDefault="00F35FF0" w:rsidP="00F35FF0">
      <w:pPr>
        <w:autoSpaceDE w:val="0"/>
        <w:autoSpaceDN w:val="0"/>
        <w:adjustRightInd w:val="0"/>
      </w:pPr>
    </w:p>
    <w:p w:rsidR="00F35FF0" w:rsidRPr="009448FC" w:rsidRDefault="00F35FF0" w:rsidP="00D43B67">
      <w:pPr>
        <w:pStyle w:val="BodyText"/>
        <w:rPr>
          <w:rFonts w:ascii="Times New Roman" w:hAnsi="Times New Roman"/>
        </w:rPr>
      </w:pPr>
      <w:r w:rsidRPr="009448FC">
        <w:rPr>
          <w:rFonts w:ascii="Times New Roman" w:hAnsi="Times New Roman"/>
        </w:rPr>
        <w:t xml:space="preserve">A non-PCP/non-AP STA may switch to Doze state if it does not receive a Grant frame from the PCP/AP within </w:t>
      </w:r>
      <w:r w:rsidR="007155B3" w:rsidRPr="009448FC">
        <w:rPr>
          <w:rFonts w:ascii="Times New Roman" w:hAnsi="Times New Roman"/>
        </w:rPr>
        <w:t>dot11</w:t>
      </w:r>
      <w:r w:rsidR="00D43B67" w:rsidRPr="009448FC">
        <w:rPr>
          <w:rFonts w:ascii="Times New Roman" w:hAnsi="Times New Roman"/>
        </w:rPr>
        <w:t>MinPPDuration</w:t>
      </w:r>
      <w:r w:rsidRPr="009448FC">
        <w:rPr>
          <w:rFonts w:ascii="Times New Roman" w:hAnsi="Times New Roman"/>
        </w:rPr>
        <w:t xml:space="preserve"> from the start of the scheduled SP for which the source AID and destination AID are set to the broadcast AID.</w:t>
      </w:r>
    </w:p>
    <w:p w:rsidR="00F35FF0" w:rsidRPr="009448FC" w:rsidRDefault="00F35FF0" w:rsidP="00F35FF0">
      <w:pPr>
        <w:autoSpaceDE w:val="0"/>
        <w:autoSpaceDN w:val="0"/>
        <w:adjustRightInd w:val="0"/>
      </w:pPr>
    </w:p>
    <w:p w:rsidR="00F35FF0" w:rsidRPr="009448FC" w:rsidRDefault="00F35FF0" w:rsidP="00F35FF0">
      <w:pPr>
        <w:pStyle w:val="BodyText"/>
        <w:rPr>
          <w:rFonts w:ascii="Times New Roman" w:hAnsi="Times New Roman"/>
        </w:rPr>
      </w:pPr>
      <w:r w:rsidRPr="009448FC">
        <w:rPr>
          <w:rFonts w:ascii="Times New Roman" w:hAnsi="Times New Roman"/>
        </w:rPr>
        <w:t xml:space="preserve">To commence the GP, the PCP/AP shall transmit one or more Grant frames to notify the source and destination STAs about </w:t>
      </w:r>
      <w:r w:rsidR="00187C3D">
        <w:rPr>
          <w:rFonts w:ascii="Times New Roman" w:hAnsi="Times New Roman"/>
        </w:rPr>
        <w:t xml:space="preserve">a </w:t>
      </w:r>
      <w:r w:rsidRPr="009448FC">
        <w:rPr>
          <w:rFonts w:ascii="Times New Roman" w:hAnsi="Times New Roman"/>
        </w:rPr>
        <w:t xml:space="preserve">dynamically allocated service period. In each transmitted Grant frame, the PCP/AP shall set the Duration/ID field within the Grant frame to a time that does not overlap in time with another SP which has either the source AID or destination AID different than the broadcast AID. In addition, the source AID and destination AID fields shall respectively be set to the source and destination of the dynamically allocated SP, the SPType field set to indicate SP or CBP, and the SP Duration field set to a value that is not greater than the result of the subtraction of the duration of all remaining Grant frame transmissions, if any, plus all appropriate IFSs from the value of the Duration/ID field. </w:t>
      </w:r>
    </w:p>
    <w:p w:rsidR="00F35FF0" w:rsidRDefault="00E02E3D" w:rsidP="00F35FF0">
      <w:pPr>
        <w:pStyle w:val="BodyText"/>
        <w:rPr>
          <w:rFonts w:ascii="Times New Roman" w:hAnsi="Times New Roman"/>
        </w:rPr>
      </w:pPr>
      <w:r>
        <w:rPr>
          <w:rFonts w:ascii="Times New Roman" w:hAnsi="Times New Roman"/>
        </w:rPr>
        <w:t xml:space="preserve"> </w:t>
      </w:r>
    </w:p>
    <w:p w:rsidR="00187C3D" w:rsidRDefault="00187C3D" w:rsidP="00187C3D">
      <w:pPr>
        <w:pStyle w:val="BodyText"/>
        <w:rPr>
          <w:rFonts w:ascii="Times New Roman" w:hAnsi="Times New Roman"/>
        </w:rPr>
      </w:pPr>
      <w:r>
        <w:rPr>
          <w:rFonts w:ascii="Times New Roman" w:hAnsi="Times New Roman"/>
        </w:rPr>
        <w:t xml:space="preserve">The SP info field within each Grant frame transmitted as part of the same GP shall be the </w:t>
      </w:r>
      <w:r w:rsidR="00BC176E">
        <w:rPr>
          <w:rFonts w:ascii="Times New Roman" w:hAnsi="Times New Roman"/>
        </w:rPr>
        <w:t>same.</w:t>
      </w:r>
    </w:p>
    <w:p w:rsidR="00187C3D" w:rsidRDefault="00187C3D" w:rsidP="00187C3D">
      <w:pPr>
        <w:pStyle w:val="BodyText"/>
        <w:rPr>
          <w:rFonts w:ascii="Times New Roman" w:hAnsi="Times New Roman"/>
        </w:rPr>
      </w:pPr>
    </w:p>
    <w:p w:rsidR="00187C3D" w:rsidRPr="00187C3D" w:rsidRDefault="009D537D" w:rsidP="00187C3D">
      <w:pPr>
        <w:pStyle w:val="BodyText"/>
        <w:rPr>
          <w:rFonts w:ascii="Times New Roman" w:hAnsi="Times New Roman"/>
          <w:sz w:val="20"/>
        </w:rPr>
      </w:pPr>
      <w:r w:rsidRPr="009D537D">
        <w:rPr>
          <w:rFonts w:ascii="Times New Roman" w:hAnsi="Times New Roman"/>
          <w:sz w:val="20"/>
        </w:rPr>
        <w:t>NOTE – Since the SP Info fields in all Grant frames are the same, the PCP/AP can allocate only one SP per GP.</w:t>
      </w:r>
    </w:p>
    <w:p w:rsidR="00187C3D" w:rsidRPr="009448FC" w:rsidRDefault="00187C3D" w:rsidP="00187C3D">
      <w:pPr>
        <w:pStyle w:val="BodyText"/>
        <w:rPr>
          <w:rFonts w:ascii="Times New Roman" w:hAnsi="Times New Roman"/>
        </w:rPr>
      </w:pPr>
    </w:p>
    <w:p w:rsidR="00F35FF0" w:rsidRPr="009448FC" w:rsidRDefault="00F35FF0" w:rsidP="00F35FF0">
      <w:pPr>
        <w:pStyle w:val="BodyText"/>
        <w:rPr>
          <w:rFonts w:ascii="Times New Roman" w:hAnsi="Times New Roman"/>
        </w:rPr>
      </w:pPr>
      <w:r w:rsidRPr="009448FC">
        <w:rPr>
          <w:rFonts w:ascii="Times New Roman" w:hAnsi="Times New Roman"/>
        </w:rPr>
        <w:t>A STA that receives a Grant frame shall not update its NAV if the value of either the source AID or destination AID fields in the Grant frame are equal to the STA’s AID.</w:t>
      </w:r>
    </w:p>
    <w:p w:rsidR="00F35FF0" w:rsidRPr="009448FC" w:rsidRDefault="00F35FF0" w:rsidP="00F35FF0">
      <w:pPr>
        <w:pStyle w:val="BodyText"/>
        <w:rPr>
          <w:rFonts w:ascii="Times New Roman" w:hAnsi="Times New Roman"/>
        </w:rPr>
      </w:pPr>
    </w:p>
    <w:p w:rsidR="00775898" w:rsidRDefault="00F35FF0" w:rsidP="000367F0">
      <w:pPr>
        <w:pStyle w:val="BodyText"/>
        <w:rPr>
          <w:rFonts w:ascii="Times New Roman" w:hAnsi="Times New Roman"/>
        </w:rPr>
      </w:pPr>
      <w:r w:rsidRPr="009448FC">
        <w:rPr>
          <w:rFonts w:ascii="Times New Roman" w:hAnsi="Times New Roman"/>
        </w:rPr>
        <w:t>The PCP/AP may grant a dynamic allocation of service period to a STA that does not transmit a SPR frame during the PP.</w:t>
      </w:r>
    </w:p>
    <w:p w:rsidR="00775898" w:rsidRPr="000367F0" w:rsidRDefault="00775898" w:rsidP="003701DB">
      <w:pPr>
        <w:pStyle w:val="Heading3"/>
        <w:numPr>
          <w:ilvl w:val="2"/>
          <w:numId w:val="204"/>
        </w:numPr>
      </w:pPr>
      <w:bookmarkStart w:id="1387" w:name="_Ref253745294"/>
      <w:bookmarkStart w:id="1388" w:name="_Ref253745295"/>
      <w:bookmarkStart w:id="1389" w:name="_Toc259717130"/>
      <w:r>
        <w:t>Dynamic truncation</w:t>
      </w:r>
      <w:r w:rsidRPr="009448FC">
        <w:t xml:space="preserve"> of </w:t>
      </w:r>
      <w:r>
        <w:t>s</w:t>
      </w:r>
      <w:r w:rsidRPr="009448FC">
        <w:t xml:space="preserve">ervice </w:t>
      </w:r>
      <w:r>
        <w:t>p</w:t>
      </w:r>
      <w:r w:rsidRPr="009448FC">
        <w:t>eriod</w:t>
      </w:r>
      <w:bookmarkEnd w:id="1387"/>
      <w:bookmarkEnd w:id="1388"/>
      <w:bookmarkEnd w:id="1389"/>
      <w:r w:rsidRPr="009448FC">
        <w:t xml:space="preserve"> </w:t>
      </w:r>
    </w:p>
    <w:p w:rsidR="00103270" w:rsidRPr="000C5C7A" w:rsidRDefault="00103270" w:rsidP="000C5C7A">
      <w:pPr>
        <w:pStyle w:val="BodyText"/>
        <w:outlineLvl w:val="0"/>
        <w:rPr>
          <w:rFonts w:ascii="Times New Roman" w:hAnsi="Times New Roman"/>
        </w:rPr>
      </w:pPr>
      <w:bookmarkStart w:id="1390" w:name="_Toc241624393"/>
      <w:bookmarkStart w:id="1391" w:name="_Toc243399724"/>
      <w:bookmarkStart w:id="1392" w:name="_Toc243455690"/>
      <w:bookmarkStart w:id="1393" w:name="_Toc243461558"/>
      <w:bookmarkStart w:id="1394" w:name="_Toc243471689"/>
      <w:bookmarkStart w:id="1395" w:name="_Toc243794996"/>
      <w:bookmarkStart w:id="1396" w:name="_Ref244079272"/>
      <w:bookmarkStart w:id="1397" w:name="_Ref244079530"/>
      <w:bookmarkStart w:id="1398" w:name="_Ref244079571"/>
      <w:bookmarkStart w:id="1399" w:name="_Ref244079703"/>
      <w:bookmarkEnd w:id="1390"/>
      <w:bookmarkEnd w:id="1391"/>
      <w:bookmarkEnd w:id="1392"/>
      <w:bookmarkEnd w:id="1393"/>
      <w:bookmarkEnd w:id="1394"/>
      <w:bookmarkEnd w:id="1395"/>
    </w:p>
    <w:bookmarkEnd w:id="1396"/>
    <w:bookmarkEnd w:id="1397"/>
    <w:bookmarkEnd w:id="1398"/>
    <w:bookmarkEnd w:id="1399"/>
    <w:p w:rsidR="00233F0D" w:rsidRPr="009448FC" w:rsidRDefault="00233F0D" w:rsidP="00233F0D">
      <w:pPr>
        <w:pStyle w:val="BodyText"/>
        <w:outlineLvl w:val="0"/>
        <w:rPr>
          <w:rFonts w:ascii="Times New Roman" w:hAnsi="Times New Roman"/>
        </w:rPr>
      </w:pPr>
      <w:r w:rsidRPr="009448FC">
        <w:rPr>
          <w:rFonts w:ascii="Times New Roman" w:hAnsi="Times New Roman"/>
        </w:rPr>
        <w:t>A STA truncates a</w:t>
      </w:r>
      <w:r w:rsidR="00EC3946" w:rsidRPr="009448FC">
        <w:rPr>
          <w:rFonts w:ascii="Times New Roman" w:hAnsi="Times New Roman"/>
        </w:rPr>
        <w:t>n</w:t>
      </w:r>
      <w:r w:rsidRPr="009448FC">
        <w:rPr>
          <w:rFonts w:ascii="Times New Roman" w:hAnsi="Times New Roman"/>
        </w:rPr>
        <w:t xml:space="preserve"> SP to relinquish the remaining time in the current SP. The STA can use the mmWaveCF-End frame to truncate the SP at the peer STA, to reset NAV in third party STAs and to return to the AP/PCP the time left in the SP, thus allowing the AP/PCP to grant any portion of the relinquished time as part of an SP to any other STA or to allocate any portion of it as CBP</w:t>
      </w:r>
      <w:r w:rsidR="001309C9" w:rsidRPr="009448FC">
        <w:rPr>
          <w:rFonts w:ascii="Times New Roman" w:hAnsi="Times New Roman"/>
        </w:rPr>
        <w:t xml:space="preserve">. </w:t>
      </w:r>
      <w:r w:rsidRPr="009448FC">
        <w:rPr>
          <w:rFonts w:ascii="Times New Roman" w:hAnsi="Times New Roman"/>
        </w:rPr>
        <w:t>The STA can use the Grant frame to release any part of the time left in the SP as CBP.</w:t>
      </w:r>
    </w:p>
    <w:p w:rsidR="00233F0D" w:rsidRPr="009448FC" w:rsidRDefault="00233F0D" w:rsidP="00233F0D">
      <w:pPr>
        <w:pStyle w:val="BodyText"/>
        <w:outlineLvl w:val="0"/>
        <w:rPr>
          <w:rFonts w:ascii="Times New Roman" w:hAnsi="Times New Roman"/>
        </w:rPr>
      </w:pPr>
    </w:p>
    <w:p w:rsidR="00233F0D" w:rsidRPr="009448FC" w:rsidRDefault="00233F0D" w:rsidP="00676B77">
      <w:pPr>
        <w:pStyle w:val="BodyText"/>
        <w:outlineLvl w:val="0"/>
        <w:rPr>
          <w:rFonts w:ascii="Times New Roman" w:hAnsi="Times New Roman"/>
        </w:rPr>
      </w:pPr>
      <w:r w:rsidRPr="009448FC">
        <w:rPr>
          <w:rFonts w:ascii="Times New Roman" w:hAnsi="Times New Roman"/>
        </w:rPr>
        <w:t xml:space="preserve">If a STA is neither source nor destination during a truncatable SP and </w:t>
      </w:r>
      <w:r w:rsidR="007050F5" w:rsidRPr="009448FC">
        <w:rPr>
          <w:rFonts w:ascii="Times New Roman" w:hAnsi="Times New Roman"/>
        </w:rPr>
        <w:t xml:space="preserve">the STA’s Dynamic allocation of service period field is not set to zero </w:t>
      </w:r>
      <w:r w:rsidRPr="009448FC">
        <w:rPr>
          <w:rFonts w:ascii="Times New Roman" w:hAnsi="Times New Roman"/>
        </w:rPr>
        <w:t>(</w:t>
      </w:r>
      <w:r w:rsidR="00BD151C" w:rsidRPr="009448FC">
        <w:rPr>
          <w:rFonts w:ascii="Times New Roman" w:hAnsi="Times New Roman"/>
        </w:rPr>
        <w:fldChar w:fldCharType="begin"/>
      </w:r>
      <w:r w:rsidR="00676B77" w:rsidRPr="009448FC">
        <w:rPr>
          <w:rFonts w:ascii="Times New Roman" w:hAnsi="Times New Roman"/>
        </w:rPr>
        <w:instrText xml:space="preserve"> REF _Ref244235274 \r \h </w:instrText>
      </w:r>
      <w:r w:rsidR="00BD151C" w:rsidRPr="009448FC">
        <w:rPr>
          <w:rFonts w:ascii="Times New Roman" w:hAnsi="Times New Roman"/>
        </w:rPr>
      </w:r>
      <w:r w:rsidR="00BD151C" w:rsidRPr="009448FC">
        <w:rPr>
          <w:rFonts w:ascii="Times New Roman" w:hAnsi="Times New Roman"/>
        </w:rPr>
        <w:fldChar w:fldCharType="separate"/>
      </w:r>
      <w:r w:rsidR="003E4210">
        <w:rPr>
          <w:rFonts w:ascii="Times New Roman" w:hAnsi="Times New Roman"/>
        </w:rPr>
        <w:t>7.3.2.96</w:t>
      </w:r>
      <w:r w:rsidR="00BD151C" w:rsidRPr="009448FC">
        <w:rPr>
          <w:rFonts w:ascii="Times New Roman" w:hAnsi="Times New Roman"/>
        </w:rPr>
        <w:fldChar w:fldCharType="end"/>
      </w:r>
      <w:r w:rsidRPr="009448FC">
        <w:rPr>
          <w:rFonts w:ascii="Times New Roman" w:hAnsi="Times New Roman"/>
        </w:rPr>
        <w:t xml:space="preserve">), it should be in receive </w:t>
      </w:r>
      <w:r w:rsidR="002F037A" w:rsidRPr="009448FC">
        <w:rPr>
          <w:rFonts w:ascii="Times New Roman" w:hAnsi="Times New Roman"/>
        </w:rPr>
        <w:t>state</w:t>
      </w:r>
      <w:r w:rsidRPr="009448FC">
        <w:rPr>
          <w:rFonts w:ascii="Times New Roman" w:hAnsi="Times New Roman"/>
        </w:rPr>
        <w:t xml:space="preserve"> with its receive antennas configured in a </w:t>
      </w:r>
      <w:r w:rsidR="00CC21E9" w:rsidRPr="009448FC">
        <w:rPr>
          <w:rFonts w:ascii="Times New Roman" w:hAnsi="Times New Roman"/>
        </w:rPr>
        <w:t>q</w:t>
      </w:r>
      <w:r w:rsidRPr="009448FC">
        <w:rPr>
          <w:rFonts w:ascii="Times New Roman" w:hAnsi="Times New Roman"/>
        </w:rPr>
        <w:t xml:space="preserve">uasi-omni antenna pattern for the </w:t>
      </w:r>
      <w:r w:rsidR="009D17AA" w:rsidRPr="009448FC">
        <w:rPr>
          <w:rFonts w:ascii="Times New Roman" w:hAnsi="Times New Roman"/>
        </w:rPr>
        <w:t xml:space="preserve">duration of the truncatable SP. If both the source and destination AID fields of a truncatable SP are set to the broadcast AID, except when transmitting a non-PCP/non-AP STA </w:t>
      </w:r>
      <w:r w:rsidR="00EB6E24" w:rsidRPr="009448FC">
        <w:rPr>
          <w:rFonts w:ascii="Times New Roman" w:hAnsi="Times New Roman"/>
        </w:rPr>
        <w:t>may</w:t>
      </w:r>
      <w:r w:rsidR="009D17AA" w:rsidRPr="009448FC">
        <w:rPr>
          <w:rFonts w:ascii="Times New Roman" w:hAnsi="Times New Roman"/>
        </w:rPr>
        <w:t xml:space="preserve"> direct its receive antenna to its PCP/AP for the duration of </w:t>
      </w:r>
      <w:r w:rsidR="00241EDB" w:rsidRPr="009448FC">
        <w:rPr>
          <w:rFonts w:ascii="Times New Roman" w:hAnsi="Times New Roman"/>
        </w:rPr>
        <w:t>the</w:t>
      </w:r>
      <w:r w:rsidR="009D17AA" w:rsidRPr="009448FC">
        <w:rPr>
          <w:rFonts w:ascii="Times New Roman" w:hAnsi="Times New Roman"/>
        </w:rPr>
        <w:t xml:space="preserve"> truncatable SP</w:t>
      </w:r>
      <w:r w:rsidR="00241EDB" w:rsidRPr="009448FC">
        <w:rPr>
          <w:rFonts w:ascii="Times New Roman" w:hAnsi="Times New Roman"/>
        </w:rPr>
        <w:t xml:space="preserve"> that is not dynamically allocated</w:t>
      </w:r>
      <w:r w:rsidR="00E85328" w:rsidRPr="009448FC">
        <w:rPr>
          <w:rFonts w:ascii="Times New Roman" w:hAnsi="Times New Roman"/>
        </w:rPr>
        <w:t xml:space="preserve"> to the non-PCP/non-AP STA</w:t>
      </w:r>
      <w:r w:rsidR="009D17AA" w:rsidRPr="009448FC">
        <w:rPr>
          <w:rFonts w:ascii="Times New Roman" w:hAnsi="Times New Roman"/>
        </w:rPr>
        <w:t>.</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Only the source STA of an SP may truncate the SP, except that the destination STA may truncate the SP if it does not receive an expected transmission from the source STA at the start of the SP as defined in</w:t>
      </w:r>
      <w:r w:rsidR="00AB5255" w:rsidRPr="00AB5255">
        <w:rPr>
          <w:rFonts w:ascii="Times New Roman" w:hAnsi="Times New Roman"/>
        </w:rPr>
        <w:t xml:space="preserve"> </w:t>
      </w:r>
      <w:fldSimple w:instr=" REF _Ref251939203 \h  \* MERGEFORMAT ">
        <w:r w:rsidR="003E4210" w:rsidRPr="003E4210">
          <w:rPr>
            <w:rFonts w:ascii="Times New Roman" w:eastAsia="Times New Roman" w:hAnsi="Times New Roman"/>
            <w:szCs w:val="24"/>
            <w:lang w:bidi="he-IL"/>
          </w:rPr>
          <w:t>9.23.6.6 Service period recovery</w:t>
        </w:r>
      </w:fldSimple>
      <w:r w:rsidRPr="009448FC">
        <w:rPr>
          <w:rFonts w:ascii="Times New Roman" w:hAnsi="Times New Roman"/>
        </w:rPr>
        <w:t>.</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In order to advertise the availability of truncatable SP time for reuse through AP/PCP dynamic allocation, a non-PCP/non-AP STA shall transmit an mmWaveCF-End frame to the PCP/AP. A STA is not required to truncate an SP if a portion of the SP is unused.</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 xml:space="preserve">In order to enable CBP access during the time released through SP truncation, the STA shall broadcast a Grant frame with the Source AID and Destination AID set to broadcast AID, the SPType field set to indicate CBP and the Duration/ID field set to the time needed to transmit the Grant frame(s) (the Duration/ID field in a Grant frame does not include duration of that frame) plus SIFS and plus the time needed to transmit the following mmWaveCF-End frame and the response mmWaveCF-End frame, if required and appropriate IFS values. The SP Duration field shall be set to </w:t>
      </w:r>
      <w:r w:rsidR="00C10496" w:rsidRPr="009448FC">
        <w:rPr>
          <w:rFonts w:ascii="Times New Roman" w:hAnsi="Times New Roman"/>
        </w:rPr>
        <w:t xml:space="preserve">a </w:t>
      </w:r>
      <w:r w:rsidRPr="009448FC">
        <w:rPr>
          <w:rFonts w:ascii="Times New Roman" w:hAnsi="Times New Roman"/>
        </w:rPr>
        <w:t>value that is not greater than the result of the subtraction of the value in the Duration/ID field from the time remaining in the SP. The CBP that is indicated in this manner begins at the time that is equal to the PHY-TXEND.indication of the Grant frame plus the value from the Duration/ID field of the Grant frame and continues for the time indicated in the SP Duration field of the Grant frame.</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The STA shall not transmit the Grant frame and shall not transmit the mmWaveCF-End frame to the AP/PCP if the SP is not indicated as truncatable.</w:t>
      </w:r>
    </w:p>
    <w:p w:rsidR="00233F0D" w:rsidRPr="009448FC" w:rsidRDefault="00233F0D" w:rsidP="00233F0D">
      <w:pPr>
        <w:pStyle w:val="BodyText"/>
        <w:outlineLvl w:val="0"/>
        <w:rPr>
          <w:rFonts w:ascii="Times New Roman" w:hAnsi="Times New Roman"/>
        </w:rPr>
      </w:pPr>
    </w:p>
    <w:p w:rsidR="00233F0D" w:rsidRPr="009448FC" w:rsidRDefault="00233F0D" w:rsidP="00591973">
      <w:pPr>
        <w:pStyle w:val="BodyText"/>
        <w:outlineLvl w:val="0"/>
        <w:rPr>
          <w:rFonts w:ascii="Times New Roman" w:hAnsi="Times New Roman"/>
        </w:rPr>
      </w:pPr>
      <w:r w:rsidRPr="009448FC">
        <w:rPr>
          <w:rFonts w:ascii="Times New Roman" w:hAnsi="Times New Roman"/>
        </w:rPr>
        <w:t xml:space="preserve">After transmission of the mmWaveCF-End frame to the AP/PCP or after broadcasting a Grant </w:t>
      </w:r>
      <w:r w:rsidR="00882BFB" w:rsidRPr="009448FC">
        <w:rPr>
          <w:rFonts w:ascii="Times New Roman" w:hAnsi="Times New Roman"/>
        </w:rPr>
        <w:t>frame, the STA shall transmit a</w:t>
      </w:r>
      <w:r w:rsidRPr="009448FC">
        <w:rPr>
          <w:rFonts w:ascii="Times New Roman" w:hAnsi="Times New Roman"/>
        </w:rPr>
        <w:t xml:space="preserve"> mmWaveCF-End frame to the peer STA of the SP. The mmWaveCF-End frame releases any time remaining in the SP at the recipient and resets the NAV in third party STAs. The NAV is reset only if the RA and TA of the mmWaveCF-End frame match the addresses of the frame that established the NAV (see</w:t>
      </w:r>
      <w:r w:rsidR="00591973" w:rsidRPr="009448FC">
        <w:rPr>
          <w:rFonts w:ascii="Times New Roman" w:hAnsi="Times New Roman"/>
        </w:rPr>
        <w:t xml:space="preserve"> </w:t>
      </w:r>
      <w:r w:rsidR="00BD151C" w:rsidRPr="009448FC">
        <w:rPr>
          <w:rFonts w:ascii="Times New Roman" w:hAnsi="Times New Roman"/>
        </w:rPr>
        <w:fldChar w:fldCharType="begin"/>
      </w:r>
      <w:r w:rsidR="00591973" w:rsidRPr="009448FC">
        <w:rPr>
          <w:rFonts w:ascii="Times New Roman" w:hAnsi="Times New Roman"/>
        </w:rPr>
        <w:instrText xml:space="preserve"> REF _Ref243982491 \r \h </w:instrText>
      </w:r>
      <w:r w:rsidR="00BD151C" w:rsidRPr="009448FC">
        <w:rPr>
          <w:rFonts w:ascii="Times New Roman" w:hAnsi="Times New Roman"/>
        </w:rPr>
      </w:r>
      <w:r w:rsidR="00BD151C" w:rsidRPr="009448FC">
        <w:rPr>
          <w:rFonts w:ascii="Times New Roman" w:hAnsi="Times New Roman"/>
        </w:rPr>
        <w:fldChar w:fldCharType="separate"/>
      </w:r>
      <w:r w:rsidR="003E4210">
        <w:rPr>
          <w:rFonts w:ascii="Times New Roman" w:hAnsi="Times New Roman"/>
        </w:rPr>
        <w:t>9.23.10</w:t>
      </w:r>
      <w:r w:rsidR="00BD151C" w:rsidRPr="009448FC">
        <w:rPr>
          <w:rFonts w:ascii="Times New Roman" w:hAnsi="Times New Roman"/>
        </w:rPr>
        <w:fldChar w:fldCharType="end"/>
      </w:r>
      <w:r w:rsidRPr="009448FC">
        <w:rPr>
          <w:rFonts w:ascii="Times New Roman" w:hAnsi="Times New Roman"/>
        </w:rPr>
        <w:t>). T</w:t>
      </w:r>
      <w:r w:rsidR="00882BFB" w:rsidRPr="009448FC">
        <w:rPr>
          <w:rFonts w:ascii="Times New Roman" w:hAnsi="Times New Roman"/>
        </w:rPr>
        <w:t>he recipient STA may transmit a</w:t>
      </w:r>
      <w:r w:rsidRPr="009448FC">
        <w:rPr>
          <w:rFonts w:ascii="Times New Roman" w:hAnsi="Times New Roman"/>
        </w:rPr>
        <w:t xml:space="preserve"> mmWaveCF-End frame SIFS after the reception if the duration field of the received frame is not equal to zero and the transmission will not extend beyond the end of the originally scheduled SP.</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 xml:space="preserve">A STA shall not initiate SP truncation if there is not enough time left in the SP to complete the frame exchange required for truncation of the SP. </w:t>
      </w:r>
    </w:p>
    <w:p w:rsidR="00233F0D" w:rsidRPr="009448FC" w:rsidRDefault="00233F0D" w:rsidP="00233F0D">
      <w:pPr>
        <w:pStyle w:val="BodyText"/>
        <w:outlineLvl w:val="0"/>
        <w:rPr>
          <w:rFonts w:ascii="Times New Roman" w:hAnsi="Times New Roman"/>
        </w:rPr>
      </w:pPr>
    </w:p>
    <w:p w:rsidR="00F35FF0" w:rsidRPr="009448FC" w:rsidRDefault="00233F0D" w:rsidP="00293AA6">
      <w:pPr>
        <w:pStyle w:val="BodyText"/>
        <w:outlineLvl w:val="0"/>
        <w:rPr>
          <w:rFonts w:ascii="Times New Roman" w:hAnsi="Times New Roman"/>
        </w:rPr>
      </w:pPr>
      <w:r w:rsidRPr="009448FC">
        <w:rPr>
          <w:rFonts w:ascii="Times New Roman" w:hAnsi="Times New Roman"/>
        </w:rPr>
        <w:t>After the truncation is completed, the PCP/AP may dynamically allocate any portion of the relinquished channel time that has not been allocated to a CBP through a transmitted Grant frame (</w:t>
      </w:r>
      <w:r w:rsidR="00BD151C">
        <w:rPr>
          <w:rFonts w:ascii="Times New Roman" w:hAnsi="Times New Roman"/>
          <w:iCs/>
          <w:szCs w:val="24"/>
        </w:rPr>
        <w:fldChar w:fldCharType="begin"/>
      </w:r>
      <w:r w:rsidR="00293AA6">
        <w:rPr>
          <w:rFonts w:ascii="Times New Roman" w:hAnsi="Times New Roman"/>
          <w:iCs/>
          <w:szCs w:val="24"/>
        </w:rPr>
        <w:instrText xml:space="preserve"> REF _Ref244079893 \r \h </w:instrText>
      </w:r>
      <w:r w:rsidR="00BD151C">
        <w:rPr>
          <w:rFonts w:ascii="Times New Roman" w:hAnsi="Times New Roman"/>
          <w:iCs/>
          <w:szCs w:val="24"/>
        </w:rPr>
      </w:r>
      <w:r w:rsidR="00BD151C">
        <w:rPr>
          <w:rFonts w:ascii="Times New Roman" w:hAnsi="Times New Roman"/>
          <w:iCs/>
          <w:szCs w:val="24"/>
        </w:rPr>
        <w:fldChar w:fldCharType="separate"/>
      </w:r>
      <w:r w:rsidR="003E4210">
        <w:rPr>
          <w:rFonts w:ascii="Times New Roman" w:hAnsi="Times New Roman"/>
          <w:iCs/>
          <w:szCs w:val="24"/>
        </w:rPr>
        <w:t>9.23.7</w:t>
      </w:r>
      <w:r w:rsidR="00BD151C">
        <w:rPr>
          <w:rFonts w:ascii="Times New Roman" w:hAnsi="Times New Roman"/>
          <w:iCs/>
          <w:szCs w:val="24"/>
        </w:rPr>
        <w:fldChar w:fldCharType="end"/>
      </w:r>
      <w:r w:rsidRPr="009448FC">
        <w:rPr>
          <w:rFonts w:ascii="Times New Roman" w:hAnsi="Times New Roman"/>
        </w:rPr>
        <w:t>).</w:t>
      </w:r>
    </w:p>
    <w:p w:rsidR="00F461EC" w:rsidRPr="009448FC" w:rsidRDefault="00F461EC" w:rsidP="003701DB">
      <w:pPr>
        <w:pStyle w:val="Heading3"/>
        <w:numPr>
          <w:ilvl w:val="2"/>
          <w:numId w:val="204"/>
        </w:numPr>
      </w:pPr>
      <w:bookmarkStart w:id="1400" w:name="_Ref244079318"/>
      <w:bookmarkStart w:id="1401" w:name="_Ref244087091"/>
      <w:bookmarkStart w:id="1402" w:name="_Toc259717131"/>
      <w:bookmarkStart w:id="1403" w:name="_Ref236724958"/>
      <w:bookmarkStart w:id="1404" w:name="_Toc241554192"/>
      <w:bookmarkStart w:id="1405" w:name="_Toc241556182"/>
      <w:bookmarkStart w:id="1406" w:name="_Toc243478528"/>
      <w:bookmarkStart w:id="1407" w:name="_Toc243714415"/>
      <w:bookmarkStart w:id="1408" w:name="_Toc243742409"/>
      <w:bookmarkStart w:id="1409" w:name="_Toc243910957"/>
      <w:bookmarkStart w:id="1410" w:name="_Toc243911511"/>
      <w:bookmarkStart w:id="1411" w:name="_Toc243925629"/>
      <w:r w:rsidRPr="009448FC">
        <w:t xml:space="preserve">Dynamic extension of </w:t>
      </w:r>
      <w:r w:rsidR="00444ED9">
        <w:t>s</w:t>
      </w:r>
      <w:r w:rsidRPr="009448FC">
        <w:t xml:space="preserve">ervice </w:t>
      </w:r>
      <w:r w:rsidR="00444ED9">
        <w:t>p</w:t>
      </w:r>
      <w:r w:rsidRPr="009448FC">
        <w:t>eriod</w:t>
      </w:r>
      <w:bookmarkEnd w:id="1400"/>
      <w:bookmarkEnd w:id="1401"/>
      <w:bookmarkEnd w:id="1402"/>
      <w:r w:rsidRPr="009448FC">
        <w:t xml:space="preserve"> </w:t>
      </w:r>
    </w:p>
    <w:bookmarkEnd w:id="1403"/>
    <w:bookmarkEnd w:id="1404"/>
    <w:bookmarkEnd w:id="1405"/>
    <w:bookmarkEnd w:id="1406"/>
    <w:bookmarkEnd w:id="1407"/>
    <w:bookmarkEnd w:id="1408"/>
    <w:bookmarkEnd w:id="1409"/>
    <w:bookmarkEnd w:id="1410"/>
    <w:bookmarkEnd w:id="1411"/>
    <w:p w:rsidR="00F35FF0" w:rsidRPr="009448FC" w:rsidRDefault="00F35FF0" w:rsidP="00F35FF0">
      <w:pPr>
        <w:autoSpaceDE w:val="0"/>
        <w:autoSpaceDN w:val="0"/>
        <w:adjustRightInd w:val="0"/>
        <w:rPr>
          <w:rFonts w:eastAsia="MS Mincho"/>
        </w:rPr>
      </w:pPr>
      <w:r w:rsidRPr="009448FC">
        <w:rPr>
          <w:rFonts w:eastAsia="MS Mincho"/>
        </w:rPr>
        <w:t xml:space="preserve">A non-PCP/non-AP STA uses dynamic extension of SP to extend the allocated time in the current SP. Dynamic extension of SP uses the SPR frame. The SPR frame is sent by a non-PCP/non-AP STA to the PCP/AP to request additional SP time in the current beacon interval. Dynamic extension of SP can be used to support </w:t>
      </w:r>
      <w:r w:rsidR="00466640" w:rsidRPr="009448FC">
        <w:rPr>
          <w:rFonts w:eastAsia="MS Mincho"/>
        </w:rPr>
        <w:t>variable bit rate</w:t>
      </w:r>
      <w:r w:rsidRPr="009448FC">
        <w:rPr>
          <w:rFonts w:eastAsia="MS Mincho"/>
        </w:rPr>
        <w:t xml:space="preserve"> traffic</w:t>
      </w:r>
      <w:r w:rsidR="00A874F0" w:rsidRPr="009448FC">
        <w:rPr>
          <w:rFonts w:eastAsia="MS Mincho"/>
        </w:rPr>
        <w:t>,</w:t>
      </w:r>
      <w:r w:rsidRPr="009448FC">
        <w:rPr>
          <w:rFonts w:eastAsia="MS Mincho"/>
        </w:rPr>
        <w:t xml:space="preserve"> for retransmissions and for other purposes.</w:t>
      </w:r>
      <w:r w:rsidR="00D11F2E">
        <w:rPr>
          <w:rFonts w:eastAsia="MS Mincho"/>
        </w:rPr>
        <w:t xml:space="preserve"> </w:t>
      </w:r>
    </w:p>
    <w:p w:rsidR="00F35FF0" w:rsidRPr="009448FC" w:rsidRDefault="00F35FF0" w:rsidP="00F35FF0">
      <w:pPr>
        <w:autoSpaceDE w:val="0"/>
        <w:autoSpaceDN w:val="0"/>
        <w:adjustRightInd w:val="0"/>
        <w:rPr>
          <w:rFonts w:eastAsia="MS Mincho"/>
        </w:rPr>
      </w:pPr>
    </w:p>
    <w:p w:rsidR="00F35FF0" w:rsidRPr="009448FC" w:rsidRDefault="00F35FF0" w:rsidP="007927FC">
      <w:pPr>
        <w:autoSpaceDE w:val="0"/>
        <w:autoSpaceDN w:val="0"/>
        <w:adjustRightInd w:val="0"/>
        <w:rPr>
          <w:rFonts w:eastAsia="MS Mincho"/>
        </w:rPr>
      </w:pPr>
      <w:r w:rsidRPr="009448FC">
        <w:rPr>
          <w:rFonts w:eastAsia="MS Mincho"/>
        </w:rPr>
        <w:t>Except in response to a Poll frame from the PCP/AP, a non-PCP/non-AP STA shall not transmit an SPR frame within an SP if the current SP is not</w:t>
      </w:r>
      <w:r w:rsidR="00281486" w:rsidRPr="009448FC">
        <w:rPr>
          <w:rFonts w:eastAsia="MS Mincho"/>
        </w:rPr>
        <w:t xml:space="preserve"> </w:t>
      </w:r>
      <w:r w:rsidR="007927FC" w:rsidRPr="009448FC">
        <w:rPr>
          <w:rFonts w:eastAsia="MS Mincho"/>
        </w:rPr>
        <w:t xml:space="preserve">extendable (see </w:t>
      </w:r>
      <w:r w:rsidR="00BD151C" w:rsidRPr="009448FC">
        <w:rPr>
          <w:rFonts w:eastAsia="MS Mincho"/>
        </w:rPr>
        <w:fldChar w:fldCharType="begin"/>
      </w:r>
      <w:r w:rsidR="007927FC" w:rsidRPr="009448FC">
        <w:rPr>
          <w:rFonts w:eastAsia="MS Mincho"/>
        </w:rPr>
        <w:instrText xml:space="preserve"> REF _Ref244246621 \h </w:instrText>
      </w:r>
      <w:r w:rsidR="00BD151C" w:rsidRPr="009448FC">
        <w:rPr>
          <w:rFonts w:eastAsia="MS Mincho"/>
        </w:rPr>
      </w:r>
      <w:r w:rsidR="00BD151C" w:rsidRPr="009448FC">
        <w:rPr>
          <w:rFonts w:eastAsia="MS Mincho"/>
        </w:rPr>
        <w:fldChar w:fldCharType="separate"/>
      </w:r>
      <w:r w:rsidR="003E4210" w:rsidRPr="009448FC">
        <w:t>Extended S</w:t>
      </w:r>
      <w:r w:rsidR="003E4210">
        <w:t>c</w:t>
      </w:r>
      <w:r w:rsidR="003E4210" w:rsidRPr="009448FC">
        <w:t>hedule element</w:t>
      </w:r>
      <w:r w:rsidR="00BD151C" w:rsidRPr="009448FC">
        <w:rPr>
          <w:rFonts w:eastAsia="MS Mincho"/>
        </w:rPr>
        <w:fldChar w:fldCharType="end"/>
      </w:r>
      <w:r w:rsidR="007927FC" w:rsidRPr="009448FC">
        <w:rPr>
          <w:rFonts w:eastAsia="MS Mincho"/>
        </w:rPr>
        <w:t xml:space="preserve"> </w:t>
      </w:r>
      <w:r w:rsidR="00BD151C">
        <w:rPr>
          <w:rFonts w:eastAsia="MS Mincho"/>
        </w:rPr>
        <w:fldChar w:fldCharType="begin"/>
      </w:r>
      <w:r w:rsidR="004348AA">
        <w:rPr>
          <w:rFonts w:eastAsia="MS Mincho"/>
        </w:rPr>
        <w:instrText xml:space="preserve"> REF _Ref244246650 \n \h </w:instrText>
      </w:r>
      <w:r w:rsidR="00BD151C">
        <w:rPr>
          <w:rFonts w:eastAsia="MS Mincho"/>
        </w:rPr>
      </w:r>
      <w:r w:rsidR="00BD151C">
        <w:rPr>
          <w:rFonts w:eastAsia="MS Mincho"/>
        </w:rPr>
        <w:fldChar w:fldCharType="separate"/>
      </w:r>
      <w:r w:rsidR="003E4210">
        <w:rPr>
          <w:rFonts w:eastAsia="MS Mincho"/>
        </w:rPr>
        <w:t>7.3.2.95</w:t>
      </w:r>
      <w:r w:rsidR="00BD151C">
        <w:rPr>
          <w:rFonts w:eastAsia="MS Mincho"/>
        </w:rPr>
        <w:fldChar w:fldCharType="end"/>
      </w:r>
      <w:r w:rsidR="004348AA" w:rsidRPr="009448FC">
        <w:rPr>
          <w:rFonts w:eastAsia="MS Mincho"/>
        </w:rPr>
        <w:t>)</w:t>
      </w:r>
      <w:r w:rsidR="002F037A" w:rsidRPr="009448FC">
        <w:rPr>
          <w:rFonts w:eastAsia="MS Mincho"/>
        </w:rPr>
        <w:t>.</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Only the source and destination STAs of an SP can transmit an SPR during that SP.</w:t>
      </w:r>
      <w:r w:rsidR="00D11F2E">
        <w:rPr>
          <w:rFonts w:eastAsia="MS Mincho"/>
        </w:rPr>
        <w:t xml:space="preserve"> </w:t>
      </w:r>
    </w:p>
    <w:p w:rsidR="00F35FF0" w:rsidRPr="009448FC" w:rsidRDefault="00F35FF0" w:rsidP="00F35FF0">
      <w:pPr>
        <w:autoSpaceDE w:val="0"/>
        <w:autoSpaceDN w:val="0"/>
        <w:adjustRightInd w:val="0"/>
        <w:rPr>
          <w:rFonts w:eastAsia="MS Mincho"/>
        </w:rPr>
      </w:pPr>
    </w:p>
    <w:p w:rsidR="00F35FF0" w:rsidRPr="009448FC" w:rsidRDefault="00F35FF0" w:rsidP="00B46FB3">
      <w:pPr>
        <w:autoSpaceDE w:val="0"/>
        <w:autoSpaceDN w:val="0"/>
        <w:adjustRightInd w:val="0"/>
        <w:rPr>
          <w:rFonts w:eastAsia="MS Mincho"/>
        </w:rPr>
      </w:pPr>
      <w:r w:rsidRPr="009448FC">
        <w:rPr>
          <w:rFonts w:eastAsia="MS Mincho"/>
        </w:rPr>
        <w:t xml:space="preserve">If the PCP/AP is not the source of an extendable SP, it should be in receive </w:t>
      </w:r>
      <w:r w:rsidR="00B46FB3" w:rsidRPr="009448FC">
        <w:rPr>
          <w:rFonts w:eastAsia="MS Mincho"/>
        </w:rPr>
        <w:t>state</w:t>
      </w:r>
      <w:r w:rsidRPr="009448FC">
        <w:rPr>
          <w:rFonts w:eastAsia="MS Mincho"/>
        </w:rPr>
        <w:t xml:space="preserve"> and</w:t>
      </w:r>
      <w:r w:rsidRPr="009448FC">
        <w:t xml:space="preserve"> </w:t>
      </w:r>
      <w:r w:rsidRPr="009448FC">
        <w:rPr>
          <w:rFonts w:eastAsia="MS Mincho"/>
        </w:rPr>
        <w:t>with its receive antennas configured in a quasi-omni antenna pattern for the duration of the extendable SP.</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To request extension of the current SP, a non-PCP/non-AP STA shall transmit an SPR frame to the PCP/AP. The non-PCP/non-AP STA shall not request extension of the current SP if there is not enough time left in the SP to complete the frame exchange required for the SP extension. In the transmitted SPR frame, the STA shall set the RA field to the address of the PCP/AP, the Duration/ID field to the time left in the SP</w:t>
      </w:r>
      <w:r w:rsidR="00C703A8" w:rsidRPr="00C703A8">
        <w:t xml:space="preserve"> </w:t>
      </w:r>
      <w:r w:rsidR="00C703A8">
        <w:t xml:space="preserve">(not including </w:t>
      </w:r>
      <w:r w:rsidR="00C703A8" w:rsidRPr="00C703A8">
        <w:rPr>
          <w:rFonts w:eastAsia="MS Mincho"/>
        </w:rPr>
        <w:t>the SPR transmission time</w:t>
      </w:r>
      <w:r w:rsidR="00C703A8">
        <w:rPr>
          <w:rFonts w:eastAsia="MS Mincho"/>
        </w:rPr>
        <w:t>)</w:t>
      </w:r>
      <w:r w:rsidRPr="009448FC">
        <w:rPr>
          <w:rFonts w:eastAsia="MS Mincho"/>
        </w:rPr>
        <w:t>, and the SP Duration field to the additional amount of time requested by the STA following the end of the current SP.</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The PCP/AP shall only grant the request for an extension of an SP if the following SP has the broadcast AID as both source and destination AID, and the duration of the following SP is larger than the value of the SP Duration field in the received SPR frame. To grant an extension request, the AP/PCP shall transmit a Grant frame with the RA field set to the value of the TA in the received SPR frame, the Duration/ID field set to the value of the Duration/ID field received in the SPR frame minus SIFS minus the duration of this Grant frame transmission, and the SP Duration field to the amount of additional time granted by the PCP/AP.</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 xml:space="preserve">To decline a request for an extension of an SP, the PCP/AP shall transmit a Grant frame with the RA field set to the value of the TA in the received SPR frame, the Duration/ID field set to the value of the </w:t>
      </w:r>
      <w:r w:rsidRPr="009448FC">
        <w:rPr>
          <w:rFonts w:eastAsia="MS Mincho"/>
        </w:rPr>
        <w:lastRenderedPageBreak/>
        <w:t>Duration/ID field received in the SPR frame minus SIFS minus the duration of this Grant frame transmission, and the SP Duration field set to zero.</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The non-PCP/non-AP STA considers that its extension request was successful if it receives from the PCP/AP a Grant frame with a non-zero value for the SP Duration field SIFS after the SPR. SIFS after the reception of a Grant frame from the PCP/AP with a non-zero value for the SP Duration field, the non-PCP/non-AP STA shall transmit a Grant frame to the partner STA of the SP with the Duration/ID field set to the value of the Duration/ID field of the Grant frame received from the PCP/AP minus the duration of this Grant frame transmission minus SIFS, and the SP Duration field set to the value of the SP Duration field of the Grant frame received from the PCP/AP.</w:t>
      </w:r>
    </w:p>
    <w:p w:rsidR="00F35FF0" w:rsidRPr="009448FC" w:rsidRDefault="00F35FF0" w:rsidP="00F35FF0">
      <w:pPr>
        <w:autoSpaceDE w:val="0"/>
        <w:autoSpaceDN w:val="0"/>
        <w:adjustRightInd w:val="0"/>
        <w:rPr>
          <w:rFonts w:eastAsia="MS Mincho"/>
        </w:rPr>
      </w:pPr>
    </w:p>
    <w:p w:rsidR="00F84372" w:rsidRPr="009448FC" w:rsidRDefault="00F35FF0" w:rsidP="00A51820">
      <w:pPr>
        <w:pStyle w:val="BodyText"/>
        <w:jc w:val="left"/>
        <w:rPr>
          <w:rFonts w:ascii="Times New Roman" w:hAnsi="Times New Roman"/>
        </w:rPr>
      </w:pPr>
      <w:r w:rsidRPr="009448FC">
        <w:rPr>
          <w:rFonts w:ascii="Times New Roman" w:hAnsi="Times New Roman"/>
        </w:rPr>
        <w:t>The PCP/AP shall not transmit an SPR frame if it wants to extend an SP in which it is the source. A PCP/AP that extends an SP for which it is the source STA shall transmit a Grant frame to the destination STA of the SP to indicate the extension of the SP. The Duration/ID field in the transmitted Grant frame shall be set to the remaining time in the SP plus any additional channel time allocated by the PCP/AP following the end of the SP. The SP Duration field of the Grant frame shall be set to the additional channel time allocated by the PCP/AP following the end of the SP.</w:t>
      </w:r>
    </w:p>
    <w:p w:rsidR="00D6597F" w:rsidRPr="003844AE" w:rsidRDefault="00F84372" w:rsidP="003701DB">
      <w:pPr>
        <w:pStyle w:val="Heading3"/>
        <w:numPr>
          <w:ilvl w:val="2"/>
          <w:numId w:val="204"/>
        </w:numPr>
      </w:pPr>
      <w:bookmarkStart w:id="1412" w:name="_Ref243982491"/>
      <w:bookmarkStart w:id="1413" w:name="_Toc259717132"/>
      <w:r w:rsidRPr="009448FC">
        <w:t xml:space="preserve">NAV </w:t>
      </w:r>
      <w:r w:rsidR="00444ED9">
        <w:t>u</w:t>
      </w:r>
      <w:r w:rsidRPr="009448FC">
        <w:t>pdate</w:t>
      </w:r>
      <w:bookmarkEnd w:id="1412"/>
      <w:bookmarkEnd w:id="1413"/>
      <w:r w:rsidR="00EE1100" w:rsidRPr="009448FC">
        <w:rPr>
          <w:rFonts w:ascii="Times New Roman" w:hAnsi="Times New Roman"/>
        </w:rPr>
        <w:t xml:space="preserve"> </w:t>
      </w:r>
    </w:p>
    <w:p w:rsidR="00AD7E9F" w:rsidRPr="009448FC" w:rsidRDefault="00AD7E9F" w:rsidP="00AD7E9F">
      <w:pPr>
        <w:autoSpaceDE w:val="0"/>
        <w:autoSpaceDN w:val="0"/>
        <w:adjustRightInd w:val="0"/>
        <w:rPr>
          <w:rFonts w:eastAsia="MS Mincho"/>
        </w:rPr>
      </w:pPr>
      <w:r w:rsidRPr="009448FC">
        <w:rPr>
          <w:rFonts w:eastAsia="MS Mincho"/>
        </w:rPr>
        <w:t xml:space="preserve">There are multiple NAV timers in each STA. The number of available NAV timers within any STA shall be not less than </w:t>
      </w:r>
      <w:r w:rsidR="00FE2E49" w:rsidRPr="009448FC">
        <w:rPr>
          <w:rFonts w:eastAsia="MS Mincho"/>
        </w:rPr>
        <w:t>aM</w:t>
      </w:r>
      <w:r w:rsidRPr="009448FC">
        <w:rPr>
          <w:rFonts w:eastAsia="MS Mincho"/>
        </w:rPr>
        <w:t>inNAVTimersNumber. Each NAV timer is identified by a pair of MAC addresses, NAVSRC and NAVDST and has associated variables NAV_RTSCANCELABLE and NAV_DTSCANCELABLE. Each STA also maintains a</w:t>
      </w:r>
      <w:r w:rsidR="00281486" w:rsidRPr="009448FC">
        <w:rPr>
          <w:rFonts w:eastAsia="MS Mincho"/>
        </w:rPr>
        <w:t xml:space="preserve"> </w:t>
      </w:r>
      <w:r w:rsidRPr="009448FC">
        <w:rPr>
          <w:rFonts w:eastAsia="MS Mincho"/>
        </w:rPr>
        <w:t>variable UPDATE_OPTIONAL. When a STA is enabled for operation, all NAV timers shall have NULL values for their NAVSRC and NAVDST identifiers, the value of NAV_RTSCANCELABLE shall be FALSE, the value of NAV_DTSCANCELABLE shall be FALSE and each NAV timer shall have the value Zero. NAV timer address pairs correspond to the NAV-SA and NAV-DA fields in mmWaveDTS frames and correspond to the RA and TA fields of all other received frames which are used to update the NAV timers. Receipt of any frame can cause an update to the NAV timer whose identifying address pair corresponds to the specified address fields of the received frame according to the rules in this subclause.</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STAs receiving any valid frame shall perform the following NAV Timer update operation expressed using pseudocode:</w:t>
      </w:r>
    </w:p>
    <w:p w:rsidR="00D91E09" w:rsidRPr="009448FC" w:rsidRDefault="00D91E09"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NAV_TIMER_UPDATE(received_frame):</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 xml:space="preserve">UPDATE_OPTIONAL </w:t>
      </w:r>
      <w:r w:rsidRPr="009448FC">
        <w:rPr>
          <w:rFonts w:ascii="Symbol" w:eastAsia="MS Mincho" w:hAnsi="Symbol"/>
        </w:rPr>
        <w:t></w:t>
      </w:r>
      <w:r w:rsidRPr="009448FC">
        <w:rPr>
          <w:rFonts w:ascii="Symbol" w:eastAsia="MS Mincho" w:hAnsi="Symbol"/>
        </w:rPr>
        <w:t></w:t>
      </w:r>
      <w:r w:rsidRPr="009448FC">
        <w:rPr>
          <w:rFonts w:eastAsia="MS Mincho"/>
        </w:rPr>
        <w:t>FALSE</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If (received_frame(RA) = STA MAC address</w:t>
      </w:r>
    </w:p>
    <w:p w:rsidR="00AD7E9F" w:rsidRPr="009448FC" w:rsidRDefault="00AD7E9F" w:rsidP="00AD7E9F">
      <w:pPr>
        <w:autoSpaceDE w:val="0"/>
        <w:autoSpaceDN w:val="0"/>
        <w:adjustRightInd w:val="0"/>
        <w:ind w:left="720" w:firstLine="720"/>
        <w:rPr>
          <w:rFonts w:eastAsia="MS Mincho"/>
        </w:rPr>
      </w:pPr>
      <w:r w:rsidRPr="009448FC">
        <w:rPr>
          <w:rFonts w:eastAsia="MS Mincho"/>
        </w:rPr>
        <w:t>&amp;&amp; received_frame = mmWaveDTS</w:t>
      </w:r>
    </w:p>
    <w:p w:rsidR="00AD7E9F" w:rsidRPr="009448FC" w:rsidRDefault="00AD7E9F" w:rsidP="00AD7E9F">
      <w:pPr>
        <w:autoSpaceDE w:val="0"/>
        <w:autoSpaceDN w:val="0"/>
        <w:adjustRightInd w:val="0"/>
        <w:ind w:left="720" w:firstLine="720"/>
        <w:rPr>
          <w:rFonts w:eastAsia="MS Mincho"/>
        </w:rPr>
      </w:pPr>
      <w:r w:rsidRPr="009448FC">
        <w:rPr>
          <w:rFonts w:eastAsia="MS Mincho"/>
        </w:rPr>
        <w:t>&amp;&amp; received_frame(TA) = destination STA MAC address for current SP</w:t>
      </w:r>
    </w:p>
    <w:p w:rsidR="00AD7E9F" w:rsidRPr="009448FC" w:rsidRDefault="00AD7E9F" w:rsidP="00AD7E9F">
      <w:pPr>
        <w:autoSpaceDE w:val="0"/>
        <w:autoSpaceDN w:val="0"/>
        <w:adjustRightInd w:val="0"/>
        <w:ind w:left="720" w:firstLine="720"/>
        <w:rPr>
          <w:rFonts w:eastAsia="MS Mincho"/>
        </w:rPr>
      </w:pPr>
      <w:r w:rsidRPr="009448FC">
        <w:rPr>
          <w:rFonts w:eastAsia="MS Mincho"/>
        </w:rPr>
        <w:t>&amp;&amp; STA MAC address = source STA MAC address for current SP</w:t>
      </w:r>
    </w:p>
    <w:p w:rsidR="00AD7E9F" w:rsidRPr="009448FC" w:rsidRDefault="00AD7E9F" w:rsidP="00AD7E9F">
      <w:pPr>
        <w:autoSpaceDE w:val="0"/>
        <w:autoSpaceDN w:val="0"/>
        <w:adjustRightInd w:val="0"/>
        <w:ind w:left="720" w:firstLine="720"/>
        <w:rPr>
          <w:rFonts w:eastAsia="MS Mincho"/>
        </w:rPr>
      </w:pPr>
      <w:r w:rsidRPr="009448FC">
        <w:rPr>
          <w:rFonts w:eastAsia="MS Mincho"/>
        </w:rPr>
        <w:t>) {</w:t>
      </w:r>
    </w:p>
    <w:p w:rsidR="00AD7E9F" w:rsidRPr="009448FC" w:rsidRDefault="00AD7E9F" w:rsidP="00AD7E9F">
      <w:pPr>
        <w:autoSpaceDE w:val="0"/>
        <w:autoSpaceDN w:val="0"/>
        <w:adjustRightInd w:val="0"/>
        <w:ind w:left="1440" w:firstLine="720"/>
        <w:rPr>
          <w:rFonts w:eastAsia="MS Mincho"/>
        </w:rPr>
      </w:pPr>
      <w:r w:rsidRPr="009448FC">
        <w:rPr>
          <w:rFonts w:eastAsia="MS Mincho"/>
        </w:rPr>
        <w:t xml:space="preserve">UPDATE_OPTIONAL </w:t>
      </w:r>
      <w:r w:rsidRPr="009448FC">
        <w:rPr>
          <w:rFonts w:ascii="Symbol" w:eastAsia="MS Mincho" w:hAnsi="Symbol"/>
        </w:rPr>
        <w:t></w:t>
      </w:r>
      <w:r w:rsidRPr="009448FC">
        <w:rPr>
          <w:rFonts w:ascii="Symbol" w:eastAsia="MS Mincho" w:hAnsi="Symbol"/>
        </w:rPr>
        <w:t></w:t>
      </w:r>
      <w:r w:rsidRPr="009448FC">
        <w:rPr>
          <w:rFonts w:eastAsia="MS Mincho"/>
        </w:rPr>
        <w:t>TRUE</w:t>
      </w:r>
    </w:p>
    <w:p w:rsidR="00AD7E9F" w:rsidRPr="009448FC" w:rsidRDefault="00AD7E9F" w:rsidP="00AD7E9F">
      <w:pPr>
        <w:autoSpaceDE w:val="0"/>
        <w:autoSpaceDN w:val="0"/>
        <w:adjustRightInd w:val="0"/>
        <w:ind w:firstLine="720"/>
        <w:rPr>
          <w:rFonts w:eastAsia="MS Mincho"/>
        </w:rPr>
      </w:pPr>
      <w:r w:rsidRPr="009448FC">
        <w:rPr>
          <w:rFonts w:eastAsia="MS Mincho"/>
        </w:rPr>
        <w:t>}</w:t>
      </w:r>
    </w:p>
    <w:p w:rsidR="00AD7E9F" w:rsidRPr="009448FC" w:rsidRDefault="00AD7E9F" w:rsidP="00AD7E9F">
      <w:pPr>
        <w:autoSpaceDE w:val="0"/>
        <w:autoSpaceDN w:val="0"/>
        <w:adjustRightInd w:val="0"/>
        <w:ind w:firstLine="72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 xml:space="preserve">If (received_frame(RA) </w:t>
      </w:r>
      <w:r w:rsidRPr="009448FC">
        <w:rPr>
          <w:rFonts w:ascii="Symbol" w:eastAsia="MS Mincho" w:hAnsi="Symbol"/>
        </w:rPr>
        <w:t></w:t>
      </w:r>
      <w:r w:rsidRPr="009448FC">
        <w:rPr>
          <w:rFonts w:ascii="MS Shell Dlg" w:eastAsia="MS Mincho" w:hAnsi="MS Shell Dlg"/>
        </w:rPr>
        <w:t xml:space="preserve"> </w:t>
      </w:r>
      <w:r w:rsidRPr="009448FC">
        <w:rPr>
          <w:rFonts w:eastAsia="MS Mincho"/>
        </w:rPr>
        <w:t>STA MAC address || UPDATE_OPTIONAL = TRUE) {</w:t>
      </w:r>
    </w:p>
    <w:p w:rsidR="00AD7E9F" w:rsidRPr="009448FC" w:rsidRDefault="00AD7E9F" w:rsidP="00AD7E9F">
      <w:pPr>
        <w:autoSpaceDE w:val="0"/>
        <w:autoSpaceDN w:val="0"/>
        <w:adjustRightInd w:val="0"/>
        <w:ind w:firstLine="720"/>
        <w:rPr>
          <w:rFonts w:eastAsia="MS Mincho"/>
        </w:rPr>
      </w:pPr>
      <w:r w:rsidRPr="009448FC">
        <w:rPr>
          <w:rFonts w:eastAsia="MS Mincho"/>
        </w:rPr>
        <w:lastRenderedPageBreak/>
        <w:tab/>
        <w:t>If (received_frame = mmWaveDTS) {</w:t>
      </w:r>
    </w:p>
    <w:p w:rsidR="00AD7E9F" w:rsidRPr="009448FC" w:rsidRDefault="00AD7E9F" w:rsidP="00AD7E9F">
      <w:pPr>
        <w:autoSpaceDE w:val="0"/>
        <w:autoSpaceDN w:val="0"/>
        <w:adjustRightInd w:val="0"/>
        <w:ind w:firstLine="720"/>
        <w:rPr>
          <w:rFonts w:eastAsia="MS Mincho"/>
        </w:rPr>
      </w:pPr>
      <w:r w:rsidRPr="009448FC">
        <w:rPr>
          <w:rFonts w:eastAsia="MS Mincho"/>
        </w:rPr>
        <w:tab/>
      </w:r>
      <w:r w:rsidRPr="009448FC">
        <w:rPr>
          <w:rFonts w:eastAsia="MS Mincho"/>
        </w:rPr>
        <w:tab/>
        <w:t xml:space="preserve">R_DST </w:t>
      </w:r>
      <w:r w:rsidRPr="009448FC">
        <w:rPr>
          <w:rFonts w:ascii="Symbol" w:eastAsia="MS Mincho" w:hAnsi="Symbol"/>
        </w:rPr>
        <w:t></w:t>
      </w:r>
      <w:r w:rsidRPr="009448FC">
        <w:rPr>
          <w:rFonts w:eastAsia="MS Mincho"/>
        </w:rPr>
        <w:t xml:space="preserve"> received_frame(NAV-DA)</w:t>
      </w:r>
    </w:p>
    <w:p w:rsidR="00AD7E9F" w:rsidRPr="009448FC" w:rsidRDefault="00AD7E9F" w:rsidP="00AD7E9F">
      <w:pPr>
        <w:autoSpaceDE w:val="0"/>
        <w:autoSpaceDN w:val="0"/>
        <w:adjustRightInd w:val="0"/>
        <w:ind w:firstLine="720"/>
        <w:rPr>
          <w:rFonts w:eastAsia="MS Mincho"/>
        </w:rPr>
      </w:pPr>
      <w:r w:rsidRPr="009448FC">
        <w:rPr>
          <w:rFonts w:eastAsia="MS Mincho"/>
        </w:rPr>
        <w:tab/>
      </w:r>
      <w:r w:rsidRPr="009448FC">
        <w:rPr>
          <w:rFonts w:eastAsia="MS Mincho"/>
        </w:rPr>
        <w:tab/>
        <w:t xml:space="preserve">R_SRC </w:t>
      </w:r>
      <w:r w:rsidRPr="009448FC">
        <w:rPr>
          <w:rFonts w:ascii="Symbol" w:eastAsia="MS Mincho" w:hAnsi="Symbol"/>
        </w:rPr>
        <w:t></w:t>
      </w:r>
      <w:r w:rsidRPr="009448FC">
        <w:rPr>
          <w:rFonts w:eastAsia="MS Mincho"/>
        </w:rPr>
        <w:t xml:space="preserve"> received_frame(NAV-SA)</w:t>
      </w:r>
    </w:p>
    <w:p w:rsidR="004C1F9B" w:rsidRPr="009448FC" w:rsidRDefault="004C1F9B" w:rsidP="004C1F9B">
      <w:pPr>
        <w:autoSpaceDE w:val="0"/>
        <w:autoSpaceDN w:val="0"/>
        <w:adjustRightInd w:val="0"/>
        <w:ind w:firstLine="720"/>
        <w:rPr>
          <w:rFonts w:eastAsia="MS Mincho"/>
        </w:rPr>
      </w:pPr>
      <w:r w:rsidRPr="009448FC">
        <w:rPr>
          <w:rFonts w:eastAsia="MS Mincho"/>
        </w:rPr>
        <w:tab/>
        <w:t>} else if (received_frame = ACK) {</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R_DST </w:t>
      </w:r>
      <w:r w:rsidRPr="009448FC">
        <w:rPr>
          <w:rFonts w:ascii="Symbol" w:eastAsia="MS Mincho" w:hAnsi="Symbol"/>
        </w:rPr>
        <w:t></w:t>
      </w:r>
      <w:r w:rsidRPr="009448FC">
        <w:rPr>
          <w:rFonts w:eastAsia="MS Mincho"/>
        </w:rPr>
        <w:t xml:space="preserve"> received_frame(RA)</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R_SRC </w:t>
      </w:r>
      <w:r w:rsidRPr="009448FC">
        <w:rPr>
          <w:rFonts w:ascii="Symbol" w:eastAsia="MS Mincho" w:hAnsi="Symbol"/>
        </w:rPr>
        <w:t></w:t>
      </w:r>
      <w:r w:rsidRPr="009448FC">
        <w:rPr>
          <w:rFonts w:eastAsia="MS Mincho"/>
        </w:rPr>
        <w:t xml:space="preserve"> 0</w:t>
      </w:r>
    </w:p>
    <w:p w:rsidR="004C1F9B" w:rsidRPr="009448FC" w:rsidRDefault="004C1F9B" w:rsidP="004C1F9B">
      <w:pPr>
        <w:autoSpaceDE w:val="0"/>
        <w:autoSpaceDN w:val="0"/>
        <w:adjustRightInd w:val="0"/>
        <w:ind w:firstLine="720"/>
        <w:rPr>
          <w:rFonts w:eastAsia="MS Mincho"/>
        </w:rPr>
      </w:pPr>
      <w:r w:rsidRPr="009448FC">
        <w:rPr>
          <w:rFonts w:eastAsia="MS Mincho"/>
        </w:rPr>
        <w:tab/>
        <w:t>} else if (received_frame = mmWaveCTS-To-Self){</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R_DST </w:t>
      </w:r>
      <w:r w:rsidRPr="009448FC">
        <w:rPr>
          <w:rFonts w:ascii="Symbol" w:eastAsia="MS Mincho" w:hAnsi="Symbol"/>
        </w:rPr>
        <w:t></w:t>
      </w:r>
      <w:r w:rsidRPr="009448FC">
        <w:rPr>
          <w:rFonts w:eastAsia="MS Mincho"/>
        </w:rPr>
        <w:t xml:space="preserve"> 0</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R_SRC </w:t>
      </w:r>
      <w:r w:rsidRPr="009448FC">
        <w:rPr>
          <w:rFonts w:ascii="Symbol" w:eastAsia="MS Mincho" w:hAnsi="Symbol"/>
        </w:rPr>
        <w:t></w:t>
      </w:r>
      <w:r w:rsidRPr="009448FC">
        <w:rPr>
          <w:rFonts w:eastAsia="MS Mincho"/>
        </w:rPr>
        <w:t xml:space="preserve"> received_frame(TA)</w:t>
      </w:r>
    </w:p>
    <w:p w:rsidR="00AD7E9F" w:rsidRPr="009448FC" w:rsidRDefault="00AD7E9F" w:rsidP="004C1F9B">
      <w:pPr>
        <w:autoSpaceDE w:val="0"/>
        <w:autoSpaceDN w:val="0"/>
        <w:adjustRightInd w:val="0"/>
        <w:ind w:firstLine="720"/>
        <w:rPr>
          <w:rFonts w:eastAsia="MS Mincho"/>
        </w:rPr>
      </w:pPr>
      <w:r w:rsidRPr="009448FC">
        <w:rPr>
          <w:rFonts w:eastAsia="MS Mincho"/>
        </w:rPr>
        <w:tab/>
        <w:t>} else {</w:t>
      </w:r>
    </w:p>
    <w:p w:rsidR="00AD7E9F" w:rsidRPr="009448FC" w:rsidRDefault="00AD7E9F" w:rsidP="00AD7E9F">
      <w:pPr>
        <w:autoSpaceDE w:val="0"/>
        <w:autoSpaceDN w:val="0"/>
        <w:adjustRightInd w:val="0"/>
        <w:ind w:left="720" w:firstLine="720"/>
        <w:rPr>
          <w:rFonts w:eastAsia="MS Mincho"/>
        </w:rPr>
      </w:pPr>
      <w:r w:rsidRPr="009448FC">
        <w:rPr>
          <w:rFonts w:eastAsia="MS Mincho"/>
        </w:rPr>
        <w:tab/>
        <w:t xml:space="preserve">R_DST </w:t>
      </w:r>
      <w:r w:rsidRPr="009448FC">
        <w:rPr>
          <w:rFonts w:ascii="Symbol" w:eastAsia="MS Mincho" w:hAnsi="Symbol"/>
        </w:rPr>
        <w:t></w:t>
      </w:r>
      <w:r w:rsidRPr="009448FC">
        <w:rPr>
          <w:rFonts w:eastAsia="MS Mincho"/>
        </w:rPr>
        <w:t xml:space="preserve"> received_frame(RA)</w:t>
      </w:r>
    </w:p>
    <w:p w:rsidR="00AD7E9F" w:rsidRPr="009448FC" w:rsidRDefault="00AD7E9F" w:rsidP="00AD7E9F">
      <w:pPr>
        <w:autoSpaceDE w:val="0"/>
        <w:autoSpaceDN w:val="0"/>
        <w:adjustRightInd w:val="0"/>
        <w:ind w:left="720" w:firstLine="720"/>
        <w:rPr>
          <w:rFonts w:eastAsia="MS Mincho"/>
        </w:rPr>
      </w:pPr>
      <w:r w:rsidRPr="009448FC">
        <w:rPr>
          <w:rFonts w:eastAsia="MS Mincho"/>
        </w:rPr>
        <w:tab/>
        <w:t xml:space="preserve">R_SRC </w:t>
      </w:r>
      <w:r w:rsidRPr="009448FC">
        <w:rPr>
          <w:rFonts w:ascii="Symbol" w:eastAsia="MS Mincho" w:hAnsi="Symbol"/>
        </w:rPr>
        <w:t></w:t>
      </w:r>
      <w:r w:rsidRPr="009448FC">
        <w:rPr>
          <w:rFonts w:eastAsia="MS Mincho"/>
        </w:rPr>
        <w:t xml:space="preserve"> received_frame(TA)</w:t>
      </w:r>
    </w:p>
    <w:p w:rsidR="00AD7E9F" w:rsidRPr="009448FC" w:rsidRDefault="00AD7E9F" w:rsidP="00AD7E9F">
      <w:pPr>
        <w:autoSpaceDE w:val="0"/>
        <w:autoSpaceDN w:val="0"/>
        <w:adjustRightInd w:val="0"/>
        <w:ind w:left="72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left="720" w:firstLine="720"/>
        <w:rPr>
          <w:rFonts w:eastAsia="MS Mincho"/>
        </w:rPr>
      </w:pPr>
      <w:r w:rsidRPr="009448FC">
        <w:rPr>
          <w:rFonts w:eastAsia="MS Mincho"/>
        </w:rPr>
        <w:t xml:space="preserve">R_DUR </w:t>
      </w:r>
      <w:r w:rsidRPr="009448FC">
        <w:rPr>
          <w:rFonts w:ascii="Symbol" w:eastAsia="MS Mincho" w:hAnsi="Symbol"/>
        </w:rPr>
        <w:t></w:t>
      </w:r>
      <w:r w:rsidRPr="009448FC">
        <w:rPr>
          <w:rFonts w:eastAsia="MS Mincho"/>
        </w:rPr>
        <w:t xml:space="preserve"> received_frame(DUR)</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-1</w:t>
      </w:r>
    </w:p>
    <w:p w:rsidR="00AD7E9F" w:rsidRPr="009448FC" w:rsidRDefault="00AD7E9F" w:rsidP="00AD7E9F">
      <w:pPr>
        <w:autoSpaceDE w:val="0"/>
        <w:autoSpaceDN w:val="0"/>
        <w:adjustRightInd w:val="0"/>
        <w:ind w:left="720" w:firstLine="720"/>
        <w:rPr>
          <w:rFonts w:eastAsia="MS Mincho"/>
          <w:lang w:val="da-DK"/>
        </w:rPr>
      </w:pP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 xml:space="preserve">For (x </w:t>
      </w:r>
      <w:r w:rsidRPr="009448FC">
        <w:rPr>
          <w:rFonts w:ascii="Symbol" w:eastAsia="MS Mincho" w:hAnsi="Symbol"/>
        </w:rPr>
        <w:t></w:t>
      </w:r>
      <w:r w:rsidRPr="009448FC">
        <w:rPr>
          <w:rFonts w:eastAsia="MS Mincho"/>
          <w:lang w:val="da-DK"/>
        </w:rPr>
        <w:t xml:space="preserve"> 0; x &lt; </w:t>
      </w:r>
      <w:r w:rsidR="00AC39E3" w:rsidRPr="009448FC">
        <w:rPr>
          <w:rFonts w:eastAsia="MS Mincho"/>
          <w:lang w:val="da-DK"/>
        </w:rPr>
        <w:t>aM</w:t>
      </w:r>
      <w:r w:rsidRPr="009448FC">
        <w:rPr>
          <w:rFonts w:eastAsia="MS Mincho"/>
          <w:lang w:val="da-DK"/>
        </w:rPr>
        <w:t>inNAVTimersNumber; x++) {</w:t>
      </w:r>
    </w:p>
    <w:p w:rsidR="004C1F9B" w:rsidRPr="009448FC" w:rsidRDefault="004C1F9B" w:rsidP="004C1F9B">
      <w:pPr>
        <w:autoSpaceDE w:val="0"/>
        <w:autoSpaceDN w:val="0"/>
        <w:adjustRightInd w:val="0"/>
        <w:ind w:left="720" w:firstLine="720"/>
        <w:rPr>
          <w:rFonts w:eastAsia="MS Mincho"/>
        </w:rPr>
      </w:pPr>
      <w:r w:rsidRPr="009448FC">
        <w:rPr>
          <w:rFonts w:eastAsia="MS Mincho"/>
          <w:lang w:val="da-DK"/>
        </w:rPr>
        <w:tab/>
        <w:t>If (</w:t>
      </w:r>
      <w:r w:rsidRPr="009448FC">
        <w:rPr>
          <w:rFonts w:eastAsia="MS Mincho"/>
        </w:rPr>
        <w:t>received_frame = ACK) {</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If(</w:t>
      </w:r>
      <w:r w:rsidRPr="009448FC">
        <w:rPr>
          <w:rFonts w:eastAsia="MS Mincho"/>
          <w:lang w:val="pt-BR"/>
        </w:rPr>
        <w:t>NAVDST(x) = R_DST</w:t>
      </w:r>
      <w:r w:rsidRPr="009448FC">
        <w:rPr>
          <w:rFonts w:eastAsia="MS Mincho"/>
        </w:rPr>
        <w:t>) {</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pt-BR"/>
        </w:rPr>
        <w:tab/>
      </w: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r>
      <w:r w:rsidRPr="009448FC">
        <w:rPr>
          <w:rFonts w:eastAsia="MS Mincho"/>
          <w:lang w:val="da-DK"/>
        </w:rPr>
        <w:tab/>
        <w:t>Break</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 else </w:t>
      </w:r>
      <w:r w:rsidRPr="009448FC">
        <w:rPr>
          <w:rFonts w:eastAsia="MS Mincho"/>
          <w:lang w:val="da-DK"/>
        </w:rPr>
        <w:t>if (</w:t>
      </w:r>
      <w:r w:rsidRPr="009448FC">
        <w:rPr>
          <w:rFonts w:eastAsia="MS Mincho"/>
        </w:rPr>
        <w:t>received_frame = mmWaveCTS-To-Self) {</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If(</w:t>
      </w:r>
      <w:r w:rsidRPr="009448FC">
        <w:rPr>
          <w:rFonts w:eastAsia="MS Mincho"/>
          <w:lang w:val="pt-BR"/>
        </w:rPr>
        <w:t>NAVSRC(x) = R_SRC</w:t>
      </w:r>
      <w:r w:rsidRPr="009448FC">
        <w:rPr>
          <w:rFonts w:eastAsia="MS Mincho"/>
        </w:rPr>
        <w:t>) {</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pt-BR"/>
        </w:rPr>
        <w:tab/>
      </w: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r>
      <w:r w:rsidRPr="009448FC">
        <w:rPr>
          <w:rFonts w:eastAsia="MS Mincho"/>
          <w:lang w:val="da-DK"/>
        </w:rPr>
        <w:tab/>
        <w:t>Break</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w:t>
      </w:r>
    </w:p>
    <w:p w:rsidR="00123227" w:rsidRPr="009448FC" w:rsidRDefault="004C1F9B" w:rsidP="00123227">
      <w:pPr>
        <w:autoSpaceDE w:val="0"/>
        <w:autoSpaceDN w:val="0"/>
        <w:adjustRightInd w:val="0"/>
        <w:ind w:left="2160"/>
        <w:rPr>
          <w:rFonts w:eastAsia="MS Mincho"/>
          <w:lang w:val="pt-BR"/>
        </w:rPr>
      </w:pPr>
      <w:r w:rsidRPr="009448FC">
        <w:rPr>
          <w:rFonts w:eastAsia="MS Mincho"/>
        </w:rPr>
        <w:t>} else</w:t>
      </w:r>
      <w:r w:rsidRPr="009448FC">
        <w:rPr>
          <w:rFonts w:eastAsia="MS Mincho"/>
          <w:lang w:val="da-DK"/>
        </w:rPr>
        <w:t xml:space="preserve"> </w:t>
      </w:r>
      <w:r w:rsidRPr="009448FC">
        <w:rPr>
          <w:rFonts w:eastAsia="MS Mincho"/>
          <w:lang w:val="pt-BR"/>
        </w:rPr>
        <w:t>i</w:t>
      </w:r>
      <w:r w:rsidR="00AD7E9F" w:rsidRPr="009448FC">
        <w:rPr>
          <w:rFonts w:eastAsia="MS Mincho"/>
          <w:lang w:val="pt-BR"/>
        </w:rPr>
        <w:t xml:space="preserve">f (NAVSRC(x) = R_SRC &amp;&amp; </w:t>
      </w:r>
      <w:r w:rsidR="001D7E17" w:rsidRPr="009448FC">
        <w:rPr>
          <w:rFonts w:eastAsia="MS Mincho"/>
          <w:lang w:val="pt-BR"/>
        </w:rPr>
        <w:t>(</w:t>
      </w:r>
      <w:r w:rsidR="00AD7E9F" w:rsidRPr="009448FC">
        <w:rPr>
          <w:rFonts w:eastAsia="MS Mincho"/>
          <w:lang w:val="pt-BR"/>
        </w:rPr>
        <w:t>NAVDST(x) = R_DST</w:t>
      </w:r>
      <w:r w:rsidR="001D7E17" w:rsidRPr="009448FC">
        <w:rPr>
          <w:rFonts w:eastAsia="MS Mincho"/>
          <w:lang w:val="pt-BR"/>
        </w:rPr>
        <w:t xml:space="preserve"> </w:t>
      </w:r>
    </w:p>
    <w:p w:rsidR="00AD7E9F" w:rsidRPr="009448FC" w:rsidRDefault="00D11F2E" w:rsidP="00123227">
      <w:pPr>
        <w:autoSpaceDE w:val="0"/>
        <w:autoSpaceDN w:val="0"/>
        <w:adjustRightInd w:val="0"/>
        <w:ind w:left="2160"/>
        <w:rPr>
          <w:rFonts w:eastAsia="MS Mincho"/>
          <w:lang w:val="pt-BR"/>
        </w:rPr>
      </w:pPr>
      <w:r>
        <w:rPr>
          <w:rFonts w:eastAsia="MS Mincho"/>
          <w:lang w:val="pt-BR"/>
        </w:rPr>
        <w:t xml:space="preserve"> </w:t>
      </w:r>
      <w:r w:rsidR="00123227" w:rsidRPr="009448FC">
        <w:rPr>
          <w:rFonts w:eastAsia="MS Mincho"/>
          <w:lang w:val="pt-BR"/>
        </w:rPr>
        <w:t xml:space="preserve">                                                             </w:t>
      </w:r>
      <w:r w:rsidR="001D7E17" w:rsidRPr="009448FC">
        <w:rPr>
          <w:rFonts w:eastAsia="MS Mincho"/>
          <w:lang w:val="pt-BR"/>
        </w:rPr>
        <w:t>|| NAVDST(x) = 0)</w:t>
      </w:r>
      <w:r w:rsidR="00AD7E9F" w:rsidRPr="009448FC">
        <w:rPr>
          <w:rFonts w:eastAsia="MS Mincho"/>
          <w:lang w:val="pt-BR"/>
        </w:rPr>
        <w:t>) {</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t>Break</w:t>
      </w:r>
    </w:p>
    <w:p w:rsidR="00AD7E9F" w:rsidRPr="009448FC" w:rsidRDefault="00AD7E9F" w:rsidP="00AD7E9F">
      <w:pPr>
        <w:autoSpaceDE w:val="0"/>
        <w:autoSpaceDN w:val="0"/>
        <w:adjustRightInd w:val="0"/>
        <w:ind w:left="1440" w:firstLine="720"/>
        <w:rPr>
          <w:rFonts w:eastAsia="MS Mincho"/>
          <w:lang w:val="da-DK"/>
        </w:rPr>
      </w:pPr>
      <w:r w:rsidRPr="009448FC">
        <w:rPr>
          <w:rFonts w:eastAsia="MS Mincho"/>
          <w:lang w:val="da-DK"/>
        </w:rPr>
        <w:t>}</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w:t>
      </w:r>
    </w:p>
    <w:p w:rsidR="00AD7E9F" w:rsidRPr="009448FC" w:rsidRDefault="00AD7E9F" w:rsidP="00AD7E9F">
      <w:pPr>
        <w:autoSpaceDE w:val="0"/>
        <w:autoSpaceDN w:val="0"/>
        <w:adjustRightInd w:val="0"/>
        <w:ind w:left="720" w:firstLine="720"/>
        <w:rPr>
          <w:rFonts w:eastAsia="MS Mincho"/>
          <w:lang w:val="da-DK"/>
        </w:rPr>
      </w:pP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If (N_TIMER &lt; 0) {</w:t>
      </w:r>
    </w:p>
    <w:p w:rsidR="00AD7E9F" w:rsidRPr="009448FC" w:rsidRDefault="00AD7E9F" w:rsidP="00AD7E9F">
      <w:pPr>
        <w:autoSpaceDE w:val="0"/>
        <w:autoSpaceDN w:val="0"/>
        <w:adjustRightInd w:val="0"/>
        <w:ind w:left="1440" w:firstLine="720"/>
        <w:rPr>
          <w:rFonts w:eastAsia="MS Mincho"/>
          <w:lang w:val="da-DK"/>
        </w:rPr>
      </w:pPr>
      <w:r w:rsidRPr="009448FC">
        <w:rPr>
          <w:rFonts w:eastAsia="MS Mincho"/>
          <w:lang w:val="da-DK"/>
        </w:rPr>
        <w:t xml:space="preserve">For (x </w:t>
      </w:r>
      <w:r w:rsidRPr="009448FC">
        <w:rPr>
          <w:rFonts w:ascii="Symbol" w:eastAsia="MS Mincho" w:hAnsi="Symbol"/>
        </w:rPr>
        <w:t></w:t>
      </w:r>
      <w:r w:rsidRPr="009448FC">
        <w:rPr>
          <w:rFonts w:eastAsia="MS Mincho"/>
          <w:lang w:val="da-DK"/>
        </w:rPr>
        <w:t xml:space="preserve"> 0; x &lt; </w:t>
      </w:r>
      <w:r w:rsidR="00AC39E3" w:rsidRPr="009448FC">
        <w:rPr>
          <w:rFonts w:eastAsia="MS Mincho"/>
          <w:lang w:val="da-DK"/>
        </w:rPr>
        <w:t>aM</w:t>
      </w:r>
      <w:r w:rsidRPr="009448FC">
        <w:rPr>
          <w:rFonts w:eastAsia="MS Mincho"/>
          <w:lang w:val="da-DK"/>
        </w:rPr>
        <w:t>inNAVTimersNumber; x++) {</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t>If (NAVSRC(x) = NULL &amp;&amp; NAVDST(x) = NULL</w:t>
      </w:r>
    </w:p>
    <w:p w:rsidR="00AD7E9F" w:rsidRPr="009448FC" w:rsidRDefault="00AD7E9F" w:rsidP="00AD7E9F">
      <w:pPr>
        <w:autoSpaceDE w:val="0"/>
        <w:autoSpaceDN w:val="0"/>
        <w:adjustRightInd w:val="0"/>
        <w:ind w:left="2880" w:firstLine="720"/>
        <w:rPr>
          <w:rFonts w:eastAsia="MS Mincho"/>
          <w:lang w:val="pt-BR"/>
        </w:rPr>
      </w:pPr>
      <w:r w:rsidRPr="009448FC">
        <w:rPr>
          <w:rFonts w:eastAsia="MS Mincho"/>
          <w:lang w:val="pt-BR"/>
        </w:rPr>
        <w:t>|| NAV(x) = 0) {</w:t>
      </w:r>
    </w:p>
    <w:p w:rsidR="00AD7E9F" w:rsidRPr="009448FC" w:rsidRDefault="00AD7E9F" w:rsidP="00AD7E9F">
      <w:pPr>
        <w:autoSpaceDE w:val="0"/>
        <w:autoSpaceDN w:val="0"/>
        <w:adjustRightInd w:val="0"/>
        <w:ind w:left="720" w:firstLine="720"/>
        <w:rPr>
          <w:rFonts w:eastAsia="MS Mincho"/>
          <w:lang w:val="pt-BR"/>
        </w:rPr>
      </w:pPr>
      <w:r w:rsidRPr="009448FC">
        <w:rPr>
          <w:rFonts w:eastAsia="MS Mincho"/>
          <w:lang w:val="pt-BR"/>
        </w:rPr>
        <w:tab/>
      </w:r>
      <w:r w:rsidRPr="009448FC">
        <w:rPr>
          <w:rFonts w:eastAsia="MS Mincho"/>
          <w:lang w:val="pt-BR"/>
        </w:rPr>
        <w:tab/>
      </w:r>
      <w:r w:rsidRPr="009448FC">
        <w:rPr>
          <w:rFonts w:eastAsia="MS Mincho"/>
          <w:lang w:val="pt-BR"/>
        </w:rPr>
        <w:tab/>
        <w:t xml:space="preserve">NAVSRC(x) </w:t>
      </w:r>
      <w:r w:rsidRPr="009448FC">
        <w:rPr>
          <w:rFonts w:ascii="Symbol" w:eastAsia="MS Mincho" w:hAnsi="Symbol"/>
        </w:rPr>
        <w:t></w:t>
      </w:r>
      <w:r w:rsidRPr="009448FC">
        <w:rPr>
          <w:rFonts w:eastAsia="MS Mincho"/>
          <w:lang w:val="pt-BR"/>
        </w:rPr>
        <w:t xml:space="preserve"> R_SRC</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pt-BR"/>
        </w:rPr>
        <w:tab/>
      </w:r>
      <w:r w:rsidRPr="009448FC">
        <w:rPr>
          <w:rFonts w:eastAsia="MS Mincho"/>
          <w:lang w:val="da-DK"/>
        </w:rPr>
        <w:t xml:space="preserve">NAVDST(x) </w:t>
      </w:r>
      <w:r w:rsidRPr="009448FC">
        <w:rPr>
          <w:rFonts w:ascii="Symbol" w:eastAsia="MS Mincho" w:hAnsi="Symbol"/>
        </w:rPr>
        <w:t></w:t>
      </w:r>
      <w:r w:rsidRPr="009448FC">
        <w:rPr>
          <w:rFonts w:eastAsia="MS Mincho"/>
          <w:lang w:val="da-DK"/>
        </w:rPr>
        <w:t xml:space="preserve"> R_DST</w:t>
      </w:r>
    </w:p>
    <w:p w:rsidR="00AD7E9F" w:rsidRPr="009448FC" w:rsidRDefault="00AD7E9F" w:rsidP="00AD7E9F">
      <w:pPr>
        <w:autoSpaceDE w:val="0"/>
        <w:autoSpaceDN w:val="0"/>
        <w:adjustRightInd w:val="0"/>
        <w:ind w:left="2880" w:firstLine="720"/>
        <w:rPr>
          <w:rFonts w:eastAsia="MS Mincho"/>
          <w:lang w:val="da-DK"/>
        </w:rPr>
      </w:pP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AD7E9F" w:rsidRPr="009448FC" w:rsidRDefault="00AD7E9F" w:rsidP="00AD7E9F">
      <w:pPr>
        <w:autoSpaceDE w:val="0"/>
        <w:autoSpaceDN w:val="0"/>
        <w:adjustRightInd w:val="0"/>
        <w:ind w:left="720" w:firstLine="720"/>
        <w:rPr>
          <w:rFonts w:eastAsia="MS Mincho"/>
        </w:rPr>
      </w:pPr>
      <w:r w:rsidRPr="009448FC">
        <w:rPr>
          <w:rFonts w:eastAsia="MS Mincho"/>
          <w:lang w:val="da-DK"/>
        </w:rPr>
        <w:tab/>
      </w:r>
      <w:r w:rsidRPr="009448FC">
        <w:rPr>
          <w:rFonts w:eastAsia="MS Mincho"/>
          <w:lang w:val="da-DK"/>
        </w:rPr>
        <w:tab/>
      </w:r>
      <w:r w:rsidRPr="009448FC">
        <w:rPr>
          <w:rFonts w:eastAsia="MS Mincho"/>
          <w:lang w:val="da-DK"/>
        </w:rPr>
        <w:tab/>
      </w:r>
      <w:r w:rsidRPr="009448FC">
        <w:rPr>
          <w:rFonts w:eastAsia="MS Mincho"/>
        </w:rPr>
        <w:t>Break</w:t>
      </w:r>
    </w:p>
    <w:p w:rsidR="00AD7E9F" w:rsidRPr="009448FC" w:rsidRDefault="00AD7E9F" w:rsidP="00AD7E9F">
      <w:pPr>
        <w:autoSpaceDE w:val="0"/>
        <w:autoSpaceDN w:val="0"/>
        <w:adjustRightInd w:val="0"/>
        <w:ind w:left="2160" w:firstLine="720"/>
        <w:rPr>
          <w:rFonts w:eastAsia="MS Mincho"/>
        </w:rPr>
      </w:pPr>
      <w:r w:rsidRPr="009448FC">
        <w:rPr>
          <w:rFonts w:eastAsia="MS Mincho"/>
        </w:rPr>
        <w:t xml:space="preserve">} </w:t>
      </w:r>
    </w:p>
    <w:p w:rsidR="00AD7E9F" w:rsidRPr="009448FC" w:rsidRDefault="00AD7E9F" w:rsidP="00AD7E9F">
      <w:pPr>
        <w:autoSpaceDE w:val="0"/>
        <w:autoSpaceDN w:val="0"/>
        <w:adjustRightInd w:val="0"/>
        <w:ind w:left="144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left="720" w:firstLine="720"/>
        <w:rPr>
          <w:rFonts w:ascii="MS Shell Dlg" w:eastAsia="MS Mincho" w:hAnsi="MS Shell Dlg"/>
        </w:rPr>
      </w:pPr>
      <w:r w:rsidRPr="009448FC">
        <w:rPr>
          <w:rFonts w:eastAsia="MS Mincho"/>
        </w:rPr>
        <w:t xml:space="preserve">If (N_TIMER </w:t>
      </w:r>
      <w:r w:rsidRPr="009448FC">
        <w:rPr>
          <w:rFonts w:ascii="Symbol" w:eastAsia="MS Mincho" w:hAnsi="Symbol"/>
        </w:rPr>
        <w:t></w:t>
      </w:r>
      <w:r w:rsidRPr="009448FC">
        <w:rPr>
          <w:rFonts w:eastAsia="MS Mincho"/>
        </w:rPr>
        <w:t xml:space="preserve"> 0) {</w:t>
      </w:r>
    </w:p>
    <w:p w:rsidR="00AD7E9F" w:rsidRPr="009448FC" w:rsidRDefault="00AD7E9F" w:rsidP="00AD7E9F">
      <w:pPr>
        <w:autoSpaceDE w:val="0"/>
        <w:autoSpaceDN w:val="0"/>
        <w:adjustRightInd w:val="0"/>
        <w:ind w:left="720" w:firstLine="720"/>
        <w:rPr>
          <w:rFonts w:eastAsia="MS Mincho"/>
        </w:rPr>
      </w:pPr>
      <w:r w:rsidRPr="009448FC">
        <w:rPr>
          <w:rFonts w:eastAsia="MS Mincho"/>
        </w:rPr>
        <w:tab/>
        <w:t>If (UPDATE_OPTIONAL = FALSE</w:t>
      </w:r>
    </w:p>
    <w:p w:rsidR="00AD7E9F" w:rsidRPr="009448FC" w:rsidRDefault="00AD7E9F" w:rsidP="00AD7E9F">
      <w:pPr>
        <w:autoSpaceDE w:val="0"/>
        <w:autoSpaceDN w:val="0"/>
        <w:adjustRightInd w:val="0"/>
        <w:ind w:left="2160" w:firstLine="720"/>
        <w:rPr>
          <w:rFonts w:eastAsia="MS Mincho"/>
          <w:lang w:val="pt-BR"/>
        </w:rPr>
      </w:pPr>
      <w:r w:rsidRPr="009448FC">
        <w:rPr>
          <w:rFonts w:eastAsia="MS Mincho"/>
          <w:lang w:val="pt-BR"/>
        </w:rPr>
        <w:t>&amp;&amp; R_DUR &gt; NAV(N_TIMER)</w:t>
      </w:r>
      <w:r w:rsidR="00281486" w:rsidRPr="009448FC">
        <w:rPr>
          <w:rFonts w:eastAsia="MS Mincho"/>
          <w:lang w:val="pt-BR"/>
        </w:rPr>
        <w:t xml:space="preserve"> </w:t>
      </w:r>
      <w:r w:rsidRPr="009448FC">
        <w:rPr>
          <w:rFonts w:eastAsia="MS Mincho"/>
          <w:lang w:val="pt-BR"/>
        </w:rPr>
        <w:t>) {</w:t>
      </w:r>
    </w:p>
    <w:p w:rsidR="00AD7E9F" w:rsidRPr="009448FC" w:rsidRDefault="00AD7E9F" w:rsidP="00AD7E9F">
      <w:pPr>
        <w:autoSpaceDE w:val="0"/>
        <w:autoSpaceDN w:val="0"/>
        <w:adjustRightInd w:val="0"/>
        <w:ind w:left="720" w:firstLine="720"/>
        <w:rPr>
          <w:rFonts w:eastAsia="MS Mincho"/>
        </w:rPr>
      </w:pPr>
      <w:r w:rsidRPr="009448FC">
        <w:rPr>
          <w:rFonts w:eastAsia="MS Mincho"/>
          <w:lang w:val="pt-BR"/>
        </w:rPr>
        <w:tab/>
      </w:r>
      <w:r w:rsidRPr="009448FC">
        <w:rPr>
          <w:rFonts w:eastAsia="MS Mincho"/>
          <w:lang w:val="pt-BR"/>
        </w:rPr>
        <w:tab/>
      </w:r>
      <w:r w:rsidRPr="009448FC">
        <w:rPr>
          <w:rFonts w:eastAsia="MS Mincho"/>
        </w:rPr>
        <w:t xml:space="preserve">NAV(N_TIMER) </w:t>
      </w:r>
      <w:r w:rsidRPr="009448FC">
        <w:rPr>
          <w:rFonts w:ascii="Symbol" w:eastAsia="MS Mincho" w:hAnsi="Symbol"/>
        </w:rPr>
        <w:t></w:t>
      </w:r>
      <w:r w:rsidRPr="009448FC">
        <w:rPr>
          <w:rFonts w:eastAsia="MS Mincho"/>
        </w:rPr>
        <w:t xml:space="preserve"> R_DUR</w:t>
      </w:r>
    </w:p>
    <w:p w:rsidR="00AD7E9F" w:rsidRPr="009448FC" w:rsidRDefault="00AD7E9F" w:rsidP="00AD7E9F">
      <w:pPr>
        <w:autoSpaceDE w:val="0"/>
        <w:autoSpaceDN w:val="0"/>
        <w:adjustRightInd w:val="0"/>
        <w:ind w:left="2160" w:firstLine="720"/>
        <w:rPr>
          <w:rFonts w:eastAsia="MS Mincho"/>
        </w:rPr>
      </w:pPr>
      <w:r w:rsidRPr="009448FC">
        <w:rPr>
          <w:rFonts w:eastAsia="MS Mincho"/>
        </w:rPr>
        <w:t>If (received_frame = RTS) {</w:t>
      </w:r>
    </w:p>
    <w:p w:rsidR="00AD7E9F" w:rsidRPr="009448FC" w:rsidRDefault="00AD7E9F" w:rsidP="00AD7E9F">
      <w:pPr>
        <w:autoSpaceDE w:val="0"/>
        <w:autoSpaceDN w:val="0"/>
        <w:adjustRightInd w:val="0"/>
        <w:ind w:left="2880" w:firstLine="720"/>
        <w:rPr>
          <w:rFonts w:eastAsia="MS Mincho"/>
        </w:rPr>
      </w:pPr>
      <w:r w:rsidRPr="009448FC">
        <w:rPr>
          <w:rFonts w:eastAsia="MS Mincho"/>
        </w:rPr>
        <w:t xml:space="preserve">NAV_RTSCANCELABLE(N_TIMER) </w:t>
      </w:r>
      <w:r w:rsidRPr="009448FC">
        <w:rPr>
          <w:rFonts w:ascii="Symbol" w:eastAsia="MS Mincho" w:hAnsi="Symbol"/>
        </w:rPr>
        <w:t></w:t>
      </w:r>
      <w:r w:rsidRPr="009448FC">
        <w:rPr>
          <w:rFonts w:eastAsia="MS Mincho"/>
        </w:rPr>
        <w:t xml:space="preserve"> TRUE</w:t>
      </w:r>
    </w:p>
    <w:p w:rsidR="00AD7E9F" w:rsidRPr="009448FC" w:rsidRDefault="00AD7E9F" w:rsidP="00AD7E9F">
      <w:pPr>
        <w:autoSpaceDE w:val="0"/>
        <w:autoSpaceDN w:val="0"/>
        <w:adjustRightInd w:val="0"/>
        <w:ind w:left="2160" w:firstLine="720"/>
        <w:rPr>
          <w:rFonts w:eastAsia="MS Mincho"/>
        </w:rPr>
      </w:pPr>
      <w:r w:rsidRPr="009448FC">
        <w:rPr>
          <w:rFonts w:eastAsia="MS Mincho"/>
        </w:rPr>
        <w:t>} else {</w:t>
      </w:r>
    </w:p>
    <w:p w:rsidR="00AD7E9F" w:rsidRPr="009448FC" w:rsidRDefault="00AD7E9F" w:rsidP="00AD7E9F">
      <w:pPr>
        <w:autoSpaceDE w:val="0"/>
        <w:autoSpaceDN w:val="0"/>
        <w:adjustRightInd w:val="0"/>
        <w:ind w:left="2880" w:firstLine="720"/>
        <w:rPr>
          <w:rFonts w:eastAsia="MS Mincho"/>
        </w:rPr>
      </w:pPr>
      <w:r w:rsidRPr="009448FC">
        <w:rPr>
          <w:rFonts w:eastAsia="MS Mincho"/>
        </w:rPr>
        <w:t xml:space="preserve">NAV_RTSCANCELABLE(N_TIMER) </w:t>
      </w:r>
      <w:r w:rsidRPr="009448FC">
        <w:rPr>
          <w:rFonts w:ascii="Symbol" w:eastAsia="MS Mincho" w:hAnsi="Symbol"/>
        </w:rPr>
        <w:t></w:t>
      </w:r>
      <w:r w:rsidRPr="009448FC">
        <w:rPr>
          <w:rFonts w:eastAsia="MS Mincho"/>
        </w:rPr>
        <w:t xml:space="preserve"> FALSE</w:t>
      </w:r>
    </w:p>
    <w:p w:rsidR="00AD7E9F" w:rsidRPr="009448FC" w:rsidRDefault="00AD7E9F" w:rsidP="00AD7E9F">
      <w:pPr>
        <w:autoSpaceDE w:val="0"/>
        <w:autoSpaceDN w:val="0"/>
        <w:adjustRightInd w:val="0"/>
        <w:ind w:left="2160" w:firstLine="720"/>
        <w:rPr>
          <w:rFonts w:eastAsia="MS Mincho"/>
          <w:lang w:val="da-DK"/>
        </w:rPr>
      </w:pPr>
      <w:r w:rsidRPr="009448FC">
        <w:rPr>
          <w:rFonts w:eastAsia="MS Mincho"/>
          <w:lang w:val="da-DK"/>
        </w:rPr>
        <w:t>}</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ab/>
        <w:t>} else if (UPDATE_OPTIONAL = TRUE</w:t>
      </w:r>
    </w:p>
    <w:p w:rsidR="00AD7E9F" w:rsidRPr="009448FC" w:rsidRDefault="00AD7E9F" w:rsidP="00AD7E9F">
      <w:pPr>
        <w:autoSpaceDE w:val="0"/>
        <w:autoSpaceDN w:val="0"/>
        <w:adjustRightInd w:val="0"/>
        <w:ind w:left="2160" w:firstLine="720"/>
        <w:rPr>
          <w:rFonts w:eastAsia="MS Mincho"/>
          <w:lang w:val="da-DK"/>
        </w:rPr>
      </w:pPr>
      <w:r w:rsidRPr="009448FC">
        <w:rPr>
          <w:rFonts w:eastAsia="MS Mincho"/>
          <w:lang w:val="da-DK"/>
        </w:rPr>
        <w:t>&amp;&amp; R_DUR &gt; NAV(N_TIMER)</w:t>
      </w:r>
      <w:r w:rsidR="00281486" w:rsidRPr="009448FC">
        <w:rPr>
          <w:rFonts w:eastAsia="MS Mincho"/>
          <w:lang w:val="da-DK"/>
        </w:rPr>
        <w:t xml:space="preserve"> </w:t>
      </w:r>
      <w:r w:rsidRPr="009448FC">
        <w:rPr>
          <w:rFonts w:eastAsia="MS Mincho"/>
          <w:lang w:val="da-DK"/>
        </w:rPr>
        <w:t>) {</w:t>
      </w:r>
    </w:p>
    <w:p w:rsidR="00AD7E9F" w:rsidRPr="009448FC" w:rsidRDefault="00AD7E9F" w:rsidP="00AD7E9F">
      <w:pPr>
        <w:autoSpaceDE w:val="0"/>
        <w:autoSpaceDN w:val="0"/>
        <w:adjustRightInd w:val="0"/>
        <w:ind w:left="2160" w:firstLine="720"/>
        <w:rPr>
          <w:rFonts w:eastAsia="MS Mincho"/>
        </w:rPr>
      </w:pPr>
      <w:r w:rsidRPr="009448FC">
        <w:rPr>
          <w:rFonts w:eastAsia="MS Mincho"/>
          <w:lang w:val="da-DK"/>
        </w:rPr>
        <w:tab/>
      </w:r>
      <w:r w:rsidRPr="009448FC">
        <w:rPr>
          <w:rFonts w:eastAsia="MS Mincho"/>
        </w:rPr>
        <w:t>If (implementation decision to update = TRUE) {</w:t>
      </w:r>
    </w:p>
    <w:p w:rsidR="00AD7E9F" w:rsidRPr="009448FC" w:rsidRDefault="00AD7E9F" w:rsidP="00AD7E9F">
      <w:pPr>
        <w:autoSpaceDE w:val="0"/>
        <w:autoSpaceDN w:val="0"/>
        <w:adjustRightInd w:val="0"/>
        <w:ind w:left="3600" w:firstLine="720"/>
        <w:rPr>
          <w:rFonts w:eastAsia="MS Mincho"/>
        </w:rPr>
      </w:pPr>
      <w:r w:rsidRPr="009448FC">
        <w:rPr>
          <w:rFonts w:eastAsia="MS Mincho"/>
        </w:rPr>
        <w:t xml:space="preserve">NAV_DTSCANCELABLE(N_TIMER) </w:t>
      </w:r>
      <w:r w:rsidRPr="009448FC">
        <w:rPr>
          <w:rFonts w:ascii="Symbol" w:eastAsia="MS Mincho" w:hAnsi="Symbol"/>
        </w:rPr>
        <w:t></w:t>
      </w:r>
      <w:r w:rsidRPr="009448FC">
        <w:rPr>
          <w:rFonts w:eastAsia="MS Mincho"/>
        </w:rPr>
        <w:t xml:space="preserve"> TRUE</w:t>
      </w:r>
    </w:p>
    <w:p w:rsidR="00AD7E9F" w:rsidRPr="009448FC" w:rsidRDefault="00AD7E9F" w:rsidP="00AD7E9F">
      <w:pPr>
        <w:autoSpaceDE w:val="0"/>
        <w:autoSpaceDN w:val="0"/>
        <w:adjustRightInd w:val="0"/>
        <w:ind w:left="3600" w:firstLine="720"/>
        <w:rPr>
          <w:rFonts w:eastAsia="MS Mincho"/>
        </w:rPr>
      </w:pPr>
      <w:r w:rsidRPr="009448FC">
        <w:rPr>
          <w:rFonts w:eastAsia="MS Mincho"/>
        </w:rPr>
        <w:t xml:space="preserve">NAV(N_TIMER) </w:t>
      </w:r>
      <w:r w:rsidRPr="009448FC">
        <w:rPr>
          <w:rFonts w:ascii="Symbol" w:eastAsia="MS Mincho" w:hAnsi="Symbol"/>
        </w:rPr>
        <w:t></w:t>
      </w:r>
      <w:r w:rsidRPr="009448FC">
        <w:rPr>
          <w:rFonts w:eastAsia="MS Mincho"/>
        </w:rPr>
        <w:t xml:space="preserve"> R_DUR</w:t>
      </w:r>
    </w:p>
    <w:p w:rsidR="00AD7E9F" w:rsidRPr="009448FC" w:rsidRDefault="00AD7E9F" w:rsidP="00AD7E9F">
      <w:pPr>
        <w:autoSpaceDE w:val="0"/>
        <w:autoSpaceDN w:val="0"/>
        <w:adjustRightInd w:val="0"/>
        <w:rPr>
          <w:rFonts w:eastAsia="MS Mincho"/>
        </w:rPr>
      </w:pPr>
      <w:r w:rsidRPr="009448FC">
        <w:rPr>
          <w:rFonts w:eastAsia="MS Mincho"/>
        </w:rPr>
        <w:tab/>
      </w:r>
      <w:r w:rsidRPr="009448FC">
        <w:rPr>
          <w:rFonts w:eastAsia="MS Mincho"/>
        </w:rPr>
        <w:tab/>
      </w:r>
      <w:r w:rsidRPr="009448FC">
        <w:rPr>
          <w:rFonts w:eastAsia="MS Mincho"/>
        </w:rPr>
        <w:tab/>
      </w:r>
      <w:r w:rsidRPr="009448FC">
        <w:rPr>
          <w:rFonts w:eastAsia="MS Mincho"/>
        </w:rPr>
        <w:tab/>
      </w:r>
      <w:r w:rsidRPr="009448FC">
        <w:rPr>
          <w:rFonts w:eastAsia="MS Mincho"/>
        </w:rPr>
        <w:tab/>
        <w:t>}</w:t>
      </w:r>
    </w:p>
    <w:p w:rsidR="00AD7E9F" w:rsidRPr="009448FC" w:rsidRDefault="00AD7E9F" w:rsidP="00AD7E9F">
      <w:pPr>
        <w:autoSpaceDE w:val="0"/>
        <w:autoSpaceDN w:val="0"/>
        <w:adjustRightInd w:val="0"/>
        <w:ind w:left="144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 else {</w:t>
      </w:r>
    </w:p>
    <w:p w:rsidR="00AD7E9F" w:rsidRPr="009448FC" w:rsidRDefault="00AD7E9F" w:rsidP="00AD7E9F">
      <w:pPr>
        <w:autoSpaceDE w:val="0"/>
        <w:autoSpaceDN w:val="0"/>
        <w:adjustRightInd w:val="0"/>
        <w:ind w:firstLine="720"/>
        <w:rPr>
          <w:rFonts w:eastAsia="MS Mincho"/>
        </w:rPr>
      </w:pPr>
      <w:r w:rsidRPr="009448FC">
        <w:rPr>
          <w:rFonts w:eastAsia="MS Mincho"/>
        </w:rPr>
        <w:tab/>
        <w:t>No change to NAV timers</w:t>
      </w:r>
    </w:p>
    <w:p w:rsidR="00AD7E9F" w:rsidRPr="009448FC" w:rsidRDefault="00AD7E9F" w:rsidP="00AD7E9F">
      <w:pPr>
        <w:autoSpaceDE w:val="0"/>
        <w:autoSpaceDN w:val="0"/>
        <w:adjustRightInd w:val="0"/>
        <w:ind w:firstLine="720"/>
        <w:rPr>
          <w:rFonts w:eastAsia="MS Mincho"/>
        </w:rPr>
      </w:pPr>
      <w:r w:rsidRPr="009448FC">
        <w:rPr>
          <w:rFonts w:eastAsia="MS Mincho"/>
        </w:rPr>
        <w:t>}</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END OF NAV_TIMER_UPDATE</w:t>
      </w:r>
      <w:r w:rsidR="00281486" w:rsidRPr="009448FC">
        <w:rPr>
          <w:rFonts w:eastAsia="MS Mincho"/>
        </w:rPr>
        <w:t xml:space="preserve"> </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 xml:space="preserve">During a time period beginning with the completion of each NAV Timer update operation and lasting </w:t>
      </w:r>
      <w:r w:rsidR="004E323A" w:rsidRPr="009448FC">
        <w:rPr>
          <w:rFonts w:eastAsia="MS Mincho"/>
        </w:rPr>
        <w:t>for mmWaveCTS +2SIFS</w:t>
      </w:r>
      <w:r w:rsidRPr="009448FC">
        <w:rPr>
          <w:rFonts w:eastAsia="MS Mincho"/>
        </w:rPr>
        <w:t xml:space="preserve">, each STA shall monitor the channel to determine if a preamble or carrier detect event has occurred. If such an event has not occurred during this time period, then the STA may reset to ZERO any NAV Timer that has a value of TRUE for its associated NAV_RTSCANCELABLE variable. </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Subsequent to the NAV Timer update operation, each NAV timer counts down until it reaches the value zero or until it reaches zero through a reset operation.</w:t>
      </w:r>
    </w:p>
    <w:p w:rsidR="00AD7E9F" w:rsidRPr="009448FC" w:rsidRDefault="00AD7E9F" w:rsidP="00AD7E9F">
      <w:pPr>
        <w:autoSpaceDE w:val="0"/>
        <w:autoSpaceDN w:val="0"/>
        <w:adjustRightInd w:val="0"/>
        <w:rPr>
          <w:rFonts w:eastAsia="MS Mincho"/>
        </w:rPr>
      </w:pPr>
    </w:p>
    <w:p w:rsidR="005C138A" w:rsidRPr="009448FC" w:rsidRDefault="00AD7E9F" w:rsidP="005C138A">
      <w:pPr>
        <w:autoSpaceDE w:val="0"/>
        <w:autoSpaceDN w:val="0"/>
        <w:adjustRightInd w:val="0"/>
      </w:pPr>
      <w:r w:rsidRPr="009448FC">
        <w:rPr>
          <w:rFonts w:eastAsia="MS Mincho"/>
        </w:rPr>
        <w:t>If a STA receives a valid mmWaveCF-End response with RA and TA values that match the NAVSRC and NAVDST values, respectively, for any NAV Timer, then the STA shall set the associated NAV Timer to the value of the duration field in the received mmWaveCF-End frame.</w:t>
      </w:r>
      <w:r w:rsidR="00EE1100" w:rsidRPr="009448FC">
        <w:t xml:space="preserve"> </w:t>
      </w:r>
    </w:p>
    <w:p w:rsidR="005C138A" w:rsidRPr="009448FC" w:rsidRDefault="005C138A" w:rsidP="003701DB">
      <w:pPr>
        <w:pStyle w:val="Heading2"/>
        <w:numPr>
          <w:ilvl w:val="1"/>
          <w:numId w:val="30"/>
        </w:numPr>
        <w:rPr>
          <w:rFonts w:ascii="Times New Roman" w:hAnsi="Times New Roman"/>
          <w:u w:val="none"/>
        </w:rPr>
      </w:pPr>
      <w:bookmarkStart w:id="1414" w:name="_Ref246666269"/>
      <w:bookmarkStart w:id="1415" w:name="_Toc259717133"/>
      <w:r w:rsidRPr="009448FC">
        <w:rPr>
          <w:rFonts w:ascii="Times New Roman" w:hAnsi="Times New Roman"/>
          <w:u w:val="none"/>
        </w:rPr>
        <w:t>PCP/AP Clustering</w:t>
      </w:r>
      <w:bookmarkEnd w:id="1414"/>
      <w:bookmarkEnd w:id="1415"/>
    </w:p>
    <w:p w:rsidR="00D30FA9" w:rsidRPr="009448FC" w:rsidRDefault="00D30FA9" w:rsidP="00D30FA9">
      <w:bookmarkStart w:id="1416" w:name="_Toc243461562"/>
      <w:bookmarkStart w:id="1417" w:name="_Toc243471693"/>
      <w:bookmarkStart w:id="1418" w:name="_Toc243795000"/>
      <w:bookmarkEnd w:id="1416"/>
      <w:bookmarkEnd w:id="1417"/>
      <w:bookmarkEnd w:id="1418"/>
    </w:p>
    <w:p w:rsidR="00112E9F" w:rsidRDefault="009670EB" w:rsidP="00112E9F">
      <w:pPr>
        <w:autoSpaceDE w:val="0"/>
        <w:autoSpaceDN w:val="0"/>
        <w:adjustRightInd w:val="0"/>
        <w:rPr>
          <w:rFonts w:eastAsia="MS Mincho"/>
        </w:rPr>
      </w:pPr>
      <w:r w:rsidRPr="009670EB">
        <w:rPr>
          <w:rFonts w:eastAsia="MS Mincho"/>
        </w:rPr>
        <w:t xml:space="preserve">A PCP/AP may use the PCP/AP clustering mechanism described in this subclause to improve spatial </w:t>
      </w:r>
      <w:r w:rsidR="00AA60E7">
        <w:rPr>
          <w:rFonts w:eastAsia="MS Mincho"/>
        </w:rPr>
        <w:t xml:space="preserve">frequency </w:t>
      </w:r>
      <w:r w:rsidRPr="009670EB">
        <w:rPr>
          <w:rFonts w:eastAsia="MS Mincho"/>
        </w:rPr>
        <w:t>sharing and interference mitigation with other co-channel BSSs.</w:t>
      </w:r>
    </w:p>
    <w:p w:rsidR="009670EB" w:rsidRPr="009448FC" w:rsidRDefault="009670EB" w:rsidP="00112E9F">
      <w:pPr>
        <w:autoSpaceDE w:val="0"/>
        <w:autoSpaceDN w:val="0"/>
        <w:adjustRightInd w:val="0"/>
        <w:rPr>
          <w:rFonts w:eastAsia="MS Mincho"/>
        </w:rPr>
      </w:pPr>
    </w:p>
    <w:p w:rsidR="0003768A" w:rsidRPr="009448FC" w:rsidRDefault="0003768A" w:rsidP="00112E9F">
      <w:pPr>
        <w:autoSpaceDE w:val="0"/>
        <w:autoSpaceDN w:val="0"/>
        <w:adjustRightInd w:val="0"/>
        <w:rPr>
          <w:rFonts w:eastAsia="MS Mincho"/>
        </w:rPr>
      </w:pPr>
      <w:r w:rsidRPr="009448FC">
        <w:rPr>
          <w:rFonts w:eastAsia="MS Mincho"/>
        </w:rPr>
        <w:t>PCP/AP clustering allows a PCP/AP that is a member of a cluster to schedule transmissions in non-overlapping time periods with respect to other members of the same cluster, since the PCP/AP can receive mmWave Beacon and Announce frames containing the Extended Schedule element of other cluster members.</w:t>
      </w:r>
    </w:p>
    <w:p w:rsidR="0003768A" w:rsidRPr="009448FC" w:rsidRDefault="0003768A" w:rsidP="00D30FA9"/>
    <w:p w:rsidR="00615669" w:rsidRPr="009448FC" w:rsidRDefault="00615669" w:rsidP="00284CD0">
      <w:pPr>
        <w:autoSpaceDE w:val="0"/>
        <w:autoSpaceDN w:val="0"/>
        <w:adjustRightInd w:val="0"/>
        <w:rPr>
          <w:rFonts w:eastAsia="MS Mincho"/>
        </w:rPr>
      </w:pPr>
      <w:r w:rsidRPr="009448FC">
        <w:rPr>
          <w:rFonts w:eastAsia="MS Mincho"/>
        </w:rPr>
        <w:lastRenderedPageBreak/>
        <w:t xml:space="preserve">The PCP/AP </w:t>
      </w:r>
      <w:r w:rsidR="00CB6FE9">
        <w:rPr>
          <w:rFonts w:eastAsia="MS Mincho"/>
        </w:rPr>
        <w:t>employs</w:t>
      </w:r>
      <w:r w:rsidRPr="009448FC">
        <w:rPr>
          <w:rFonts w:eastAsia="MS Mincho"/>
        </w:rPr>
        <w:t xml:space="preserve"> the PCP/AP Clustering Control field defined in </w:t>
      </w:r>
      <w:r w:rsidR="00BD151C" w:rsidRPr="009448FC">
        <w:rPr>
          <w:rFonts w:eastAsia="MS Mincho"/>
        </w:rPr>
        <w:fldChar w:fldCharType="begin"/>
      </w:r>
      <w:r w:rsidR="004C73F2" w:rsidRPr="009448FC">
        <w:rPr>
          <w:rFonts w:eastAsia="MS Mincho"/>
        </w:rPr>
        <w:instrText xml:space="preserve"> REF _Ref236726090 \r \h </w:instrText>
      </w:r>
      <w:r w:rsidR="00BD151C" w:rsidRPr="009448FC">
        <w:rPr>
          <w:rFonts w:eastAsia="MS Mincho"/>
        </w:rPr>
      </w:r>
      <w:r w:rsidR="00BD151C" w:rsidRPr="009448FC">
        <w:rPr>
          <w:rFonts w:eastAsia="MS Mincho"/>
        </w:rPr>
        <w:fldChar w:fldCharType="separate"/>
      </w:r>
      <w:r w:rsidR="003E4210">
        <w:rPr>
          <w:rFonts w:eastAsia="MS Mincho"/>
        </w:rPr>
        <w:t>7.2.4.1</w:t>
      </w:r>
      <w:r w:rsidR="00BD151C" w:rsidRPr="009448FC">
        <w:rPr>
          <w:rFonts w:eastAsia="MS Mincho"/>
        </w:rPr>
        <w:fldChar w:fldCharType="end"/>
      </w:r>
      <w:r w:rsidR="004C73F2" w:rsidRPr="009448FC">
        <w:rPr>
          <w:rFonts w:eastAsia="MS Mincho"/>
        </w:rPr>
        <w:t xml:space="preserve"> </w:t>
      </w:r>
      <w:r w:rsidRPr="009448FC">
        <w:rPr>
          <w:rFonts w:eastAsia="MS Mincho"/>
        </w:rPr>
        <w:t>to configure the use of PCP/AP Clustering in</w:t>
      </w:r>
      <w:r w:rsidR="00BE5866">
        <w:rPr>
          <w:rFonts w:eastAsia="MS Mincho"/>
        </w:rPr>
        <w:t xml:space="preserve"> a BSS. A PCP/AP that transmits</w:t>
      </w:r>
      <w:r w:rsidR="007A5DB9">
        <w:rPr>
          <w:rFonts w:eastAsia="MS Mincho"/>
        </w:rPr>
        <w:t xml:space="preserve"> </w:t>
      </w:r>
      <w:r w:rsidRPr="009448FC">
        <w:rPr>
          <w:rFonts w:eastAsia="MS Mincho"/>
        </w:rPr>
        <w:t xml:space="preserve">the Clustering Control field is clustering </w:t>
      </w:r>
      <w:r w:rsidR="00E07F24">
        <w:rPr>
          <w:rFonts w:eastAsia="MS Mincho"/>
        </w:rPr>
        <w:t>enabled</w:t>
      </w:r>
      <w:r w:rsidRPr="009448FC">
        <w:rPr>
          <w:rFonts w:eastAsia="MS Mincho"/>
        </w:rPr>
        <w:t xml:space="preserve">. A PCP/AP that </w:t>
      </w:r>
      <w:r w:rsidR="00284CD0">
        <w:rPr>
          <w:rFonts w:eastAsia="MS Mincho"/>
        </w:rPr>
        <w:t xml:space="preserve">does not </w:t>
      </w:r>
      <w:r w:rsidRPr="009448FC">
        <w:rPr>
          <w:rFonts w:eastAsia="MS Mincho"/>
        </w:rPr>
        <w:t xml:space="preserve">transmit the Clustering Control field is clustering </w:t>
      </w:r>
      <w:r w:rsidR="00E07F24">
        <w:rPr>
          <w:rFonts w:eastAsia="MS Mincho"/>
        </w:rPr>
        <w:t>disabled</w:t>
      </w:r>
      <w:r w:rsidRPr="009448FC">
        <w:rPr>
          <w:rFonts w:eastAsia="MS Mincho"/>
        </w:rPr>
        <w: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Clustering </w:t>
      </w:r>
      <w:r w:rsidR="00E07F24">
        <w:rPr>
          <w:rFonts w:eastAsia="MS Mincho"/>
        </w:rPr>
        <w:t>enabled</w:t>
      </w:r>
      <w:r w:rsidRPr="009448FC">
        <w:rPr>
          <w:rFonts w:eastAsia="MS Mincho"/>
        </w:rPr>
        <w:t xml:space="preserve"> PCP/APs operating on the same channel may form a PCP/AP cluster. A PCP/AP cluster includes one Synchronization PCP/AP (S-PCP/S-AP) and zero or more member PCP/APs. The MAC address of the S-PCP/S-AP shall be the ClusterID of the PCP/AP cluster.</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A clustering </w:t>
      </w:r>
      <w:r w:rsidR="00E07F24">
        <w:rPr>
          <w:rFonts w:eastAsia="MS Mincho"/>
        </w:rPr>
        <w:t>enabled</w:t>
      </w:r>
      <w:r w:rsidRPr="009448FC">
        <w:rPr>
          <w:rFonts w:eastAsia="MS Mincho"/>
        </w:rPr>
        <w:t xml:space="preserve"> PCP/AP that is not a member of any cluster shall set the C</w:t>
      </w:r>
      <w:r w:rsidR="005860BD" w:rsidRPr="009448FC">
        <w:rPr>
          <w:rFonts w:eastAsia="MS Mincho"/>
        </w:rPr>
        <w:t>lusterMemRole</w:t>
      </w:r>
      <w:r w:rsidR="00281486" w:rsidRPr="009448FC">
        <w:rPr>
          <w:rFonts w:eastAsia="MS Mincho"/>
        </w:rPr>
        <w:t xml:space="preserve"> </w:t>
      </w:r>
      <w:r w:rsidRPr="009448FC">
        <w:rPr>
          <w:rFonts w:eastAsia="MS Mincho"/>
        </w:rPr>
        <w:t>to zero in transmitted frames that contain the PCP/AP Clustering Control field.</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Each PCP/AP that is a member of a PCP/AP cluster shall include the PCP/AP Clustering Control field in each mmWave Beacon it transmits.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For each cluster, there exists a set of ClusterMaxMem Beacon SPs. The nth Beacon SP, Beacon SP</w:t>
      </w:r>
      <w:r w:rsidRPr="009448FC">
        <w:rPr>
          <w:rFonts w:eastAsia="MS Mincho"/>
          <w:vertAlign w:val="subscript"/>
        </w:rPr>
        <w:t>n</w:t>
      </w:r>
      <w:r w:rsidRPr="009448FC">
        <w:rPr>
          <w:rFonts w:eastAsia="MS Mincho"/>
        </w:rPr>
        <w:t>, begins at ClusterTimeOffset</w:t>
      </w:r>
      <w:r w:rsidRPr="009448FC">
        <w:rPr>
          <w:rFonts w:eastAsia="MS Mincho"/>
          <w:vertAlign w:val="subscript"/>
        </w:rPr>
        <w:t>n</w:t>
      </w:r>
      <w:r w:rsidRPr="009448FC">
        <w:rPr>
          <w:rFonts w:eastAsia="MS Mincho"/>
        </w:rPr>
        <w:t xml:space="preserve"> usec following the end of each BT of the S-PCP/S-AP, where:</w:t>
      </w:r>
    </w:p>
    <w:p w:rsidR="00615669" w:rsidRPr="009448FC" w:rsidRDefault="00615669" w:rsidP="00615669">
      <w:pPr>
        <w:autoSpaceDE w:val="0"/>
        <w:autoSpaceDN w:val="0"/>
        <w:adjustRightInd w:val="0"/>
        <w:rPr>
          <w:rFonts w:ascii="Courier" w:eastAsia="MS Mincho" w:hAnsi="Courier"/>
        </w:rPr>
      </w:pPr>
    </w:p>
    <w:p w:rsidR="00615669" w:rsidRPr="009448FC" w:rsidRDefault="00615669" w:rsidP="00615669">
      <w:pPr>
        <w:autoSpaceDE w:val="0"/>
        <w:autoSpaceDN w:val="0"/>
        <w:adjustRightInd w:val="0"/>
        <w:rPr>
          <w:rFonts w:ascii="Courier" w:eastAsia="MS Mincho" w:hAnsi="Courier"/>
        </w:rPr>
      </w:pPr>
      <w:r w:rsidRPr="009448FC">
        <w:rPr>
          <w:rFonts w:ascii="Courier" w:eastAsia="MS Mincho" w:hAnsi="Courier"/>
        </w:rPr>
        <w:t>ClusterTimeOffset</w:t>
      </w:r>
      <w:r w:rsidRPr="009448FC">
        <w:rPr>
          <w:rFonts w:ascii="Courier" w:eastAsia="MS Mincho" w:hAnsi="Courier"/>
          <w:vertAlign w:val="subscript"/>
        </w:rPr>
        <w:t>n</w:t>
      </w:r>
      <w:r w:rsidRPr="009448FC">
        <w:rPr>
          <w:rFonts w:ascii="Courier" w:eastAsia="MS Mincho" w:hAnsi="Courier"/>
        </w:rPr>
        <w:t xml:space="preserve"> = ClusterTimeInterv*n</w:t>
      </w:r>
    </w:p>
    <w:p w:rsidR="00615669" w:rsidRPr="009448FC" w:rsidRDefault="00615669" w:rsidP="00615669">
      <w:pPr>
        <w:autoSpaceDE w:val="0"/>
        <w:autoSpaceDN w:val="0"/>
        <w:adjustRightInd w:val="0"/>
        <w:rPr>
          <w:rFonts w:ascii="Courier" w:eastAsia="MS Mincho" w:hAnsi="Courier"/>
        </w:rPr>
      </w:pPr>
    </w:p>
    <w:p w:rsidR="00615669" w:rsidRPr="009448FC" w:rsidRDefault="00615669" w:rsidP="00615669">
      <w:pPr>
        <w:autoSpaceDE w:val="0"/>
        <w:autoSpaceDN w:val="0"/>
        <w:adjustRightInd w:val="0"/>
        <w:ind w:firstLine="720"/>
        <w:rPr>
          <w:rFonts w:ascii="Courier" w:eastAsia="MS Mincho" w:hAnsi="Courier"/>
        </w:rPr>
      </w:pPr>
      <w:r w:rsidRPr="009448FC">
        <w:rPr>
          <w:rFonts w:ascii="Courier" w:eastAsia="MS Mincho" w:hAnsi="Courier"/>
        </w:rPr>
        <w:t>and (n=1, 2… ClusterMaxMem-1)</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The ClusterTimeOffset</w:t>
      </w:r>
      <w:r w:rsidRPr="009448FC">
        <w:rPr>
          <w:rFonts w:eastAsia="MS Mincho"/>
          <w:vertAlign w:val="subscript"/>
        </w:rPr>
        <w:t>n</w:t>
      </w:r>
      <w:r w:rsidRPr="009448FC">
        <w:rPr>
          <w:rFonts w:eastAsia="MS Mincho"/>
        </w:rPr>
        <w:t xml:space="preserve"> and Beacon SP</w:t>
      </w:r>
      <w:r w:rsidRPr="009448FC">
        <w:rPr>
          <w:rFonts w:eastAsia="MS Mincho"/>
          <w:vertAlign w:val="subscript"/>
        </w:rPr>
        <w:t>n</w:t>
      </w:r>
      <w:r w:rsidRPr="009448FC">
        <w:rPr>
          <w:rFonts w:eastAsia="MS Mincho"/>
        </w:rPr>
        <w:t xml:space="preserve"> where </w:t>
      </w:r>
      <w:r w:rsidRPr="009448FC">
        <w:rPr>
          <w:rFonts w:ascii="Courier" w:eastAsia="MS Mincho" w:hAnsi="Courier"/>
        </w:rPr>
        <w:t xml:space="preserve">n </w:t>
      </w:r>
      <w:r w:rsidRPr="009448FC">
        <w:rPr>
          <w:rFonts w:eastAsia="MS Mincho"/>
        </w:rPr>
        <w:t>equals zero is reserved for the S-PCP/S-AP.</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vertAlign w:val="subscript"/>
        </w:rPr>
      </w:pPr>
      <w:r w:rsidRPr="009448FC">
        <w:rPr>
          <w:rFonts w:eastAsia="MS Mincho"/>
        </w:rPr>
        <w:t>A PCP/AP that is a member of a PCP/AP cluster shall transmit its mmWave Beacon frame during one of the Beacon SP</w:t>
      </w:r>
      <w:r w:rsidR="002363FB" w:rsidRPr="009448FC">
        <w:rPr>
          <w:rFonts w:eastAsia="MS Mincho"/>
        </w:rPr>
        <w:t xml:space="preserve">s as specified in </w:t>
      </w:r>
      <w:r w:rsidR="00BD151C" w:rsidRPr="009448FC">
        <w:rPr>
          <w:rFonts w:eastAsia="MS Mincho"/>
        </w:rPr>
        <w:fldChar w:fldCharType="begin"/>
      </w:r>
      <w:r w:rsidR="002363FB" w:rsidRPr="009448FC">
        <w:rPr>
          <w:rFonts w:eastAsia="MS Mincho"/>
        </w:rPr>
        <w:instrText xml:space="preserve"> REF _Ref249881266 \r \h </w:instrText>
      </w:r>
      <w:r w:rsidR="00BD151C" w:rsidRPr="009448FC">
        <w:rPr>
          <w:rFonts w:eastAsia="MS Mincho"/>
        </w:rPr>
      </w:r>
      <w:r w:rsidR="00BD151C" w:rsidRPr="009448FC">
        <w:rPr>
          <w:rFonts w:eastAsia="MS Mincho"/>
        </w:rPr>
        <w:fldChar w:fldCharType="separate"/>
      </w:r>
      <w:r w:rsidR="003E4210">
        <w:rPr>
          <w:rFonts w:eastAsia="MS Mincho"/>
        </w:rPr>
        <w:t>9.24.1</w:t>
      </w:r>
      <w:r w:rsidR="00BD151C" w:rsidRPr="009448FC">
        <w:rPr>
          <w:rFonts w:eastAsia="MS Mincho"/>
        </w:rPr>
        <w:fldChar w:fldCharType="end"/>
      </w:r>
      <w:r w:rsidR="002363FB" w:rsidRPr="009448FC">
        <w:rPr>
          <w:rFonts w:eastAsia="MS Mincho"/>
        </w:rPr>
        <w:t>.</w:t>
      </w:r>
      <w:r w:rsidR="00080054">
        <w:rPr>
          <w:rFonts w:eastAsia="MS Mincho"/>
        </w:rPr>
        <w:t xml:space="preserve"> </w:t>
      </w:r>
    </w:p>
    <w:p w:rsidR="00F67FF2" w:rsidRPr="009448FC" w:rsidRDefault="00F67FF2" w:rsidP="00F67FF2"/>
    <w:p w:rsidR="00615669" w:rsidRPr="00342B3C" w:rsidRDefault="008C36FC" w:rsidP="003701DB">
      <w:pPr>
        <w:pStyle w:val="Heading3"/>
        <w:numPr>
          <w:ilvl w:val="2"/>
          <w:numId w:val="30"/>
        </w:numPr>
      </w:pPr>
      <w:bookmarkStart w:id="1419" w:name="_Toc241624397"/>
      <w:bookmarkStart w:id="1420" w:name="_Toc243399729"/>
      <w:bookmarkStart w:id="1421" w:name="_Toc243455695"/>
      <w:bookmarkStart w:id="1422" w:name="_Toc243461564"/>
      <w:bookmarkStart w:id="1423" w:name="_Toc243471695"/>
      <w:bookmarkStart w:id="1424" w:name="_Toc243795002"/>
      <w:bookmarkStart w:id="1425" w:name="_Toc241624398"/>
      <w:bookmarkStart w:id="1426" w:name="_Toc243399730"/>
      <w:bookmarkStart w:id="1427" w:name="_Toc243455696"/>
      <w:bookmarkStart w:id="1428" w:name="_Toc243461565"/>
      <w:bookmarkStart w:id="1429" w:name="_Toc243471696"/>
      <w:bookmarkStart w:id="1430" w:name="_Toc243795003"/>
      <w:bookmarkStart w:id="1431" w:name="_Toc241624400"/>
      <w:bookmarkStart w:id="1432" w:name="_Toc243399732"/>
      <w:bookmarkStart w:id="1433" w:name="_Toc243455698"/>
      <w:bookmarkStart w:id="1434" w:name="_Toc243461567"/>
      <w:bookmarkStart w:id="1435" w:name="_Toc243471698"/>
      <w:bookmarkStart w:id="1436" w:name="_Toc243795005"/>
      <w:bookmarkStart w:id="1437" w:name="_Toc241624402"/>
      <w:bookmarkStart w:id="1438" w:name="_Toc243399734"/>
      <w:bookmarkStart w:id="1439" w:name="_Toc243455700"/>
      <w:bookmarkStart w:id="1440" w:name="_Toc243461569"/>
      <w:bookmarkStart w:id="1441" w:name="_Toc243471700"/>
      <w:bookmarkStart w:id="1442" w:name="_Toc243795007"/>
      <w:bookmarkStart w:id="1443" w:name="_Toc241624404"/>
      <w:bookmarkStart w:id="1444" w:name="_Toc243399736"/>
      <w:bookmarkStart w:id="1445" w:name="_Toc243455702"/>
      <w:bookmarkStart w:id="1446" w:name="_Toc243461571"/>
      <w:bookmarkStart w:id="1447" w:name="_Toc243471702"/>
      <w:bookmarkStart w:id="1448" w:name="_Toc243795009"/>
      <w:bookmarkStart w:id="1449" w:name="_Toc241624406"/>
      <w:bookmarkStart w:id="1450" w:name="_Toc243399738"/>
      <w:bookmarkStart w:id="1451" w:name="_Toc243455704"/>
      <w:bookmarkStart w:id="1452" w:name="_Toc243461573"/>
      <w:bookmarkStart w:id="1453" w:name="_Toc243471704"/>
      <w:bookmarkStart w:id="1454" w:name="_Toc243795011"/>
      <w:bookmarkStart w:id="1455" w:name="_Toc241624408"/>
      <w:bookmarkStart w:id="1456" w:name="_Toc243399740"/>
      <w:bookmarkStart w:id="1457" w:name="_Toc243455706"/>
      <w:bookmarkStart w:id="1458" w:name="_Toc243461575"/>
      <w:bookmarkStart w:id="1459" w:name="_Toc243471706"/>
      <w:bookmarkStart w:id="1460" w:name="_Toc243795013"/>
      <w:bookmarkStart w:id="1461" w:name="_Toc241624409"/>
      <w:bookmarkStart w:id="1462" w:name="_Toc243399741"/>
      <w:bookmarkStart w:id="1463" w:name="_Toc243455707"/>
      <w:bookmarkStart w:id="1464" w:name="_Toc243461576"/>
      <w:bookmarkStart w:id="1465" w:name="_Toc243471707"/>
      <w:bookmarkStart w:id="1466" w:name="_Toc243795014"/>
      <w:bookmarkStart w:id="1467" w:name="_Toc241624410"/>
      <w:bookmarkStart w:id="1468" w:name="_Toc243399742"/>
      <w:bookmarkStart w:id="1469" w:name="_Toc243455708"/>
      <w:bookmarkStart w:id="1470" w:name="_Toc243461577"/>
      <w:bookmarkStart w:id="1471" w:name="_Toc243471708"/>
      <w:bookmarkStart w:id="1472" w:name="_Toc243795015"/>
      <w:bookmarkStart w:id="1473" w:name="_Toc241624411"/>
      <w:bookmarkStart w:id="1474" w:name="_Toc243399743"/>
      <w:bookmarkStart w:id="1475" w:name="_Toc243455709"/>
      <w:bookmarkStart w:id="1476" w:name="_Toc243461578"/>
      <w:bookmarkStart w:id="1477" w:name="_Toc243471709"/>
      <w:bookmarkStart w:id="1478" w:name="_Toc243795016"/>
      <w:bookmarkStart w:id="1479" w:name="_Toc241624412"/>
      <w:bookmarkStart w:id="1480" w:name="_Toc243399744"/>
      <w:bookmarkStart w:id="1481" w:name="_Toc243455710"/>
      <w:bookmarkStart w:id="1482" w:name="_Toc243461579"/>
      <w:bookmarkStart w:id="1483" w:name="_Toc243471710"/>
      <w:bookmarkStart w:id="1484" w:name="_Toc243795017"/>
      <w:bookmarkStart w:id="1485" w:name="_Toc205016593"/>
      <w:bookmarkStart w:id="1486" w:name="_Toc205121599"/>
      <w:bookmarkStart w:id="1487" w:name="_Toc206227482"/>
      <w:bookmarkStart w:id="1488" w:name="_Toc206415429"/>
      <w:bookmarkStart w:id="1489" w:name="_Toc206418236"/>
      <w:bookmarkStart w:id="1490" w:name="_Toc207098965"/>
      <w:bookmarkStart w:id="1491" w:name="_Toc207099573"/>
      <w:bookmarkStart w:id="1492" w:name="_Toc207100492"/>
      <w:bookmarkStart w:id="1493" w:name="_Toc207348414"/>
      <w:bookmarkStart w:id="1494" w:name="_Toc215582793"/>
      <w:bookmarkStart w:id="1495" w:name="_Toc235400331"/>
      <w:bookmarkStart w:id="1496" w:name="_Ref236727097"/>
      <w:bookmarkStart w:id="1497" w:name="_Ref236727161"/>
      <w:bookmarkStart w:id="1498" w:name="_Ref243815198"/>
      <w:bookmarkStart w:id="1499" w:name="_Ref249881266"/>
      <w:bookmarkStart w:id="1500" w:name="_Toc259717134"/>
      <w:bookmarkStart w:id="1501" w:name="_Ref259717672"/>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rsidRPr="009448FC">
        <w:t>Cluster formation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rsidR="00615669" w:rsidRPr="009448FC" w:rsidRDefault="00615669" w:rsidP="00084A94">
      <w:pPr>
        <w:autoSpaceDE w:val="0"/>
        <w:autoSpaceDN w:val="0"/>
        <w:adjustRightInd w:val="0"/>
        <w:rPr>
          <w:rFonts w:eastAsia="MS Mincho"/>
        </w:rPr>
      </w:pPr>
      <w:r w:rsidRPr="009448FC">
        <w:rPr>
          <w:rFonts w:eastAsia="MS Mincho"/>
        </w:rPr>
        <w:t xml:space="preserve">A clustering </w:t>
      </w:r>
      <w:r w:rsidR="00E07F24">
        <w:rPr>
          <w:rFonts w:eastAsia="MS Mincho"/>
        </w:rPr>
        <w:t>enabled</w:t>
      </w:r>
      <w:r w:rsidRPr="009448FC">
        <w:rPr>
          <w:rFonts w:eastAsia="MS Mincho"/>
        </w:rPr>
        <w:t xml:space="preserve"> PCP/AP start</w:t>
      </w:r>
      <w:r w:rsidR="00084A94">
        <w:rPr>
          <w:rFonts w:eastAsia="MS Mincho"/>
        </w:rPr>
        <w:t>s</w:t>
      </w:r>
      <w:r w:rsidRPr="009448FC">
        <w:rPr>
          <w:rFonts w:eastAsia="MS Mincho"/>
        </w:rPr>
        <w:t xml:space="preserve"> a cluster by becoming an S-PCP/S-AP. A clustering </w:t>
      </w:r>
      <w:r w:rsidR="00E07F24">
        <w:rPr>
          <w:rFonts w:eastAsia="MS Mincho"/>
        </w:rPr>
        <w:t>enabled</w:t>
      </w:r>
      <w:r w:rsidRPr="009448FC">
        <w:rPr>
          <w:rFonts w:eastAsia="MS Mincho"/>
        </w:rPr>
        <w:t xml:space="preserve"> PCP/AP becomes an S-PCP/S-AP by transmitting a mmWave Beacon at least once every aMinB</w:t>
      </w:r>
      <w:r w:rsidR="003A4AD3" w:rsidRPr="009448FC">
        <w:rPr>
          <w:rFonts w:eastAsia="MS Mincho"/>
        </w:rPr>
        <w:t>T</w:t>
      </w:r>
      <w:r w:rsidRPr="009448FC">
        <w:rPr>
          <w:rFonts w:eastAsia="MS Mincho"/>
        </w:rPr>
        <w:t xml:space="preserve">Period beacon intervals that includes a PCP/AP Clustering Control field with ClusterID set </w:t>
      </w:r>
      <w:r w:rsidR="005860BD" w:rsidRPr="009448FC">
        <w:rPr>
          <w:rFonts w:eastAsia="MS Mincho"/>
        </w:rPr>
        <w:t>to its MAC address, ClusterMemRole</w:t>
      </w:r>
      <w:r w:rsidR="00281486" w:rsidRPr="009448FC">
        <w:rPr>
          <w:rFonts w:eastAsia="MS Mincho"/>
        </w:rPr>
        <w:t xml:space="preserve"> </w:t>
      </w:r>
      <w:r w:rsidRPr="009448FC">
        <w:rPr>
          <w:rFonts w:eastAsia="MS Mincho"/>
        </w:rPr>
        <w:t>set to the value for an S-PCP/S-AP, ClusterMaxMem set to the value of dot11ClusterMaxMem and ClusterTimeInterv set to the value of dot11ClusterTimeInterv.</w:t>
      </w:r>
      <w:r w:rsidR="00EE1100" w:rsidRPr="009448FC">
        <w:rPr>
          <w:rFonts w:eastAsia="MS Mincho"/>
        </w:rPr>
        <w:t xml:space="preserve"> </w:t>
      </w:r>
      <w:r w:rsidRPr="009448FC">
        <w:rPr>
          <w:rFonts w:eastAsia="MS Mincho"/>
        </w:rPr>
        <w:t xml:space="preserve">The </w:t>
      </w:r>
      <w:r w:rsidR="003A4AD3" w:rsidRPr="009448FC">
        <w:rPr>
          <w:rFonts w:eastAsia="MS Mincho"/>
        </w:rPr>
        <w:t>duration</w:t>
      </w:r>
      <w:r w:rsidRPr="009448FC">
        <w:rPr>
          <w:rFonts w:eastAsia="MS Mincho"/>
        </w:rPr>
        <w:t xml:space="preserve"> ((dot11ClusterMaxMem-1) * dot11ClusterTimeInterv) shall </w:t>
      </w:r>
      <w:r w:rsidR="003A4AD3" w:rsidRPr="009448FC">
        <w:rPr>
          <w:rFonts w:eastAsia="MS Mincho"/>
        </w:rPr>
        <w:t>not exceed</w:t>
      </w:r>
      <w:r w:rsidRPr="009448FC">
        <w:rPr>
          <w:rFonts w:eastAsia="MS Mincho"/>
        </w:rPr>
        <w:t xml:space="preserve"> dot11BeaconPeriod of the PCP/AP.</w:t>
      </w:r>
      <w:r w:rsidR="00D11F2E">
        <w:rPr>
          <w:rFonts w:eastAsia="MS Mincho"/>
        </w:rPr>
        <w:t xml:space="preserve"> </w:t>
      </w:r>
    </w:p>
    <w:p w:rsidR="00615669" w:rsidRPr="009448FC" w:rsidRDefault="00287AD2" w:rsidP="00615669">
      <w:pPr>
        <w:autoSpaceDE w:val="0"/>
        <w:autoSpaceDN w:val="0"/>
        <w:adjustRightInd w:val="0"/>
        <w:rPr>
          <w:rFonts w:eastAsia="MS Mincho"/>
        </w:rPr>
      </w:pPr>
      <w:r>
        <w:rPr>
          <w:rFonts w:eastAsia="MS Mincho"/>
        </w:rPr>
        <w:t xml:space="preserve"> </w:t>
      </w:r>
    </w:p>
    <w:p w:rsidR="00615669" w:rsidRPr="009448FC" w:rsidRDefault="00F70129" w:rsidP="00615669">
      <w:pPr>
        <w:autoSpaceDE w:val="0"/>
        <w:autoSpaceDN w:val="0"/>
        <w:adjustRightInd w:val="0"/>
        <w:rPr>
          <w:rFonts w:eastAsia="MS Mincho"/>
        </w:rPr>
      </w:pPr>
      <w:r w:rsidRPr="009448FC">
        <w:rPr>
          <w:rFonts w:eastAsia="MS Mincho"/>
        </w:rPr>
        <w:t>A c</w:t>
      </w:r>
      <w:r w:rsidR="00615669" w:rsidRPr="009448FC">
        <w:rPr>
          <w:rFonts w:eastAsia="MS Mincho"/>
        </w:rPr>
        <w:t xml:space="preserve">lustering </w:t>
      </w:r>
      <w:r w:rsidR="00E07F24">
        <w:rPr>
          <w:rFonts w:eastAsia="MS Mincho"/>
        </w:rPr>
        <w:t>enabled</w:t>
      </w:r>
      <w:r w:rsidR="00615669" w:rsidRPr="009448FC">
        <w:rPr>
          <w:rFonts w:eastAsia="MS Mincho"/>
        </w:rPr>
        <w:t xml:space="preserve"> PCP/AP that receives a mmWave Beacon from an S-PCP/S-AP on the channel it selects to establish a BSS shall monitor the channel for mmWave Beacon transmissions </w:t>
      </w:r>
      <w:r w:rsidR="006766DF" w:rsidRPr="009448FC">
        <w:rPr>
          <w:rFonts w:eastAsia="MS Mincho"/>
        </w:rPr>
        <w:t>during each Beacon SP for an interval of length at least aMinChannelScan</w:t>
      </w:r>
      <w:r w:rsidR="00615669" w:rsidRPr="009448FC">
        <w:rPr>
          <w:rFonts w:eastAsia="MS Mincho"/>
        </w:rPr>
        <w:t>. Beacon SP</w:t>
      </w:r>
      <w:r w:rsidR="00615669" w:rsidRPr="009448FC">
        <w:rPr>
          <w:rFonts w:eastAsia="MS Mincho"/>
          <w:vertAlign w:val="subscript"/>
        </w:rPr>
        <w:t>n</w:t>
      </w:r>
      <w:r w:rsidR="004564FA" w:rsidRPr="009448FC">
        <w:rPr>
          <w:rFonts w:eastAsia="MS Mincho"/>
        </w:rPr>
        <w:t xml:space="preserve"> is empty if no mmWave Beacon frame</w:t>
      </w:r>
      <w:r w:rsidR="00615669" w:rsidRPr="009448FC">
        <w:rPr>
          <w:rFonts w:eastAsia="MS Mincho"/>
        </w:rPr>
        <w:t xml:space="preserve"> </w:t>
      </w:r>
      <w:r w:rsidR="004564FA" w:rsidRPr="009448FC">
        <w:rPr>
          <w:rFonts w:eastAsia="MS Mincho"/>
        </w:rPr>
        <w:t>is</w:t>
      </w:r>
      <w:r w:rsidR="00615669" w:rsidRPr="009448FC">
        <w:rPr>
          <w:rFonts w:eastAsia="MS Mincho"/>
        </w:rPr>
        <w:t xml:space="preserve"> received during </w:t>
      </w:r>
      <w:r w:rsidR="004564FA" w:rsidRPr="009448FC">
        <w:rPr>
          <w:rFonts w:eastAsia="MS Mincho"/>
        </w:rPr>
        <w:t>Beacon SP</w:t>
      </w:r>
      <w:r w:rsidR="004564FA" w:rsidRPr="009448FC">
        <w:rPr>
          <w:rFonts w:eastAsia="MS Mincho"/>
          <w:vertAlign w:val="subscript"/>
        </w:rPr>
        <w:t>n</w:t>
      </w:r>
      <w:r w:rsidR="004564FA" w:rsidRPr="009448FC">
        <w:rPr>
          <w:rFonts w:eastAsia="MS Mincho"/>
        </w:rPr>
        <w:t xml:space="preserve"> over an interval of length </w:t>
      </w:r>
      <w:r w:rsidR="003A4AD3" w:rsidRPr="009448FC">
        <w:rPr>
          <w:rFonts w:eastAsia="MS Mincho"/>
        </w:rPr>
        <w:t>aMinChannelScan</w:t>
      </w:r>
      <w:r w:rsidR="00615669" w:rsidRPr="009448FC">
        <w:rPr>
          <w:rFonts w:eastAsia="MS Mincho"/>
        </w:rPr>
        <w:t xml:space="preserve">. The PCP/AP shall not become a member of the </w:t>
      </w:r>
      <w:r w:rsidR="006D2EC0" w:rsidRPr="009448FC">
        <w:rPr>
          <w:rFonts w:eastAsia="MS Mincho"/>
        </w:rPr>
        <w:t>c</w:t>
      </w:r>
      <w:r w:rsidR="00615669" w:rsidRPr="009448FC">
        <w:rPr>
          <w:rFonts w:eastAsia="MS Mincho"/>
        </w:rPr>
        <w:t>luster if no Beacon SP is determined to be empty during aMinChannelScan, in which case, the PCP/AP may become the S-PCP/S-AP of a new cluster, or may cease its activity on this channel and, if desired, attempt operation on a different channel.</w:t>
      </w:r>
    </w:p>
    <w:p w:rsidR="00615669" w:rsidRPr="009448FC" w:rsidRDefault="00615669" w:rsidP="00615669">
      <w:pPr>
        <w:autoSpaceDE w:val="0"/>
        <w:autoSpaceDN w:val="0"/>
        <w:adjustRightInd w:val="0"/>
        <w:rPr>
          <w:rFonts w:eastAsia="MS Mincho"/>
        </w:rPr>
      </w:pPr>
    </w:p>
    <w:p w:rsidR="00615669" w:rsidRPr="009448FC" w:rsidRDefault="00F70129" w:rsidP="00615669">
      <w:pPr>
        <w:autoSpaceDE w:val="0"/>
        <w:autoSpaceDN w:val="0"/>
        <w:adjustRightInd w:val="0"/>
        <w:rPr>
          <w:rFonts w:eastAsia="MS Mincho"/>
        </w:rPr>
      </w:pPr>
      <w:r w:rsidRPr="009448FC">
        <w:rPr>
          <w:rFonts w:eastAsia="MS Mincho"/>
        </w:rPr>
        <w:t>A c</w:t>
      </w:r>
      <w:r w:rsidR="00615669" w:rsidRPr="009448FC">
        <w:rPr>
          <w:rFonts w:eastAsia="MS Mincho"/>
        </w:rPr>
        <w:t xml:space="preserve">lustering </w:t>
      </w:r>
      <w:r w:rsidR="00E07F24">
        <w:rPr>
          <w:rFonts w:eastAsia="MS Mincho"/>
        </w:rPr>
        <w:t>enabled</w:t>
      </w:r>
      <w:r w:rsidR="00615669" w:rsidRPr="009448FC">
        <w:rPr>
          <w:rFonts w:eastAsia="MS Mincho"/>
        </w:rPr>
        <w:t xml:space="preserve"> PCP/AP that operates its BSS on a channel on which it discovered an S-PCP/S-AP and at least one empty Beacon SP, shall transmit its mmWave Beacon during an empty Beacon SP. </w:t>
      </w:r>
      <w:r w:rsidR="00615669" w:rsidRPr="009448FC">
        <w:rPr>
          <w:rFonts w:eastAsia="MS Mincho"/>
        </w:rPr>
        <w:lastRenderedPageBreak/>
        <w:t>By transmitting its mmWave Beacon during an empty Beacon SP, the PCP/AP becomes a member PCP/AP.</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The member PCP/AP shall select a BI length that is an integer multiple of the BI length of its S-PCP/S-AP.</w:t>
      </w:r>
    </w:p>
    <w:p w:rsidR="00615669" w:rsidRPr="009448FC" w:rsidRDefault="00615669" w:rsidP="00615669">
      <w:pPr>
        <w:autoSpaceDE w:val="0"/>
        <w:autoSpaceDN w:val="0"/>
        <w:adjustRightInd w:val="0"/>
        <w:rPr>
          <w:rFonts w:eastAsia="MS Mincho"/>
        </w:rPr>
      </w:pPr>
    </w:p>
    <w:p w:rsidR="00615669" w:rsidRPr="009448FC" w:rsidRDefault="00615669" w:rsidP="00512CCA">
      <w:pPr>
        <w:autoSpaceDE w:val="0"/>
        <w:autoSpaceDN w:val="0"/>
        <w:adjustRightInd w:val="0"/>
        <w:rPr>
          <w:rFonts w:eastAsia="MS Mincho"/>
        </w:rPr>
      </w:pPr>
      <w:r w:rsidRPr="009448FC">
        <w:rPr>
          <w:rFonts w:eastAsia="MS Mincho"/>
        </w:rPr>
        <w:t>The member PCP/AP shall transmit its mmWave Beacon with ClusterID set to the MAC address</w:t>
      </w:r>
      <w:r w:rsidR="005860BD" w:rsidRPr="009448FC">
        <w:rPr>
          <w:rFonts w:eastAsia="MS Mincho"/>
        </w:rPr>
        <w:t xml:space="preserve"> of the S-PCP/S-AP, ClusterMemRole</w:t>
      </w:r>
      <w:r w:rsidR="00281486" w:rsidRPr="009448FC">
        <w:rPr>
          <w:rFonts w:eastAsia="MS Mincho"/>
        </w:rPr>
        <w:t xml:space="preserve"> </w:t>
      </w:r>
      <w:r w:rsidRPr="009448FC">
        <w:rPr>
          <w:rFonts w:eastAsia="MS Mincho"/>
        </w:rPr>
        <w:t xml:space="preserve">set to the member PCP/AP value, </w:t>
      </w:r>
      <w:r w:rsidR="006766DF" w:rsidRPr="009448FC">
        <w:rPr>
          <w:rFonts w:eastAsia="MS Mincho"/>
        </w:rPr>
        <w:t>ClusterMaxMem set to the value of the ClusterMaxMem field contained in the S-PCP/S-AP mmWave Beacon and ClusterTimeInterv set to the value of the ClusterTimeInterv field contained in the S-PCP/S-AP mmWave Beacon</w:t>
      </w:r>
      <w:r w:rsidRPr="009448FC">
        <w:rPr>
          <w:rFonts w:eastAsia="MS Mincho"/>
        </w:rPr>
        <w:t>.</w:t>
      </w:r>
      <w:r w:rsidR="006766DF" w:rsidRPr="009448FC">
        <w:rPr>
          <w:rFonts w:eastAsia="MS Mincho"/>
        </w:rPr>
        <w:t xml:space="preserve"> </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ascii="Arial" w:eastAsia="MS Mincho" w:hAnsi="Arial"/>
        </w:rPr>
      </w:pPr>
      <w:r w:rsidRPr="009448FC">
        <w:rPr>
          <w:rFonts w:eastAsia="MS Mincho"/>
        </w:rPr>
        <w:t>A PCP</w:t>
      </w:r>
      <w:r w:rsidR="005860BD" w:rsidRPr="009448FC">
        <w:rPr>
          <w:rFonts w:eastAsia="MS Mincho"/>
        </w:rPr>
        <w:t>/AP with a value of ClusterMemRole</w:t>
      </w:r>
      <w:r w:rsidR="00281486" w:rsidRPr="009448FC">
        <w:rPr>
          <w:rFonts w:eastAsia="MS Mincho"/>
        </w:rPr>
        <w:t xml:space="preserve"> </w:t>
      </w:r>
      <w:r w:rsidRPr="009448FC">
        <w:rPr>
          <w:rFonts w:eastAsia="MS Mincho"/>
        </w:rPr>
        <w:t>that is not zero shall schedule a Beacon SP that is allocated for mmWave Beacon transmission of other cluster member PCP/AP at each of ClusterTimeOffset</w:t>
      </w:r>
      <w:r w:rsidRPr="009448FC">
        <w:rPr>
          <w:rFonts w:eastAsia="MS Mincho"/>
          <w:vertAlign w:val="subscript"/>
        </w:rPr>
        <w:t>n</w:t>
      </w:r>
      <w:r w:rsidRPr="009448FC">
        <w:rPr>
          <w:rFonts w:eastAsia="MS Mincho"/>
        </w:rPr>
        <w:t>, at any time the PCP/AP transmits its</w:t>
      </w:r>
      <w:r w:rsidR="006D2EC0" w:rsidRPr="009448FC">
        <w:rPr>
          <w:rFonts w:eastAsia="MS Mincho"/>
        </w:rPr>
        <w:t xml:space="preserve"> own mmWave Beacon. The minimum </w:t>
      </w:r>
      <w:r w:rsidRPr="009448FC">
        <w:rPr>
          <w:rFonts w:eastAsia="MS Mincho"/>
        </w:rPr>
        <w:t xml:space="preserve">size of the Beacon SP shall be equal to the maximum mmWave Beacon transmission time. </w:t>
      </w:r>
    </w:p>
    <w:p w:rsidR="00615669" w:rsidRPr="009448FC" w:rsidRDefault="00615669" w:rsidP="00615669">
      <w:pPr>
        <w:autoSpaceDE w:val="0"/>
        <w:autoSpaceDN w:val="0"/>
        <w:adjustRightInd w:val="0"/>
        <w:rPr>
          <w:rFonts w:eastAsia="MS Mincho"/>
        </w:rPr>
      </w:pPr>
    </w:p>
    <w:p w:rsidR="00615669" w:rsidRPr="009448FC" w:rsidRDefault="00BD151C" w:rsidP="00615669">
      <w:pPr>
        <w:pStyle w:val="NormalWeb"/>
        <w:spacing w:before="0" w:beforeAutospacing="0" w:after="0" w:afterAutospacing="0"/>
        <w:outlineLvl w:val="0"/>
        <w:rPr>
          <w:rFonts w:eastAsia="MS Mincho"/>
        </w:rPr>
      </w:pPr>
      <w:fldSimple w:instr=" REF _Ref236395509 \h  \* MERGEFORMAT ">
        <w:r w:rsidR="003E4210" w:rsidRPr="00066F65">
          <w:t xml:space="preserve">Figure </w:t>
        </w:r>
        <w:r w:rsidR="003E4210">
          <w:rPr>
            <w:noProof/>
          </w:rPr>
          <w:t>86</w:t>
        </w:r>
      </w:fldSimple>
      <w:r w:rsidR="00615669" w:rsidRPr="009448FC">
        <w:rPr>
          <w:rFonts w:eastAsia="MS Mincho"/>
        </w:rPr>
        <w:t xml:space="preserve"> illustrates, for three PCP/APs, the Beacon SPs of the S-PCP/S-AP and member PCP/APs of a PCP/AP cluster.</w:t>
      </w:r>
    </w:p>
    <w:p w:rsidR="008C36FC" w:rsidRPr="009448FC" w:rsidRDefault="008C36FC" w:rsidP="00350811"/>
    <w:p w:rsidR="008C36FC" w:rsidRPr="009448FC" w:rsidRDefault="00B1166E" w:rsidP="00350811">
      <w:pPr>
        <w:jc w:val="center"/>
      </w:pPr>
      <w:r w:rsidRPr="009448FC">
        <w:object w:dxaOrig="15440" w:dyaOrig="4429">
          <v:shape id="_x0000_i1050" type="#_x0000_t75" style="width:492.7pt;height:141.75pt" o:ole="">
            <v:imagedata r:id="rId147" o:title=""/>
          </v:shape>
          <o:OLEObject Type="Embed" ProgID="Visio.Drawing.11" ShapeID="_x0000_i1050" DrawAspect="Content" ObjectID="_1334048232" r:id="rId148"/>
        </w:object>
      </w:r>
    </w:p>
    <w:p w:rsidR="008C36FC" w:rsidRPr="00066F65" w:rsidRDefault="0065498D" w:rsidP="00BA5BC4">
      <w:pPr>
        <w:pStyle w:val="Caption"/>
      </w:pPr>
      <w:bookmarkStart w:id="1502" w:name="_Ref236395509"/>
      <w:bookmarkStart w:id="1503" w:name="_Toc205121751"/>
      <w:bookmarkStart w:id="1504" w:name="_Toc206227771"/>
      <w:bookmarkStart w:id="1505" w:name="_Toc206748175"/>
      <w:bookmarkStart w:id="1506" w:name="_Toc207100803"/>
      <w:bookmarkStart w:id="1507" w:name="_Toc259717518"/>
      <w:r w:rsidRPr="00066F65">
        <w:t xml:space="preserve">Figure </w:t>
      </w:r>
      <w:r w:rsidR="00BD151C">
        <w:fldChar w:fldCharType="begin"/>
      </w:r>
      <w:r w:rsidR="00801316">
        <w:instrText xml:space="preserve"> SEQ Figure \* ARABIC </w:instrText>
      </w:r>
      <w:r w:rsidR="00BD151C">
        <w:fldChar w:fldCharType="separate"/>
      </w:r>
      <w:r w:rsidR="003E4210">
        <w:rPr>
          <w:noProof/>
        </w:rPr>
        <w:t>86</w:t>
      </w:r>
      <w:r w:rsidR="00BD151C">
        <w:fldChar w:fldCharType="end"/>
      </w:r>
      <w:bookmarkEnd w:id="1502"/>
      <w:r w:rsidR="008C36FC" w:rsidRPr="00066F65">
        <w:t xml:space="preserve"> – PCP</w:t>
      </w:r>
      <w:r w:rsidR="00615669" w:rsidRPr="00066F65">
        <w:t>/AP</w:t>
      </w:r>
      <w:r w:rsidR="008C36FC" w:rsidRPr="00066F65">
        <w:t xml:space="preserve"> clustering for 3 PCPs</w:t>
      </w:r>
      <w:bookmarkEnd w:id="1503"/>
      <w:bookmarkEnd w:id="1504"/>
      <w:bookmarkEnd w:id="1505"/>
      <w:bookmarkEnd w:id="1506"/>
      <w:r w:rsidR="00615669" w:rsidRPr="00066F65">
        <w:t>/APs</w:t>
      </w:r>
      <w:bookmarkEnd w:id="1507"/>
    </w:p>
    <w:p w:rsidR="008C36FC" w:rsidRPr="009448FC" w:rsidRDefault="008C36FC" w:rsidP="003701DB">
      <w:pPr>
        <w:pStyle w:val="Heading3"/>
        <w:numPr>
          <w:ilvl w:val="2"/>
          <w:numId w:val="30"/>
        </w:numPr>
      </w:pPr>
      <w:bookmarkStart w:id="1508" w:name="_Toc241624415"/>
      <w:bookmarkStart w:id="1509" w:name="_Toc243399747"/>
      <w:bookmarkStart w:id="1510" w:name="_Toc243455713"/>
      <w:bookmarkStart w:id="1511" w:name="_Toc243461582"/>
      <w:bookmarkStart w:id="1512" w:name="_Toc243471713"/>
      <w:bookmarkStart w:id="1513" w:name="_Toc243795020"/>
      <w:bookmarkStart w:id="1514" w:name="_Toc205016594"/>
      <w:bookmarkStart w:id="1515" w:name="_Toc205121600"/>
      <w:bookmarkStart w:id="1516" w:name="_Toc206227483"/>
      <w:bookmarkStart w:id="1517" w:name="_Toc206415430"/>
      <w:bookmarkStart w:id="1518" w:name="_Toc206418237"/>
      <w:bookmarkStart w:id="1519" w:name="_Toc207098966"/>
      <w:bookmarkStart w:id="1520" w:name="_Toc207099574"/>
      <w:bookmarkStart w:id="1521" w:name="_Toc207100493"/>
      <w:bookmarkStart w:id="1522" w:name="_Toc207348415"/>
      <w:bookmarkStart w:id="1523" w:name="_Toc215582794"/>
      <w:bookmarkStart w:id="1524" w:name="_Toc235400332"/>
      <w:bookmarkStart w:id="1525" w:name="_Toc259717135"/>
      <w:bookmarkStart w:id="1526" w:name="_Ref259717673"/>
      <w:bookmarkEnd w:id="1508"/>
      <w:bookmarkEnd w:id="1509"/>
      <w:bookmarkEnd w:id="1510"/>
      <w:bookmarkEnd w:id="1511"/>
      <w:bookmarkEnd w:id="1512"/>
      <w:bookmarkEnd w:id="1513"/>
      <w:r w:rsidRPr="009448FC">
        <w:t>Cluster maintenance</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615669" w:rsidRPr="009448FC" w:rsidRDefault="00615669" w:rsidP="00615669">
      <w:pPr>
        <w:autoSpaceDE w:val="0"/>
        <w:autoSpaceDN w:val="0"/>
        <w:adjustRightInd w:val="0"/>
        <w:rPr>
          <w:rFonts w:eastAsia="MS Mincho"/>
          <w:sz w:val="23"/>
        </w:rPr>
      </w:pPr>
    </w:p>
    <w:p w:rsidR="00615669" w:rsidRPr="009448FC" w:rsidRDefault="00615669" w:rsidP="000602D1">
      <w:pPr>
        <w:autoSpaceDE w:val="0"/>
        <w:autoSpaceDN w:val="0"/>
        <w:adjustRightInd w:val="0"/>
        <w:rPr>
          <w:rFonts w:eastAsia="MS Mincho"/>
        </w:rPr>
      </w:pPr>
      <w:r w:rsidRPr="009448FC">
        <w:rPr>
          <w:rFonts w:eastAsia="MS Mincho"/>
        </w:rPr>
        <w:t>The end of the BT of the S-PCP/S-AP provides a timing reference for the Beacon SPs of the member PCP/APs. Timing synchronization among the member PCP/APs facilitates equitable sharing of the common medium among the member PCP/APs. As long as a member PCP/AP periodically receives mmWave Beacons from the S-PCP/S-AP, the member PCP/AP is able to maintain synchronization with the S-PCP/S-AP and hence, the other member PCP/APs.</w:t>
      </w:r>
      <w:r w:rsidR="00080054">
        <w:rPr>
          <w:rFonts w:eastAsia="MS Mincho"/>
        </w:rPr>
        <w:t xml:space="preserve"> </w:t>
      </w:r>
      <w:r w:rsidRPr="009448FC">
        <w:rPr>
          <w:rFonts w:eastAsia="MS Mincho"/>
        </w:rPr>
        <w:t>In the case when the S-PCP/S-AP of a cluster is lost, or appears to a member PCP/AP to have been lost, another PCP/AP needs to become the S-PCP/S-AP in order to allow the remaining member PCP/APs to maintain synchronization with the cluster. The creation of a new S-PCP/S-AP is called S-PCP/S-AP handover. After an S-PCP/S-AP handover, the cluster might continue to function as before, except with altered membership, or the cluster might no longer exist, or there might be one or more new clusters.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A member PCP/AP shall start an S-PCP/S-AP handover if, within a time period of 4*</w:t>
      </w:r>
      <w:r w:rsidR="003A4AD3" w:rsidRPr="009448FC">
        <w:rPr>
          <w:rFonts w:eastAsia="MS Mincho"/>
        </w:rPr>
        <w:t>aMinBTPeriod</w:t>
      </w:r>
      <w:r w:rsidRPr="009448FC">
        <w:rPr>
          <w:rFonts w:eastAsia="MS Mincho"/>
        </w:rPr>
        <w:t xml:space="preserve"> beacon intervals, it does not receive a mmWave Beacon with the value of the ClusterID field equal to the ClusterID of the cluster of which the PCP/AP is a </w:t>
      </w:r>
      <w:r w:rsidR="005860BD" w:rsidRPr="009448FC">
        <w:rPr>
          <w:rFonts w:eastAsia="MS Mincho"/>
        </w:rPr>
        <w:t>member and with the ClusterMemRole</w:t>
      </w:r>
      <w:r w:rsidR="00281486" w:rsidRPr="009448FC">
        <w:rPr>
          <w:rFonts w:eastAsia="MS Mincho"/>
        </w:rPr>
        <w:t xml:space="preserve"> </w:t>
      </w:r>
      <w:r w:rsidRPr="009448FC">
        <w:rPr>
          <w:rFonts w:eastAsia="MS Mincho"/>
        </w:rPr>
        <w:t xml:space="preserve">field set to the S-PCP/S-AP value. </w:t>
      </w:r>
      <w:r w:rsidR="00AA60E7" w:rsidRPr="00AA60E7">
        <w:rPr>
          <w:rFonts w:eastAsia="MS Mincho"/>
        </w:rPr>
        <w:t xml:space="preserve">This is the called the first Cluster Monitoring Period. </w:t>
      </w:r>
      <w:r w:rsidRPr="009448FC">
        <w:rPr>
          <w:rFonts w:eastAsia="MS Mincho"/>
        </w:rPr>
        <w:t xml:space="preserve">During the next step in </w:t>
      </w:r>
      <w:r w:rsidRPr="009448FC">
        <w:rPr>
          <w:rFonts w:eastAsia="MS Mincho"/>
        </w:rPr>
        <w:lastRenderedPageBreak/>
        <w:t>the S-PCP/S-AP handover, called the Second Cluster Monitoring Period, the member PCP/AP performs a Cluster Monitoring Period. A Third Cluster Monitoring Period, during which the member PCP/AP performs a Cluster Monitoring Period, may also be needed. A Cluster Monitoring Period is a time period of 4*</w:t>
      </w:r>
      <w:r w:rsidR="003A4AD3" w:rsidRPr="009448FC">
        <w:rPr>
          <w:rFonts w:eastAsia="MS Mincho"/>
        </w:rPr>
        <w:t>aMinBTPeriod</w:t>
      </w:r>
      <w:r w:rsidRPr="009448FC">
        <w:rPr>
          <w:rFonts w:eastAsia="MS Mincho"/>
        </w:rPr>
        <w:t xml:space="preserve"> beacon intervals during which the PCP/AP listens for mmWave Beacons while continuing to transmit mmWave Beacons using its current Beacon SP</w:t>
      </w:r>
      <w:r w:rsidRPr="009448FC">
        <w:rPr>
          <w:rFonts w:eastAsia="MS Mincho"/>
          <w:vertAlign w:val="subscript"/>
        </w:rPr>
        <w:t>n</w:t>
      </w:r>
      <w:r w:rsidRPr="009448FC">
        <w:rPr>
          <w:rFonts w:eastAsia="MS Mincho"/>
        </w:rPr>
        <w: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sz w:val="20"/>
        </w:rPr>
      </w:pPr>
      <w:r w:rsidRPr="009448FC">
        <w:rPr>
          <w:rFonts w:eastAsia="MS Mincho"/>
          <w:sz w:val="20"/>
        </w:rPr>
        <w:t xml:space="preserve">NOTE – A clustering </w:t>
      </w:r>
      <w:r w:rsidR="00E07F24">
        <w:rPr>
          <w:rFonts w:eastAsia="MS Mincho"/>
          <w:sz w:val="20"/>
        </w:rPr>
        <w:t>enabled</w:t>
      </w:r>
      <w:r w:rsidRPr="009448FC">
        <w:rPr>
          <w:rFonts w:eastAsia="MS Mincho"/>
          <w:sz w:val="20"/>
        </w:rPr>
        <w:t xml:space="preserve"> PCP/AP does not cease mmWave Beacon transmission during Cluster Monitoring and S-PCP/S-AP handover. Hence, data communication is unaffected while performing these procedures.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If, during a Cluster Monitoring Period, the member PCP/AP receives a mmWave Beaco</w:t>
      </w:r>
      <w:r w:rsidR="005860BD" w:rsidRPr="009448FC">
        <w:rPr>
          <w:rFonts w:eastAsia="MS Mincho"/>
        </w:rPr>
        <w:t>n with the value of ClusterMemRole</w:t>
      </w:r>
      <w:r w:rsidR="00281486" w:rsidRPr="009448FC">
        <w:rPr>
          <w:rFonts w:eastAsia="MS Mincho"/>
        </w:rPr>
        <w:t xml:space="preserve"> </w:t>
      </w:r>
      <w:r w:rsidRPr="009448FC">
        <w:rPr>
          <w:rFonts w:eastAsia="MS Mincho"/>
        </w:rPr>
        <w:t xml:space="preserve">set to the S-PCP/S-AP value, the member PCP/AP shall follow the rules in </w:t>
      </w:r>
      <w:r w:rsidR="00BD151C" w:rsidRPr="009448FC">
        <w:rPr>
          <w:rFonts w:eastAsia="MS Mincho"/>
        </w:rPr>
        <w:fldChar w:fldCharType="begin"/>
      </w:r>
      <w:r w:rsidR="00AA60D7" w:rsidRPr="009448FC">
        <w:rPr>
          <w:rFonts w:eastAsia="MS Mincho"/>
        </w:rPr>
        <w:instrText xml:space="preserve"> REF _Ref243815198 \r \h </w:instrText>
      </w:r>
      <w:r w:rsidR="00BD151C" w:rsidRPr="009448FC">
        <w:rPr>
          <w:rFonts w:eastAsia="MS Mincho"/>
        </w:rPr>
      </w:r>
      <w:r w:rsidR="00BD151C" w:rsidRPr="009448FC">
        <w:rPr>
          <w:rFonts w:eastAsia="MS Mincho"/>
        </w:rPr>
        <w:fldChar w:fldCharType="separate"/>
      </w:r>
      <w:r w:rsidR="003E4210">
        <w:rPr>
          <w:rFonts w:eastAsia="MS Mincho"/>
        </w:rPr>
        <w:t>9.24.1</w:t>
      </w:r>
      <w:r w:rsidR="00BD151C" w:rsidRPr="009448FC">
        <w:rPr>
          <w:rFonts w:eastAsia="MS Mincho"/>
        </w:rPr>
        <w:fldChar w:fldCharType="end"/>
      </w:r>
      <w:r w:rsidRPr="009448FC">
        <w:rPr>
          <w:rFonts w:eastAsia="MS Mincho"/>
        </w:rPr>
        <w:t xml:space="preserve"> to become a member PCP/AP of the cluster corresponding to the detected S-PCP/S-AP and the Cluster Monitoring Period is terminated.</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If, during a Cluster Monitoring Period, the PCP/AP receives no mmWave Beacons with the value of ClusterM</w:t>
      </w:r>
      <w:r w:rsidR="005860BD" w:rsidRPr="009448FC">
        <w:rPr>
          <w:rFonts w:eastAsia="MS Mincho"/>
        </w:rPr>
        <w:t>emRole</w:t>
      </w:r>
      <w:r w:rsidR="00281486" w:rsidRPr="009448FC">
        <w:rPr>
          <w:rFonts w:eastAsia="MS Mincho"/>
        </w:rPr>
        <w:t xml:space="preserve"> </w:t>
      </w:r>
      <w:r w:rsidRPr="009448FC">
        <w:rPr>
          <w:rFonts w:eastAsia="MS Mincho"/>
        </w:rPr>
        <w:t xml:space="preserve">set to the S-PCP/S-AP value and one or more mmWave Beacons with ClusterID equal to the ClusterID of its last S-PCP/S-AP, then at the end of the Cluster Monitoring Period the PCP/AP compares the MAC addresses of all such received mmWave Beacons with its own MAC address. If its MAC address is the lowest, the PCP/AP shall become an S-PCP/S-AP according to the rules in </w:t>
      </w:r>
      <w:r w:rsidR="00BD151C" w:rsidRPr="009448FC">
        <w:rPr>
          <w:rFonts w:eastAsia="MS Mincho"/>
        </w:rPr>
        <w:fldChar w:fldCharType="begin"/>
      </w:r>
      <w:r w:rsidR="00AA60D7" w:rsidRPr="009448FC">
        <w:rPr>
          <w:rFonts w:eastAsia="MS Mincho"/>
        </w:rPr>
        <w:instrText xml:space="preserve"> REF _Ref243815198 \r \h </w:instrText>
      </w:r>
      <w:r w:rsidR="00BD151C" w:rsidRPr="009448FC">
        <w:rPr>
          <w:rFonts w:eastAsia="MS Mincho"/>
        </w:rPr>
      </w:r>
      <w:r w:rsidR="00BD151C" w:rsidRPr="009448FC">
        <w:rPr>
          <w:rFonts w:eastAsia="MS Mincho"/>
        </w:rPr>
        <w:fldChar w:fldCharType="separate"/>
      </w:r>
      <w:r w:rsidR="003E4210">
        <w:rPr>
          <w:rFonts w:eastAsia="MS Mincho"/>
        </w:rPr>
        <w:t>9.24.1</w:t>
      </w:r>
      <w:r w:rsidR="00BD151C" w:rsidRPr="009448FC">
        <w:rPr>
          <w:rFonts w:eastAsia="MS Mincho"/>
        </w:rPr>
        <w:fldChar w:fldCharType="end"/>
      </w:r>
      <w:r w:rsidRPr="009448FC">
        <w:rPr>
          <w:rFonts w:eastAsia="MS Mincho"/>
        </w:rPr>
        <w:t xml:space="preserve">. If its MAC address is not the lowest, the PCP/AP shall perform a new Cluster Monitoring Period. If the number of Cluster Monitoring Period performed by the PCP/AP exceeds dot11MaxNumberOfClusteringMonitoringPeriods, the PCP/AP may cease cluster maintenance and initiate cluster formation as described in </w:t>
      </w:r>
      <w:r w:rsidR="00BD151C">
        <w:rPr>
          <w:rFonts w:eastAsia="MS Mincho"/>
        </w:rPr>
        <w:fldChar w:fldCharType="begin"/>
      </w:r>
      <w:r w:rsidR="004C73F2">
        <w:rPr>
          <w:rFonts w:eastAsia="MS Mincho"/>
        </w:rPr>
        <w:instrText xml:space="preserve"> REF _Ref243815198 \r \h </w:instrText>
      </w:r>
      <w:r w:rsidR="00BD151C">
        <w:rPr>
          <w:rFonts w:eastAsia="MS Mincho"/>
        </w:rPr>
      </w:r>
      <w:r w:rsidR="00BD151C">
        <w:rPr>
          <w:rFonts w:eastAsia="MS Mincho"/>
        </w:rPr>
        <w:fldChar w:fldCharType="separate"/>
      </w:r>
      <w:r w:rsidR="003E4210">
        <w:rPr>
          <w:rFonts w:eastAsia="MS Mincho"/>
        </w:rPr>
        <w:t>9.24.1</w:t>
      </w:r>
      <w:r w:rsidR="00BD151C">
        <w:rPr>
          <w:rFonts w:eastAsia="MS Mincho"/>
        </w:rPr>
        <w:fldChar w:fldCharType="end"/>
      </w:r>
      <w:r w:rsidRPr="009448FC">
        <w:rPr>
          <w:rFonts w:eastAsia="MS Mincho"/>
        </w:rPr>
        <w: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If, during a Cluster Monitoring Period, the PCP/AP does not receive a mmWave Beacon that contains the value o</w:t>
      </w:r>
      <w:r w:rsidR="005860BD" w:rsidRPr="009448FC">
        <w:rPr>
          <w:rFonts w:eastAsia="MS Mincho"/>
        </w:rPr>
        <w:t>f S-PCP/S-AP in the ClusterMemRole</w:t>
      </w:r>
      <w:r w:rsidR="00281486" w:rsidRPr="009448FC">
        <w:rPr>
          <w:rFonts w:eastAsia="MS Mincho"/>
        </w:rPr>
        <w:t xml:space="preserve"> </w:t>
      </w:r>
      <w:r w:rsidRPr="009448FC">
        <w:rPr>
          <w:rFonts w:eastAsia="MS Mincho"/>
        </w:rPr>
        <w:t xml:space="preserve">field and does not receive a mmWave Beacon with ClusterID equal to the ClusterID of the cluster of which it is currently a member, then at the end of the Cluster Monitoring Period the PCP/AP may become an S-PCP/S-AP according to the rules of </w:t>
      </w:r>
      <w:r w:rsidR="00BD151C" w:rsidRPr="009448FC">
        <w:rPr>
          <w:rFonts w:eastAsia="MS Mincho"/>
        </w:rPr>
        <w:fldChar w:fldCharType="begin"/>
      </w:r>
      <w:r w:rsidR="004C73F2" w:rsidRPr="009448FC">
        <w:rPr>
          <w:rFonts w:eastAsia="MS Mincho"/>
        </w:rPr>
        <w:instrText xml:space="preserve"> REF _Ref243815198 \r \h </w:instrText>
      </w:r>
      <w:r w:rsidR="00BD151C" w:rsidRPr="009448FC">
        <w:rPr>
          <w:rFonts w:eastAsia="MS Mincho"/>
        </w:rPr>
      </w:r>
      <w:r w:rsidR="00BD151C" w:rsidRPr="009448FC">
        <w:rPr>
          <w:rFonts w:eastAsia="MS Mincho"/>
        </w:rPr>
        <w:fldChar w:fldCharType="separate"/>
      </w:r>
      <w:r w:rsidR="003E4210">
        <w:rPr>
          <w:rFonts w:eastAsia="MS Mincho"/>
        </w:rPr>
        <w:t>9.24.1</w:t>
      </w:r>
      <w:r w:rsidR="00BD151C" w:rsidRPr="009448FC">
        <w:rPr>
          <w:rFonts w:eastAsia="MS Mincho"/>
        </w:rPr>
        <w:fldChar w:fldCharType="end"/>
      </w:r>
      <w:r w:rsidRPr="009448FC">
        <w:rPr>
          <w:rFonts w:eastAsia="MS Mincho"/>
        </w:rPr>
        <w:t>, or it may cease its activity on this channel and, if desired, attempt operation on a different channel.</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sz w:val="20"/>
        </w:rPr>
      </w:pPr>
      <w:r w:rsidRPr="009448FC">
        <w:rPr>
          <w:rFonts w:eastAsia="MS Mincho"/>
          <w:sz w:val="20"/>
        </w:rPr>
        <w:t>NOTE – An assumption to allow the establishment of an S-PCP/S-AP in this case is that the PCPs/APs cannot hear each other’s mmWave Beacons. The rule how to decide to switch the channel or to establish an S-PCP/S-AP is implementation dependent.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If, during a Cluster Monitoring Period, the member PCP/AP receives no mmWave Beacons from clustering </w:t>
      </w:r>
      <w:r w:rsidR="00E07F24">
        <w:rPr>
          <w:rFonts w:eastAsia="MS Mincho"/>
        </w:rPr>
        <w:t>enabled</w:t>
      </w:r>
      <w:r w:rsidRPr="009448FC">
        <w:rPr>
          <w:rFonts w:eastAsia="MS Mincho"/>
        </w:rPr>
        <w:t xml:space="preserve"> STAs, then the PCP/AP shall establish it self as an S-PCP/S-AP according to the rules in </w:t>
      </w:r>
      <w:r w:rsidR="00BD151C">
        <w:rPr>
          <w:rFonts w:eastAsia="MS Mincho"/>
        </w:rPr>
        <w:fldChar w:fldCharType="begin"/>
      </w:r>
      <w:r w:rsidR="004C73F2">
        <w:rPr>
          <w:rFonts w:eastAsia="MS Mincho"/>
        </w:rPr>
        <w:instrText xml:space="preserve"> REF _Ref243815198 \r \h </w:instrText>
      </w:r>
      <w:r w:rsidR="00BD151C">
        <w:rPr>
          <w:rFonts w:eastAsia="MS Mincho"/>
        </w:rPr>
      </w:r>
      <w:r w:rsidR="00BD151C">
        <w:rPr>
          <w:rFonts w:eastAsia="MS Mincho"/>
        </w:rPr>
        <w:fldChar w:fldCharType="separate"/>
      </w:r>
      <w:r w:rsidR="003E4210">
        <w:rPr>
          <w:rFonts w:eastAsia="MS Mincho"/>
        </w:rPr>
        <w:t>9.24.1</w:t>
      </w:r>
      <w:r w:rsidR="00BD151C">
        <w:rPr>
          <w:rFonts w:eastAsia="MS Mincho"/>
        </w:rPr>
        <w:fldChar w:fldCharType="end"/>
      </w:r>
      <w:r w:rsidRPr="009448FC">
        <w:rPr>
          <w:rFonts w:eastAsia="MS Mincho"/>
        </w:rPr>
        <w:t>.</w:t>
      </w:r>
    </w:p>
    <w:p w:rsidR="00615669" w:rsidRPr="009448FC" w:rsidRDefault="00615669" w:rsidP="00615669">
      <w:pPr>
        <w:autoSpaceDE w:val="0"/>
        <w:autoSpaceDN w:val="0"/>
        <w:adjustRightInd w:val="0"/>
        <w:rPr>
          <w:rFonts w:eastAsia="MS Mincho"/>
        </w:rPr>
      </w:pPr>
    </w:p>
    <w:p w:rsidR="00615669" w:rsidRDefault="00615669" w:rsidP="00615669">
      <w:pPr>
        <w:rPr>
          <w:rFonts w:eastAsia="MS Mincho"/>
        </w:rPr>
      </w:pPr>
      <w:r w:rsidRPr="009448FC">
        <w:rPr>
          <w:rFonts w:eastAsia="MS Mincho"/>
        </w:rPr>
        <w:t xml:space="preserve">If an S-PCP/S-AP detects the presence of another S-PCP/S-AP on the same channel, it should schedule a Beacon SP for the mmWave Beacon transmission of the other S-PCP/S-AP if the MAC address of the other S-PCP/S-AP is lower than the MAC address of this S-PCP/S-AP. The S-PCP/S-AP with higher MAC address should become a member PCP/AP of the cluster corresponding to the S-PCP/S-AP with the lower MAC address according to the rules in </w:t>
      </w:r>
      <w:r w:rsidR="00BD151C">
        <w:rPr>
          <w:rFonts w:eastAsia="MS Mincho"/>
        </w:rPr>
        <w:fldChar w:fldCharType="begin"/>
      </w:r>
      <w:r w:rsidR="004C73F2">
        <w:rPr>
          <w:rFonts w:eastAsia="MS Mincho"/>
        </w:rPr>
        <w:instrText xml:space="preserve"> REF _Ref243815198 \r \h </w:instrText>
      </w:r>
      <w:r w:rsidR="00BD151C">
        <w:rPr>
          <w:rFonts w:eastAsia="MS Mincho"/>
        </w:rPr>
      </w:r>
      <w:r w:rsidR="00BD151C">
        <w:rPr>
          <w:rFonts w:eastAsia="MS Mincho"/>
        </w:rPr>
        <w:fldChar w:fldCharType="separate"/>
      </w:r>
      <w:r w:rsidR="003E4210">
        <w:rPr>
          <w:rFonts w:eastAsia="MS Mincho"/>
        </w:rPr>
        <w:t>9.24.1</w:t>
      </w:r>
      <w:r w:rsidR="00BD151C">
        <w:rPr>
          <w:rFonts w:eastAsia="MS Mincho"/>
        </w:rPr>
        <w:fldChar w:fldCharType="end"/>
      </w:r>
      <w:r w:rsidRPr="009448FC">
        <w:rPr>
          <w:rFonts w:eastAsia="MS Mincho"/>
        </w:rPr>
        <w:t>.</w:t>
      </w:r>
    </w:p>
    <w:p w:rsidR="00191018" w:rsidRDefault="00191018" w:rsidP="00615669">
      <w:pPr>
        <w:rPr>
          <w:rFonts w:eastAsia="MS Mincho"/>
        </w:rPr>
      </w:pPr>
    </w:p>
    <w:p w:rsidR="00191018" w:rsidRPr="00BA7557" w:rsidRDefault="00191018" w:rsidP="003701DB">
      <w:pPr>
        <w:pStyle w:val="Heading3"/>
        <w:numPr>
          <w:ilvl w:val="2"/>
          <w:numId w:val="30"/>
        </w:numPr>
      </w:pPr>
      <w:bookmarkStart w:id="1527" w:name="_Toc259717136"/>
      <w:r w:rsidRPr="009448FC">
        <w:t xml:space="preserve">Cluster </w:t>
      </w:r>
      <w:r>
        <w:t>report and re-scheduling</w:t>
      </w:r>
      <w:bookmarkEnd w:id="1527"/>
    </w:p>
    <w:p w:rsidR="00191018" w:rsidRPr="00587B90" w:rsidRDefault="00191018" w:rsidP="00191018">
      <w:pPr>
        <w:autoSpaceDE w:val="0"/>
        <w:autoSpaceDN w:val="0"/>
        <w:adjustRightInd w:val="0"/>
        <w:jc w:val="both"/>
      </w:pPr>
      <w:r w:rsidRPr="00587B90">
        <w:t xml:space="preserve">A cluster </w:t>
      </w:r>
      <w:r w:rsidR="00E07F24">
        <w:t>enabled</w:t>
      </w:r>
      <w:r w:rsidRPr="00587B90">
        <w:t xml:space="preserve"> PCP/AP that receives an Extended Schedule element from another cluster </w:t>
      </w:r>
      <w:r w:rsidR="00E07F24">
        <w:t>enabled</w:t>
      </w:r>
      <w:r w:rsidRPr="00587B90">
        <w:t xml:space="preserve"> PCP/AP may re-schedule SPs and CBPs in its BI, or move the BT, in an attempt to mitigate any interference with the transmissions indicated in the received Extended Schedule element. The PCP/AP </w:t>
      </w:r>
      <w:r w:rsidRPr="00587B90">
        <w:lastRenderedPageBreak/>
        <w:t>may also create SPs in its BI with the source and destination AID set to 255 to prevent transmissions during specific periods in the BI.</w:t>
      </w:r>
    </w:p>
    <w:p w:rsidR="00191018" w:rsidRPr="00587B90" w:rsidRDefault="00191018" w:rsidP="00191018">
      <w:pPr>
        <w:autoSpaceDE w:val="0"/>
        <w:autoSpaceDN w:val="0"/>
        <w:adjustRightInd w:val="0"/>
        <w:jc w:val="both"/>
      </w:pPr>
    </w:p>
    <w:p w:rsidR="00191018" w:rsidRPr="00587B90" w:rsidRDefault="00191018" w:rsidP="00382205">
      <w:pPr>
        <w:autoSpaceDE w:val="0"/>
        <w:autoSpaceDN w:val="0"/>
        <w:adjustRightInd w:val="0"/>
        <w:jc w:val="both"/>
      </w:pPr>
      <w:r w:rsidRPr="00587B90">
        <w:t>A non-PCP/non-AP STA that is a member of a BSS and that receives a mmWave Beacon should send a Cluster Report element to its PCP/AP if the received mmWave Beacon frame meets all of the following conditions:</w:t>
      </w:r>
    </w:p>
    <w:p w:rsidR="00191018" w:rsidRPr="00587B90" w:rsidRDefault="00191018" w:rsidP="003701DB">
      <w:pPr>
        <w:numPr>
          <w:ilvl w:val="0"/>
          <w:numId w:val="184"/>
        </w:numPr>
        <w:autoSpaceDE w:val="0"/>
        <w:autoSpaceDN w:val="0"/>
        <w:adjustRightInd w:val="0"/>
        <w:jc w:val="both"/>
      </w:pPr>
      <w:r w:rsidRPr="00587B90">
        <w:t>The mmWave Beacon is not from the STA’s PCP/AP</w:t>
      </w:r>
    </w:p>
    <w:p w:rsidR="00191018" w:rsidRPr="00587B90" w:rsidRDefault="00191018" w:rsidP="003701DB">
      <w:pPr>
        <w:numPr>
          <w:ilvl w:val="0"/>
          <w:numId w:val="184"/>
        </w:numPr>
        <w:autoSpaceDE w:val="0"/>
        <w:autoSpaceDN w:val="0"/>
        <w:adjustRightInd w:val="0"/>
        <w:jc w:val="both"/>
      </w:pPr>
      <w:r w:rsidRPr="00587B90">
        <w:t>The mmWave Beacon contains the P</w:t>
      </w:r>
      <w:r w:rsidR="00BE5866">
        <w:t xml:space="preserve">CP/AP Clustering Control field </w:t>
      </w:r>
    </w:p>
    <w:p w:rsidR="00191018" w:rsidRPr="00587B90" w:rsidRDefault="00191018" w:rsidP="003701DB">
      <w:pPr>
        <w:numPr>
          <w:ilvl w:val="0"/>
          <w:numId w:val="184"/>
        </w:numPr>
        <w:autoSpaceDE w:val="0"/>
        <w:autoSpaceDN w:val="0"/>
        <w:adjustRightInd w:val="0"/>
        <w:jc w:val="both"/>
      </w:pPr>
      <w:r w:rsidRPr="00587B90">
        <w:t>The value of the Cluster ID field within the PCP/AP Clustering Control field is different than the MAC address of the STA’s PCP/AP</w:t>
      </w:r>
    </w:p>
    <w:p w:rsidR="00191018" w:rsidRPr="00587B90" w:rsidRDefault="00191018" w:rsidP="00191018">
      <w:pPr>
        <w:autoSpaceDE w:val="0"/>
        <w:autoSpaceDN w:val="0"/>
        <w:adjustRightInd w:val="0"/>
        <w:jc w:val="both"/>
      </w:pPr>
    </w:p>
    <w:p w:rsidR="00191018" w:rsidRPr="00587B90" w:rsidRDefault="00067A9C" w:rsidP="00191018">
      <w:pPr>
        <w:autoSpaceDE w:val="0"/>
        <w:autoSpaceDN w:val="0"/>
        <w:adjustRightInd w:val="0"/>
        <w:jc w:val="both"/>
      </w:pPr>
      <w:r w:rsidRPr="00587B90">
        <w:t xml:space="preserve">A Cluster Report element </w:t>
      </w:r>
      <w:r>
        <w:t xml:space="preserve">meeting the conditions above </w:t>
      </w:r>
      <w:r w:rsidRPr="00587B90">
        <w:t xml:space="preserve">shall be transmitted in an Announce or Information Response frame sent to the STA’s PCP/AP. </w:t>
      </w:r>
      <w:r>
        <w:t>Within the transmitted Cluster Report element,</w:t>
      </w:r>
      <w:r w:rsidR="00D11F2E">
        <w:t xml:space="preserve"> </w:t>
      </w:r>
      <w:r>
        <w:t xml:space="preserve">the STA shall set the Cluster report subfield to one. </w:t>
      </w:r>
      <w:r w:rsidRPr="00587B90">
        <w:t>The STA shall set the PCP/AP Clustering Control field within a transmitted Cluster Report element to the corresponding field values within the PCP/AP Clustering Control of the received mmWave Beacon</w:t>
      </w:r>
      <w:r>
        <w:t>, and shall set the Reference timestamp field to indicate the mmWave Beacon reception time</w:t>
      </w:r>
      <w:r w:rsidRPr="00587B90">
        <w:t xml:space="preserve">. </w:t>
      </w:r>
      <w:r>
        <w:t>The STA shall set the Schedule present subfield to one if the Extended Schedule field is present in the transmitted Cluster Report element, otherwise it shall set Schedule present subfield to zero. The STA shall set the TSCONST present subfield to one if the TSCONST field is present in the transmitted Cluster Report element, otherwise it shall set TSCONST subfield to zero.</w:t>
      </w:r>
      <w:r w:rsidR="00080054">
        <w:t xml:space="preserve"> </w:t>
      </w:r>
      <w:r w:rsidR="00191018" w:rsidRPr="00587B90">
        <w:t xml:space="preserve">If present, the Extended Schedule Element field within the Cluster Report element shall be set to the corresponding field values within the Extended Schedule element of the received mmWave Beacon. If present, the TSCONST field shall be set to indicate periods </w:t>
      </w:r>
      <w:r w:rsidR="00191018" w:rsidRPr="00587B90">
        <w:rPr>
          <w:lang w:bidi="ar-SA"/>
        </w:rPr>
        <w:t>of time with respect to the TBTT of the BI of the BSS the STA participates where the transmitting STA experiences poor channel conditions, such as due to interference.</w:t>
      </w:r>
    </w:p>
    <w:p w:rsidR="00191018" w:rsidRPr="00587B90" w:rsidRDefault="00191018" w:rsidP="00191018">
      <w:pPr>
        <w:autoSpaceDE w:val="0"/>
        <w:autoSpaceDN w:val="0"/>
        <w:adjustRightInd w:val="0"/>
        <w:jc w:val="both"/>
      </w:pPr>
    </w:p>
    <w:p w:rsidR="00191018" w:rsidRDefault="00191018" w:rsidP="0092410D">
      <w:pPr>
        <w:rPr>
          <w:rFonts w:eastAsia="MS Mincho"/>
        </w:rPr>
      </w:pPr>
      <w:r w:rsidRPr="00587B90">
        <w:t>Upon receiving a Cluster Report element from a non-PCP/non-AP STA</w:t>
      </w:r>
      <w:r w:rsidR="00902690" w:rsidRPr="00902690">
        <w:t xml:space="preserve"> </w:t>
      </w:r>
      <w:r w:rsidR="00902690">
        <w:t>with the Cluster report field set to one</w:t>
      </w:r>
      <w:r w:rsidRPr="00587B90">
        <w:t xml:space="preserve">, a clustering </w:t>
      </w:r>
      <w:r w:rsidR="00E07F24">
        <w:t>enabled</w:t>
      </w:r>
      <w:r w:rsidRPr="00587B90">
        <w:t xml:space="preserve"> PCP/AP may re-schedule SPs and CBPs in its BI, or move the BT, or perform other actions, in an attempt to mitigate any interference with the transmissions indicated in the received Cluster Report element. The cluster </w:t>
      </w:r>
      <w:r w:rsidR="00E07F24">
        <w:t>enabled</w:t>
      </w:r>
      <w:r w:rsidRPr="00587B90">
        <w:t xml:space="preserve"> PCP/AP may also create SPs in its BI with the source and destination AID set to 255 to prevent transmissions during specific periods in the BI.</w:t>
      </w:r>
    </w:p>
    <w:p w:rsidR="0092410D" w:rsidRPr="008B27E8" w:rsidRDefault="0092410D" w:rsidP="003701DB">
      <w:pPr>
        <w:pStyle w:val="Heading3"/>
        <w:numPr>
          <w:ilvl w:val="2"/>
          <w:numId w:val="30"/>
        </w:numPr>
        <w:rPr>
          <w:lang w:bidi="ar-SA"/>
        </w:rPr>
      </w:pPr>
      <w:bookmarkStart w:id="1528" w:name="_Toc259717137"/>
      <w:r w:rsidRPr="008B27E8">
        <w:rPr>
          <w:lang w:bidi="ar-SA"/>
        </w:rPr>
        <w:t>Cluster request</w:t>
      </w:r>
      <w:bookmarkEnd w:id="1528"/>
      <w:r w:rsidR="00080054">
        <w:rPr>
          <w:lang w:bidi="ar-SA"/>
        </w:rPr>
        <w:t xml:space="preserve"> </w:t>
      </w:r>
    </w:p>
    <w:p w:rsidR="0092410D" w:rsidRPr="008B27E8" w:rsidRDefault="0092410D" w:rsidP="0092410D">
      <w:pPr>
        <w:rPr>
          <w:lang w:eastAsia="ko-KR" w:bidi="ar-SA"/>
        </w:rPr>
      </w:pPr>
    </w:p>
    <w:p w:rsidR="0092410D" w:rsidRPr="008B27E8" w:rsidRDefault="0092410D" w:rsidP="0092410D">
      <w:pPr>
        <w:rPr>
          <w:lang w:eastAsia="ko-KR" w:bidi="ar-SA"/>
        </w:rPr>
      </w:pPr>
      <w:r w:rsidRPr="008B27E8">
        <w:rPr>
          <w:lang w:eastAsia="ko-KR" w:bidi="ar-SA"/>
        </w:rPr>
        <w:t>A non-PCP/non-AP STA that is a member of a BSS may transmit a Cluster Report element to its PCP/AP to request that PCP/AP clustering be enabled in the BSS. The non-PCP/non-AP STA can make this request if, for example, the non-PCP/non-AP STA intends to initialize another co-channel BSS (</w:t>
      </w:r>
      <w:r w:rsidR="00BD151C">
        <w:rPr>
          <w:lang w:eastAsia="ko-KR" w:bidi="ar-SA"/>
        </w:rPr>
        <w:fldChar w:fldCharType="begin"/>
      </w:r>
      <w:r w:rsidR="003E4210">
        <w:rPr>
          <w:lang w:eastAsia="ko-KR" w:bidi="ar-SA"/>
        </w:rPr>
        <w:instrText xml:space="preserve"> REF _Ref259717671 \r \h </w:instrText>
      </w:r>
      <w:r w:rsidR="00BD151C">
        <w:rPr>
          <w:lang w:eastAsia="ko-KR" w:bidi="ar-SA"/>
        </w:rPr>
      </w:r>
      <w:r w:rsidR="00BD151C">
        <w:rPr>
          <w:lang w:eastAsia="ko-KR" w:bidi="ar-SA"/>
        </w:rPr>
        <w:fldChar w:fldCharType="separate"/>
      </w:r>
      <w:r w:rsidR="003E4210">
        <w:rPr>
          <w:lang w:eastAsia="ko-KR" w:bidi="ar-SA"/>
        </w:rPr>
        <w:t>11.1</w:t>
      </w:r>
      <w:r w:rsidR="00BD151C">
        <w:rPr>
          <w:lang w:eastAsia="ko-KR" w:bidi="ar-SA"/>
        </w:rPr>
        <w:fldChar w:fldCharType="end"/>
      </w:r>
      <w:r w:rsidRPr="008B27E8">
        <w:rPr>
          <w:lang w:eastAsia="ko-KR" w:bidi="ar-SA"/>
        </w:rPr>
        <w:t>) in which it will perform the role of PCP/AP and, when performing this role, it wishes to become a member PCP/AP of the cluster enabled by its current PCP/AP.</w:t>
      </w:r>
    </w:p>
    <w:p w:rsidR="0092410D" w:rsidRPr="008B27E8" w:rsidRDefault="0092410D" w:rsidP="0092410D">
      <w:pPr>
        <w:rPr>
          <w:lang w:eastAsia="ko-KR" w:bidi="ar-SA"/>
        </w:rPr>
      </w:pPr>
    </w:p>
    <w:p w:rsidR="0092410D" w:rsidRPr="008B27E8" w:rsidRDefault="0092410D" w:rsidP="0092410D">
      <w:pPr>
        <w:autoSpaceDE w:val="0"/>
        <w:autoSpaceDN w:val="0"/>
        <w:adjustRightInd w:val="0"/>
        <w:rPr>
          <w:lang w:eastAsia="ko-KR" w:bidi="ar-SA"/>
        </w:rPr>
      </w:pPr>
      <w:r w:rsidRPr="008B27E8">
        <w:rPr>
          <w:lang w:eastAsia="ko-KR" w:bidi="ar-SA"/>
        </w:rPr>
        <w:t xml:space="preserve">To request PCP/AP clustering to be enabled in the BSS, the STA shall transmit a Cluster Report element with the Cluster request subfield set to one to its PCP/AP. Upon receiving a Cluster Report element with the Cluster request subfield set to one, the PCP/AP should form and maintain PCP/AP clustering in the BSS according to the procedures described in </w:t>
      </w:r>
      <w:r w:rsidR="00BD151C">
        <w:rPr>
          <w:lang w:eastAsia="ko-KR" w:bidi="ar-SA"/>
        </w:rPr>
        <w:fldChar w:fldCharType="begin"/>
      </w:r>
      <w:r w:rsidR="003E4210">
        <w:rPr>
          <w:lang w:eastAsia="ko-KR" w:bidi="ar-SA"/>
        </w:rPr>
        <w:instrText xml:space="preserve"> REF _Ref259717672 \r \h </w:instrText>
      </w:r>
      <w:r w:rsidR="00BD151C">
        <w:rPr>
          <w:lang w:eastAsia="ko-KR" w:bidi="ar-SA"/>
        </w:rPr>
      </w:r>
      <w:r w:rsidR="00BD151C">
        <w:rPr>
          <w:lang w:eastAsia="ko-KR" w:bidi="ar-SA"/>
        </w:rPr>
        <w:fldChar w:fldCharType="separate"/>
      </w:r>
      <w:r w:rsidR="003E4210">
        <w:rPr>
          <w:lang w:eastAsia="ko-KR" w:bidi="ar-SA"/>
        </w:rPr>
        <w:t>9.24.1</w:t>
      </w:r>
      <w:r w:rsidR="00BD151C">
        <w:rPr>
          <w:lang w:eastAsia="ko-KR" w:bidi="ar-SA"/>
        </w:rPr>
        <w:fldChar w:fldCharType="end"/>
      </w:r>
      <w:r w:rsidR="003E4210">
        <w:rPr>
          <w:lang w:eastAsia="ko-KR" w:bidi="ar-SA"/>
        </w:rPr>
        <w:t xml:space="preserve"> and </w:t>
      </w:r>
      <w:r w:rsidR="00BD151C">
        <w:rPr>
          <w:lang w:eastAsia="ko-KR" w:bidi="ar-SA"/>
        </w:rPr>
        <w:fldChar w:fldCharType="begin"/>
      </w:r>
      <w:r w:rsidR="003E4210">
        <w:rPr>
          <w:lang w:eastAsia="ko-KR" w:bidi="ar-SA"/>
        </w:rPr>
        <w:instrText xml:space="preserve"> REF _Ref259717673 \r \h </w:instrText>
      </w:r>
      <w:r w:rsidR="00BD151C">
        <w:rPr>
          <w:lang w:eastAsia="ko-KR" w:bidi="ar-SA"/>
        </w:rPr>
      </w:r>
      <w:r w:rsidR="00BD151C">
        <w:rPr>
          <w:lang w:eastAsia="ko-KR" w:bidi="ar-SA"/>
        </w:rPr>
        <w:fldChar w:fldCharType="separate"/>
      </w:r>
      <w:r w:rsidR="003E4210">
        <w:rPr>
          <w:lang w:eastAsia="ko-KR" w:bidi="ar-SA"/>
        </w:rPr>
        <w:t>9.24.2</w:t>
      </w:r>
      <w:r w:rsidR="00BD151C">
        <w:rPr>
          <w:lang w:eastAsia="ko-KR" w:bidi="ar-SA"/>
        </w:rPr>
        <w:fldChar w:fldCharType="end"/>
      </w:r>
      <w:r w:rsidRPr="008B27E8">
        <w:rPr>
          <w:lang w:eastAsia="ko-KR" w:bidi="ar-SA"/>
        </w:rPr>
        <w:t xml:space="preserve">. In doing that, the PCP/AP should set the minimum duration of the </w:t>
      </w:r>
      <w:r w:rsidRPr="008B27E8">
        <w:rPr>
          <w:lang w:bidi="ar-SA"/>
        </w:rPr>
        <w:t>Beacon SP to be equal to</w:t>
      </w:r>
      <w:r w:rsidR="003E4210">
        <w:rPr>
          <w:lang w:bidi="ar-SA"/>
        </w:rPr>
        <w:t xml:space="preserve"> </w:t>
      </w:r>
      <w:r w:rsidRPr="008B27E8">
        <w:rPr>
          <w:lang w:bidi="ar-SA"/>
        </w:rPr>
        <w:t>dot11MinBIHeaderDuration.</w:t>
      </w:r>
    </w:p>
    <w:p w:rsidR="0092410D" w:rsidRPr="008B27E8" w:rsidRDefault="0092410D" w:rsidP="0092410D">
      <w:pPr>
        <w:rPr>
          <w:lang w:eastAsia="ko-KR" w:bidi="ar-SA"/>
        </w:rPr>
      </w:pPr>
    </w:p>
    <w:p w:rsidR="0092410D" w:rsidRPr="008B27E8" w:rsidRDefault="0092410D" w:rsidP="0092410D">
      <w:pPr>
        <w:rPr>
          <w:lang w:eastAsia="ko-KR" w:bidi="ar-SA"/>
        </w:rPr>
      </w:pPr>
      <w:r w:rsidRPr="008B27E8">
        <w:rPr>
          <w:lang w:eastAsia="ko-KR" w:bidi="ar-SA"/>
        </w:rPr>
        <w:lastRenderedPageBreak/>
        <w:t>If the non-PCP/non-AP does not receive a mmWave Beacon frame from its PCP/AP with PCP/AP clustering enabled after dot11ClusterEnableTime following the transmission to its PCP/AP of a Cluster Report element with the Cluster request subfield set to one, the non-PCP/non-AP STA should not retransmit a Cluster Report element to its PCP/AP to request that PCP/AP clustering be enabled in the BSS.</w:t>
      </w:r>
    </w:p>
    <w:p w:rsidR="0092410D" w:rsidRPr="008B27E8" w:rsidRDefault="0092410D" w:rsidP="0092410D">
      <w:pPr>
        <w:rPr>
          <w:lang w:eastAsia="ko-KR" w:bidi="ar-SA"/>
        </w:rPr>
      </w:pPr>
    </w:p>
    <w:p w:rsidR="0092410D" w:rsidRPr="008B27E8" w:rsidRDefault="0092410D" w:rsidP="0092410D">
      <w:pPr>
        <w:rPr>
          <w:lang w:eastAsia="ko-KR" w:bidi="ar-SA"/>
        </w:rPr>
      </w:pPr>
      <w:r w:rsidRPr="008B27E8">
        <w:rPr>
          <w:lang w:eastAsia="ko-KR" w:bidi="ar-SA"/>
        </w:rPr>
        <w:t>If a non-PCP/non-AP STA becomes a member PCP/AP of the cluster enabled by its current PCP/AP, the non-PCP/non-AP STA can synchronize scheduled CBP allocations, if any, between the BSS in which it performs the role of PCP/AP and the BSS of its current PCP/AP.</w:t>
      </w:r>
      <w:r w:rsidR="00175248">
        <w:rPr>
          <w:lang w:eastAsia="ko-KR" w:bidi="ar-SA"/>
        </w:rPr>
        <w:t xml:space="preserve"> </w:t>
      </w:r>
      <w:r w:rsidR="00175248" w:rsidRPr="009F3D74">
        <w:t>The non-PCP/non-AP STA can disallow STAs in the BSS in</w:t>
      </w:r>
      <w:r w:rsidR="00175248">
        <w:t xml:space="preserve"> which it plays the role of PCP</w:t>
      </w:r>
      <w:r w:rsidR="00175248" w:rsidRPr="009F3D74">
        <w:t>/AP from transmitting during the Beacon SPs of the cluster it is a part of, and this can be done by allocating an SP time-overlapping with each Beacon SP such that each allocated SP has both the source AID and destination AID fields within the Extended Schedule element set to the AID of the non-PCP/non-AP STA.</w:t>
      </w:r>
    </w:p>
    <w:p w:rsidR="0092410D" w:rsidRPr="009448FC" w:rsidRDefault="0092410D" w:rsidP="00615669">
      <w:pPr>
        <w:rPr>
          <w:rFonts w:eastAsia="MS Mincho"/>
        </w:rPr>
      </w:pPr>
    </w:p>
    <w:p w:rsidR="008C36FC" w:rsidRPr="009448FC" w:rsidRDefault="008C36FC" w:rsidP="003701DB">
      <w:pPr>
        <w:pStyle w:val="Heading2"/>
        <w:numPr>
          <w:ilvl w:val="1"/>
          <w:numId w:val="30"/>
        </w:numPr>
        <w:rPr>
          <w:rFonts w:ascii="Times New Roman" w:hAnsi="Times New Roman"/>
          <w:u w:val="none"/>
        </w:rPr>
      </w:pPr>
      <w:bookmarkStart w:id="1529" w:name="_Toc244137144"/>
      <w:bookmarkStart w:id="1530" w:name="_Toc205016622"/>
      <w:bookmarkStart w:id="1531" w:name="_Toc205121647"/>
      <w:bookmarkStart w:id="1532" w:name="_Toc206227528"/>
      <w:bookmarkStart w:id="1533" w:name="_Toc206415475"/>
      <w:bookmarkStart w:id="1534" w:name="_Toc206418282"/>
      <w:bookmarkStart w:id="1535" w:name="_Ref206750888"/>
      <w:bookmarkStart w:id="1536" w:name="_Ref206750892"/>
      <w:bookmarkStart w:id="1537" w:name="_Toc207098967"/>
      <w:bookmarkStart w:id="1538" w:name="_Toc207099575"/>
      <w:bookmarkStart w:id="1539" w:name="_Toc207100494"/>
      <w:bookmarkStart w:id="1540" w:name="_Toc207348416"/>
      <w:bookmarkStart w:id="1541" w:name="_Toc215582795"/>
      <w:bookmarkStart w:id="1542" w:name="_Toc235400333"/>
      <w:bookmarkStart w:id="1543" w:name="_Ref243816208"/>
      <w:bookmarkStart w:id="1544" w:name="_Ref244077085"/>
      <w:bookmarkStart w:id="1545" w:name="_Ref246108918"/>
      <w:bookmarkStart w:id="1546" w:name="_Ref249332405"/>
      <w:bookmarkStart w:id="1547" w:name="_Ref251938024"/>
      <w:bookmarkStart w:id="1548" w:name="_Ref253494742"/>
      <w:bookmarkStart w:id="1549" w:name="_Ref256692648"/>
      <w:bookmarkStart w:id="1550" w:name="_Ref256776033"/>
      <w:bookmarkStart w:id="1551" w:name="_Ref259715675"/>
      <w:bookmarkStart w:id="1552" w:name="_Toc259717138"/>
      <w:bookmarkEnd w:id="1529"/>
      <w:r w:rsidRPr="009448FC">
        <w:rPr>
          <w:rFonts w:ascii="Times New Roman" w:hAnsi="Times New Roman"/>
          <w:u w:val="none"/>
        </w:rPr>
        <w:t>mmWave Beamforming</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sidR="008C36FC" w:rsidRPr="009448FC" w:rsidRDefault="008C36FC" w:rsidP="00215FEB"/>
    <w:p w:rsidR="00CB2AD0" w:rsidRPr="009448FC" w:rsidRDefault="00CB2AD0" w:rsidP="00CB2AD0">
      <w:pPr>
        <w:autoSpaceDE w:val="0"/>
        <w:autoSpaceDN w:val="0"/>
        <w:adjustRightInd w:val="0"/>
        <w:rPr>
          <w:rFonts w:eastAsia="MS Mincho"/>
        </w:rPr>
      </w:pPr>
      <w:r w:rsidRPr="009448FC">
        <w:rPr>
          <w:rFonts w:eastAsia="MS Mincho"/>
        </w:rPr>
        <w:t>Beamforming (BF) is the process that is used by a pair of STAs to achieve the necessary mmWave link budget</w:t>
      </w:r>
      <w:r w:rsidR="00281486" w:rsidRPr="009448FC">
        <w:rPr>
          <w:rFonts w:eastAsia="MS Mincho"/>
        </w:rPr>
        <w:t xml:space="preserve"> </w:t>
      </w:r>
      <w:r w:rsidRPr="009448FC">
        <w:rPr>
          <w:rFonts w:eastAsia="MS Mincho"/>
        </w:rPr>
        <w:t xml:space="preserve">for subsequent communication. BF is established following the successful completion of BF training. BF training is a bidirectional sequence of BF </w:t>
      </w:r>
      <w:r w:rsidR="00085EAB">
        <w:rPr>
          <w:rFonts w:eastAsia="MS Mincho"/>
        </w:rPr>
        <w:t xml:space="preserve">training </w:t>
      </w:r>
      <w:r w:rsidRPr="009448FC">
        <w:rPr>
          <w:rFonts w:eastAsia="MS Mincho"/>
        </w:rPr>
        <w:t>frame transmissions that provide the necessary signaling to allow each STA to determine appropriate antenna system settings for both transmission and reception.</w:t>
      </w:r>
      <w:r w:rsidR="00D11F2E">
        <w:rPr>
          <w:rFonts w:eastAsia="MS Mincho"/>
        </w:rPr>
        <w:t xml:space="preserve"> </w:t>
      </w:r>
      <w:r w:rsidR="00085EAB">
        <w:rPr>
          <w:rFonts w:eastAsia="MS Mincho"/>
        </w:rPr>
        <w:t xml:space="preserve">A BF training frame is an SS frame, a mmWave </w:t>
      </w:r>
      <w:r w:rsidR="00D50F65">
        <w:rPr>
          <w:rFonts w:eastAsia="MS Mincho"/>
        </w:rPr>
        <w:t>B</w:t>
      </w:r>
      <w:r w:rsidR="00085EAB">
        <w:rPr>
          <w:rFonts w:eastAsia="MS Mincho"/>
        </w:rPr>
        <w:t>eaco</w:t>
      </w:r>
      <w:r w:rsidR="00326EA9">
        <w:rPr>
          <w:rFonts w:eastAsia="MS Mincho"/>
        </w:rPr>
        <w:t xml:space="preserve">n </w:t>
      </w:r>
      <w:r w:rsidR="00D50F65">
        <w:rPr>
          <w:rFonts w:eastAsia="MS Mincho"/>
        </w:rPr>
        <w:t>f</w:t>
      </w:r>
      <w:r w:rsidR="00326EA9">
        <w:rPr>
          <w:rFonts w:eastAsia="MS Mincho"/>
        </w:rPr>
        <w:t>rame or a BRP frame.</w:t>
      </w:r>
      <w:r w:rsidRPr="009448FC">
        <w:rPr>
          <w:rFonts w:eastAsia="MS Mincho"/>
        </w:rPr>
        <w:t xml:space="preserve"> </w:t>
      </w:r>
      <w:fldSimple w:instr=" REF _Ref243105752 \h  \* MERGEFORMAT ">
        <w:r w:rsidR="003E4210" w:rsidRPr="00066F65">
          <w:t xml:space="preserve">Figure </w:t>
        </w:r>
        <w:r w:rsidR="003E4210">
          <w:rPr>
            <w:noProof/>
          </w:rPr>
          <w:t>87</w:t>
        </w:r>
      </w:fldSimple>
      <w:r w:rsidRPr="009448FC">
        <w:rPr>
          <w:rFonts w:eastAsia="MS Mincho"/>
        </w:rPr>
        <w:t xml:space="preserve"> gives an example of the beamforming training procedure.</w:t>
      </w:r>
    </w:p>
    <w:p w:rsidR="00CB2AD0" w:rsidRPr="009448FC" w:rsidRDefault="00CB2AD0" w:rsidP="00CB2AD0">
      <w:pPr>
        <w:autoSpaceDE w:val="0"/>
        <w:autoSpaceDN w:val="0"/>
        <w:adjustRightInd w:val="0"/>
        <w:rPr>
          <w:rFonts w:eastAsia="MS Mincho"/>
          <w:sz w:val="23"/>
        </w:rPr>
      </w:pPr>
    </w:p>
    <w:p w:rsidR="00022C45" w:rsidRPr="009448FC" w:rsidRDefault="00C3249B" w:rsidP="00CB2AD0">
      <w:pPr>
        <w:keepNext/>
        <w:jc w:val="center"/>
      </w:pPr>
      <w:r w:rsidRPr="009448FC">
        <w:object w:dxaOrig="18433" w:dyaOrig="8404">
          <v:shape id="_x0000_i1051" type="#_x0000_t75" style="width:518.05pt;height:233.65pt" o:ole="">
            <v:imagedata r:id="rId149" o:title=""/>
          </v:shape>
          <o:OLEObject Type="Embed" ProgID="Visio.Drawing.11" ShapeID="_x0000_i1051" DrawAspect="Content" ObjectID="_1334048233" r:id="rId150"/>
        </w:object>
      </w:r>
    </w:p>
    <w:p w:rsidR="00022C45" w:rsidRPr="00066F65" w:rsidRDefault="00022C45" w:rsidP="00BA5BC4">
      <w:pPr>
        <w:pStyle w:val="Caption"/>
      </w:pPr>
      <w:bookmarkStart w:id="1553" w:name="_Ref243105752"/>
      <w:bookmarkStart w:id="1554" w:name="_Toc259717519"/>
      <w:r w:rsidRPr="00066F65">
        <w:t xml:space="preserve">Figure </w:t>
      </w:r>
      <w:r w:rsidR="00BD151C">
        <w:fldChar w:fldCharType="begin"/>
      </w:r>
      <w:r w:rsidR="00801316">
        <w:instrText xml:space="preserve"> SEQ Figure \* ARABIC </w:instrText>
      </w:r>
      <w:r w:rsidR="00BD151C">
        <w:fldChar w:fldCharType="separate"/>
      </w:r>
      <w:r w:rsidR="003E4210">
        <w:rPr>
          <w:noProof/>
        </w:rPr>
        <w:t>87</w:t>
      </w:r>
      <w:r w:rsidR="00BD151C">
        <w:fldChar w:fldCharType="end"/>
      </w:r>
      <w:bookmarkEnd w:id="1553"/>
      <w:r w:rsidR="00CB2AD0" w:rsidRPr="00066F65">
        <w:t xml:space="preserve"> – A</w:t>
      </w:r>
      <w:r w:rsidRPr="00066F65">
        <w:t xml:space="preserve">n example of </w:t>
      </w:r>
      <w:r w:rsidR="00280832">
        <w:t>b</w:t>
      </w:r>
      <w:r w:rsidRPr="00066F65">
        <w:t xml:space="preserve">eamforming </w:t>
      </w:r>
      <w:r w:rsidR="00280832">
        <w:t>t</w:t>
      </w:r>
      <w:r w:rsidRPr="00066F65">
        <w:t>raining</w:t>
      </w:r>
      <w:bookmarkEnd w:id="1554"/>
    </w:p>
    <w:p w:rsidR="00022C45" w:rsidRPr="009448FC" w:rsidRDefault="00022C45" w:rsidP="00022C45">
      <w:pPr>
        <w:outlineLvl w:val="0"/>
        <w:rPr>
          <w:b/>
          <w:i/>
        </w:rPr>
      </w:pPr>
    </w:p>
    <w:p w:rsidR="00022C45" w:rsidRPr="009448FC" w:rsidRDefault="00022C45" w:rsidP="00565FD0">
      <w:pPr>
        <w:autoSpaceDE w:val="0"/>
        <w:autoSpaceDN w:val="0"/>
        <w:adjustRightInd w:val="0"/>
        <w:rPr>
          <w:rFonts w:eastAsia="MS Mincho"/>
        </w:rPr>
      </w:pPr>
      <w:bookmarkStart w:id="1555" w:name="_Toc241556187"/>
      <w:r w:rsidRPr="009448FC">
        <w:rPr>
          <w:rFonts w:eastAsia="MS Mincho"/>
        </w:rPr>
        <w:t xml:space="preserve">In this subclause, the STA that initiates BF training through the transmission of a BF frame is referred to as the initiator, and the recipient STA of the BF frame that continues BF training with the initiator is referred to as the responder. For BF training that occurs within the A-BFT allocation, the PCP/AP is </w:t>
      </w:r>
      <w:r w:rsidRPr="009448FC">
        <w:rPr>
          <w:rFonts w:eastAsia="MS Mincho"/>
        </w:rPr>
        <w:lastRenderedPageBreak/>
        <w:t>the initiator and a non-PCP/non-AP STA becomes the responder. For BF training that occurs during an SP allocation, the source STA of the SP is the initiator and the destination STA of the SP becomes the responder.</w:t>
      </w:r>
      <w:r w:rsidR="00281486" w:rsidRPr="009448FC">
        <w:rPr>
          <w:rFonts w:eastAsia="MS Mincho"/>
        </w:rPr>
        <w:t xml:space="preserve"> </w:t>
      </w:r>
      <w:r w:rsidRPr="009448FC">
        <w:rPr>
          <w:rFonts w:eastAsia="MS Mincho"/>
        </w:rPr>
        <w:t>For BF training during a TXOP allocation, the TXOP holder is the initiator and the TXOP responder is the responder.</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The link from the initiator to the responder is referred to as the initiator link and the link from the responder to the initiator is referred to as the responder link.</w:t>
      </w:r>
    </w:p>
    <w:p w:rsidR="00022C45" w:rsidRPr="009448FC" w:rsidRDefault="00022C45" w:rsidP="00022C45">
      <w:pPr>
        <w:autoSpaceDE w:val="0"/>
        <w:autoSpaceDN w:val="0"/>
        <w:adjustRightInd w:val="0"/>
        <w:rPr>
          <w:rFonts w:eastAsia="MS Mincho"/>
        </w:rPr>
      </w:pPr>
    </w:p>
    <w:p w:rsidR="002104AC" w:rsidRDefault="00022C45" w:rsidP="00022C45">
      <w:pPr>
        <w:autoSpaceDE w:val="0"/>
        <w:autoSpaceDN w:val="0"/>
        <w:adjustRightInd w:val="0"/>
        <w:rPr>
          <w:rFonts w:eastAsia="MS Mincho"/>
          <w:szCs w:val="23"/>
        </w:rPr>
      </w:pPr>
      <w:r w:rsidRPr="009448FC">
        <w:rPr>
          <w:rFonts w:eastAsia="MS Mincho"/>
        </w:rPr>
        <w:t xml:space="preserve">BF training starts with a sector level sweep (SLS) from the initiator. A beam refinement procedure (BRP) may follow, if requested by either the initiator or the responder. </w:t>
      </w:r>
      <w:r w:rsidR="002104AC">
        <w:rPr>
          <w:rFonts w:eastAsia="MS Mincho"/>
          <w:szCs w:val="23"/>
        </w:rPr>
        <w:t>The purpose of SLS phase is to enable communications between the two participating STAs at least at the control PHY rate.</w:t>
      </w:r>
      <w:r w:rsidR="00280832">
        <w:rPr>
          <w:rFonts w:eastAsia="MS Mincho"/>
          <w:szCs w:val="23"/>
        </w:rPr>
        <w:t xml:space="preserve"> </w:t>
      </w:r>
      <w:r w:rsidR="002104AC">
        <w:rPr>
          <w:rFonts w:eastAsia="MS Mincho"/>
          <w:szCs w:val="23"/>
        </w:rPr>
        <w:t>Normally, the SLS phase pro</w:t>
      </w:r>
      <w:r w:rsidR="00280832">
        <w:rPr>
          <w:rFonts w:eastAsia="MS Mincho"/>
          <w:szCs w:val="23"/>
        </w:rPr>
        <w:t>vides only transmit BF training.</w:t>
      </w:r>
      <w:r w:rsidR="002104AC">
        <w:rPr>
          <w:rFonts w:eastAsia="MS Mincho"/>
          <w:szCs w:val="23"/>
        </w:rPr>
        <w:t xml:space="preserve"> If one (and only one) of the participating STAs chooses to use only one transmit antenna pattern, receive training may be performed as part of the SLS.</w:t>
      </w:r>
      <w:r w:rsidR="00D11F2E">
        <w:rPr>
          <w:rFonts w:eastAsia="MS Mincho"/>
          <w:szCs w:val="23"/>
        </w:rPr>
        <w:t xml:space="preserve"> </w:t>
      </w:r>
      <w:r w:rsidR="002104AC">
        <w:rPr>
          <w:rFonts w:eastAsia="MS Mincho"/>
          <w:szCs w:val="23"/>
        </w:rPr>
        <w:t>The purpose of the BRP phase is to enable receiver training and enable iterative refinement of the AWV of both transmitter and receiver at both participating STAs.</w:t>
      </w:r>
      <w:r w:rsidR="00D11F2E">
        <w:rPr>
          <w:rFonts w:eastAsia="MS Mincho"/>
          <w:szCs w:val="23"/>
        </w:rPr>
        <w:t xml:space="preserve"> </w:t>
      </w:r>
    </w:p>
    <w:p w:rsidR="00280832" w:rsidRDefault="00280832" w:rsidP="00022C45">
      <w:pPr>
        <w:autoSpaceDE w:val="0"/>
        <w:autoSpaceDN w:val="0"/>
        <w:adjustRightInd w:val="0"/>
        <w:rPr>
          <w:rFonts w:eastAsia="MS Mincho"/>
          <w:szCs w:val="23"/>
        </w:rPr>
      </w:pPr>
    </w:p>
    <w:p w:rsidR="00022C45" w:rsidRPr="009448FC" w:rsidRDefault="00022C45" w:rsidP="00022C45">
      <w:pPr>
        <w:autoSpaceDE w:val="0"/>
        <w:autoSpaceDN w:val="0"/>
        <w:adjustRightInd w:val="0"/>
        <w:rPr>
          <w:rFonts w:eastAsia="MS Mincho"/>
        </w:rPr>
      </w:pPr>
      <w:r w:rsidRPr="009448FC">
        <w:rPr>
          <w:rFonts w:eastAsia="MS Mincho"/>
        </w:rPr>
        <w:t>Any BF information obtained by an initiator or a responder during a BF training attempt shall be considered invalid if either or both of the following conditions are satisfied:</w:t>
      </w:r>
    </w:p>
    <w:p w:rsidR="00022C45" w:rsidRPr="009448FC" w:rsidRDefault="00022C45" w:rsidP="00022C45">
      <w:pPr>
        <w:autoSpaceDE w:val="0"/>
        <w:autoSpaceDN w:val="0"/>
        <w:adjustRightInd w:val="0"/>
        <w:rPr>
          <w:rFonts w:eastAsia="MS Mincho"/>
        </w:rPr>
      </w:pPr>
    </w:p>
    <w:p w:rsidR="004C73F2" w:rsidRPr="009448FC" w:rsidRDefault="00022C45" w:rsidP="003701DB">
      <w:pPr>
        <w:numPr>
          <w:ilvl w:val="0"/>
          <w:numId w:val="110"/>
        </w:numPr>
        <w:autoSpaceDE w:val="0"/>
        <w:autoSpaceDN w:val="0"/>
        <w:adjustRightInd w:val="0"/>
        <w:rPr>
          <w:rFonts w:eastAsia="MS Mincho"/>
        </w:rPr>
      </w:pPr>
      <w:r w:rsidRPr="009448FC">
        <w:rPr>
          <w:rFonts w:eastAsia="MS Mincho"/>
        </w:rPr>
        <w:t xml:space="preserve">The SLS phase was not completed within </w:t>
      </w:r>
      <w:r w:rsidR="00324D25">
        <w:rPr>
          <w:rFonts w:eastAsia="MS Mincho"/>
        </w:rPr>
        <w:t xml:space="preserve">dot11MaxBFTime </w:t>
      </w:r>
      <w:r w:rsidRPr="009448FC">
        <w:rPr>
          <w:rFonts w:eastAsia="MS Mincho"/>
        </w:rPr>
        <w:t>BIs from the start of the SLS phase.</w:t>
      </w:r>
    </w:p>
    <w:p w:rsidR="00022C45" w:rsidRPr="009448FC" w:rsidRDefault="00022C45" w:rsidP="003701DB">
      <w:pPr>
        <w:numPr>
          <w:ilvl w:val="0"/>
          <w:numId w:val="110"/>
        </w:numPr>
        <w:autoSpaceDE w:val="0"/>
        <w:autoSpaceDN w:val="0"/>
        <w:adjustRightInd w:val="0"/>
        <w:rPr>
          <w:rFonts w:eastAsia="MS Mincho"/>
        </w:rPr>
      </w:pPr>
      <w:r w:rsidRPr="009448FC">
        <w:rPr>
          <w:rFonts w:eastAsia="MS Mincho"/>
        </w:rPr>
        <w:t xml:space="preserve">The BRP phase, if initiated, was not completed within </w:t>
      </w:r>
      <w:r w:rsidR="00324D25">
        <w:rPr>
          <w:rFonts w:eastAsia="MS Mincho"/>
        </w:rPr>
        <w:t xml:space="preserve">dot11MaxBFTime </w:t>
      </w:r>
      <w:r w:rsidRPr="009448FC">
        <w:rPr>
          <w:rFonts w:eastAsia="MS Mincho"/>
        </w:rPr>
        <w:t>BIs from the start of the BRP phase.</w:t>
      </w:r>
    </w:p>
    <w:p w:rsidR="00022C45" w:rsidRDefault="00BE5866" w:rsidP="00022C45">
      <w:pPr>
        <w:autoSpaceDE w:val="0"/>
        <w:autoSpaceDN w:val="0"/>
        <w:adjustRightInd w:val="0"/>
        <w:rPr>
          <w:rFonts w:eastAsia="MS Mincho"/>
        </w:rPr>
      </w:pPr>
      <w:r>
        <w:rPr>
          <w:rFonts w:eastAsia="MS Mincho"/>
        </w:rPr>
        <w:t xml:space="preserve"> </w:t>
      </w:r>
    </w:p>
    <w:p w:rsidR="00CC4E0A" w:rsidRDefault="00CC4E0A" w:rsidP="00022C45">
      <w:pPr>
        <w:autoSpaceDE w:val="0"/>
        <w:autoSpaceDN w:val="0"/>
        <w:adjustRightInd w:val="0"/>
        <w:rPr>
          <w:rFonts w:eastAsia="MS Mincho"/>
        </w:rPr>
      </w:pPr>
      <w:r w:rsidRPr="00CC4E0A">
        <w:rPr>
          <w:rFonts w:eastAsia="MS Mincho"/>
        </w:rPr>
        <w:t>A STA shall abort an SLS if the SLS is not completed within dot11MaxBFTime BIs from the start of the SLS, and shall abort a BRP if the BRP is not completed within dot11MaxBFTime BIs from the start of the BRP</w:t>
      </w:r>
      <w:r>
        <w:rPr>
          <w:rFonts w:eastAsia="MS Mincho"/>
        </w:rPr>
        <w:t>.</w:t>
      </w:r>
    </w:p>
    <w:p w:rsidR="00CC4E0A" w:rsidRPr="009448FC" w:rsidRDefault="00CC4E0A"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 STA shall not initiate the BRP phase with a responder STA unless the initiator and responder have successfully completed the SLS phase.</w:t>
      </w:r>
    </w:p>
    <w:p w:rsidR="00022C45" w:rsidRPr="009448FC" w:rsidRDefault="00022C45" w:rsidP="003701DB">
      <w:pPr>
        <w:pStyle w:val="Heading3"/>
        <w:numPr>
          <w:ilvl w:val="2"/>
          <w:numId w:val="30"/>
        </w:numPr>
      </w:pPr>
      <w:bookmarkStart w:id="1556" w:name="_Toc259717139"/>
      <w:r w:rsidRPr="009448FC">
        <w:t>Sector Level Sweep Phase</w:t>
      </w:r>
      <w:bookmarkEnd w:id="1555"/>
      <w:bookmarkEnd w:id="1556"/>
    </w:p>
    <w:p w:rsidR="00022C45" w:rsidRPr="009448FC" w:rsidRDefault="00022C45" w:rsidP="001773DD">
      <w:pPr>
        <w:autoSpaceDE w:val="0"/>
        <w:autoSpaceDN w:val="0"/>
        <w:adjustRightInd w:val="0"/>
        <w:rPr>
          <w:rFonts w:eastAsia="MS Mincho"/>
        </w:rPr>
      </w:pPr>
      <w:r w:rsidRPr="009448FC">
        <w:rPr>
          <w:rFonts w:eastAsia="MS Mincho"/>
        </w:rPr>
        <w:t>The SLS phase can include as many as four components: an initiator sector sweep (ISS) to train the initiator link as described in</w:t>
      </w:r>
      <w:r w:rsidR="001773DD">
        <w:rPr>
          <w:rFonts w:eastAsia="MS Mincho"/>
        </w:rPr>
        <w:t xml:space="preserve"> </w:t>
      </w:r>
      <w:r w:rsidR="00BD151C">
        <w:rPr>
          <w:rFonts w:eastAsia="MS Mincho"/>
        </w:rPr>
        <w:fldChar w:fldCharType="begin"/>
      </w:r>
      <w:r w:rsidR="00FD20C1">
        <w:rPr>
          <w:rFonts w:eastAsia="MS Mincho"/>
        </w:rPr>
        <w:instrText xml:space="preserve"> REF _Ref253557480 \r \h </w:instrText>
      </w:r>
      <w:r w:rsidR="00BD151C">
        <w:rPr>
          <w:rFonts w:eastAsia="MS Mincho"/>
        </w:rPr>
      </w:r>
      <w:r w:rsidR="00BD151C">
        <w:rPr>
          <w:rFonts w:eastAsia="MS Mincho"/>
        </w:rPr>
        <w:fldChar w:fldCharType="separate"/>
      </w:r>
      <w:r w:rsidR="003E4210">
        <w:rPr>
          <w:rFonts w:eastAsia="MS Mincho"/>
        </w:rPr>
        <w:t>9.25.1.1</w:t>
      </w:r>
      <w:r w:rsidR="00BD151C">
        <w:rPr>
          <w:rFonts w:eastAsia="MS Mincho"/>
        </w:rPr>
        <w:fldChar w:fldCharType="end"/>
      </w:r>
      <w:r w:rsidRPr="009448FC">
        <w:rPr>
          <w:rFonts w:eastAsia="MS Mincho"/>
        </w:rPr>
        <w:t>, a responder sector sweep (RSS) to train the responder link as described in</w:t>
      </w:r>
      <w:r w:rsidR="00907E6F" w:rsidRPr="009448FC">
        <w:rPr>
          <w:rFonts w:eastAsia="MS Mincho"/>
        </w:rPr>
        <w:t xml:space="preserve"> </w:t>
      </w:r>
      <w:r w:rsidR="00BD151C">
        <w:rPr>
          <w:rFonts w:eastAsia="MS Mincho"/>
        </w:rPr>
        <w:fldChar w:fldCharType="begin"/>
      </w:r>
      <w:r w:rsidR="00FD20C1">
        <w:rPr>
          <w:rFonts w:eastAsia="MS Mincho"/>
        </w:rPr>
        <w:instrText xml:space="preserve"> REF _Ref253557485 \r \h </w:instrText>
      </w:r>
      <w:r w:rsidR="00BD151C">
        <w:rPr>
          <w:rFonts w:eastAsia="MS Mincho"/>
        </w:rPr>
      </w:r>
      <w:r w:rsidR="00BD151C">
        <w:rPr>
          <w:rFonts w:eastAsia="MS Mincho"/>
        </w:rPr>
        <w:fldChar w:fldCharType="separate"/>
      </w:r>
      <w:r w:rsidR="003E4210">
        <w:rPr>
          <w:rFonts w:eastAsia="MS Mincho"/>
        </w:rPr>
        <w:t>9.25.1.2</w:t>
      </w:r>
      <w:r w:rsidR="00BD151C">
        <w:rPr>
          <w:rFonts w:eastAsia="MS Mincho"/>
        </w:rPr>
        <w:fldChar w:fldCharType="end"/>
      </w:r>
      <w:r w:rsidRPr="009448FC">
        <w:rPr>
          <w:rFonts w:eastAsia="MS Mincho"/>
        </w:rPr>
        <w:t xml:space="preserve">, an SS Feedback </w:t>
      </w:r>
      <w:r w:rsidR="00FD20C1">
        <w:rPr>
          <w:rFonts w:eastAsia="MS Mincho"/>
        </w:rPr>
        <w:t xml:space="preserve">as described in </w:t>
      </w:r>
      <w:r w:rsidR="00BD151C">
        <w:rPr>
          <w:rFonts w:eastAsia="MS Mincho"/>
        </w:rPr>
        <w:fldChar w:fldCharType="begin"/>
      </w:r>
      <w:r w:rsidR="00FD20C1">
        <w:rPr>
          <w:rFonts w:eastAsia="MS Mincho"/>
        </w:rPr>
        <w:instrText xml:space="preserve"> REF _Ref253557492 \r \h </w:instrText>
      </w:r>
      <w:r w:rsidR="00BD151C">
        <w:rPr>
          <w:rFonts w:eastAsia="MS Mincho"/>
        </w:rPr>
      </w:r>
      <w:r w:rsidR="00BD151C">
        <w:rPr>
          <w:rFonts w:eastAsia="MS Mincho"/>
        </w:rPr>
        <w:fldChar w:fldCharType="separate"/>
      </w:r>
      <w:r w:rsidR="003E4210">
        <w:rPr>
          <w:rFonts w:eastAsia="MS Mincho"/>
        </w:rPr>
        <w:t>9.25.1.3</w:t>
      </w:r>
      <w:r w:rsidR="00BD151C">
        <w:rPr>
          <w:rFonts w:eastAsia="MS Mincho"/>
        </w:rPr>
        <w:fldChar w:fldCharType="end"/>
      </w:r>
      <w:r w:rsidRPr="009448FC">
        <w:rPr>
          <w:rFonts w:eastAsia="MS Mincho"/>
        </w:rPr>
        <w:t>, and an SS ACK</w:t>
      </w:r>
      <w:r w:rsidR="00FD20C1">
        <w:rPr>
          <w:rFonts w:eastAsia="MS Mincho"/>
        </w:rPr>
        <w:t xml:space="preserve"> as described in </w:t>
      </w:r>
      <w:r w:rsidR="00BD151C">
        <w:rPr>
          <w:rFonts w:eastAsia="MS Mincho"/>
        </w:rPr>
        <w:fldChar w:fldCharType="begin"/>
      </w:r>
      <w:r w:rsidR="00FD20C1">
        <w:rPr>
          <w:rFonts w:eastAsia="MS Mincho"/>
        </w:rPr>
        <w:instrText xml:space="preserve"> REF _Ref253557495 \r \h </w:instrText>
      </w:r>
      <w:r w:rsidR="00BD151C">
        <w:rPr>
          <w:rFonts w:eastAsia="MS Mincho"/>
        </w:rPr>
      </w:r>
      <w:r w:rsidR="00BD151C">
        <w:rPr>
          <w:rFonts w:eastAsia="MS Mincho"/>
        </w:rPr>
        <w:fldChar w:fldCharType="separate"/>
      </w:r>
      <w:r w:rsidR="003E4210">
        <w:rPr>
          <w:rFonts w:eastAsia="MS Mincho"/>
        </w:rPr>
        <w:t>9.25.1.4</w:t>
      </w:r>
      <w:r w:rsidR="00BD151C">
        <w:rPr>
          <w:rFonts w:eastAsia="MS Mincho"/>
        </w:rPr>
        <w:fldChar w:fldCharType="end"/>
      </w:r>
      <w:r w:rsidRPr="009448FC">
        <w:rPr>
          <w:rFonts w:eastAsia="MS Mincho"/>
        </w:rPr>
        <w:t>.</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An initiator shall begin the SLS phase with an ISS.</w:t>
      </w:r>
    </w:p>
    <w:p w:rsidR="00022C45" w:rsidRPr="009448FC" w:rsidRDefault="00022C45" w:rsidP="00022C45">
      <w:pPr>
        <w:autoSpaceDE w:val="0"/>
        <w:autoSpaceDN w:val="0"/>
        <w:adjustRightInd w:val="0"/>
        <w:rPr>
          <w:rFonts w:eastAsia="MS Mincho"/>
        </w:rPr>
      </w:pPr>
    </w:p>
    <w:p w:rsidR="00022C45" w:rsidRPr="009448FC" w:rsidRDefault="00022C45" w:rsidP="001773DD">
      <w:pPr>
        <w:autoSpaceDE w:val="0"/>
        <w:autoSpaceDN w:val="0"/>
        <w:adjustRightInd w:val="0"/>
        <w:rPr>
          <w:rFonts w:eastAsia="MS Mincho"/>
        </w:rPr>
      </w:pPr>
      <w:r w:rsidRPr="009448FC">
        <w:rPr>
          <w:rFonts w:eastAsia="MS Mincho"/>
        </w:rPr>
        <w:t xml:space="preserve">A responder shall not begin an RSS before the ISS is successfully completed, except </w:t>
      </w:r>
      <w:r w:rsidR="001773DD">
        <w:rPr>
          <w:rFonts w:eastAsia="MS Mincho"/>
        </w:rPr>
        <w:t>when the ISS occurs in the BT</w:t>
      </w:r>
      <w:r w:rsidR="00FE43ED">
        <w:rPr>
          <w:rFonts w:eastAsia="MS Mincho"/>
        </w:rPr>
        <w:t xml:space="preserve"> (</w:t>
      </w:r>
      <w:r w:rsidR="00BD151C">
        <w:rPr>
          <w:rFonts w:eastAsia="MS Mincho"/>
        </w:rPr>
        <w:fldChar w:fldCharType="begin"/>
      </w:r>
      <w:r w:rsidR="00FE43ED">
        <w:rPr>
          <w:rFonts w:eastAsia="MS Mincho"/>
        </w:rPr>
        <w:instrText xml:space="preserve"> REF _Ref255299448 \r \h </w:instrText>
      </w:r>
      <w:r w:rsidR="00BD151C">
        <w:rPr>
          <w:rFonts w:eastAsia="MS Mincho"/>
        </w:rPr>
      </w:r>
      <w:r w:rsidR="00BD151C">
        <w:rPr>
          <w:rFonts w:eastAsia="MS Mincho"/>
        </w:rPr>
        <w:fldChar w:fldCharType="separate"/>
      </w:r>
      <w:r w:rsidR="003E4210">
        <w:rPr>
          <w:rFonts w:eastAsia="MS Mincho"/>
        </w:rPr>
        <w:t>9.25.4</w:t>
      </w:r>
      <w:r w:rsidR="00BD151C">
        <w:rPr>
          <w:rFonts w:eastAsia="MS Mincho"/>
        </w:rPr>
        <w:fldChar w:fldCharType="end"/>
      </w:r>
      <w:r w:rsidR="00FE43ED">
        <w:rPr>
          <w:rFonts w:eastAsia="MS Mincho"/>
        </w:rPr>
        <w:t>)</w:t>
      </w:r>
      <w:r w:rsidRPr="009448FC">
        <w:rPr>
          <w:rFonts w:eastAsia="MS Mincho"/>
        </w:rPr>
        <w:t>.</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An initiator shall not begin an SS Feedback before the RSS phase is successfully completed</w:t>
      </w:r>
      <w:r w:rsidR="007C27DB" w:rsidRPr="007C27DB">
        <w:rPr>
          <w:rFonts w:eastAsia="MS Mincho"/>
        </w:rPr>
        <w:t>, except when the RSS occurs in the A-BFT</w:t>
      </w:r>
      <w:r w:rsidRPr="009448FC">
        <w:rPr>
          <w:rFonts w:eastAsia="MS Mincho"/>
        </w:rPr>
        <w:t>.</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 xml:space="preserve">A responder shall not </w:t>
      </w:r>
      <w:r w:rsidR="00FD7205">
        <w:rPr>
          <w:rFonts w:eastAsia="MS Mincho"/>
        </w:rPr>
        <w:t>begin</w:t>
      </w:r>
      <w:r w:rsidRPr="009448FC">
        <w:rPr>
          <w:rFonts w:eastAsia="MS Mincho"/>
        </w:rPr>
        <w:t xml:space="preserve"> an SS ACK to an initiator before the SS Feedback is successfully completed</w:t>
      </w:r>
      <w:r w:rsidR="00FD7205">
        <w:rPr>
          <w:rFonts w:eastAsia="MS Mincho"/>
        </w:rPr>
        <w:t xml:space="preserve"> </w:t>
      </w:r>
      <w:r w:rsidR="00FD7205" w:rsidRPr="00FD7205">
        <w:rPr>
          <w:rFonts w:eastAsia="MS Mincho"/>
        </w:rPr>
        <w:t>and in the A-BFT</w:t>
      </w:r>
      <w:r w:rsidRPr="009448FC">
        <w:rPr>
          <w:rFonts w:eastAsia="MS Mincho"/>
        </w:rPr>
        <w:t>.</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lastRenderedPageBreak/>
        <w:t>The BF frames which an initiator is allowed to transmit during the SLS phase are the mmWave Beacon frame, the SS frame, and the SS-Feedback frame. The BF frames which a responder is allowed to transmit during the SLS phase are the SS frame and the SS-ACK frame.</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 xml:space="preserve">At the end of the SLS </w:t>
      </w:r>
      <w:r w:rsidR="00846EF0">
        <w:rPr>
          <w:rFonts w:eastAsia="MS Mincho"/>
        </w:rPr>
        <w:t>p</w:t>
      </w:r>
      <w:r w:rsidRPr="009448FC">
        <w:rPr>
          <w:rFonts w:eastAsia="MS Mincho"/>
        </w:rPr>
        <w:t>hase, both the initiator and the responder will know their own best transmit sector.</w:t>
      </w:r>
      <w:r w:rsidR="00281486" w:rsidRPr="009448FC">
        <w:rPr>
          <w:rFonts w:eastAsia="MS Mincho"/>
        </w:rPr>
        <w:t xml:space="preserve"> </w:t>
      </w:r>
      <w:r w:rsidRPr="009448FC">
        <w:rPr>
          <w:rFonts w:eastAsia="MS Mincho"/>
        </w:rPr>
        <w:t>If either the ISS or the RSS employs a receive sector sweep, then the responder or the initiator respectively, will know its own best receive sector.</w:t>
      </w:r>
    </w:p>
    <w:p w:rsidR="007770D1" w:rsidRDefault="00BE5866" w:rsidP="00321BA9">
      <w:r>
        <w:t xml:space="preserve"> </w:t>
      </w:r>
    </w:p>
    <w:p w:rsidR="00693298" w:rsidRPr="009448FC" w:rsidRDefault="00693298" w:rsidP="00693298">
      <w:pPr>
        <w:rPr>
          <w:rFonts w:eastAsia="MS Mincho"/>
        </w:rPr>
      </w:pPr>
      <w:r w:rsidRPr="009448FC">
        <w:t xml:space="preserve">The following rule applies to all channel access in the UB. </w:t>
      </w:r>
      <w:r w:rsidRPr="009448FC">
        <w:rPr>
          <w:rFonts w:eastAsia="MS Mincho"/>
        </w:rPr>
        <w:t>A STA shall not transmit a unicast frame as part of a</w:t>
      </w:r>
      <w:r w:rsidR="00846EF0">
        <w:rPr>
          <w:rFonts w:eastAsia="MS Mincho"/>
        </w:rPr>
        <w:t>n</w:t>
      </w:r>
      <w:r w:rsidRPr="009448FC">
        <w:rPr>
          <w:rFonts w:eastAsia="MS Mincho"/>
        </w:rPr>
        <w:t xml:space="preserve"> </w:t>
      </w:r>
      <w:r w:rsidR="00846EF0">
        <w:rPr>
          <w:rFonts w:eastAsia="MS Mincho"/>
        </w:rPr>
        <w:t>ISS and RSS</w:t>
      </w:r>
      <w:r w:rsidRPr="009448FC">
        <w:rPr>
          <w:rFonts w:eastAsia="MS Mincho"/>
        </w:rPr>
        <w:t xml:space="preserve"> comprised of at least two sectors if a response frame to the unicast frame is expected within SIFS interval from the reception of the unicast frame from the STA identified in the RA field of the unicast frame. </w:t>
      </w:r>
    </w:p>
    <w:p w:rsidR="00693298" w:rsidRPr="009448FC" w:rsidRDefault="00693298" w:rsidP="00321BA9"/>
    <w:p w:rsidR="00022C45" w:rsidRPr="009448FC" w:rsidRDefault="007770D1" w:rsidP="00321BA9">
      <w:r w:rsidRPr="009448FC">
        <w:t xml:space="preserve">Two examples of </w:t>
      </w:r>
      <w:r w:rsidR="00BE022F">
        <w:t xml:space="preserve">the </w:t>
      </w:r>
      <w:r w:rsidRPr="009448FC">
        <w:t xml:space="preserve">SLS </w:t>
      </w:r>
      <w:r w:rsidR="00BE022F">
        <w:t xml:space="preserve">phases </w:t>
      </w:r>
      <w:r w:rsidRPr="009448FC">
        <w:t xml:space="preserve">are shown in </w:t>
      </w:r>
      <w:r w:rsidR="00BD151C" w:rsidRPr="009448FC">
        <w:fldChar w:fldCharType="begin"/>
      </w:r>
      <w:r w:rsidR="00321BA9" w:rsidRPr="009448FC">
        <w:instrText xml:space="preserve"> REF _Ref244086758 \h </w:instrText>
      </w:r>
      <w:r w:rsidR="00BD151C" w:rsidRPr="009448FC">
        <w:fldChar w:fldCharType="separate"/>
      </w:r>
      <w:r w:rsidR="003E4210" w:rsidRPr="00066F65">
        <w:t xml:space="preserve">Figure </w:t>
      </w:r>
      <w:r w:rsidR="003E4210">
        <w:rPr>
          <w:noProof/>
        </w:rPr>
        <w:t>88</w:t>
      </w:r>
      <w:r w:rsidR="00BD151C" w:rsidRPr="009448FC">
        <w:fldChar w:fldCharType="end"/>
      </w:r>
      <w:r w:rsidR="00321BA9" w:rsidRPr="009448FC">
        <w:t xml:space="preserve"> and </w:t>
      </w:r>
      <w:r w:rsidR="00BD151C">
        <w:rPr>
          <w:lang w:bidi="ar-SA"/>
        </w:rPr>
        <w:fldChar w:fldCharType="begin"/>
      </w:r>
      <w:r w:rsidR="00321BA9">
        <w:rPr>
          <w:lang w:bidi="ar-SA"/>
        </w:rPr>
        <w:instrText xml:space="preserve"> REF _Ref244085635 \h </w:instrText>
      </w:r>
      <w:r w:rsidR="00BD151C">
        <w:rPr>
          <w:lang w:bidi="ar-SA"/>
        </w:rPr>
      </w:r>
      <w:r w:rsidR="00BD151C">
        <w:rPr>
          <w:lang w:bidi="ar-SA"/>
        </w:rPr>
        <w:fldChar w:fldCharType="separate"/>
      </w:r>
      <w:r w:rsidR="003E4210" w:rsidRPr="00066F65">
        <w:t xml:space="preserve">Figure </w:t>
      </w:r>
      <w:r w:rsidR="003E4210">
        <w:rPr>
          <w:noProof/>
        </w:rPr>
        <w:t>89</w:t>
      </w:r>
      <w:r w:rsidR="00BD151C">
        <w:rPr>
          <w:lang w:bidi="ar-SA"/>
        </w:rPr>
        <w:fldChar w:fldCharType="end"/>
      </w:r>
      <w:r w:rsidR="00321BA9" w:rsidRPr="009448FC">
        <w:t>.</w:t>
      </w:r>
    </w:p>
    <w:p w:rsidR="00FB2826" w:rsidRPr="009448FC" w:rsidRDefault="00FB2826" w:rsidP="009448FC"/>
    <w:p w:rsidR="008C36FC" w:rsidRPr="009448FC" w:rsidRDefault="00624402" w:rsidP="009448FC">
      <w:pPr>
        <w:keepNext/>
        <w:autoSpaceDE w:val="0"/>
        <w:autoSpaceDN w:val="0"/>
        <w:adjustRightInd w:val="0"/>
        <w:jc w:val="center"/>
      </w:pPr>
      <w:r>
        <w:object w:dxaOrig="12090" w:dyaOrig="6765">
          <v:shape id="_x0000_i1052" type="#_x0000_t75" style="width:409.8pt;height:229.15pt" o:ole="">
            <v:imagedata r:id="rId151" o:title=""/>
          </v:shape>
          <o:OLEObject Type="Embed" ProgID="Visio.Drawing.11" ShapeID="_x0000_i1052" DrawAspect="Content" ObjectID="_1334048234" r:id="rId152"/>
        </w:object>
      </w:r>
    </w:p>
    <w:p w:rsidR="004C5E8A" w:rsidRPr="00066F65" w:rsidRDefault="004C5E8A" w:rsidP="00BA5BC4">
      <w:pPr>
        <w:pStyle w:val="Caption"/>
      </w:pPr>
      <w:bookmarkStart w:id="1557" w:name="_Ref243456748"/>
      <w:bookmarkStart w:id="1558" w:name="_Ref244086758"/>
      <w:bookmarkStart w:id="1559" w:name="_Toc259717520"/>
      <w:r w:rsidRPr="00066F65">
        <w:t xml:space="preserve">Figure </w:t>
      </w:r>
      <w:r w:rsidR="00BD151C" w:rsidRPr="00066F65">
        <w:fldChar w:fldCharType="begin"/>
      </w:r>
      <w:r w:rsidRPr="00066F65">
        <w:instrText xml:space="preserve"> SEQ Figure \* ARABIC </w:instrText>
      </w:r>
      <w:r w:rsidR="00BD151C" w:rsidRPr="00066F65">
        <w:fldChar w:fldCharType="separate"/>
      </w:r>
      <w:r w:rsidR="003E4210">
        <w:rPr>
          <w:noProof/>
        </w:rPr>
        <w:t>88</w:t>
      </w:r>
      <w:r w:rsidR="00BD151C" w:rsidRPr="00066F65">
        <w:fldChar w:fldCharType="end"/>
      </w:r>
      <w:bookmarkEnd w:id="1557"/>
      <w:bookmarkEnd w:id="1558"/>
      <w:r w:rsidRPr="00066F65">
        <w:t xml:space="preserve"> – </w:t>
      </w:r>
      <w:r w:rsidR="004135DB" w:rsidRPr="00066F65">
        <w:t xml:space="preserve">An example of </w:t>
      </w:r>
      <w:r w:rsidR="00575367">
        <w:t>s</w:t>
      </w:r>
      <w:r w:rsidR="004135DB" w:rsidRPr="00066F65">
        <w:t xml:space="preserve">ector </w:t>
      </w:r>
      <w:r w:rsidR="00575367">
        <w:t>l</w:t>
      </w:r>
      <w:r w:rsidR="004135DB" w:rsidRPr="00066F65">
        <w:t xml:space="preserve">evel </w:t>
      </w:r>
      <w:r w:rsidR="00575367">
        <w:t>s</w:t>
      </w:r>
      <w:r w:rsidR="004135DB" w:rsidRPr="00066F65">
        <w:t>weep</w:t>
      </w:r>
      <w:bookmarkEnd w:id="1559"/>
    </w:p>
    <w:p w:rsidR="00882E8F" w:rsidRPr="009448FC" w:rsidRDefault="00882E8F" w:rsidP="00882E8F"/>
    <w:p w:rsidR="00B26289" w:rsidRDefault="0031178D" w:rsidP="00B26289">
      <w:r w:rsidRPr="009448FC">
        <w:t xml:space="preserve">In </w:t>
      </w:r>
      <w:r w:rsidR="00BD151C" w:rsidRPr="009448FC">
        <w:fldChar w:fldCharType="begin"/>
      </w:r>
      <w:r w:rsidRPr="009448FC">
        <w:instrText xml:space="preserve"> REF _Ref244086758 \h </w:instrText>
      </w:r>
      <w:r w:rsidR="00BD151C" w:rsidRPr="009448FC">
        <w:fldChar w:fldCharType="separate"/>
      </w:r>
      <w:r w:rsidR="003E4210" w:rsidRPr="00066F65">
        <w:t xml:space="preserve">Figure </w:t>
      </w:r>
      <w:r w:rsidR="003E4210">
        <w:rPr>
          <w:noProof/>
        </w:rPr>
        <w:t>88</w:t>
      </w:r>
      <w:r w:rsidR="00BD151C" w:rsidRPr="009448FC">
        <w:fldChar w:fldCharType="end"/>
      </w:r>
      <w:r w:rsidRPr="009448FC">
        <w:t xml:space="preserve"> the initiator has many sectors, </w:t>
      </w:r>
      <w:r w:rsidR="004A692C" w:rsidRPr="009448FC">
        <w:t>the responder has only one transmit</w:t>
      </w:r>
      <w:r w:rsidR="00DB37AC">
        <w:t xml:space="preserve"> </w:t>
      </w:r>
      <w:r w:rsidR="004A692C" w:rsidRPr="009448FC">
        <w:t>sector</w:t>
      </w:r>
      <w:r w:rsidR="00BE022F">
        <w:t xml:space="preserve"> and</w:t>
      </w:r>
      <w:r w:rsidR="004A692C" w:rsidRPr="009448FC">
        <w:t xml:space="preserve"> receive sector sweep is used at the responder sector sweep</w:t>
      </w:r>
      <w:r w:rsidR="00D11F2E">
        <w:t xml:space="preserve"> </w:t>
      </w:r>
      <w:r w:rsidR="00B26289">
        <w:t>(the responder is transmitting all responder SS frames through the same transmit sector, the initiator is switching receive antennas at the same time).</w:t>
      </w:r>
    </w:p>
    <w:p w:rsidR="00231BED" w:rsidRPr="009448FC" w:rsidRDefault="00231BED" w:rsidP="007B0B3E"/>
    <w:p w:rsidR="0049720C" w:rsidRPr="009448FC" w:rsidRDefault="0049720C" w:rsidP="004C5E8A">
      <w:pPr>
        <w:autoSpaceDE w:val="0"/>
        <w:autoSpaceDN w:val="0"/>
        <w:adjustRightInd w:val="0"/>
        <w:rPr>
          <w:rFonts w:eastAsia="MS Mincho"/>
          <w:sz w:val="23"/>
        </w:rPr>
      </w:pPr>
    </w:p>
    <w:p w:rsidR="004C5E8A" w:rsidRPr="009448FC" w:rsidRDefault="004C5E8A" w:rsidP="004C5E8A">
      <w:pPr>
        <w:keepNext/>
        <w:jc w:val="center"/>
      </w:pPr>
      <w:r w:rsidRPr="009448FC">
        <w:object w:dxaOrig="9066" w:dyaOrig="6585">
          <v:shape id="_x0000_i1053" type="#_x0000_t75" style="width:353.2pt;height:258.55pt" o:ole="">
            <v:imagedata r:id="rId153" o:title=""/>
          </v:shape>
          <o:OLEObject Type="Embed" ProgID="Visio.Drawing.11" ShapeID="_x0000_i1053" DrawAspect="Content" ObjectID="_1334048235" r:id="rId154"/>
        </w:object>
      </w:r>
    </w:p>
    <w:p w:rsidR="008707BA" w:rsidRPr="00066F65" w:rsidRDefault="008707BA" w:rsidP="00BA5BC4">
      <w:pPr>
        <w:pStyle w:val="Caption"/>
      </w:pPr>
      <w:bookmarkStart w:id="1560" w:name="_Ref243456749"/>
    </w:p>
    <w:p w:rsidR="004C5E8A" w:rsidRPr="00066F65" w:rsidRDefault="004C5E8A" w:rsidP="00BA5BC4">
      <w:pPr>
        <w:pStyle w:val="Caption"/>
      </w:pPr>
      <w:bookmarkStart w:id="1561" w:name="_Ref244085635"/>
      <w:bookmarkStart w:id="1562" w:name="_Toc259717521"/>
      <w:r w:rsidRPr="00066F65">
        <w:t xml:space="preserve">Figure </w:t>
      </w:r>
      <w:r w:rsidR="00BD151C">
        <w:fldChar w:fldCharType="begin"/>
      </w:r>
      <w:r w:rsidR="00801316">
        <w:instrText xml:space="preserve"> SEQ Figure \* ARABIC </w:instrText>
      </w:r>
      <w:r w:rsidR="00BD151C">
        <w:fldChar w:fldCharType="separate"/>
      </w:r>
      <w:r w:rsidR="003E4210">
        <w:rPr>
          <w:noProof/>
        </w:rPr>
        <w:t>89</w:t>
      </w:r>
      <w:r w:rsidR="00BD151C">
        <w:fldChar w:fldCharType="end"/>
      </w:r>
      <w:bookmarkEnd w:id="1560"/>
      <w:bookmarkEnd w:id="1561"/>
      <w:r w:rsidRPr="00066F65">
        <w:t xml:space="preserve"> – An example of sector level sweep</w:t>
      </w:r>
      <w:bookmarkEnd w:id="1562"/>
    </w:p>
    <w:p w:rsidR="00493F05" w:rsidRPr="009448FC" w:rsidRDefault="00493F05" w:rsidP="00493F05"/>
    <w:p w:rsidR="00493F05" w:rsidRPr="009448FC" w:rsidRDefault="00493F05" w:rsidP="00493F05">
      <w:r w:rsidRPr="009448FC">
        <w:t xml:space="preserve">In </w:t>
      </w:r>
      <w:r w:rsidR="00BD151C" w:rsidRPr="009448FC">
        <w:fldChar w:fldCharType="begin"/>
      </w:r>
      <w:r w:rsidRPr="009448FC">
        <w:instrText xml:space="preserve"> REF _Ref244085635 \h </w:instrText>
      </w:r>
      <w:r w:rsidR="00BD151C" w:rsidRPr="009448FC">
        <w:fldChar w:fldCharType="separate"/>
      </w:r>
      <w:r w:rsidR="003E4210" w:rsidRPr="00066F65">
        <w:t xml:space="preserve">Figure </w:t>
      </w:r>
      <w:r w:rsidR="003E4210">
        <w:rPr>
          <w:noProof/>
        </w:rPr>
        <w:t>89</w:t>
      </w:r>
      <w:r w:rsidR="00BD151C" w:rsidRPr="009448FC">
        <w:fldChar w:fldCharType="end"/>
      </w:r>
      <w:r w:rsidRPr="009448FC">
        <w:t xml:space="preserve"> the initiator has many transmit sectors, the responder has one transmit sector.</w:t>
      </w:r>
      <w:r w:rsidR="00575367">
        <w:t xml:space="preserve"> I</w:t>
      </w:r>
      <w:r w:rsidR="00575367" w:rsidRPr="00575367">
        <w:t>n this case, receive training for the initiator is performed in the BRP phase</w:t>
      </w:r>
      <w:r w:rsidR="00575367">
        <w:t>.</w:t>
      </w:r>
    </w:p>
    <w:p w:rsidR="004C5E8A" w:rsidRPr="009448FC" w:rsidRDefault="00BE5866" w:rsidP="00022C45">
      <w:r>
        <w:t xml:space="preserve"> </w:t>
      </w:r>
    </w:p>
    <w:p w:rsidR="00022C45" w:rsidRPr="009448FC" w:rsidRDefault="00022C45" w:rsidP="003701DB">
      <w:pPr>
        <w:pStyle w:val="Heading4"/>
        <w:numPr>
          <w:ilvl w:val="3"/>
          <w:numId w:val="43"/>
        </w:numPr>
      </w:pPr>
      <w:bookmarkStart w:id="1563" w:name="_Toc241556188"/>
      <w:bookmarkStart w:id="1564" w:name="_Ref242790010"/>
      <w:bookmarkStart w:id="1565" w:name="_Ref243984085"/>
      <w:bookmarkStart w:id="1566" w:name="_Ref244094917"/>
      <w:bookmarkStart w:id="1567" w:name="_Ref253557480"/>
      <w:bookmarkStart w:id="1568" w:name="_Toc259717140"/>
      <w:r w:rsidRPr="009448FC">
        <w:t>Initiator Sector Sweep</w:t>
      </w:r>
      <w:bookmarkEnd w:id="1563"/>
      <w:bookmarkEnd w:id="1564"/>
      <w:bookmarkEnd w:id="1565"/>
      <w:bookmarkEnd w:id="1566"/>
      <w:bookmarkEnd w:id="1567"/>
      <w:bookmarkEnd w:id="1568"/>
    </w:p>
    <w:p w:rsidR="00022C45" w:rsidRPr="009448FC" w:rsidRDefault="00022C45" w:rsidP="00022C45"/>
    <w:p w:rsidR="00022C45" w:rsidRPr="009448FC" w:rsidRDefault="00022C45" w:rsidP="00022C45">
      <w:pPr>
        <w:autoSpaceDE w:val="0"/>
        <w:autoSpaceDN w:val="0"/>
        <w:adjustRightInd w:val="0"/>
        <w:rPr>
          <w:rFonts w:eastAsia="MS Mincho"/>
        </w:rPr>
      </w:pPr>
      <w:r w:rsidRPr="009448FC">
        <w:rPr>
          <w:rFonts w:eastAsia="MS Mincho"/>
        </w:rPr>
        <w:t>An ISS comprises either an initiator TXSS or an initiator RXSS.</w:t>
      </w:r>
    </w:p>
    <w:p w:rsidR="00FA4473" w:rsidRPr="009448FC" w:rsidRDefault="00FA4473" w:rsidP="002E76C0">
      <w:pPr>
        <w:autoSpaceDE w:val="0"/>
        <w:autoSpaceDN w:val="0"/>
        <w:adjustRightInd w:val="0"/>
        <w:rPr>
          <w:rFonts w:eastAsia="MS Mincho"/>
        </w:rPr>
      </w:pPr>
    </w:p>
    <w:p w:rsidR="00575367" w:rsidRDefault="00022C45" w:rsidP="001056FD">
      <w:pPr>
        <w:autoSpaceDE w:val="0"/>
        <w:autoSpaceDN w:val="0"/>
        <w:adjustRightInd w:val="0"/>
        <w:rPr>
          <w:rFonts w:eastAsia="MS Mincho"/>
        </w:rPr>
      </w:pPr>
      <w:r w:rsidRPr="009448FC">
        <w:rPr>
          <w:rFonts w:eastAsia="MS Mincho"/>
        </w:rPr>
        <w:t xml:space="preserve">An initiator RXSS may be performed in an ISS when the initiator </w:t>
      </w:r>
      <w:r w:rsidR="002E76C0" w:rsidRPr="009448FC">
        <w:rPr>
          <w:rFonts w:eastAsia="MS Mincho"/>
        </w:rPr>
        <w:t xml:space="preserve">chooses to use </w:t>
      </w:r>
      <w:r w:rsidRPr="009448FC">
        <w:rPr>
          <w:rFonts w:eastAsia="MS Mincho"/>
        </w:rPr>
        <w:t xml:space="preserve">only one transmit pattern in the trained </w:t>
      </w:r>
      <w:r w:rsidR="001056FD">
        <w:rPr>
          <w:rFonts w:eastAsia="MS Mincho"/>
        </w:rPr>
        <w:t>antenna</w:t>
      </w:r>
      <w:r w:rsidRPr="009448FC">
        <w:rPr>
          <w:rFonts w:eastAsia="MS Mincho"/>
        </w:rPr>
        <w:t>.</w:t>
      </w:r>
    </w:p>
    <w:p w:rsidR="00575367" w:rsidRDefault="00575367" w:rsidP="001056FD">
      <w:pPr>
        <w:autoSpaceDE w:val="0"/>
        <w:autoSpaceDN w:val="0"/>
        <w:adjustRightInd w:val="0"/>
        <w:rPr>
          <w:rFonts w:eastAsia="MS Mincho"/>
        </w:rPr>
      </w:pPr>
    </w:p>
    <w:p w:rsidR="00022C45" w:rsidRPr="009448FC" w:rsidRDefault="008D03C8" w:rsidP="001056FD">
      <w:pPr>
        <w:autoSpaceDE w:val="0"/>
        <w:autoSpaceDN w:val="0"/>
        <w:adjustRightInd w:val="0"/>
        <w:rPr>
          <w:rFonts w:eastAsia="MS Mincho"/>
        </w:rPr>
      </w:pPr>
      <w:r w:rsidRPr="008D03C8">
        <w:rPr>
          <w:rFonts w:eastAsia="MS Mincho"/>
        </w:rPr>
        <w:t xml:space="preserve">If the initiator T/RXSS subfield in the BF Control field </w:t>
      </w:r>
      <w:r w:rsidR="00B477CC">
        <w:rPr>
          <w:rFonts w:eastAsia="MS Mincho"/>
        </w:rPr>
        <w:t>within a frame transmitted to setup a</w:t>
      </w:r>
      <w:r w:rsidR="000E1CF8">
        <w:rPr>
          <w:rFonts w:eastAsia="MS Mincho"/>
        </w:rPr>
        <w:t>n</w:t>
      </w:r>
      <w:r w:rsidR="00B477CC">
        <w:rPr>
          <w:rFonts w:eastAsia="MS Mincho"/>
        </w:rPr>
        <w:t xml:space="preserve"> </w:t>
      </w:r>
      <w:r w:rsidR="000E1CF8">
        <w:rPr>
          <w:rFonts w:eastAsia="MS Mincho"/>
        </w:rPr>
        <w:t xml:space="preserve">ISS </w:t>
      </w:r>
      <w:r w:rsidRPr="008D03C8">
        <w:rPr>
          <w:rFonts w:eastAsia="MS Mincho"/>
        </w:rPr>
        <w:t>is set to zero, the responder T/RXSS field shall be set to one.</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An initiator may employ either mmWave Beacon frames or SS frames in the ISS. If the initiator begins an ISS with the transmission of a mmWave Beacon frame, it shall use the mmWave Beacon frame for all subsequent transmissions during the ISS. Conversely, if the initiator begins an ISS with the transmission of an SS frame, it shall use the SS frame for all subsequent transmissions during the ISS. A responder never begins an ISS.</w:t>
      </w:r>
    </w:p>
    <w:p w:rsidR="00022C45" w:rsidRPr="009448FC" w:rsidRDefault="00022C45" w:rsidP="00022C45">
      <w:pPr>
        <w:rPr>
          <w:rFonts w:eastAsia="MS Mincho"/>
        </w:rPr>
      </w:pPr>
    </w:p>
    <w:p w:rsidR="00022C45" w:rsidRPr="009448FC" w:rsidRDefault="00022C45" w:rsidP="00C639CB">
      <w:r w:rsidRPr="009448FC">
        <w:rPr>
          <w:rFonts w:eastAsia="MS Mincho"/>
        </w:rPr>
        <w:t xml:space="preserve">The Duration/ID field within each transmitted mmWave Beacon frame is set to the time remaining until the end of the current BT (see </w:t>
      </w:r>
      <w:fldSimple w:instr=" REF _Ref243106323 \r \h  \* MERGEFORMAT ">
        <w:r w:rsidR="003E4210" w:rsidRPr="003E4210">
          <w:rPr>
            <w:rFonts w:eastAsia="MS Mincho"/>
          </w:rPr>
          <w:t>9.25.3</w:t>
        </w:r>
      </w:fldSimple>
      <w:r w:rsidRPr="009448FC">
        <w:rPr>
          <w:rFonts w:eastAsia="MS Mincho"/>
        </w:rPr>
        <w:t xml:space="preserve">). The Duration/ID field of each transmitted SS frame shall be set to the time remaining until the end of the </w:t>
      </w:r>
      <w:r w:rsidR="00C639CB">
        <w:rPr>
          <w:rFonts w:eastAsia="MS Mincho"/>
        </w:rPr>
        <w:t>I</w:t>
      </w:r>
      <w:r w:rsidR="00F15CDD">
        <w:rPr>
          <w:rFonts w:eastAsia="MS Mincho"/>
        </w:rPr>
        <w:t>SS</w:t>
      </w:r>
      <w:r w:rsidR="00C639CB">
        <w:rPr>
          <w:rFonts w:eastAsia="MS Mincho"/>
        </w:rPr>
        <w:t xml:space="preserve"> </w:t>
      </w:r>
      <w:r w:rsidRPr="009448FC">
        <w:rPr>
          <w:rFonts w:eastAsia="MS Mincho"/>
        </w:rPr>
        <w:t>or the end of the current allocation, whichever is earliest.</w:t>
      </w:r>
    </w:p>
    <w:p w:rsidR="00022C45" w:rsidRPr="009448FC" w:rsidRDefault="00022C45" w:rsidP="003701DB">
      <w:pPr>
        <w:pStyle w:val="Heading5"/>
        <w:numPr>
          <w:ilvl w:val="4"/>
          <w:numId w:val="46"/>
        </w:numPr>
      </w:pPr>
      <w:bookmarkStart w:id="1569" w:name="_Toc241556189"/>
      <w:bookmarkStart w:id="1570" w:name="_Toc259717141"/>
      <w:r w:rsidRPr="009448FC">
        <w:lastRenderedPageBreak/>
        <w:t>Initiator TXSS</w:t>
      </w:r>
      <w:bookmarkEnd w:id="1569"/>
      <w:bookmarkEnd w:id="1570"/>
    </w:p>
    <w:p w:rsidR="00022C45" w:rsidRPr="009448FC" w:rsidRDefault="00022C45" w:rsidP="00080CCA">
      <w:pPr>
        <w:autoSpaceDE w:val="0"/>
        <w:autoSpaceDN w:val="0"/>
        <w:adjustRightInd w:val="0"/>
        <w:rPr>
          <w:rFonts w:eastAsia="MS Mincho"/>
        </w:rPr>
      </w:pPr>
      <w:r w:rsidRPr="009448FC">
        <w:rPr>
          <w:rFonts w:eastAsia="MS Mincho"/>
        </w:rPr>
        <w:t>When the initiator T/RXSS field for a specific SP</w:t>
      </w:r>
      <w:r w:rsidR="00080CCA" w:rsidRPr="009448FC">
        <w:rPr>
          <w:rFonts w:eastAsia="MS Mincho"/>
        </w:rPr>
        <w:t xml:space="preserve"> is set to one</w:t>
      </w:r>
      <w:r w:rsidRPr="009448FC">
        <w:rPr>
          <w:rFonts w:eastAsia="MS Mincho"/>
        </w:rPr>
        <w:t xml:space="preserve"> in a received </w:t>
      </w:r>
      <w:r w:rsidR="00BD151C" w:rsidRPr="009448FC">
        <w:rPr>
          <w:rFonts w:eastAsia="MS Mincho"/>
        </w:rPr>
        <w:fldChar w:fldCharType="begin"/>
      </w:r>
      <w:r w:rsidR="00080CCA" w:rsidRPr="009448FC">
        <w:rPr>
          <w:rFonts w:eastAsia="MS Mincho"/>
        </w:rPr>
        <w:instrText xml:space="preserve"> REF _Ref244246465 \h </w:instrText>
      </w:r>
      <w:r w:rsidR="00BD151C" w:rsidRPr="009448FC">
        <w:rPr>
          <w:rFonts w:eastAsia="MS Mincho"/>
        </w:rPr>
      </w:r>
      <w:r w:rsidR="00BD151C" w:rsidRPr="009448FC">
        <w:rPr>
          <w:rFonts w:eastAsia="MS Mincho"/>
        </w:rPr>
        <w:fldChar w:fldCharType="separate"/>
      </w:r>
      <w:r w:rsidR="003E4210" w:rsidRPr="009448FC">
        <w:t>Extended S</w:t>
      </w:r>
      <w:r w:rsidR="003E4210">
        <w:t>c</w:t>
      </w:r>
      <w:r w:rsidR="003E4210" w:rsidRPr="009448FC">
        <w:t>hedule element</w:t>
      </w:r>
      <w:r w:rsidR="00BD151C" w:rsidRPr="009448FC">
        <w:rPr>
          <w:rFonts w:eastAsia="MS Mincho"/>
        </w:rPr>
        <w:fldChar w:fldCharType="end"/>
      </w:r>
      <w:r w:rsidR="008C1F43" w:rsidRPr="009448FC">
        <w:rPr>
          <w:rFonts w:eastAsia="MS Mincho"/>
        </w:rPr>
        <w:t xml:space="preserve"> (</w:t>
      </w:r>
      <w:r w:rsidR="00BD151C" w:rsidRPr="009448FC">
        <w:rPr>
          <w:rFonts w:eastAsia="MS Mincho"/>
        </w:rPr>
        <w:fldChar w:fldCharType="begin"/>
      </w:r>
      <w:r w:rsidR="008C1F43" w:rsidRPr="009448FC">
        <w:rPr>
          <w:rFonts w:eastAsia="MS Mincho"/>
        </w:rPr>
        <w:instrText xml:space="preserve"> REF _Ref244246537 \n \h </w:instrText>
      </w:r>
      <w:r w:rsidR="00BD151C" w:rsidRPr="009448FC">
        <w:rPr>
          <w:rFonts w:eastAsia="MS Mincho"/>
        </w:rPr>
      </w:r>
      <w:r w:rsidR="00BD151C" w:rsidRPr="009448FC">
        <w:rPr>
          <w:rFonts w:eastAsia="MS Mincho"/>
        </w:rPr>
        <w:fldChar w:fldCharType="separate"/>
      </w:r>
      <w:r w:rsidR="003E4210">
        <w:rPr>
          <w:rFonts w:eastAsia="MS Mincho"/>
        </w:rPr>
        <w:t>7.3.2.95</w:t>
      </w:r>
      <w:r w:rsidR="00BD151C" w:rsidRPr="009448FC">
        <w:rPr>
          <w:rFonts w:eastAsia="MS Mincho"/>
        </w:rPr>
        <w:fldChar w:fldCharType="end"/>
      </w:r>
      <w:r w:rsidR="008C1F43" w:rsidRPr="009448FC">
        <w:rPr>
          <w:rFonts w:eastAsia="MS Mincho"/>
        </w:rPr>
        <w:t>)</w:t>
      </w:r>
      <w:r w:rsidR="00080CCA" w:rsidRPr="009448FC">
        <w:rPr>
          <w:rFonts w:eastAsia="MS Mincho"/>
        </w:rPr>
        <w:t xml:space="preserve"> </w:t>
      </w:r>
      <w:r w:rsidRPr="009448FC">
        <w:rPr>
          <w:rFonts w:eastAsia="MS Mincho"/>
        </w:rPr>
        <w:t xml:space="preserve">or Grant frame (see </w:t>
      </w:r>
      <w:fldSimple w:instr=" REF _Ref243106368 \r \h  \* MERGEFORMAT ">
        <w:r w:rsidR="003E4210" w:rsidRPr="003E4210">
          <w:rPr>
            <w:rFonts w:eastAsia="MS Mincho"/>
          </w:rPr>
          <w:t>7.2.1.12</w:t>
        </w:r>
      </w:fldSimple>
      <w:r w:rsidR="00080CCA" w:rsidRPr="009448FC">
        <w:rPr>
          <w:rFonts w:eastAsia="MS Mincho"/>
        </w:rPr>
        <w:t>)</w:t>
      </w:r>
      <w:r w:rsidRPr="009448FC">
        <w:rPr>
          <w:rFonts w:eastAsia="MS Mincho"/>
        </w:rPr>
        <w:t xml:space="preserve">, </w:t>
      </w:r>
      <w:r w:rsidRPr="009448FC">
        <w:t xml:space="preserve">and the Beamforming Training field of the BF Control field for that SP in the same Extended Schedule </w:t>
      </w:r>
      <w:r w:rsidR="00877796" w:rsidRPr="009448FC">
        <w:t>element</w:t>
      </w:r>
      <w:r w:rsidRPr="009448FC">
        <w:t xml:space="preserve"> or Grant frame is set to one, then the SP contains an initiator TXSS and </w:t>
      </w:r>
      <w:r w:rsidRPr="009448FC">
        <w:rPr>
          <w:rFonts w:eastAsia="MS Mincho"/>
        </w:rPr>
        <w:t xml:space="preserve">the initiator shall start an initiator TXSS at the start of the next SP as described by the received Extended Schedule </w:t>
      </w:r>
      <w:r w:rsidR="00877796" w:rsidRPr="009448FC">
        <w:rPr>
          <w:rFonts w:eastAsia="MS Mincho"/>
        </w:rPr>
        <w:t>element</w:t>
      </w:r>
      <w:r w:rsidRPr="009448FC">
        <w:rPr>
          <w:rFonts w:eastAsia="MS Mincho"/>
        </w:rPr>
        <w:t xml:space="preserve"> or Grant frame.</w:t>
      </w:r>
      <w:r w:rsidR="00281486" w:rsidRPr="009448FC">
        <w:rPr>
          <w:rFonts w:eastAsia="MS Mincho"/>
        </w:rPr>
        <w:t xml:space="preserve"> </w:t>
      </w:r>
      <w:r w:rsidRPr="009448FC">
        <w:rPr>
          <w:rFonts w:eastAsia="MS Mincho"/>
        </w:rPr>
        <w:t xml:space="preserve">During the BT, the initiator shall always start an initiator TXSS (see also </w:t>
      </w:r>
      <w:fldSimple w:instr=" REF _Ref243106387 \r \h  \* MERGEFORMAT ">
        <w:r w:rsidR="003E4210" w:rsidRPr="003E4210">
          <w:rPr>
            <w:rFonts w:eastAsia="MS Mincho"/>
          </w:rPr>
          <w:t>9.25.3</w:t>
        </w:r>
      </w:fldSimple>
      <w:r w:rsidRPr="009448FC">
        <w:rPr>
          <w:rFonts w:eastAsia="MS Mincho"/>
        </w:rPr>
        <w:t>).</w:t>
      </w:r>
      <w:r w:rsidR="009428C8">
        <w:rPr>
          <w:rFonts w:eastAsia="MS Mincho"/>
        </w:rPr>
        <w:t xml:space="preserve"> </w:t>
      </w:r>
      <w:r w:rsidR="0030614E">
        <w:rPr>
          <w:rFonts w:eastAsia="MS Mincho"/>
        </w:rPr>
        <w:t>During a CBP, an</w:t>
      </w:r>
      <w:r w:rsidR="009428C8" w:rsidRPr="009428C8">
        <w:rPr>
          <w:rFonts w:eastAsia="MS Mincho"/>
        </w:rPr>
        <w:t xml:space="preserve"> initiator may obtain a TXOP with an in</w:t>
      </w:r>
      <w:r w:rsidR="00C8200C">
        <w:rPr>
          <w:rFonts w:eastAsia="MS Mincho"/>
        </w:rPr>
        <w:t>i</w:t>
      </w:r>
      <w:r w:rsidR="009428C8" w:rsidRPr="009428C8">
        <w:rPr>
          <w:rFonts w:eastAsia="MS Mincho"/>
        </w:rPr>
        <w:t>tiator TXSS if an ISS is required to obtain the TXOP.</w:t>
      </w:r>
      <w:r w:rsidR="00080054">
        <w:rPr>
          <w:rFonts w:eastAsia="MS Mincho"/>
        </w:rPr>
        <w:t xml:space="preserve"> </w:t>
      </w:r>
    </w:p>
    <w:p w:rsidR="00022C45" w:rsidRPr="009448FC" w:rsidRDefault="00022C45" w:rsidP="006D2EC0">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The initiator starts an initiator TXSS with the transmission of a mmWave Beacon frame or an SS frame. The initiator shall not transmit a frame other than a mmWave Beacon or an SS frame during an initiator TXSS.</w:t>
      </w:r>
    </w:p>
    <w:p w:rsidR="00022C45" w:rsidRPr="009448FC" w:rsidRDefault="00022C45" w:rsidP="00022C45">
      <w:pPr>
        <w:autoSpaceDE w:val="0"/>
        <w:autoSpaceDN w:val="0"/>
        <w:adjustRightInd w:val="0"/>
        <w:rPr>
          <w:rFonts w:eastAsia="MS Mincho"/>
        </w:rPr>
      </w:pPr>
    </w:p>
    <w:p w:rsidR="00022C45" w:rsidRPr="009448FC" w:rsidRDefault="00022C45" w:rsidP="00426113">
      <w:r w:rsidRPr="009448FC">
        <w:rPr>
          <w:rFonts w:eastAsia="MS Mincho"/>
        </w:rPr>
        <w:t>During an initiator TXSS, each BF frame shall have the Direction field set to zero. The</w:t>
      </w:r>
      <w:r w:rsidR="00281486" w:rsidRPr="009448FC">
        <w:rPr>
          <w:rFonts w:eastAsia="MS Mincho"/>
        </w:rPr>
        <w:t xml:space="preserve"> </w:t>
      </w:r>
      <w:r w:rsidRPr="009448FC">
        <w:rPr>
          <w:rFonts w:eastAsia="MS Mincho"/>
        </w:rPr>
        <w:t>Sector ID field in each BF frame shall be set to a value that uniquely identifies the transmit antenna sector (or AWV setting) employed when the BF frame is transmitted. The CDOWN field in each transmitted</w:t>
      </w:r>
      <w:r w:rsidR="00281486" w:rsidRPr="009448FC">
        <w:rPr>
          <w:rFonts w:eastAsia="MS Mincho"/>
        </w:rPr>
        <w:t xml:space="preserve"> </w:t>
      </w:r>
      <w:r w:rsidRPr="009448FC">
        <w:rPr>
          <w:rFonts w:eastAsia="MS Mincho"/>
        </w:rPr>
        <w:t xml:space="preserve">frame shall contain the total number of transmissions remaining until the end of the initiator TXSS, such that the last BF frame transmission of the initiator TXSS has the CDOWN field set to zero. Each transmitted BF frame shall be separated by a time interval equal to SBIFS, unless the allocation ends as described in </w:t>
      </w:r>
      <w:fldSimple w:instr=" REF _Ref243106416 \r \h  \* MERGEFORMAT ">
        <w:r w:rsidR="003E4210" w:rsidRPr="003E4210">
          <w:rPr>
            <w:rFonts w:eastAsia="MS Mincho"/>
          </w:rPr>
          <w:t>9.25.5</w:t>
        </w:r>
      </w:fldSimple>
      <w:r w:rsidRPr="009448FC">
        <w:rPr>
          <w:rFonts w:eastAsia="MS Mincho"/>
        </w:rPr>
        <w:t>. This is indicated in</w:t>
      </w:r>
      <w:r w:rsidR="008E635B" w:rsidRPr="009448FC">
        <w:rPr>
          <w:rFonts w:eastAsia="MS Mincho"/>
        </w:rPr>
        <w:t xml:space="preserve"> </w:t>
      </w:r>
      <w:fldSimple w:instr=" REF _Ref243106552 \h  \* MERGEFORMAT ">
        <w:r w:rsidR="003E4210" w:rsidRPr="00066F65">
          <w:t xml:space="preserve">Figure </w:t>
        </w:r>
        <w:r w:rsidR="003E4210">
          <w:rPr>
            <w:noProof/>
          </w:rPr>
          <w:t>90</w:t>
        </w:r>
      </w:fldSimple>
      <w:r w:rsidRPr="009448FC">
        <w:t>.</w:t>
      </w:r>
    </w:p>
    <w:p w:rsidR="00022C45" w:rsidRPr="009448FC" w:rsidRDefault="00022C45" w:rsidP="00022C45"/>
    <w:p w:rsidR="00022C45" w:rsidRPr="009448FC" w:rsidRDefault="00022C45" w:rsidP="00022C45">
      <w:pPr>
        <w:jc w:val="center"/>
      </w:pPr>
      <w:r w:rsidRPr="009448FC">
        <w:object w:dxaOrig="7209" w:dyaOrig="2018">
          <v:shape id="_x0000_i1054" type="#_x0000_t75" style="width:363.6pt;height:100.1pt" o:ole="">
            <v:imagedata r:id="rId155" o:title=""/>
          </v:shape>
          <o:OLEObject Type="Embed" ProgID="Visio.Drawing.11" ShapeID="_x0000_i1054" DrawAspect="Content" ObjectID="_1334048236" r:id="rId156"/>
        </w:object>
      </w:r>
    </w:p>
    <w:p w:rsidR="00022C45" w:rsidRPr="00066F65" w:rsidRDefault="00022C45" w:rsidP="00BA5BC4">
      <w:pPr>
        <w:pStyle w:val="Caption"/>
      </w:pPr>
      <w:bookmarkStart w:id="1571" w:name="_Ref243106552"/>
      <w:bookmarkStart w:id="1572" w:name="_Toc241556961"/>
      <w:bookmarkStart w:id="1573" w:name="_Toc259717522"/>
      <w:r w:rsidRPr="00066F65">
        <w:t xml:space="preserve">Figure </w:t>
      </w:r>
      <w:r w:rsidR="00BD151C">
        <w:fldChar w:fldCharType="begin"/>
      </w:r>
      <w:r w:rsidR="00801316">
        <w:instrText xml:space="preserve"> SEQ Figure \* ARABIC </w:instrText>
      </w:r>
      <w:r w:rsidR="00BD151C">
        <w:fldChar w:fldCharType="separate"/>
      </w:r>
      <w:r w:rsidR="003E4210">
        <w:rPr>
          <w:noProof/>
        </w:rPr>
        <w:t>90</w:t>
      </w:r>
      <w:r w:rsidR="00BD151C">
        <w:fldChar w:fldCharType="end"/>
      </w:r>
      <w:bookmarkEnd w:id="1571"/>
      <w:r w:rsidR="00E870B1" w:rsidRPr="00066F65">
        <w:t xml:space="preserve"> </w:t>
      </w:r>
      <w:r w:rsidRPr="00066F65">
        <w:t>– Initiator TXSS or Initiator RXSS</w:t>
      </w:r>
      <w:bookmarkEnd w:id="1572"/>
      <w:bookmarkEnd w:id="1573"/>
    </w:p>
    <w:p w:rsidR="004D2A36" w:rsidRPr="009448FC" w:rsidRDefault="004D2A36" w:rsidP="004D2A36"/>
    <w:p w:rsidR="004D2A36" w:rsidRPr="009448FC" w:rsidRDefault="007C27DB" w:rsidP="001056FD">
      <w:r w:rsidRPr="007C27DB">
        <w:t xml:space="preserve">If the initiator has more than one antenna, the initiator transmits </w:t>
      </w:r>
      <w:r w:rsidR="00FD7205">
        <w:t xml:space="preserve">the BF frame </w:t>
      </w:r>
      <w:r w:rsidRPr="007C27DB">
        <w:t>through a number of sectors equal to the value of the Total number of Sectors field</w:t>
      </w:r>
      <w:r w:rsidR="004D2A36" w:rsidRPr="009448FC">
        <w:t xml:space="preserve">. In each </w:t>
      </w:r>
      <w:r w:rsidR="0071133C" w:rsidRPr="0071133C">
        <w:t>transmitted BF frame the initiator</w:t>
      </w:r>
      <w:r w:rsidR="004D2A36" w:rsidRPr="009448FC">
        <w:t xml:space="preserve"> shall </w:t>
      </w:r>
      <w:r w:rsidR="0071133C" w:rsidRPr="0071133C">
        <w:t>set the sector ID and antenna ID fields to indicate</w:t>
      </w:r>
      <w:r w:rsidR="004D2A36" w:rsidRPr="009448FC">
        <w:t xml:space="preserve"> the sector I</w:t>
      </w:r>
      <w:r w:rsidR="00B33D61" w:rsidRPr="009448FC">
        <w:t>D</w:t>
      </w:r>
      <w:r w:rsidR="004D2A36" w:rsidRPr="009448FC">
        <w:t xml:space="preserve"> and the ant</w:t>
      </w:r>
      <w:r w:rsidR="001056FD">
        <w:t>enna</w:t>
      </w:r>
      <w:r w:rsidR="004D2A36" w:rsidRPr="009448FC">
        <w:t xml:space="preserve"> ID it is using</w:t>
      </w:r>
      <w:r w:rsidR="006B7F99" w:rsidRPr="009448FC">
        <w:t xml:space="preserve"> for the transmission</w:t>
      </w:r>
      <w:r w:rsidR="0071133C" w:rsidRPr="0071133C">
        <w:t>, and shall set the CDOWN field to the total number of transmissions rema</w:t>
      </w:r>
      <w:r w:rsidR="0071133C">
        <w:t>ining from all of the initiator’</w:t>
      </w:r>
      <w:r w:rsidR="0071133C" w:rsidRPr="0071133C">
        <w:t>s antennas</w:t>
      </w:r>
      <w:r w:rsidR="004D2A36" w:rsidRPr="009448FC">
        <w:t>.</w:t>
      </w:r>
      <w:r w:rsidR="00BE1F31">
        <w:t xml:space="preserve"> </w:t>
      </w:r>
    </w:p>
    <w:p w:rsidR="006B7F99" w:rsidRPr="009448FC" w:rsidRDefault="006B7F99" w:rsidP="004D2A36"/>
    <w:p w:rsidR="00C25DE4" w:rsidRDefault="004D2A36" w:rsidP="001056FD">
      <w:pPr>
        <w:autoSpaceDE w:val="0"/>
        <w:autoSpaceDN w:val="0"/>
        <w:adjustRightInd w:val="0"/>
        <w:rPr>
          <w:rFonts w:eastAsia="MS Mincho"/>
        </w:rPr>
      </w:pPr>
      <w:r w:rsidRPr="009448FC">
        <w:t>If the responder has more than one antenna, the initiator repeats it</w:t>
      </w:r>
      <w:r w:rsidR="007A6966" w:rsidRPr="009448FC">
        <w:t>s</w:t>
      </w:r>
      <w:r w:rsidRPr="009448FC">
        <w:t xml:space="preserve"> </w:t>
      </w:r>
      <w:r w:rsidR="00546245" w:rsidRPr="009448FC">
        <w:t>initiator</w:t>
      </w:r>
      <w:r w:rsidRPr="009448FC">
        <w:t xml:space="preserve"> sector sweep </w:t>
      </w:r>
      <w:r w:rsidR="00C83641" w:rsidRPr="00C83641">
        <w:t>for the number of antennas indicated by the responder in the Number of Antennas field within the responder</w:t>
      </w:r>
      <w:r w:rsidR="00C83641">
        <w:t>’</w:t>
      </w:r>
      <w:r w:rsidR="00C83641" w:rsidRPr="00C83641">
        <w:t>s mmWave Capabilities element</w:t>
      </w:r>
      <w:r w:rsidRPr="009448FC">
        <w:t xml:space="preserve">. In this case CDOWN indicates the number of sectors until the end of transmission </w:t>
      </w:r>
      <w:r w:rsidR="00BF621D" w:rsidRPr="00BF621D">
        <w:t>from all initiator</w:t>
      </w:r>
      <w:r w:rsidR="00BF621D">
        <w:t>’s</w:t>
      </w:r>
      <w:r w:rsidR="00BF621D" w:rsidRPr="00BF621D">
        <w:t xml:space="preserve"> antennas to all responder</w:t>
      </w:r>
      <w:r w:rsidR="00BF621D">
        <w:t>’s</w:t>
      </w:r>
      <w:r w:rsidR="00BF621D" w:rsidRPr="00BF621D">
        <w:t xml:space="preserve"> antenna</w:t>
      </w:r>
      <w:r w:rsidR="00BF621D">
        <w:t>s</w:t>
      </w:r>
      <w:r w:rsidRPr="009448FC">
        <w:t xml:space="preserve">. </w:t>
      </w:r>
      <w:r w:rsidR="00022C45" w:rsidRPr="009448FC">
        <w:rPr>
          <w:rFonts w:eastAsia="MS Mincho"/>
        </w:rPr>
        <w:t xml:space="preserve">At the start of an initiator TXSS, the responder should have its receive antenna array configured to a quasi omni pattern </w:t>
      </w:r>
      <w:r w:rsidRPr="009448FC">
        <w:t>in one of its antenna</w:t>
      </w:r>
      <w:r w:rsidR="001056FD">
        <w:t>s</w:t>
      </w:r>
      <w:r w:rsidRPr="009448FC">
        <w:t xml:space="preserve"> </w:t>
      </w:r>
      <w:r w:rsidR="00022C45" w:rsidRPr="009448FC">
        <w:rPr>
          <w:rFonts w:eastAsia="MS Mincho"/>
        </w:rPr>
        <w:t xml:space="preserve">and should not change its receive antenna array configuration </w:t>
      </w:r>
      <w:r w:rsidRPr="009448FC">
        <w:t xml:space="preserve">for a time corresponding to the </w:t>
      </w:r>
      <w:r w:rsidR="002E444A" w:rsidRPr="002E444A">
        <w:t xml:space="preserve">value of the Total number of sectors field within the </w:t>
      </w:r>
      <w:r w:rsidR="00326517">
        <w:t>initiator</w:t>
      </w:r>
      <w:r w:rsidR="00367385">
        <w:t>’</w:t>
      </w:r>
      <w:r w:rsidR="002E444A" w:rsidRPr="002E444A">
        <w:t xml:space="preserve">s mmWave Capabilities </w:t>
      </w:r>
      <w:r w:rsidR="005422BA">
        <w:t xml:space="preserve">element </w:t>
      </w:r>
      <w:r w:rsidR="002E444A" w:rsidRPr="002E444A">
        <w:t>multiplied by the time to transmit a single SS frame</w:t>
      </w:r>
      <w:r w:rsidR="00367385">
        <w:t>, plus appropriate IFSs</w:t>
      </w:r>
      <w:r w:rsidRPr="009448FC">
        <w:t>.</w:t>
      </w:r>
      <w:r w:rsidR="00D72F02" w:rsidRPr="009448FC">
        <w:t xml:space="preserve"> </w:t>
      </w:r>
      <w:r w:rsidRPr="009448FC">
        <w:t>After</w:t>
      </w:r>
      <w:r w:rsidR="00BF621D">
        <w:t xml:space="preserve"> this time</w:t>
      </w:r>
      <w:r w:rsidRPr="009448FC">
        <w:t>, the responder may switch to a quasi omni pattern in another antenna.</w:t>
      </w:r>
    </w:p>
    <w:p w:rsidR="00C25DE4" w:rsidRDefault="00C25DE4" w:rsidP="001056FD">
      <w:pPr>
        <w:autoSpaceDE w:val="0"/>
        <w:autoSpaceDN w:val="0"/>
        <w:adjustRightInd w:val="0"/>
        <w:rPr>
          <w:rFonts w:eastAsia="MS Mincho"/>
        </w:rPr>
      </w:pPr>
    </w:p>
    <w:p w:rsidR="00022C45" w:rsidRPr="009448FC" w:rsidRDefault="00022C45" w:rsidP="001056FD">
      <w:pPr>
        <w:autoSpaceDE w:val="0"/>
        <w:autoSpaceDN w:val="0"/>
        <w:adjustRightInd w:val="0"/>
        <w:rPr>
          <w:rFonts w:eastAsia="MS Mincho"/>
        </w:rPr>
      </w:pPr>
      <w:r w:rsidRPr="009448FC">
        <w:rPr>
          <w:rFonts w:eastAsia="MS Mincho"/>
        </w:rPr>
        <w:lastRenderedPageBreak/>
        <w:t>If unable to receive the last frame in the initiator TXSS, the responder shall assume that the initiator TXSS has completed at the expected</w:t>
      </w:r>
      <w:r w:rsidR="002426F7" w:rsidRPr="002426F7">
        <w:t xml:space="preserve"> </w:t>
      </w:r>
      <w:r w:rsidR="002426F7" w:rsidRPr="002426F7">
        <w:rPr>
          <w:rFonts w:eastAsia="MS Mincho"/>
        </w:rPr>
        <w:t>or actual, whichever comes first,</w:t>
      </w:r>
      <w:r w:rsidRPr="009448FC">
        <w:rPr>
          <w:rFonts w:eastAsia="MS Mincho"/>
        </w:rPr>
        <w:t xml:space="preserve"> end time of the SS </w:t>
      </w:r>
      <w:r w:rsidR="00502D79">
        <w:rPr>
          <w:rFonts w:eastAsia="MS Mincho"/>
        </w:rPr>
        <w:t>frame</w:t>
      </w:r>
      <w:r w:rsidRPr="009448FC">
        <w:rPr>
          <w:rFonts w:eastAsia="MS Mincho"/>
        </w:rPr>
        <w:t xml:space="preserve"> from the initiator with the CDOWN field equal to zero.</w:t>
      </w:r>
      <w:r w:rsidR="00BE1F31">
        <w:rPr>
          <w:rFonts w:eastAsia="MS Mincho"/>
        </w:rPr>
        <w:t xml:space="preserve"> </w:t>
      </w:r>
      <w:r w:rsidR="00080054">
        <w:rPr>
          <w:rFonts w:eastAsia="MS Mincho"/>
        </w:rPr>
        <w:t xml:space="preserve"> </w:t>
      </w:r>
    </w:p>
    <w:p w:rsidR="00022C45" w:rsidRPr="009448FC" w:rsidRDefault="00022C45" w:rsidP="00022C45"/>
    <w:p w:rsidR="00022C45" w:rsidRPr="009448FC" w:rsidRDefault="00022C45" w:rsidP="003701DB">
      <w:pPr>
        <w:pStyle w:val="Heading5"/>
        <w:numPr>
          <w:ilvl w:val="4"/>
          <w:numId w:val="46"/>
        </w:numPr>
      </w:pPr>
      <w:bookmarkStart w:id="1574" w:name="_Toc243399753"/>
      <w:bookmarkStart w:id="1575" w:name="_Toc243455719"/>
      <w:bookmarkStart w:id="1576" w:name="_Toc243461588"/>
      <w:bookmarkStart w:id="1577" w:name="_Toc243471719"/>
      <w:bookmarkStart w:id="1578" w:name="_Toc243795026"/>
      <w:bookmarkStart w:id="1579" w:name="_Toc241556190"/>
      <w:bookmarkStart w:id="1580" w:name="_Toc259717142"/>
      <w:bookmarkEnd w:id="1574"/>
      <w:bookmarkEnd w:id="1575"/>
      <w:bookmarkEnd w:id="1576"/>
      <w:bookmarkEnd w:id="1577"/>
      <w:bookmarkEnd w:id="1578"/>
      <w:r w:rsidRPr="009448FC">
        <w:t>Initiator RXSS</w:t>
      </w:r>
      <w:bookmarkEnd w:id="1579"/>
      <w:bookmarkEnd w:id="1580"/>
    </w:p>
    <w:p w:rsidR="00022C45" w:rsidRPr="009448FC" w:rsidRDefault="00022C45" w:rsidP="005D3EE1">
      <w:pPr>
        <w:autoSpaceDE w:val="0"/>
        <w:autoSpaceDN w:val="0"/>
        <w:adjustRightInd w:val="0"/>
        <w:rPr>
          <w:rFonts w:eastAsia="MS Mincho"/>
        </w:rPr>
      </w:pPr>
      <w:r w:rsidRPr="009448FC">
        <w:rPr>
          <w:rFonts w:eastAsia="MS Mincho"/>
        </w:rPr>
        <w:t>An initiator RXSS shall only be requested when an initiator is aware of the capabilities of a responder</w:t>
      </w:r>
      <w:r w:rsidR="00E93D60" w:rsidRPr="00E93D60">
        <w:rPr>
          <w:rFonts w:eastAsia="MS Mincho"/>
        </w:rPr>
        <w:t>, which includes the RXSS Length field</w:t>
      </w:r>
      <w:r w:rsidRPr="009448FC">
        <w:rPr>
          <w:rFonts w:eastAsia="MS Mincho"/>
        </w:rPr>
        <w:t>.</w:t>
      </w:r>
      <w:r w:rsidR="00281486" w:rsidRPr="009448FC">
        <w:rPr>
          <w:rFonts w:eastAsia="MS Mincho"/>
        </w:rPr>
        <w:t xml:space="preserve"> </w:t>
      </w:r>
      <w:r w:rsidRPr="009448FC">
        <w:rPr>
          <w:rFonts w:eastAsia="MS Mincho"/>
        </w:rPr>
        <w:t xml:space="preserve">An initiator can obtain the capabilities of a responder using the Information request and </w:t>
      </w:r>
      <w:r w:rsidR="00E93D60">
        <w:rPr>
          <w:rFonts w:eastAsia="MS Mincho"/>
        </w:rPr>
        <w:t xml:space="preserve">Information </w:t>
      </w:r>
      <w:r w:rsidRPr="009448FC">
        <w:rPr>
          <w:rFonts w:eastAsia="MS Mincho"/>
        </w:rPr>
        <w:t xml:space="preserve">response procedure as described in </w:t>
      </w:r>
      <w:fldSimple w:instr=" REF _Ref243106440 \r \h  \* MERGEFORMAT ">
        <w:r w:rsidR="003E4210" w:rsidRPr="003E4210">
          <w:rPr>
            <w:rFonts w:eastAsia="MS Mincho"/>
          </w:rPr>
          <w:t>11.31.1</w:t>
        </w:r>
      </w:fldSimple>
      <w:r w:rsidRPr="009448FC">
        <w:rPr>
          <w:rFonts w:eastAsia="MS Mincho"/>
        </w:rPr>
        <w:t>.</w:t>
      </w:r>
    </w:p>
    <w:p w:rsidR="00022C45" w:rsidRPr="009448FC" w:rsidRDefault="00BE5866" w:rsidP="00022C45">
      <w:pPr>
        <w:autoSpaceDE w:val="0"/>
        <w:autoSpaceDN w:val="0"/>
        <w:adjustRightInd w:val="0"/>
        <w:rPr>
          <w:rFonts w:eastAsia="MS Mincho"/>
        </w:rPr>
      </w:pPr>
      <w:r>
        <w:rPr>
          <w:rFonts w:eastAsia="MS Mincho"/>
        </w:rPr>
        <w:t xml:space="preserve"> </w:t>
      </w:r>
    </w:p>
    <w:p w:rsidR="00022C45" w:rsidRPr="009448FC" w:rsidRDefault="00022C45" w:rsidP="00022C45">
      <w:pPr>
        <w:autoSpaceDE w:val="0"/>
        <w:autoSpaceDN w:val="0"/>
        <w:adjustRightInd w:val="0"/>
        <w:rPr>
          <w:rFonts w:eastAsia="MS Mincho"/>
        </w:rPr>
      </w:pPr>
      <w:r w:rsidRPr="009448FC">
        <w:rPr>
          <w:rFonts w:eastAsia="MS Mincho"/>
        </w:rPr>
        <w:t xml:space="preserve">When the initiator T/RXSS field for a specific SP in a received Extended Schedule </w:t>
      </w:r>
      <w:r w:rsidR="00877796" w:rsidRPr="009448FC">
        <w:rPr>
          <w:rFonts w:eastAsia="MS Mincho"/>
        </w:rPr>
        <w:t>element</w:t>
      </w:r>
      <w:r w:rsidRPr="009448FC">
        <w:rPr>
          <w:rFonts w:eastAsia="MS Mincho"/>
        </w:rPr>
        <w:t xml:space="preserve"> or Grant frame is set to zero</w:t>
      </w:r>
      <w:r w:rsidRPr="009448FC">
        <w:t xml:space="preserve"> and the Beamforming Training field of the BF Control field for that SP in the same Extended Schedule </w:t>
      </w:r>
      <w:r w:rsidR="00877796" w:rsidRPr="009448FC">
        <w:t>element</w:t>
      </w:r>
      <w:r w:rsidRPr="009448FC">
        <w:t xml:space="preserve"> or Grant frame is set to one</w:t>
      </w:r>
      <w:r w:rsidRPr="009448FC">
        <w:rPr>
          <w:rFonts w:eastAsia="MS Mincho"/>
        </w:rPr>
        <w:t xml:space="preserve">, then the SP shall contain an initiator RXSS and the initiator shall start an initiator RXSS at the start of the next SP described by the received Extended Schedule </w:t>
      </w:r>
      <w:r w:rsidR="00877796" w:rsidRPr="009448FC">
        <w:rPr>
          <w:rFonts w:eastAsia="MS Mincho"/>
        </w:rPr>
        <w:t>element</w:t>
      </w:r>
      <w:r w:rsidRPr="009448FC">
        <w:rPr>
          <w:rFonts w:eastAsia="MS Mincho"/>
        </w:rPr>
        <w:t xml:space="preserve"> or Grant frame. The initiator never performs an initiator RXSS during the BT.</w:t>
      </w:r>
      <w:r w:rsidR="0030614E">
        <w:rPr>
          <w:rFonts w:eastAsia="MS Mincho"/>
        </w:rPr>
        <w:t xml:space="preserve"> During a CBP, an</w:t>
      </w:r>
      <w:r w:rsidR="0030614E" w:rsidRPr="009428C8">
        <w:rPr>
          <w:rFonts w:eastAsia="MS Mincho"/>
        </w:rPr>
        <w:t xml:space="preserve"> initiator </w:t>
      </w:r>
      <w:r w:rsidR="00C8200C">
        <w:rPr>
          <w:rFonts w:eastAsia="MS Mincho"/>
        </w:rPr>
        <w:t xml:space="preserve">shall not </w:t>
      </w:r>
      <w:r w:rsidR="0030614E" w:rsidRPr="009428C8">
        <w:rPr>
          <w:rFonts w:eastAsia="MS Mincho"/>
        </w:rPr>
        <w:t>obtain a TXOP with an in</w:t>
      </w:r>
      <w:r w:rsidR="00C8200C">
        <w:rPr>
          <w:rFonts w:eastAsia="MS Mincho"/>
        </w:rPr>
        <w:t>i</w:t>
      </w:r>
      <w:r w:rsidR="0030614E" w:rsidRPr="009428C8">
        <w:rPr>
          <w:rFonts w:eastAsia="MS Mincho"/>
        </w:rPr>
        <w:t xml:space="preserve">tiator </w:t>
      </w:r>
      <w:r w:rsidR="0030614E">
        <w:rPr>
          <w:rFonts w:eastAsia="MS Mincho"/>
        </w:rPr>
        <w:t>R</w:t>
      </w:r>
      <w:r w:rsidR="0030614E" w:rsidRPr="009428C8">
        <w:rPr>
          <w:rFonts w:eastAsia="MS Mincho"/>
        </w:rPr>
        <w:t>XSS if an ISS is required to obtain the TXOP.</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C725A9" w:rsidRPr="009448FC" w:rsidRDefault="00022C45" w:rsidP="001056FD">
      <w:r w:rsidRPr="009448FC">
        <w:rPr>
          <w:rFonts w:eastAsia="MS Mincho"/>
        </w:rPr>
        <w:t>During the initiator RXSS, the initiator shall transmit the number of BF frames indicated by the responder in the RXSS Length field</w:t>
      </w:r>
      <w:r w:rsidR="001056FD">
        <w:t xml:space="preserve"> from each of its antenna</w:t>
      </w:r>
      <w:r w:rsidR="007A6966" w:rsidRPr="009448FC">
        <w:t>s</w:t>
      </w:r>
      <w:r w:rsidRPr="009448FC">
        <w:rPr>
          <w:rFonts w:eastAsia="MS Mincho"/>
        </w:rPr>
        <w:t xml:space="preserve">. Each transmitted BF frame shall have the Direction field set to zero and shall be transmitted with the same fixed antenna sector or pattern. The initiator shall set the Sector ID </w:t>
      </w:r>
      <w:r w:rsidR="007A6966" w:rsidRPr="009448FC">
        <w:t>and Ant</w:t>
      </w:r>
      <w:r w:rsidR="001056FD">
        <w:t>enna</w:t>
      </w:r>
      <w:r w:rsidR="007A6966" w:rsidRPr="009448FC">
        <w:t xml:space="preserve"> ID </w:t>
      </w:r>
      <w:r w:rsidRPr="009448FC">
        <w:rPr>
          <w:rFonts w:eastAsia="MS Mincho"/>
        </w:rPr>
        <w:t>field</w:t>
      </w:r>
      <w:r w:rsidR="007A6966" w:rsidRPr="009448FC">
        <w:rPr>
          <w:rFonts w:eastAsia="MS Mincho"/>
        </w:rPr>
        <w:t>s</w:t>
      </w:r>
      <w:r w:rsidRPr="009448FC">
        <w:rPr>
          <w:rFonts w:eastAsia="MS Mincho"/>
        </w:rPr>
        <w:t xml:space="preserve"> in each transmitted BF frame to a value that uniquely identifies the single sector through which the BF frame is transmitted. The initiator shall set the CDOWN field in each transmitted BF frame to contain the total number of transmissions remaining to the end of the initiator RXSS, such that the last BF frame transmission of the initiator RXSS has the CDOWN field set to zero. Each</w:t>
      </w:r>
      <w:r w:rsidR="00281486" w:rsidRPr="009448FC">
        <w:rPr>
          <w:rFonts w:eastAsia="MS Mincho"/>
        </w:rPr>
        <w:t xml:space="preserve"> </w:t>
      </w:r>
      <w:r w:rsidRPr="009448FC">
        <w:rPr>
          <w:rFonts w:eastAsia="MS Mincho"/>
        </w:rPr>
        <w:t xml:space="preserve">transmitted BF frame shall be separated by a time interval equal to SBIFS, except if the allocation ends as described in </w:t>
      </w:r>
      <w:fldSimple w:instr=" REF _Ref243106464 \r \h  \* MERGEFORMAT ">
        <w:r w:rsidR="003E4210" w:rsidRPr="003E4210">
          <w:rPr>
            <w:rFonts w:eastAsia="MS Mincho"/>
          </w:rPr>
          <w:t>9.25.5</w:t>
        </w:r>
      </w:fldSimple>
      <w:r w:rsidRPr="009448FC">
        <w:rPr>
          <w:rFonts w:eastAsia="MS Mincho"/>
        </w:rPr>
        <w:t xml:space="preserve">. </w:t>
      </w:r>
      <w:r w:rsidR="00C725A9" w:rsidRPr="009448FC">
        <w:t xml:space="preserve">This is indicated in </w:t>
      </w:r>
      <w:r w:rsidR="00BD151C">
        <w:rPr>
          <w:lang w:bidi="ar-SA"/>
        </w:rPr>
        <w:fldChar w:fldCharType="begin"/>
      </w:r>
      <w:r w:rsidR="00C725A9">
        <w:rPr>
          <w:lang w:bidi="ar-SA"/>
        </w:rPr>
        <w:instrText xml:space="preserve"> REF _Ref243106552 \h </w:instrText>
      </w:r>
      <w:r w:rsidR="00BD151C">
        <w:rPr>
          <w:lang w:bidi="ar-SA"/>
        </w:rPr>
      </w:r>
      <w:r w:rsidR="00BD151C">
        <w:rPr>
          <w:lang w:bidi="ar-SA"/>
        </w:rPr>
        <w:fldChar w:fldCharType="separate"/>
      </w:r>
      <w:r w:rsidR="003E4210" w:rsidRPr="00066F65">
        <w:t xml:space="preserve">Figure </w:t>
      </w:r>
      <w:r w:rsidR="003E4210">
        <w:rPr>
          <w:noProof/>
        </w:rPr>
        <w:t>90</w:t>
      </w:r>
      <w:r w:rsidR="00BD151C">
        <w:rPr>
          <w:lang w:bidi="ar-SA"/>
        </w:rPr>
        <w:fldChar w:fldCharType="end"/>
      </w:r>
      <w:r w:rsidR="00C725A9" w:rsidRPr="009448FC">
        <w:t>.</w:t>
      </w:r>
    </w:p>
    <w:p w:rsidR="00022C45" w:rsidRPr="009448FC" w:rsidRDefault="00022C45" w:rsidP="00022C45">
      <w:pPr>
        <w:autoSpaceDE w:val="0"/>
        <w:autoSpaceDN w:val="0"/>
        <w:adjustRightInd w:val="0"/>
        <w:rPr>
          <w:rFonts w:eastAsia="MS Mincho"/>
        </w:rPr>
      </w:pPr>
    </w:p>
    <w:p w:rsidR="002426F7" w:rsidRDefault="002426F7" w:rsidP="001056FD">
      <w:pPr>
        <w:rPr>
          <w:rFonts w:eastAsia="MS Mincho"/>
        </w:rPr>
      </w:pPr>
      <w:r w:rsidRPr="002426F7">
        <w:rPr>
          <w:rFonts w:eastAsia="MS Mincho"/>
        </w:rPr>
        <w:t>During an initiator RXSS, the responder should have its receive antenna array configured to sweep RXSS Length sectors for each of the initiator</w:t>
      </w:r>
      <w:r>
        <w:rPr>
          <w:rFonts w:eastAsia="MS Mincho"/>
        </w:rPr>
        <w:t>’</w:t>
      </w:r>
      <w:r w:rsidRPr="002426F7">
        <w:rPr>
          <w:rFonts w:eastAsia="MS Mincho"/>
        </w:rPr>
        <w:t>s antennas while attempting to receive SS frames from the initiator</w:t>
      </w:r>
      <w:r w:rsidR="00632321">
        <w:rPr>
          <w:rFonts w:eastAsia="MS Mincho"/>
        </w:rPr>
        <w:t>.</w:t>
      </w:r>
      <w:r w:rsidR="00080054">
        <w:rPr>
          <w:rFonts w:eastAsia="MS Mincho"/>
        </w:rPr>
        <w:t xml:space="preserve"> </w:t>
      </w:r>
    </w:p>
    <w:p w:rsidR="002426F7" w:rsidRDefault="002426F7" w:rsidP="001056FD">
      <w:pPr>
        <w:rPr>
          <w:rFonts w:eastAsia="MS Mincho"/>
        </w:rPr>
      </w:pPr>
    </w:p>
    <w:p w:rsidR="00022C45" w:rsidRPr="00632321" w:rsidRDefault="00022C45" w:rsidP="001056FD">
      <w:pPr>
        <w:rPr>
          <w:rFonts w:eastAsia="MS Mincho"/>
        </w:rPr>
      </w:pPr>
      <w:r w:rsidRPr="009448FC">
        <w:rPr>
          <w:rFonts w:eastAsia="MS Mincho"/>
        </w:rPr>
        <w:t>While attempting to receive SS frames from the initiator RXSS, the responder shall consider that the initiator RXSS is completed at the expected</w:t>
      </w:r>
      <w:r w:rsidR="002426F7" w:rsidRPr="002426F7">
        <w:t xml:space="preserve"> </w:t>
      </w:r>
      <w:r w:rsidR="002426F7" w:rsidRPr="002426F7">
        <w:rPr>
          <w:rFonts w:eastAsia="MS Mincho"/>
        </w:rPr>
        <w:t>or actual, whichever comes first,</w:t>
      </w:r>
      <w:r w:rsidRPr="009448FC">
        <w:rPr>
          <w:rFonts w:eastAsia="MS Mincho"/>
        </w:rPr>
        <w:t xml:space="preserve"> end time of the SS frame transmission from the initiator with the CDOWN field equal to zero.</w:t>
      </w:r>
      <w:r w:rsidR="00080054">
        <w:rPr>
          <w:rFonts w:eastAsia="MS Mincho"/>
        </w:rPr>
        <w:t xml:space="preserve"> </w:t>
      </w:r>
    </w:p>
    <w:p w:rsidR="00022C45" w:rsidRPr="009448FC" w:rsidRDefault="00022C45" w:rsidP="003701DB">
      <w:pPr>
        <w:pStyle w:val="Heading4"/>
        <w:numPr>
          <w:ilvl w:val="3"/>
          <w:numId w:val="43"/>
        </w:numPr>
      </w:pPr>
      <w:bookmarkStart w:id="1581" w:name="_Toc241556191"/>
      <w:bookmarkStart w:id="1582" w:name="_Ref243106913"/>
      <w:bookmarkStart w:id="1583" w:name="_Ref243107072"/>
      <w:bookmarkStart w:id="1584" w:name="_Ref243106153"/>
      <w:bookmarkStart w:id="1585" w:name="_Ref250908372"/>
      <w:bookmarkStart w:id="1586" w:name="_Ref253557485"/>
      <w:bookmarkStart w:id="1587" w:name="_Toc259717143"/>
      <w:r w:rsidRPr="009448FC">
        <w:t>Responder Sector Sweep</w:t>
      </w:r>
      <w:bookmarkEnd w:id="1581"/>
      <w:bookmarkEnd w:id="1582"/>
      <w:bookmarkEnd w:id="1583"/>
      <w:bookmarkEnd w:id="1584"/>
      <w:bookmarkEnd w:id="1585"/>
      <w:bookmarkEnd w:id="1586"/>
      <w:bookmarkEnd w:id="1587"/>
    </w:p>
    <w:p w:rsidR="00022C45" w:rsidRDefault="00022C45" w:rsidP="00022C45">
      <w:r w:rsidRPr="009448FC">
        <w:t>An RSS comprises either a responder TXSS or a responder RXSS.</w:t>
      </w:r>
    </w:p>
    <w:p w:rsidR="00D50D8F" w:rsidRDefault="00D50D8F" w:rsidP="00022C45"/>
    <w:p w:rsidR="00073498" w:rsidRDefault="00073498" w:rsidP="00022C45">
      <w:r w:rsidRPr="004A687D">
        <w:t xml:space="preserve">A responder RXSS may be performed as part of </w:t>
      </w:r>
      <w:r>
        <w:t>a</w:t>
      </w:r>
      <w:r w:rsidRPr="004A687D">
        <w:t xml:space="preserve"> RSS only if the responder </w:t>
      </w:r>
      <w:r>
        <w:t>has indicated it uses</w:t>
      </w:r>
      <w:r w:rsidRPr="004A687D">
        <w:t xml:space="preserve"> </w:t>
      </w:r>
      <w:r>
        <w:t xml:space="preserve">one </w:t>
      </w:r>
      <w:r w:rsidRPr="004A687D">
        <w:t xml:space="preserve">antenna pattern </w:t>
      </w:r>
      <w:r>
        <w:t>by setting the total number of sectors field to 1 in the responder’s mmWave Capabilities element.</w:t>
      </w:r>
    </w:p>
    <w:p w:rsidR="00073498" w:rsidRDefault="00BE5866" w:rsidP="00022C45">
      <w:r>
        <w:t xml:space="preserve"> </w:t>
      </w:r>
    </w:p>
    <w:p w:rsidR="00D50D8F" w:rsidRPr="009448FC" w:rsidRDefault="00D50D8F" w:rsidP="00022C45">
      <w:r w:rsidRPr="00D50D8F">
        <w:t xml:space="preserve">If the responder T/RXSS subfield in the BF Control field </w:t>
      </w:r>
      <w:r w:rsidR="000E1CF8">
        <w:rPr>
          <w:rFonts w:eastAsia="MS Mincho"/>
        </w:rPr>
        <w:t>within a frame transmitted to setup a RSS</w:t>
      </w:r>
      <w:r w:rsidR="000E1CF8" w:rsidRPr="00D50D8F">
        <w:t xml:space="preserve"> </w:t>
      </w:r>
      <w:r w:rsidRPr="00D50D8F">
        <w:t>is set to zero, the initiator T/RXSS field shall be set to one</w:t>
      </w:r>
      <w:r w:rsidR="000E1CF8">
        <w:t>.</w:t>
      </w:r>
      <w:r w:rsidR="00080054">
        <w:t xml:space="preserve"> </w:t>
      </w:r>
    </w:p>
    <w:p w:rsidR="00022C45" w:rsidRPr="009448FC" w:rsidRDefault="00022C45" w:rsidP="00022C45"/>
    <w:p w:rsidR="00022C45" w:rsidRPr="009448FC" w:rsidRDefault="00022C45" w:rsidP="00022C45">
      <w:r w:rsidRPr="009448FC">
        <w:lastRenderedPageBreak/>
        <w:t>The responder initiates an RSS with the transmission of an SS frame, which is the only frame allowed during an RSS.</w:t>
      </w:r>
    </w:p>
    <w:p w:rsidR="00022C45" w:rsidRPr="009448FC" w:rsidRDefault="00022C45" w:rsidP="00022C45"/>
    <w:p w:rsidR="00022C45" w:rsidRPr="009448FC" w:rsidRDefault="00022C45" w:rsidP="00022C45">
      <w:pPr>
        <w:autoSpaceDE w:val="0"/>
        <w:autoSpaceDN w:val="0"/>
        <w:adjustRightInd w:val="0"/>
        <w:rPr>
          <w:rFonts w:eastAsia="MS Mincho"/>
        </w:rPr>
      </w:pPr>
      <w:r w:rsidRPr="009448FC">
        <w:rPr>
          <w:rFonts w:eastAsia="MS Mincho"/>
        </w:rPr>
        <w:t>The Duration/ID field within each transmitted SS frame shall be set to the time remaining until the end of the RSS or the end of the current al</w:t>
      </w:r>
      <w:r w:rsidR="009F42AE">
        <w:rPr>
          <w:rFonts w:eastAsia="MS Mincho"/>
        </w:rPr>
        <w:t>l</w:t>
      </w:r>
      <w:r w:rsidR="00C117B1">
        <w:rPr>
          <w:rFonts w:eastAsia="MS Mincho"/>
        </w:rPr>
        <w:t>ocation, whichever comes first.</w:t>
      </w:r>
    </w:p>
    <w:p w:rsidR="00022C45" w:rsidRPr="009448FC" w:rsidRDefault="00022C45" w:rsidP="00022C45"/>
    <w:p w:rsidR="00022C45" w:rsidRPr="009448FC" w:rsidRDefault="00022C45" w:rsidP="003701DB">
      <w:pPr>
        <w:pStyle w:val="Heading5"/>
        <w:numPr>
          <w:ilvl w:val="4"/>
          <w:numId w:val="47"/>
        </w:numPr>
      </w:pPr>
      <w:bookmarkStart w:id="1588" w:name="_Toc241556192"/>
      <w:bookmarkStart w:id="1589" w:name="_Toc259717144"/>
      <w:r w:rsidRPr="009448FC">
        <w:t>Responder TXSS</w:t>
      </w:r>
      <w:bookmarkEnd w:id="1588"/>
      <w:bookmarkEnd w:id="1589"/>
    </w:p>
    <w:p w:rsidR="00022C45" w:rsidRPr="009448FC" w:rsidRDefault="00022C45" w:rsidP="00022C45">
      <w:r w:rsidRPr="009448FC">
        <w:t>If the mmWave Beacon immediately preceding an A-BFT contained a value of one in the responder T/RXSS subfield of the beacon interval control field, then the A-BFT is a responder TXSS A-BFT.</w:t>
      </w:r>
    </w:p>
    <w:p w:rsidR="00022C45" w:rsidRPr="009448FC" w:rsidRDefault="00022C45" w:rsidP="00022C45"/>
    <w:p w:rsidR="00022C45" w:rsidRPr="009448FC" w:rsidRDefault="00022C45" w:rsidP="00022C45">
      <w:r w:rsidRPr="009448FC">
        <w:t>When the responder T/RXSS field for a specific SP in a received Extended Schedule</w:t>
      </w:r>
      <w:r w:rsidR="00281486" w:rsidRPr="009448FC">
        <w:t xml:space="preserve"> </w:t>
      </w:r>
      <w:r w:rsidR="00877796" w:rsidRPr="009448FC">
        <w:t>element</w:t>
      </w:r>
      <w:r w:rsidRPr="009448FC">
        <w:t xml:space="preserve"> or Grant frame is set to one and the Beamforming Training field of the BF Control field for that SP in the same Extended Schedule </w:t>
      </w:r>
      <w:r w:rsidR="00877796" w:rsidRPr="009448FC">
        <w:t>element</w:t>
      </w:r>
      <w:r w:rsidRPr="009448FC">
        <w:t xml:space="preserve"> or Grant frame is set to one, then the SP contains a responder TXSS and the responder shall initiate a TXSS following the completion of the ISS in the SP </w:t>
      </w:r>
      <w:r w:rsidRPr="009448FC">
        <w:rPr>
          <w:rFonts w:eastAsia="MS Mincho"/>
        </w:rPr>
        <w:t xml:space="preserve">described by the received Extended Schedule </w:t>
      </w:r>
      <w:r w:rsidR="00877796" w:rsidRPr="009448FC">
        <w:rPr>
          <w:rFonts w:eastAsia="MS Mincho"/>
        </w:rPr>
        <w:t>element</w:t>
      </w:r>
      <w:r w:rsidRPr="009448FC">
        <w:rPr>
          <w:rFonts w:eastAsia="MS Mincho"/>
        </w:rPr>
        <w:t xml:space="preserve"> or Grant frame</w:t>
      </w:r>
      <w:r w:rsidRPr="009448FC">
        <w:t>.</w:t>
      </w:r>
    </w:p>
    <w:p w:rsidR="00022C45" w:rsidRDefault="00BE5866" w:rsidP="00022C45">
      <w:r>
        <w:t xml:space="preserve"> </w:t>
      </w:r>
    </w:p>
    <w:p w:rsidR="001B42CC" w:rsidRDefault="001B42CC" w:rsidP="00022C45">
      <w:r w:rsidRPr="001B42CC">
        <w:t xml:space="preserve">When the RXSS Length field within an SS frame used to obtain a TXOP </w:t>
      </w:r>
      <w:r>
        <w:t xml:space="preserve">during a CBP </w:t>
      </w:r>
      <w:r w:rsidRPr="001B42CC">
        <w:t>is set to zero, the responder shall initiate a TXSS following the completion of the ISS in the TXOP described by the received SS frame.</w:t>
      </w:r>
    </w:p>
    <w:p w:rsidR="001B42CC" w:rsidRPr="009448FC" w:rsidRDefault="001B42CC" w:rsidP="00022C45"/>
    <w:p w:rsidR="00022C45" w:rsidRPr="009448FC" w:rsidRDefault="00022C45" w:rsidP="003660C2">
      <w:r w:rsidRPr="009448FC">
        <w:t xml:space="preserve">During a responder TXSS, the responder shall transmit an SS frame with the Direction field set to one in each sector available to the responder. The responder shall set the Sector ID </w:t>
      </w:r>
      <w:r w:rsidR="007A6966" w:rsidRPr="009448FC">
        <w:t>and the Ant</w:t>
      </w:r>
      <w:r w:rsidR="003660C2">
        <w:t>enna</w:t>
      </w:r>
      <w:r w:rsidR="007A6966" w:rsidRPr="009448FC">
        <w:t xml:space="preserve"> ID </w:t>
      </w:r>
      <w:r w:rsidRPr="009448FC">
        <w:t>field</w:t>
      </w:r>
      <w:r w:rsidR="007A6966" w:rsidRPr="009448FC">
        <w:t>s</w:t>
      </w:r>
      <w:r w:rsidRPr="009448FC">
        <w:t xml:space="preserve"> in each transmitted SS frame to a value that uniquely identifies the sector through which the SS frame is transmitted. </w:t>
      </w:r>
      <w:r w:rsidR="00940E57" w:rsidRPr="00940E57">
        <w:t>The initial value of CDOWN is set to the total numbers of sectors in the responder (covering all an</w:t>
      </w:r>
      <w:r w:rsidR="00940E57">
        <w:t>tennas) multipl</w:t>
      </w:r>
      <w:r w:rsidR="00DB7530">
        <w:t>i</w:t>
      </w:r>
      <w:r w:rsidR="00940E57">
        <w:t>ed by the number</w:t>
      </w:r>
      <w:r w:rsidR="00940E57" w:rsidRPr="00940E57">
        <w:t xml:space="preserve"> of antennas at the initiator</w:t>
      </w:r>
      <w:r w:rsidR="00DB7530">
        <w:t xml:space="preserve"> minus one</w:t>
      </w:r>
      <w:r w:rsidR="00940E57" w:rsidRPr="00940E57">
        <w:t>, except when the responder TXSS occurs in the A-BFT (</w:t>
      </w:r>
      <w:r w:rsidR="00BD151C">
        <w:fldChar w:fldCharType="begin"/>
      </w:r>
      <w:r w:rsidR="00940E57">
        <w:instrText xml:space="preserve"> REF _Ref255310630 \r \h </w:instrText>
      </w:r>
      <w:r w:rsidR="00BD151C">
        <w:fldChar w:fldCharType="separate"/>
      </w:r>
      <w:r w:rsidR="003E4210">
        <w:t>9.25.4</w:t>
      </w:r>
      <w:r w:rsidR="00BD151C">
        <w:fldChar w:fldCharType="end"/>
      </w:r>
      <w:r w:rsidR="00940E57" w:rsidRPr="00940E57">
        <w:t>).</w:t>
      </w:r>
      <w:r w:rsidR="00940E57">
        <w:t xml:space="preserve"> </w:t>
      </w:r>
      <w:r w:rsidRPr="009448FC">
        <w:t xml:space="preserve">The responder shall set the CDOWN field in each transmitted SS frame to contain the total number of transmissions remaining to the end of the responder TXSS, such that the last SS frame transmission of the responder TXSS has the CDOWN field set to zero. Each transmitted SS frame shall be separated by an interval of </w:t>
      </w:r>
      <w:r w:rsidR="00CC7CD9">
        <w:t xml:space="preserve">time </w:t>
      </w:r>
      <w:r w:rsidRPr="009448FC">
        <w:t>equal to SBIFS</w:t>
      </w:r>
      <w:r w:rsidRPr="009448FC">
        <w:rPr>
          <w:rFonts w:eastAsia="MS Mincho"/>
        </w:rPr>
        <w:t xml:space="preserve">, except if the allocation ends as described in </w:t>
      </w:r>
      <w:fldSimple w:instr=" REF _Ref243106593 \r \h  \* MERGEFORMAT ">
        <w:r w:rsidR="003E4210" w:rsidRPr="003E4210">
          <w:rPr>
            <w:rFonts w:eastAsia="MS Mincho"/>
          </w:rPr>
          <w:t>9.25.3</w:t>
        </w:r>
      </w:fldSimple>
      <w:r w:rsidR="006C69FB" w:rsidRPr="009448FC">
        <w:rPr>
          <w:rFonts w:eastAsia="MS Mincho"/>
        </w:rPr>
        <w:t xml:space="preserve"> </w:t>
      </w:r>
      <w:r w:rsidR="00940E57">
        <w:rPr>
          <w:rFonts w:eastAsia="MS Mincho"/>
        </w:rPr>
        <w:t>and</w:t>
      </w:r>
      <w:r w:rsidR="006C69FB" w:rsidRPr="009448FC">
        <w:rPr>
          <w:rFonts w:eastAsia="MS Mincho"/>
        </w:rPr>
        <w:t xml:space="preserve"> </w:t>
      </w:r>
      <w:fldSimple w:instr=" REF _Ref243106597 \r \h  \* MERGEFORMAT ">
        <w:r w:rsidR="003E4210" w:rsidRPr="003E4210">
          <w:rPr>
            <w:rFonts w:eastAsia="MS Mincho"/>
          </w:rPr>
          <w:t>9.25.5</w:t>
        </w:r>
      </w:fldSimple>
      <w:r w:rsidR="00AB5383">
        <w:t xml:space="preserve"> </w:t>
      </w:r>
      <w:r w:rsidR="00AB5383" w:rsidRPr="00AB5383">
        <w:t>or if the end of an SS slot is reached as described in</w:t>
      </w:r>
      <w:r w:rsidR="00AB5383">
        <w:t xml:space="preserve"> </w:t>
      </w:r>
      <w:r w:rsidR="00BD151C">
        <w:fldChar w:fldCharType="begin"/>
      </w:r>
      <w:r w:rsidR="00AB5383">
        <w:instrText xml:space="preserve"> REF _Ref255310630 \r \h </w:instrText>
      </w:r>
      <w:r w:rsidR="00BD151C">
        <w:fldChar w:fldCharType="separate"/>
      </w:r>
      <w:r w:rsidR="003E4210">
        <w:t>9.25.4</w:t>
      </w:r>
      <w:r w:rsidR="00BD151C">
        <w:fldChar w:fldCharType="end"/>
      </w:r>
      <w:r w:rsidRPr="009448FC">
        <w:t xml:space="preserve">. </w:t>
      </w:r>
      <w:r w:rsidR="004E1BAA" w:rsidRPr="009448FC">
        <w:t>This is indicated in</w:t>
      </w:r>
      <w:r w:rsidR="00890B37" w:rsidRPr="009448FC">
        <w:t xml:space="preserve"> </w:t>
      </w:r>
      <w:r w:rsidR="00BD151C">
        <w:rPr>
          <w:lang w:bidi="ar-SA"/>
        </w:rPr>
        <w:fldChar w:fldCharType="begin"/>
      </w:r>
      <w:r w:rsidR="00890B37">
        <w:rPr>
          <w:lang w:bidi="ar-SA"/>
        </w:rPr>
        <w:instrText xml:space="preserve"> REF _Ref244093600 \h </w:instrText>
      </w:r>
      <w:r w:rsidR="00BD151C">
        <w:rPr>
          <w:lang w:bidi="ar-SA"/>
        </w:rPr>
      </w:r>
      <w:r w:rsidR="00BD151C">
        <w:rPr>
          <w:lang w:bidi="ar-SA"/>
        </w:rPr>
        <w:fldChar w:fldCharType="separate"/>
      </w:r>
      <w:r w:rsidR="003E4210" w:rsidRPr="00066F65">
        <w:t xml:space="preserve">Figure </w:t>
      </w:r>
      <w:r w:rsidR="003E4210">
        <w:rPr>
          <w:noProof/>
        </w:rPr>
        <w:t>91</w:t>
      </w:r>
      <w:r w:rsidR="00BD151C">
        <w:rPr>
          <w:lang w:bidi="ar-SA"/>
        </w:rPr>
        <w:fldChar w:fldCharType="end"/>
      </w:r>
      <w:r w:rsidR="004E1BAA" w:rsidRPr="009448FC">
        <w:t>.</w:t>
      </w:r>
    </w:p>
    <w:p w:rsidR="0071549A" w:rsidRPr="009448FC" w:rsidRDefault="00BE1F31" w:rsidP="005D3EE1">
      <w:r>
        <w:t xml:space="preserve"> </w:t>
      </w:r>
    </w:p>
    <w:p w:rsidR="00714F94" w:rsidRDefault="00714F94" w:rsidP="00714F94">
      <w:r>
        <w:t>A</w:t>
      </w:r>
      <w:r w:rsidR="00D11F2E">
        <w:t xml:space="preserve"> </w:t>
      </w:r>
      <w:r w:rsidRPr="009448FC">
        <w:t>resp</w:t>
      </w:r>
      <w:r>
        <w:t>onder that has more than one antenna</w:t>
      </w:r>
      <w:r w:rsidRPr="009448FC">
        <w:t xml:space="preserve"> and </w:t>
      </w:r>
      <w:r>
        <w:t xml:space="preserve">has set </w:t>
      </w:r>
      <w:r w:rsidRPr="009448FC">
        <w:t>the value of the Ant</w:t>
      </w:r>
      <w:r>
        <w:t>enna</w:t>
      </w:r>
      <w:r w:rsidRPr="009448FC">
        <w:t xml:space="preserve"> reciprocity field in its mmWave Capabilities element </w:t>
      </w:r>
      <w:r>
        <w:t>to</w:t>
      </w:r>
      <w:r w:rsidRPr="009448FC">
        <w:t xml:space="preserve"> zero transmits through all the sectors of all of its antenna</w:t>
      </w:r>
      <w:r>
        <w:t>s</w:t>
      </w:r>
      <w:r w:rsidRPr="009448FC">
        <w:t xml:space="preserve">. </w:t>
      </w:r>
      <w:r>
        <w:t>A responder that has more than one antenna and has set the value of</w:t>
      </w:r>
      <w:r w:rsidR="00D11F2E">
        <w:t xml:space="preserve"> </w:t>
      </w:r>
      <w:r>
        <w:t>the Antenna</w:t>
      </w:r>
      <w:r w:rsidRPr="009448FC">
        <w:t xml:space="preserve"> reciprocity field in the responder’s mmWave Capabilities element </w:t>
      </w:r>
      <w:r>
        <w:t xml:space="preserve">to </w:t>
      </w:r>
      <w:r w:rsidRPr="009448FC">
        <w:t>one</w:t>
      </w:r>
      <w:r>
        <w:t xml:space="preserve"> transmits through the antenna</w:t>
      </w:r>
      <w:r w:rsidRPr="009448FC">
        <w:t xml:space="preserve"> through which it had the best reception in the initiator sector sweep.</w:t>
      </w:r>
    </w:p>
    <w:p w:rsidR="00DB7530" w:rsidRDefault="00DB7530" w:rsidP="00714F94"/>
    <w:p w:rsidR="00714F94" w:rsidRDefault="00714F94" w:rsidP="00714F94">
      <w:r>
        <w:t>A responder that has only one antenna should transmits through all its sectors, regardless of the setting of the Antenna reciprocity field.</w:t>
      </w:r>
    </w:p>
    <w:p w:rsidR="00022C45" w:rsidRPr="009448FC" w:rsidRDefault="00BE5866" w:rsidP="00714F94">
      <w:r>
        <w:t xml:space="preserve"> </w:t>
      </w:r>
    </w:p>
    <w:p w:rsidR="00022C45" w:rsidRPr="009448FC" w:rsidRDefault="00FD20C1" w:rsidP="00022C45">
      <w:pPr>
        <w:jc w:val="center"/>
      </w:pPr>
      <w:r w:rsidRPr="009448FC">
        <w:object w:dxaOrig="7210" w:dyaOrig="2018">
          <v:shape id="_x0000_i1055" type="#_x0000_t75" style="width:361.35pt;height:100.1pt" o:ole="">
            <v:imagedata r:id="rId157" o:title=""/>
          </v:shape>
          <o:OLEObject Type="Embed" ProgID="Visio.Drawing.11" ShapeID="_x0000_i1055" DrawAspect="Content" ObjectID="_1334048237" r:id="rId158"/>
        </w:object>
      </w:r>
    </w:p>
    <w:p w:rsidR="00022C45" w:rsidRPr="00066F65" w:rsidRDefault="000229FD" w:rsidP="00BA5BC4">
      <w:pPr>
        <w:pStyle w:val="Caption"/>
      </w:pPr>
      <w:bookmarkStart w:id="1590" w:name="_Ref244093600"/>
      <w:bookmarkStart w:id="1591" w:name="_Toc259717523"/>
      <w:r w:rsidRPr="00066F65">
        <w:t xml:space="preserve">Figure </w:t>
      </w:r>
      <w:r w:rsidR="00BD151C">
        <w:fldChar w:fldCharType="begin"/>
      </w:r>
      <w:r w:rsidR="00801316">
        <w:instrText xml:space="preserve"> SEQ Figure \* ARABIC </w:instrText>
      </w:r>
      <w:r w:rsidR="00BD151C">
        <w:fldChar w:fldCharType="separate"/>
      </w:r>
      <w:r w:rsidR="003E4210">
        <w:rPr>
          <w:noProof/>
        </w:rPr>
        <w:t>91</w:t>
      </w:r>
      <w:r w:rsidR="00BD151C">
        <w:fldChar w:fldCharType="end"/>
      </w:r>
      <w:bookmarkEnd w:id="1590"/>
      <w:r w:rsidRPr="00066F65">
        <w:t xml:space="preserve"> – Responder TXSS or Responder RXSS</w:t>
      </w:r>
      <w:bookmarkEnd w:id="1591"/>
    </w:p>
    <w:p w:rsidR="00022C45" w:rsidRPr="009448FC" w:rsidRDefault="00022C45" w:rsidP="003660C2">
      <w:r w:rsidRPr="009448FC">
        <w:t xml:space="preserve">The responder shall set the Sector Select field </w:t>
      </w:r>
      <w:r w:rsidR="007A6966" w:rsidRPr="009448FC">
        <w:t>and the Ant</w:t>
      </w:r>
      <w:r w:rsidR="003660C2">
        <w:t>enna</w:t>
      </w:r>
      <w:r w:rsidR="007A6966" w:rsidRPr="009448FC">
        <w:t xml:space="preserve"> select field </w:t>
      </w:r>
      <w:r w:rsidR="0071133C" w:rsidRPr="0071133C">
        <w:t>in each transmitted SS frame</w:t>
      </w:r>
      <w:r w:rsidR="0071133C">
        <w:t xml:space="preserve"> </w:t>
      </w:r>
      <w:r w:rsidRPr="009448FC">
        <w:t>to the value of</w:t>
      </w:r>
      <w:r w:rsidR="00D8170A" w:rsidRPr="009448FC">
        <w:t>, respectively,</w:t>
      </w:r>
      <w:r w:rsidRPr="009448FC">
        <w:t xml:space="preserve"> the Sector ID field </w:t>
      </w:r>
      <w:r w:rsidR="00C50B65" w:rsidRPr="009448FC">
        <w:t>and Ant</w:t>
      </w:r>
      <w:r w:rsidR="003660C2">
        <w:t>enna</w:t>
      </w:r>
      <w:r w:rsidR="00C50B65" w:rsidRPr="009448FC">
        <w:t xml:space="preserve"> ID field </w:t>
      </w:r>
      <w:r w:rsidRPr="009448FC">
        <w:t>of the frame received with the best quality during the ISS. The determination of which frame is received with best quality is implementation dependent and beyond the scope of this specification.</w:t>
      </w:r>
      <w:r w:rsidRPr="009448FC" w:rsidDel="00DF3B1D">
        <w:rPr>
          <w:rFonts w:eastAsia="MS Mincho"/>
        </w:rPr>
        <w:t xml:space="preserve"> </w:t>
      </w:r>
      <w:r w:rsidRPr="009448FC">
        <w:rPr>
          <w:rFonts w:eastAsia="MS Mincho"/>
        </w:rPr>
        <w:t xml:space="preserve">The responder shall set the SNR Report field to the SNR measured for </w:t>
      </w:r>
      <w:r w:rsidRPr="009448FC">
        <w:t>the frame received with highest SNR during the ISS.</w:t>
      </w:r>
    </w:p>
    <w:p w:rsidR="00022C45" w:rsidRPr="009448FC" w:rsidRDefault="00022C45" w:rsidP="00022C45"/>
    <w:p w:rsidR="00C25DE4" w:rsidRDefault="00C50B65" w:rsidP="001056FD">
      <w:r w:rsidRPr="009448FC">
        <w:t xml:space="preserve">If the initiator has more than one antenna, the responder repeats its </w:t>
      </w:r>
      <w:r w:rsidR="00C83641" w:rsidRPr="00C83641">
        <w:t>responder sector sweep for the number of antennas indicated by the initiator in the Number of Ante</w:t>
      </w:r>
      <w:r w:rsidR="00C83641">
        <w:t>nnas field within the initiator’</w:t>
      </w:r>
      <w:r w:rsidR="00C83641" w:rsidRPr="00C83641">
        <w:t>s mmWave Capabilities element</w:t>
      </w:r>
      <w:r w:rsidR="00C83641">
        <w:t>.</w:t>
      </w:r>
      <w:r w:rsidRPr="009448FC">
        <w:t xml:space="preserve"> </w:t>
      </w:r>
      <w:r w:rsidR="00022C45" w:rsidRPr="009448FC">
        <w:t xml:space="preserve">At the start of a responder TXSS, the initiator should have its receive antenna array configured to a quasi-omni </w:t>
      </w:r>
      <w:r w:rsidR="00CC21E9" w:rsidRPr="009448FC">
        <w:t>antenna</w:t>
      </w:r>
      <w:r w:rsidR="00281486" w:rsidRPr="009448FC">
        <w:t xml:space="preserve"> </w:t>
      </w:r>
      <w:r w:rsidR="00022C45" w:rsidRPr="009448FC">
        <w:t xml:space="preserve">pattern </w:t>
      </w:r>
      <w:r w:rsidRPr="009448FC">
        <w:t>in one of its antenna</w:t>
      </w:r>
      <w:r w:rsidR="001056FD">
        <w:t>s</w:t>
      </w:r>
      <w:r w:rsidRPr="009448FC">
        <w:t xml:space="preserve"> for a time corresponding to the </w:t>
      </w:r>
      <w:r w:rsidR="002E444A" w:rsidRPr="002E444A">
        <w:t>value of the Total number of sec</w:t>
      </w:r>
      <w:r w:rsidR="00280832">
        <w:t>tors field within the responder’</w:t>
      </w:r>
      <w:r w:rsidR="002E444A" w:rsidRPr="002E444A">
        <w:t xml:space="preserve">s mmWave Capabilities </w:t>
      </w:r>
      <w:r w:rsidR="002E444A">
        <w:t>element</w:t>
      </w:r>
      <w:r w:rsidR="002E444A" w:rsidRPr="002E444A">
        <w:t xml:space="preserve"> multiplied by the time to transmit a single SS frame</w:t>
      </w:r>
      <w:r w:rsidR="00280832">
        <w:t xml:space="preserve">, </w:t>
      </w:r>
      <w:r w:rsidR="00367385">
        <w:t xml:space="preserve">plus any </w:t>
      </w:r>
      <w:r w:rsidR="00280832">
        <w:t>appropriate IFSs</w:t>
      </w:r>
      <w:r w:rsidRPr="009448FC">
        <w:t>. After</w:t>
      </w:r>
      <w:r w:rsidR="007A6457">
        <w:t xml:space="preserve"> this time</w:t>
      </w:r>
      <w:r w:rsidRPr="009448FC">
        <w:t xml:space="preserve">, the </w:t>
      </w:r>
      <w:r w:rsidR="007A6457">
        <w:t>initiator</w:t>
      </w:r>
      <w:r w:rsidRPr="009448FC">
        <w:t xml:space="preserve"> may switch to a quasi omni pattern in another antenna.</w:t>
      </w:r>
      <w:r w:rsidR="00281486" w:rsidRPr="009448FC">
        <w:t xml:space="preserve"> </w:t>
      </w:r>
      <w:r w:rsidRPr="009448FC">
        <w:t>It may change its antenna configuration if</w:t>
      </w:r>
      <w:r w:rsidR="00022C45" w:rsidRPr="009448FC">
        <w:t xml:space="preserve"> dot11BFTXSSTime </w:t>
      </w:r>
      <w:r w:rsidRPr="009448FC">
        <w:t>has passed since the last change</w:t>
      </w:r>
      <w:r w:rsidR="00C25DE4">
        <w:t>.</w:t>
      </w:r>
    </w:p>
    <w:p w:rsidR="00C25DE4" w:rsidRDefault="00C25DE4" w:rsidP="001056FD"/>
    <w:p w:rsidR="00022C45" w:rsidRPr="009448FC" w:rsidRDefault="00022C45" w:rsidP="001056FD">
      <w:r w:rsidRPr="009448FC">
        <w:t>The initiator shall consider that the responder TXSS has completed at the expected</w:t>
      </w:r>
      <w:r w:rsidR="002426F7" w:rsidRPr="002426F7">
        <w:t xml:space="preserve"> or actual, whichever comes first,</w:t>
      </w:r>
      <w:r w:rsidRPr="009448FC">
        <w:t xml:space="preserve"> end time of the SS frame transmission from the responder that includes a value of zero in the CDOWN field.</w:t>
      </w:r>
      <w:r w:rsidR="00080054">
        <w:t xml:space="preserve"> </w:t>
      </w:r>
    </w:p>
    <w:p w:rsidR="00022C45" w:rsidRPr="009448FC" w:rsidRDefault="00022C45" w:rsidP="003701DB">
      <w:pPr>
        <w:pStyle w:val="Heading5"/>
        <w:numPr>
          <w:ilvl w:val="4"/>
          <w:numId w:val="47"/>
        </w:numPr>
      </w:pPr>
      <w:bookmarkStart w:id="1592" w:name="_Toc241556193"/>
      <w:bookmarkStart w:id="1593" w:name="_Toc259717145"/>
      <w:r w:rsidRPr="009448FC">
        <w:t>Responder RXSS</w:t>
      </w:r>
      <w:bookmarkEnd w:id="1592"/>
      <w:bookmarkEnd w:id="1593"/>
    </w:p>
    <w:p w:rsidR="00022C45" w:rsidRPr="009448FC" w:rsidRDefault="00022C45" w:rsidP="00A20DA8">
      <w:r w:rsidRPr="009448FC">
        <w:t>If the mmWave Beacon immediately preceding an A-BFT contained a value of zero in the Responder T/RXSS subfield of the beacon interval control field within the m</w:t>
      </w:r>
      <w:r w:rsidR="007A6457">
        <w:t xml:space="preserve">mWave Beacon, then the A-BFT is </w:t>
      </w:r>
      <w:r w:rsidRPr="009448FC">
        <w:t>a responder RXSS A-BFT.</w:t>
      </w:r>
    </w:p>
    <w:p w:rsidR="00022C45" w:rsidRPr="009448FC" w:rsidRDefault="00022C45" w:rsidP="00022C45"/>
    <w:p w:rsidR="00022C45" w:rsidRPr="009448FC" w:rsidRDefault="00022C45" w:rsidP="00022C45">
      <w:r w:rsidRPr="009448FC">
        <w:t>When the responder T/RXSS field for a specific SP in a received Extended Schedule</w:t>
      </w:r>
      <w:r w:rsidR="00281486" w:rsidRPr="009448FC">
        <w:t xml:space="preserve"> </w:t>
      </w:r>
      <w:r w:rsidR="00877796" w:rsidRPr="009448FC">
        <w:t>element</w:t>
      </w:r>
      <w:r w:rsidRPr="009448FC">
        <w:t xml:space="preserve"> or Grant frame is set to zero and the Beamforming Training field of the BF Control field for that SP in the same Extended Schedule </w:t>
      </w:r>
      <w:r w:rsidR="00877796" w:rsidRPr="009448FC">
        <w:t>element</w:t>
      </w:r>
      <w:r w:rsidRPr="009448FC">
        <w:t xml:space="preserve"> or Grant frame is set to one, then the SP contains a responder RXSS, and the responder shall initiate an RXSS at the start of the next SP</w:t>
      </w:r>
      <w:r w:rsidRPr="009448FC">
        <w:rPr>
          <w:rFonts w:eastAsia="MS Mincho"/>
        </w:rPr>
        <w:t xml:space="preserve"> described by the received Extended Schedule </w:t>
      </w:r>
      <w:r w:rsidR="00877796" w:rsidRPr="009448FC">
        <w:rPr>
          <w:rFonts w:eastAsia="MS Mincho"/>
        </w:rPr>
        <w:t>element</w:t>
      </w:r>
      <w:r w:rsidRPr="009448FC">
        <w:rPr>
          <w:rFonts w:eastAsia="MS Mincho"/>
        </w:rPr>
        <w:t xml:space="preserve"> or Grant frame</w:t>
      </w:r>
      <w:r w:rsidRPr="009448FC">
        <w:t>.</w:t>
      </w:r>
    </w:p>
    <w:p w:rsidR="00022C45" w:rsidRDefault="00022C45" w:rsidP="00022C45"/>
    <w:p w:rsidR="001B42CC" w:rsidRDefault="001B42CC" w:rsidP="00022C45">
      <w:r w:rsidRPr="001B42CC">
        <w:t xml:space="preserve">When the RXSS Length field within an SS frame used to obtain a TXOP </w:t>
      </w:r>
      <w:r>
        <w:t xml:space="preserve">during a CBP </w:t>
      </w:r>
      <w:r w:rsidRPr="001B42CC">
        <w:t>is set to a non-zero value, the responder shall initiate a RXSS following the completion of the ISS in the TXOP described by the received SS frame.</w:t>
      </w:r>
    </w:p>
    <w:p w:rsidR="001B42CC" w:rsidRPr="009448FC" w:rsidRDefault="00BE5866" w:rsidP="00022C45">
      <w:r>
        <w:t xml:space="preserve"> </w:t>
      </w:r>
    </w:p>
    <w:p w:rsidR="00DE77C0" w:rsidRPr="009448FC" w:rsidRDefault="00022C45" w:rsidP="001056FD">
      <w:r w:rsidRPr="009448FC">
        <w:t xml:space="preserve">During the responder RXSS, the responder shall transmit the number of SS frames indicated by the initiator in the RXSS Length field </w:t>
      </w:r>
      <w:r w:rsidR="00526FD4">
        <w:t>o</w:t>
      </w:r>
      <w:r w:rsidR="00CF7FEF">
        <w:t>r</w:t>
      </w:r>
      <w:r w:rsidR="00526FD4">
        <w:t xml:space="preserve"> FSS field </w:t>
      </w:r>
      <w:r w:rsidR="00C50B65" w:rsidRPr="009448FC">
        <w:t>from each of its antenna</w:t>
      </w:r>
      <w:r w:rsidR="001056FD">
        <w:t>s</w:t>
      </w:r>
      <w:r w:rsidR="00C50B65" w:rsidRPr="009448FC">
        <w:t xml:space="preserve">, each time </w:t>
      </w:r>
      <w:r w:rsidRPr="009448FC">
        <w:t xml:space="preserve">with the same antenna sector or pattern </w:t>
      </w:r>
      <w:r w:rsidR="00C50B65" w:rsidRPr="009448FC">
        <w:t xml:space="preserve">fixed for </w:t>
      </w:r>
      <w:r w:rsidR="00526FD4">
        <w:t>all SS frames transmission</w:t>
      </w:r>
      <w:r w:rsidR="00CE1CB1">
        <w:t xml:space="preserve"> originating from the same antenna</w:t>
      </w:r>
      <w:r w:rsidR="00C50B65" w:rsidRPr="009448FC">
        <w:t>.</w:t>
      </w:r>
      <w:r w:rsidR="00E53E6B">
        <w:t xml:space="preserve"> </w:t>
      </w:r>
      <w:r w:rsidR="00C50B65" w:rsidRPr="009448FC">
        <w:t xml:space="preserve">The SS frame shall have </w:t>
      </w:r>
      <w:r w:rsidRPr="009448FC">
        <w:t xml:space="preserve">the Direction field set to one. The responder shall set the CDOWN field in each transmitted SS frame to contain the total number of transmissions remaining until the end of the </w:t>
      </w:r>
      <w:r w:rsidRPr="009448FC">
        <w:lastRenderedPageBreak/>
        <w:t>responder RXSS, such that the last</w:t>
      </w:r>
      <w:r w:rsidR="00281486" w:rsidRPr="009448FC">
        <w:t xml:space="preserve"> </w:t>
      </w:r>
      <w:r w:rsidRPr="009448FC">
        <w:t>SS frame transmission of the responder RXSS has the CDOWN field equal to zero. Each transmitted SS frame shall be separated by an interval of time equal to SBIFS</w:t>
      </w:r>
      <w:r w:rsidRPr="009448FC">
        <w:rPr>
          <w:rFonts w:eastAsia="MS Mincho"/>
        </w:rPr>
        <w:t xml:space="preserve">, except if the allocation ends as described in </w:t>
      </w:r>
      <w:fldSimple w:instr=" REF _Ref243106707 \r \h  \* MERGEFORMAT ">
        <w:r w:rsidR="003E4210" w:rsidRPr="003E4210">
          <w:rPr>
            <w:rFonts w:eastAsia="MS Mincho"/>
          </w:rPr>
          <w:t>9.25.5</w:t>
        </w:r>
      </w:fldSimple>
      <w:r w:rsidR="00AB5383">
        <w:t xml:space="preserve"> </w:t>
      </w:r>
      <w:r w:rsidR="00AB5383" w:rsidRPr="00AB5383">
        <w:t>or if the end of an SS slot is reached as described in</w:t>
      </w:r>
      <w:r w:rsidR="00AB5383">
        <w:t xml:space="preserve"> </w:t>
      </w:r>
      <w:r w:rsidR="00BD151C">
        <w:fldChar w:fldCharType="begin"/>
      </w:r>
      <w:r w:rsidR="00AB5383">
        <w:instrText xml:space="preserve"> REF _Ref255310809 \r \h </w:instrText>
      </w:r>
      <w:r w:rsidR="00BD151C">
        <w:fldChar w:fldCharType="separate"/>
      </w:r>
      <w:r w:rsidR="003E4210">
        <w:t>9.25.4</w:t>
      </w:r>
      <w:r w:rsidR="00BD151C">
        <w:fldChar w:fldCharType="end"/>
      </w:r>
      <w:r w:rsidRPr="009448FC">
        <w:t xml:space="preserve">. </w:t>
      </w:r>
      <w:r w:rsidR="00DE77C0" w:rsidRPr="009448FC">
        <w:t xml:space="preserve">This is indicated in </w:t>
      </w:r>
      <w:r w:rsidR="00BD151C">
        <w:rPr>
          <w:lang w:bidi="ar-SA"/>
        </w:rPr>
        <w:fldChar w:fldCharType="begin"/>
      </w:r>
      <w:r w:rsidR="00DE77C0">
        <w:rPr>
          <w:lang w:bidi="ar-SA"/>
        </w:rPr>
        <w:instrText xml:space="preserve"> REF _Ref244093600 \h </w:instrText>
      </w:r>
      <w:r w:rsidR="00BD151C">
        <w:rPr>
          <w:lang w:bidi="ar-SA"/>
        </w:rPr>
      </w:r>
      <w:r w:rsidR="00BD151C">
        <w:rPr>
          <w:lang w:bidi="ar-SA"/>
        </w:rPr>
        <w:fldChar w:fldCharType="separate"/>
      </w:r>
      <w:r w:rsidR="003E4210" w:rsidRPr="00066F65">
        <w:t xml:space="preserve">Figure </w:t>
      </w:r>
      <w:r w:rsidR="003E4210">
        <w:rPr>
          <w:noProof/>
        </w:rPr>
        <w:t>91</w:t>
      </w:r>
      <w:r w:rsidR="00BD151C">
        <w:rPr>
          <w:lang w:bidi="ar-SA"/>
        </w:rPr>
        <w:fldChar w:fldCharType="end"/>
      </w:r>
      <w:r w:rsidR="00DE77C0" w:rsidRPr="009448FC">
        <w:t>.</w:t>
      </w:r>
    </w:p>
    <w:p w:rsidR="000B0482" w:rsidRPr="009448FC" w:rsidRDefault="00BE5866" w:rsidP="00022C45">
      <w:r>
        <w:t xml:space="preserve"> </w:t>
      </w:r>
    </w:p>
    <w:p w:rsidR="00022C45" w:rsidRPr="009448FC" w:rsidRDefault="00022C45" w:rsidP="001056FD">
      <w:r w:rsidRPr="009448FC">
        <w:t xml:space="preserve">The responder shall set the Sector Select field </w:t>
      </w:r>
      <w:r w:rsidR="00C50B65" w:rsidRPr="009448FC">
        <w:t>and the Ant</w:t>
      </w:r>
      <w:r w:rsidR="001056FD">
        <w:t>enna</w:t>
      </w:r>
      <w:r w:rsidR="00C50B65" w:rsidRPr="009448FC">
        <w:t xml:space="preserve"> Select field </w:t>
      </w:r>
      <w:r w:rsidR="0071133C" w:rsidRPr="0071133C">
        <w:t>in each transmitted SS frame</w:t>
      </w:r>
      <w:r w:rsidR="0071133C">
        <w:t xml:space="preserve"> </w:t>
      </w:r>
      <w:r w:rsidRPr="009448FC">
        <w:t>to the value of</w:t>
      </w:r>
      <w:r w:rsidR="00D8170A" w:rsidRPr="009448FC">
        <w:t>, respectively,</w:t>
      </w:r>
      <w:r w:rsidRPr="009448FC">
        <w:t xml:space="preserve"> the Sector ID field </w:t>
      </w:r>
      <w:r w:rsidR="00C50B65" w:rsidRPr="009448FC">
        <w:t>and the Ant</w:t>
      </w:r>
      <w:r w:rsidR="001056FD">
        <w:t>enna</w:t>
      </w:r>
      <w:r w:rsidR="00C50B65" w:rsidRPr="009448FC">
        <w:t xml:space="preserve"> ID field </w:t>
      </w:r>
      <w:r w:rsidRPr="009448FC">
        <w:t xml:space="preserve">of the frame received with the best quality during the ISS. The determination of which frame is received with best quality is implementation dependent and beyond the scope of this specification. </w:t>
      </w:r>
    </w:p>
    <w:p w:rsidR="00022C45" w:rsidRPr="009448FC" w:rsidRDefault="00022C45" w:rsidP="00022C45"/>
    <w:p w:rsidR="00C25DE4" w:rsidRDefault="00022C45" w:rsidP="001056FD">
      <w:r w:rsidRPr="009448FC">
        <w:t xml:space="preserve">At the start of a responder RXSS, the initiator should have its receive antenna array configured to sweep over RXSS Length sectors </w:t>
      </w:r>
      <w:r w:rsidR="00C50B65" w:rsidRPr="009448FC">
        <w:t>for each of the responder antenna</w:t>
      </w:r>
      <w:r w:rsidR="001056FD">
        <w:t>s</w:t>
      </w:r>
      <w:r w:rsidR="00C50B65" w:rsidRPr="009448FC">
        <w:t xml:space="preserve"> </w:t>
      </w:r>
      <w:r w:rsidRPr="009448FC">
        <w:t>when it attempts to receive frames from the responder until the co</w:t>
      </w:r>
      <w:r w:rsidR="00C25DE4">
        <w:t>mpletion of the responder RXSS.</w:t>
      </w:r>
    </w:p>
    <w:p w:rsidR="00C25DE4" w:rsidRDefault="00C25DE4" w:rsidP="001056FD"/>
    <w:p w:rsidR="00022C45" w:rsidRPr="009448FC" w:rsidRDefault="00022C45" w:rsidP="001056FD">
      <w:r w:rsidRPr="009448FC">
        <w:t>The initiator shall consider that the responder RXSS is completed at the expected</w:t>
      </w:r>
      <w:r w:rsidR="002426F7" w:rsidRPr="002426F7">
        <w:t xml:space="preserve"> or actual, whichever comes first,</w:t>
      </w:r>
      <w:r w:rsidRPr="009448FC">
        <w:t xml:space="preserve"> end time of the SS frame transmission from the responder with the CDOWN field equal to zero.</w:t>
      </w:r>
      <w:r w:rsidR="00080054">
        <w:t xml:space="preserve"> </w:t>
      </w:r>
    </w:p>
    <w:p w:rsidR="00022C45" w:rsidRPr="009448FC" w:rsidRDefault="00022C45" w:rsidP="00022C45"/>
    <w:p w:rsidR="00022C45" w:rsidRPr="009448FC" w:rsidRDefault="00022C45" w:rsidP="003701DB">
      <w:pPr>
        <w:pStyle w:val="Heading4"/>
        <w:numPr>
          <w:ilvl w:val="3"/>
          <w:numId w:val="43"/>
        </w:numPr>
      </w:pPr>
      <w:bookmarkStart w:id="1594" w:name="_Toc241556194"/>
      <w:bookmarkStart w:id="1595" w:name="_Ref244148526"/>
      <w:bookmarkStart w:id="1596" w:name="_Ref244148629"/>
      <w:bookmarkStart w:id="1597" w:name="_Ref253557492"/>
      <w:bookmarkStart w:id="1598" w:name="_Toc259717146"/>
      <w:r w:rsidRPr="009448FC">
        <w:t>Sector Sweep Feedback</w:t>
      </w:r>
      <w:bookmarkEnd w:id="1594"/>
      <w:bookmarkEnd w:id="1595"/>
      <w:bookmarkEnd w:id="1596"/>
      <w:bookmarkEnd w:id="1597"/>
      <w:bookmarkEnd w:id="1598"/>
    </w:p>
    <w:p w:rsidR="00022C45" w:rsidRPr="009448FC" w:rsidRDefault="00502CE3" w:rsidP="00022C45">
      <w:r>
        <w:t xml:space="preserve">Sector Sweep Feedback (SS </w:t>
      </w:r>
      <w:r w:rsidR="00022C45" w:rsidRPr="009448FC">
        <w:t>Feedback) occurs following each RSS.</w:t>
      </w:r>
    </w:p>
    <w:p w:rsidR="00022C45" w:rsidRPr="009448FC" w:rsidRDefault="00022C45" w:rsidP="00022C45"/>
    <w:p w:rsidR="00022C45" w:rsidRPr="009448FC" w:rsidRDefault="00502CE3" w:rsidP="00022C45">
      <w:r>
        <w:t xml:space="preserve">During SS </w:t>
      </w:r>
      <w:r w:rsidR="00022C45" w:rsidRPr="009448FC">
        <w:t>Feedback, the initiator shall transmit an SS-Feedback frame to the responder.</w:t>
      </w:r>
    </w:p>
    <w:p w:rsidR="00022C45" w:rsidRPr="009448FC" w:rsidRDefault="00022C45" w:rsidP="00022C45"/>
    <w:p w:rsidR="00022C45" w:rsidRPr="009448FC" w:rsidRDefault="00502CE3" w:rsidP="003660C2">
      <w:r>
        <w:t xml:space="preserve">During SS </w:t>
      </w:r>
      <w:r w:rsidR="00022C45" w:rsidRPr="009448FC">
        <w:t xml:space="preserve">Feedback, the responder should have its receive antenna array configured to a quasi-omni </w:t>
      </w:r>
      <w:r w:rsidR="00CC21E9" w:rsidRPr="009448FC">
        <w:t>antenna</w:t>
      </w:r>
      <w:r w:rsidR="00281486" w:rsidRPr="009448FC">
        <w:t xml:space="preserve"> </w:t>
      </w:r>
      <w:r w:rsidR="00022C45" w:rsidRPr="009448FC">
        <w:t xml:space="preserve">pattern </w:t>
      </w:r>
      <w:r w:rsidR="00751EC4" w:rsidRPr="009448FC">
        <w:t xml:space="preserve">in the antenna through which it received with the highest quality during the </w:t>
      </w:r>
      <w:r w:rsidR="00546245" w:rsidRPr="009448FC">
        <w:t>ISS</w:t>
      </w:r>
      <w:r w:rsidR="00751EC4" w:rsidRPr="009448FC">
        <w:t>,</w:t>
      </w:r>
      <w:r w:rsidR="00A20DA8">
        <w:t xml:space="preserve"> or to the best antenna configuration it has found during R</w:t>
      </w:r>
      <w:r w:rsidR="00727B27">
        <w:t>X</w:t>
      </w:r>
      <w:r w:rsidR="00A20DA8">
        <w:t>SS if R</w:t>
      </w:r>
      <w:r w:rsidR="00727B27">
        <w:t>X</w:t>
      </w:r>
      <w:r w:rsidR="00A20DA8">
        <w:t>SS has been performed during the ISS,</w:t>
      </w:r>
      <w:r w:rsidR="009062D7">
        <w:t xml:space="preserve"> </w:t>
      </w:r>
      <w:r w:rsidR="00022C45" w:rsidRPr="009448FC">
        <w:t xml:space="preserve">and should not change its receive antenna array configuration when it communicates with the initiator until the expected end of the SS Feedback. </w:t>
      </w:r>
    </w:p>
    <w:p w:rsidR="00022C45" w:rsidRPr="009448FC" w:rsidRDefault="00022C45" w:rsidP="00022C45"/>
    <w:p w:rsidR="00022C45" w:rsidRPr="009448FC" w:rsidRDefault="00022C45" w:rsidP="003660C2">
      <w:r w:rsidRPr="009448FC">
        <w:t xml:space="preserve">When responder TXSS was performed during the preceding RSS, the initiator shall set the Sector Select field </w:t>
      </w:r>
      <w:r w:rsidR="00751EC4" w:rsidRPr="009448FC">
        <w:t>and the Ant</w:t>
      </w:r>
      <w:r w:rsidR="003660C2">
        <w:t>enna</w:t>
      </w:r>
      <w:r w:rsidR="00751EC4" w:rsidRPr="009448FC">
        <w:t xml:space="preserve"> Select field </w:t>
      </w:r>
      <w:r w:rsidRPr="009448FC">
        <w:t>in the SS-Feedback frame it transmits to the value of</w:t>
      </w:r>
      <w:r w:rsidR="00D8170A" w:rsidRPr="009448FC">
        <w:t>, respectively,</w:t>
      </w:r>
      <w:r w:rsidRPr="009448FC">
        <w:t xml:space="preserve"> the Sector ID field </w:t>
      </w:r>
      <w:r w:rsidR="00751EC4" w:rsidRPr="009448FC">
        <w:t>and Ant</w:t>
      </w:r>
      <w:r w:rsidR="003660C2">
        <w:t>enna</w:t>
      </w:r>
      <w:r w:rsidR="00751EC4" w:rsidRPr="009448FC">
        <w:t xml:space="preserve"> ID field </w:t>
      </w:r>
      <w:r w:rsidRPr="009448FC">
        <w:t>of the frame received with the best quality during the responder TXSS. The determination of which frame is received with best quality is implementation dependent and beyond the scope of this specification</w:t>
      </w:r>
      <w:r w:rsidRPr="009448FC">
        <w:rPr>
          <w:rFonts w:eastAsia="MS Mincho"/>
          <w:sz w:val="23"/>
        </w:rPr>
        <w:t xml:space="preserve">. In addition, the initiator shall set the SNR Report field to the SNR measured on </w:t>
      </w:r>
      <w:r w:rsidRPr="009448FC">
        <w:t xml:space="preserve">the frame received with highest SNR during the responder TXSS. The SS-Feedback frame shall be transmitted through the sector identified by the value of the Sector Select field </w:t>
      </w:r>
      <w:r w:rsidR="00751EC4" w:rsidRPr="009448FC">
        <w:t>and Ant</w:t>
      </w:r>
      <w:r w:rsidR="003660C2">
        <w:t>enna</w:t>
      </w:r>
      <w:r w:rsidR="00751EC4" w:rsidRPr="009448FC">
        <w:t xml:space="preserve"> Select field </w:t>
      </w:r>
      <w:r w:rsidRPr="009448FC">
        <w:t>received from the responder during the preceding responder TXSS.</w:t>
      </w:r>
    </w:p>
    <w:p w:rsidR="00022C45" w:rsidRPr="009448FC" w:rsidRDefault="00022C45" w:rsidP="00022C45"/>
    <w:p w:rsidR="00022C45" w:rsidRPr="009448FC" w:rsidRDefault="00022C45" w:rsidP="00022C45">
      <w:r w:rsidRPr="009448FC">
        <w:t>When responder RXSS was performed during the preceding RSS, the initiator shall set the Sector Select field in the SS-Feedback frame it transmits to zero</w:t>
      </w:r>
      <w:r w:rsidRPr="009448FC" w:rsidDel="00D20B08">
        <w:t xml:space="preserve"> </w:t>
      </w:r>
      <w:r w:rsidRPr="009448FC">
        <w:t>and the responder shall ignore the value of the Sector Select field transmitted by the initiator in the SS-Feedback frame. T</w:t>
      </w:r>
      <w:r w:rsidRPr="009448FC">
        <w:rPr>
          <w:rFonts w:eastAsia="MS Mincho"/>
          <w:sz w:val="23"/>
        </w:rPr>
        <w:t>he initiator shall set the SNR Report field to zero.</w:t>
      </w:r>
      <w:r w:rsidRPr="009448FC">
        <w:t xml:space="preserve"> The SS-Feedback frame shall be transmitted through the sector identified by the value of the Sector Select field received from the responder during its most recently completed responder T</w:t>
      </w:r>
      <w:r w:rsidR="00CC7CD9">
        <w:t>/R</w:t>
      </w:r>
      <w:r w:rsidRPr="009448FC">
        <w:t>XSS with the initiator.</w:t>
      </w:r>
    </w:p>
    <w:p w:rsidR="00022C45" w:rsidRPr="009448FC" w:rsidRDefault="00022C45" w:rsidP="00022C45"/>
    <w:p w:rsidR="00FD531B" w:rsidRDefault="00022C45" w:rsidP="00B358CE">
      <w:r w:rsidRPr="009448FC">
        <w:lastRenderedPageBreak/>
        <w:t xml:space="preserve">In the transmitted SS-Feedback frame, the initiator shall set the </w:t>
      </w:r>
      <w:r w:rsidR="005526CC">
        <w:t xml:space="preserve">TX-TRN-REQ </w:t>
      </w:r>
      <w:r w:rsidRPr="009448FC">
        <w:t xml:space="preserve">field to one if it desires to have transmitter training as part of the beam refinement phase and shall set the L-RX field to indicate the length of the training sequence it requests the responder to use in the beam refinement phase. </w:t>
      </w:r>
      <w:r w:rsidR="00552612" w:rsidRPr="00552612">
        <w:t xml:space="preserve">If the initiator desires to carry out the MIDC phase as part of the beam refinement process, it </w:t>
      </w:r>
      <w:r w:rsidR="005A00FF">
        <w:t xml:space="preserve">shall set </w:t>
      </w:r>
      <w:r w:rsidR="005A00FF" w:rsidRPr="00552612">
        <w:t xml:space="preserve">the BC-request field to one to </w:t>
      </w:r>
      <w:r w:rsidR="005A00FF">
        <w:t xml:space="preserve">request </w:t>
      </w:r>
      <w:r w:rsidR="005A00FF" w:rsidRPr="00552612">
        <w:t xml:space="preserve">a BC </w:t>
      </w:r>
      <w:r w:rsidR="005A515D">
        <w:t>sub-</w:t>
      </w:r>
      <w:r w:rsidR="005A00FF" w:rsidRPr="00552612">
        <w:t xml:space="preserve">phase </w:t>
      </w:r>
      <w:r w:rsidR="005A00FF">
        <w:t xml:space="preserve">and </w:t>
      </w:r>
      <w:r w:rsidR="00552612" w:rsidRPr="00552612">
        <w:t xml:space="preserve">shall set the MID-request field to one </w:t>
      </w:r>
      <w:r w:rsidR="005A00FF">
        <w:t xml:space="preserve">to request </w:t>
      </w:r>
      <w:r w:rsidR="00552612" w:rsidRPr="00552612">
        <w:t>an MID sub</w:t>
      </w:r>
      <w:r w:rsidR="005A00FF">
        <w:t>-</w:t>
      </w:r>
      <w:r w:rsidR="00552612" w:rsidRPr="00552612">
        <w:t>phase and</w:t>
      </w:r>
      <w:r w:rsidR="005A00FF">
        <w:t xml:space="preserve">, in this case, </w:t>
      </w:r>
      <w:r w:rsidR="00552612" w:rsidRPr="00552612">
        <w:t xml:space="preserve">the L-RX field </w:t>
      </w:r>
      <w:r w:rsidR="005A00FF">
        <w:t xml:space="preserve">shall be set </w:t>
      </w:r>
      <w:r w:rsidR="00552612" w:rsidRPr="00552612">
        <w:t xml:space="preserve">to indicate the number of receive AWVs </w:t>
      </w:r>
      <w:r w:rsidR="005A00FF">
        <w:t>the initiator will use during the MID sub-</w:t>
      </w:r>
      <w:r w:rsidR="00552612" w:rsidRPr="00552612">
        <w:t>phase</w:t>
      </w:r>
      <w:r w:rsidR="00552612">
        <w:t xml:space="preserve">. </w:t>
      </w:r>
      <w:r w:rsidR="00DC1D42" w:rsidRPr="00DC1D42">
        <w:t xml:space="preserve">If the initiator desires to carry out the MIDC phase as part of the beam refinement process, it shall set the BC-request field to one to request a </w:t>
      </w:r>
      <w:r w:rsidR="005A515D">
        <w:t>sub-</w:t>
      </w:r>
      <w:r w:rsidR="00DC1D42" w:rsidRPr="00DC1D42">
        <w:t>BC phase and shall set the MID-request field to one to request an MID sub-phase and, in this case, the L-RX field shall be set to indicate the number of receive AWVs the initiator will use during the MID sub-phase</w:t>
      </w:r>
      <w:r w:rsidR="00DC1D42">
        <w:t>.</w:t>
      </w:r>
      <w:r w:rsidR="00080054">
        <w:t xml:space="preserve"> </w:t>
      </w:r>
      <w:r w:rsidRPr="009448FC">
        <w:t>The initiator shall set the Direction field to zero in the SS-Feedback frame.</w:t>
      </w:r>
      <w:r w:rsidR="00BE1F31">
        <w:t xml:space="preserve"> </w:t>
      </w:r>
    </w:p>
    <w:p w:rsidR="00080054" w:rsidRDefault="00080054" w:rsidP="00B358CE"/>
    <w:p w:rsidR="00FD531B" w:rsidRDefault="00FD531B" w:rsidP="00B358CE">
      <w:r w:rsidRPr="00FD531B">
        <w:t>If the responder receives an SS-Feedback frame from the initiator before it comple</w:t>
      </w:r>
      <w:r>
        <w:t xml:space="preserve">tes the RSS with the initiator such as is described in </w:t>
      </w:r>
      <w:r w:rsidR="00BD151C">
        <w:fldChar w:fldCharType="begin"/>
      </w:r>
      <w:r>
        <w:instrText xml:space="preserve"> REF _Ref255311178 \r \h </w:instrText>
      </w:r>
      <w:r w:rsidR="00BD151C">
        <w:fldChar w:fldCharType="separate"/>
      </w:r>
      <w:r w:rsidR="003E4210">
        <w:t>9.25.4</w:t>
      </w:r>
      <w:r w:rsidR="00BD151C">
        <w:fldChar w:fldCharType="end"/>
      </w:r>
      <w:r w:rsidRPr="00FD531B">
        <w:t>, the responder may cease the RSS.</w:t>
      </w:r>
    </w:p>
    <w:p w:rsidR="00022C45" w:rsidRPr="009448FC" w:rsidRDefault="00022C45" w:rsidP="00B358CE">
      <w:r w:rsidRPr="009448FC">
        <w:t xml:space="preserve"> </w:t>
      </w:r>
    </w:p>
    <w:p w:rsidR="00022C45" w:rsidRPr="009448FC" w:rsidRDefault="00022C45" w:rsidP="003701DB">
      <w:pPr>
        <w:pStyle w:val="Heading4"/>
        <w:numPr>
          <w:ilvl w:val="3"/>
          <w:numId w:val="43"/>
        </w:numPr>
      </w:pPr>
      <w:bookmarkStart w:id="1599" w:name="_Toc241556195"/>
      <w:bookmarkStart w:id="1600" w:name="_Ref243107095"/>
      <w:bookmarkStart w:id="1601" w:name="_Ref243107114"/>
      <w:bookmarkStart w:id="1602" w:name="_Ref244080061"/>
      <w:bookmarkStart w:id="1603" w:name="_Ref244148556"/>
      <w:bookmarkStart w:id="1604" w:name="_Ref244148633"/>
      <w:bookmarkStart w:id="1605" w:name="_Ref244251086"/>
      <w:bookmarkStart w:id="1606" w:name="_Ref253557495"/>
      <w:bookmarkStart w:id="1607" w:name="_Toc259717147"/>
      <w:r w:rsidRPr="009448FC">
        <w:t>Sector Sweep ACK</w:t>
      </w:r>
      <w:bookmarkEnd w:id="1599"/>
      <w:bookmarkEnd w:id="1600"/>
      <w:bookmarkEnd w:id="1601"/>
      <w:bookmarkEnd w:id="1602"/>
      <w:bookmarkEnd w:id="1603"/>
      <w:bookmarkEnd w:id="1604"/>
      <w:bookmarkEnd w:id="1605"/>
      <w:bookmarkEnd w:id="1606"/>
      <w:bookmarkEnd w:id="1607"/>
    </w:p>
    <w:p w:rsidR="00022C45" w:rsidRPr="009448FC" w:rsidRDefault="00022C45" w:rsidP="00022C45">
      <w:r w:rsidRPr="009448FC">
        <w:t>When present, the Sector Sweep ACK (SS</w:t>
      </w:r>
      <w:r w:rsidR="00502CE3">
        <w:t xml:space="preserve"> </w:t>
      </w:r>
      <w:r w:rsidRPr="009448FC">
        <w:t xml:space="preserve">ACK) occurs </w:t>
      </w:r>
      <w:r w:rsidR="00502CE3">
        <w:t xml:space="preserve">SIFS interval </w:t>
      </w:r>
      <w:r w:rsidRPr="009448FC">
        <w:t xml:space="preserve">following </w:t>
      </w:r>
      <w:r w:rsidR="00502CE3">
        <w:t xml:space="preserve">an SS </w:t>
      </w:r>
      <w:r w:rsidRPr="009448FC">
        <w:t>Feedback.</w:t>
      </w:r>
    </w:p>
    <w:p w:rsidR="00022C45" w:rsidRPr="009448FC" w:rsidRDefault="00022C45" w:rsidP="00022C45"/>
    <w:p w:rsidR="00022C45" w:rsidRPr="009448FC" w:rsidRDefault="00022C45" w:rsidP="003660C2">
      <w:r w:rsidRPr="009448FC">
        <w:t>When a responder TXSS is performed during an RSS, the responder shall transmit a</w:t>
      </w:r>
      <w:r w:rsidR="00502CE3">
        <w:t>n</w:t>
      </w:r>
      <w:r w:rsidRPr="009448FC">
        <w:t xml:space="preserve"> SS-ACK frame t</w:t>
      </w:r>
      <w:r w:rsidR="00502CE3">
        <w:t xml:space="preserve">o the initiator to perform an SS </w:t>
      </w:r>
      <w:r w:rsidRPr="009448FC">
        <w:t xml:space="preserve">ACK. The SS-ACK frame shall be transmitted through the sector identified by the value of the Sector Select field </w:t>
      </w:r>
      <w:r w:rsidR="00751EC4" w:rsidRPr="009448FC">
        <w:t>and the Ant</w:t>
      </w:r>
      <w:r w:rsidR="003660C2">
        <w:t>enna</w:t>
      </w:r>
      <w:r w:rsidR="00751EC4" w:rsidRPr="009448FC">
        <w:t xml:space="preserve"> Select </w:t>
      </w:r>
      <w:r w:rsidR="004608C3">
        <w:t>f</w:t>
      </w:r>
      <w:r w:rsidR="00751EC4" w:rsidRPr="009448FC">
        <w:t xml:space="preserve">ield </w:t>
      </w:r>
      <w:r w:rsidRPr="009448FC">
        <w:t>received from the initiator in the SS Feedback.</w:t>
      </w:r>
      <w:r w:rsidR="00D11F2E">
        <w:t xml:space="preserve"> </w:t>
      </w:r>
      <w:r w:rsidR="00E172BC">
        <w:t xml:space="preserve"> </w:t>
      </w:r>
    </w:p>
    <w:p w:rsidR="006E798D" w:rsidRDefault="00BE5866" w:rsidP="006E798D">
      <w:r>
        <w:t xml:space="preserve"> </w:t>
      </w:r>
    </w:p>
    <w:p w:rsidR="006E798D" w:rsidRDefault="006E798D" w:rsidP="006E798D">
      <w:r>
        <w:t>When an RXSS was performed during the RSS</w:t>
      </w:r>
      <w:r w:rsidR="00954901">
        <w:t>,</w:t>
      </w:r>
      <w:r>
        <w:t xml:space="preserve"> an SS-ACK frame shall be sent by the responder to the </w:t>
      </w:r>
      <w:r w:rsidR="00954901">
        <w:t>initiator</w:t>
      </w:r>
      <w:r>
        <w:t>.</w:t>
      </w:r>
      <w:r w:rsidR="00D11F2E">
        <w:t xml:space="preserve"> </w:t>
      </w:r>
      <w:r>
        <w:t>The SS-ACK should be sent by the same antenna used in the RSS.</w:t>
      </w:r>
      <w:r w:rsidR="00D11F2E">
        <w:t xml:space="preserve"> </w:t>
      </w:r>
      <w:r>
        <w:t>When the responder has used more than one antenna in the RSS, it should use the antenna indicated in the antenna select field in the SS-Feedback</w:t>
      </w:r>
      <w:r w:rsidR="00954901">
        <w:t xml:space="preserve"> frame</w:t>
      </w:r>
      <w:r>
        <w:t>.</w:t>
      </w:r>
    </w:p>
    <w:p w:rsidR="00022C45" w:rsidRPr="009448FC" w:rsidRDefault="00022C45" w:rsidP="00022C45"/>
    <w:p w:rsidR="000C2017" w:rsidRDefault="00022C45" w:rsidP="000C2017">
      <w:r w:rsidRPr="009448FC">
        <w:t xml:space="preserve">In the transmitted SS-ACK frame, the responder shall set the </w:t>
      </w:r>
      <w:r w:rsidR="000B0482">
        <w:t>TX-TRN-REQ</w:t>
      </w:r>
      <w:r w:rsidRPr="009448FC">
        <w:t xml:space="preserve"> field to </w:t>
      </w:r>
      <w:r w:rsidR="000B0482" w:rsidRPr="000B0482">
        <w:t>one if it requires transmitter training as part of the beam refinement phase</w:t>
      </w:r>
      <w:r w:rsidR="000553BD">
        <w:t xml:space="preserve"> </w:t>
      </w:r>
      <w:r w:rsidRPr="009448FC">
        <w:t>and shall set the L-RX field to the length of the training sequence it requests the initiator to use in the beam refinement phase. The responder shall set the Direction field to one in the SS-ACK frame.</w:t>
      </w:r>
      <w:r w:rsidR="00D11F2E">
        <w:t xml:space="preserve"> </w:t>
      </w:r>
      <w:r w:rsidR="000C2017">
        <w:t>If the responder desires to carry out an MID sub-phase, it sets the MID-REQ bit to one in the BRP request field of the SS</w:t>
      </w:r>
      <w:r w:rsidR="00D11F2E">
        <w:t xml:space="preserve"> </w:t>
      </w:r>
      <w:r w:rsidR="000C2017">
        <w:t>frame.</w:t>
      </w:r>
      <w:r w:rsidR="00D11F2E">
        <w:t xml:space="preserve"> </w:t>
      </w:r>
      <w:r w:rsidR="000C2017">
        <w:t>In this case it shall also set the L-RX field to indicate the number of receive AWVs it will use during the MID sub-phase.</w:t>
      </w:r>
      <w:r w:rsidR="00D11F2E">
        <w:t xml:space="preserve"> </w:t>
      </w:r>
      <w:r w:rsidR="000C2017">
        <w:t xml:space="preserve">If it desires to carry out a BC </w:t>
      </w:r>
      <w:r w:rsidR="005A515D">
        <w:t>sub-</w:t>
      </w:r>
      <w:r w:rsidR="000C2017">
        <w:t>phase, it sets the BC-REQ bit to 1.</w:t>
      </w:r>
      <w:r w:rsidR="00D11F2E">
        <w:t xml:space="preserve"> </w:t>
      </w:r>
      <w:r w:rsidR="000C2017">
        <w:t xml:space="preserve">If the initiator has set either the MID-REQ bit or the BC-REQ </w:t>
      </w:r>
      <w:r w:rsidR="00954901">
        <w:t>fields</w:t>
      </w:r>
      <w:r w:rsidR="000C2017">
        <w:t xml:space="preserve"> to </w:t>
      </w:r>
      <w:r w:rsidR="00954901">
        <w:t xml:space="preserve">one </w:t>
      </w:r>
      <w:r w:rsidR="000C2017">
        <w:t xml:space="preserve">in the SS-Feedback frame, the responder may set the MID-grant or the BC-grant </w:t>
      </w:r>
      <w:r w:rsidR="00954901">
        <w:t xml:space="preserve">fields </w:t>
      </w:r>
      <w:r w:rsidR="000C2017">
        <w:t>to one</w:t>
      </w:r>
      <w:r w:rsidR="00954901">
        <w:t>,</w:t>
      </w:r>
      <w:r w:rsidR="000C2017">
        <w:t xml:space="preserve"> or both</w:t>
      </w:r>
      <w:r w:rsidR="00954901">
        <w:t>,</w:t>
      </w:r>
      <w:r w:rsidR="000C2017">
        <w:t xml:space="preserve"> to grant the requests.</w:t>
      </w:r>
      <w:r w:rsidR="00BE1F31">
        <w:t xml:space="preserve"> </w:t>
      </w:r>
    </w:p>
    <w:p w:rsidR="00022C45" w:rsidRPr="009448FC" w:rsidRDefault="00022C45" w:rsidP="00022C45"/>
    <w:p w:rsidR="00022C45" w:rsidRPr="009448FC" w:rsidRDefault="00022C45" w:rsidP="003660C2">
      <w:r w:rsidRPr="009448FC">
        <w:t xml:space="preserve">At the start of an SS ACK, the initiator should have its receive antenna array configured to a quasi-omni </w:t>
      </w:r>
      <w:r w:rsidR="00CC21E9" w:rsidRPr="009448FC">
        <w:t>antenna</w:t>
      </w:r>
      <w:r w:rsidR="00281486" w:rsidRPr="009448FC">
        <w:t xml:space="preserve"> </w:t>
      </w:r>
      <w:r w:rsidR="00751EC4" w:rsidRPr="009448FC">
        <w:t xml:space="preserve">pattern </w:t>
      </w:r>
      <w:r w:rsidR="00502CE3">
        <w:t>using</w:t>
      </w:r>
      <w:r w:rsidR="00751EC4" w:rsidRPr="009448FC">
        <w:t xml:space="preserve"> the antenna through which it received with the highest quality during the R</w:t>
      </w:r>
      <w:r w:rsidR="00546245" w:rsidRPr="009448FC">
        <w:t>SS</w:t>
      </w:r>
      <w:r w:rsidR="00751EC4" w:rsidRPr="009448FC">
        <w:t xml:space="preserve"> </w:t>
      </w:r>
      <w:r w:rsidRPr="009448FC">
        <w:t>and should not change its receive antenna array configuration while it attempts to receive from the responder until the expected end of the SS ACK.</w:t>
      </w:r>
      <w:r w:rsidR="00BE1F31">
        <w:t xml:space="preserve"> </w:t>
      </w:r>
    </w:p>
    <w:p w:rsidR="00812F1B" w:rsidRPr="009448FC" w:rsidRDefault="00022C45" w:rsidP="003701DB">
      <w:pPr>
        <w:pStyle w:val="Heading3"/>
        <w:numPr>
          <w:ilvl w:val="2"/>
          <w:numId w:val="30"/>
        </w:numPr>
      </w:pPr>
      <w:bookmarkStart w:id="1608" w:name="_Toc241556196"/>
      <w:bookmarkStart w:id="1609" w:name="_Toc259717148"/>
      <w:r w:rsidRPr="009448FC">
        <w:t>Beam Refinement (BRP) Phase</w:t>
      </w:r>
      <w:bookmarkEnd w:id="1608"/>
      <w:bookmarkEnd w:id="1609"/>
    </w:p>
    <w:p w:rsidR="00812F1B" w:rsidRPr="009448FC" w:rsidRDefault="00812F1B" w:rsidP="00812F1B">
      <w:r w:rsidRPr="009448FC">
        <w:t>BRP is a process in which a STA trains its RX/TX antenna array and improves its TX antenna array configuration and RX antenna array configuration using an iterative procedure. BRP may be used regardless of the antenna configuration a STA supports.</w:t>
      </w:r>
    </w:p>
    <w:p w:rsidR="00812F1B" w:rsidRPr="009448FC" w:rsidRDefault="00812F1B" w:rsidP="00812F1B"/>
    <w:p w:rsidR="00812F1B" w:rsidRDefault="005049AB" w:rsidP="00C90190">
      <w:r w:rsidRPr="009448FC">
        <w:t xml:space="preserve">The BRP </w:t>
      </w:r>
      <w:r>
        <w:rPr>
          <w:rFonts w:hint="eastAsia"/>
        </w:rPr>
        <w:t>p</w:t>
      </w:r>
      <w:r>
        <w:t>hase is</w:t>
      </w:r>
      <w:r w:rsidRPr="009448FC">
        <w:t xml:space="preserve"> composed of a BRP setup </w:t>
      </w:r>
      <w:r>
        <w:rPr>
          <w:rFonts w:hint="eastAsia"/>
        </w:rPr>
        <w:t>sub-</w:t>
      </w:r>
      <w:r w:rsidRPr="009448FC">
        <w:t>phase</w:t>
      </w:r>
      <w:r>
        <w:t xml:space="preserve">, </w:t>
      </w:r>
      <w:r w:rsidR="005A515D">
        <w:t xml:space="preserve">an </w:t>
      </w:r>
      <w:r>
        <w:t>MID (Multiple sector ID</w:t>
      </w:r>
      <w:r>
        <w:rPr>
          <w:rFonts w:hint="eastAsia"/>
        </w:rPr>
        <w:t xml:space="preserve"> Detection</w:t>
      </w:r>
      <w:r w:rsidRPr="009448FC">
        <w:t xml:space="preserve">) </w:t>
      </w:r>
      <w:r>
        <w:rPr>
          <w:rFonts w:hint="eastAsia"/>
        </w:rPr>
        <w:t>sub-</w:t>
      </w:r>
      <w:r w:rsidRPr="009448FC">
        <w:t xml:space="preserve">phase, </w:t>
      </w:r>
      <w:r w:rsidR="005A515D">
        <w:t xml:space="preserve">a </w:t>
      </w:r>
      <w:r w:rsidRPr="009448FC">
        <w:t>BC (Beam Combin</w:t>
      </w:r>
      <w:r>
        <w:rPr>
          <w:rFonts w:hint="eastAsia"/>
        </w:rPr>
        <w:t>ing</w:t>
      </w:r>
      <w:r w:rsidRPr="009448FC">
        <w:t xml:space="preserve">) </w:t>
      </w:r>
      <w:r>
        <w:rPr>
          <w:rFonts w:hint="eastAsia"/>
        </w:rPr>
        <w:t>sub-</w:t>
      </w:r>
      <w:r w:rsidRPr="009448FC">
        <w:t xml:space="preserve">phase, and </w:t>
      </w:r>
      <w:r>
        <w:rPr>
          <w:rFonts w:hint="eastAsia"/>
        </w:rPr>
        <w:t xml:space="preserve">one or more </w:t>
      </w:r>
      <w:r w:rsidRPr="009448FC">
        <w:t xml:space="preserve">beam refinement </w:t>
      </w:r>
      <w:r>
        <w:rPr>
          <w:rFonts w:hint="eastAsia"/>
        </w:rPr>
        <w:t>transactions</w:t>
      </w:r>
      <w:r w:rsidR="006D2EC0" w:rsidRPr="009448FC">
        <w:t xml:space="preserve">. </w:t>
      </w:r>
      <w:r w:rsidR="00812F1B" w:rsidRPr="009448FC">
        <w:t xml:space="preserve">The BRP setup </w:t>
      </w:r>
      <w:r w:rsidR="005A515D">
        <w:t>sub-</w:t>
      </w:r>
      <w:r w:rsidR="00812F1B" w:rsidRPr="009448FC">
        <w:t>phase may be skipped if the BRP follows an SS-ACK frame and no MID or BC were requested during the SLS</w:t>
      </w:r>
      <w:r w:rsidR="006D2EC0" w:rsidRPr="009448FC">
        <w:t xml:space="preserve">. </w:t>
      </w:r>
      <w:r w:rsidR="00C90190">
        <w:t>MID and BC</w:t>
      </w:r>
      <w:r w:rsidR="00812F1B" w:rsidRPr="009448FC">
        <w:t xml:space="preserve"> </w:t>
      </w:r>
      <w:r w:rsidR="005A515D">
        <w:t>sub-</w:t>
      </w:r>
      <w:r w:rsidR="00812F1B" w:rsidRPr="009448FC">
        <w:t xml:space="preserve">phases can be skipped if </w:t>
      </w:r>
      <w:r w:rsidR="00C90190">
        <w:t xml:space="preserve">either </w:t>
      </w:r>
      <w:r w:rsidR="00812F1B" w:rsidRPr="009448FC">
        <w:t xml:space="preserve">sides indicate that the </w:t>
      </w:r>
      <w:r w:rsidR="005A515D">
        <w:t>sub-</w:t>
      </w:r>
      <w:r w:rsidR="00812F1B" w:rsidRPr="009448FC">
        <w:t>phase is not needed by setting the appropriate requests fields or by setting grant fields to zero.</w:t>
      </w:r>
      <w:r w:rsidR="00D11F2E">
        <w:t xml:space="preserve"> </w:t>
      </w:r>
      <w:r w:rsidR="00C90190" w:rsidRPr="00C90190">
        <w:t>The beam refinement phase can be skipped if both sides indicate that the phase is not needed by setting the appropriate requests fields or by setting grant fields to zero.</w:t>
      </w:r>
      <w:r w:rsidR="00C90190">
        <w:t xml:space="preserve"> </w:t>
      </w:r>
    </w:p>
    <w:p w:rsidR="00464222" w:rsidRPr="009448FC" w:rsidRDefault="00464222" w:rsidP="00C90190"/>
    <w:p w:rsidR="00464222" w:rsidRDefault="00464222" w:rsidP="00464222">
      <w:r>
        <w:t xml:space="preserve">The MID sub-phase is composed of I-MID </w:t>
      </w:r>
      <w:r w:rsidR="005A515D">
        <w:t>sub-phase</w:t>
      </w:r>
      <w:r>
        <w:t>, which consists of one or more transmission</w:t>
      </w:r>
      <w:r w:rsidR="005A515D">
        <w:t>s</w:t>
      </w:r>
      <w:r>
        <w:t xml:space="preserve"> of BRP-RX packets, an R-MID </w:t>
      </w:r>
      <w:r w:rsidR="005A515D">
        <w:t>sub-phase</w:t>
      </w:r>
      <w:r>
        <w:t xml:space="preserve"> which consists of one or more transmissions of BRP packet</w:t>
      </w:r>
      <w:r w:rsidR="005A515D">
        <w:t>s, and a feedback</w:t>
      </w:r>
      <w:r>
        <w:t>.</w:t>
      </w:r>
      <w:r w:rsidR="00D11F2E">
        <w:t xml:space="preserve"> </w:t>
      </w:r>
    </w:p>
    <w:p w:rsidR="00464222" w:rsidRDefault="00464222" w:rsidP="00464222"/>
    <w:p w:rsidR="00464222" w:rsidRPr="009448FC" w:rsidRDefault="00464222" w:rsidP="00464222">
      <w:r>
        <w:t xml:space="preserve">The BC </w:t>
      </w:r>
      <w:r w:rsidR="005A515D">
        <w:t>sub-phase</w:t>
      </w:r>
      <w:r>
        <w:t xml:space="preserve"> is composed of either I-BC </w:t>
      </w:r>
      <w:r w:rsidR="005A515D">
        <w:t>sub-phase</w:t>
      </w:r>
      <w:r>
        <w:t xml:space="preserve"> </w:t>
      </w:r>
      <w:r w:rsidR="000C0053">
        <w:t xml:space="preserve">or </w:t>
      </w:r>
      <w:r>
        <w:t xml:space="preserve">R-BC </w:t>
      </w:r>
      <w:r w:rsidR="005A515D">
        <w:t>sub-phase</w:t>
      </w:r>
      <w:r>
        <w:t xml:space="preserve"> or both.</w:t>
      </w:r>
      <w:r w:rsidR="00D11F2E">
        <w:t xml:space="preserve"> </w:t>
      </w:r>
      <w:r w:rsidR="000C0053">
        <w:t>T</w:t>
      </w:r>
      <w:r>
        <w:t>hese are composed of transmission of BRP-RX packet</w:t>
      </w:r>
      <w:r w:rsidR="000C0053">
        <w:t>s</w:t>
      </w:r>
      <w:r>
        <w:t xml:space="preserve"> to select a beam.</w:t>
      </w:r>
    </w:p>
    <w:p w:rsidR="00566604" w:rsidRPr="007B2D72" w:rsidRDefault="00E6414D" w:rsidP="00566604">
      <w:pPr>
        <w:rPr>
          <w:rFonts w:eastAsia="Batang"/>
          <w:sz w:val="23"/>
        </w:rPr>
      </w:pPr>
      <w:r>
        <w:t xml:space="preserve"> </w:t>
      </w:r>
    </w:p>
    <w:p w:rsidR="00022C45" w:rsidRPr="009448FC" w:rsidRDefault="00022C45" w:rsidP="00022C45">
      <w:r w:rsidRPr="009448FC">
        <w:t>A beam refinement transaction is a set of beam refinement frames consisting of beam refinement requests and respon</w:t>
      </w:r>
      <w:r w:rsidR="00A71778" w:rsidRPr="009448FC">
        <w:t xml:space="preserve">ses. </w:t>
      </w:r>
      <w:r w:rsidRPr="009448FC">
        <w:t>A beam refinement request can be either a transmit beam refinement request or a receive beam refinement request.</w:t>
      </w:r>
    </w:p>
    <w:p w:rsidR="00022C45" w:rsidRPr="009448FC" w:rsidRDefault="00022C45" w:rsidP="00022C45"/>
    <w:p w:rsidR="00022C45" w:rsidRPr="009448FC" w:rsidRDefault="00022C45" w:rsidP="0014063A">
      <w:r w:rsidRPr="009448FC">
        <w:t xml:space="preserve">A transmit beam refinement request (TX-TRN-REQ field within the </w:t>
      </w:r>
      <w:r w:rsidR="00BE5866">
        <w:t xml:space="preserve">BRP Request field </w:t>
      </w:r>
      <w:r w:rsidRPr="009448FC">
        <w:t>set to one) indicates the need of the TX antenna array trai</w:t>
      </w:r>
      <w:r w:rsidR="00A71778" w:rsidRPr="009448FC">
        <w:t xml:space="preserve">ning for the transmitting STA. </w:t>
      </w:r>
      <w:r w:rsidRPr="009448FC">
        <w:t>The beam refinement packet that has the TX-TRN-REQ set to one (or the next packet from this STA) shall include transmit training sub</w:t>
      </w:r>
      <w:r w:rsidR="00A71778" w:rsidRPr="009448FC">
        <w:t xml:space="preserve">fields (TRN-T) appended to it. </w:t>
      </w:r>
      <w:r w:rsidRPr="009448FC">
        <w:t>The STA responding to the beam refinement packet shall include feedback based on measurements it performed during the reception of the beam refinement packet. The feedback type is dictated by the FBCK-TYPE field within the mmWave Beam refinement element contained in the beam refinement packet.</w:t>
      </w:r>
    </w:p>
    <w:p w:rsidR="00022C45" w:rsidRPr="009448FC" w:rsidRDefault="00022C45" w:rsidP="00022C45"/>
    <w:p w:rsidR="00022C45" w:rsidRPr="009448FC" w:rsidRDefault="00022C45" w:rsidP="0014063A">
      <w:r w:rsidRPr="009448FC">
        <w:t xml:space="preserve">A receive beam refinement request (L-RX field within the </w:t>
      </w:r>
      <w:r w:rsidR="00BE5866">
        <w:t xml:space="preserve">BRP Request Field </w:t>
      </w:r>
      <w:r w:rsidRPr="009448FC">
        <w:t>greater than zero) indicates the need of the receive antenna array trai</w:t>
      </w:r>
      <w:r w:rsidR="00A71778" w:rsidRPr="009448FC">
        <w:t xml:space="preserve">ning for the transmitting STA. </w:t>
      </w:r>
      <w:r w:rsidRPr="009448FC">
        <w:t>The responding STA shall respond with a beam refinement packet with receive training subfields (TRN-R) appended to it.</w:t>
      </w:r>
    </w:p>
    <w:p w:rsidR="00022C45" w:rsidRPr="009448FC" w:rsidRDefault="00022C45" w:rsidP="00022C45"/>
    <w:p w:rsidR="00022C45" w:rsidRPr="009448FC" w:rsidRDefault="00022C45" w:rsidP="00022C45">
      <w:r w:rsidRPr="009448FC">
        <w:t>Requests and responses can be combined in the same frame.</w:t>
      </w:r>
      <w:r w:rsidR="00281486" w:rsidRPr="009448FC">
        <w:t xml:space="preserve"> </w:t>
      </w:r>
      <w:r w:rsidRPr="009448FC">
        <w:t>As an example, the same frame can be both a transmit beam refinement request and a receive beam refinement request.</w:t>
      </w:r>
      <w:r w:rsidR="00281486" w:rsidRPr="009448FC">
        <w:t xml:space="preserve"> </w:t>
      </w:r>
      <w:r w:rsidRPr="009448FC">
        <w:t>The same frame can also be used as receive beam refinement response and a re</w:t>
      </w:r>
      <w:r w:rsidR="00A71778" w:rsidRPr="009448FC">
        <w:t xml:space="preserve">ceive beam refinement request. </w:t>
      </w:r>
      <w:r w:rsidRPr="009448FC">
        <w:t xml:space="preserve">See the example in </w:t>
      </w:r>
      <w:r w:rsidR="00BD151C">
        <w:fldChar w:fldCharType="begin"/>
      </w:r>
      <w:r>
        <w:instrText xml:space="preserve"> REF _Ref241398046 \h </w:instrText>
      </w:r>
      <w:r w:rsidR="00BD151C">
        <w:fldChar w:fldCharType="separate"/>
      </w:r>
      <w:r w:rsidR="003E4210" w:rsidRPr="00066F65">
        <w:t xml:space="preserve">Figure </w:t>
      </w:r>
      <w:r w:rsidR="003E4210">
        <w:rPr>
          <w:noProof/>
        </w:rPr>
        <w:t>92</w:t>
      </w:r>
      <w:r w:rsidR="00BD151C">
        <w:fldChar w:fldCharType="end"/>
      </w:r>
      <w:r w:rsidRPr="009448FC">
        <w:t>.</w:t>
      </w:r>
    </w:p>
    <w:p w:rsidR="00022C45" w:rsidRPr="009448FC" w:rsidRDefault="00022C45" w:rsidP="00022C45"/>
    <w:p w:rsidR="008E635B" w:rsidRPr="009448FC" w:rsidRDefault="00022C45" w:rsidP="000553BD">
      <w:r w:rsidRPr="009448FC">
        <w:t>Beam refinement responses are separated from beam refinement requests by at least</w:t>
      </w:r>
      <w:r w:rsidR="00CE1E2B">
        <w:t xml:space="preserve"> a</w:t>
      </w:r>
      <w:r w:rsidRPr="009448FC">
        <w:t xml:space="preserve"> SIFS </w:t>
      </w:r>
      <w:r w:rsidR="00CE1E2B">
        <w:t xml:space="preserve">interval </w:t>
      </w:r>
      <w:r w:rsidRPr="009448FC">
        <w:t xml:space="preserve">and at most </w:t>
      </w:r>
      <w:r w:rsidR="00CE1E2B">
        <w:t xml:space="preserve">a </w:t>
      </w:r>
      <w:r w:rsidRPr="009448FC">
        <w:t xml:space="preserve">BRPIFS </w:t>
      </w:r>
      <w:r w:rsidR="00CE1E2B">
        <w:t xml:space="preserve">interval </w:t>
      </w:r>
      <w:r w:rsidRPr="009448FC">
        <w:t>provided sufficient time is available for the complete transmission of those frames within the allocation.</w:t>
      </w:r>
    </w:p>
    <w:p w:rsidR="00022C45" w:rsidRPr="009448FC" w:rsidRDefault="00022C45" w:rsidP="00022C45"/>
    <w:p w:rsidR="00022C45" w:rsidRPr="009448FC" w:rsidRDefault="00022C45" w:rsidP="00022C45">
      <w:r w:rsidRPr="009448FC">
        <w:t xml:space="preserve">When the beam refinement occurs within the same allocation as the SLS, the SLS initiator is </w:t>
      </w:r>
      <w:r w:rsidR="00A71778" w:rsidRPr="009448FC">
        <w:t xml:space="preserve">the beam refinement initiator. </w:t>
      </w:r>
      <w:r w:rsidRPr="009448FC">
        <w:t xml:space="preserve">If the beam refinement occurs in a separate allocation, the STA that transmits the first beam refinement request is </w:t>
      </w:r>
      <w:r w:rsidR="00A71778" w:rsidRPr="009448FC">
        <w:t xml:space="preserve">the beam refinement initiator. </w:t>
      </w:r>
      <w:r w:rsidRPr="009448FC">
        <w:t>The other STA is the beam refinement responder.</w:t>
      </w:r>
    </w:p>
    <w:p w:rsidR="00022C45" w:rsidRPr="009448FC" w:rsidRDefault="00022C45" w:rsidP="00022C45"/>
    <w:p w:rsidR="00022C45" w:rsidRPr="009448FC" w:rsidRDefault="00022C45" w:rsidP="00ED416B">
      <w:r w:rsidRPr="009448FC">
        <w:lastRenderedPageBreak/>
        <w:t xml:space="preserve">A beam refinement transaction is complete when the initiator determines that it does not need further training and </w:t>
      </w:r>
      <w:r w:rsidR="00ED416B" w:rsidRPr="00ED416B">
        <w:t>it has received a beam refinement frame with no training requests from the beam refinement responder</w:t>
      </w:r>
      <w:r w:rsidRPr="009448FC">
        <w:t>.</w:t>
      </w:r>
      <w:r w:rsidR="00ED416B">
        <w:t xml:space="preserve"> </w:t>
      </w:r>
    </w:p>
    <w:p w:rsidR="007770D1" w:rsidRPr="009448FC" w:rsidRDefault="007770D1" w:rsidP="00022C45"/>
    <w:p w:rsidR="00022C45" w:rsidRPr="009448FC" w:rsidRDefault="00022C45" w:rsidP="00022C45">
      <w:pPr>
        <w:keepNext/>
        <w:jc w:val="center"/>
      </w:pPr>
      <w:r w:rsidRPr="009448FC">
        <w:object w:dxaOrig="10279" w:dyaOrig="4919">
          <v:shape id="_x0000_i1056" type="#_x0000_t75" style="width:468.7pt;height:224.15pt" o:ole="">
            <v:imagedata r:id="rId159" o:title=""/>
          </v:shape>
          <o:OLEObject Type="Embed" ProgID="Visio.Drawing.11" ShapeID="_x0000_i1056" DrawAspect="Content" ObjectID="_1334048238" r:id="rId160"/>
        </w:object>
      </w:r>
    </w:p>
    <w:p w:rsidR="005B5F08" w:rsidRPr="00066F65" w:rsidRDefault="00022C45" w:rsidP="00BA5BC4">
      <w:pPr>
        <w:pStyle w:val="Caption"/>
        <w:rPr>
          <w:noProof/>
        </w:rPr>
      </w:pPr>
      <w:bookmarkStart w:id="1610" w:name="_Ref241398046"/>
      <w:bookmarkStart w:id="1611" w:name="_Toc259717524"/>
      <w:r w:rsidRPr="00066F65">
        <w:t xml:space="preserve">Figure </w:t>
      </w:r>
      <w:r w:rsidR="00BD151C">
        <w:fldChar w:fldCharType="begin"/>
      </w:r>
      <w:r w:rsidR="00801316">
        <w:instrText xml:space="preserve"> SEQ Figure \* ARABIC </w:instrText>
      </w:r>
      <w:r w:rsidR="00BD151C">
        <w:fldChar w:fldCharType="separate"/>
      </w:r>
      <w:r w:rsidR="003E4210">
        <w:rPr>
          <w:noProof/>
        </w:rPr>
        <w:t>92</w:t>
      </w:r>
      <w:r w:rsidR="00BD151C">
        <w:fldChar w:fldCharType="end"/>
      </w:r>
      <w:bookmarkEnd w:id="1610"/>
      <w:r w:rsidR="004D3860" w:rsidRPr="00066F65">
        <w:rPr>
          <w:noProof/>
        </w:rPr>
        <w:t xml:space="preserve"> </w:t>
      </w:r>
      <w:r w:rsidR="004D3860" w:rsidRPr="00066F65">
        <w:t>–</w:t>
      </w:r>
      <w:r w:rsidR="004D3860" w:rsidRPr="00066F65">
        <w:rPr>
          <w:noProof/>
        </w:rPr>
        <w:t xml:space="preserve"> </w:t>
      </w:r>
      <w:r w:rsidR="004C5E8A" w:rsidRPr="00066F65">
        <w:rPr>
          <w:noProof/>
        </w:rPr>
        <w:t>A</w:t>
      </w:r>
      <w:r w:rsidRPr="00066F65">
        <w:rPr>
          <w:noProof/>
        </w:rPr>
        <w:t>n example of a beam refinement transactions</w:t>
      </w:r>
      <w:bookmarkEnd w:id="1611"/>
    </w:p>
    <w:p w:rsidR="00022C45" w:rsidRPr="009448FC" w:rsidRDefault="005B5F08" w:rsidP="00571D79">
      <w:r w:rsidRPr="009448FC">
        <w:t xml:space="preserve">In </w:t>
      </w:r>
      <w:r w:rsidR="00BD151C" w:rsidRPr="009448FC">
        <w:fldChar w:fldCharType="begin"/>
      </w:r>
      <w:r w:rsidRPr="009448FC">
        <w:instrText xml:space="preserve"> REF _Ref241398046 \h </w:instrText>
      </w:r>
      <w:r w:rsidR="00BD151C" w:rsidRPr="009448FC">
        <w:fldChar w:fldCharType="separate"/>
      </w:r>
      <w:r w:rsidR="003E4210" w:rsidRPr="00066F65">
        <w:t xml:space="preserve">Figure </w:t>
      </w:r>
      <w:r w:rsidR="003E4210">
        <w:rPr>
          <w:noProof/>
        </w:rPr>
        <w:t>92</w:t>
      </w:r>
      <w:r w:rsidR="00BD151C" w:rsidRPr="009448FC">
        <w:fldChar w:fldCharType="end"/>
      </w:r>
      <w:r w:rsidR="00AA60D7" w:rsidRPr="009448FC">
        <w:t>, the</w:t>
      </w:r>
      <w:r w:rsidRPr="009448FC">
        <w:t xml:space="preserve"> f</w:t>
      </w:r>
      <w:r w:rsidR="00022C45" w:rsidRPr="009448FC">
        <w:t xml:space="preserve">irst packet </w:t>
      </w:r>
      <w:r w:rsidR="00CE1E2B">
        <w:t xml:space="preserve">(from the initiator) </w:t>
      </w:r>
      <w:r w:rsidR="00022C45" w:rsidRPr="009448FC">
        <w:t xml:space="preserve">has TX-TRN-REQ=1, </w:t>
      </w:r>
      <w:r w:rsidR="00CE1E2B">
        <w:t xml:space="preserve">the </w:t>
      </w:r>
      <w:r w:rsidR="00022C45" w:rsidRPr="009448FC">
        <w:t>L-RX</w:t>
      </w:r>
      <w:r w:rsidR="00CE1E2B">
        <w:t xml:space="preserve"> field has a value greater than zero</w:t>
      </w:r>
      <w:r w:rsidR="00022C45" w:rsidRPr="009448FC">
        <w:t xml:space="preserve"> and TRN-T subfields</w:t>
      </w:r>
      <w:r w:rsidR="00CE1E2B">
        <w:t xml:space="preserve"> are appended to the packet</w:t>
      </w:r>
      <w:r w:rsidR="00022C45" w:rsidRPr="009448FC">
        <w:t xml:space="preserve">. </w:t>
      </w:r>
      <w:r w:rsidR="00AA60D7" w:rsidRPr="009448FC">
        <w:t>The</w:t>
      </w:r>
      <w:r w:rsidR="00022C45" w:rsidRPr="009448FC">
        <w:t xml:space="preserve"> </w:t>
      </w:r>
      <w:r w:rsidR="00AA60D7" w:rsidRPr="009448FC">
        <w:t>s</w:t>
      </w:r>
      <w:r w:rsidR="00022C45" w:rsidRPr="009448FC">
        <w:t xml:space="preserve">econd packet </w:t>
      </w:r>
      <w:r w:rsidR="00CE1E2B">
        <w:t xml:space="preserve">(from the responder) </w:t>
      </w:r>
      <w:r w:rsidR="00022C45" w:rsidRPr="009448FC">
        <w:t xml:space="preserve">has </w:t>
      </w:r>
      <w:r w:rsidR="00571D79">
        <w:t xml:space="preserve">a value greater than zero in the </w:t>
      </w:r>
      <w:r w:rsidR="00022C45" w:rsidRPr="009448FC">
        <w:t>L-RX</w:t>
      </w:r>
      <w:r w:rsidR="00571D79">
        <w:t xml:space="preserve"> field</w:t>
      </w:r>
      <w:r w:rsidR="00022C45" w:rsidRPr="009448FC">
        <w:t xml:space="preserve">, </w:t>
      </w:r>
      <w:r w:rsidR="00571D79">
        <w:t xml:space="preserve">the </w:t>
      </w:r>
      <w:r w:rsidR="00022C45" w:rsidRPr="009448FC">
        <w:t>TX-Train-RESP</w:t>
      </w:r>
      <w:r w:rsidR="00571D79">
        <w:t xml:space="preserve"> field is set to one</w:t>
      </w:r>
      <w:r w:rsidR="00022C45" w:rsidRPr="009448FC">
        <w:t>, RX-Train-Resp=1</w:t>
      </w:r>
      <w:r w:rsidR="00BB3A46" w:rsidRPr="009448FC">
        <w:t xml:space="preserve">, </w:t>
      </w:r>
      <w:r w:rsidR="00022C45" w:rsidRPr="009448FC">
        <w:t xml:space="preserve">TX train feedback </w:t>
      </w:r>
      <w:r w:rsidR="00571D79">
        <w:t xml:space="preserve">set to one </w:t>
      </w:r>
      <w:r w:rsidR="00022C45" w:rsidRPr="009448FC">
        <w:t xml:space="preserve">and TRN-R subfields </w:t>
      </w:r>
      <w:r w:rsidR="00571D79">
        <w:t xml:space="preserve">are appended to the packet. The last packet (form the initiator) </w:t>
      </w:r>
      <w:r w:rsidR="00022C45" w:rsidRPr="009448FC">
        <w:t>has RX-Train</w:t>
      </w:r>
      <w:r w:rsidR="00571D79">
        <w:t>-Resp set to one and TRN-R subfiel</w:t>
      </w:r>
      <w:r w:rsidR="00ED416B">
        <w:t>d</w:t>
      </w:r>
      <w:r w:rsidR="00083BC4">
        <w:t>s</w:t>
      </w:r>
      <w:r w:rsidR="00ED416B">
        <w:t xml:space="preserve"> </w:t>
      </w:r>
      <w:r w:rsidR="00571D79">
        <w:t xml:space="preserve">are appended to the packet. </w:t>
      </w:r>
    </w:p>
    <w:p w:rsidR="00A14221" w:rsidRPr="009448FC" w:rsidRDefault="00A14221" w:rsidP="00A14221"/>
    <w:p w:rsidR="00A14221" w:rsidRPr="009448FC" w:rsidRDefault="00F20DF9" w:rsidP="00F20DF9">
      <w:pPr>
        <w:pStyle w:val="Heading4"/>
      </w:pPr>
      <w:bookmarkStart w:id="1612" w:name="_Ref257057784"/>
      <w:bookmarkStart w:id="1613" w:name="_Toc259717149"/>
      <w:r>
        <w:t xml:space="preserve">9.25.2.1 </w:t>
      </w:r>
      <w:r w:rsidR="00A14221" w:rsidRPr="009448FC">
        <w:t>B</w:t>
      </w:r>
      <w:r w:rsidR="00EF60C9">
        <w:t>RP setup</w:t>
      </w:r>
      <w:r w:rsidR="00A14221" w:rsidRPr="009448FC">
        <w:t xml:space="preserve"> </w:t>
      </w:r>
      <w:r w:rsidR="00EF60C9">
        <w:t>sub</w:t>
      </w:r>
      <w:r w:rsidR="005A515D">
        <w:t>-</w:t>
      </w:r>
      <w:r w:rsidR="00EF60C9">
        <w:t>p</w:t>
      </w:r>
      <w:r w:rsidR="00A14221" w:rsidRPr="009448FC">
        <w:t>hase</w:t>
      </w:r>
      <w:bookmarkEnd w:id="1612"/>
      <w:bookmarkEnd w:id="1613"/>
    </w:p>
    <w:p w:rsidR="00566604" w:rsidRDefault="00566604" w:rsidP="00A14221"/>
    <w:p w:rsidR="00566604" w:rsidRDefault="00566604" w:rsidP="00566604">
      <w:pPr>
        <w:jc w:val="both"/>
      </w:pPr>
      <w:r>
        <w:t xml:space="preserve">The BRP </w:t>
      </w:r>
      <w:r>
        <w:rPr>
          <w:rFonts w:hint="eastAsia"/>
        </w:rPr>
        <w:t>s</w:t>
      </w:r>
      <w:r>
        <w:t xml:space="preserve">etup </w:t>
      </w:r>
      <w:r>
        <w:rPr>
          <w:rFonts w:hint="eastAsia"/>
        </w:rPr>
        <w:t>s</w:t>
      </w:r>
      <w:r>
        <w:t>ub-phase is used to exchange the intent and capabilities to conduct some or all the sub-phases and beam refinement transactions in a subsequent BRP phase. The BRP setup sub-phase is especially useful to setup the MIDC phase, but can also be used to setup beam refinement transactions.</w:t>
      </w:r>
      <w:r w:rsidR="005515A4">
        <w:t xml:space="preserve"> </w:t>
      </w:r>
    </w:p>
    <w:p w:rsidR="00566604" w:rsidRDefault="00566604" w:rsidP="00566604">
      <w:pPr>
        <w:jc w:val="both"/>
      </w:pPr>
    </w:p>
    <w:p w:rsidR="00566604" w:rsidRDefault="00566604" w:rsidP="00566604">
      <w:pPr>
        <w:jc w:val="both"/>
      </w:pPr>
      <w:r>
        <w:t>The BRP setup sub-phase shall be used in the following two cases:</w:t>
      </w:r>
    </w:p>
    <w:p w:rsidR="00566604" w:rsidRDefault="00566604" w:rsidP="003701DB">
      <w:pPr>
        <w:numPr>
          <w:ilvl w:val="0"/>
          <w:numId w:val="221"/>
        </w:numPr>
        <w:jc w:val="both"/>
      </w:pPr>
      <w:r>
        <w:t>When the RSS part of the SLS phase occurred in an A-BFT, in which case the SS-ACK frame was not part of the SLS</w:t>
      </w:r>
    </w:p>
    <w:p w:rsidR="00566604" w:rsidRDefault="00566604" w:rsidP="003701DB">
      <w:pPr>
        <w:numPr>
          <w:ilvl w:val="0"/>
          <w:numId w:val="221"/>
        </w:numPr>
        <w:jc w:val="both"/>
      </w:pPr>
      <w:r>
        <w:t xml:space="preserve">When </w:t>
      </w:r>
      <w:r>
        <w:rPr>
          <w:rFonts w:hint="eastAsia"/>
        </w:rPr>
        <w:t>the initiator set the MID-REQ or BC-REQ in the SS-</w:t>
      </w:r>
      <w:r w:rsidR="00344DB2">
        <w:t>F</w:t>
      </w:r>
      <w:r>
        <w:rPr>
          <w:rFonts w:hint="eastAsia"/>
        </w:rPr>
        <w:t xml:space="preserve">eedback frame to one, or </w:t>
      </w:r>
      <w:r>
        <w:t>the responder set the MID-REQ or the BC-REQ in the SS-ACK frame to one.</w:t>
      </w:r>
    </w:p>
    <w:p w:rsidR="00566604" w:rsidRDefault="00566604" w:rsidP="00566604">
      <w:pPr>
        <w:jc w:val="both"/>
      </w:pPr>
    </w:p>
    <w:p w:rsidR="00566604" w:rsidRDefault="00566604" w:rsidP="00566604">
      <w:pPr>
        <w:jc w:val="both"/>
      </w:pPr>
      <w:r>
        <w:t>The BRP setup sub-phase starts with the initiator sending a BRP packet with the capability request subfield set to 1 and with the remaining subfields within the BRP request field set according to the initiator’s intent.</w:t>
      </w:r>
      <w:r w:rsidR="005515A4">
        <w:t xml:space="preserve"> </w:t>
      </w:r>
      <w:r>
        <w:t>Upon receiving a BRP packet with the capability request field set to one, the responder shall respond with a BRP packet with the subfields within the BRP request field set according to the responder’s intent.</w:t>
      </w:r>
      <w:r w:rsidR="005515A4">
        <w:t xml:space="preserve"> </w:t>
      </w:r>
      <w:r>
        <w:t xml:space="preserve">This process is repeated until the initiator transmits to the responder a BRP packet with the capability request subfield set to </w:t>
      </w:r>
      <w:r>
        <w:rPr>
          <w:rFonts w:hint="eastAsia"/>
        </w:rPr>
        <w:t>0</w:t>
      </w:r>
      <w:r>
        <w:t xml:space="preserve"> for which it receives as a response </w:t>
      </w:r>
      <w:r>
        <w:lastRenderedPageBreak/>
        <w:t xml:space="preserve">a BRP packet with the capability request subfield also set to 0. The BRP packet from the initiator that initiates the termination of the BRP setup </w:t>
      </w:r>
      <w:r w:rsidR="003A3AD3">
        <w:t>sub-</w:t>
      </w:r>
      <w:r>
        <w:t xml:space="preserve">phase can be the first BRP packet of the BRP phase, either as part of beam refinement or as part </w:t>
      </w:r>
      <w:r>
        <w:rPr>
          <w:rFonts w:hint="eastAsia"/>
        </w:rPr>
        <w:t xml:space="preserve">of </w:t>
      </w:r>
      <w:r>
        <w:t>an MID or BC sub-phase.</w:t>
      </w:r>
    </w:p>
    <w:p w:rsidR="00566604" w:rsidRDefault="00566604" w:rsidP="00566604">
      <w:pPr>
        <w:jc w:val="both"/>
      </w:pPr>
    </w:p>
    <w:p w:rsidR="00566604" w:rsidRDefault="00566604" w:rsidP="00566604">
      <w:pPr>
        <w:jc w:val="both"/>
      </w:pPr>
      <w:r>
        <w:t xml:space="preserve">An mSTA (either initiator or responder) requests an MID sub-phase by setting the MID-REQ subfield to 1 in the BRP request field of an SS-Feedback, SS-ACK or BRP frame. </w:t>
      </w:r>
      <w:r>
        <w:rPr>
          <w:rFonts w:hint="eastAsia"/>
        </w:rPr>
        <w:t xml:space="preserve">It </w:t>
      </w:r>
      <w:r>
        <w:t xml:space="preserve">shall </w:t>
      </w:r>
      <w:r>
        <w:rPr>
          <w:rFonts w:hint="eastAsia"/>
        </w:rPr>
        <w:t xml:space="preserve">also </w:t>
      </w:r>
      <w:r>
        <w:t>set the L-RX subfield in the BRP request field to the number of RX AWV settings it needs in each BRP-RX packet during the MID sub-phase.</w:t>
      </w:r>
      <w:r>
        <w:rPr>
          <w:rFonts w:hint="eastAsia"/>
        </w:rPr>
        <w:t xml:space="preserve"> </w:t>
      </w:r>
      <w:r>
        <w:t>The peer mSTA (either a responder or initiator) grants the request by setting the MID grant subfield to one in the BRP request field within the next SS-ACK or BRP frame transmitted to the requesting mSTA.</w:t>
      </w:r>
      <w:r w:rsidR="005515A4">
        <w:t xml:space="preserve"> </w:t>
      </w:r>
      <w:r>
        <w:t>The MID sub-phase shall not occur if the peer STA does not grant the request.</w:t>
      </w:r>
    </w:p>
    <w:p w:rsidR="00566604" w:rsidRDefault="00566604" w:rsidP="00566604">
      <w:pPr>
        <w:jc w:val="both"/>
      </w:pPr>
    </w:p>
    <w:p w:rsidR="00566604" w:rsidRDefault="00566604" w:rsidP="00566604">
      <w:pPr>
        <w:jc w:val="both"/>
      </w:pPr>
      <w:r>
        <w:t>An mSTA (either initiator or responder) requests a BC sub-phase by setting the BC-REQ subfield to 1 in the BRP request field of an SS-Feedback, SS-ACK or BRP frame. The peer mSTA (either a responder or initiator) grants the request by setting the BC grant subfield to one in the BRP request field within the next SS-ACK or BRP frame transmitted to the requesting STA. The BC sub-phase shall not occur if the peer STA does not grant the request</w:t>
      </w:r>
      <w:r w:rsidR="00985F06">
        <w:t>.</w:t>
      </w:r>
    </w:p>
    <w:p w:rsidR="00985F06" w:rsidRDefault="00985F06" w:rsidP="00566604">
      <w:pPr>
        <w:jc w:val="both"/>
      </w:pPr>
    </w:p>
    <w:p w:rsidR="00566604" w:rsidRDefault="00566604" w:rsidP="00566604">
      <w:pPr>
        <w:jc w:val="both"/>
      </w:pPr>
      <w:r>
        <w:t>An mSTA indicates that beam refinement transactions (9.25.5.3.1) occur by setting the L-RX field to a value greater than 1 or by setting the value of the TX-TRN-REQ field to 1 or both. The beam refinement transactions shall occur if at least one of these conditions is met.</w:t>
      </w:r>
    </w:p>
    <w:p w:rsidR="00566604" w:rsidRDefault="00566604" w:rsidP="00566604">
      <w:pPr>
        <w:jc w:val="both"/>
      </w:pPr>
    </w:p>
    <w:p w:rsidR="00566604" w:rsidRDefault="00566604" w:rsidP="00566604">
      <w:pPr>
        <w:jc w:val="both"/>
      </w:pPr>
      <w:r>
        <w:t xml:space="preserve">Beam refinement </w:t>
      </w:r>
      <w:r>
        <w:rPr>
          <w:rFonts w:hint="eastAsia"/>
        </w:rPr>
        <w:t>transactions</w:t>
      </w:r>
      <w:r>
        <w:t xml:space="preserve"> shall occur following an MID or BC sub-phases when at least one or both of the following conditions are met at the last BRP frame transmitted by either the initiator or responder as part of the MID or BC sub-phases:</w:t>
      </w:r>
    </w:p>
    <w:p w:rsidR="00566604" w:rsidRDefault="00566604" w:rsidP="003701DB">
      <w:pPr>
        <w:numPr>
          <w:ilvl w:val="0"/>
          <w:numId w:val="222"/>
        </w:numPr>
        <w:jc w:val="both"/>
      </w:pPr>
      <w:r>
        <w:t>Either the initiator or the responder set the L-RX field to a value greater than 1</w:t>
      </w:r>
      <w:r w:rsidR="006A2BCD">
        <w:t>.</w:t>
      </w:r>
    </w:p>
    <w:p w:rsidR="00566604" w:rsidRDefault="00566604" w:rsidP="003701DB">
      <w:pPr>
        <w:numPr>
          <w:ilvl w:val="0"/>
          <w:numId w:val="222"/>
        </w:numPr>
        <w:jc w:val="both"/>
      </w:pPr>
      <w:r>
        <w:t>Either the initiator or responder has set the value of the TX-TRN-REQ field to 1.</w:t>
      </w:r>
    </w:p>
    <w:p w:rsidR="00566604" w:rsidRPr="00F86F25" w:rsidRDefault="00566604" w:rsidP="00566604">
      <w:pPr>
        <w:jc w:val="both"/>
      </w:pPr>
    </w:p>
    <w:p w:rsidR="00566604" w:rsidRPr="002D77CC" w:rsidRDefault="00566604" w:rsidP="00566604">
      <w:pPr>
        <w:jc w:val="both"/>
      </w:pPr>
      <w:r>
        <w:t xml:space="preserve">After the BRP </w:t>
      </w:r>
      <w:r>
        <w:rPr>
          <w:rFonts w:hint="eastAsia"/>
        </w:rPr>
        <w:t>s</w:t>
      </w:r>
      <w:r>
        <w:t xml:space="preserve">etup </w:t>
      </w:r>
      <w:r>
        <w:rPr>
          <w:rFonts w:hint="eastAsia"/>
        </w:rPr>
        <w:t>s</w:t>
      </w:r>
      <w:r>
        <w:t>ub-phase, beamforming training shall immediately continue to the next phase (i.e.</w:t>
      </w:r>
      <w:r w:rsidR="00C956E1">
        <w:t>,</w:t>
      </w:r>
      <w:r>
        <w:t xml:space="preserve"> either </w:t>
      </w:r>
      <w:r>
        <w:rPr>
          <w:rFonts w:hint="eastAsia"/>
        </w:rPr>
        <w:t>MIDC phase or the beam refinement transaction</w:t>
      </w:r>
      <w:r>
        <w:t xml:space="preserve">s). </w:t>
      </w:r>
      <w:r>
        <w:rPr>
          <w:rFonts w:hint="eastAsia"/>
        </w:rPr>
        <w:t xml:space="preserve">Examples of BRP </w:t>
      </w:r>
      <w:r>
        <w:t>setup</w:t>
      </w:r>
      <w:r>
        <w:rPr>
          <w:rFonts w:hint="eastAsia"/>
        </w:rPr>
        <w:t xml:space="preserve"> sub-phase procedures are illustrated in </w:t>
      </w:r>
      <w:r w:rsidR="00BD151C">
        <w:fldChar w:fldCharType="begin"/>
      </w:r>
      <w:r w:rsidR="00985F06">
        <w:instrText xml:space="preserve"> </w:instrText>
      </w:r>
      <w:r w:rsidR="00985F06">
        <w:rPr>
          <w:rFonts w:hint="eastAsia"/>
        </w:rPr>
        <w:instrText>REF _Ref257038693 \h</w:instrText>
      </w:r>
      <w:r w:rsidR="00985F06">
        <w:instrText xml:space="preserve"> </w:instrText>
      </w:r>
      <w:r w:rsidR="00BD151C">
        <w:fldChar w:fldCharType="separate"/>
      </w:r>
      <w:r w:rsidR="003E4210">
        <w:t xml:space="preserve">Figure </w:t>
      </w:r>
      <w:r w:rsidR="003E4210">
        <w:rPr>
          <w:noProof/>
        </w:rPr>
        <w:t>93</w:t>
      </w:r>
      <w:r w:rsidR="00BD151C">
        <w:fldChar w:fldCharType="end"/>
      </w:r>
      <w:r w:rsidR="00985F06">
        <w:t xml:space="preserve">, </w:t>
      </w:r>
      <w:r w:rsidR="00BD151C">
        <w:fldChar w:fldCharType="begin"/>
      </w:r>
      <w:r w:rsidR="00985F06">
        <w:instrText xml:space="preserve"> REF _Ref257038694 \h </w:instrText>
      </w:r>
      <w:r w:rsidR="00BD151C">
        <w:fldChar w:fldCharType="separate"/>
      </w:r>
      <w:r w:rsidR="003E4210">
        <w:t xml:space="preserve">Figure </w:t>
      </w:r>
      <w:r w:rsidR="003E4210">
        <w:rPr>
          <w:noProof/>
        </w:rPr>
        <w:t>94</w:t>
      </w:r>
      <w:r w:rsidR="00BD151C">
        <w:fldChar w:fldCharType="end"/>
      </w:r>
      <w:r w:rsidR="00985F06">
        <w:t xml:space="preserve">, </w:t>
      </w:r>
      <w:r w:rsidR="00BD151C">
        <w:fldChar w:fldCharType="begin"/>
      </w:r>
      <w:r w:rsidR="00985F06">
        <w:instrText xml:space="preserve"> REF _Ref255734611 \h </w:instrText>
      </w:r>
      <w:r w:rsidR="00BD151C">
        <w:fldChar w:fldCharType="separate"/>
      </w:r>
      <w:r w:rsidR="003E4210">
        <w:t xml:space="preserve">Figure </w:t>
      </w:r>
      <w:r w:rsidR="003E4210">
        <w:rPr>
          <w:noProof/>
        </w:rPr>
        <w:t>98</w:t>
      </w:r>
      <w:r w:rsidR="00BD151C">
        <w:fldChar w:fldCharType="end"/>
      </w:r>
      <w:r w:rsidR="00985F06">
        <w:t xml:space="preserve">, </w:t>
      </w:r>
      <w:r w:rsidR="00BD151C">
        <w:fldChar w:fldCharType="begin"/>
      </w:r>
      <w:r w:rsidR="00985F06">
        <w:instrText xml:space="preserve"> REF _Ref257036394 \h </w:instrText>
      </w:r>
      <w:r w:rsidR="00BD151C">
        <w:fldChar w:fldCharType="separate"/>
      </w:r>
      <w:r w:rsidR="003E4210">
        <w:t xml:space="preserve">Figure </w:t>
      </w:r>
      <w:r w:rsidR="003E4210">
        <w:rPr>
          <w:noProof/>
        </w:rPr>
        <w:t>99</w:t>
      </w:r>
      <w:r w:rsidR="00BD151C">
        <w:fldChar w:fldCharType="end"/>
      </w:r>
      <w:r w:rsidR="00985F06">
        <w:t>,</w:t>
      </w:r>
      <w:r w:rsidR="00BE1F31">
        <w:t xml:space="preserve"> </w:t>
      </w:r>
      <w:r w:rsidR="00BD151C">
        <w:fldChar w:fldCharType="begin"/>
      </w:r>
      <w:r w:rsidR="007E3F65">
        <w:instrText xml:space="preserve"> REF _Ref257278652 \h </w:instrText>
      </w:r>
      <w:r w:rsidR="00BD151C">
        <w:fldChar w:fldCharType="separate"/>
      </w:r>
      <w:r w:rsidR="003E4210">
        <w:t xml:space="preserve">Figure </w:t>
      </w:r>
      <w:r w:rsidR="003E4210">
        <w:rPr>
          <w:noProof/>
        </w:rPr>
        <w:t>105</w:t>
      </w:r>
      <w:r w:rsidR="00BD151C">
        <w:fldChar w:fldCharType="end"/>
      </w:r>
      <w:r w:rsidR="00FD28FC">
        <w:t xml:space="preserve">, and </w:t>
      </w:r>
      <w:r w:rsidR="00BD151C">
        <w:fldChar w:fldCharType="begin"/>
      </w:r>
      <w:r w:rsidR="00FD28FC">
        <w:instrText xml:space="preserve"> REF _Ref257039803 \h </w:instrText>
      </w:r>
      <w:r w:rsidR="00BD151C">
        <w:fldChar w:fldCharType="separate"/>
      </w:r>
      <w:r w:rsidR="003E4210">
        <w:t xml:space="preserve">Figure </w:t>
      </w:r>
      <w:r w:rsidR="003E4210">
        <w:rPr>
          <w:noProof/>
        </w:rPr>
        <w:t>106</w:t>
      </w:r>
      <w:r w:rsidR="00BD151C">
        <w:fldChar w:fldCharType="end"/>
      </w:r>
      <w:r>
        <w:rPr>
          <w:rFonts w:hint="eastAsia"/>
        </w:rPr>
        <w:t>.</w:t>
      </w:r>
    </w:p>
    <w:p w:rsidR="00A14221" w:rsidRDefault="00A14221" w:rsidP="00A14221"/>
    <w:p w:rsidR="00FD28FC" w:rsidRDefault="00FD28FC" w:rsidP="00A14221"/>
    <w:p w:rsidR="00A14221" w:rsidRDefault="00B93268" w:rsidP="00A14221">
      <w:pPr>
        <w:keepNext/>
        <w:jc w:val="center"/>
      </w:pPr>
      <w:r>
        <w:rPr>
          <w:noProof/>
          <w:lang w:bidi="ar-SA"/>
        </w:rPr>
        <w:lastRenderedPageBreak/>
        <w:drawing>
          <wp:inline distT="0" distB="0" distL="0" distR="0">
            <wp:extent cx="4759960" cy="2922905"/>
            <wp:effectExtent l="0" t="0" r="0" b="0"/>
            <wp:docPr id="290"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4518025"/>
                      <a:chOff x="914400" y="1447800"/>
                      <a:chExt cx="7543800" cy="4518025"/>
                    </a:xfrm>
                  </a:grpSpPr>
                  <a:grpSp>
                    <a:nvGrpSpPr>
                      <a:cNvPr id="68689" name="Group 81"/>
                      <a:cNvGrpSpPr>
                        <a:grpSpLocks/>
                      </a:cNvGrpSpPr>
                    </a:nvGrpSpPr>
                    <a:grpSpPr bwMode="auto">
                      <a:xfrm>
                        <a:off x="914400" y="1447800"/>
                        <a:ext cx="7543800" cy="4518025"/>
                        <a:chOff x="576" y="912"/>
                        <a:chExt cx="4752" cy="2846"/>
                      </a:xfrm>
                    </a:grpSpPr>
                    <a:sp>
                      <a:nvSpPr>
                        <a:cNvPr id="68613" name="Rectangle 9"/>
                        <a:cNvSpPr>
                          <a:spLocks noChangeArrowheads="1"/>
                        </a:cNvSpPr>
                      </a:nvSpPr>
                      <a:spPr bwMode="auto">
                        <a:xfrm>
                          <a:off x="105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14" name="Text Box 10"/>
                        <a:cNvSpPr txBox="1">
                          <a:spLocks noChangeArrowheads="1"/>
                        </a:cNvSpPr>
                      </a:nvSpPr>
                      <a:spPr bwMode="auto">
                        <a:xfrm>
                          <a:off x="576"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8615" name="Text Box 11"/>
                        <a:cNvSpPr txBox="1">
                          <a:spLocks noChangeArrowheads="1"/>
                        </a:cNvSpPr>
                      </a:nvSpPr>
                      <a:spPr bwMode="auto">
                        <a:xfrm>
                          <a:off x="603"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8616" name="TextBox 111"/>
                        <a:cNvSpPr txBox="1">
                          <a:spLocks noChangeArrowheads="1"/>
                        </a:cNvSpPr>
                      </a:nvSpPr>
                      <a:spPr bwMode="auto">
                        <a:xfrm>
                          <a:off x="1180"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8617" name="Line 7"/>
                        <a:cNvSpPr>
                          <a:spLocks noChangeShapeType="1"/>
                        </a:cNvSpPr>
                      </a:nvSpPr>
                      <a:spPr bwMode="auto">
                        <a:xfrm flipV="1">
                          <a:off x="960" y="3043"/>
                          <a:ext cx="436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18" name="Line 8"/>
                        <a:cNvSpPr>
                          <a:spLocks noChangeShapeType="1"/>
                        </a:cNvSpPr>
                      </a:nvSpPr>
                      <a:spPr bwMode="auto">
                        <a:xfrm>
                          <a:off x="960" y="1699"/>
                          <a:ext cx="436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19" name="Rectangle 9"/>
                        <a:cNvSpPr>
                          <a:spLocks noChangeArrowheads="1"/>
                        </a:cNvSpPr>
                      </a:nvSpPr>
                      <a:spPr bwMode="auto">
                        <a:xfrm>
                          <a:off x="134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20" name="Text Box 35"/>
                        <a:cNvSpPr txBox="1">
                          <a:spLocks noChangeArrowheads="1"/>
                        </a:cNvSpPr>
                      </a:nvSpPr>
                      <a:spPr bwMode="auto">
                        <a:xfrm rot="-5400000">
                          <a:off x="883"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1" name="Text Box 49"/>
                        <a:cNvSpPr txBox="1">
                          <a:spLocks noChangeArrowheads="1"/>
                        </a:cNvSpPr>
                      </a:nvSpPr>
                      <a:spPr bwMode="auto">
                        <a:xfrm>
                          <a:off x="1056"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8622" name="Text Box 49"/>
                        <a:cNvSpPr txBox="1">
                          <a:spLocks noChangeArrowheads="1"/>
                        </a:cNvSpPr>
                      </a:nvSpPr>
                      <a:spPr bwMode="auto">
                        <a:xfrm>
                          <a:off x="1584"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8623" name="Text Box 35"/>
                        <a:cNvSpPr txBox="1">
                          <a:spLocks noChangeArrowheads="1"/>
                        </a:cNvSpPr>
                      </a:nvSpPr>
                      <a:spPr bwMode="auto">
                        <a:xfrm rot="-5400000">
                          <a:off x="117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4" name="Rectangle 9"/>
                        <a:cNvSpPr>
                          <a:spLocks noChangeArrowheads="1"/>
                        </a:cNvSpPr>
                      </a:nvSpPr>
                      <a:spPr bwMode="auto">
                        <a:xfrm>
                          <a:off x="159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25" name="TextBox 111"/>
                        <a:cNvSpPr txBox="1">
                          <a:spLocks noChangeArrowheads="1"/>
                        </a:cNvSpPr>
                      </a:nvSpPr>
                      <a:spPr bwMode="auto">
                        <a:xfrm>
                          <a:off x="1722"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8626" name="Rectangle 9"/>
                        <a:cNvSpPr>
                          <a:spLocks noChangeArrowheads="1"/>
                        </a:cNvSpPr>
                      </a:nvSpPr>
                      <a:spPr bwMode="auto">
                        <a:xfrm>
                          <a:off x="188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27" name="Text Box 35"/>
                        <a:cNvSpPr txBox="1">
                          <a:spLocks noChangeArrowheads="1"/>
                        </a:cNvSpPr>
                      </a:nvSpPr>
                      <a:spPr bwMode="auto">
                        <a:xfrm rot="-5400000">
                          <a:off x="142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8" name="Text Box 35"/>
                        <a:cNvSpPr txBox="1">
                          <a:spLocks noChangeArrowheads="1"/>
                        </a:cNvSpPr>
                      </a:nvSpPr>
                      <a:spPr bwMode="auto">
                        <a:xfrm rot="-5400000">
                          <a:off x="171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9" name="Rectangle 9"/>
                        <a:cNvSpPr>
                          <a:spLocks noChangeArrowheads="1"/>
                        </a:cNvSpPr>
                      </a:nvSpPr>
                      <a:spPr bwMode="auto">
                        <a:xfrm>
                          <a:off x="212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30" name="Text Box 35"/>
                        <a:cNvSpPr txBox="1">
                          <a:spLocks noChangeArrowheads="1"/>
                        </a:cNvSpPr>
                      </a:nvSpPr>
                      <a:spPr bwMode="auto">
                        <a:xfrm rot="-5400000">
                          <a:off x="1901" y="1838"/>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8631" name="Rectangle 9"/>
                        <a:cNvSpPr>
                          <a:spLocks noChangeArrowheads="1"/>
                        </a:cNvSpPr>
                      </a:nvSpPr>
                      <a:spPr bwMode="auto">
                        <a:xfrm>
                          <a:off x="292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32" name="Text Box 35"/>
                        <a:cNvSpPr txBox="1">
                          <a:spLocks noChangeArrowheads="1"/>
                        </a:cNvSpPr>
                      </a:nvSpPr>
                      <a:spPr bwMode="auto">
                        <a:xfrm rot="-5400000">
                          <a:off x="275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33" name="Rectangle 9"/>
                        <a:cNvSpPr>
                          <a:spLocks noChangeArrowheads="1"/>
                        </a:cNvSpPr>
                      </a:nvSpPr>
                      <a:spPr bwMode="auto">
                        <a:xfrm>
                          <a:off x="316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34" name="Text Box 35"/>
                        <a:cNvSpPr txBox="1">
                          <a:spLocks noChangeArrowheads="1"/>
                        </a:cNvSpPr>
                      </a:nvSpPr>
                      <a:spPr bwMode="auto">
                        <a:xfrm rot="-5400000">
                          <a:off x="2995"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39" name="Rectangle 9"/>
                        <a:cNvSpPr>
                          <a:spLocks noChangeArrowheads="1"/>
                        </a:cNvSpPr>
                      </a:nvSpPr>
                      <a:spPr bwMode="auto">
                        <a:xfrm>
                          <a:off x="268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40" name="Text Box 35"/>
                        <a:cNvSpPr txBox="1">
                          <a:spLocks noChangeArrowheads="1"/>
                        </a:cNvSpPr>
                      </a:nvSpPr>
                      <a:spPr bwMode="auto">
                        <a:xfrm rot="-5400000">
                          <a:off x="2515"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43" name="Rectangle 9"/>
                        <a:cNvSpPr>
                          <a:spLocks noChangeArrowheads="1"/>
                        </a:cNvSpPr>
                      </a:nvSpPr>
                      <a:spPr bwMode="auto">
                        <a:xfrm>
                          <a:off x="399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44" name="Text Box 35"/>
                        <a:cNvSpPr txBox="1">
                          <a:spLocks noChangeArrowheads="1"/>
                        </a:cNvSpPr>
                      </a:nvSpPr>
                      <a:spPr bwMode="auto">
                        <a:xfrm rot="-5400000">
                          <a:off x="3822" y="1841"/>
                          <a:ext cx="478"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45" name="Rectangle 9"/>
                        <a:cNvSpPr>
                          <a:spLocks noChangeArrowheads="1"/>
                        </a:cNvSpPr>
                      </a:nvSpPr>
                      <a:spPr bwMode="auto">
                        <a:xfrm>
                          <a:off x="423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46" name="Text Box 35"/>
                        <a:cNvSpPr txBox="1">
                          <a:spLocks noChangeArrowheads="1"/>
                        </a:cNvSpPr>
                      </a:nvSpPr>
                      <a:spPr bwMode="auto">
                        <a:xfrm rot="-5400000">
                          <a:off x="406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66" name="AutoShape 58"/>
                        <a:cNvSpPr>
                          <a:spLocks/>
                        </a:cNvSpPr>
                      </a:nvSpPr>
                      <a:spPr bwMode="auto">
                        <a:xfrm>
                          <a:off x="1056" y="1209"/>
                          <a:ext cx="864" cy="336"/>
                        </a:xfrm>
                        <a:prstGeom prst="borderCallout2">
                          <a:avLst>
                            <a:gd name="adj1" fmla="val 21431"/>
                            <a:gd name="adj2" fmla="val 105556"/>
                            <a:gd name="adj3" fmla="val 21431"/>
                            <a:gd name="adj4" fmla="val 116435"/>
                            <a:gd name="adj5" fmla="val 147620"/>
                            <a:gd name="adj6" fmla="val 12777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L-RX&gt;0, </a:t>
                            </a:r>
                          </a:p>
                          <a:p>
                            <a:r>
                              <a:rPr lang="en-US" altLang="ja-JP" sz="1000">
                                <a:ea typeface="ＭＳ Ｐゴシック" pitchFamily="34" charset="-128"/>
                              </a:rPr>
                              <a:t>TX-TRN-REQ=1</a:t>
                            </a:r>
                            <a:endParaRPr lang="ja-JP" altLang="en-US" sz="1000">
                              <a:ea typeface="ＭＳ Ｐゴシック" pitchFamily="34" charset="-128"/>
                            </a:endParaRPr>
                          </a:p>
                        </a:txBody>
                        <a:useSpRect/>
                      </a:txSp>
                    </a:sp>
                    <a:sp>
                      <a:nvSpPr>
                        <a:cNvPr id="68667" name="AutoShape 59"/>
                        <a:cNvSpPr>
                          <a:spLocks/>
                        </a:cNvSpPr>
                      </a:nvSpPr>
                      <a:spPr bwMode="auto">
                        <a:xfrm>
                          <a:off x="1392" y="912"/>
                          <a:ext cx="864" cy="240"/>
                        </a:xfrm>
                        <a:prstGeom prst="borderCallout2">
                          <a:avLst>
                            <a:gd name="adj1" fmla="val 30000"/>
                            <a:gd name="adj2" fmla="val 105556"/>
                            <a:gd name="adj3" fmla="val 30000"/>
                            <a:gd name="adj4" fmla="val 123958"/>
                            <a:gd name="adj5" fmla="val 328333"/>
                            <a:gd name="adj6" fmla="val 153935"/>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txBody>
                        <a:useSpRect/>
                      </a:txSp>
                    </a:sp>
                    <a:sp>
                      <a:nvSpPr>
                        <a:cNvPr id="68668" name="AutoShape 60"/>
                        <a:cNvSpPr>
                          <a:spLocks/>
                        </a:cNvSpPr>
                      </a:nvSpPr>
                      <a:spPr bwMode="auto">
                        <a:xfrm>
                          <a:off x="1488" y="3360"/>
                          <a:ext cx="1104" cy="336"/>
                        </a:xfrm>
                        <a:prstGeom prst="borderCallout2">
                          <a:avLst>
                            <a:gd name="adj1" fmla="val 21431"/>
                            <a:gd name="adj2" fmla="val 104347"/>
                            <a:gd name="adj3" fmla="val 21431"/>
                            <a:gd name="adj4" fmla="val 120653"/>
                            <a:gd name="adj5" fmla="val -95236"/>
                            <a:gd name="adj6" fmla="val 13695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 =0, </a:t>
                            </a:r>
                          </a:p>
                          <a:p>
                            <a:r>
                              <a:rPr lang="en-US" altLang="ja-JP" sz="1000">
                                <a:ea typeface="ＭＳ Ｐゴシック" pitchFamily="34" charset="-128"/>
                              </a:rPr>
                              <a:t>Capability-request=0, </a:t>
                            </a:r>
                          </a:p>
                          <a:p>
                            <a:r>
                              <a:rPr lang="en-US" altLang="ja-JP" sz="1000">
                                <a:ea typeface="ＭＳ Ｐゴシック" pitchFamily="34" charset="-128"/>
                              </a:rPr>
                              <a:t>L-RX&gt;0,  TX-TRN-REQ=1</a:t>
                            </a:r>
                          </a:p>
                        </a:txBody>
                        <a:useSpRect/>
                      </a:txSp>
                    </a:sp>
                    <a:sp>
                      <a:nvSpPr>
                        <a:cNvPr id="68669" name="Line 61"/>
                        <a:cNvSpPr>
                          <a:spLocks noChangeShapeType="1"/>
                        </a:cNvSpPr>
                      </a:nvSpPr>
                      <a:spPr bwMode="auto">
                        <a:xfrm>
                          <a:off x="1056"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70" name="Text Box 49"/>
                        <a:cNvSpPr txBox="1">
                          <a:spLocks noChangeArrowheads="1"/>
                        </a:cNvSpPr>
                      </a:nvSpPr>
                      <a:spPr bwMode="auto">
                        <a:xfrm>
                          <a:off x="1296"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8671" name="Line 63"/>
                        <a:cNvSpPr>
                          <a:spLocks noChangeShapeType="1"/>
                        </a:cNvSpPr>
                      </a:nvSpPr>
                      <a:spPr bwMode="auto">
                        <a:xfrm>
                          <a:off x="2352"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72" name="Text Box 49"/>
                        <a:cNvSpPr txBox="1">
                          <a:spLocks noChangeArrowheads="1"/>
                        </a:cNvSpPr>
                      </a:nvSpPr>
                      <a:spPr bwMode="auto">
                        <a:xfrm>
                          <a:off x="2400"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8673" name="Line 65"/>
                        <a:cNvSpPr>
                          <a:spLocks noChangeShapeType="1"/>
                        </a:cNvSpPr>
                      </a:nvSpPr>
                      <a:spPr bwMode="auto">
                        <a:xfrm>
                          <a:off x="3648" y="2400"/>
                          <a:ext cx="153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74" name="Text Box 49"/>
                        <a:cNvSpPr txBox="1">
                          <a:spLocks noChangeArrowheads="1"/>
                        </a:cNvSpPr>
                      </a:nvSpPr>
                      <a:spPr bwMode="auto">
                        <a:xfrm>
                          <a:off x="3936" y="2256"/>
                          <a:ext cx="10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transactions (DTT)</a:t>
                            </a:r>
                          </a:p>
                        </a:txBody>
                        <a:useSpRect/>
                      </a:txSp>
                    </a:sp>
                    <a:sp>
                      <a:nvSpPr>
                        <a:cNvPr id="68685" name="Text Box 77"/>
                        <a:cNvSpPr txBox="1">
                          <a:spLocks noChangeArrowheads="1"/>
                        </a:cNvSpPr>
                      </a:nvSpPr>
                      <a:spPr bwMode="auto">
                        <a:xfrm>
                          <a:off x="3024" y="3312"/>
                          <a:ext cx="2112" cy="446"/>
                        </a:xfrm>
                        <a:prstGeom prst="rect">
                          <a:avLst/>
                        </a:prstGeom>
                        <a:noFill/>
                        <a:ln w="12700">
                          <a:noFill/>
                          <a:miter lim="800000"/>
                          <a:headEnd type="none" w="sm" len="sm"/>
                          <a:tailEnd type="none" w="sm" len="sm"/>
                        </a:ln>
                        <a:effectLst/>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a:t>
                            </a:r>
                          </a:p>
                          <a:p>
                            <a:r>
                              <a:rPr lang="en-US" altLang="ja-JP" sz="1300" dirty="0" smtClean="0">
                                <a:latin typeface="Arial" charset="0"/>
                                <a:ea typeface="ＭＳ Ｐゴシック" pitchFamily="34" charset="-128"/>
                                <a:cs typeface="Arial" charset="0"/>
                              </a:rPr>
                              <a:t> </a:t>
                            </a:r>
                            <a:r>
                              <a:rPr lang="en-US" altLang="ja-JP" sz="1400" i="1" u="sng" dirty="0" smtClean="0">
                                <a:latin typeface="Arial" charset="0"/>
                                <a:ea typeface="ＭＳ Ｐゴシック" pitchFamily="34" charset="-128"/>
                              </a:rPr>
                              <a:t>&gt;</a:t>
                            </a:r>
                            <a:r>
                              <a:rPr lang="en-US" altLang="ja-JP" sz="1300" dirty="0" smtClean="0">
                                <a:latin typeface="Arial" charset="0"/>
                                <a:ea typeface="ＭＳ Ｐゴシック" pitchFamily="34" charset="-128"/>
                                <a:cs typeface="Arial" charset="0"/>
                              </a:rPr>
                              <a:t> SIFS &amp; &lt; BRPIFS</a:t>
                            </a:r>
                            <a:endParaRPr lang="ja-JP" altLang="en-US" sz="1300">
                              <a:latin typeface="Arial" charset="0"/>
                              <a:ea typeface="ＭＳ Ｐゴシック" pitchFamily="34" charset="-128"/>
                              <a:cs typeface="Arial" charset="0"/>
                            </a:endParaRPr>
                          </a:p>
                        </a:txBody>
                        <a:useSpRect/>
                      </a:txSp>
                    </a:sp>
                    <a:sp>
                      <a:nvSpPr>
                        <a:cNvPr id="68686" name="Line 78"/>
                        <a:cNvSpPr>
                          <a:spLocks noChangeShapeType="1"/>
                        </a:cNvSpPr>
                      </a:nvSpPr>
                      <a:spPr bwMode="auto">
                        <a:xfrm>
                          <a:off x="4224" y="1968"/>
                          <a:ext cx="768"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87" name="Line 79"/>
                        <a:cNvSpPr>
                          <a:spLocks noChangeShapeType="1"/>
                        </a:cNvSpPr>
                      </a:nvSpPr>
                      <a:spPr bwMode="auto">
                        <a:xfrm>
                          <a:off x="4464" y="2832"/>
                          <a:ext cx="528"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88" name="AutoShape 80"/>
                        <a:cNvSpPr>
                          <a:spLocks/>
                        </a:cNvSpPr>
                      </a:nvSpPr>
                      <a:spPr bwMode="auto">
                        <a:xfrm>
                          <a:off x="3552" y="1248"/>
                          <a:ext cx="816" cy="240"/>
                        </a:xfrm>
                        <a:prstGeom prst="borderCallout2">
                          <a:avLst>
                            <a:gd name="adj1" fmla="val 30000"/>
                            <a:gd name="adj2" fmla="val -5884"/>
                            <a:gd name="adj3" fmla="val 30000"/>
                            <a:gd name="adj4" fmla="val -11028"/>
                            <a:gd name="adj5" fmla="val 184583"/>
                            <a:gd name="adj6" fmla="val -4093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Capability-request=0</a:t>
                            </a:r>
                            <a:endParaRPr lang="ja-JP" altLang="en-US" sz="1000">
                              <a:ea typeface="ＭＳ Ｐゴシック" pitchFamily="34" charset="-128"/>
                            </a:endParaRPr>
                          </a:p>
                        </a:txBody>
                        <a:useSpRect/>
                      </a:txSp>
                    </a:sp>
                  </a:grpSp>
                </lc:lockedCanvas>
              </a:graphicData>
            </a:graphic>
          </wp:inline>
        </w:drawing>
      </w:r>
    </w:p>
    <w:p w:rsidR="00A14221" w:rsidRDefault="00A14221" w:rsidP="00A14221">
      <w:pPr>
        <w:pStyle w:val="Caption"/>
      </w:pPr>
      <w:bookmarkStart w:id="1614" w:name="_Ref257038693"/>
      <w:bookmarkStart w:id="1615" w:name="_Toc259717525"/>
      <w:r>
        <w:t xml:space="preserve">Figure </w:t>
      </w:r>
      <w:r w:rsidR="00BD151C">
        <w:fldChar w:fldCharType="begin"/>
      </w:r>
      <w:r w:rsidR="00801316">
        <w:instrText xml:space="preserve"> SEQ Figure \* ARABIC </w:instrText>
      </w:r>
      <w:r w:rsidR="00BD151C">
        <w:fldChar w:fldCharType="separate"/>
      </w:r>
      <w:r w:rsidR="003E4210">
        <w:rPr>
          <w:noProof/>
        </w:rPr>
        <w:t>93</w:t>
      </w:r>
      <w:r w:rsidR="00BD151C">
        <w:fldChar w:fldCharType="end"/>
      </w:r>
      <w:bookmarkEnd w:id="1614"/>
      <w:r>
        <w:t xml:space="preserve"> – Example of BRP setup </w:t>
      </w:r>
      <w:r w:rsidR="003A3AD3">
        <w:t>sub-</w:t>
      </w:r>
      <w:r>
        <w:t>phase procedure (SLS in BT and A</w:t>
      </w:r>
      <w:r w:rsidR="000C0053">
        <w:t>-BF</w:t>
      </w:r>
      <w:r>
        <w:t>T)</w:t>
      </w:r>
      <w:bookmarkEnd w:id="1615"/>
    </w:p>
    <w:p w:rsidR="00A14221" w:rsidRDefault="00A14221" w:rsidP="00A14221">
      <w:pPr>
        <w:autoSpaceDE w:val="0"/>
        <w:autoSpaceDN w:val="0"/>
        <w:adjustRightInd w:val="0"/>
        <w:rPr>
          <w:rFonts w:ascii="Arial" w:hAnsi="Arial" w:cs="Arial"/>
          <w:b/>
        </w:rPr>
      </w:pPr>
    </w:p>
    <w:p w:rsidR="00A14221" w:rsidRDefault="00B93268" w:rsidP="00A14221">
      <w:pPr>
        <w:keepNext/>
        <w:autoSpaceDE w:val="0"/>
        <w:autoSpaceDN w:val="0"/>
        <w:adjustRightInd w:val="0"/>
        <w:jc w:val="center"/>
      </w:pPr>
      <w:r>
        <w:rPr>
          <w:noProof/>
          <w:lang w:bidi="ar-SA"/>
        </w:rPr>
        <w:drawing>
          <wp:inline distT="0" distB="0" distL="0" distR="0">
            <wp:extent cx="5076825" cy="2867025"/>
            <wp:effectExtent l="0" t="0" r="0" b="0"/>
            <wp:docPr id="29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56400" cy="3706643"/>
                      <a:chOff x="508000" y="2058988"/>
                      <a:chExt cx="6756400" cy="3706643"/>
                    </a:xfrm>
                  </a:grpSpPr>
                  <a:grpSp>
                    <a:nvGrpSpPr>
                      <a:cNvPr id="41" name="Group 40"/>
                      <a:cNvGrpSpPr/>
                    </a:nvGrpSpPr>
                    <a:grpSpPr>
                      <a:xfrm>
                        <a:off x="508000" y="2058988"/>
                        <a:ext cx="6756400" cy="3706643"/>
                        <a:chOff x="508000" y="2058988"/>
                        <a:chExt cx="6756400" cy="3706643"/>
                      </a:xfrm>
                    </a:grpSpPr>
                    <a:grpSp>
                      <a:nvGrpSpPr>
                        <a:cNvPr id="3" name="Group 53"/>
                        <a:cNvGrpSpPr>
                          <a:grpSpLocks/>
                        </a:cNvGrpSpPr>
                      </a:nvGrpSpPr>
                      <a:grpSpPr bwMode="auto">
                        <a:xfrm>
                          <a:off x="508000" y="2058989"/>
                          <a:ext cx="6727825" cy="3679827"/>
                          <a:chOff x="320" y="1297"/>
                          <a:chExt cx="4238" cy="2318"/>
                        </a:xfrm>
                      </a:grpSpPr>
                      <a:sp>
                        <a:nvSpPr>
                          <a:cNvPr id="69637" name="Rectangle 9"/>
                          <a:cNvSpPr>
                            <a:spLocks noChangeArrowheads="1"/>
                          </a:cNvSpPr>
                        </a:nvSpPr>
                        <a:spPr bwMode="auto">
                          <a:xfrm>
                            <a:off x="105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38" name="Text Box 10"/>
                          <a:cNvSpPr txBox="1">
                            <a:spLocks noChangeArrowheads="1"/>
                          </a:cNvSpPr>
                        </a:nvSpPr>
                        <a:spPr bwMode="auto">
                          <a:xfrm>
                            <a:off x="344" y="1579"/>
                            <a:ext cx="640"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Initiator</a:t>
                              </a:r>
                              <a:endParaRPr lang="ja-JP" altLang="en-US" sz="1600">
                                <a:ea typeface="ＭＳ Ｐゴシック" pitchFamily="34" charset="-128"/>
                              </a:endParaRPr>
                            </a:p>
                          </a:txBody>
                          <a:useSpRect/>
                        </a:txSp>
                      </a:sp>
                      <a:sp>
                        <a:nvSpPr>
                          <a:cNvPr id="69640" name="TextBox 111"/>
                          <a:cNvSpPr txBox="1">
                            <a:spLocks noChangeArrowheads="1"/>
                          </a:cNvSpPr>
                        </a:nvSpPr>
                        <a:spPr bwMode="auto">
                          <a:xfrm>
                            <a:off x="1180"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9641" name="Line 7"/>
                          <a:cNvSpPr>
                            <a:spLocks noChangeShapeType="1"/>
                          </a:cNvSpPr>
                        </a:nvSpPr>
                        <a:spPr bwMode="auto">
                          <a:xfrm flipV="1">
                            <a:off x="960" y="3043"/>
                            <a:ext cx="359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42" name="Line 8"/>
                          <a:cNvSpPr>
                            <a:spLocks noChangeShapeType="1"/>
                          </a:cNvSpPr>
                        </a:nvSpPr>
                        <a:spPr bwMode="auto">
                          <a:xfrm>
                            <a:off x="960" y="1699"/>
                            <a:ext cx="359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43" name="Rectangle 9"/>
                          <a:cNvSpPr>
                            <a:spLocks noChangeArrowheads="1"/>
                          </a:cNvSpPr>
                        </a:nvSpPr>
                        <a:spPr bwMode="auto">
                          <a:xfrm>
                            <a:off x="134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44" name="Text Box 35"/>
                          <a:cNvSpPr txBox="1">
                            <a:spLocks noChangeArrowheads="1"/>
                          </a:cNvSpPr>
                        </a:nvSpPr>
                        <a:spPr bwMode="auto">
                          <a:xfrm rot="-5400000">
                            <a:off x="883"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45" name="Text Box 49"/>
                          <a:cNvSpPr txBox="1">
                            <a:spLocks noChangeArrowheads="1"/>
                          </a:cNvSpPr>
                        </a:nvSpPr>
                        <a:spPr bwMode="auto">
                          <a:xfrm>
                            <a:off x="1056"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9646" name="Text Box 49"/>
                          <a:cNvSpPr txBox="1">
                            <a:spLocks noChangeArrowheads="1"/>
                          </a:cNvSpPr>
                        </a:nvSpPr>
                        <a:spPr bwMode="auto">
                          <a:xfrm>
                            <a:off x="1584"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9647" name="Text Box 35"/>
                          <a:cNvSpPr txBox="1">
                            <a:spLocks noChangeArrowheads="1"/>
                          </a:cNvSpPr>
                        </a:nvSpPr>
                        <a:spPr bwMode="auto">
                          <a:xfrm rot="-5400000">
                            <a:off x="117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48" name="Rectangle 9"/>
                          <a:cNvSpPr>
                            <a:spLocks noChangeArrowheads="1"/>
                          </a:cNvSpPr>
                        </a:nvSpPr>
                        <a:spPr bwMode="auto">
                          <a:xfrm>
                            <a:off x="159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49" name="TextBox 111"/>
                          <a:cNvSpPr txBox="1">
                            <a:spLocks noChangeArrowheads="1"/>
                          </a:cNvSpPr>
                        </a:nvSpPr>
                        <a:spPr bwMode="auto">
                          <a:xfrm>
                            <a:off x="1722"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9650" name="Rectangle 9"/>
                          <a:cNvSpPr>
                            <a:spLocks noChangeArrowheads="1"/>
                          </a:cNvSpPr>
                        </a:nvSpPr>
                        <a:spPr bwMode="auto">
                          <a:xfrm>
                            <a:off x="188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51" name="Text Box 35"/>
                          <a:cNvSpPr txBox="1">
                            <a:spLocks noChangeArrowheads="1"/>
                          </a:cNvSpPr>
                        </a:nvSpPr>
                        <a:spPr bwMode="auto">
                          <a:xfrm rot="-5400000">
                            <a:off x="142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52" name="Text Box 35"/>
                          <a:cNvSpPr txBox="1">
                            <a:spLocks noChangeArrowheads="1"/>
                          </a:cNvSpPr>
                        </a:nvSpPr>
                        <a:spPr bwMode="auto">
                          <a:xfrm rot="-5400000">
                            <a:off x="171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53" name="Rectangle 9"/>
                          <a:cNvSpPr>
                            <a:spLocks noChangeArrowheads="1"/>
                          </a:cNvSpPr>
                        </a:nvSpPr>
                        <a:spPr bwMode="auto">
                          <a:xfrm>
                            <a:off x="212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54" name="Text Box 35"/>
                          <a:cNvSpPr txBox="1">
                            <a:spLocks noChangeArrowheads="1"/>
                          </a:cNvSpPr>
                        </a:nvSpPr>
                        <a:spPr bwMode="auto">
                          <a:xfrm rot="-5400000">
                            <a:off x="1901" y="1830"/>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dirty="0">
                                  <a:ea typeface="ＭＳ Ｐゴシック" pitchFamily="34" charset="-128"/>
                                </a:rPr>
                                <a:t>SS feedback</a:t>
                              </a:r>
                            </a:p>
                          </a:txBody>
                          <a:useSpRect/>
                        </a:txSp>
                      </a:sp>
                      <a:sp>
                        <a:nvSpPr>
                          <a:cNvPr id="69661" name="Rectangle 9"/>
                          <a:cNvSpPr>
                            <a:spLocks noChangeArrowheads="1"/>
                          </a:cNvSpPr>
                        </a:nvSpPr>
                        <a:spPr bwMode="auto">
                          <a:xfrm>
                            <a:off x="337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62" name="Text Box 35"/>
                          <a:cNvSpPr txBox="1">
                            <a:spLocks noChangeArrowheads="1"/>
                          </a:cNvSpPr>
                        </a:nvSpPr>
                        <a:spPr bwMode="auto">
                          <a:xfrm rot="-5400000">
                            <a:off x="3206" y="1841"/>
                            <a:ext cx="478"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9663" name="Rectangle 9"/>
                          <a:cNvSpPr>
                            <a:spLocks noChangeArrowheads="1"/>
                          </a:cNvSpPr>
                        </a:nvSpPr>
                        <a:spPr bwMode="auto">
                          <a:xfrm>
                            <a:off x="361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64" name="Text Box 35"/>
                          <a:cNvSpPr txBox="1">
                            <a:spLocks noChangeArrowheads="1"/>
                          </a:cNvSpPr>
                        </a:nvSpPr>
                        <a:spPr bwMode="auto">
                          <a:xfrm rot="-5400000">
                            <a:off x="344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9667" name="AutoShape 35"/>
                          <a:cNvSpPr>
                            <a:spLocks/>
                          </a:cNvSpPr>
                        </a:nvSpPr>
                        <a:spPr bwMode="auto">
                          <a:xfrm>
                            <a:off x="912" y="3360"/>
                            <a:ext cx="1104" cy="255"/>
                          </a:xfrm>
                          <a:prstGeom prst="borderCallout2">
                            <a:avLst>
                              <a:gd name="adj1" fmla="val 28236"/>
                              <a:gd name="adj2" fmla="val 104347"/>
                              <a:gd name="adj3" fmla="val 28236"/>
                              <a:gd name="adj4" fmla="val 120653"/>
                              <a:gd name="adj5" fmla="val -125491"/>
                              <a:gd name="adj6" fmla="val 13695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 =0, </a:t>
                              </a:r>
                            </a:p>
                            <a:p>
                              <a:r>
                                <a:rPr lang="en-US" altLang="ja-JP" sz="1000">
                                  <a:ea typeface="ＭＳ Ｐゴシック" pitchFamily="34" charset="-128"/>
                                </a:rPr>
                                <a:t>L-RX&gt;0,  TX-TRN-REQ=1</a:t>
                              </a:r>
                            </a:p>
                          </a:txBody>
                          <a:useSpRect/>
                        </a:txSp>
                      </a:sp>
                      <a:sp>
                        <a:nvSpPr>
                          <a:cNvPr id="69668" name="Line 36"/>
                          <a:cNvSpPr>
                            <a:spLocks noChangeShapeType="1"/>
                          </a:cNvSpPr>
                        </a:nvSpPr>
                        <a:spPr bwMode="auto">
                          <a:xfrm>
                            <a:off x="1056" y="2400"/>
                            <a:ext cx="1824"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69" name="Text Box 49"/>
                          <a:cNvSpPr txBox="1">
                            <a:spLocks noChangeArrowheads="1"/>
                          </a:cNvSpPr>
                        </a:nvSpPr>
                        <a:spPr bwMode="auto">
                          <a:xfrm>
                            <a:off x="1671" y="2256"/>
                            <a:ext cx="2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a:t>
                              </a:r>
                            </a:p>
                          </a:txBody>
                          <a:useSpRect/>
                        </a:txSp>
                      </a:sp>
                      <a:sp>
                        <a:nvSpPr>
                          <a:cNvPr id="69672" name="Line 40"/>
                          <a:cNvSpPr>
                            <a:spLocks noChangeShapeType="1"/>
                          </a:cNvSpPr>
                        </a:nvSpPr>
                        <a:spPr bwMode="auto">
                          <a:xfrm>
                            <a:off x="2876" y="2400"/>
                            <a:ext cx="1511"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73" name="Text Box 49"/>
                          <a:cNvSpPr txBox="1">
                            <a:spLocks noChangeArrowheads="1"/>
                          </a:cNvSpPr>
                        </a:nvSpPr>
                        <a:spPr bwMode="auto">
                          <a:xfrm>
                            <a:off x="3240" y="2256"/>
                            <a:ext cx="7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transactions</a:t>
                              </a:r>
                            </a:p>
                          </a:txBody>
                          <a:useSpRect/>
                        </a:txSp>
                      </a:sp>
                      <a:sp>
                        <a:nvSpPr>
                          <a:cNvPr id="69675" name="Line 43"/>
                          <a:cNvSpPr>
                            <a:spLocks noChangeShapeType="1"/>
                          </a:cNvSpPr>
                        </a:nvSpPr>
                        <a:spPr bwMode="auto">
                          <a:xfrm>
                            <a:off x="3608" y="1968"/>
                            <a:ext cx="544"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76" name="Line 44"/>
                          <a:cNvSpPr>
                            <a:spLocks noChangeShapeType="1"/>
                          </a:cNvSpPr>
                        </a:nvSpPr>
                        <a:spPr bwMode="auto">
                          <a:xfrm>
                            <a:off x="3848" y="2832"/>
                            <a:ext cx="304"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79" name="Rectangle 9"/>
                          <a:cNvSpPr>
                            <a:spLocks noChangeArrowheads="1"/>
                          </a:cNvSpPr>
                        </a:nvSpPr>
                        <a:spPr bwMode="auto">
                          <a:xfrm>
                            <a:off x="2352" y="2565"/>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80" name="Text Box 35"/>
                          <a:cNvSpPr txBox="1">
                            <a:spLocks noChangeArrowheads="1"/>
                          </a:cNvSpPr>
                        </a:nvSpPr>
                        <a:spPr bwMode="auto">
                          <a:xfrm rot="16200000">
                            <a:off x="2131" y="2680"/>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ACK</a:t>
                              </a:r>
                            </a:p>
                          </a:txBody>
                          <a:useSpRect/>
                        </a:txSp>
                      </a:sp>
                      <a:sp>
                        <a:nvSpPr>
                          <a:cNvPr id="69681" name="TextBox 73"/>
                          <a:cNvSpPr txBox="1">
                            <a:spLocks noChangeArrowheads="1"/>
                          </a:cNvSpPr>
                        </a:nvSpPr>
                        <a:spPr bwMode="auto">
                          <a:xfrm>
                            <a:off x="2336" y="1822"/>
                            <a:ext cx="960" cy="28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solidFill>
                                    <a:srgbClr val="0000FF"/>
                                  </a:solidFill>
                                  <a:ea typeface="ＭＳ Ｐゴシック" pitchFamily="34" charset="-128"/>
                                </a:rPr>
                                <a:t>BRP setup sub-phase is skipped in this case</a:t>
                              </a:r>
                            </a:p>
                          </a:txBody>
                          <a:useSpRect/>
                        </a:txSp>
                      </a:sp>
                      <a:sp>
                        <a:nvSpPr>
                          <a:cNvPr id="69682" name="AutoShape 50"/>
                          <a:cNvSpPr>
                            <a:spLocks/>
                          </a:cNvSpPr>
                        </a:nvSpPr>
                        <a:spPr bwMode="auto">
                          <a:xfrm>
                            <a:off x="2541" y="1297"/>
                            <a:ext cx="1198" cy="264"/>
                          </a:xfrm>
                          <a:prstGeom prst="borderCallout2">
                            <a:avLst>
                              <a:gd name="adj1" fmla="val 27273"/>
                              <a:gd name="adj2" fmla="val -4005"/>
                              <a:gd name="adj3" fmla="val 27273"/>
                              <a:gd name="adj4" fmla="val -7347"/>
                              <a:gd name="adj5" fmla="val 152653"/>
                              <a:gd name="adj6" fmla="val -2671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L-RX&gt;0, TX-TRN-REQ=1</a:t>
                              </a:r>
                              <a:endParaRPr lang="ja-JP" altLang="en-US" sz="1000">
                                <a:ea typeface="ＭＳ Ｐゴシック" pitchFamily="34" charset="-128"/>
                              </a:endParaRPr>
                            </a:p>
                            <a:p>
                              <a:endParaRPr lang="ja-JP" altLang="en-US" sz="1000">
                                <a:ea typeface="ＭＳ Ｐゴシック" pitchFamily="34" charset="-128"/>
                              </a:endParaRPr>
                            </a:p>
                          </a:txBody>
                          <a:useSpRect/>
                        </a:txSp>
                      </a:sp>
                      <a:sp>
                        <a:nvSpPr>
                          <a:cNvPr id="69684" name="Text Box 10"/>
                          <a:cNvSpPr txBox="1">
                            <a:spLocks noChangeArrowheads="1"/>
                          </a:cNvSpPr>
                        </a:nvSpPr>
                        <a:spPr bwMode="auto">
                          <a:xfrm>
                            <a:off x="320" y="2923"/>
                            <a:ext cx="664"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Responder</a:t>
                              </a:r>
                              <a:endParaRPr lang="ja-JP" altLang="en-US" sz="1600">
                                <a:ea typeface="ＭＳ Ｐゴシック" pitchFamily="34" charset="-128"/>
                              </a:endParaRPr>
                            </a:p>
                          </a:txBody>
                          <a:useSpRect/>
                        </a:txSp>
                      </a:sp>
                    </a:grpSp>
                    <a:sp>
                      <a:nvSpPr>
                        <a:cNvPr id="40" name="Text Box 77"/>
                        <a:cNvSpPr txBox="1">
                          <a:spLocks noChangeArrowheads="1"/>
                        </a:cNvSpPr>
                      </a:nvSpPr>
                      <a:spPr bwMode="auto">
                        <a:xfrm>
                          <a:off x="3911600" y="5257800"/>
                          <a:ext cx="3352800" cy="507831"/>
                        </a:xfrm>
                        <a:prstGeom prst="rect">
                          <a:avLst/>
                        </a:prstGeom>
                        <a:noFill/>
                        <a:ln w="12700">
                          <a:noFill/>
                          <a:miter lim="800000"/>
                          <a:headEnd type="none" w="sm" len="sm"/>
                          <a:tailEnd type="none" w="sm" len="sm"/>
                        </a:ln>
                        <a:effectLst/>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a:t>
                            </a:r>
                            <a:r>
                              <a:rPr lang="en-US" altLang="ja-JP" sz="1400" i="1" u="sng" dirty="0" smtClean="0">
                                <a:latin typeface="Arial" charset="0"/>
                                <a:ea typeface="ＭＳ Ｐゴシック" pitchFamily="34" charset="-128"/>
                              </a:rPr>
                              <a:t>&gt;</a:t>
                            </a:r>
                            <a:r>
                              <a:rPr lang="en-US" altLang="ja-JP" sz="1300" dirty="0" smtClean="0">
                                <a:latin typeface="Arial" charset="0"/>
                                <a:ea typeface="ＭＳ Ｐゴシック" pitchFamily="34" charset="-128"/>
                                <a:cs typeface="Arial" charset="0"/>
                              </a:rPr>
                              <a:t> </a:t>
                            </a:r>
                            <a:r>
                              <a:rPr lang="en-US" altLang="ja-JP" sz="1300" dirty="0">
                                <a:latin typeface="Arial" charset="0"/>
                                <a:ea typeface="ＭＳ Ｐゴシック" pitchFamily="34" charset="-128"/>
                                <a:cs typeface="Arial" charset="0"/>
                              </a:rPr>
                              <a:t>SIFS &amp; &lt; BRPIFS</a:t>
                            </a:r>
                            <a:endParaRPr lang="ja-JP" altLang="en-US" sz="1300">
                              <a:latin typeface="Arial" charset="0"/>
                              <a:ea typeface="ＭＳ Ｐゴシック" pitchFamily="34" charset="-128"/>
                              <a:cs typeface="Arial" charset="0"/>
                            </a:endParaRPr>
                          </a:p>
                        </a:txBody>
                        <a:useSpRect/>
                      </a:txSp>
                    </a:sp>
                  </a:grpSp>
                </lc:lockedCanvas>
              </a:graphicData>
            </a:graphic>
          </wp:inline>
        </w:drawing>
      </w:r>
    </w:p>
    <w:p w:rsidR="00A14221" w:rsidRPr="004B080E" w:rsidRDefault="00A14221" w:rsidP="00A14221">
      <w:pPr>
        <w:pStyle w:val="Caption"/>
        <w:rPr>
          <w:rFonts w:cs="Arial"/>
          <w:b w:val="0"/>
        </w:rPr>
      </w:pPr>
      <w:bookmarkStart w:id="1616" w:name="_Ref257038694"/>
      <w:bookmarkStart w:id="1617" w:name="_Toc259717526"/>
      <w:r>
        <w:t xml:space="preserve">Figure </w:t>
      </w:r>
      <w:r w:rsidR="00BD151C">
        <w:fldChar w:fldCharType="begin"/>
      </w:r>
      <w:r w:rsidR="00801316">
        <w:instrText xml:space="preserve"> SEQ Figure \* ARABIC </w:instrText>
      </w:r>
      <w:r w:rsidR="00BD151C">
        <w:fldChar w:fldCharType="separate"/>
      </w:r>
      <w:r w:rsidR="003E4210">
        <w:rPr>
          <w:noProof/>
        </w:rPr>
        <w:t>94</w:t>
      </w:r>
      <w:r w:rsidR="00BD151C">
        <w:fldChar w:fldCharType="end"/>
      </w:r>
      <w:bookmarkEnd w:id="1616"/>
      <w:r>
        <w:t xml:space="preserve"> – </w:t>
      </w:r>
      <w:r w:rsidRPr="00874EC0">
        <w:t xml:space="preserve">Example of BRP setup </w:t>
      </w:r>
      <w:r w:rsidR="003A3AD3">
        <w:t>sub-</w:t>
      </w:r>
      <w:r w:rsidRPr="00874EC0">
        <w:t>phase procedure (SLS in DTT)</w:t>
      </w:r>
      <w:bookmarkEnd w:id="1617"/>
    </w:p>
    <w:p w:rsidR="00A14221" w:rsidRPr="009448FC" w:rsidRDefault="00A14221" w:rsidP="00022C45"/>
    <w:p w:rsidR="002D104E" w:rsidRPr="002D104E" w:rsidRDefault="00022C45" w:rsidP="003701DB">
      <w:pPr>
        <w:pStyle w:val="Heading3"/>
        <w:numPr>
          <w:ilvl w:val="2"/>
          <w:numId w:val="211"/>
        </w:numPr>
      </w:pPr>
      <w:bookmarkStart w:id="1618" w:name="_Toc241556197"/>
      <w:bookmarkStart w:id="1619" w:name="_Ref243106323"/>
      <w:bookmarkStart w:id="1620" w:name="_Ref243106387"/>
      <w:bookmarkStart w:id="1621" w:name="_Ref243106593"/>
      <w:bookmarkStart w:id="1622" w:name="_Ref256202560"/>
      <w:bookmarkStart w:id="1623" w:name="_Toc259717150"/>
      <w:r w:rsidRPr="009448FC">
        <w:t>Beamforming in BT</w:t>
      </w:r>
      <w:bookmarkEnd w:id="1618"/>
      <w:bookmarkEnd w:id="1619"/>
      <w:bookmarkEnd w:id="1620"/>
      <w:bookmarkEnd w:id="1621"/>
      <w:bookmarkEnd w:id="1622"/>
      <w:bookmarkEnd w:id="1623"/>
    </w:p>
    <w:p w:rsidR="00022C45" w:rsidRPr="009448FC" w:rsidRDefault="00022C45" w:rsidP="00022C45">
      <w:r w:rsidRPr="009448FC">
        <w:t xml:space="preserve">In the BT, the PCP/AP performs an initiator TXSS as the first part of the SLS with the transmission of at least one mmWave Beacon frame. </w:t>
      </w:r>
    </w:p>
    <w:p w:rsidR="00022C45" w:rsidRPr="009448FC" w:rsidRDefault="00022C45" w:rsidP="00022C45"/>
    <w:p w:rsidR="00022C45" w:rsidRPr="009448FC" w:rsidRDefault="00022C45" w:rsidP="00716848">
      <w:pPr>
        <w:jc w:val="both"/>
        <w:rPr>
          <w:rFonts w:eastAsia="MS Mincho"/>
          <w:sz w:val="23"/>
        </w:rPr>
      </w:pPr>
      <w:r w:rsidRPr="009448FC">
        <w:t xml:space="preserve">The PCP/AP may fragment the initiator TXSS over multiple consecutive BTs by not transmitting a mmWave Beacon frame through all sectors available to the PCP/AP in a single BT. In a BT with a fragmented initiator TXSS, the PCP/AP shall transmit mmWave Beacon frames with the Fragment field set to one. Otherwise, the PCP/AP shall set the Fragment field to zero. </w:t>
      </w:r>
      <w:r w:rsidR="00502D79" w:rsidRPr="00502D79">
        <w:t xml:space="preserve">The AP/PCP shall not change the duration of the next BT if at least one of the mmWave Beacon frames transmitted in the </w:t>
      </w:r>
      <w:r w:rsidR="00502D79" w:rsidRPr="00502D79">
        <w:lastRenderedPageBreak/>
        <w:t>current BT have the Fragmented field set to one.</w:t>
      </w:r>
      <w:r w:rsidR="00502D79">
        <w:t xml:space="preserve"> </w:t>
      </w:r>
      <w:r w:rsidRPr="009448FC">
        <w:t xml:space="preserve">The CDOWN field shall be set to the total number of transmissions remaining to the end of the </w:t>
      </w:r>
      <w:r w:rsidR="00502D79" w:rsidRPr="00502D79">
        <w:t>initiator TXSS, such that the last mmWave Beacon frame transmission of the initiator TXSS has the CDOWN field set to zero</w:t>
      </w:r>
      <w:r w:rsidRPr="009448FC">
        <w:t>. The TXSS Span field shall be set to the total number of BIs it takes the PCP/AP to complete the entire TXSS phase. The Duration/ID field within each transmitted mmWave Beacon shall be set to the time remaining until the end of the current BT.</w:t>
      </w:r>
    </w:p>
    <w:p w:rsidR="00751EC4" w:rsidRPr="009448FC" w:rsidRDefault="00BE1F31" w:rsidP="00022C45">
      <w:pPr>
        <w:jc w:val="both"/>
        <w:rPr>
          <w:rFonts w:eastAsia="MS Mincho"/>
          <w:sz w:val="23"/>
        </w:rPr>
      </w:pPr>
      <w:r>
        <w:rPr>
          <w:rFonts w:eastAsia="MS Mincho"/>
          <w:sz w:val="23"/>
        </w:rPr>
        <w:t xml:space="preserve"> </w:t>
      </w:r>
      <w:r w:rsidR="00083BC4">
        <w:rPr>
          <w:rFonts w:eastAsia="MS Mincho"/>
          <w:sz w:val="23"/>
        </w:rPr>
        <w:t xml:space="preserve"> </w:t>
      </w:r>
    </w:p>
    <w:p w:rsidR="00751EC4" w:rsidRPr="009448FC" w:rsidRDefault="00751EC4" w:rsidP="003660C2">
      <w:pPr>
        <w:jc w:val="both"/>
        <w:rPr>
          <w:rFonts w:eastAsia="MS Mincho"/>
          <w:sz w:val="23"/>
        </w:rPr>
      </w:pPr>
      <w:r w:rsidRPr="009448FC">
        <w:t>When a PCP</w:t>
      </w:r>
      <w:r w:rsidR="00D8170A" w:rsidRPr="009448FC">
        <w:t>/AP</w:t>
      </w:r>
      <w:r w:rsidRPr="009448FC">
        <w:t xml:space="preserve"> has more than one antenna</w:t>
      </w:r>
      <w:r w:rsidR="000C0053">
        <w:t>,</w:t>
      </w:r>
      <w:r w:rsidRPr="009448FC">
        <w:t xml:space="preserve"> the TXSS shall cover all the sectors in all antenna</w:t>
      </w:r>
      <w:r w:rsidR="003660C2">
        <w:t>s</w:t>
      </w:r>
      <w:r w:rsidRPr="009448FC">
        <w:t>.</w:t>
      </w:r>
      <w:r w:rsidR="00281486" w:rsidRPr="009448FC">
        <w:t xml:space="preserve"> </w:t>
      </w:r>
      <w:r w:rsidRPr="009448FC">
        <w:t>The TXSS Span field indicate</w:t>
      </w:r>
      <w:r w:rsidR="00A138F5">
        <w:t>s</w:t>
      </w:r>
      <w:r w:rsidRPr="009448FC">
        <w:t xml:space="preserve"> the total number of BIs it takes the PCP</w:t>
      </w:r>
      <w:r w:rsidR="00D8170A" w:rsidRPr="009448FC">
        <w:t>/AP</w:t>
      </w:r>
      <w:r w:rsidRPr="009448FC">
        <w:t xml:space="preserve"> to cover all sectors in all antenna</w:t>
      </w:r>
      <w:r w:rsidR="003660C2">
        <w:t>s</w:t>
      </w:r>
      <w:r w:rsidRPr="009448FC">
        <w:t>.</w:t>
      </w:r>
      <w:r w:rsidR="00281486" w:rsidRPr="009448FC">
        <w:t xml:space="preserve"> </w:t>
      </w:r>
      <w:r w:rsidRPr="009448FC">
        <w:t xml:space="preserve">The </w:t>
      </w:r>
      <w:r w:rsidR="000C0053">
        <w:t xml:space="preserve">value of the </w:t>
      </w:r>
      <w:r w:rsidRPr="009448FC">
        <w:t xml:space="preserve">TXSS span </w:t>
      </w:r>
      <w:r w:rsidR="000C0053">
        <w:t xml:space="preserve">field </w:t>
      </w:r>
      <w:r w:rsidRPr="009448FC">
        <w:t xml:space="preserve">shall be </w:t>
      </w:r>
      <w:r w:rsidR="000C0053">
        <w:t>lower</w:t>
      </w:r>
      <w:r w:rsidRPr="009448FC">
        <w:t xml:space="preserve"> than dot11MaximalSectorScanUsec.</w:t>
      </w:r>
    </w:p>
    <w:p w:rsidR="00022C45" w:rsidRPr="009448FC" w:rsidRDefault="00022C45" w:rsidP="00022C45">
      <w:pPr>
        <w:jc w:val="both"/>
      </w:pPr>
    </w:p>
    <w:p w:rsidR="00022C45" w:rsidRPr="009448FC" w:rsidRDefault="00022C45" w:rsidP="00F35006">
      <w:pPr>
        <w:jc w:val="both"/>
        <w:rPr>
          <w:sz w:val="20"/>
        </w:rPr>
      </w:pPr>
      <w:r w:rsidRPr="009448FC">
        <w:rPr>
          <w:sz w:val="20"/>
        </w:rPr>
        <w:t xml:space="preserve">NOTE – If an unassociated responder receives a mmWave Beacon frame in the BT with a fragmented initiator TXSS, the responder may start a responder TXSS in the following A-BFT or it may scan </w:t>
      </w:r>
      <w:r w:rsidR="006A5E97">
        <w:rPr>
          <w:sz w:val="20"/>
        </w:rPr>
        <w:t>f</w:t>
      </w:r>
      <w:r w:rsidR="00EA4504">
        <w:rPr>
          <w:sz w:val="20"/>
        </w:rPr>
        <w:t xml:space="preserve">or the number of BIs indicated in a received </w:t>
      </w:r>
      <w:r w:rsidRPr="009448FC">
        <w:rPr>
          <w:sz w:val="20"/>
        </w:rPr>
        <w:t xml:space="preserve">TXSS Span </w:t>
      </w:r>
      <w:r w:rsidR="00B8107A">
        <w:rPr>
          <w:sz w:val="20"/>
        </w:rPr>
        <w:t xml:space="preserve">field </w:t>
      </w:r>
      <w:r w:rsidRPr="009448FC">
        <w:rPr>
          <w:sz w:val="20"/>
        </w:rPr>
        <w:t>in order to cover a complete initiator TXSS and find a suitable TX sector from the PCP/AP.</w:t>
      </w:r>
    </w:p>
    <w:p w:rsidR="00022C45" w:rsidRPr="009448FC" w:rsidRDefault="00022C45" w:rsidP="003701DB">
      <w:pPr>
        <w:pStyle w:val="Heading3"/>
        <w:numPr>
          <w:ilvl w:val="2"/>
          <w:numId w:val="211"/>
        </w:numPr>
      </w:pPr>
      <w:bookmarkStart w:id="1624" w:name="_Toc241556198"/>
      <w:bookmarkStart w:id="1625" w:name="_Ref243816630"/>
      <w:bookmarkStart w:id="1626" w:name="_Ref244078982"/>
      <w:bookmarkStart w:id="1627" w:name="_Ref244079018"/>
      <w:bookmarkStart w:id="1628" w:name="_Ref244137615"/>
      <w:bookmarkStart w:id="1629" w:name="_Ref244148036"/>
      <w:bookmarkStart w:id="1630" w:name="_Ref255299448"/>
      <w:bookmarkStart w:id="1631" w:name="_Ref255310630"/>
      <w:bookmarkStart w:id="1632" w:name="_Ref255310809"/>
      <w:bookmarkStart w:id="1633" w:name="_Ref255311178"/>
      <w:bookmarkStart w:id="1634" w:name="_Toc259717151"/>
      <w:r w:rsidRPr="009448FC">
        <w:t>Beamforming in A-BFT</w:t>
      </w:r>
      <w:bookmarkEnd w:id="1624"/>
      <w:bookmarkEnd w:id="1625"/>
      <w:bookmarkEnd w:id="1626"/>
      <w:bookmarkEnd w:id="1627"/>
      <w:bookmarkEnd w:id="1628"/>
      <w:bookmarkEnd w:id="1629"/>
      <w:bookmarkEnd w:id="1630"/>
      <w:bookmarkEnd w:id="1631"/>
      <w:bookmarkEnd w:id="1632"/>
      <w:bookmarkEnd w:id="1633"/>
      <w:bookmarkEnd w:id="1634"/>
    </w:p>
    <w:p w:rsidR="002D104E" w:rsidRDefault="002D104E" w:rsidP="00022C45"/>
    <w:p w:rsidR="002D104E" w:rsidRDefault="00F10315" w:rsidP="003701DB">
      <w:pPr>
        <w:pStyle w:val="Heading4"/>
        <w:numPr>
          <w:ilvl w:val="3"/>
          <w:numId w:val="188"/>
        </w:numPr>
      </w:pPr>
      <w:bookmarkStart w:id="1635" w:name="_Toc259717152"/>
      <w:r>
        <w:t>Allocation of A-BFT</w:t>
      </w:r>
      <w:bookmarkEnd w:id="1635"/>
      <w:r w:rsidR="005515A4">
        <w:t xml:space="preserve"> </w:t>
      </w:r>
    </w:p>
    <w:p w:rsidR="00632321" w:rsidRDefault="00EB4D1A" w:rsidP="001A1206">
      <w:r w:rsidRPr="009448FC">
        <w:t xml:space="preserve">The PCP/AP shall allocate an A-BFT period SIFS time following the completion of </w:t>
      </w:r>
      <w:r w:rsidRPr="009448FC">
        <w:rPr>
          <w:rFonts w:eastAsia="Batang"/>
        </w:rPr>
        <w:t xml:space="preserve">a BT that included </w:t>
      </w:r>
      <w:r w:rsidR="001A1206">
        <w:rPr>
          <w:rFonts w:eastAsia="Batang"/>
        </w:rPr>
        <w:t>a</w:t>
      </w:r>
      <w:r w:rsidRPr="009448FC">
        <w:t xml:space="preserve"> mmWave Beacon frame transmission </w:t>
      </w:r>
      <w:r w:rsidRPr="009448FC">
        <w:rPr>
          <w:rFonts w:eastAsia="Batang"/>
        </w:rPr>
        <w:t>with A-BFT Length greater than zero and Next A-BFT equal to zero</w:t>
      </w:r>
      <w:r w:rsidR="00632321">
        <w:t>.</w:t>
      </w:r>
    </w:p>
    <w:p w:rsidR="00632321" w:rsidRDefault="00632321" w:rsidP="001A1206"/>
    <w:p w:rsidR="0098232F" w:rsidRDefault="00EB4D1A" w:rsidP="001A1206">
      <w:r w:rsidRPr="009448FC">
        <w:rPr>
          <w:rFonts w:eastAsia="Batang"/>
        </w:rPr>
        <w:t xml:space="preserve">Following the end of a BT, the PCP/AP shall decrement the value of the Next A-BFT field by one provided it is not equal to zero, and shall announce this value in the next BT. When the Next A-BFT field in a transmitted mmWave Beacon is equal to zero, the value of the A-BFT Length field is no less than </w:t>
      </w:r>
      <w:r w:rsidRPr="009448FC">
        <w:t xml:space="preserve">aMinSSSlotsPerABFT as described in </w:t>
      </w:r>
      <w:r w:rsidR="00BD151C">
        <w:fldChar w:fldCharType="begin"/>
      </w:r>
      <w:r w:rsidR="00DF7852">
        <w:instrText xml:space="preserve"> REF _Ref255222742 \r \h </w:instrText>
      </w:r>
      <w:r w:rsidR="00BD151C">
        <w:fldChar w:fldCharType="separate"/>
      </w:r>
      <w:r w:rsidR="003E4210">
        <w:t>9.25.4.2</w:t>
      </w:r>
      <w:r w:rsidR="00BD151C">
        <w:fldChar w:fldCharType="end"/>
      </w:r>
      <w:r w:rsidRPr="009448FC">
        <w:rPr>
          <w:rFonts w:eastAsia="Batang"/>
        </w:rPr>
        <w:t xml:space="preserve">. The PCP/AP may increase the Next A-BFT field value following a BT in which the Next A-BFT field was equal to zero. </w:t>
      </w:r>
      <w:r w:rsidRPr="009448FC">
        <w:t xml:space="preserve">A STA shall consider that </w:t>
      </w:r>
      <w:r w:rsidR="0098232F">
        <w:t>a</w:t>
      </w:r>
      <w:r w:rsidRPr="009448FC">
        <w:t xml:space="preserve"> </w:t>
      </w:r>
      <w:r w:rsidRPr="009448FC">
        <w:rPr>
          <w:rFonts w:eastAsia="SimSun"/>
        </w:rPr>
        <w:t>BT</w:t>
      </w:r>
      <w:r w:rsidRPr="009448FC" w:rsidDel="00631E47">
        <w:t xml:space="preserve"> </w:t>
      </w:r>
      <w:r w:rsidRPr="009448FC">
        <w:t xml:space="preserve">is completed at the </w:t>
      </w:r>
      <w:r w:rsidR="0098232F">
        <w:t>expiration of the value within the Duration field of the last mmWave Beacon frame received in that BT</w:t>
      </w:r>
      <w:r w:rsidRPr="009448FC">
        <w:t>.</w:t>
      </w:r>
    </w:p>
    <w:p w:rsidR="0098232F" w:rsidRDefault="0098232F" w:rsidP="001A1206"/>
    <w:p w:rsidR="00CA1910" w:rsidRPr="00CA1910" w:rsidRDefault="005F3344" w:rsidP="001A1206">
      <w:r w:rsidRPr="005F3344">
        <w:t>All mmWave Beacon frames transmitted within the number of beacon intervals specified within the most recently updated TXSS Span field have the same value for all the subfields within th</w:t>
      </w:r>
      <w:r>
        <w:t>e Beacon Interval Control field</w:t>
      </w:r>
      <w:r w:rsidR="00D809F8">
        <w:t xml:space="preserve"> (</w:t>
      </w:r>
      <w:r w:rsidR="00BD151C">
        <w:fldChar w:fldCharType="begin"/>
      </w:r>
      <w:r w:rsidR="00D809F8">
        <w:instrText xml:space="preserve"> REF _Ref243816264 \h </w:instrText>
      </w:r>
      <w:r w:rsidR="00BD151C">
        <w:fldChar w:fldCharType="separate"/>
      </w:r>
      <w:r w:rsidR="003E4210" w:rsidRPr="009448FC">
        <w:t>11.1.2.1a Beacon generation in infrastructure BSS and in PBSS in UB</w:t>
      </w:r>
      <w:r w:rsidR="00BD151C">
        <w:fldChar w:fldCharType="end"/>
      </w:r>
      <w:r w:rsidR="00D809F8">
        <w:t>)</w:t>
      </w:r>
      <w:r w:rsidR="00C63FBE" w:rsidRPr="00C63FBE">
        <w:t>.</w:t>
      </w:r>
    </w:p>
    <w:p w:rsidR="00CA1910" w:rsidRDefault="00CA1910" w:rsidP="003701DB">
      <w:pPr>
        <w:pStyle w:val="Heading4"/>
        <w:numPr>
          <w:ilvl w:val="3"/>
          <w:numId w:val="188"/>
        </w:numPr>
      </w:pPr>
      <w:bookmarkStart w:id="1636" w:name="_Ref255222742"/>
      <w:bookmarkStart w:id="1637" w:name="_Toc259717153"/>
      <w:r>
        <w:t>Operation during the A-BFT</w:t>
      </w:r>
      <w:bookmarkEnd w:id="1636"/>
      <w:bookmarkEnd w:id="1637"/>
    </w:p>
    <w:p w:rsidR="00022C45" w:rsidRPr="009448FC" w:rsidRDefault="00022C45" w:rsidP="00022C45">
      <w:r w:rsidRPr="009448FC">
        <w:t>Beamforming training in the A</w:t>
      </w:r>
      <w:r w:rsidR="00344DB2">
        <w:t xml:space="preserve">-BFT consists of the RSS and SS </w:t>
      </w:r>
      <w:r w:rsidRPr="009448FC">
        <w:t xml:space="preserve">Feedback of the SLS between the PCP/AP </w:t>
      </w:r>
      <w:r w:rsidR="00A71778" w:rsidRPr="009448FC">
        <w:t xml:space="preserve">and </w:t>
      </w:r>
      <w:r w:rsidRPr="009448FC">
        <w:t>a STA.</w:t>
      </w:r>
    </w:p>
    <w:p w:rsidR="00022C45" w:rsidRPr="009448FC" w:rsidRDefault="00083BC4" w:rsidP="00022C45">
      <w:r>
        <w:t xml:space="preserve"> </w:t>
      </w:r>
    </w:p>
    <w:p w:rsidR="00022C45" w:rsidRPr="009448FC" w:rsidRDefault="00022C45" w:rsidP="001C59FD">
      <w:r w:rsidRPr="009448FC">
        <w:t xml:space="preserve">In the A-BFT, the PCP/AP is the initiator and the STA is the responder in the RSS part of the SLS </w:t>
      </w:r>
      <w:r w:rsidR="00B8107A">
        <w:t>(</w:t>
      </w:r>
      <w:r w:rsidR="00BD151C" w:rsidRPr="009448FC">
        <w:fldChar w:fldCharType="begin"/>
      </w:r>
      <w:r w:rsidR="001C59FD" w:rsidRPr="009448FC">
        <w:instrText xml:space="preserve"> REF _Ref243106913 \r \h </w:instrText>
      </w:r>
      <w:r w:rsidR="00BD151C" w:rsidRPr="009448FC">
        <w:fldChar w:fldCharType="separate"/>
      </w:r>
      <w:r w:rsidR="003E4210">
        <w:t>9.25.1.2</w:t>
      </w:r>
      <w:r w:rsidR="00BD151C" w:rsidRPr="009448FC">
        <w:fldChar w:fldCharType="end"/>
      </w:r>
      <w:r w:rsidR="00B8107A">
        <w:t>)</w:t>
      </w:r>
      <w:r w:rsidR="00A71778" w:rsidRPr="009448FC">
        <w:t xml:space="preserve">. </w:t>
      </w:r>
      <w:r w:rsidRPr="009448FC">
        <w:t>The BRP phase shall no</w:t>
      </w:r>
      <w:r w:rsidR="00923355">
        <w:t xml:space="preserve">t be performed within the A-BFT. </w:t>
      </w:r>
      <w:r w:rsidR="00923355" w:rsidRPr="00923355">
        <w:t xml:space="preserve">A STA shall not transmit in the A-BFT of a BI if </w:t>
      </w:r>
      <w:r w:rsidR="00BE022F">
        <w:t xml:space="preserve">it </w:t>
      </w:r>
      <w:r w:rsidR="00923355" w:rsidRPr="00923355">
        <w:t>does not receive at least one mmWave Beacon frame during the BT of that BI.</w:t>
      </w:r>
    </w:p>
    <w:p w:rsidR="00022C45" w:rsidRPr="009448FC" w:rsidRDefault="00083BC4" w:rsidP="00022C45">
      <w:r>
        <w:t xml:space="preserve"> </w:t>
      </w:r>
    </w:p>
    <w:p w:rsidR="00022C45" w:rsidRPr="009448FC" w:rsidRDefault="00022C45" w:rsidP="00196669">
      <w:r w:rsidRPr="009448FC">
        <w:t xml:space="preserve">The A-BFT is slotted and the length of the A-BFT is an integral multiple of the sector sweep slot time (aSSSlotTime). </w:t>
      </w:r>
      <w:r w:rsidR="005B4131" w:rsidRPr="005B4131">
        <w:t>The structure of the A-BFT is shown in</w:t>
      </w:r>
      <w:r w:rsidR="005B4131">
        <w:t xml:space="preserve"> </w:t>
      </w:r>
      <w:r w:rsidR="00BD151C">
        <w:fldChar w:fldCharType="begin"/>
      </w:r>
      <w:r w:rsidR="005B4131">
        <w:instrText xml:space="preserve"> REF _Ref255223284 \h </w:instrText>
      </w:r>
      <w:r w:rsidR="00BD151C">
        <w:fldChar w:fldCharType="separate"/>
      </w:r>
      <w:r w:rsidR="003E4210" w:rsidRPr="00066F65">
        <w:t xml:space="preserve">Figure </w:t>
      </w:r>
      <w:r w:rsidR="003E4210">
        <w:rPr>
          <w:noProof/>
        </w:rPr>
        <w:t>95</w:t>
      </w:r>
      <w:r w:rsidR="00BD151C">
        <w:fldChar w:fldCharType="end"/>
      </w:r>
      <w:r w:rsidR="005B4131">
        <w:t xml:space="preserve">. </w:t>
      </w:r>
      <w:r w:rsidRPr="009448FC">
        <w:t>The PCP/AP shall announce the size of the A-BFT in the A-BFT Length field of the beacon interval control (</w:t>
      </w:r>
      <w:r w:rsidR="00BD151C" w:rsidRPr="009448FC">
        <w:fldChar w:fldCharType="begin"/>
      </w:r>
      <w:r w:rsidR="001C59FD" w:rsidRPr="009448FC">
        <w:instrText xml:space="preserve"> REF _Ref236726090 \r \h </w:instrText>
      </w:r>
      <w:r w:rsidR="00BD151C" w:rsidRPr="009448FC">
        <w:fldChar w:fldCharType="separate"/>
      </w:r>
      <w:r w:rsidR="003E4210">
        <w:t>7.2.4.1</w:t>
      </w:r>
      <w:r w:rsidR="00BD151C" w:rsidRPr="009448FC">
        <w:fldChar w:fldCharType="end"/>
      </w:r>
      <w:r w:rsidRPr="009448FC">
        <w:t xml:space="preserve">), which shall be no less than aMinSSSlotsPerABFT sector sweep (SS) slots. </w:t>
      </w:r>
      <w:r w:rsidR="00AC22CF" w:rsidRPr="00AC22CF">
        <w:t>The first SS slot begins at the start of the A-BFT, and the following SS slots are adjacent and non-overlapping.</w:t>
      </w:r>
      <w:r w:rsidR="00AC22CF">
        <w:t xml:space="preserve"> </w:t>
      </w:r>
      <w:r w:rsidR="00AC22CF" w:rsidRPr="00AC22CF">
        <w:t xml:space="preserve">An SS slot </w:t>
      </w:r>
      <w:r w:rsidR="00AC22CF">
        <w:t>(</w:t>
      </w:r>
      <w:r w:rsidR="00BD151C">
        <w:fldChar w:fldCharType="begin"/>
      </w:r>
      <w:r w:rsidR="00AC22CF">
        <w:instrText xml:space="preserve"> REF _Ref255223290 \h </w:instrText>
      </w:r>
      <w:r w:rsidR="00BD151C">
        <w:fldChar w:fldCharType="separate"/>
      </w:r>
      <w:r w:rsidR="003E4210" w:rsidRPr="00066F65">
        <w:t xml:space="preserve">Figure </w:t>
      </w:r>
      <w:r w:rsidR="003E4210">
        <w:rPr>
          <w:noProof/>
        </w:rPr>
        <w:t>96</w:t>
      </w:r>
      <w:r w:rsidR="00BD151C">
        <w:fldChar w:fldCharType="end"/>
      </w:r>
      <w:r w:rsidR="00AC22CF">
        <w:t xml:space="preserve">) </w:t>
      </w:r>
      <w:r w:rsidR="00AC22CF" w:rsidRPr="00AC22CF">
        <w:t xml:space="preserve">is a </w:t>
      </w:r>
      <w:r w:rsidR="00AC22CF" w:rsidRPr="00AC22CF">
        <w:lastRenderedPageBreak/>
        <w:t xml:space="preserve">period of time within the A-BFT that can be used by a </w:t>
      </w:r>
      <w:r w:rsidR="00AC22CF">
        <w:t>responder</w:t>
      </w:r>
      <w:r w:rsidR="00AC22CF" w:rsidRPr="00AC22CF">
        <w:t xml:space="preserve"> to transmit at least one SS frame. An SS slot has a duration of aSSSlotTime. aSSSlotTime</w:t>
      </w:r>
      <w:r w:rsidR="00AC22CF">
        <w:t xml:space="preserve"> </w:t>
      </w:r>
      <w:r w:rsidR="00196669" w:rsidRPr="009448FC">
        <w:t>is defined to be:</w:t>
      </w:r>
    </w:p>
    <w:p w:rsidR="00022C45" w:rsidRPr="009448FC" w:rsidRDefault="00022C45" w:rsidP="00022C45"/>
    <w:p w:rsidR="00022C45" w:rsidRPr="009448FC" w:rsidRDefault="00022C45" w:rsidP="00B46FB3">
      <w:pPr>
        <w:ind w:firstLine="720"/>
        <w:rPr>
          <w:lang w:val="fr-FR"/>
        </w:rPr>
      </w:pPr>
      <w:r w:rsidRPr="009448FC">
        <w:rPr>
          <w:lang w:val="fr-FR"/>
        </w:rPr>
        <w:t xml:space="preserve">aSSSlotTime = </w:t>
      </w:r>
      <w:r w:rsidR="00B46FB3" w:rsidRPr="009448FC">
        <w:rPr>
          <w:lang w:val="fr-FR"/>
        </w:rPr>
        <w:t>aAirPropagationTime</w:t>
      </w:r>
      <w:r w:rsidRPr="009448FC">
        <w:rPr>
          <w:lang w:val="fr-FR"/>
        </w:rPr>
        <w:t xml:space="preserve"> + </w:t>
      </w:r>
      <w:r w:rsidR="005279BB">
        <w:rPr>
          <w:lang w:val="fr-FR"/>
        </w:rPr>
        <w:t>aSSDuration</w:t>
      </w:r>
      <w:r w:rsidRPr="009448FC">
        <w:rPr>
          <w:lang w:val="fr-FR"/>
        </w:rPr>
        <w:t xml:space="preserve"> + SIFS + aSSFBDuration + SIFS</w:t>
      </w:r>
    </w:p>
    <w:p w:rsidR="00022C45" w:rsidRDefault="00022C45" w:rsidP="00022C45">
      <w:pPr>
        <w:rPr>
          <w:lang w:val="fr-FR"/>
        </w:rPr>
      </w:pPr>
    </w:p>
    <w:p w:rsidR="00AC22CF" w:rsidRDefault="00DB55A5" w:rsidP="00AC22CF">
      <w:pPr>
        <w:jc w:val="center"/>
        <w:rPr>
          <w:lang w:val="fr-FR"/>
        </w:rPr>
      </w:pPr>
      <w:r>
        <w:object w:dxaOrig="11837" w:dyaOrig="7937">
          <v:shape id="_x0000_i1057" type="#_x0000_t75" style="width:297.5pt;height:200.6pt" o:ole="">
            <v:imagedata r:id="rId161" o:title=""/>
          </v:shape>
          <o:OLEObject Type="Embed" ProgID="Visio.Drawing.11" ShapeID="_x0000_i1057" DrawAspect="Content" ObjectID="_1334048239" r:id="rId162"/>
        </w:object>
      </w:r>
    </w:p>
    <w:p w:rsidR="005B4131" w:rsidRPr="00066F65" w:rsidRDefault="005B4131" w:rsidP="005B4131">
      <w:pPr>
        <w:pStyle w:val="Caption"/>
      </w:pPr>
      <w:bookmarkStart w:id="1638" w:name="_Ref255223284"/>
      <w:bookmarkStart w:id="1639" w:name="_Toc259717527"/>
      <w:r w:rsidRPr="00066F65">
        <w:t xml:space="preserve">Figure </w:t>
      </w:r>
      <w:r w:rsidR="00BD151C">
        <w:fldChar w:fldCharType="begin"/>
      </w:r>
      <w:r w:rsidR="00801316">
        <w:instrText xml:space="preserve"> SEQ Figure \* ARABIC </w:instrText>
      </w:r>
      <w:r w:rsidR="00BD151C">
        <w:fldChar w:fldCharType="separate"/>
      </w:r>
      <w:r w:rsidR="003E4210">
        <w:rPr>
          <w:noProof/>
        </w:rPr>
        <w:t>95</w:t>
      </w:r>
      <w:r w:rsidR="00BD151C">
        <w:fldChar w:fldCharType="end"/>
      </w:r>
      <w:bookmarkEnd w:id="1638"/>
      <w:r w:rsidRPr="00066F65">
        <w:t xml:space="preserve"> – </w:t>
      </w:r>
      <w:r>
        <w:t>A-BFT structure</w:t>
      </w:r>
      <w:bookmarkEnd w:id="1639"/>
    </w:p>
    <w:p w:rsidR="005B4131" w:rsidRPr="009448FC" w:rsidRDefault="005B4131" w:rsidP="00022C45">
      <w:pPr>
        <w:rPr>
          <w:lang w:val="fr-FR"/>
        </w:rPr>
      </w:pPr>
    </w:p>
    <w:p w:rsidR="00022C45" w:rsidRPr="009448FC" w:rsidRDefault="00330080" w:rsidP="00022C45">
      <w:pPr>
        <w:jc w:val="center"/>
      </w:pPr>
      <w:r w:rsidRPr="009448FC">
        <w:object w:dxaOrig="5971" w:dyaOrig="1988">
          <v:shape id="_x0000_i1058" type="#_x0000_t75" style="width:294.8pt;height:97.8pt" o:ole="">
            <v:imagedata r:id="rId163" o:title=""/>
          </v:shape>
          <o:OLEObject Type="Embed" ProgID="Visio.Drawing.11" ShapeID="_x0000_i1058" DrawAspect="Content" ObjectID="_1334048240" r:id="rId164"/>
        </w:object>
      </w:r>
    </w:p>
    <w:p w:rsidR="00022C45" w:rsidRPr="00066F65" w:rsidRDefault="00022C45" w:rsidP="00BA5BC4">
      <w:pPr>
        <w:pStyle w:val="Caption"/>
      </w:pPr>
      <w:bookmarkStart w:id="1640" w:name="_Ref255223290"/>
      <w:bookmarkStart w:id="1641" w:name="_Toc236746229"/>
      <w:bookmarkStart w:id="1642" w:name="_Toc259717528"/>
      <w:r w:rsidRPr="00066F65">
        <w:t xml:space="preserve">Figure </w:t>
      </w:r>
      <w:r w:rsidR="00BD151C">
        <w:fldChar w:fldCharType="begin"/>
      </w:r>
      <w:r w:rsidR="00801316">
        <w:instrText xml:space="preserve"> SEQ Figure \* ARABIC </w:instrText>
      </w:r>
      <w:r w:rsidR="00BD151C">
        <w:fldChar w:fldCharType="separate"/>
      </w:r>
      <w:r w:rsidR="003E4210">
        <w:rPr>
          <w:noProof/>
        </w:rPr>
        <w:t>96</w:t>
      </w:r>
      <w:r w:rsidR="00BD151C">
        <w:fldChar w:fldCharType="end"/>
      </w:r>
      <w:bookmarkEnd w:id="1640"/>
      <w:r w:rsidRPr="00066F65">
        <w:t xml:space="preserve"> – SS slot (aSSSlotTime) definition</w:t>
      </w:r>
      <w:bookmarkEnd w:id="1641"/>
      <w:bookmarkEnd w:id="1642"/>
    </w:p>
    <w:p w:rsidR="00022C45" w:rsidRPr="009448FC" w:rsidRDefault="00022C45" w:rsidP="00022C45"/>
    <w:p w:rsidR="00022C45" w:rsidRPr="009448FC" w:rsidRDefault="00022C45" w:rsidP="009D130E">
      <w:r w:rsidRPr="009448FC">
        <w:t xml:space="preserve">The parameter </w:t>
      </w:r>
      <w:r w:rsidR="00B46FB3" w:rsidRPr="009448FC">
        <w:t>aAirPropagationTime</w:t>
      </w:r>
      <w:r w:rsidRPr="009448FC">
        <w:t xml:space="preserve"> accounts for the propagation delay between the initiator and the responder. The parameter </w:t>
      </w:r>
      <w:r w:rsidR="005279BB">
        <w:t>aSSDuration</w:t>
      </w:r>
      <w:r w:rsidRPr="009448FC">
        <w:t xml:space="preserve"> </w:t>
      </w:r>
      <w:r w:rsidR="009D130E" w:rsidRPr="009448FC">
        <w:t>(</w:t>
      </w:r>
      <w:r w:rsidR="00BD151C" w:rsidRPr="009448FC">
        <w:fldChar w:fldCharType="begin"/>
      </w:r>
      <w:r w:rsidR="009D130E" w:rsidRPr="009448FC">
        <w:instrText xml:space="preserve"> REF _Ref243201411 \n \h </w:instrText>
      </w:r>
      <w:r w:rsidR="00BD151C" w:rsidRPr="009448FC">
        <w:fldChar w:fldCharType="separate"/>
      </w:r>
      <w:r w:rsidR="003E4210">
        <w:t>11.36</w:t>
      </w:r>
      <w:r w:rsidR="00BD151C" w:rsidRPr="009448FC">
        <w:fldChar w:fldCharType="end"/>
      </w:r>
      <w:r w:rsidR="009D130E" w:rsidRPr="009448FC">
        <w:t xml:space="preserve">) </w:t>
      </w:r>
      <w:r w:rsidRPr="009448FC">
        <w:t>provides time for a responder to transmit up to the number of SS frames announced in the FSS subfield of the Beacon Interval Control field in the mmWave Beacon. The initiator shall set the FSS subfield of the Beacon Interval Control field in the mmWave Beacon to a value that is no less than aSSFramesPerSlot. Finally, the parameter aSSFBDuration provides time for the initiator to perform SS Feedback.</w:t>
      </w:r>
    </w:p>
    <w:p w:rsidR="00022C45" w:rsidRPr="009448FC" w:rsidRDefault="00022C45" w:rsidP="00022C45"/>
    <w:p w:rsidR="00022C45" w:rsidRDefault="00022C45" w:rsidP="001314D9">
      <w:pPr>
        <w:autoSpaceDE w:val="0"/>
        <w:autoSpaceDN w:val="0"/>
        <w:adjustRightInd w:val="0"/>
        <w:rPr>
          <w:rFonts w:ascii="TimesNewRomanPSMT" w:hAnsi="TimesNewRomanPSMT" w:cs="TimesNewRomanPSMT"/>
          <w:lang w:bidi="ar-SA"/>
        </w:rPr>
      </w:pPr>
      <w:r w:rsidRPr="009448FC">
        <w:t>If the responder T/RXSS field of the beacon interval control is equal to one, the A-BFT shall be used to perform a responder TXSS. Otherwise, the A-BFT shall be used to perform a responder RXSS. In the case of a responder RXSS, the same slotted structure described above is used and the responder shall transmit the number of SS frames announced in the FSS field in the mmWave Beacon.</w:t>
      </w:r>
      <w:r w:rsidR="001314D9">
        <w:t xml:space="preserve"> </w:t>
      </w:r>
      <w:r w:rsidR="001314D9">
        <w:rPr>
          <w:rFonts w:ascii="TimesNewRomanPSMT" w:hAnsi="TimesNewRomanPSMT" w:cs="TimesNewRomanPSMT"/>
          <w:lang w:bidi="ar-SA"/>
        </w:rPr>
        <w:t>The PCP/AP shall allocate the A-BFT as a responder RXSS at least once every dot11ABFTRSSSwitch BIs in which an A-BFT is present and, in this case, it should set the value of the FSS field within the Beacon Interval Control to the number of receive directions supported by the PCP/AP. Similarly, the PCP/AP shall allocate the A-BFT as a responder TXSS at least once every dot11ABFTRSSSwitch BIs in which an A-BFT is present.</w:t>
      </w:r>
    </w:p>
    <w:p w:rsidR="001314D9" w:rsidRPr="009448FC" w:rsidRDefault="001314D9" w:rsidP="001314D9">
      <w:pPr>
        <w:autoSpaceDE w:val="0"/>
        <w:autoSpaceDN w:val="0"/>
        <w:adjustRightInd w:val="0"/>
      </w:pPr>
    </w:p>
    <w:p w:rsidR="00022C45" w:rsidRPr="009448FC" w:rsidRDefault="00022C45" w:rsidP="005F6A04">
      <w:r w:rsidRPr="009448FC">
        <w:t>At the start of each A-BFT, the responder(s) shall invoke a random backoff procedure to initiate or resume a</w:t>
      </w:r>
      <w:r w:rsidR="005F6A04" w:rsidRPr="009448FC">
        <w:t xml:space="preserve"> RSS as follows</w:t>
      </w:r>
      <w:r w:rsidRPr="009448FC">
        <w:t>. The random backoff procedure begins at the start of the A-BFT with the responder selecting a backoff count as a random integer drawn from a uniform distribution [0, A-BFT Length), i.e., 0 inclusive through A-BFT Length exclusive, where A-BFT Length is the value of the A-BFT Length field in the last received mmWave Beacon. The responder shall decrement the backoff count by one at the end of each SS slot</w:t>
      </w:r>
      <w:r w:rsidR="005B4131" w:rsidRPr="005B4131">
        <w:t>, even if the CS function at the responder indicates the medium busy condition for that SS slot</w:t>
      </w:r>
      <w:r w:rsidRPr="009448FC">
        <w:t>. The responder shall only initiate the RSS at the start of the SS slot for which the backoff count is zero at the beginning of the SS slot.</w:t>
      </w:r>
    </w:p>
    <w:p w:rsidR="00022C45" w:rsidRPr="009448FC" w:rsidRDefault="00BE1F31" w:rsidP="00022C45">
      <w:r>
        <w:t xml:space="preserve">  </w:t>
      </w:r>
      <w:r w:rsidR="00083BC4">
        <w:t xml:space="preserve"> </w:t>
      </w:r>
    </w:p>
    <w:p w:rsidR="00022C45" w:rsidRPr="009448FC" w:rsidRDefault="005B4131" w:rsidP="00022C45">
      <w:pPr>
        <w:jc w:val="both"/>
      </w:pPr>
      <w:r>
        <w:t>T</w:t>
      </w:r>
      <w:r w:rsidR="00022C45" w:rsidRPr="009448FC">
        <w:t>he responder shall transmit no more SS frames within a</w:t>
      </w:r>
      <w:r w:rsidR="0096251A" w:rsidRPr="009448FC">
        <w:t>n</w:t>
      </w:r>
      <w:r w:rsidR="00022C45" w:rsidRPr="009448FC">
        <w:t xml:space="preserve"> SS slot than indicated in the value of the FSS subfield in the mmWave Beacon. </w:t>
      </w:r>
      <w:r w:rsidRPr="005B4131">
        <w:t>If the responder has more SS frames to transmit as part of the RSS, but is not allowed to send any more SS frames in the current SS slot, then</w:t>
      </w:r>
      <w:r>
        <w:t xml:space="preserve"> t</w:t>
      </w:r>
      <w:r w:rsidR="00022C45" w:rsidRPr="009448FC">
        <w:t xml:space="preserve">he responder may resume the RSS at the start of the following SS slot </w:t>
      </w:r>
      <w:r w:rsidRPr="005B4131">
        <w:t>provided that the A-BFT has not ended</w:t>
      </w:r>
      <w:r w:rsidR="00022C45" w:rsidRPr="009448FC">
        <w:t xml:space="preserve">. If the responder cannot complete the RSS before the end of the A-BFT, </w:t>
      </w:r>
      <w:r w:rsidR="00CC4E0A" w:rsidRPr="00CC4E0A">
        <w:t>it may use the same backoff procedure described above to resume the RSS at the next A-BFT for which the value of the responder T/RXSS field is the same as the current A-BFT</w:t>
      </w:r>
      <w:r w:rsidR="00022C45" w:rsidRPr="009448FC">
        <w:t>.</w:t>
      </w:r>
    </w:p>
    <w:p w:rsidR="00022C45" w:rsidRPr="009448FC" w:rsidRDefault="00083BC4" w:rsidP="00022C45">
      <w:r>
        <w:t xml:space="preserve"> </w:t>
      </w:r>
    </w:p>
    <w:p w:rsidR="00DC42AB" w:rsidRPr="009448FC" w:rsidRDefault="00CC4E0A" w:rsidP="00DC42AB">
      <w:r w:rsidRPr="00CC4E0A">
        <w:t>The initiator shall initiate a</w:t>
      </w:r>
      <w:r w:rsidR="005977DF">
        <w:t>n</w:t>
      </w:r>
      <w:r w:rsidRPr="00CC4E0A">
        <w:t xml:space="preserve"> SS Feedback to a responder</w:t>
      </w:r>
      <w:r w:rsidR="00022C45" w:rsidRPr="009448FC">
        <w:t xml:space="preserve"> </w:t>
      </w:r>
      <w:r w:rsidR="00920080" w:rsidRPr="009448FC">
        <w:t>(</w:t>
      </w:r>
      <w:r w:rsidR="00BD151C" w:rsidRPr="009448FC">
        <w:fldChar w:fldCharType="begin"/>
      </w:r>
      <w:r w:rsidR="00AA60D7" w:rsidRPr="009448FC">
        <w:instrText xml:space="preserve"> REF _Ref244148526 \r \h </w:instrText>
      </w:r>
      <w:r w:rsidR="00BD151C" w:rsidRPr="009448FC">
        <w:fldChar w:fldCharType="separate"/>
      </w:r>
      <w:r w:rsidR="003E4210">
        <w:t>9.25.1.3</w:t>
      </w:r>
      <w:r w:rsidR="00BD151C" w:rsidRPr="009448FC">
        <w:fldChar w:fldCharType="end"/>
      </w:r>
      <w:r w:rsidR="00920080" w:rsidRPr="009448FC">
        <w:t xml:space="preserve">) </w:t>
      </w:r>
      <w:r w:rsidRPr="00CC4E0A">
        <w:t>at a time such that the beginnin</w:t>
      </w:r>
      <w:r>
        <w:t>g of the first symbol of the SS-</w:t>
      </w:r>
      <w:r w:rsidRPr="00CC4E0A">
        <w:t>Feedback frame on the air occurs at aSSFBDuration + SIFS before the end of the SS slot. A responder that transmitted at least one SS frame within a SS slot shall be in quasi-omni receive mode for a period of aSSFBDuration commencing SIFS time before the end of the SS slot.</w:t>
      </w:r>
      <w:r w:rsidR="00DC42AB">
        <w:t xml:space="preserve"> </w:t>
      </w:r>
      <w:r w:rsidR="00DC42AB" w:rsidRPr="009448FC">
        <w:t>The initiator may initiate an SS Feedback to the responder at an SS slot even if the responder</w:t>
      </w:r>
      <w:r w:rsidR="008569CA">
        <w:t xml:space="preserve"> did not complete RSS within that</w:t>
      </w:r>
      <w:r w:rsidR="00DC42AB" w:rsidRPr="009448FC">
        <w:t xml:space="preserve"> SS slot. If the initiator transmits an SS-Feedback under this circumstance, it should transmit an Announce frame to the responder in an AT period. Following the reception of the Announce frame, the responder can respond with an SPR frame requesting time for the responder to continue with the RSS.</w:t>
      </w:r>
    </w:p>
    <w:p w:rsidR="00022C45" w:rsidRDefault="00083BC4" w:rsidP="00022C45">
      <w:r>
        <w:t xml:space="preserve"> </w:t>
      </w:r>
    </w:p>
    <w:p w:rsidR="00CC4E0A" w:rsidRDefault="00923355" w:rsidP="00022C45">
      <w:r w:rsidRPr="00923355">
        <w:t>The information contained in an SS-Feedback frame is based on the SS frames received during the SS slot in which the SS-Feedback frame was transmitted. To communicate with each other following an SLS, an initiator and responder should use the information contained within the SS-Feedback frame with the highest value for the SNR Report field and that was transmitted or received, respectively, as part of the most recent SLS between the initiator and responder</w:t>
      </w:r>
      <w:r>
        <w:t>.</w:t>
      </w:r>
    </w:p>
    <w:p w:rsidR="00CC4E0A" w:rsidRDefault="00CC4E0A" w:rsidP="00022C45"/>
    <w:p w:rsidR="00022C45" w:rsidRPr="009448FC" w:rsidRDefault="00022C45" w:rsidP="00022C45">
      <w:r w:rsidRPr="009448FC">
        <w:t>The responder may attempt to restart the RSS within the same A-BFT if it does not receive a SS-Feedback frame from the initiator by the end of the SS slot in which it completes the RSS. To do this, the responder shall invoke the random backoff procedure beginning at the start of the SS slot following the completion of the RSS. The responder shall select a backoff count as a random integer drawn from a uniform distribution [0, A-BFT Length), i.e., 0 inclusive through A-BFT Length exclusive, where A-BFT Length is the value of the A-BFT Length field in the last received mmWave Beacon. The responder shall decrement the backoff count by one at the end of each SS slot</w:t>
      </w:r>
      <w:r w:rsidR="00DC42AB" w:rsidRPr="00DC42AB">
        <w:t>, even if the CS function at the responder indicates the medium busy condition for that SS slot</w:t>
      </w:r>
      <w:r w:rsidRPr="009448FC">
        <w:t>. The responder may restart the RSS at the start of the SS slot for which the backoff count is zero at the beginning of the SS slot provided the A-BFT still has SS slots available.</w:t>
      </w:r>
    </w:p>
    <w:p w:rsidR="00022C45" w:rsidRDefault="00083BC4" w:rsidP="00022C45">
      <w:r>
        <w:t xml:space="preserve"> </w:t>
      </w:r>
    </w:p>
    <w:p w:rsidR="00DC42AB" w:rsidRDefault="00DC42AB" w:rsidP="00022C45">
      <w:r w:rsidRPr="00DC42AB">
        <w:t>At the end of an A-BFT the responder shall cancel a backoff procedure that was started during the A-BFT, but has not been completed at the end of the A-BFT. As described above, the responder invokes a random backoff procedure at the start of each A-BFT.</w:t>
      </w:r>
    </w:p>
    <w:p w:rsidR="00DC42AB" w:rsidRPr="009448FC" w:rsidRDefault="00083BC4" w:rsidP="00022C45">
      <w:r>
        <w:lastRenderedPageBreak/>
        <w:t xml:space="preserve"> </w:t>
      </w:r>
    </w:p>
    <w:p w:rsidR="00022C45" w:rsidRPr="009448FC" w:rsidRDefault="00022C45" w:rsidP="00022C45">
      <w:r w:rsidRPr="009448FC">
        <w:t xml:space="preserve">If the number of </w:t>
      </w:r>
      <w:r w:rsidR="00DC42AB" w:rsidRPr="00DC42AB">
        <w:t>times a STA initiates RSS</w:t>
      </w:r>
      <w:r w:rsidRPr="009448FC">
        <w:t xml:space="preserve"> in an A-BFT exceeds dot11RSSRetryLimit, the STA shall select a backoff count as a random integer drawn from a uniform distribution [0, dot11RSSBackoff), i.e., 0 inclusive through dot11RSSBackoff exclusive. The responder shall decrement the backoff count by one at the end of each A-BFT period in the following BIs. The responder shall only re-</w:t>
      </w:r>
      <w:r w:rsidR="00DC42AB">
        <w:t>initiate</w:t>
      </w:r>
      <w:r w:rsidRPr="009448FC">
        <w:t xml:space="preserve"> RSS during an A-BFT when the backoff count becomes zero.</w:t>
      </w:r>
    </w:p>
    <w:p w:rsidR="00022C45" w:rsidRPr="009448FC" w:rsidRDefault="00083BC4" w:rsidP="00022C45">
      <w:r>
        <w:t xml:space="preserve"> </w:t>
      </w:r>
    </w:p>
    <w:p w:rsidR="00022C45" w:rsidRPr="009448FC" w:rsidRDefault="00022C45" w:rsidP="00307B03">
      <w:r w:rsidRPr="009448FC">
        <w:t xml:space="preserve">In an A-BFT, the responder shall not initiate SS ACK </w:t>
      </w:r>
      <w:r w:rsidR="00307B03" w:rsidRPr="009448FC">
        <w:t>(</w:t>
      </w:r>
      <w:r w:rsidR="00BD151C" w:rsidRPr="009448FC">
        <w:fldChar w:fldCharType="begin"/>
      </w:r>
      <w:r w:rsidR="002E1EDF" w:rsidRPr="009448FC">
        <w:instrText xml:space="preserve"> REF _Ref244148556 \r \h </w:instrText>
      </w:r>
      <w:r w:rsidR="00BD151C" w:rsidRPr="009448FC">
        <w:fldChar w:fldCharType="separate"/>
      </w:r>
      <w:r w:rsidR="003E4210">
        <w:t>9.25.1.4</w:t>
      </w:r>
      <w:r w:rsidR="00BD151C" w:rsidRPr="009448FC">
        <w:fldChar w:fldCharType="end"/>
      </w:r>
      <w:r w:rsidR="00307B03" w:rsidRPr="009448FC">
        <w:t xml:space="preserve">) </w:t>
      </w:r>
      <w:r w:rsidRPr="009448FC">
        <w:t>in response to the reception of a SS-Feedback frame from the initiator.</w:t>
      </w:r>
      <w:r w:rsidR="008569CA">
        <w:t xml:space="preserve"> </w:t>
      </w:r>
      <w:r w:rsidR="008569CA" w:rsidRPr="008569CA">
        <w:t>The SS ACK only occurs within the DTT of a BI (</w:t>
      </w:r>
      <w:r w:rsidR="00BD151C">
        <w:fldChar w:fldCharType="begin"/>
      </w:r>
      <w:r w:rsidR="008569CA">
        <w:instrText xml:space="preserve"> REF _Ref255290786 \r \h </w:instrText>
      </w:r>
      <w:r w:rsidR="00BD151C">
        <w:fldChar w:fldCharType="separate"/>
      </w:r>
      <w:r w:rsidR="003E4210">
        <w:t>9.25.5.1</w:t>
      </w:r>
      <w:r w:rsidR="00BD151C">
        <w:fldChar w:fldCharType="end"/>
      </w:r>
      <w:r w:rsidR="008569CA" w:rsidRPr="008569CA">
        <w:t>).</w:t>
      </w:r>
    </w:p>
    <w:p w:rsidR="00AF2907" w:rsidRPr="001314D9" w:rsidRDefault="00083BC4" w:rsidP="001314D9">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 xml:space="preserve"> </w:t>
      </w:r>
    </w:p>
    <w:p w:rsidR="001314D9" w:rsidRDefault="001314D9" w:rsidP="001314D9">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 xml:space="preserve">If the </w:t>
      </w:r>
      <w:r w:rsidR="00942933">
        <w:rPr>
          <w:rFonts w:ascii="TimesNewRomanPSMT" w:hAnsi="TimesNewRomanPSMT" w:cs="TimesNewRomanPSMT"/>
          <w:lang w:bidi="ar-SA"/>
        </w:rPr>
        <w:t xml:space="preserve">PCP/AP receives an SS frame from the responder during the RSS with the </w:t>
      </w:r>
      <w:r>
        <w:rPr>
          <w:rFonts w:ascii="TimesNewRomanPSMT" w:hAnsi="TimesNewRomanPSMT" w:cs="TimesNewRomanPSMT"/>
          <w:lang w:bidi="ar-SA"/>
        </w:rPr>
        <w:t xml:space="preserve">Poll required field within the SS frame set to one, the PCP/AP shall allocate time for the responder and the PCP/AP to communicate during the AT or </w:t>
      </w:r>
      <w:r w:rsidR="00AC03DF">
        <w:rPr>
          <w:rFonts w:ascii="TimesNewRomanPSMT" w:hAnsi="TimesNewRomanPSMT" w:cs="TimesNewRomanPSMT"/>
          <w:lang w:bidi="ar-SA"/>
        </w:rPr>
        <w:t xml:space="preserve">within an SP of the </w:t>
      </w:r>
      <w:r>
        <w:rPr>
          <w:rFonts w:ascii="TimesNewRomanPSMT" w:hAnsi="TimesNewRomanPSMT" w:cs="TimesNewRomanPSMT"/>
          <w:lang w:bidi="ar-SA"/>
        </w:rPr>
        <w:t xml:space="preserve">DTT of </w:t>
      </w:r>
      <w:r w:rsidR="00942933">
        <w:rPr>
          <w:rFonts w:ascii="TimesNewRomanPSMT" w:hAnsi="TimesNewRomanPSMT" w:cs="TimesNewRomanPSMT"/>
          <w:lang w:bidi="ar-SA"/>
        </w:rPr>
        <w:t xml:space="preserve">one of the following </w:t>
      </w:r>
      <w:r w:rsidR="00942933" w:rsidRPr="009448FC">
        <w:t>aMinBTPeriod</w:t>
      </w:r>
      <w:r>
        <w:rPr>
          <w:rFonts w:ascii="TimesNewRomanPSMT" w:hAnsi="TimesNewRomanPSMT" w:cs="TimesNewRomanPSMT"/>
          <w:lang w:bidi="ar-SA"/>
        </w:rPr>
        <w:t xml:space="preserve"> BI</w:t>
      </w:r>
      <w:r w:rsidR="00942933">
        <w:rPr>
          <w:rFonts w:ascii="TimesNewRomanPSMT" w:hAnsi="TimesNewRomanPSMT" w:cs="TimesNewRomanPSMT"/>
          <w:lang w:bidi="ar-SA"/>
        </w:rPr>
        <w:t>s</w:t>
      </w:r>
      <w:r>
        <w:rPr>
          <w:rFonts w:ascii="TimesNewRomanPSMT" w:hAnsi="TimesNewRomanPSMT" w:cs="TimesNewRomanPSMT"/>
          <w:lang w:bidi="ar-SA"/>
        </w:rPr>
        <w:t>. This can be done through the Extended Schedule element or the transmission of a Poll or Grant frame addressed to the responder, and the allocated time can be used for association, authentication, and service period request.</w:t>
      </w:r>
    </w:p>
    <w:p w:rsidR="001314D9" w:rsidRPr="001314D9" w:rsidRDefault="001314D9" w:rsidP="001314D9">
      <w:pPr>
        <w:rPr>
          <w:b/>
          <w:bCs/>
          <w:iCs/>
          <w:color w:val="FF0000"/>
          <w:u w:val="single"/>
        </w:rPr>
      </w:pPr>
    </w:p>
    <w:p w:rsidR="00022C45" w:rsidRPr="009448FC" w:rsidRDefault="001E1D77" w:rsidP="004147A2">
      <w:r>
        <w:rPr>
          <w:lang w:bidi="ar-SA"/>
        </w:rPr>
        <w:t>After transmitting an SS-Feedback frame to the responder, the</w:t>
      </w:r>
      <w:r w:rsidR="005515A4">
        <w:t xml:space="preserve"> </w:t>
      </w:r>
      <w:r w:rsidR="00AF2907" w:rsidRPr="009448FC">
        <w:t xml:space="preserve">initiator shall send a BRP frame with a capability request field set to one </w:t>
      </w:r>
      <w:r>
        <w:t xml:space="preserve">addressed </w:t>
      </w:r>
      <w:r w:rsidR="00AF2907" w:rsidRPr="009448FC">
        <w:t>to the responder.</w:t>
      </w:r>
      <w:r w:rsidR="00367385">
        <w:t xml:space="preserve"> </w:t>
      </w:r>
      <w:r w:rsidR="00AF2907" w:rsidRPr="009448FC">
        <w:t>T</w:t>
      </w:r>
      <w:r w:rsidR="00022C45" w:rsidRPr="009448FC">
        <w:t xml:space="preserve">he </w:t>
      </w:r>
      <w:r w:rsidR="00AF2907" w:rsidRPr="009448FC">
        <w:t xml:space="preserve">BRP (capability request) </w:t>
      </w:r>
      <w:r w:rsidR="00022C45" w:rsidRPr="009448FC">
        <w:t xml:space="preserve">frame shall be sent in </w:t>
      </w:r>
      <w:r>
        <w:t xml:space="preserve">one </w:t>
      </w:r>
      <w:r w:rsidR="00022C45" w:rsidRPr="009448FC">
        <w:t xml:space="preserve">of the following </w:t>
      </w:r>
      <w:r w:rsidR="003A4AD3" w:rsidRPr="009448FC">
        <w:t>aMinBTPeriod</w:t>
      </w:r>
      <w:r w:rsidR="00022C45" w:rsidRPr="009448FC">
        <w:t xml:space="preserve"> BIs beginning with the BI in which the RSS phase with the responder was last completed. The </w:t>
      </w:r>
      <w:r w:rsidR="00AF2907" w:rsidRPr="009448FC">
        <w:t>BRP</w:t>
      </w:r>
      <w:r w:rsidR="00022C45" w:rsidRPr="009448FC">
        <w:t xml:space="preserve"> frame shall be transmitted at MCS</w:t>
      </w:r>
      <w:r w:rsidR="00CE0690" w:rsidRPr="009448FC">
        <w:t xml:space="preserve"> </w:t>
      </w:r>
      <w:r w:rsidR="00022C45" w:rsidRPr="009448FC">
        <w:t>0 using the sector identified by the Sector Select field received from the responder during the RSS.</w:t>
      </w:r>
    </w:p>
    <w:p w:rsidR="00022C45" w:rsidRPr="009448FC" w:rsidRDefault="00022C45" w:rsidP="00022C45"/>
    <w:p w:rsidR="00022C45" w:rsidRPr="009448FC" w:rsidRDefault="00022C45" w:rsidP="003660C2">
      <w:r w:rsidRPr="009448FC">
        <w:t xml:space="preserve">In an AT period after the completion of the SS Feedback, a responder should have its receive antenna configured to a quasi-omni </w:t>
      </w:r>
      <w:r w:rsidR="00CC21E9" w:rsidRPr="009448FC">
        <w:t>antenna</w:t>
      </w:r>
      <w:r w:rsidR="00281486" w:rsidRPr="009448FC">
        <w:t xml:space="preserve"> </w:t>
      </w:r>
      <w:r w:rsidRPr="009448FC">
        <w:t xml:space="preserve">pattern </w:t>
      </w:r>
      <w:r w:rsidR="00751EC4" w:rsidRPr="009448FC">
        <w:t>in the antenna in which it received the best sector from the initiator,</w:t>
      </w:r>
      <w:r w:rsidRPr="009448FC">
        <w:t xml:space="preserve">to receive an Announce or Grant </w:t>
      </w:r>
      <w:r w:rsidR="00C53677">
        <w:t xml:space="preserve">or BRP </w:t>
      </w:r>
      <w:r w:rsidRPr="009448FC">
        <w:t>frame</w:t>
      </w:r>
      <w:r w:rsidR="00C53677">
        <w:t xml:space="preserve"> (with capability request set to one) </w:t>
      </w:r>
      <w:r w:rsidRPr="009448FC">
        <w:t xml:space="preserve">from the initiator, while the initiator should configure its transmit antenna to the value of the Sector Select </w:t>
      </w:r>
      <w:r w:rsidR="00751EC4" w:rsidRPr="009448FC">
        <w:t>and the Ant</w:t>
      </w:r>
      <w:r w:rsidR="003660C2">
        <w:t>enna</w:t>
      </w:r>
      <w:r w:rsidR="00751EC4" w:rsidRPr="009448FC">
        <w:t xml:space="preserve"> Select </w:t>
      </w:r>
      <w:r w:rsidRPr="009448FC">
        <w:t>field</w:t>
      </w:r>
      <w:r w:rsidR="00751EC4" w:rsidRPr="009448FC">
        <w:t>s</w:t>
      </w:r>
      <w:r w:rsidRPr="009448FC">
        <w:t xml:space="preserve"> received from the responder during the RSS. If the responder does not receive an Announce or Grant frame from the initiator with the RA address equal to the responder’s MAC address until </w:t>
      </w:r>
      <w:r w:rsidR="003A4AD3" w:rsidRPr="009448FC">
        <w:t>aMinBTPeriod</w:t>
      </w:r>
      <w:r w:rsidRPr="009448FC">
        <w:t xml:space="preserve"> BIs after the BI in which the SLS phase with the initiator was last attempted, it may retry BF with the initiator in the A-BFT.</w:t>
      </w:r>
    </w:p>
    <w:p w:rsidR="00022C45" w:rsidRPr="009448FC" w:rsidRDefault="00022C45" w:rsidP="00022C45">
      <w:pPr>
        <w:rPr>
          <w:b/>
          <w:i/>
        </w:rPr>
      </w:pPr>
    </w:p>
    <w:p w:rsidR="00022C45" w:rsidRPr="009448FC" w:rsidRDefault="00022C45" w:rsidP="00022C45">
      <w:pPr>
        <w:rPr>
          <w:b/>
          <w:i/>
        </w:rPr>
      </w:pPr>
      <w:r w:rsidRPr="009448FC">
        <w:t>Due to the multiple access nature of RSS in the A-BFT, the PCP/AP may not receive the best sector for communication with the STA. The PCP/AP may schedule an SP to perform BF again with the STA to find the best sector</w:t>
      </w:r>
      <w:r w:rsidR="00234455">
        <w:t xml:space="preserve"> for communication with the STA</w:t>
      </w:r>
      <w:r w:rsidRPr="009448FC">
        <w:rPr>
          <w:b/>
          <w:i/>
        </w:rPr>
        <w:t>.</w:t>
      </w:r>
    </w:p>
    <w:p w:rsidR="00022C45" w:rsidRDefault="00022C45" w:rsidP="00022C45"/>
    <w:p w:rsidR="00FD063B" w:rsidRDefault="00FD063B" w:rsidP="003701DB">
      <w:pPr>
        <w:pStyle w:val="Heading4"/>
        <w:numPr>
          <w:ilvl w:val="3"/>
          <w:numId w:val="188"/>
        </w:numPr>
      </w:pPr>
      <w:bookmarkStart w:id="1643" w:name="_Ref251753257"/>
      <w:bookmarkStart w:id="1644" w:name="_Toc259717154"/>
      <w:r>
        <w:t xml:space="preserve">STA </w:t>
      </w:r>
      <w:r w:rsidRPr="009448FC">
        <w:t>Beamforming after A-BFT</w:t>
      </w:r>
      <w:bookmarkEnd w:id="1643"/>
      <w:bookmarkEnd w:id="1644"/>
    </w:p>
    <w:p w:rsidR="00FD063B" w:rsidRPr="009448FC" w:rsidRDefault="00FD063B" w:rsidP="00022C45"/>
    <w:p w:rsidR="00AF2907" w:rsidRPr="009448FC" w:rsidRDefault="00AF2907" w:rsidP="003319B9">
      <w:r w:rsidRPr="009448FC">
        <w:t xml:space="preserve">The initiator shall either initiate BRP execution with the responder in the next CBP or shall schedule time in the DTT for BRP execution with the responder if it needs BRP training or the responder indicated a need for training </w:t>
      </w:r>
      <w:r w:rsidR="00F67105" w:rsidRPr="00F67105">
        <w:t xml:space="preserve">(by setting any of the L-RX, </w:t>
      </w:r>
      <w:r w:rsidR="003319B9">
        <w:t>TX-TRN-REQ</w:t>
      </w:r>
      <w:r w:rsidR="00F67105" w:rsidRPr="00F67105">
        <w:t>, MID-REQ or BC-REQ fields to a nonzero value)</w:t>
      </w:r>
      <w:r w:rsidR="00F67105">
        <w:t xml:space="preserve"> </w:t>
      </w:r>
      <w:r w:rsidRPr="009448FC">
        <w:t xml:space="preserve">as a response to </w:t>
      </w:r>
      <w:r w:rsidR="006D2EC0" w:rsidRPr="009448FC">
        <w:t xml:space="preserve">a </w:t>
      </w:r>
      <w:r w:rsidR="00012CCE" w:rsidRPr="009448FC">
        <w:t xml:space="preserve">SS-Feedback or </w:t>
      </w:r>
      <w:r w:rsidR="006D2EC0" w:rsidRPr="009448FC">
        <w:t xml:space="preserve">BRP </w:t>
      </w:r>
      <w:r w:rsidR="007833E7" w:rsidRPr="009448FC">
        <w:t xml:space="preserve">frame </w:t>
      </w:r>
      <w:r w:rsidR="006D2EC0" w:rsidRPr="009448FC">
        <w:t>with capability request</w:t>
      </w:r>
      <w:r w:rsidR="009D52DB" w:rsidRPr="009448FC">
        <w:t xml:space="preserve"> field set to one</w:t>
      </w:r>
      <w:r w:rsidR="006D2EC0" w:rsidRPr="009448FC">
        <w:t>.</w:t>
      </w:r>
    </w:p>
    <w:p w:rsidR="006D2EC0" w:rsidRPr="009448FC" w:rsidRDefault="006D2EC0" w:rsidP="00AF2907"/>
    <w:p w:rsidR="00AF2907" w:rsidRPr="009448FC" w:rsidRDefault="00AF2907" w:rsidP="0022622E">
      <w:r w:rsidRPr="009448FC">
        <w:t xml:space="preserve">The responder may initiate BRP in a CBP by sending a BRP frame with any of the training request fields set to 1 (L-RX, </w:t>
      </w:r>
      <w:r w:rsidR="0022622E">
        <w:t>TX-TRN-REQ</w:t>
      </w:r>
      <w:r w:rsidRPr="009448FC">
        <w:t>, MID-REQ, BC-REQ).</w:t>
      </w:r>
    </w:p>
    <w:p w:rsidR="00022C45" w:rsidRPr="009448FC" w:rsidRDefault="00022C45" w:rsidP="00022C45"/>
    <w:p w:rsidR="00022C45" w:rsidRPr="009448FC" w:rsidRDefault="00022C45" w:rsidP="00414759">
      <w:r w:rsidRPr="009448FC">
        <w:lastRenderedPageBreak/>
        <w:t xml:space="preserve">To schedule time in the DTT for BRP execution with the responder, the initiator shall transmit a Grant frame to the responder in an AT period </w:t>
      </w:r>
      <w:r w:rsidR="00414759" w:rsidRPr="009448FC">
        <w:t>(</w:t>
      </w:r>
      <w:r w:rsidR="00BD151C" w:rsidRPr="009448FC">
        <w:fldChar w:fldCharType="begin"/>
      </w:r>
      <w:r w:rsidR="00414759" w:rsidRPr="009448FC">
        <w:instrText xml:space="preserve"> REF _Ref236727701 \r \h </w:instrText>
      </w:r>
      <w:r w:rsidR="00BD151C" w:rsidRPr="009448FC">
        <w:fldChar w:fldCharType="separate"/>
      </w:r>
      <w:r w:rsidR="003E4210">
        <w:t>9.23.3</w:t>
      </w:r>
      <w:r w:rsidR="00BD151C" w:rsidRPr="009448FC">
        <w:fldChar w:fldCharType="end"/>
      </w:r>
      <w:r w:rsidR="00414759" w:rsidRPr="009448FC">
        <w:t xml:space="preserve">) </w:t>
      </w:r>
      <w:r w:rsidRPr="009448FC">
        <w:t xml:space="preserve">of the following </w:t>
      </w:r>
      <w:r w:rsidR="003A4AD3" w:rsidRPr="009448FC">
        <w:t>aMinBTPeriod</w:t>
      </w:r>
      <w:r w:rsidRPr="009448FC">
        <w:t xml:space="preserve"> BIs beginning with the BI in which the SLS phase with the responder was last completed. In the Grant frame, the initiator shall set the RA field to the MAC address of the responder and the TA field to the MAC address of the initiator. In the SP Info field of the Grant frame, the SPType field shall be set to indicate SP, the source AID field shall be set to the AID of the initiator, the destination AID field shall be set to the </w:t>
      </w:r>
      <w:r w:rsidR="00CE0690" w:rsidRPr="009448FC">
        <w:t xml:space="preserve">broadcast </w:t>
      </w:r>
      <w:r w:rsidRPr="009448FC">
        <w:t xml:space="preserve">AID and the SP Duration field shall be set to the expected duration of the BRP phase. </w:t>
      </w:r>
    </w:p>
    <w:p w:rsidR="00022C45" w:rsidRPr="009448FC" w:rsidRDefault="00022C45" w:rsidP="00022C45"/>
    <w:p w:rsidR="00022C45" w:rsidRPr="009448FC" w:rsidRDefault="00022C45" w:rsidP="00CE0690">
      <w:r w:rsidRPr="009448FC">
        <w:t xml:space="preserve">If the initiator receives at least one SS frame from a responder within an A-BFT but did not transmit an SS-Feedback frame to the responder within that A-BFT, the initiator may schedule time in the DTT for the responder to complete the RSS. To do that, the initiator shall transmit a Grant frame to the responder in an AT period before the next A-BFT. In the Grant frame, the initiator shall set the RA field to the MAC address of the responder and the TA field to the MAC address of the initiator. In the SP Info field of the Grant frame, the SPType field shall be set to indicate SP, the source AID field shall be set to the </w:t>
      </w:r>
      <w:r w:rsidR="00CE0690" w:rsidRPr="009448FC">
        <w:t xml:space="preserve">broadcast </w:t>
      </w:r>
      <w:r w:rsidRPr="009448FC">
        <w:t>AID, the destination AID field shall be set to the AID of the initiator and the SP Duration field shall be set to cover for at least the remaining duration of the RSS.</w:t>
      </w:r>
    </w:p>
    <w:p w:rsidR="00022C45" w:rsidRPr="009448FC" w:rsidRDefault="00022C45" w:rsidP="00022C45"/>
    <w:p w:rsidR="00022C45" w:rsidRPr="009448FC" w:rsidRDefault="00022C45" w:rsidP="00022C45">
      <w:r w:rsidRPr="009448FC">
        <w:t>The initiator may transmit an Announce frame to the responder during the AT period to announce a CBP allocation in the BI. If the responder receives the Announce frame with a CBP allocation, it may contend for a TXOP during a CBP to perform the BRP execution with the initiator or continue the RSS with the initiator.</w:t>
      </w:r>
    </w:p>
    <w:p w:rsidR="00022C45" w:rsidRPr="009448FC" w:rsidRDefault="00022C45" w:rsidP="00022C45"/>
    <w:p w:rsidR="00022C45" w:rsidRPr="009448FC" w:rsidRDefault="00022C45" w:rsidP="00022C45">
      <w:r w:rsidRPr="009448FC">
        <w:t>Any Announce or Grant frames the initiator sends to a responder after initiating beamforming with the responder in the A-BFT but before beamforming with the responder is completed shall be transmitted at MCS</w:t>
      </w:r>
      <w:r w:rsidR="00CE0690" w:rsidRPr="009448FC">
        <w:t xml:space="preserve"> </w:t>
      </w:r>
      <w:r w:rsidRPr="009448FC">
        <w:t>0 using the sector identified by the Sector Select field received from the responder in the RSS.</w:t>
      </w:r>
    </w:p>
    <w:p w:rsidR="00022C45" w:rsidRPr="009448FC" w:rsidRDefault="00022C45" w:rsidP="00022C45"/>
    <w:p w:rsidR="00022C45" w:rsidRPr="009448FC" w:rsidRDefault="00022C45" w:rsidP="00022C45">
      <w:r w:rsidRPr="009448FC">
        <w:t xml:space="preserve">The execution of the beamforming procedure in an SP allocated in the DTT is described in </w:t>
      </w:r>
      <w:r w:rsidR="00BD151C">
        <w:fldChar w:fldCharType="begin"/>
      </w:r>
      <w:r w:rsidR="0096251A">
        <w:instrText xml:space="preserve"> REF _Ref244129829 \r \h </w:instrText>
      </w:r>
      <w:r w:rsidR="00BD151C">
        <w:fldChar w:fldCharType="separate"/>
      </w:r>
      <w:r w:rsidR="003E4210">
        <w:t>9.25.5</w:t>
      </w:r>
      <w:r w:rsidR="00BD151C">
        <w:fldChar w:fldCharType="end"/>
      </w:r>
      <w:r w:rsidRPr="009448FC">
        <w:t>.</w:t>
      </w:r>
    </w:p>
    <w:p w:rsidR="00022C45" w:rsidRDefault="00022C45" w:rsidP="00022C45"/>
    <w:p w:rsidR="00751EC4" w:rsidRPr="009448FC" w:rsidRDefault="00FD063B" w:rsidP="003701DB">
      <w:pPr>
        <w:pStyle w:val="Heading4"/>
        <w:numPr>
          <w:ilvl w:val="3"/>
          <w:numId w:val="188"/>
        </w:numPr>
      </w:pPr>
      <w:bookmarkStart w:id="1645" w:name="_Toc259717155"/>
      <w:r w:rsidRPr="009448FC">
        <w:t>Beamforming in A-BFT with multiple antenna</w:t>
      </w:r>
      <w:r>
        <w:t>s</w:t>
      </w:r>
      <w:bookmarkEnd w:id="1645"/>
    </w:p>
    <w:p w:rsidR="00751EC4" w:rsidRPr="009448FC" w:rsidRDefault="00D8170A" w:rsidP="003660C2">
      <w:r w:rsidRPr="009448FC">
        <w:t>A</w:t>
      </w:r>
      <w:r w:rsidR="00751EC4" w:rsidRPr="009448FC">
        <w:t xml:space="preserve"> PCP</w:t>
      </w:r>
      <w:r w:rsidRPr="009448FC">
        <w:t>/AP</w:t>
      </w:r>
      <w:r w:rsidR="00751EC4" w:rsidRPr="009448FC">
        <w:t xml:space="preserve"> shall receive through a quasi-omni </w:t>
      </w:r>
      <w:r w:rsidR="00CC21E9" w:rsidRPr="009448FC">
        <w:t>antenna</w:t>
      </w:r>
      <w:r w:rsidR="00281486" w:rsidRPr="009448FC">
        <w:t xml:space="preserve"> </w:t>
      </w:r>
      <w:r w:rsidR="00751EC4" w:rsidRPr="009448FC">
        <w:t xml:space="preserve">pattern from a single antenna throughout </w:t>
      </w:r>
      <w:r w:rsidRPr="009448FC">
        <w:t>a</w:t>
      </w:r>
      <w:r w:rsidR="004F187F" w:rsidRPr="009448FC">
        <w:t>n</w:t>
      </w:r>
      <w:r w:rsidR="00751EC4" w:rsidRPr="009448FC">
        <w:t xml:space="preserve"> A-BFT</w:t>
      </w:r>
      <w:r w:rsidR="00FD063B">
        <w:t xml:space="preserve"> u</w:t>
      </w:r>
      <w:r w:rsidR="00F67105" w:rsidRPr="00F67105">
        <w:t xml:space="preserve">nless </w:t>
      </w:r>
      <w:r w:rsidR="001623F2">
        <w:t>RXSS</w:t>
      </w:r>
      <w:r w:rsidR="00F67105" w:rsidRPr="00F67105">
        <w:t xml:space="preserve"> is used in the A-BFT</w:t>
      </w:r>
      <w:r w:rsidR="00FE5FA9">
        <w:t>, in which case</w:t>
      </w:r>
      <w:r w:rsidR="00DB7530" w:rsidRPr="00DB7530">
        <w:t xml:space="preserve"> </w:t>
      </w:r>
      <w:r w:rsidR="00DB7530">
        <w:t xml:space="preserve">it switches through antenna pattern as described in </w:t>
      </w:r>
      <w:r w:rsidR="00BD151C">
        <w:fldChar w:fldCharType="begin"/>
      </w:r>
      <w:r w:rsidR="00DB7530">
        <w:instrText xml:space="preserve"> REF _Ref255222742 \r \h </w:instrText>
      </w:r>
      <w:r w:rsidR="00BD151C">
        <w:fldChar w:fldCharType="separate"/>
      </w:r>
      <w:r w:rsidR="003E4210">
        <w:t>9.25.4.2</w:t>
      </w:r>
      <w:r w:rsidR="00BD151C">
        <w:fldChar w:fldCharType="end"/>
      </w:r>
      <w:r w:rsidR="00751EC4" w:rsidRPr="009448FC">
        <w:t>.</w:t>
      </w:r>
    </w:p>
    <w:p w:rsidR="00D8170A" w:rsidRPr="009448FC" w:rsidRDefault="00784AC1" w:rsidP="00751EC4">
      <w:r>
        <w:t xml:space="preserve"> </w:t>
      </w:r>
    </w:p>
    <w:p w:rsidR="00751EC4" w:rsidRPr="009448FC" w:rsidRDefault="00751EC4" w:rsidP="003660C2">
      <w:r w:rsidRPr="009448FC">
        <w:t>A PCP</w:t>
      </w:r>
      <w:r w:rsidR="00D8170A" w:rsidRPr="009448FC">
        <w:t>/AP</w:t>
      </w:r>
      <w:r w:rsidRPr="009448FC">
        <w:t xml:space="preserve"> with multiple antenna</w:t>
      </w:r>
      <w:r w:rsidR="001623F2">
        <w:t>s</w:t>
      </w:r>
      <w:r w:rsidRPr="009448FC">
        <w:t xml:space="preserve"> </w:t>
      </w:r>
      <w:r w:rsidR="00B33D61" w:rsidRPr="009448FC">
        <w:t>has</w:t>
      </w:r>
      <w:r w:rsidRPr="009448FC">
        <w:t xml:space="preserve"> a regular schedule of receiving through </w:t>
      </w:r>
      <w:r w:rsidR="001623F2">
        <w:t xml:space="preserve">each </w:t>
      </w:r>
      <w:r w:rsidRPr="009448FC">
        <w:t>antenna. The PCP</w:t>
      </w:r>
      <w:r w:rsidR="00D8170A" w:rsidRPr="009448FC">
        <w:t>/AP</w:t>
      </w:r>
      <w:r w:rsidRPr="009448FC">
        <w:t xml:space="preserve"> with multiple antenna</w:t>
      </w:r>
      <w:r w:rsidR="001623F2">
        <w:t>s</w:t>
      </w:r>
      <w:r w:rsidRPr="009448FC">
        <w:t xml:space="preserve"> shall have an A-BFT every </w:t>
      </w:r>
      <w:r w:rsidRPr="009448FC">
        <w:rPr>
          <w:i/>
        </w:rPr>
        <w:t>k</w:t>
      </w:r>
      <w:r w:rsidRPr="009448FC">
        <w:t xml:space="preserve"> BIs</w:t>
      </w:r>
      <w:r w:rsidR="004F187F" w:rsidRPr="009448FC">
        <w:t>,</w:t>
      </w:r>
      <w:r w:rsidRPr="009448FC">
        <w:t xml:space="preserve"> where </w:t>
      </w:r>
      <w:r w:rsidRPr="009448FC">
        <w:rPr>
          <w:i/>
        </w:rPr>
        <w:t xml:space="preserve">k </w:t>
      </w:r>
      <w:r w:rsidRPr="009448FC">
        <w:t xml:space="preserve">is the value indicated by the N-BIs A-BFT subfield in the </w:t>
      </w:r>
      <w:r w:rsidR="009062A7" w:rsidRPr="009448FC">
        <w:t>beacon interval</w:t>
      </w:r>
      <w:r w:rsidRPr="009448FC">
        <w:t xml:space="preserve"> control field.</w:t>
      </w:r>
      <w:r w:rsidR="00281486" w:rsidRPr="009448FC">
        <w:t xml:space="preserve"> </w:t>
      </w:r>
      <w:r w:rsidRPr="009448FC">
        <w:t>In an A-BFT, the PCP</w:t>
      </w:r>
      <w:r w:rsidR="009062A7" w:rsidRPr="009448FC">
        <w:t>/AP</w:t>
      </w:r>
      <w:r w:rsidRPr="009448FC">
        <w:t xml:space="preserve"> shall receive in a quasi-omni </w:t>
      </w:r>
      <w:r w:rsidR="00CC21E9" w:rsidRPr="009448FC">
        <w:t>antenna</w:t>
      </w:r>
      <w:r w:rsidR="00281486" w:rsidRPr="009448FC">
        <w:t xml:space="preserve"> </w:t>
      </w:r>
      <w:r w:rsidRPr="009448FC">
        <w:t xml:space="preserve">pattern using the antenna indicated by </w:t>
      </w:r>
      <w:r w:rsidR="009062A7" w:rsidRPr="009448FC">
        <w:t xml:space="preserve">the value of the </w:t>
      </w:r>
      <w:r w:rsidRPr="009448FC">
        <w:t>Ant</w:t>
      </w:r>
      <w:r w:rsidR="003660C2">
        <w:t>enna</w:t>
      </w:r>
      <w:r w:rsidRPr="009448FC">
        <w:t xml:space="preserve"> I</w:t>
      </w:r>
      <w:r w:rsidR="009062A7" w:rsidRPr="009448FC">
        <w:t>D</w:t>
      </w:r>
      <w:r w:rsidRPr="009448FC">
        <w:t xml:space="preserve"> </w:t>
      </w:r>
      <w:r w:rsidR="004F187F" w:rsidRPr="009448FC">
        <w:t xml:space="preserve">subfield </w:t>
      </w:r>
      <w:r w:rsidR="009062A7" w:rsidRPr="009448FC">
        <w:t>with</w:t>
      </w:r>
      <w:r w:rsidRPr="009448FC">
        <w:t xml:space="preserve">in the </w:t>
      </w:r>
      <w:r w:rsidR="009062A7" w:rsidRPr="009448FC">
        <w:t>SS</w:t>
      </w:r>
      <w:r w:rsidRPr="009448FC">
        <w:t xml:space="preserve"> field</w:t>
      </w:r>
      <w:r w:rsidR="009062A7" w:rsidRPr="009448FC">
        <w:t xml:space="preserve"> transmitted in the mmWave Beacon</w:t>
      </w:r>
      <w:r w:rsidRPr="009448FC">
        <w:t>. The PCP</w:t>
      </w:r>
      <w:r w:rsidR="009062A7" w:rsidRPr="009448FC">
        <w:t>/AP</w:t>
      </w:r>
      <w:r w:rsidRPr="009448FC">
        <w:t xml:space="preserve"> shall switch RX antenna every N A-BFT in </w:t>
      </w:r>
      <w:r w:rsidR="009062A7" w:rsidRPr="009448FC">
        <w:t>Ant</w:t>
      </w:r>
      <w:r w:rsidR="003F3015" w:rsidRPr="009448FC">
        <w:t xml:space="preserve"> A-BFTs allocations</w:t>
      </w:r>
      <w:r w:rsidR="00B33D61" w:rsidRPr="009448FC">
        <w:t xml:space="preserve">, where N A-BFT in Ant is </w:t>
      </w:r>
      <w:r w:rsidR="003660C2">
        <w:t>the value of the N A-BFT in Ant</w:t>
      </w:r>
      <w:r w:rsidR="00B33D61" w:rsidRPr="009448FC">
        <w:t xml:space="preserve"> subfield </w:t>
      </w:r>
      <w:r w:rsidR="001623F2">
        <w:t>with</w:t>
      </w:r>
      <w:r w:rsidR="00B33D61" w:rsidRPr="009448FC">
        <w:t>in the beacon interval control field</w:t>
      </w:r>
      <w:r w:rsidRPr="009448FC">
        <w:t>.</w:t>
      </w:r>
    </w:p>
    <w:p w:rsidR="00751EC4" w:rsidRDefault="00751EC4" w:rsidP="00022C45"/>
    <w:p w:rsidR="004B67A5" w:rsidRPr="009448FC" w:rsidRDefault="004B67A5" w:rsidP="003660C2">
      <w:r>
        <w:t xml:space="preserve">In each </w:t>
      </w:r>
      <w:r w:rsidR="001623F2">
        <w:t>mmWave B</w:t>
      </w:r>
      <w:r>
        <w:t>eacon, the A</w:t>
      </w:r>
      <w:r w:rsidR="008569CA">
        <w:t>-</w:t>
      </w:r>
      <w:r>
        <w:t>BF</w:t>
      </w:r>
      <w:r w:rsidR="008569CA">
        <w:t>T</w:t>
      </w:r>
      <w:r>
        <w:t xml:space="preserve"> count subfield in the beacon interval control field indicates the number of A</w:t>
      </w:r>
      <w:r w:rsidR="008569CA">
        <w:t>-</w:t>
      </w:r>
      <w:r>
        <w:t xml:space="preserve">BFTs that have passed since the PCP/AP </w:t>
      </w:r>
      <w:r w:rsidR="001623F2">
        <w:t xml:space="preserve">last </w:t>
      </w:r>
      <w:r>
        <w:t>switched RX antenna</w:t>
      </w:r>
      <w:r w:rsidR="003660C2">
        <w:t>s</w:t>
      </w:r>
      <w:r>
        <w:t>.</w:t>
      </w:r>
    </w:p>
    <w:p w:rsidR="00022C45" w:rsidRPr="009448FC" w:rsidRDefault="00022C45" w:rsidP="003701DB">
      <w:pPr>
        <w:pStyle w:val="Heading3"/>
        <w:numPr>
          <w:ilvl w:val="2"/>
          <w:numId w:val="188"/>
        </w:numPr>
      </w:pPr>
      <w:bookmarkStart w:id="1646" w:name="_Toc241556200"/>
      <w:bookmarkStart w:id="1647" w:name="_Ref243106416"/>
      <w:bookmarkStart w:id="1648" w:name="_Ref243106464"/>
      <w:bookmarkStart w:id="1649" w:name="_Ref243106597"/>
      <w:bookmarkStart w:id="1650" w:name="_Ref243106707"/>
      <w:bookmarkStart w:id="1651" w:name="_Ref244129829"/>
      <w:bookmarkStart w:id="1652" w:name="_Toc259717156"/>
      <w:r w:rsidRPr="009448FC">
        <w:t>Beamforming in DTT</w:t>
      </w:r>
      <w:bookmarkEnd w:id="1646"/>
      <w:bookmarkEnd w:id="1647"/>
      <w:bookmarkEnd w:id="1648"/>
      <w:bookmarkEnd w:id="1649"/>
      <w:bookmarkEnd w:id="1650"/>
      <w:bookmarkEnd w:id="1651"/>
      <w:bookmarkEnd w:id="1652"/>
    </w:p>
    <w:p w:rsidR="00022C45" w:rsidRPr="009448FC" w:rsidRDefault="00022C45" w:rsidP="00565FD0">
      <w:r w:rsidRPr="009448FC">
        <w:t>An initiator and responder may perform BF in the DTT within a</w:t>
      </w:r>
      <w:r w:rsidR="00565FD0" w:rsidRPr="009448FC">
        <w:t>n</w:t>
      </w:r>
      <w:r w:rsidRPr="009448FC">
        <w:t xml:space="preserve"> SP allocation</w:t>
      </w:r>
      <w:r w:rsidR="00281486" w:rsidRPr="009448FC">
        <w:t xml:space="preserve"> </w:t>
      </w:r>
      <w:r w:rsidRPr="009448FC">
        <w:t xml:space="preserve">or within a TXOP allocation. </w:t>
      </w:r>
    </w:p>
    <w:p w:rsidR="00022C45" w:rsidRPr="009448FC" w:rsidRDefault="00022C45" w:rsidP="00022C45"/>
    <w:p w:rsidR="00022C45" w:rsidRPr="009448FC" w:rsidRDefault="00022C45" w:rsidP="004520D2">
      <w:r w:rsidRPr="009448FC">
        <w:t>An initiator shall have the capabilities of the responder prior to initiating BF with the responder if the responder is associated. A STA may obtain the capabilities of other STAs through the Information Request a</w:t>
      </w:r>
      <w:r w:rsidR="004520D2" w:rsidRPr="009448FC">
        <w:t>nd Information Response frames (</w:t>
      </w:r>
      <w:r w:rsidR="00BD151C" w:rsidRPr="009448FC">
        <w:fldChar w:fldCharType="begin"/>
      </w:r>
      <w:r w:rsidR="004520D2" w:rsidRPr="009448FC">
        <w:instrText xml:space="preserve"> REF _Ref246665989 \n \h </w:instrText>
      </w:r>
      <w:r w:rsidR="00BD151C" w:rsidRPr="009448FC">
        <w:fldChar w:fldCharType="separate"/>
      </w:r>
      <w:r w:rsidR="003E4210">
        <w:t>11.31</w:t>
      </w:r>
      <w:r w:rsidR="00BD151C" w:rsidRPr="009448FC">
        <w:fldChar w:fldCharType="end"/>
      </w:r>
      <w:r w:rsidR="004520D2" w:rsidRPr="009448FC">
        <w:t xml:space="preserve">) </w:t>
      </w:r>
      <w:r w:rsidRPr="009448FC">
        <w:t>or following a STA’s association with the PBSS/</w:t>
      </w:r>
      <w:r w:rsidR="00030887" w:rsidRPr="009448FC">
        <w:t xml:space="preserve">infrastructure </w:t>
      </w:r>
      <w:r w:rsidRPr="009448FC">
        <w:t>BSS (</w:t>
      </w:r>
      <w:r w:rsidR="00BD151C" w:rsidRPr="009448FC">
        <w:fldChar w:fldCharType="begin"/>
      </w:r>
      <w:r w:rsidRPr="009448FC">
        <w:instrText xml:space="preserve"> REF _Ref236727794 \r \h </w:instrText>
      </w:r>
      <w:r w:rsidR="00BD151C" w:rsidRPr="009448FC">
        <w:fldChar w:fldCharType="separate"/>
      </w:r>
      <w:r w:rsidR="003E4210">
        <w:t>11.3.3</w:t>
      </w:r>
      <w:r w:rsidR="00BD151C" w:rsidRPr="009448FC">
        <w:fldChar w:fldCharType="end"/>
      </w:r>
      <w:r w:rsidRPr="009448FC">
        <w:t>). The initiator should use its own capabilities and the capabilities of the responder to compute the required allocation size to perform BF and BF related timeouts.</w:t>
      </w:r>
    </w:p>
    <w:p w:rsidR="00022C45" w:rsidRPr="009448FC" w:rsidRDefault="00022C45" w:rsidP="00022C45"/>
    <w:p w:rsidR="00022C45" w:rsidRPr="009448FC" w:rsidRDefault="00022C45" w:rsidP="00022C45">
      <w:r w:rsidRPr="009448FC">
        <w:t>An initiator may request the PCP/AP to schedule a SP to perform BF with a responder by setting the Beamforming Training subfield in the BF Control field of the Extended mmWave TSPEC</w:t>
      </w:r>
      <w:r w:rsidR="0096251A" w:rsidRPr="009448FC">
        <w:t xml:space="preserve"> </w:t>
      </w:r>
      <w:r w:rsidR="00877796" w:rsidRPr="009448FC">
        <w:t>element</w:t>
      </w:r>
      <w:r w:rsidRPr="009448FC">
        <w:t xml:space="preserve"> or SPR frame to one. The PCP/AP shall set the Beamforming Training subfield to one in the Allocation field of the Extended Schedule </w:t>
      </w:r>
      <w:r w:rsidR="00877796" w:rsidRPr="009448FC">
        <w:t>element</w:t>
      </w:r>
      <w:r w:rsidRPr="009448FC">
        <w:t xml:space="preserve"> if the Beamforming Training subfield in the BF Control field of the Extended mmWave TSPEC</w:t>
      </w:r>
      <w:r w:rsidR="00281486" w:rsidRPr="009448FC">
        <w:t xml:space="preserve"> </w:t>
      </w:r>
      <w:r w:rsidR="00877796" w:rsidRPr="009448FC">
        <w:t>element</w:t>
      </w:r>
      <w:r w:rsidRPr="009448FC">
        <w:t xml:space="preserve"> or SPR frame that generated this Allocation field is set to one.</w:t>
      </w:r>
    </w:p>
    <w:p w:rsidR="00022C45" w:rsidRPr="009448FC" w:rsidRDefault="00022C45" w:rsidP="00022C45"/>
    <w:p w:rsidR="00022C45" w:rsidRPr="009448FC" w:rsidRDefault="00022C45" w:rsidP="003701DB">
      <w:pPr>
        <w:pStyle w:val="Heading4"/>
        <w:numPr>
          <w:ilvl w:val="3"/>
          <w:numId w:val="59"/>
        </w:numPr>
      </w:pPr>
      <w:bookmarkStart w:id="1653" w:name="_Toc241556201"/>
      <w:bookmarkStart w:id="1654" w:name="_Ref255290786"/>
      <w:bookmarkStart w:id="1655" w:name="_Toc259717157"/>
      <w:r w:rsidRPr="009448FC">
        <w:t xml:space="preserve">SLS </w:t>
      </w:r>
      <w:r w:rsidR="000A5ED3">
        <w:t>p</w:t>
      </w:r>
      <w:r w:rsidRPr="009448FC">
        <w:t xml:space="preserve">hase </w:t>
      </w:r>
      <w:r w:rsidR="000A5ED3">
        <w:t>e</w:t>
      </w:r>
      <w:r w:rsidRPr="009448FC">
        <w:t>xecution</w:t>
      </w:r>
      <w:bookmarkEnd w:id="1653"/>
      <w:bookmarkEnd w:id="1654"/>
      <w:bookmarkEnd w:id="1655"/>
    </w:p>
    <w:p w:rsidR="00022C45" w:rsidRPr="009448FC" w:rsidRDefault="00022C45" w:rsidP="00022C45">
      <w:r w:rsidRPr="009448FC">
        <w:t>For BF in the DTT, both the initiator and responder shall use the SS frame for the ISS and RSS.</w:t>
      </w:r>
    </w:p>
    <w:p w:rsidR="00022C45" w:rsidRPr="009448FC" w:rsidRDefault="00022C45" w:rsidP="00022C45"/>
    <w:p w:rsidR="00022C45" w:rsidRPr="009448FC" w:rsidRDefault="00022C45" w:rsidP="00186D96">
      <w:r w:rsidRPr="009448FC">
        <w:t>The initiator shall begin an ISS</w:t>
      </w:r>
      <w:r w:rsidR="00186D96" w:rsidRPr="009448FC">
        <w:t xml:space="preserve"> </w:t>
      </w:r>
      <w:r w:rsidR="00D07400" w:rsidRPr="009448FC">
        <w:t>(</w:t>
      </w:r>
      <w:r w:rsidR="00BD151C" w:rsidRPr="009448FC">
        <w:fldChar w:fldCharType="begin"/>
      </w:r>
      <w:r w:rsidR="00D3234D" w:rsidRPr="009448FC">
        <w:instrText xml:space="preserve"> REF _Ref244094917 \r \h </w:instrText>
      </w:r>
      <w:r w:rsidR="00BD151C" w:rsidRPr="009448FC">
        <w:fldChar w:fldCharType="separate"/>
      </w:r>
      <w:r w:rsidR="003E4210">
        <w:t>9.25.1.1</w:t>
      </w:r>
      <w:r w:rsidR="00BD151C" w:rsidRPr="009448FC">
        <w:fldChar w:fldCharType="end"/>
      </w:r>
      <w:r w:rsidR="00D3234D" w:rsidRPr="009448FC">
        <w:t xml:space="preserve">) </w:t>
      </w:r>
      <w:r w:rsidRPr="009448FC">
        <w:t>at the start of the allocation, except when the allocation is an SP and the initiator T/RXSS field for this SP is set to zero in which case the initiator shall begin an initiator RXSS to attempt to receive frames from the responder. If the end of the allocation is reached and the initiator did not complete the ISS, the initiator shall resume the ISS with the transmission of the subsequent SS frame at the start of the following allocation between the initiator and the responder.</w:t>
      </w:r>
    </w:p>
    <w:p w:rsidR="00022C45" w:rsidRPr="009448FC" w:rsidRDefault="00022C45" w:rsidP="00022C45"/>
    <w:p w:rsidR="00022C45" w:rsidRPr="009448FC" w:rsidRDefault="00022C45" w:rsidP="00414759">
      <w:r w:rsidRPr="009448FC">
        <w:t>The RSS is a TXSS unless</w:t>
      </w:r>
      <w:r w:rsidR="00281486" w:rsidRPr="009448FC">
        <w:t xml:space="preserve"> </w:t>
      </w:r>
      <w:r w:rsidRPr="009448FC">
        <w:t>the allocation is an SP and the responder T/RXSS field for this SP is set to zero. The responder shall begin a RSS (</w:t>
      </w:r>
      <w:r w:rsidR="00BD151C" w:rsidRPr="009448FC">
        <w:fldChar w:fldCharType="begin"/>
      </w:r>
      <w:r w:rsidR="00414759" w:rsidRPr="009448FC">
        <w:instrText xml:space="preserve"> REF _Ref243107072 \r \h </w:instrText>
      </w:r>
      <w:r w:rsidR="00BD151C" w:rsidRPr="009448FC">
        <w:fldChar w:fldCharType="separate"/>
      </w:r>
      <w:r w:rsidR="003E4210">
        <w:t>9.25.1.2</w:t>
      </w:r>
      <w:r w:rsidR="00BD151C" w:rsidRPr="009448FC">
        <w:fldChar w:fldCharType="end"/>
      </w:r>
      <w:r w:rsidRPr="009448FC">
        <w:t>) SIFS time following the completion of an ISS, provided there is sufficient time in the allocation for the responder to transmit an SS frame and the responder received an SS frame from the initiator during the</w:t>
      </w:r>
      <w:r w:rsidR="00281486" w:rsidRPr="009448FC">
        <w:t xml:space="preserve"> </w:t>
      </w:r>
      <w:r w:rsidRPr="009448FC">
        <w:t>ISS. If the end of the allocation is reached and the responder did not complete the RSS, the responder shall resume the RSS with the transmission of subsequent SS frames at the start of the following allocation between the initiator and the responder.</w:t>
      </w:r>
    </w:p>
    <w:p w:rsidR="00022C45" w:rsidRPr="009448FC" w:rsidRDefault="00022C45" w:rsidP="00022C45"/>
    <w:p w:rsidR="00022C45" w:rsidRPr="009448FC" w:rsidRDefault="00022C45" w:rsidP="00022C45">
      <w:r w:rsidRPr="009448FC">
        <w:t>The initiator may restart the ISS up to dot11BFRetryLimit times if it does not receive an SS frame from the responder in dot11BFTXSSTime time following the end of the ISS. The initiator shall restart the ISS SIFS time following dot11BFTXSSTime time, provided there is sufficient time left in the allocation for the initiator to transmit an SS frame. If there is not sufficient time left in the allocation for the transmission of an SS frame, the initiator shall restart the ISS at the start of the following allocation between the initiator and the responder.</w:t>
      </w:r>
    </w:p>
    <w:p w:rsidR="00022C45" w:rsidRPr="009448FC" w:rsidRDefault="00022C45" w:rsidP="00022C45"/>
    <w:p w:rsidR="00022C45" w:rsidRPr="009448FC" w:rsidRDefault="00022C45" w:rsidP="00B41E0B">
      <w:r w:rsidRPr="009448FC">
        <w:t>The initiator shall begin a</w:t>
      </w:r>
      <w:r w:rsidR="005977DF">
        <w:t>n</w:t>
      </w:r>
      <w:r w:rsidRPr="009448FC">
        <w:t xml:space="preserve"> SS Feedback</w:t>
      </w:r>
      <w:r w:rsidR="002E1EDF" w:rsidRPr="009448FC">
        <w:t xml:space="preserve"> (</w:t>
      </w:r>
      <w:r w:rsidR="00BD151C" w:rsidRPr="009448FC">
        <w:fldChar w:fldCharType="begin"/>
      </w:r>
      <w:r w:rsidR="002E1EDF" w:rsidRPr="009448FC">
        <w:instrText xml:space="preserve"> REF _Ref244148629 \r \h </w:instrText>
      </w:r>
      <w:r w:rsidR="00BD151C" w:rsidRPr="009448FC">
        <w:fldChar w:fldCharType="separate"/>
      </w:r>
      <w:r w:rsidR="003E4210">
        <w:t>9.25.1.3</w:t>
      </w:r>
      <w:r w:rsidR="00BD151C" w:rsidRPr="009448FC">
        <w:fldChar w:fldCharType="end"/>
      </w:r>
      <w:r w:rsidR="00C3481B" w:rsidRPr="009448FC">
        <w:t xml:space="preserve">) </w:t>
      </w:r>
      <w:r w:rsidRPr="009448FC">
        <w:t xml:space="preserve">SIFS time following the completion of a RSS, provided the initiator received an SS frame from the responder during the RSS and there is sufficient time left in the allocation to complete the SS Feedback followed by an SS ACK </w:t>
      </w:r>
      <w:r w:rsidR="002E1EDF" w:rsidRPr="009448FC">
        <w:t>(</w:t>
      </w:r>
      <w:r w:rsidR="00BD151C" w:rsidRPr="009448FC">
        <w:fldChar w:fldCharType="begin"/>
      </w:r>
      <w:r w:rsidR="002E1EDF" w:rsidRPr="009448FC">
        <w:instrText xml:space="preserve"> REF _Ref244148633 \r \h </w:instrText>
      </w:r>
      <w:r w:rsidR="00BD151C" w:rsidRPr="009448FC">
        <w:fldChar w:fldCharType="separate"/>
      </w:r>
      <w:r w:rsidR="003E4210">
        <w:t>9.25.1.4</w:t>
      </w:r>
      <w:r w:rsidR="00BD151C" w:rsidRPr="009448FC">
        <w:fldChar w:fldCharType="end"/>
      </w:r>
      <w:r w:rsidR="00B41E0B" w:rsidRPr="009448FC">
        <w:t xml:space="preserve">) </w:t>
      </w:r>
      <w:r w:rsidRPr="009448FC">
        <w:t>from the responder in SIFS time. If there is not sufficient time left in the allocation for the completion of the SS Feedback and SS ACK, the initiator shall being the SS Feedback at the start of the following allocation between the initiator and the responder.</w:t>
      </w:r>
    </w:p>
    <w:p w:rsidR="00022C45" w:rsidRPr="009448FC" w:rsidRDefault="00022C45" w:rsidP="00022C45"/>
    <w:p w:rsidR="00022C45" w:rsidRPr="009448FC" w:rsidRDefault="006E798D" w:rsidP="007F698E">
      <w:r>
        <w:t>T</w:t>
      </w:r>
      <w:r w:rsidR="00022C45" w:rsidRPr="009448FC">
        <w:t>he responder shall begin an SS ACK</w:t>
      </w:r>
      <w:r w:rsidR="007F698E" w:rsidRPr="009448FC">
        <w:t xml:space="preserve"> (</w:t>
      </w:r>
      <w:r w:rsidR="00BD151C" w:rsidRPr="009448FC">
        <w:fldChar w:fldCharType="begin"/>
      </w:r>
      <w:r w:rsidR="007F698E" w:rsidRPr="009448FC">
        <w:instrText xml:space="preserve"> REF _Ref244251086 \n \h </w:instrText>
      </w:r>
      <w:r w:rsidR="00BD151C" w:rsidRPr="009448FC">
        <w:fldChar w:fldCharType="separate"/>
      </w:r>
      <w:r w:rsidR="003E4210">
        <w:t>9.25.1.4</w:t>
      </w:r>
      <w:r w:rsidR="00BD151C" w:rsidRPr="009448FC">
        <w:fldChar w:fldCharType="end"/>
      </w:r>
      <w:r w:rsidR="007F698E" w:rsidRPr="009448FC">
        <w:t xml:space="preserve">) </w:t>
      </w:r>
      <w:r w:rsidR="00022C45" w:rsidRPr="009448FC">
        <w:t xml:space="preserve">to the initiator in SIFS time following the reception of a SS-Feedback frame from the initiator. As described in </w:t>
      </w:r>
      <w:r w:rsidR="00BD151C" w:rsidRPr="009448FC">
        <w:fldChar w:fldCharType="begin"/>
      </w:r>
      <w:r w:rsidR="00414759" w:rsidRPr="009448FC">
        <w:instrText xml:space="preserve"> REF _Ref243107114 \r \h </w:instrText>
      </w:r>
      <w:r w:rsidR="00BD151C" w:rsidRPr="009448FC">
        <w:fldChar w:fldCharType="separate"/>
      </w:r>
      <w:r w:rsidR="003E4210">
        <w:t>9.25.1.4</w:t>
      </w:r>
      <w:r w:rsidR="00BD151C" w:rsidRPr="009448FC">
        <w:fldChar w:fldCharType="end"/>
      </w:r>
      <w:r w:rsidR="00022C45" w:rsidRPr="009448FC">
        <w:t xml:space="preserve">, in the case of responder RXSS during RSS the responder does not perform the SS ACK. </w:t>
      </w:r>
    </w:p>
    <w:p w:rsidR="00022C45" w:rsidRPr="009448FC" w:rsidRDefault="00022C45" w:rsidP="00022C45"/>
    <w:p w:rsidR="00022C45" w:rsidRPr="009448FC" w:rsidRDefault="00022C45" w:rsidP="00022C45">
      <w:r w:rsidRPr="009448FC">
        <w:t>The initiator may restart the SS Feedback up to dot11BFRetryLimit times if it does not receive an SS-ACK frame from the responder in SIFS time following the completion of the SS Feedback. The initiator shall restart the SS Feedback SIFS time following the expected end of the SS ACK by the responder, provided there is sufficient time left in the allocation for the initiator to begin the SS Feedback followed by an SS ACK from the responder in SIFS time. If there is no sufficient time left in the allocation for the completion of the SS Feedback and SS ACK, the initiator shall restart the SS Feedback at the start of the following allocation between the initiator and the responder.</w:t>
      </w:r>
    </w:p>
    <w:p w:rsidR="00022C45" w:rsidRPr="009448FC" w:rsidRDefault="00022C45" w:rsidP="00022C45"/>
    <w:p w:rsidR="00022C45" w:rsidRPr="009448FC" w:rsidRDefault="00022C45" w:rsidP="00022C45">
      <w:r w:rsidRPr="009448FC">
        <w:t>Once started, the initiator and responder shall complete the SLS phase before any additional frame exchange takes place between these STAs.</w:t>
      </w:r>
    </w:p>
    <w:p w:rsidR="00AF2907" w:rsidRDefault="00AF2907" w:rsidP="00022C45"/>
    <w:p w:rsidR="007F0510" w:rsidRPr="009448FC" w:rsidRDefault="003473F1" w:rsidP="003701DB">
      <w:pPr>
        <w:pStyle w:val="Heading4"/>
        <w:numPr>
          <w:ilvl w:val="3"/>
          <w:numId w:val="171"/>
        </w:numPr>
      </w:pPr>
      <w:bookmarkStart w:id="1656" w:name="_Ref250724960"/>
      <w:bookmarkStart w:id="1657" w:name="_Toc259717158"/>
      <w:r w:rsidRPr="009448FC">
        <w:rPr>
          <w:rFonts w:hint="eastAsia"/>
        </w:rPr>
        <w:t xml:space="preserve">MIDC (multiple sector ID capture) </w:t>
      </w:r>
      <w:r w:rsidR="000A5ED3">
        <w:t>p</w:t>
      </w:r>
      <w:r w:rsidRPr="009448FC">
        <w:t>hase</w:t>
      </w:r>
      <w:bookmarkEnd w:id="1656"/>
      <w:bookmarkEnd w:id="1657"/>
      <w:r w:rsidR="005515A4">
        <w:t xml:space="preserve"> </w:t>
      </w:r>
    </w:p>
    <w:p w:rsidR="00D95E1E" w:rsidRPr="00D95E1E" w:rsidRDefault="00D95E1E" w:rsidP="00D95E1E">
      <w:r w:rsidRPr="00D95E1E">
        <w:t>In practice, the quasi-omni RX antenna patterns used in the SLS phase may exhibit imperfections that lead to an incorrect choice of the best TX sector and consequently a sub-optimal starting point for beam refinement in the BRP phase. To remedy this, an MIDC (multiple sector ID capture) phase may be carried out before the BRP phase. Instead of selecting the starting point for the BRP phase (i.e.</w:t>
      </w:r>
      <w:r w:rsidR="00CF43C0">
        <w:t>,</w:t>
      </w:r>
      <w:r w:rsidRPr="00D95E1E">
        <w:t xml:space="preserve"> the best TX sector) based on information obtained with quasi-omni RX antenna patterns from the SLS phase, the MIDC phase enables the use of additional information based on the trial of multiple TX and RX sectors. </w:t>
      </w:r>
    </w:p>
    <w:p w:rsidR="00D95E1E" w:rsidRPr="00D95E1E" w:rsidRDefault="00D95E1E" w:rsidP="00D95E1E"/>
    <w:p w:rsidR="00D95E1E" w:rsidRPr="00D95E1E" w:rsidRDefault="00D95E1E" w:rsidP="00154964">
      <w:r w:rsidRPr="00D95E1E">
        <w:t>The MIDC phase can be implemented in two ways. The first option is to conduct a trial (e.g.</w:t>
      </w:r>
      <w:r w:rsidR="00CF43C0">
        <w:t>,</w:t>
      </w:r>
      <w:r w:rsidRPr="00D95E1E">
        <w:t xml:space="preserve"> in a round-robin manner) between a small set of TX and RX AWV settings with wide (e.g.</w:t>
      </w:r>
      <w:r w:rsidR="00CF43C0">
        <w:t>,</w:t>
      </w:r>
      <w:r w:rsidRPr="00D95E1E">
        <w:t xml:space="preserve"> quasi-omni) antenna patterns. The second option is to carry out a trial (e.g.</w:t>
      </w:r>
      <w:r w:rsidR="003B126E">
        <w:t>,</w:t>
      </w:r>
      <w:r w:rsidRPr="00D95E1E">
        <w:t xml:space="preserve"> in a round-robin manner) between a small set of TX sectors and the full set of RX AWV settings. The set of TX sectors are chosen from a TX sector sweep with a quasi-omni RX antenna pattern. With either option, the end result from the MIDC phase </w:t>
      </w:r>
      <w:r w:rsidR="003B126E">
        <w:t>can</w:t>
      </w:r>
      <w:r w:rsidR="003B126E" w:rsidRPr="00D95E1E">
        <w:t xml:space="preserve"> </w:t>
      </w:r>
      <w:r w:rsidRPr="00D95E1E">
        <w:t xml:space="preserve">be the </w:t>
      </w:r>
      <w:r w:rsidR="00F674D0">
        <w:t xml:space="preserve">better </w:t>
      </w:r>
      <w:r w:rsidRPr="00D95E1E">
        <w:t xml:space="preserve">starting point TX and RX sector pair for further beam refinement. </w:t>
      </w:r>
    </w:p>
    <w:p w:rsidR="00D95E1E" w:rsidRPr="00D95E1E" w:rsidRDefault="00D95E1E" w:rsidP="00D95E1E"/>
    <w:p w:rsidR="00DF54A1" w:rsidRDefault="00D95E1E">
      <w:r w:rsidRPr="00D95E1E">
        <w:t xml:space="preserve">For the first option above, the MIDC phase consists of an MID sub-phase and a BC (or beam combining) sub-phase. This is further elaborated upon in section </w:t>
      </w:r>
      <w:r w:rsidR="00BD151C">
        <w:fldChar w:fldCharType="begin"/>
      </w:r>
      <w:r w:rsidR="00981580">
        <w:instrText xml:space="preserve"> REF _Ref257057671 \r \h </w:instrText>
      </w:r>
      <w:r w:rsidR="00BD151C">
        <w:fldChar w:fldCharType="separate"/>
      </w:r>
      <w:r w:rsidR="003E4210">
        <w:t>9.25.5.2.1</w:t>
      </w:r>
      <w:r w:rsidR="00BD151C">
        <w:fldChar w:fldCharType="end"/>
      </w:r>
      <w:r w:rsidRPr="00D95E1E">
        <w:t>, and a sample time allocation is illustrated in</w:t>
      </w:r>
      <w:r w:rsidR="00DF705E">
        <w:t xml:space="preserve"> </w:t>
      </w:r>
      <w:r w:rsidR="00BD151C">
        <w:fldChar w:fldCharType="begin"/>
      </w:r>
      <w:r w:rsidR="00DF705E">
        <w:instrText xml:space="preserve"> REF _Ref243038303 \h </w:instrText>
      </w:r>
      <w:r w:rsidR="00BD151C">
        <w:fldChar w:fldCharType="separate"/>
      </w:r>
      <w:r w:rsidR="003E4210" w:rsidRPr="00066F65">
        <w:t xml:space="preserve">Figure </w:t>
      </w:r>
      <w:r w:rsidR="003E4210">
        <w:rPr>
          <w:noProof/>
        </w:rPr>
        <w:t>97</w:t>
      </w:r>
      <w:r w:rsidR="00BD151C">
        <w:fldChar w:fldCharType="end"/>
      </w:r>
      <w:r w:rsidRPr="00D95E1E">
        <w:t>. For the second option, the MIDC phase consist</w:t>
      </w:r>
      <w:r w:rsidR="003B126E">
        <w:t>s</w:t>
      </w:r>
      <w:r w:rsidRPr="00D95E1E">
        <w:t xml:space="preserve"> only of an MID sub-phase. This is further elaborated upon in </w:t>
      </w:r>
      <w:r w:rsidR="00BD151C">
        <w:fldChar w:fldCharType="begin"/>
      </w:r>
      <w:r w:rsidR="00981580">
        <w:instrText xml:space="preserve"> REF _Ref257057718 \r \h </w:instrText>
      </w:r>
      <w:r w:rsidR="00BD151C">
        <w:fldChar w:fldCharType="separate"/>
      </w:r>
      <w:r w:rsidR="003E4210">
        <w:t>9.25.5.2.2</w:t>
      </w:r>
      <w:r w:rsidR="00BD151C">
        <w:fldChar w:fldCharType="end"/>
      </w:r>
      <w:r w:rsidRPr="00D95E1E">
        <w:t>, and a sample time allocation is illustrated in</w:t>
      </w:r>
      <w:r w:rsidR="00DF705E">
        <w:t xml:space="preserve"> </w:t>
      </w:r>
      <w:r w:rsidR="00BD151C">
        <w:fldChar w:fldCharType="begin"/>
      </w:r>
      <w:r w:rsidR="00DF705E">
        <w:instrText xml:space="preserve"> REF _Ref255734611 \h </w:instrText>
      </w:r>
      <w:r w:rsidR="00BD151C">
        <w:fldChar w:fldCharType="separate"/>
      </w:r>
      <w:r w:rsidR="003E4210">
        <w:t xml:space="preserve">Figure </w:t>
      </w:r>
      <w:r w:rsidR="003E4210">
        <w:rPr>
          <w:noProof/>
        </w:rPr>
        <w:t>98</w:t>
      </w:r>
      <w:r w:rsidR="00BD151C">
        <w:fldChar w:fldCharType="end"/>
      </w:r>
      <w:r w:rsidRPr="00D95E1E">
        <w:t>.</w:t>
      </w:r>
    </w:p>
    <w:p w:rsidR="00AF2907" w:rsidRPr="009448FC" w:rsidRDefault="00B04FEE" w:rsidP="00AF2907">
      <w:pPr>
        <w:keepNext/>
        <w:autoSpaceDE w:val="0"/>
        <w:autoSpaceDN w:val="0"/>
        <w:adjustRightInd w:val="0"/>
        <w:jc w:val="center"/>
      </w:pPr>
      <w:r>
        <w:object w:dxaOrig="18577" w:dyaOrig="3420">
          <v:shape id="_x0000_i1059" type="#_x0000_t75" style="width:414.35pt;height:76.55pt" o:ole="" o:allowoverlap="f">
            <v:imagedata r:id="rId165" o:title=""/>
          </v:shape>
          <o:OLEObject Type="Embed" ProgID="Word.Picture.8" ShapeID="_x0000_i1059" DrawAspect="Content" ObjectID="_1334048241" r:id="rId166"/>
        </w:object>
      </w:r>
    </w:p>
    <w:p w:rsidR="00AF2907" w:rsidRDefault="00AF2907" w:rsidP="00733142">
      <w:pPr>
        <w:pStyle w:val="Caption"/>
        <w:rPr>
          <w:noProof/>
        </w:rPr>
      </w:pPr>
      <w:bookmarkStart w:id="1658" w:name="_Ref243038303"/>
      <w:bookmarkStart w:id="1659" w:name="_Ref243038298"/>
      <w:bookmarkStart w:id="1660" w:name="_Toc244251974"/>
      <w:bookmarkStart w:id="1661" w:name="_Toc259717529"/>
      <w:r w:rsidRPr="00066F65">
        <w:t xml:space="preserve">Figure </w:t>
      </w:r>
      <w:r w:rsidR="00BD151C">
        <w:fldChar w:fldCharType="begin"/>
      </w:r>
      <w:r w:rsidR="00801316">
        <w:instrText xml:space="preserve"> SEQ Figure \* ARABIC </w:instrText>
      </w:r>
      <w:r w:rsidR="00BD151C">
        <w:fldChar w:fldCharType="separate"/>
      </w:r>
      <w:r w:rsidR="003E4210">
        <w:rPr>
          <w:noProof/>
        </w:rPr>
        <w:t>97</w:t>
      </w:r>
      <w:r w:rsidR="00BD151C">
        <w:fldChar w:fldCharType="end"/>
      </w:r>
      <w:bookmarkEnd w:id="1658"/>
      <w:r w:rsidRPr="00066F65">
        <w:t xml:space="preserve"> – </w:t>
      </w:r>
      <w:bookmarkEnd w:id="1659"/>
      <w:bookmarkEnd w:id="1660"/>
      <w:r w:rsidR="00733142" w:rsidRPr="00733142">
        <w:t xml:space="preserve">Example of time allocation for </w:t>
      </w:r>
      <w:r w:rsidR="00733142" w:rsidRPr="00733142">
        <w:rPr>
          <w:rFonts w:hint="eastAsia"/>
        </w:rPr>
        <w:t xml:space="preserve">the </w:t>
      </w:r>
      <w:r w:rsidR="00733142" w:rsidRPr="00733142">
        <w:t>MIDC phase</w:t>
      </w:r>
      <w:r w:rsidR="00733142" w:rsidRPr="00733142">
        <w:rPr>
          <w:rFonts w:hint="eastAsia"/>
        </w:rPr>
        <w:t xml:space="preserve"> with MID and BC sub-phase</w:t>
      </w:r>
      <w:r w:rsidR="00733142" w:rsidRPr="00733142">
        <w:t>s</w:t>
      </w:r>
      <w:bookmarkEnd w:id="1661"/>
    </w:p>
    <w:p w:rsidR="00733142" w:rsidRDefault="00733142" w:rsidP="00733142">
      <w:pPr>
        <w:rPr>
          <w:lang w:bidi="ar-SA"/>
        </w:rPr>
      </w:pPr>
    </w:p>
    <w:p w:rsidR="008C5CB4" w:rsidRDefault="00B04FEE" w:rsidP="008C5CB4">
      <w:pPr>
        <w:keepNext/>
        <w:jc w:val="center"/>
      </w:pPr>
      <w:r>
        <w:object w:dxaOrig="18577" w:dyaOrig="3420">
          <v:shape id="_x0000_i1060" type="#_x0000_t75" style="width:412.55pt;height:76.55pt" o:ole="" o:allowoverlap="f">
            <v:imagedata r:id="rId167" o:title=""/>
          </v:shape>
          <o:OLEObject Type="Embed" ProgID="Word.Picture.8" ShapeID="_x0000_i1060" DrawAspect="Content" ObjectID="_1334048242" r:id="rId168"/>
        </w:object>
      </w:r>
    </w:p>
    <w:p w:rsidR="00733142" w:rsidRPr="00733142" w:rsidRDefault="008C5CB4" w:rsidP="008C5CB4">
      <w:pPr>
        <w:pStyle w:val="Caption"/>
      </w:pPr>
      <w:bookmarkStart w:id="1662" w:name="_Ref255734611"/>
      <w:bookmarkStart w:id="1663" w:name="_Toc259717530"/>
      <w:r>
        <w:t xml:space="preserve">Figure </w:t>
      </w:r>
      <w:r w:rsidR="00BD151C">
        <w:fldChar w:fldCharType="begin"/>
      </w:r>
      <w:r w:rsidR="00801316">
        <w:instrText xml:space="preserve"> SEQ Figure \* ARABIC </w:instrText>
      </w:r>
      <w:r w:rsidR="00BD151C">
        <w:fldChar w:fldCharType="separate"/>
      </w:r>
      <w:r w:rsidR="003E4210">
        <w:rPr>
          <w:noProof/>
        </w:rPr>
        <w:t>98</w:t>
      </w:r>
      <w:r w:rsidR="00BD151C">
        <w:fldChar w:fldCharType="end"/>
      </w:r>
      <w:bookmarkEnd w:id="1662"/>
      <w:r w:rsidR="00A1506F">
        <w:t xml:space="preserve"> – </w:t>
      </w:r>
      <w:r w:rsidRPr="00D95A8B">
        <w:t>Example of time allocation for the MIDC phase with the MID sub-phase only</w:t>
      </w:r>
      <w:bookmarkEnd w:id="1663"/>
    </w:p>
    <w:p w:rsidR="00AF2907" w:rsidRPr="009448FC" w:rsidRDefault="00AF2907" w:rsidP="00AF2907">
      <w:pPr>
        <w:autoSpaceDE w:val="0"/>
        <w:autoSpaceDN w:val="0"/>
        <w:adjustRightInd w:val="0"/>
        <w:jc w:val="both"/>
      </w:pPr>
    </w:p>
    <w:p w:rsidR="00DF54A1" w:rsidRDefault="00733142">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Prior to the beginning of the MIDC phase, a BRP setup sub-phase will be carried out as specified in </w:t>
      </w:r>
      <w:r w:rsidR="00BD151C">
        <w:rPr>
          <w:rFonts w:ascii="TimesNewRomanPSMT" w:hAnsi="TimesNewRomanPSMT" w:cs="TimesNewRomanPSMT"/>
        </w:rPr>
        <w:fldChar w:fldCharType="begin"/>
      </w:r>
      <w:r w:rsidR="006F3197">
        <w:rPr>
          <w:rFonts w:ascii="TimesNewRomanPSMT" w:hAnsi="TimesNewRomanPSMT" w:cs="TimesNewRomanPSMT"/>
        </w:rPr>
        <w:instrText xml:space="preserve"> REF _Ref257057784 \r \h </w:instrText>
      </w:r>
      <w:r w:rsidR="00BD151C">
        <w:rPr>
          <w:rFonts w:ascii="TimesNewRomanPSMT" w:hAnsi="TimesNewRomanPSMT" w:cs="TimesNewRomanPSMT"/>
        </w:rPr>
      </w:r>
      <w:r w:rsidR="00BD151C">
        <w:rPr>
          <w:rFonts w:ascii="TimesNewRomanPSMT" w:hAnsi="TimesNewRomanPSMT" w:cs="TimesNewRomanPSMT"/>
        </w:rPr>
        <w:fldChar w:fldCharType="separate"/>
      </w:r>
      <w:r w:rsidR="003E4210">
        <w:rPr>
          <w:rFonts w:ascii="TimesNewRomanPSMT" w:hAnsi="TimesNewRomanPSMT" w:cs="TimesNewRomanPSMT"/>
        </w:rPr>
        <w:t>0</w:t>
      </w:r>
      <w:r w:rsidR="00BD151C">
        <w:rPr>
          <w:rFonts w:ascii="TimesNewRomanPSMT" w:hAnsi="TimesNewRomanPSMT" w:cs="TimesNewRomanPSMT"/>
        </w:rPr>
        <w:fldChar w:fldCharType="end"/>
      </w:r>
      <w:r>
        <w:rPr>
          <w:rFonts w:ascii="TimesNewRomanPSMT" w:hAnsi="TimesNewRomanPSMT" w:cs="TimesNewRomanPSMT"/>
        </w:rPr>
        <w:t xml:space="preserve">. This sub-phase enables the two </w:t>
      </w:r>
      <w:r w:rsidR="00BF23E6">
        <w:rPr>
          <w:rFonts w:ascii="TimesNewRomanPSMT" w:hAnsi="TimesNewRomanPSMT" w:cs="TimesNewRomanPSMT"/>
        </w:rPr>
        <w:t>mSTAs</w:t>
      </w:r>
      <w:r w:rsidR="00565D8A">
        <w:rPr>
          <w:rFonts w:ascii="TimesNewRomanPSMT" w:hAnsi="TimesNewRomanPSMT" w:cs="TimesNewRomanPSMT"/>
        </w:rPr>
        <w:t xml:space="preserve"> involved to negotiate whether</w:t>
      </w:r>
      <w:r>
        <w:rPr>
          <w:rFonts w:ascii="TimesNewRomanPSMT" w:hAnsi="TimesNewRomanPSMT" w:cs="TimesNewRomanPSMT"/>
        </w:rPr>
        <w:t xml:space="preserve"> and how the MIDC phase will be carried out. Examples of how the MIDC phase is set up, depending on whether beamforming is initiated in the BT and A-BFT or in the DTT</w:t>
      </w:r>
      <w:r w:rsidR="003B126E">
        <w:rPr>
          <w:rFonts w:ascii="TimesNewRomanPSMT" w:hAnsi="TimesNewRomanPSMT" w:cs="TimesNewRomanPSMT"/>
        </w:rPr>
        <w:t>,</w:t>
      </w:r>
      <w:r>
        <w:rPr>
          <w:rFonts w:ascii="TimesNewRomanPSMT" w:hAnsi="TimesNewRomanPSMT" w:cs="TimesNewRomanPSMT"/>
        </w:rPr>
        <w:t xml:space="preserve"> </w:t>
      </w:r>
      <w:r w:rsidR="003B126E">
        <w:rPr>
          <w:rFonts w:ascii="TimesNewRomanPSMT" w:hAnsi="TimesNewRomanPSMT" w:cs="TimesNewRomanPSMT"/>
        </w:rPr>
        <w:t xml:space="preserve">are </w:t>
      </w:r>
      <w:r>
        <w:rPr>
          <w:rFonts w:ascii="TimesNewRomanPSMT" w:hAnsi="TimesNewRomanPSMT" w:cs="TimesNewRomanPSMT"/>
        </w:rPr>
        <w:t>illustrated in</w:t>
      </w:r>
      <w:r w:rsidR="00BC113D">
        <w:rPr>
          <w:rFonts w:ascii="TimesNewRomanPSMT" w:hAnsi="TimesNewRomanPSMT" w:cs="TimesNewRomanPSMT"/>
        </w:rPr>
        <w:t xml:space="preserve"> </w:t>
      </w:r>
      <w:r w:rsidR="00BD151C">
        <w:rPr>
          <w:rFonts w:ascii="TimesNewRomanPSMT" w:hAnsi="TimesNewRomanPSMT" w:cs="TimesNewRomanPSMT"/>
        </w:rPr>
        <w:fldChar w:fldCharType="begin"/>
      </w:r>
      <w:r w:rsidR="00BC113D">
        <w:rPr>
          <w:rFonts w:ascii="TimesNewRomanPSMT" w:hAnsi="TimesNewRomanPSMT" w:cs="TimesNewRomanPSMT"/>
        </w:rPr>
        <w:instrText xml:space="preserve"> REF _Ref257036394 \h </w:instrText>
      </w:r>
      <w:r w:rsidR="00BD151C">
        <w:rPr>
          <w:rFonts w:ascii="TimesNewRomanPSMT" w:hAnsi="TimesNewRomanPSMT" w:cs="TimesNewRomanPSMT"/>
        </w:rPr>
      </w:r>
      <w:r w:rsidR="00BD151C">
        <w:rPr>
          <w:rFonts w:ascii="TimesNewRomanPSMT" w:hAnsi="TimesNewRomanPSMT" w:cs="TimesNewRomanPSMT"/>
        </w:rPr>
        <w:fldChar w:fldCharType="separate"/>
      </w:r>
      <w:r w:rsidR="003E4210">
        <w:t xml:space="preserve">Figure </w:t>
      </w:r>
      <w:r w:rsidR="003E4210">
        <w:rPr>
          <w:noProof/>
        </w:rPr>
        <w:t>99</w:t>
      </w:r>
      <w:r w:rsidR="00BD151C">
        <w:rPr>
          <w:rFonts w:ascii="TimesNewRomanPSMT" w:hAnsi="TimesNewRomanPSMT" w:cs="TimesNewRomanPSMT"/>
        </w:rPr>
        <w:fldChar w:fldCharType="end"/>
      </w:r>
      <w:r w:rsidR="00BC113D">
        <w:rPr>
          <w:rFonts w:ascii="TimesNewRomanPSMT" w:hAnsi="TimesNewRomanPSMT" w:cs="TimesNewRomanPSMT"/>
        </w:rPr>
        <w:t xml:space="preserve"> </w:t>
      </w:r>
      <w:r w:rsidR="00BF23E6">
        <w:t>and</w:t>
      </w:r>
      <w:r w:rsidR="00BC113D">
        <w:rPr>
          <w:rFonts w:ascii="TimesNewRomanPSMT" w:hAnsi="TimesNewRomanPSMT" w:cs="TimesNewRomanPSMT"/>
        </w:rPr>
        <w:t xml:space="preserve"> </w:t>
      </w:r>
      <w:r w:rsidR="00BD151C">
        <w:rPr>
          <w:rFonts w:ascii="TimesNewRomanPSMT" w:hAnsi="TimesNewRomanPSMT" w:cs="TimesNewRomanPSMT"/>
        </w:rPr>
        <w:fldChar w:fldCharType="begin"/>
      </w:r>
      <w:r w:rsidR="00BC113D">
        <w:rPr>
          <w:rFonts w:ascii="TimesNewRomanPSMT" w:hAnsi="TimesNewRomanPSMT" w:cs="TimesNewRomanPSMT"/>
        </w:rPr>
        <w:instrText xml:space="preserve"> REF _Ref257036397 \h </w:instrText>
      </w:r>
      <w:r w:rsidR="00BD151C">
        <w:rPr>
          <w:rFonts w:ascii="TimesNewRomanPSMT" w:hAnsi="TimesNewRomanPSMT" w:cs="TimesNewRomanPSMT"/>
        </w:rPr>
      </w:r>
      <w:r w:rsidR="00BD151C">
        <w:rPr>
          <w:rFonts w:ascii="TimesNewRomanPSMT" w:hAnsi="TimesNewRomanPSMT" w:cs="TimesNewRomanPSMT"/>
        </w:rPr>
        <w:fldChar w:fldCharType="separate"/>
      </w:r>
      <w:r w:rsidR="003E4210">
        <w:t xml:space="preserve">Figure </w:t>
      </w:r>
      <w:r w:rsidR="003E4210">
        <w:rPr>
          <w:noProof/>
        </w:rPr>
        <w:t>100</w:t>
      </w:r>
      <w:r w:rsidR="00BD151C">
        <w:rPr>
          <w:rFonts w:ascii="TimesNewRomanPSMT" w:hAnsi="TimesNewRomanPSMT" w:cs="TimesNewRomanPSMT"/>
        </w:rPr>
        <w:fldChar w:fldCharType="end"/>
      </w:r>
      <w:r>
        <w:rPr>
          <w:rFonts w:ascii="TimesNewRomanPSMT" w:hAnsi="TimesNewRomanPSMT" w:cs="TimesNewRomanPSMT"/>
        </w:rPr>
        <w:t>,</w:t>
      </w:r>
      <w:r w:rsidR="00BC113D">
        <w:rPr>
          <w:rFonts w:ascii="TimesNewRomanPSMT" w:hAnsi="TimesNewRomanPSMT" w:cs="TimesNewRomanPSMT"/>
        </w:rPr>
        <w:t xml:space="preserve"> </w:t>
      </w:r>
      <w:r>
        <w:rPr>
          <w:rFonts w:ascii="TimesNewRomanPSMT" w:hAnsi="TimesNewRomanPSMT" w:cs="TimesNewRomanPSMT"/>
        </w:rPr>
        <w:t xml:space="preserve">respectively. Note that the MIDC phase </w:t>
      </w:r>
      <w:r>
        <w:rPr>
          <w:rFonts w:hint="eastAsia"/>
          <w:iCs/>
        </w:rPr>
        <w:t xml:space="preserve">is </w:t>
      </w:r>
      <w:r>
        <w:rPr>
          <w:iCs/>
        </w:rPr>
        <w:t xml:space="preserve">only </w:t>
      </w:r>
      <w:r>
        <w:rPr>
          <w:rFonts w:hint="eastAsia"/>
          <w:iCs/>
        </w:rPr>
        <w:t xml:space="preserve">applicable when </w:t>
      </w:r>
      <w:r>
        <w:rPr>
          <w:rFonts w:ascii="TimesNewRomanPSMT" w:hAnsi="TimesNewRomanPSMT" w:cs="TimesNewRomanPSMT"/>
        </w:rPr>
        <w:t>both the initiator and the responder have the ability to switch amongst their sectors</w:t>
      </w:r>
      <w:r>
        <w:rPr>
          <w:iCs/>
        </w:rPr>
        <w:t>.</w:t>
      </w:r>
    </w:p>
    <w:p w:rsidR="003B126E" w:rsidRDefault="003B126E" w:rsidP="00AF2907">
      <w:pPr>
        <w:autoSpaceDE w:val="0"/>
        <w:autoSpaceDN w:val="0"/>
        <w:adjustRightInd w:val="0"/>
        <w:jc w:val="both"/>
      </w:pPr>
    </w:p>
    <w:p w:rsidR="003B126E" w:rsidRDefault="00B93268" w:rsidP="003B126E">
      <w:pPr>
        <w:keepNext/>
        <w:jc w:val="center"/>
      </w:pPr>
      <w:r>
        <w:rPr>
          <w:noProof/>
          <w:lang w:bidi="ar-SA"/>
        </w:rPr>
        <w:drawing>
          <wp:inline distT="0" distB="0" distL="0" distR="0">
            <wp:extent cx="5403850" cy="3181350"/>
            <wp:effectExtent l="0" t="0" r="0" b="0"/>
            <wp:docPr id="3"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0200" cy="5319713"/>
                      <a:chOff x="-76200" y="1144588"/>
                      <a:chExt cx="9220200" cy="5319713"/>
                    </a:xfrm>
                  </a:grpSpPr>
                  <a:grpSp>
                    <a:nvGrpSpPr>
                      <a:cNvPr id="64781" name="Group 269"/>
                      <a:cNvGrpSpPr>
                        <a:grpSpLocks/>
                      </a:cNvGrpSpPr>
                    </a:nvGrpSpPr>
                    <a:grpSpPr bwMode="auto">
                      <a:xfrm>
                        <a:off x="-76200" y="1144588"/>
                        <a:ext cx="9220200" cy="5319713"/>
                        <a:chOff x="-48" y="721"/>
                        <a:chExt cx="5808" cy="3351"/>
                      </a:xfrm>
                    </a:grpSpPr>
                    <a:sp>
                      <a:nvSpPr>
                        <a:cNvPr id="64538" name="Rectangle 9"/>
                        <a:cNvSpPr>
                          <a:spLocks noChangeArrowheads="1"/>
                        </a:cNvSpPr>
                      </a:nvSpPr>
                      <a:spPr bwMode="auto">
                        <a:xfrm>
                          <a:off x="43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539" name="Text Box 10"/>
                        <a:cNvSpPr txBox="1">
                          <a:spLocks noChangeArrowheads="1"/>
                        </a:cNvSpPr>
                      </a:nvSpPr>
                      <a:spPr bwMode="auto">
                        <a:xfrm>
                          <a:off x="-48"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4540" name="Text Box 11"/>
                        <a:cNvSpPr txBox="1">
                          <a:spLocks noChangeArrowheads="1"/>
                        </a:cNvSpPr>
                      </a:nvSpPr>
                      <a:spPr bwMode="auto">
                        <a:xfrm>
                          <a:off x="-21"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4555" name="TextBox 111"/>
                        <a:cNvSpPr txBox="1">
                          <a:spLocks noChangeArrowheads="1"/>
                        </a:cNvSpPr>
                      </a:nvSpPr>
                      <a:spPr bwMode="auto">
                        <a:xfrm>
                          <a:off x="556"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576" name="Line 7"/>
                        <a:cNvSpPr>
                          <a:spLocks noChangeShapeType="1"/>
                        </a:cNvSpPr>
                      </a:nvSpPr>
                      <a:spPr bwMode="auto">
                        <a:xfrm flipV="1">
                          <a:off x="336" y="3043"/>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577" name="Line 8"/>
                        <a:cNvSpPr>
                          <a:spLocks noChangeShapeType="1"/>
                        </a:cNvSpPr>
                      </a:nvSpPr>
                      <a:spPr bwMode="auto">
                        <a:xfrm>
                          <a:off x="336" y="1699"/>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648" name="Rectangle 9"/>
                        <a:cNvSpPr>
                          <a:spLocks noChangeArrowheads="1"/>
                        </a:cNvSpPr>
                      </a:nvSpPr>
                      <a:spPr bwMode="auto">
                        <a:xfrm>
                          <a:off x="72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61" name="Text Box 35"/>
                        <a:cNvSpPr txBox="1">
                          <a:spLocks noChangeArrowheads="1"/>
                        </a:cNvSpPr>
                      </a:nvSpPr>
                      <a:spPr bwMode="auto">
                        <a:xfrm rot="-5400000">
                          <a:off x="25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63" name="Text Box 49"/>
                        <a:cNvSpPr txBox="1">
                          <a:spLocks noChangeArrowheads="1"/>
                        </a:cNvSpPr>
                      </a:nvSpPr>
                      <a:spPr bwMode="auto">
                        <a:xfrm>
                          <a:off x="432"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4669" name="Text Box 49"/>
                        <a:cNvSpPr txBox="1">
                          <a:spLocks noChangeArrowheads="1"/>
                        </a:cNvSpPr>
                      </a:nvSpPr>
                      <a:spPr bwMode="auto">
                        <a:xfrm>
                          <a:off x="960"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4690" name="Text Box 35"/>
                        <a:cNvSpPr txBox="1">
                          <a:spLocks noChangeArrowheads="1"/>
                        </a:cNvSpPr>
                      </a:nvSpPr>
                      <a:spPr bwMode="auto">
                        <a:xfrm rot="-5400000">
                          <a:off x="54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1" name="Rectangle 9"/>
                        <a:cNvSpPr>
                          <a:spLocks noChangeArrowheads="1"/>
                        </a:cNvSpPr>
                      </a:nvSpPr>
                      <a:spPr bwMode="auto">
                        <a:xfrm>
                          <a:off x="9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2" name="TextBox 111"/>
                        <a:cNvSpPr txBox="1">
                          <a:spLocks noChangeArrowheads="1"/>
                        </a:cNvSpPr>
                      </a:nvSpPr>
                      <a:spPr bwMode="auto">
                        <a:xfrm>
                          <a:off x="1098"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693" name="Rectangle 9"/>
                        <a:cNvSpPr>
                          <a:spLocks noChangeArrowheads="1"/>
                        </a:cNvSpPr>
                      </a:nvSpPr>
                      <a:spPr bwMode="auto">
                        <a:xfrm>
                          <a:off x="12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4" name="Text Box 35"/>
                        <a:cNvSpPr txBox="1">
                          <a:spLocks noChangeArrowheads="1"/>
                        </a:cNvSpPr>
                      </a:nvSpPr>
                      <a:spPr bwMode="auto">
                        <a:xfrm rot="-5400000">
                          <a:off x="8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6" name="Text Box 35"/>
                        <a:cNvSpPr txBox="1">
                          <a:spLocks noChangeArrowheads="1"/>
                        </a:cNvSpPr>
                      </a:nvSpPr>
                      <a:spPr bwMode="auto">
                        <a:xfrm rot="-5400000">
                          <a:off x="10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7" name="Rectangle 9"/>
                        <a:cNvSpPr>
                          <a:spLocks noChangeArrowheads="1"/>
                        </a:cNvSpPr>
                      </a:nvSpPr>
                      <a:spPr bwMode="auto">
                        <a:xfrm>
                          <a:off x="149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8" name="Text Box 35"/>
                        <a:cNvSpPr txBox="1">
                          <a:spLocks noChangeArrowheads="1"/>
                        </a:cNvSpPr>
                      </a:nvSpPr>
                      <a:spPr bwMode="auto">
                        <a:xfrm rot="-5400000">
                          <a:off x="1277" y="1814"/>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4699" name="Rectangle 9"/>
                        <a:cNvSpPr>
                          <a:spLocks noChangeArrowheads="1"/>
                        </a:cNvSpPr>
                      </a:nvSpPr>
                      <a:spPr bwMode="auto">
                        <a:xfrm>
                          <a:off x="20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2" name="Text Box 35"/>
                        <a:cNvSpPr txBox="1">
                          <a:spLocks noChangeArrowheads="1"/>
                        </a:cNvSpPr>
                      </a:nvSpPr>
                      <a:spPr bwMode="auto">
                        <a:xfrm rot="-5400000">
                          <a:off x="19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4" name="Rectangle 9"/>
                        <a:cNvSpPr>
                          <a:spLocks noChangeArrowheads="1"/>
                        </a:cNvSpPr>
                      </a:nvSpPr>
                      <a:spPr bwMode="auto">
                        <a:xfrm>
                          <a:off x="231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5" name="Text Box 35"/>
                        <a:cNvSpPr txBox="1">
                          <a:spLocks noChangeArrowheads="1"/>
                        </a:cNvSpPr>
                      </a:nvSpPr>
                      <a:spPr bwMode="auto">
                        <a:xfrm rot="-5400000">
                          <a:off x="214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6" name="Rectangle 9"/>
                        <a:cNvSpPr>
                          <a:spLocks noChangeArrowheads="1"/>
                        </a:cNvSpPr>
                      </a:nvSpPr>
                      <a:spPr bwMode="auto">
                        <a:xfrm>
                          <a:off x="25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7" name="Text Box 35"/>
                        <a:cNvSpPr txBox="1">
                          <a:spLocks noChangeArrowheads="1"/>
                        </a:cNvSpPr>
                      </a:nvSpPr>
                      <a:spPr bwMode="auto">
                        <a:xfrm rot="-5400000">
                          <a:off x="23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8" name="Rectangle 9"/>
                        <a:cNvSpPr>
                          <a:spLocks noChangeArrowheads="1"/>
                        </a:cNvSpPr>
                      </a:nvSpPr>
                      <a:spPr bwMode="auto">
                        <a:xfrm>
                          <a:off x="278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9" name="Text Box 35"/>
                        <a:cNvSpPr txBox="1">
                          <a:spLocks noChangeArrowheads="1"/>
                        </a:cNvSpPr>
                      </a:nvSpPr>
                      <a:spPr bwMode="auto">
                        <a:xfrm rot="-5400000">
                          <a:off x="261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18" name="Rectangle 9"/>
                        <a:cNvSpPr>
                          <a:spLocks noChangeArrowheads="1"/>
                        </a:cNvSpPr>
                      </a:nvSpPr>
                      <a:spPr bwMode="auto">
                        <a:xfrm>
                          <a:off x="183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19" name="Text Box 35"/>
                        <a:cNvSpPr txBox="1">
                          <a:spLocks noChangeArrowheads="1"/>
                        </a:cNvSpPr>
                      </a:nvSpPr>
                      <a:spPr bwMode="auto">
                        <a:xfrm rot="-5400000">
                          <a:off x="166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1" name="Rectangle 9"/>
                        <a:cNvSpPr>
                          <a:spLocks noChangeArrowheads="1"/>
                        </a:cNvSpPr>
                      </a:nvSpPr>
                      <a:spPr bwMode="auto">
                        <a:xfrm>
                          <a:off x="313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2" name="Text Box 35"/>
                        <a:cNvSpPr txBox="1">
                          <a:spLocks noChangeArrowheads="1"/>
                        </a:cNvSpPr>
                      </a:nvSpPr>
                      <a:spPr bwMode="auto">
                        <a:xfrm rot="-5400000">
                          <a:off x="2885" y="2703"/>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3" name="Rectangle 9"/>
                        <a:cNvSpPr>
                          <a:spLocks noChangeArrowheads="1"/>
                        </a:cNvSpPr>
                      </a:nvSpPr>
                      <a:spPr bwMode="auto">
                        <a:xfrm>
                          <a:off x="337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4" name="Text Box 35"/>
                        <a:cNvSpPr txBox="1">
                          <a:spLocks noChangeArrowheads="1"/>
                        </a:cNvSpPr>
                      </a:nvSpPr>
                      <a:spPr bwMode="auto">
                        <a:xfrm rot="-5400000">
                          <a:off x="3125" y="1839"/>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5" name="Rectangle 9"/>
                        <a:cNvSpPr>
                          <a:spLocks noChangeArrowheads="1"/>
                        </a:cNvSpPr>
                      </a:nvSpPr>
                      <a:spPr bwMode="auto">
                        <a:xfrm>
                          <a:off x="361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6" name="Text Box 35"/>
                        <a:cNvSpPr txBox="1">
                          <a:spLocks noChangeArrowheads="1"/>
                        </a:cNvSpPr>
                      </a:nvSpPr>
                      <a:spPr bwMode="auto">
                        <a:xfrm rot="-5400000">
                          <a:off x="3437"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7" name="Rectangle 9"/>
                        <a:cNvSpPr>
                          <a:spLocks noChangeArrowheads="1"/>
                        </a:cNvSpPr>
                      </a:nvSpPr>
                      <a:spPr bwMode="auto">
                        <a:xfrm>
                          <a:off x="384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8" name="Text Box 35"/>
                        <a:cNvSpPr txBox="1">
                          <a:spLocks noChangeArrowheads="1"/>
                        </a:cNvSpPr>
                      </a:nvSpPr>
                      <a:spPr bwMode="auto">
                        <a:xfrm rot="-5400000">
                          <a:off x="366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0" name="TextBox 111"/>
                        <a:cNvSpPr txBox="1">
                          <a:spLocks noChangeArrowheads="1"/>
                        </a:cNvSpPr>
                      </a:nvSpPr>
                      <a:spPr bwMode="auto">
                        <a:xfrm>
                          <a:off x="4290"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4" name="Rectangle 9"/>
                        <a:cNvSpPr>
                          <a:spLocks noChangeArrowheads="1"/>
                        </a:cNvSpPr>
                      </a:nvSpPr>
                      <a:spPr bwMode="auto">
                        <a:xfrm>
                          <a:off x="417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5" name="Text Box 35"/>
                        <a:cNvSpPr txBox="1">
                          <a:spLocks noChangeArrowheads="1"/>
                        </a:cNvSpPr>
                      </a:nvSpPr>
                      <a:spPr bwMode="auto">
                        <a:xfrm rot="-5400000">
                          <a:off x="400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6" name="Rectangle 9"/>
                        <a:cNvSpPr>
                          <a:spLocks noChangeArrowheads="1"/>
                        </a:cNvSpPr>
                      </a:nvSpPr>
                      <a:spPr bwMode="auto">
                        <a:xfrm>
                          <a:off x="44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7" name="Text Box 35"/>
                        <a:cNvSpPr txBox="1">
                          <a:spLocks noChangeArrowheads="1"/>
                        </a:cNvSpPr>
                      </a:nvSpPr>
                      <a:spPr bwMode="auto">
                        <a:xfrm rot="-5400000">
                          <a:off x="42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8" name="TextBox 111"/>
                        <a:cNvSpPr txBox="1">
                          <a:spLocks noChangeArrowheads="1"/>
                        </a:cNvSpPr>
                      </a:nvSpPr>
                      <a:spPr bwMode="auto">
                        <a:xfrm>
                          <a:off x="4818"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9" name="Rectangle 9"/>
                        <a:cNvSpPr>
                          <a:spLocks noChangeArrowheads="1"/>
                        </a:cNvSpPr>
                      </a:nvSpPr>
                      <a:spPr bwMode="auto">
                        <a:xfrm>
                          <a:off x="470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0" name="Text Box 35"/>
                        <a:cNvSpPr txBox="1">
                          <a:spLocks noChangeArrowheads="1"/>
                        </a:cNvSpPr>
                      </a:nvSpPr>
                      <a:spPr bwMode="auto">
                        <a:xfrm rot="-5400000">
                          <a:off x="453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1" name="Rectangle 9"/>
                        <a:cNvSpPr>
                          <a:spLocks noChangeArrowheads="1"/>
                        </a:cNvSpPr>
                      </a:nvSpPr>
                      <a:spPr bwMode="auto">
                        <a:xfrm>
                          <a:off x="498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2" name="Text Box 35"/>
                        <a:cNvSpPr txBox="1">
                          <a:spLocks noChangeArrowheads="1"/>
                        </a:cNvSpPr>
                      </a:nvSpPr>
                      <a:spPr bwMode="auto">
                        <a:xfrm rot="-5400000">
                          <a:off x="480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3" name="Rectangle 9"/>
                        <a:cNvSpPr>
                          <a:spLocks noChangeArrowheads="1"/>
                        </a:cNvSpPr>
                      </a:nvSpPr>
                      <a:spPr bwMode="auto">
                        <a:xfrm>
                          <a:off x="522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4" name="Text Box 35"/>
                        <a:cNvSpPr txBox="1">
                          <a:spLocks noChangeArrowheads="1"/>
                        </a:cNvSpPr>
                      </a:nvSpPr>
                      <a:spPr bwMode="auto">
                        <a:xfrm rot="-5400000">
                          <a:off x="504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5" name="Rectangle 9"/>
                        <a:cNvSpPr>
                          <a:spLocks noChangeArrowheads="1"/>
                        </a:cNvSpPr>
                      </a:nvSpPr>
                      <a:spPr bwMode="auto">
                        <a:xfrm>
                          <a:off x="547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6" name="Text Box 35"/>
                        <a:cNvSpPr txBox="1">
                          <a:spLocks noChangeArrowheads="1"/>
                        </a:cNvSpPr>
                      </a:nvSpPr>
                      <a:spPr bwMode="auto">
                        <a:xfrm rot="-5400000">
                          <a:off x="529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7" name="Text Box 49"/>
                        <a:cNvSpPr txBox="1">
                          <a:spLocks noChangeArrowheads="1"/>
                        </a:cNvSpPr>
                      </a:nvSpPr>
                      <a:spPr bwMode="auto">
                        <a:xfrm>
                          <a:off x="2976" y="3043"/>
                          <a:ext cx="41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R-MID</a:t>
                            </a:r>
                          </a:p>
                        </a:txBody>
                        <a:useSpRect/>
                      </a:txSp>
                    </a:sp>
                    <a:sp>
                      <a:nvSpPr>
                        <a:cNvPr id="64749" name="Text Box 49"/>
                        <a:cNvSpPr txBox="1">
                          <a:spLocks noChangeArrowheads="1"/>
                        </a:cNvSpPr>
                      </a:nvSpPr>
                      <a:spPr bwMode="auto">
                        <a:xfrm>
                          <a:off x="4220" y="3043"/>
                          <a:ext cx="350"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R-BC</a:t>
                            </a:r>
                          </a:p>
                        </a:txBody>
                        <a:useSpRect/>
                      </a:txSp>
                    </a:sp>
                    <a:sp>
                      <a:nvSpPr>
                        <a:cNvPr id="64750" name="Text Box 49"/>
                        <a:cNvSpPr txBox="1">
                          <a:spLocks noChangeArrowheads="1"/>
                        </a:cNvSpPr>
                      </a:nvSpPr>
                      <a:spPr bwMode="auto">
                        <a:xfrm>
                          <a:off x="4752" y="1526"/>
                          <a:ext cx="318"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I-BC</a:t>
                            </a:r>
                          </a:p>
                        </a:txBody>
                        <a:useSpRect/>
                      </a:txSp>
                    </a:sp>
                    <a:sp>
                      <a:nvSpPr>
                        <a:cNvPr id="64752" name="AutoShape 240"/>
                        <a:cNvSpPr>
                          <a:spLocks/>
                        </a:cNvSpPr>
                      </a:nvSpPr>
                      <a:spPr bwMode="auto">
                        <a:xfrm>
                          <a:off x="416" y="1249"/>
                          <a:ext cx="714" cy="271"/>
                        </a:xfrm>
                        <a:prstGeom prst="borderCallout2">
                          <a:avLst>
                            <a:gd name="adj1" fmla="val 26569"/>
                            <a:gd name="adj2" fmla="val 106722"/>
                            <a:gd name="adj3" fmla="val 26569"/>
                            <a:gd name="adj4" fmla="val 131370"/>
                            <a:gd name="adj5" fmla="val 168264"/>
                            <a:gd name="adj6" fmla="val 15686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 </a:t>
                            </a:r>
                            <a:endParaRPr lang="ja-JP" altLang="en-US" sz="1000">
                              <a:ea typeface="ＭＳ Ｐゴシック" pitchFamily="34" charset="-128"/>
                            </a:endParaRPr>
                          </a:p>
                        </a:txBody>
                        <a:useSpRect/>
                      </a:txSp>
                    </a:sp>
                    <a:sp>
                      <a:nvSpPr>
                        <a:cNvPr id="64753" name="AutoShape 241"/>
                        <a:cNvSpPr>
                          <a:spLocks/>
                        </a:cNvSpPr>
                      </a:nvSpPr>
                      <a:spPr bwMode="auto">
                        <a:xfrm>
                          <a:off x="504" y="721"/>
                          <a:ext cx="864" cy="432"/>
                        </a:xfrm>
                        <a:prstGeom prst="borderCallout2">
                          <a:avLst>
                            <a:gd name="adj1" fmla="val 16667"/>
                            <a:gd name="adj2" fmla="val 105556"/>
                            <a:gd name="adj3" fmla="val 16667"/>
                            <a:gd name="adj4" fmla="val 127431"/>
                            <a:gd name="adj5" fmla="val 228704"/>
                            <a:gd name="adj6" fmla="val 1629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4754" name="AutoShape 242"/>
                        <a:cNvSpPr>
                          <a:spLocks/>
                        </a:cNvSpPr>
                      </a:nvSpPr>
                      <a:spPr bwMode="auto">
                        <a:xfrm>
                          <a:off x="432" y="3360"/>
                          <a:ext cx="1488" cy="336"/>
                        </a:xfrm>
                        <a:prstGeom prst="borderCallout2">
                          <a:avLst>
                            <a:gd name="adj1" fmla="val 21431"/>
                            <a:gd name="adj2" fmla="val 103227"/>
                            <a:gd name="adj3" fmla="val 21431"/>
                            <a:gd name="adj4" fmla="val 108870"/>
                            <a:gd name="adj5" fmla="val -95236"/>
                            <a:gd name="adj6" fmla="val 11451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 MID/BC-Grant=1, TXSS-FBCK-REQ=1, SNR requested=1, </a:t>
                            </a:r>
                          </a:p>
                          <a:p>
                            <a:r>
                              <a:rPr lang="en-US" altLang="ja-JP" sz="1000">
                                <a:ea typeface="ＭＳ Ｐゴシック" pitchFamily="34" charset="-128"/>
                              </a:rPr>
                              <a:t>MID/BC-REQ=1, L-RX&gt;0</a:t>
                            </a:r>
                          </a:p>
                        </a:txBody>
                        <a:useSpRect/>
                      </a:txSp>
                    </a:sp>
                    <a:sp>
                      <a:nvSpPr>
                        <a:cNvPr id="64758" name="Line 246"/>
                        <a:cNvSpPr>
                          <a:spLocks noChangeShapeType="1"/>
                        </a:cNvSpPr>
                      </a:nvSpPr>
                      <a:spPr bwMode="auto">
                        <a:xfrm>
                          <a:off x="432"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59" name="Text Box 49"/>
                        <a:cNvSpPr txBox="1">
                          <a:spLocks noChangeArrowheads="1"/>
                        </a:cNvSpPr>
                      </a:nvSpPr>
                      <a:spPr bwMode="auto">
                        <a:xfrm>
                          <a:off x="672"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4760" name="Line 248"/>
                        <a:cNvSpPr>
                          <a:spLocks noChangeShapeType="1"/>
                        </a:cNvSpPr>
                      </a:nvSpPr>
                      <a:spPr bwMode="auto">
                        <a:xfrm>
                          <a:off x="1728"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1" name="Text Box 49"/>
                        <a:cNvSpPr txBox="1">
                          <a:spLocks noChangeArrowheads="1"/>
                        </a:cNvSpPr>
                      </a:nvSpPr>
                      <a:spPr bwMode="auto">
                        <a:xfrm>
                          <a:off x="1920"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4762" name="Line 250"/>
                        <a:cNvSpPr>
                          <a:spLocks noChangeShapeType="1"/>
                        </a:cNvSpPr>
                      </a:nvSpPr>
                      <a:spPr bwMode="auto">
                        <a:xfrm>
                          <a:off x="3024" y="2400"/>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5" name="Text Box 49"/>
                        <a:cNvSpPr txBox="1">
                          <a:spLocks noChangeArrowheads="1"/>
                        </a:cNvSpPr>
                      </a:nvSpPr>
                      <a:spPr bwMode="auto">
                        <a:xfrm>
                          <a:off x="3312" y="2256"/>
                          <a:ext cx="577"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(DTT)</a:t>
                            </a:r>
                          </a:p>
                        </a:txBody>
                        <a:useSpRect/>
                      </a:txSp>
                    </a:sp>
                    <a:sp>
                      <a:nvSpPr>
                        <a:cNvPr id="64766" name="Line 254"/>
                        <a:cNvSpPr>
                          <a:spLocks noChangeShapeType="1"/>
                        </a:cNvSpPr>
                      </a:nvSpPr>
                      <a:spPr bwMode="auto">
                        <a:xfrm flipV="1">
                          <a:off x="4080" y="2400"/>
                          <a:ext cx="1632"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7" name="Text Box 49"/>
                        <a:cNvSpPr txBox="1">
                          <a:spLocks noChangeArrowheads="1"/>
                        </a:cNvSpPr>
                      </a:nvSpPr>
                      <a:spPr bwMode="auto">
                        <a:xfrm>
                          <a:off x="4656" y="2256"/>
                          <a:ext cx="519"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BC (DTT)</a:t>
                            </a:r>
                          </a:p>
                        </a:txBody>
                        <a:useSpRect/>
                      </a:txSp>
                    </a:sp>
                    <a:sp>
                      <a:nvSpPr>
                        <a:cNvPr id="64768" name="Text Box 49"/>
                        <a:cNvSpPr txBox="1">
                          <a:spLocks noChangeArrowheads="1"/>
                        </a:cNvSpPr>
                      </a:nvSpPr>
                      <a:spPr bwMode="auto">
                        <a:xfrm>
                          <a:off x="3264" y="1536"/>
                          <a:ext cx="382"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I-MID</a:t>
                            </a:r>
                          </a:p>
                        </a:txBody>
                        <a:useSpRect/>
                      </a:txSp>
                    </a:sp>
                    <a:sp>
                      <a:nvSpPr>
                        <a:cNvPr id="64770" name="AutoShape 258"/>
                        <a:cNvSpPr>
                          <a:spLocks/>
                        </a:cNvSpPr>
                      </a:nvSpPr>
                      <a:spPr bwMode="auto">
                        <a:xfrm>
                          <a:off x="2097" y="721"/>
                          <a:ext cx="1071" cy="623"/>
                        </a:xfrm>
                        <a:prstGeom prst="borderCallout3">
                          <a:avLst>
                            <a:gd name="adj1" fmla="val 11556"/>
                            <a:gd name="adj2" fmla="val -4481"/>
                            <a:gd name="adj3" fmla="val 11556"/>
                            <a:gd name="adj4" fmla="val -4481"/>
                            <a:gd name="adj5" fmla="val 107222"/>
                            <a:gd name="adj6" fmla="val -4481"/>
                            <a:gd name="adj7" fmla="val 158269"/>
                            <a:gd name="adj8" fmla="val 2539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 </a:t>
                            </a:r>
                          </a:p>
                          <a:p>
                            <a:r>
                              <a:rPr lang="en-US" altLang="ja-JP" sz="1000">
                                <a:ea typeface="ＭＳ Ｐゴシック" pitchFamily="34" charset="-128"/>
                              </a:rPr>
                              <a:t>MID/BC-Grant=1, </a:t>
                            </a:r>
                          </a:p>
                          <a:p>
                            <a:r>
                              <a:rPr lang="en-US" altLang="ja-JP" sz="1000">
                                <a:ea typeface="ＭＳ Ｐゴシック" pitchFamily="34" charset="-128"/>
                              </a:rPr>
                              <a:t>TXSS-FBCK-REQ=1,</a:t>
                            </a:r>
                          </a:p>
                          <a:p>
                            <a:r>
                              <a:rPr lang="en-US" altLang="ja-JP" sz="1000">
                                <a:ea typeface="ＭＳ Ｐゴシック" pitchFamily="34" charset="-128"/>
                              </a:rPr>
                              <a:t>SNR requested=1</a:t>
                            </a:r>
                          </a:p>
                        </a:txBody>
                        <a:useSpRect/>
                      </a:txSp>
                    </a:sp>
                    <a:sp>
                      <a:nvSpPr>
                        <a:cNvPr id="64772" name="AutoShape 260"/>
                        <a:cNvSpPr>
                          <a:spLocks/>
                        </a:cNvSpPr>
                      </a:nvSpPr>
                      <a:spPr bwMode="auto">
                        <a:xfrm>
                          <a:off x="2352" y="3360"/>
                          <a:ext cx="1008" cy="336"/>
                        </a:xfrm>
                        <a:prstGeom prst="borderCallout3">
                          <a:avLst>
                            <a:gd name="adj1" fmla="val 21431"/>
                            <a:gd name="adj2" fmla="val -4764"/>
                            <a:gd name="adj3" fmla="val 21431"/>
                            <a:gd name="adj4" fmla="val -8931"/>
                            <a:gd name="adj5" fmla="val -24403"/>
                            <a:gd name="adj6" fmla="val -8931"/>
                            <a:gd name="adj7" fmla="val -92856"/>
                            <a:gd name="adj8" fmla="val 2688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p>
                            <a:r>
                              <a:rPr lang="en-US" altLang="ja-JP" sz="1000">
                                <a:ea typeface="ＭＳ Ｐゴシック" pitchFamily="34" charset="-128"/>
                              </a:rPr>
                              <a:t>Nmeas, SNR-present=1,</a:t>
                            </a:r>
                          </a:p>
                          <a:p>
                            <a:r>
                              <a:rPr lang="en-US" altLang="ja-JP" sz="1000">
                                <a:ea typeface="ＭＳ Ｐゴシック" pitchFamily="34" charset="-128"/>
                              </a:rPr>
                              <a:t>Sector-ID-order-present=1 </a:t>
                            </a:r>
                          </a:p>
                        </a:txBody>
                        <a:useSpRect/>
                      </a:txSp>
                    </a:sp>
                    <a:sp>
                      <a:nvSpPr>
                        <a:cNvPr id="64773" name="AutoShape 261"/>
                        <a:cNvSpPr>
                          <a:spLocks/>
                        </a:cNvSpPr>
                      </a:nvSpPr>
                      <a:spPr bwMode="auto">
                        <a:xfrm>
                          <a:off x="3360" y="1248"/>
                          <a:ext cx="528" cy="240"/>
                        </a:xfrm>
                        <a:prstGeom prst="borderCallout2">
                          <a:avLst>
                            <a:gd name="adj1" fmla="val 30000"/>
                            <a:gd name="adj2" fmla="val -9093"/>
                            <a:gd name="adj3" fmla="val 30000"/>
                            <a:gd name="adj4" fmla="val -21968"/>
                            <a:gd name="adj5" fmla="val 191667"/>
                            <a:gd name="adj6" fmla="val -9583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4776" name="AutoShape 264"/>
                        <a:cNvSpPr>
                          <a:spLocks/>
                        </a:cNvSpPr>
                      </a:nvSpPr>
                      <a:spPr bwMode="auto">
                        <a:xfrm>
                          <a:off x="4128" y="873"/>
                          <a:ext cx="672" cy="144"/>
                        </a:xfrm>
                        <a:prstGeom prst="borderCallout2">
                          <a:avLst>
                            <a:gd name="adj1" fmla="val 50000"/>
                            <a:gd name="adj2" fmla="val -7144"/>
                            <a:gd name="adj3" fmla="val 50000"/>
                            <a:gd name="adj4" fmla="val -13986"/>
                            <a:gd name="adj5" fmla="val 581944"/>
                            <a:gd name="adj6" fmla="val -32292"/>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RX )</a:t>
                            </a:r>
                            <a:endParaRPr lang="ja-JP" altLang="en-US" sz="1000">
                              <a:ea typeface="ＭＳ Ｐゴシック" pitchFamily="34" charset="-128"/>
                            </a:endParaRPr>
                          </a:p>
                        </a:txBody>
                        <a:useSpRect/>
                      </a:txSp>
                    </a:sp>
                    <a:sp>
                      <a:nvSpPr>
                        <a:cNvPr id="64777" name="AutoShape 265"/>
                        <a:cNvSpPr>
                          <a:spLocks/>
                        </a:cNvSpPr>
                      </a:nvSpPr>
                      <a:spPr bwMode="auto">
                        <a:xfrm>
                          <a:off x="4224" y="1161"/>
                          <a:ext cx="1008" cy="240"/>
                        </a:xfrm>
                        <a:prstGeom prst="borderCallout2">
                          <a:avLst>
                            <a:gd name="adj1" fmla="val 30000"/>
                            <a:gd name="adj2" fmla="val 104764"/>
                            <a:gd name="adj3" fmla="val 30000"/>
                            <a:gd name="adj4" fmla="val 111407"/>
                            <a:gd name="adj5" fmla="val 225417"/>
                            <a:gd name="adj6" fmla="val 1294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TX),</a:t>
                            </a:r>
                          </a:p>
                          <a:p>
                            <a:r>
                              <a:rPr lang="en-US" altLang="en-US" sz="1000"/>
                              <a:t>Sector-ID-order present=1</a:t>
                            </a:r>
                            <a:endParaRPr lang="ja-JP" altLang="en-US" sz="1000">
                              <a:ea typeface="ＭＳ Ｐゴシック" pitchFamily="34" charset="-128"/>
                            </a:endParaRPr>
                          </a:p>
                        </a:txBody>
                        <a:useSpRect/>
                      </a:txSp>
                    </a:sp>
                    <a:sp>
                      <a:nvSpPr>
                        <a:cNvPr id="64778" name="AutoShape 266"/>
                        <a:cNvSpPr>
                          <a:spLocks/>
                        </a:cNvSpPr>
                      </a:nvSpPr>
                      <a:spPr bwMode="auto">
                        <a:xfrm>
                          <a:off x="3936" y="3465"/>
                          <a:ext cx="1008" cy="240"/>
                        </a:xfrm>
                        <a:prstGeom prst="borderCallout2">
                          <a:avLst>
                            <a:gd name="adj1" fmla="val 30000"/>
                            <a:gd name="adj2" fmla="val 104764"/>
                            <a:gd name="adj3" fmla="val 30000"/>
                            <a:gd name="adj4" fmla="val 112403"/>
                            <a:gd name="adj5" fmla="val -170833"/>
                            <a:gd name="adj6" fmla="val 13432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TX),</a:t>
                            </a:r>
                          </a:p>
                          <a:p>
                            <a:r>
                              <a:rPr lang="en-US" altLang="en-US" sz="1000"/>
                              <a:t>Sector-ID-order present=1</a:t>
                            </a:r>
                            <a:endParaRPr lang="ja-JP" altLang="en-US" sz="1000">
                              <a:ea typeface="ＭＳ Ｐゴシック" pitchFamily="34" charset="-128"/>
                            </a:endParaRPr>
                          </a:p>
                        </a:txBody>
                        <a:useSpRect/>
                      </a:txSp>
                    </a:sp>
                    <a:sp>
                      <a:nvSpPr>
                        <a:cNvPr id="64779" name="AutoShape 267"/>
                        <a:cNvSpPr>
                          <a:spLocks/>
                        </a:cNvSpPr>
                      </a:nvSpPr>
                      <a:spPr bwMode="auto">
                        <a:xfrm>
                          <a:off x="4073" y="3289"/>
                          <a:ext cx="631" cy="128"/>
                        </a:xfrm>
                        <a:prstGeom prst="borderCallout2">
                          <a:avLst>
                            <a:gd name="adj1" fmla="val 56250"/>
                            <a:gd name="adj2" fmla="val -7606"/>
                            <a:gd name="adj3" fmla="val 56250"/>
                            <a:gd name="adj4" fmla="val -22347"/>
                            <a:gd name="adj5" fmla="val -189843"/>
                            <a:gd name="adj6" fmla="val -64500"/>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RX )</a:t>
                            </a:r>
                          </a:p>
                          <a:p>
                            <a:endParaRPr lang="ja-JP" altLang="en-US" sz="1000">
                              <a:ea typeface="ＭＳ Ｐゴシック" pitchFamily="34" charset="-128"/>
                            </a:endParaRPr>
                          </a:p>
                        </a:txBody>
                        <a:useSpRect/>
                      </a:txSp>
                    </a:sp>
                    <a:sp>
                      <a:nvSpPr>
                        <a:cNvPr id="64780" name="Text Box 268"/>
                        <a:cNvSpPr txBox="1">
                          <a:spLocks noChangeArrowheads="1"/>
                        </a:cNvSpPr>
                      </a:nvSpPr>
                      <a:spPr bwMode="auto">
                        <a:xfrm>
                          <a:off x="2272" y="3888"/>
                          <a:ext cx="3344" cy="184"/>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 SIFS </a:t>
                            </a:r>
                            <a:r>
                              <a:rPr lang="en-US" altLang="ja-JP" sz="1300" dirty="0">
                                <a:latin typeface="Arial" charset="0"/>
                                <a:ea typeface="ＭＳ Ｐゴシック" pitchFamily="34" charset="-128"/>
                                <a:cs typeface="Arial" charset="0"/>
                              </a:rPr>
                              <a:t>&amp; &lt; BRPIFS</a:t>
                            </a:r>
                            <a:endParaRPr lang="ja-JP" altLang="en-US" sz="1300">
                              <a:latin typeface="Arial" charset="0"/>
                              <a:ea typeface="ＭＳ Ｐゴシック" pitchFamily="34" charset="-128"/>
                              <a:cs typeface="Arial" charset="0"/>
                            </a:endParaRPr>
                          </a:p>
                        </a:txBody>
                        <a:useSpRect/>
                      </a:txSp>
                    </a:sp>
                  </a:grpSp>
                </lc:lockedCanvas>
              </a:graphicData>
            </a:graphic>
          </wp:inline>
        </w:drawing>
      </w:r>
    </w:p>
    <w:p w:rsidR="003B126E" w:rsidRDefault="003B126E" w:rsidP="003B126E">
      <w:pPr>
        <w:pStyle w:val="Caption"/>
      </w:pPr>
      <w:bookmarkStart w:id="1664" w:name="_Ref257036394"/>
      <w:bookmarkStart w:id="1665" w:name="_Toc259717531"/>
      <w:r>
        <w:t xml:space="preserve">Figure </w:t>
      </w:r>
      <w:r w:rsidR="00BD151C">
        <w:fldChar w:fldCharType="begin"/>
      </w:r>
      <w:r>
        <w:instrText xml:space="preserve"> SEQ Figure \* ARABIC </w:instrText>
      </w:r>
      <w:r w:rsidR="00BD151C">
        <w:fldChar w:fldCharType="separate"/>
      </w:r>
      <w:r w:rsidR="003E4210">
        <w:rPr>
          <w:noProof/>
        </w:rPr>
        <w:t>99</w:t>
      </w:r>
      <w:r w:rsidR="00BD151C">
        <w:fldChar w:fldCharType="end"/>
      </w:r>
      <w:bookmarkEnd w:id="1664"/>
      <w:r>
        <w:t xml:space="preserve"> – </w:t>
      </w:r>
      <w:r w:rsidRPr="003B126E">
        <w:t>Example of the use of the BRP setup sub-phase to setup the subsequent MIDC phase in the A-BFT and DTT</w:t>
      </w:r>
      <w:bookmarkEnd w:id="1665"/>
    </w:p>
    <w:p w:rsidR="003B126E" w:rsidRDefault="00B93268" w:rsidP="003B126E">
      <w:pPr>
        <w:keepNext/>
        <w:jc w:val="center"/>
      </w:pPr>
      <w:r>
        <w:rPr>
          <w:noProof/>
          <w:lang w:bidi="ar-SA"/>
        </w:rPr>
        <w:lastRenderedPageBreak/>
        <w:drawing>
          <wp:inline distT="0" distB="0" distL="0" distR="0">
            <wp:extent cx="5403850" cy="318135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0200" cy="5319713"/>
                      <a:chOff x="-76200" y="1144588"/>
                      <a:chExt cx="9220200" cy="5319713"/>
                    </a:xfrm>
                  </a:grpSpPr>
                  <a:grpSp>
                    <a:nvGrpSpPr>
                      <a:cNvPr id="64781" name="Group 269"/>
                      <a:cNvGrpSpPr>
                        <a:grpSpLocks/>
                      </a:cNvGrpSpPr>
                    </a:nvGrpSpPr>
                    <a:grpSpPr bwMode="auto">
                      <a:xfrm>
                        <a:off x="-76200" y="1144588"/>
                        <a:ext cx="9220200" cy="5319713"/>
                        <a:chOff x="-48" y="721"/>
                        <a:chExt cx="5808" cy="3351"/>
                      </a:xfrm>
                    </a:grpSpPr>
                    <a:sp>
                      <a:nvSpPr>
                        <a:cNvPr id="64538" name="Rectangle 9"/>
                        <a:cNvSpPr>
                          <a:spLocks noChangeArrowheads="1"/>
                        </a:cNvSpPr>
                      </a:nvSpPr>
                      <a:spPr bwMode="auto">
                        <a:xfrm>
                          <a:off x="43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539" name="Text Box 10"/>
                        <a:cNvSpPr txBox="1">
                          <a:spLocks noChangeArrowheads="1"/>
                        </a:cNvSpPr>
                      </a:nvSpPr>
                      <a:spPr bwMode="auto">
                        <a:xfrm>
                          <a:off x="-48"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4540" name="Text Box 11"/>
                        <a:cNvSpPr txBox="1">
                          <a:spLocks noChangeArrowheads="1"/>
                        </a:cNvSpPr>
                      </a:nvSpPr>
                      <a:spPr bwMode="auto">
                        <a:xfrm>
                          <a:off x="-21"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4555" name="TextBox 111"/>
                        <a:cNvSpPr txBox="1">
                          <a:spLocks noChangeArrowheads="1"/>
                        </a:cNvSpPr>
                      </a:nvSpPr>
                      <a:spPr bwMode="auto">
                        <a:xfrm>
                          <a:off x="556"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576" name="Line 7"/>
                        <a:cNvSpPr>
                          <a:spLocks noChangeShapeType="1"/>
                        </a:cNvSpPr>
                      </a:nvSpPr>
                      <a:spPr bwMode="auto">
                        <a:xfrm flipV="1">
                          <a:off x="336" y="3043"/>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577" name="Line 8"/>
                        <a:cNvSpPr>
                          <a:spLocks noChangeShapeType="1"/>
                        </a:cNvSpPr>
                      </a:nvSpPr>
                      <a:spPr bwMode="auto">
                        <a:xfrm>
                          <a:off x="336" y="1699"/>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648" name="Rectangle 9"/>
                        <a:cNvSpPr>
                          <a:spLocks noChangeArrowheads="1"/>
                        </a:cNvSpPr>
                      </a:nvSpPr>
                      <a:spPr bwMode="auto">
                        <a:xfrm>
                          <a:off x="72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61" name="Text Box 35"/>
                        <a:cNvSpPr txBox="1">
                          <a:spLocks noChangeArrowheads="1"/>
                        </a:cNvSpPr>
                      </a:nvSpPr>
                      <a:spPr bwMode="auto">
                        <a:xfrm rot="-5400000">
                          <a:off x="25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63" name="Text Box 49"/>
                        <a:cNvSpPr txBox="1">
                          <a:spLocks noChangeArrowheads="1"/>
                        </a:cNvSpPr>
                      </a:nvSpPr>
                      <a:spPr bwMode="auto">
                        <a:xfrm>
                          <a:off x="432"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4669" name="Text Box 49"/>
                        <a:cNvSpPr txBox="1">
                          <a:spLocks noChangeArrowheads="1"/>
                        </a:cNvSpPr>
                      </a:nvSpPr>
                      <a:spPr bwMode="auto">
                        <a:xfrm>
                          <a:off x="960"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4690" name="Text Box 35"/>
                        <a:cNvSpPr txBox="1">
                          <a:spLocks noChangeArrowheads="1"/>
                        </a:cNvSpPr>
                      </a:nvSpPr>
                      <a:spPr bwMode="auto">
                        <a:xfrm rot="-5400000">
                          <a:off x="54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1" name="Rectangle 9"/>
                        <a:cNvSpPr>
                          <a:spLocks noChangeArrowheads="1"/>
                        </a:cNvSpPr>
                      </a:nvSpPr>
                      <a:spPr bwMode="auto">
                        <a:xfrm>
                          <a:off x="9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2" name="TextBox 111"/>
                        <a:cNvSpPr txBox="1">
                          <a:spLocks noChangeArrowheads="1"/>
                        </a:cNvSpPr>
                      </a:nvSpPr>
                      <a:spPr bwMode="auto">
                        <a:xfrm>
                          <a:off x="1098"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693" name="Rectangle 9"/>
                        <a:cNvSpPr>
                          <a:spLocks noChangeArrowheads="1"/>
                        </a:cNvSpPr>
                      </a:nvSpPr>
                      <a:spPr bwMode="auto">
                        <a:xfrm>
                          <a:off x="12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4" name="Text Box 35"/>
                        <a:cNvSpPr txBox="1">
                          <a:spLocks noChangeArrowheads="1"/>
                        </a:cNvSpPr>
                      </a:nvSpPr>
                      <a:spPr bwMode="auto">
                        <a:xfrm rot="-5400000">
                          <a:off x="8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6" name="Text Box 35"/>
                        <a:cNvSpPr txBox="1">
                          <a:spLocks noChangeArrowheads="1"/>
                        </a:cNvSpPr>
                      </a:nvSpPr>
                      <a:spPr bwMode="auto">
                        <a:xfrm rot="-5400000">
                          <a:off x="10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7" name="Rectangle 9"/>
                        <a:cNvSpPr>
                          <a:spLocks noChangeArrowheads="1"/>
                        </a:cNvSpPr>
                      </a:nvSpPr>
                      <a:spPr bwMode="auto">
                        <a:xfrm>
                          <a:off x="149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8" name="Text Box 35"/>
                        <a:cNvSpPr txBox="1">
                          <a:spLocks noChangeArrowheads="1"/>
                        </a:cNvSpPr>
                      </a:nvSpPr>
                      <a:spPr bwMode="auto">
                        <a:xfrm rot="-5400000">
                          <a:off x="1277" y="1814"/>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4699" name="Rectangle 9"/>
                        <a:cNvSpPr>
                          <a:spLocks noChangeArrowheads="1"/>
                        </a:cNvSpPr>
                      </a:nvSpPr>
                      <a:spPr bwMode="auto">
                        <a:xfrm>
                          <a:off x="20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2" name="Text Box 35"/>
                        <a:cNvSpPr txBox="1">
                          <a:spLocks noChangeArrowheads="1"/>
                        </a:cNvSpPr>
                      </a:nvSpPr>
                      <a:spPr bwMode="auto">
                        <a:xfrm rot="-5400000">
                          <a:off x="19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4" name="Rectangle 9"/>
                        <a:cNvSpPr>
                          <a:spLocks noChangeArrowheads="1"/>
                        </a:cNvSpPr>
                      </a:nvSpPr>
                      <a:spPr bwMode="auto">
                        <a:xfrm>
                          <a:off x="231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5" name="Text Box 35"/>
                        <a:cNvSpPr txBox="1">
                          <a:spLocks noChangeArrowheads="1"/>
                        </a:cNvSpPr>
                      </a:nvSpPr>
                      <a:spPr bwMode="auto">
                        <a:xfrm rot="-5400000">
                          <a:off x="214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6" name="Rectangle 9"/>
                        <a:cNvSpPr>
                          <a:spLocks noChangeArrowheads="1"/>
                        </a:cNvSpPr>
                      </a:nvSpPr>
                      <a:spPr bwMode="auto">
                        <a:xfrm>
                          <a:off x="25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7" name="Text Box 35"/>
                        <a:cNvSpPr txBox="1">
                          <a:spLocks noChangeArrowheads="1"/>
                        </a:cNvSpPr>
                      </a:nvSpPr>
                      <a:spPr bwMode="auto">
                        <a:xfrm rot="-5400000">
                          <a:off x="23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8" name="Rectangle 9"/>
                        <a:cNvSpPr>
                          <a:spLocks noChangeArrowheads="1"/>
                        </a:cNvSpPr>
                      </a:nvSpPr>
                      <a:spPr bwMode="auto">
                        <a:xfrm>
                          <a:off x="278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9" name="Text Box 35"/>
                        <a:cNvSpPr txBox="1">
                          <a:spLocks noChangeArrowheads="1"/>
                        </a:cNvSpPr>
                      </a:nvSpPr>
                      <a:spPr bwMode="auto">
                        <a:xfrm rot="-5400000">
                          <a:off x="261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18" name="Rectangle 9"/>
                        <a:cNvSpPr>
                          <a:spLocks noChangeArrowheads="1"/>
                        </a:cNvSpPr>
                      </a:nvSpPr>
                      <a:spPr bwMode="auto">
                        <a:xfrm>
                          <a:off x="183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19" name="Text Box 35"/>
                        <a:cNvSpPr txBox="1">
                          <a:spLocks noChangeArrowheads="1"/>
                        </a:cNvSpPr>
                      </a:nvSpPr>
                      <a:spPr bwMode="auto">
                        <a:xfrm rot="-5400000">
                          <a:off x="166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1" name="Rectangle 9"/>
                        <a:cNvSpPr>
                          <a:spLocks noChangeArrowheads="1"/>
                        </a:cNvSpPr>
                      </a:nvSpPr>
                      <a:spPr bwMode="auto">
                        <a:xfrm>
                          <a:off x="313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2" name="Text Box 35"/>
                        <a:cNvSpPr txBox="1">
                          <a:spLocks noChangeArrowheads="1"/>
                        </a:cNvSpPr>
                      </a:nvSpPr>
                      <a:spPr bwMode="auto">
                        <a:xfrm rot="-5400000">
                          <a:off x="2885" y="2703"/>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3" name="Rectangle 9"/>
                        <a:cNvSpPr>
                          <a:spLocks noChangeArrowheads="1"/>
                        </a:cNvSpPr>
                      </a:nvSpPr>
                      <a:spPr bwMode="auto">
                        <a:xfrm>
                          <a:off x="337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4" name="Text Box 35"/>
                        <a:cNvSpPr txBox="1">
                          <a:spLocks noChangeArrowheads="1"/>
                        </a:cNvSpPr>
                      </a:nvSpPr>
                      <a:spPr bwMode="auto">
                        <a:xfrm rot="-5400000">
                          <a:off x="3125" y="1839"/>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5" name="Rectangle 9"/>
                        <a:cNvSpPr>
                          <a:spLocks noChangeArrowheads="1"/>
                        </a:cNvSpPr>
                      </a:nvSpPr>
                      <a:spPr bwMode="auto">
                        <a:xfrm>
                          <a:off x="361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6" name="Text Box 35"/>
                        <a:cNvSpPr txBox="1">
                          <a:spLocks noChangeArrowheads="1"/>
                        </a:cNvSpPr>
                      </a:nvSpPr>
                      <a:spPr bwMode="auto">
                        <a:xfrm rot="-5400000">
                          <a:off x="3437"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7" name="Rectangle 9"/>
                        <a:cNvSpPr>
                          <a:spLocks noChangeArrowheads="1"/>
                        </a:cNvSpPr>
                      </a:nvSpPr>
                      <a:spPr bwMode="auto">
                        <a:xfrm>
                          <a:off x="384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8" name="Text Box 35"/>
                        <a:cNvSpPr txBox="1">
                          <a:spLocks noChangeArrowheads="1"/>
                        </a:cNvSpPr>
                      </a:nvSpPr>
                      <a:spPr bwMode="auto">
                        <a:xfrm rot="-5400000">
                          <a:off x="366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0" name="TextBox 111"/>
                        <a:cNvSpPr txBox="1">
                          <a:spLocks noChangeArrowheads="1"/>
                        </a:cNvSpPr>
                      </a:nvSpPr>
                      <a:spPr bwMode="auto">
                        <a:xfrm>
                          <a:off x="4290"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4" name="Rectangle 9"/>
                        <a:cNvSpPr>
                          <a:spLocks noChangeArrowheads="1"/>
                        </a:cNvSpPr>
                      </a:nvSpPr>
                      <a:spPr bwMode="auto">
                        <a:xfrm>
                          <a:off x="417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5" name="Text Box 35"/>
                        <a:cNvSpPr txBox="1">
                          <a:spLocks noChangeArrowheads="1"/>
                        </a:cNvSpPr>
                      </a:nvSpPr>
                      <a:spPr bwMode="auto">
                        <a:xfrm rot="-5400000">
                          <a:off x="400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6" name="Rectangle 9"/>
                        <a:cNvSpPr>
                          <a:spLocks noChangeArrowheads="1"/>
                        </a:cNvSpPr>
                      </a:nvSpPr>
                      <a:spPr bwMode="auto">
                        <a:xfrm>
                          <a:off x="44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7" name="Text Box 35"/>
                        <a:cNvSpPr txBox="1">
                          <a:spLocks noChangeArrowheads="1"/>
                        </a:cNvSpPr>
                      </a:nvSpPr>
                      <a:spPr bwMode="auto">
                        <a:xfrm rot="-5400000">
                          <a:off x="42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8" name="TextBox 111"/>
                        <a:cNvSpPr txBox="1">
                          <a:spLocks noChangeArrowheads="1"/>
                        </a:cNvSpPr>
                      </a:nvSpPr>
                      <a:spPr bwMode="auto">
                        <a:xfrm>
                          <a:off x="4818"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9" name="Rectangle 9"/>
                        <a:cNvSpPr>
                          <a:spLocks noChangeArrowheads="1"/>
                        </a:cNvSpPr>
                      </a:nvSpPr>
                      <a:spPr bwMode="auto">
                        <a:xfrm>
                          <a:off x="470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0" name="Text Box 35"/>
                        <a:cNvSpPr txBox="1">
                          <a:spLocks noChangeArrowheads="1"/>
                        </a:cNvSpPr>
                      </a:nvSpPr>
                      <a:spPr bwMode="auto">
                        <a:xfrm rot="-5400000">
                          <a:off x="453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1" name="Rectangle 9"/>
                        <a:cNvSpPr>
                          <a:spLocks noChangeArrowheads="1"/>
                        </a:cNvSpPr>
                      </a:nvSpPr>
                      <a:spPr bwMode="auto">
                        <a:xfrm>
                          <a:off x="498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2" name="Text Box 35"/>
                        <a:cNvSpPr txBox="1">
                          <a:spLocks noChangeArrowheads="1"/>
                        </a:cNvSpPr>
                      </a:nvSpPr>
                      <a:spPr bwMode="auto">
                        <a:xfrm rot="-5400000">
                          <a:off x="480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3" name="Rectangle 9"/>
                        <a:cNvSpPr>
                          <a:spLocks noChangeArrowheads="1"/>
                        </a:cNvSpPr>
                      </a:nvSpPr>
                      <a:spPr bwMode="auto">
                        <a:xfrm>
                          <a:off x="522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4" name="Text Box 35"/>
                        <a:cNvSpPr txBox="1">
                          <a:spLocks noChangeArrowheads="1"/>
                        </a:cNvSpPr>
                      </a:nvSpPr>
                      <a:spPr bwMode="auto">
                        <a:xfrm rot="-5400000">
                          <a:off x="504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5" name="Rectangle 9"/>
                        <a:cNvSpPr>
                          <a:spLocks noChangeArrowheads="1"/>
                        </a:cNvSpPr>
                      </a:nvSpPr>
                      <a:spPr bwMode="auto">
                        <a:xfrm>
                          <a:off x="547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6" name="Text Box 35"/>
                        <a:cNvSpPr txBox="1">
                          <a:spLocks noChangeArrowheads="1"/>
                        </a:cNvSpPr>
                      </a:nvSpPr>
                      <a:spPr bwMode="auto">
                        <a:xfrm rot="-5400000">
                          <a:off x="529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7" name="Text Box 49"/>
                        <a:cNvSpPr txBox="1">
                          <a:spLocks noChangeArrowheads="1"/>
                        </a:cNvSpPr>
                      </a:nvSpPr>
                      <a:spPr bwMode="auto">
                        <a:xfrm>
                          <a:off x="2976" y="3043"/>
                          <a:ext cx="41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R-MID</a:t>
                            </a:r>
                          </a:p>
                        </a:txBody>
                        <a:useSpRect/>
                      </a:txSp>
                    </a:sp>
                    <a:sp>
                      <a:nvSpPr>
                        <a:cNvPr id="64749" name="Text Box 49"/>
                        <a:cNvSpPr txBox="1">
                          <a:spLocks noChangeArrowheads="1"/>
                        </a:cNvSpPr>
                      </a:nvSpPr>
                      <a:spPr bwMode="auto">
                        <a:xfrm>
                          <a:off x="4220" y="3043"/>
                          <a:ext cx="350"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R-BC</a:t>
                            </a:r>
                          </a:p>
                        </a:txBody>
                        <a:useSpRect/>
                      </a:txSp>
                    </a:sp>
                    <a:sp>
                      <a:nvSpPr>
                        <a:cNvPr id="64750" name="Text Box 49"/>
                        <a:cNvSpPr txBox="1">
                          <a:spLocks noChangeArrowheads="1"/>
                        </a:cNvSpPr>
                      </a:nvSpPr>
                      <a:spPr bwMode="auto">
                        <a:xfrm>
                          <a:off x="4752" y="1526"/>
                          <a:ext cx="318"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I-BC</a:t>
                            </a:r>
                          </a:p>
                        </a:txBody>
                        <a:useSpRect/>
                      </a:txSp>
                    </a:sp>
                    <a:sp>
                      <a:nvSpPr>
                        <a:cNvPr id="64752" name="AutoShape 240"/>
                        <a:cNvSpPr>
                          <a:spLocks/>
                        </a:cNvSpPr>
                      </a:nvSpPr>
                      <a:spPr bwMode="auto">
                        <a:xfrm>
                          <a:off x="416" y="1249"/>
                          <a:ext cx="714" cy="271"/>
                        </a:xfrm>
                        <a:prstGeom prst="borderCallout2">
                          <a:avLst>
                            <a:gd name="adj1" fmla="val 26569"/>
                            <a:gd name="adj2" fmla="val 106722"/>
                            <a:gd name="adj3" fmla="val 26569"/>
                            <a:gd name="adj4" fmla="val 131370"/>
                            <a:gd name="adj5" fmla="val 168264"/>
                            <a:gd name="adj6" fmla="val 15686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 </a:t>
                            </a:r>
                            <a:endParaRPr lang="ja-JP" altLang="en-US" sz="1000">
                              <a:ea typeface="ＭＳ Ｐゴシック" pitchFamily="34" charset="-128"/>
                            </a:endParaRPr>
                          </a:p>
                        </a:txBody>
                        <a:useSpRect/>
                      </a:txSp>
                    </a:sp>
                    <a:sp>
                      <a:nvSpPr>
                        <a:cNvPr id="64753" name="AutoShape 241"/>
                        <a:cNvSpPr>
                          <a:spLocks/>
                        </a:cNvSpPr>
                      </a:nvSpPr>
                      <a:spPr bwMode="auto">
                        <a:xfrm>
                          <a:off x="504" y="721"/>
                          <a:ext cx="864" cy="432"/>
                        </a:xfrm>
                        <a:prstGeom prst="borderCallout2">
                          <a:avLst>
                            <a:gd name="adj1" fmla="val 16667"/>
                            <a:gd name="adj2" fmla="val 105556"/>
                            <a:gd name="adj3" fmla="val 16667"/>
                            <a:gd name="adj4" fmla="val 127431"/>
                            <a:gd name="adj5" fmla="val 228704"/>
                            <a:gd name="adj6" fmla="val 1629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4754" name="AutoShape 242"/>
                        <a:cNvSpPr>
                          <a:spLocks/>
                        </a:cNvSpPr>
                      </a:nvSpPr>
                      <a:spPr bwMode="auto">
                        <a:xfrm>
                          <a:off x="432" y="3360"/>
                          <a:ext cx="1488" cy="336"/>
                        </a:xfrm>
                        <a:prstGeom prst="borderCallout2">
                          <a:avLst>
                            <a:gd name="adj1" fmla="val 21431"/>
                            <a:gd name="adj2" fmla="val 103227"/>
                            <a:gd name="adj3" fmla="val 21431"/>
                            <a:gd name="adj4" fmla="val 108870"/>
                            <a:gd name="adj5" fmla="val -95236"/>
                            <a:gd name="adj6" fmla="val 11451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 MID/BC-Grant=1, TXSS-FBCK-REQ=1, SNR requested=1, </a:t>
                            </a:r>
                          </a:p>
                          <a:p>
                            <a:r>
                              <a:rPr lang="en-US" altLang="ja-JP" sz="1000">
                                <a:ea typeface="ＭＳ Ｐゴシック" pitchFamily="34" charset="-128"/>
                              </a:rPr>
                              <a:t>MID/BC-REQ=1, L-RX&gt;0</a:t>
                            </a:r>
                          </a:p>
                        </a:txBody>
                        <a:useSpRect/>
                      </a:txSp>
                    </a:sp>
                    <a:sp>
                      <a:nvSpPr>
                        <a:cNvPr id="64758" name="Line 246"/>
                        <a:cNvSpPr>
                          <a:spLocks noChangeShapeType="1"/>
                        </a:cNvSpPr>
                      </a:nvSpPr>
                      <a:spPr bwMode="auto">
                        <a:xfrm>
                          <a:off x="432"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59" name="Text Box 49"/>
                        <a:cNvSpPr txBox="1">
                          <a:spLocks noChangeArrowheads="1"/>
                        </a:cNvSpPr>
                      </a:nvSpPr>
                      <a:spPr bwMode="auto">
                        <a:xfrm>
                          <a:off x="672"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4760" name="Line 248"/>
                        <a:cNvSpPr>
                          <a:spLocks noChangeShapeType="1"/>
                        </a:cNvSpPr>
                      </a:nvSpPr>
                      <a:spPr bwMode="auto">
                        <a:xfrm>
                          <a:off x="1728"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1" name="Text Box 49"/>
                        <a:cNvSpPr txBox="1">
                          <a:spLocks noChangeArrowheads="1"/>
                        </a:cNvSpPr>
                      </a:nvSpPr>
                      <a:spPr bwMode="auto">
                        <a:xfrm>
                          <a:off x="1920"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4762" name="Line 250"/>
                        <a:cNvSpPr>
                          <a:spLocks noChangeShapeType="1"/>
                        </a:cNvSpPr>
                      </a:nvSpPr>
                      <a:spPr bwMode="auto">
                        <a:xfrm>
                          <a:off x="3024" y="2400"/>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5" name="Text Box 49"/>
                        <a:cNvSpPr txBox="1">
                          <a:spLocks noChangeArrowheads="1"/>
                        </a:cNvSpPr>
                      </a:nvSpPr>
                      <a:spPr bwMode="auto">
                        <a:xfrm>
                          <a:off x="3312" y="2256"/>
                          <a:ext cx="577"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(DTT)</a:t>
                            </a:r>
                          </a:p>
                        </a:txBody>
                        <a:useSpRect/>
                      </a:txSp>
                    </a:sp>
                    <a:sp>
                      <a:nvSpPr>
                        <a:cNvPr id="64766" name="Line 254"/>
                        <a:cNvSpPr>
                          <a:spLocks noChangeShapeType="1"/>
                        </a:cNvSpPr>
                      </a:nvSpPr>
                      <a:spPr bwMode="auto">
                        <a:xfrm flipV="1">
                          <a:off x="4080" y="2400"/>
                          <a:ext cx="1632"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7" name="Text Box 49"/>
                        <a:cNvSpPr txBox="1">
                          <a:spLocks noChangeArrowheads="1"/>
                        </a:cNvSpPr>
                      </a:nvSpPr>
                      <a:spPr bwMode="auto">
                        <a:xfrm>
                          <a:off x="4656" y="2256"/>
                          <a:ext cx="519"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BC (DTT)</a:t>
                            </a:r>
                          </a:p>
                        </a:txBody>
                        <a:useSpRect/>
                      </a:txSp>
                    </a:sp>
                    <a:sp>
                      <a:nvSpPr>
                        <a:cNvPr id="64768" name="Text Box 49"/>
                        <a:cNvSpPr txBox="1">
                          <a:spLocks noChangeArrowheads="1"/>
                        </a:cNvSpPr>
                      </a:nvSpPr>
                      <a:spPr bwMode="auto">
                        <a:xfrm>
                          <a:off x="3264" y="1536"/>
                          <a:ext cx="382"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I-MID</a:t>
                            </a:r>
                          </a:p>
                        </a:txBody>
                        <a:useSpRect/>
                      </a:txSp>
                    </a:sp>
                    <a:sp>
                      <a:nvSpPr>
                        <a:cNvPr id="64770" name="AutoShape 258"/>
                        <a:cNvSpPr>
                          <a:spLocks/>
                        </a:cNvSpPr>
                      </a:nvSpPr>
                      <a:spPr bwMode="auto">
                        <a:xfrm>
                          <a:off x="2097" y="721"/>
                          <a:ext cx="1071" cy="623"/>
                        </a:xfrm>
                        <a:prstGeom prst="borderCallout3">
                          <a:avLst>
                            <a:gd name="adj1" fmla="val 11556"/>
                            <a:gd name="adj2" fmla="val -4481"/>
                            <a:gd name="adj3" fmla="val 11556"/>
                            <a:gd name="adj4" fmla="val -4481"/>
                            <a:gd name="adj5" fmla="val 107222"/>
                            <a:gd name="adj6" fmla="val -4481"/>
                            <a:gd name="adj7" fmla="val 158269"/>
                            <a:gd name="adj8" fmla="val 2539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 </a:t>
                            </a:r>
                          </a:p>
                          <a:p>
                            <a:r>
                              <a:rPr lang="en-US" altLang="ja-JP" sz="1000">
                                <a:ea typeface="ＭＳ Ｐゴシック" pitchFamily="34" charset="-128"/>
                              </a:rPr>
                              <a:t>MID/BC-Grant=1, </a:t>
                            </a:r>
                          </a:p>
                          <a:p>
                            <a:r>
                              <a:rPr lang="en-US" altLang="ja-JP" sz="1000">
                                <a:ea typeface="ＭＳ Ｐゴシック" pitchFamily="34" charset="-128"/>
                              </a:rPr>
                              <a:t>TXSS-FBCK-REQ=1,</a:t>
                            </a:r>
                          </a:p>
                          <a:p>
                            <a:r>
                              <a:rPr lang="en-US" altLang="ja-JP" sz="1000">
                                <a:ea typeface="ＭＳ Ｐゴシック" pitchFamily="34" charset="-128"/>
                              </a:rPr>
                              <a:t>SNR requested=1</a:t>
                            </a:r>
                          </a:p>
                        </a:txBody>
                        <a:useSpRect/>
                      </a:txSp>
                    </a:sp>
                    <a:sp>
                      <a:nvSpPr>
                        <a:cNvPr id="64772" name="AutoShape 260"/>
                        <a:cNvSpPr>
                          <a:spLocks/>
                        </a:cNvSpPr>
                      </a:nvSpPr>
                      <a:spPr bwMode="auto">
                        <a:xfrm>
                          <a:off x="2352" y="3360"/>
                          <a:ext cx="1008" cy="336"/>
                        </a:xfrm>
                        <a:prstGeom prst="borderCallout3">
                          <a:avLst>
                            <a:gd name="adj1" fmla="val 21431"/>
                            <a:gd name="adj2" fmla="val -4764"/>
                            <a:gd name="adj3" fmla="val 21431"/>
                            <a:gd name="adj4" fmla="val -8931"/>
                            <a:gd name="adj5" fmla="val -24403"/>
                            <a:gd name="adj6" fmla="val -8931"/>
                            <a:gd name="adj7" fmla="val -92856"/>
                            <a:gd name="adj8" fmla="val 2688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p>
                            <a:r>
                              <a:rPr lang="en-US" altLang="ja-JP" sz="1000">
                                <a:ea typeface="ＭＳ Ｐゴシック" pitchFamily="34" charset="-128"/>
                              </a:rPr>
                              <a:t>Nmeas, SNR-present=1,</a:t>
                            </a:r>
                          </a:p>
                          <a:p>
                            <a:r>
                              <a:rPr lang="en-US" altLang="ja-JP" sz="1000">
                                <a:ea typeface="ＭＳ Ｐゴシック" pitchFamily="34" charset="-128"/>
                              </a:rPr>
                              <a:t>Sector-ID-order-present=1 </a:t>
                            </a:r>
                          </a:p>
                        </a:txBody>
                        <a:useSpRect/>
                      </a:txSp>
                    </a:sp>
                    <a:sp>
                      <a:nvSpPr>
                        <a:cNvPr id="64773" name="AutoShape 261"/>
                        <a:cNvSpPr>
                          <a:spLocks/>
                        </a:cNvSpPr>
                      </a:nvSpPr>
                      <a:spPr bwMode="auto">
                        <a:xfrm>
                          <a:off x="3360" y="1248"/>
                          <a:ext cx="528" cy="240"/>
                        </a:xfrm>
                        <a:prstGeom prst="borderCallout2">
                          <a:avLst>
                            <a:gd name="adj1" fmla="val 30000"/>
                            <a:gd name="adj2" fmla="val -9093"/>
                            <a:gd name="adj3" fmla="val 30000"/>
                            <a:gd name="adj4" fmla="val -21968"/>
                            <a:gd name="adj5" fmla="val 191667"/>
                            <a:gd name="adj6" fmla="val -9583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4776" name="AutoShape 264"/>
                        <a:cNvSpPr>
                          <a:spLocks/>
                        </a:cNvSpPr>
                      </a:nvSpPr>
                      <a:spPr bwMode="auto">
                        <a:xfrm>
                          <a:off x="4128" y="873"/>
                          <a:ext cx="672" cy="144"/>
                        </a:xfrm>
                        <a:prstGeom prst="borderCallout2">
                          <a:avLst>
                            <a:gd name="adj1" fmla="val 50000"/>
                            <a:gd name="adj2" fmla="val -7144"/>
                            <a:gd name="adj3" fmla="val 50000"/>
                            <a:gd name="adj4" fmla="val -13986"/>
                            <a:gd name="adj5" fmla="val 581944"/>
                            <a:gd name="adj6" fmla="val -32292"/>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RX )</a:t>
                            </a:r>
                            <a:endParaRPr lang="ja-JP" altLang="en-US" sz="1000">
                              <a:ea typeface="ＭＳ Ｐゴシック" pitchFamily="34" charset="-128"/>
                            </a:endParaRPr>
                          </a:p>
                        </a:txBody>
                        <a:useSpRect/>
                      </a:txSp>
                    </a:sp>
                    <a:sp>
                      <a:nvSpPr>
                        <a:cNvPr id="64777" name="AutoShape 265"/>
                        <a:cNvSpPr>
                          <a:spLocks/>
                        </a:cNvSpPr>
                      </a:nvSpPr>
                      <a:spPr bwMode="auto">
                        <a:xfrm>
                          <a:off x="4224" y="1161"/>
                          <a:ext cx="1008" cy="240"/>
                        </a:xfrm>
                        <a:prstGeom prst="borderCallout2">
                          <a:avLst>
                            <a:gd name="adj1" fmla="val 30000"/>
                            <a:gd name="adj2" fmla="val 104764"/>
                            <a:gd name="adj3" fmla="val 30000"/>
                            <a:gd name="adj4" fmla="val 111407"/>
                            <a:gd name="adj5" fmla="val 225417"/>
                            <a:gd name="adj6" fmla="val 1294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TX),</a:t>
                            </a:r>
                          </a:p>
                          <a:p>
                            <a:r>
                              <a:rPr lang="en-US" altLang="en-US" sz="1000"/>
                              <a:t>Sector-ID-order present=1</a:t>
                            </a:r>
                            <a:endParaRPr lang="ja-JP" altLang="en-US" sz="1000">
                              <a:ea typeface="ＭＳ Ｐゴシック" pitchFamily="34" charset="-128"/>
                            </a:endParaRPr>
                          </a:p>
                        </a:txBody>
                        <a:useSpRect/>
                      </a:txSp>
                    </a:sp>
                    <a:sp>
                      <a:nvSpPr>
                        <a:cNvPr id="64778" name="AutoShape 266"/>
                        <a:cNvSpPr>
                          <a:spLocks/>
                        </a:cNvSpPr>
                      </a:nvSpPr>
                      <a:spPr bwMode="auto">
                        <a:xfrm>
                          <a:off x="3936" y="3465"/>
                          <a:ext cx="1008" cy="240"/>
                        </a:xfrm>
                        <a:prstGeom prst="borderCallout2">
                          <a:avLst>
                            <a:gd name="adj1" fmla="val 30000"/>
                            <a:gd name="adj2" fmla="val 104764"/>
                            <a:gd name="adj3" fmla="val 30000"/>
                            <a:gd name="adj4" fmla="val 112403"/>
                            <a:gd name="adj5" fmla="val -170833"/>
                            <a:gd name="adj6" fmla="val 13432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TX),</a:t>
                            </a:r>
                          </a:p>
                          <a:p>
                            <a:r>
                              <a:rPr lang="en-US" altLang="en-US" sz="1000"/>
                              <a:t>Sector-ID-order present=1</a:t>
                            </a:r>
                            <a:endParaRPr lang="ja-JP" altLang="en-US" sz="1000">
                              <a:ea typeface="ＭＳ Ｐゴシック" pitchFamily="34" charset="-128"/>
                            </a:endParaRPr>
                          </a:p>
                        </a:txBody>
                        <a:useSpRect/>
                      </a:txSp>
                    </a:sp>
                    <a:sp>
                      <a:nvSpPr>
                        <a:cNvPr id="64779" name="AutoShape 267"/>
                        <a:cNvSpPr>
                          <a:spLocks/>
                        </a:cNvSpPr>
                      </a:nvSpPr>
                      <a:spPr bwMode="auto">
                        <a:xfrm>
                          <a:off x="4073" y="3289"/>
                          <a:ext cx="631" cy="128"/>
                        </a:xfrm>
                        <a:prstGeom prst="borderCallout2">
                          <a:avLst>
                            <a:gd name="adj1" fmla="val 56250"/>
                            <a:gd name="adj2" fmla="val -7606"/>
                            <a:gd name="adj3" fmla="val 56250"/>
                            <a:gd name="adj4" fmla="val -22347"/>
                            <a:gd name="adj5" fmla="val -189843"/>
                            <a:gd name="adj6" fmla="val -64500"/>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RX )</a:t>
                            </a:r>
                          </a:p>
                          <a:p>
                            <a:endParaRPr lang="ja-JP" altLang="en-US" sz="1000">
                              <a:ea typeface="ＭＳ Ｐゴシック" pitchFamily="34" charset="-128"/>
                            </a:endParaRPr>
                          </a:p>
                        </a:txBody>
                        <a:useSpRect/>
                      </a:txSp>
                    </a:sp>
                    <a:sp>
                      <a:nvSpPr>
                        <a:cNvPr id="64780" name="Text Box 268"/>
                        <a:cNvSpPr txBox="1">
                          <a:spLocks noChangeArrowheads="1"/>
                        </a:cNvSpPr>
                      </a:nvSpPr>
                      <a:spPr bwMode="auto">
                        <a:xfrm>
                          <a:off x="2272" y="3888"/>
                          <a:ext cx="3344" cy="184"/>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 SIFS </a:t>
                            </a:r>
                            <a:r>
                              <a:rPr lang="en-US" altLang="ja-JP" sz="1300" dirty="0">
                                <a:latin typeface="Arial" charset="0"/>
                                <a:ea typeface="ＭＳ Ｐゴシック" pitchFamily="34" charset="-128"/>
                                <a:cs typeface="Arial" charset="0"/>
                              </a:rPr>
                              <a:t>&amp; &lt; BRPIFS</a:t>
                            </a:r>
                            <a:endParaRPr lang="ja-JP" altLang="en-US" sz="1300">
                              <a:latin typeface="Arial" charset="0"/>
                              <a:ea typeface="ＭＳ Ｐゴシック" pitchFamily="34" charset="-128"/>
                              <a:cs typeface="Arial" charset="0"/>
                            </a:endParaRPr>
                          </a:p>
                        </a:txBody>
                        <a:useSpRect/>
                      </a:txSp>
                    </a:sp>
                  </a:grpSp>
                </lc:lockedCanvas>
              </a:graphicData>
            </a:graphic>
          </wp:inline>
        </w:drawing>
      </w:r>
    </w:p>
    <w:p w:rsidR="003B126E" w:rsidRDefault="003B126E" w:rsidP="003B126E">
      <w:pPr>
        <w:pStyle w:val="Caption"/>
      </w:pPr>
      <w:bookmarkStart w:id="1666" w:name="_Ref257036397"/>
      <w:bookmarkStart w:id="1667" w:name="_Toc259717532"/>
      <w:r>
        <w:t xml:space="preserve">Figure </w:t>
      </w:r>
      <w:r w:rsidR="00BD151C">
        <w:fldChar w:fldCharType="begin"/>
      </w:r>
      <w:r>
        <w:instrText xml:space="preserve"> SEQ Figure \* ARABIC </w:instrText>
      </w:r>
      <w:r w:rsidR="00BD151C">
        <w:fldChar w:fldCharType="separate"/>
      </w:r>
      <w:r w:rsidR="003E4210">
        <w:rPr>
          <w:noProof/>
        </w:rPr>
        <w:t>100</w:t>
      </w:r>
      <w:r w:rsidR="00BD151C">
        <w:fldChar w:fldCharType="end"/>
      </w:r>
      <w:bookmarkEnd w:id="1666"/>
      <w:r>
        <w:t xml:space="preserve"> – </w:t>
      </w:r>
      <w:r w:rsidRPr="003B126E">
        <w:t>Example of the use of the BRP setup sub-phase to setup the subsequent MIDC phase in the DTT</w:t>
      </w:r>
      <w:bookmarkEnd w:id="1667"/>
    </w:p>
    <w:p w:rsidR="00AF2907" w:rsidRDefault="00AF2907" w:rsidP="00AF2907">
      <w:pPr>
        <w:autoSpaceDE w:val="0"/>
        <w:autoSpaceDN w:val="0"/>
        <w:adjustRightInd w:val="0"/>
        <w:jc w:val="both"/>
      </w:pPr>
    </w:p>
    <w:p w:rsidR="00A14221" w:rsidRDefault="00D41005" w:rsidP="003701DB">
      <w:pPr>
        <w:pStyle w:val="Heading5"/>
        <w:numPr>
          <w:ilvl w:val="4"/>
          <w:numId w:val="171"/>
        </w:numPr>
      </w:pPr>
      <w:r>
        <w:t xml:space="preserve"> </w:t>
      </w:r>
      <w:bookmarkStart w:id="1668" w:name="_Ref257057671"/>
      <w:bookmarkStart w:id="1669" w:name="_Ref257058362"/>
      <w:bookmarkStart w:id="1670" w:name="_Toc259717159"/>
      <w:r w:rsidR="00A14221" w:rsidRPr="009448FC">
        <w:rPr>
          <w:rFonts w:hint="eastAsia"/>
        </w:rPr>
        <w:t xml:space="preserve">MIDC </w:t>
      </w:r>
      <w:r w:rsidR="00A14221">
        <w:t>p</w:t>
      </w:r>
      <w:r w:rsidR="00A14221" w:rsidRPr="009448FC">
        <w:t>hase</w:t>
      </w:r>
      <w:r w:rsidR="00A14221">
        <w:t xml:space="preserve"> with MID and BC sub-phases</w:t>
      </w:r>
      <w:bookmarkEnd w:id="1668"/>
      <w:bookmarkEnd w:id="1669"/>
      <w:bookmarkEnd w:id="1670"/>
      <w:r w:rsidR="005515A4">
        <w:t xml:space="preserve"> </w:t>
      </w:r>
    </w:p>
    <w:p w:rsidR="00FC542A" w:rsidRPr="005A4524" w:rsidRDefault="00FC542A" w:rsidP="00FC542A">
      <w:pPr>
        <w:autoSpaceDE w:val="0"/>
        <w:autoSpaceDN w:val="0"/>
        <w:adjustRightInd w:val="0"/>
        <w:jc w:val="both"/>
      </w:pPr>
    </w:p>
    <w:p w:rsidR="00FC542A" w:rsidRPr="00FC542A" w:rsidRDefault="00FC542A" w:rsidP="00B77634">
      <w:pPr>
        <w:autoSpaceDE w:val="0"/>
        <w:autoSpaceDN w:val="0"/>
        <w:adjustRightInd w:val="0"/>
        <w:jc w:val="both"/>
        <w:rPr>
          <w:iCs/>
        </w:rPr>
      </w:pPr>
      <w:r w:rsidRPr="00FC542A">
        <w:rPr>
          <w:iCs/>
        </w:rPr>
        <w:t>The MIDC phase can be implemented such that a small set of TX and RX AWVs are first chosen, followed by a trial (e.g.</w:t>
      </w:r>
      <w:r w:rsidR="00CC494D">
        <w:rPr>
          <w:iCs/>
        </w:rPr>
        <w:t>,</w:t>
      </w:r>
      <w:r w:rsidRPr="00FC542A">
        <w:rPr>
          <w:iCs/>
        </w:rPr>
        <w:t xml:space="preserve"> in a round-robin manner) </w:t>
      </w:r>
      <w:r w:rsidR="00F674D0">
        <w:rPr>
          <w:iCs/>
        </w:rPr>
        <w:t xml:space="preserve">with </w:t>
      </w:r>
      <w:r w:rsidRPr="00FC542A">
        <w:rPr>
          <w:iCs/>
        </w:rPr>
        <w:t>this chosen set to determine the optimal starting TX and RX AWV pair. The set of TX sectors is chosen from an a priori TX sector sweep with a quasi-omni RX antenna pattern (in the SLS phase). To enable the selection of the RX sectors, and the subsequent trial between the TX and RX sectors, the MIDC phase consists of an MID sub-phase and a BC (or beam combining) sub-phase. In the MID sub-phase, a wide TX beam (e.g.</w:t>
      </w:r>
      <w:r w:rsidR="00CC494D">
        <w:rPr>
          <w:iCs/>
        </w:rPr>
        <w:t>,</w:t>
      </w:r>
      <w:r w:rsidRPr="00FC542A">
        <w:rPr>
          <w:iCs/>
        </w:rPr>
        <w:t xml:space="preserve"> quasi-omni) is used while the receiver sweeps through its choice of AWV settings to determine the set of RX AWVs with the highest link quality. This is followed by the BC sub-phase, which involves testing the multiple RX AWVs together (e.g.</w:t>
      </w:r>
      <w:r w:rsidR="00CC494D">
        <w:rPr>
          <w:iCs/>
        </w:rPr>
        <w:t>,</w:t>
      </w:r>
      <w:r w:rsidRPr="00FC542A">
        <w:rPr>
          <w:iCs/>
        </w:rPr>
        <w:t xml:space="preserve"> in a round-robin manner) with multiple TX AWVs. This is conceptually illustrated in</w:t>
      </w:r>
      <w:r w:rsidR="007E3F65">
        <w:rPr>
          <w:iCs/>
        </w:rPr>
        <w:t xml:space="preserve"> </w:t>
      </w:r>
      <w:r w:rsidR="00BD151C">
        <w:rPr>
          <w:iCs/>
        </w:rPr>
        <w:fldChar w:fldCharType="begin"/>
      </w:r>
      <w:r w:rsidR="007E3F65">
        <w:rPr>
          <w:iCs/>
        </w:rPr>
        <w:instrText xml:space="preserve"> REF _Ref257278710 \h </w:instrText>
      </w:r>
      <w:r w:rsidR="00BD151C">
        <w:rPr>
          <w:iCs/>
        </w:rPr>
      </w:r>
      <w:r w:rsidR="00BD151C">
        <w:rPr>
          <w:iCs/>
        </w:rPr>
        <w:fldChar w:fldCharType="separate"/>
      </w:r>
      <w:r w:rsidR="003E4210">
        <w:t xml:space="preserve">Figure </w:t>
      </w:r>
      <w:r w:rsidR="003E4210">
        <w:rPr>
          <w:noProof/>
        </w:rPr>
        <w:t>101</w:t>
      </w:r>
      <w:r w:rsidR="00BD151C">
        <w:rPr>
          <w:iCs/>
        </w:rPr>
        <w:fldChar w:fldCharType="end"/>
      </w:r>
      <w:r w:rsidRPr="00FC542A">
        <w:rPr>
          <w:iCs/>
        </w:rPr>
        <w:t>.</w:t>
      </w:r>
    </w:p>
    <w:p w:rsidR="00FC542A" w:rsidRPr="00FC542A" w:rsidRDefault="00FC542A" w:rsidP="00FC542A">
      <w:pPr>
        <w:autoSpaceDE w:val="0"/>
        <w:autoSpaceDN w:val="0"/>
        <w:adjustRightInd w:val="0"/>
        <w:jc w:val="both"/>
        <w:rPr>
          <w:iCs/>
        </w:rPr>
      </w:pPr>
    </w:p>
    <w:p w:rsidR="00FC542A" w:rsidRDefault="00FC542A" w:rsidP="00FC542A">
      <w:pPr>
        <w:keepNext/>
        <w:autoSpaceDE w:val="0"/>
        <w:autoSpaceDN w:val="0"/>
        <w:adjustRightInd w:val="0"/>
        <w:jc w:val="center"/>
      </w:pPr>
      <w:r w:rsidRPr="00523C18">
        <w:object w:dxaOrig="11340" w:dyaOrig="8677">
          <v:shape id="_x0000_i1061" type="#_x0000_t75" style="width:416.6pt;height:316.1pt" o:ole="">
            <v:imagedata r:id="rId169" o:title=""/>
          </v:shape>
          <o:OLEObject Type="Embed" ProgID="Word.Picture.8" ShapeID="_x0000_i1061" DrawAspect="Content" ObjectID="_1334048243" r:id="rId170"/>
        </w:object>
      </w:r>
    </w:p>
    <w:p w:rsidR="008749A1" w:rsidRDefault="008749A1" w:rsidP="008749A1"/>
    <w:p w:rsidR="00FC542A" w:rsidRDefault="008749A1" w:rsidP="008749A1">
      <w:pPr>
        <w:pStyle w:val="Caption"/>
      </w:pPr>
      <w:bookmarkStart w:id="1671" w:name="_Ref257278710"/>
      <w:bookmarkStart w:id="1672" w:name="_Toc259717533"/>
      <w:r>
        <w:t xml:space="preserve">Figure </w:t>
      </w:r>
      <w:r w:rsidR="00BD151C">
        <w:fldChar w:fldCharType="begin"/>
      </w:r>
      <w:r w:rsidR="00801316">
        <w:instrText xml:space="preserve"> SEQ Figure \* ARABIC </w:instrText>
      </w:r>
      <w:r w:rsidR="00BD151C">
        <w:fldChar w:fldCharType="separate"/>
      </w:r>
      <w:r w:rsidR="003E4210">
        <w:rPr>
          <w:noProof/>
        </w:rPr>
        <w:t>101</w:t>
      </w:r>
      <w:r w:rsidR="00BD151C">
        <w:fldChar w:fldCharType="end"/>
      </w:r>
      <w:bookmarkEnd w:id="1671"/>
      <w:r w:rsidR="00080054">
        <w:t xml:space="preserve"> – </w:t>
      </w:r>
      <w:r w:rsidR="00FC542A" w:rsidRPr="00E70280">
        <w:t>Conceptual flow of a sample MIDC phase execution with MID and BC sub-phases for the initiator link</w:t>
      </w:r>
      <w:bookmarkEnd w:id="1672"/>
    </w:p>
    <w:p w:rsidR="00A1506F" w:rsidRDefault="00A1506F" w:rsidP="00FC542A">
      <w:pPr>
        <w:autoSpaceDE w:val="0"/>
        <w:autoSpaceDN w:val="0"/>
        <w:adjustRightInd w:val="0"/>
        <w:jc w:val="both"/>
        <w:rPr>
          <w:iCs/>
        </w:rPr>
      </w:pPr>
    </w:p>
    <w:p w:rsidR="00AC09AC" w:rsidRDefault="00AC09AC" w:rsidP="00AC09AC">
      <w:pPr>
        <w:autoSpaceDE w:val="0"/>
        <w:autoSpaceDN w:val="0"/>
        <w:adjustRightInd w:val="0"/>
        <w:jc w:val="both"/>
        <w:rPr>
          <w:rFonts w:ascii="TimesNewRomanPSMT" w:hAnsi="TimesNewRomanPSMT" w:cs="TimesNewRomanPSMT"/>
        </w:rPr>
      </w:pPr>
      <w:r>
        <w:rPr>
          <w:rFonts w:ascii="TimesNewRomanPSMT" w:hAnsi="TimesNewRomanPSMT" w:cs="TimesNewRomanPSMT"/>
          <w:u w:val="single"/>
        </w:rPr>
        <w:t>Setting up the MID</w:t>
      </w:r>
      <w:r w:rsidRPr="00366FF6">
        <w:rPr>
          <w:rFonts w:ascii="TimesNewRomanPSMT" w:hAnsi="TimesNewRomanPSMT" w:cs="TimesNewRomanPSMT"/>
          <w:u w:val="single"/>
        </w:rPr>
        <w:t xml:space="preserve"> </w:t>
      </w:r>
      <w:r>
        <w:rPr>
          <w:rFonts w:ascii="TimesNewRomanPSMT" w:hAnsi="TimesNewRomanPSMT" w:cs="TimesNewRomanPSMT"/>
          <w:u w:val="single"/>
        </w:rPr>
        <w:t>and BC sub-phases</w:t>
      </w:r>
      <w:r w:rsidRPr="00366FF6">
        <w:rPr>
          <w:rFonts w:ascii="TimesNewRomanPSMT" w:hAnsi="TimesNewRomanPSMT" w:cs="TimesNewRomanPSMT"/>
          <w:u w:val="single"/>
        </w:rPr>
        <w:t>:</w:t>
      </w:r>
      <w:r>
        <w:rPr>
          <w:rFonts w:ascii="TimesNewRomanPSMT" w:hAnsi="TimesNewRomanPSMT" w:cs="TimesNewRomanPSMT"/>
        </w:rPr>
        <w:t xml:space="preserve"> To request an MIDC phase with the MID and the BC sub-phases, the initiator shall transmit an SS-Feedback or BRP frame with the </w:t>
      </w:r>
      <w:r>
        <w:rPr>
          <w:rFonts w:ascii="TimesNewRomanPSMT" w:hAnsi="TimesNewRomanPSMT" w:cs="TimesNewRomanPSMT"/>
          <w:iCs/>
        </w:rPr>
        <w:t>MID-REQ</w:t>
      </w:r>
      <w:r>
        <w:rPr>
          <w:rFonts w:ascii="TimesNewRomanPSMT" w:hAnsi="TimesNewRomanPSMT" w:cs="TimesNewRomanPSMT"/>
        </w:rPr>
        <w:t xml:space="preserve"> and the </w:t>
      </w:r>
      <w:r>
        <w:rPr>
          <w:rFonts w:ascii="TimesNewRomanPSMT" w:hAnsi="TimesNewRomanPSMT" w:cs="TimesNewRomanPSMT"/>
          <w:iCs/>
        </w:rPr>
        <w:t>BC-REQ</w:t>
      </w:r>
      <w:r>
        <w:rPr>
          <w:rFonts w:ascii="TimesNewRomanPSMT" w:hAnsi="TimesNewRomanPSMT" w:cs="TimesNewRomanPSMT"/>
        </w:rPr>
        <w:t xml:space="preserve"> fields set to one in the BRP request field. The responder may grant this request by setting the </w:t>
      </w:r>
      <w:r w:rsidRPr="00536DF1">
        <w:rPr>
          <w:rFonts w:ascii="TimesNewRomanPSMT" w:hAnsi="TimesNewRomanPSMT" w:cs="TimesNewRomanPSMT"/>
        </w:rPr>
        <w:t>MID grant</w:t>
      </w:r>
      <w:r>
        <w:rPr>
          <w:rFonts w:ascii="TimesNewRomanPSMT" w:hAnsi="TimesNewRomanPSMT" w:cs="TimesNewRomanPSMT"/>
        </w:rPr>
        <w:t xml:space="preserve"> and the </w:t>
      </w:r>
      <w:r w:rsidRPr="00536DF1">
        <w:rPr>
          <w:rFonts w:ascii="TimesNewRomanPSMT" w:hAnsi="TimesNewRomanPSMT" w:cs="TimesNewRomanPSMT"/>
        </w:rPr>
        <w:t>BC grant</w:t>
      </w:r>
      <w:r>
        <w:rPr>
          <w:rFonts w:ascii="TimesNewRomanPSMT" w:hAnsi="TimesNewRomanPSMT" w:cs="TimesNewRomanPSMT"/>
        </w:rPr>
        <w:t xml:space="preserve"> fields to one in the BRP request field within the next SS-ACK or BRP frame transmitted to the initiator. The R-MID and R-BC sub-phases are performed if the request is granted, and are not performed otherwise.</w:t>
      </w:r>
    </w:p>
    <w:p w:rsidR="00AC09AC" w:rsidRDefault="00AC09AC" w:rsidP="00AC09AC">
      <w:pPr>
        <w:autoSpaceDE w:val="0"/>
        <w:autoSpaceDN w:val="0"/>
        <w:adjustRightInd w:val="0"/>
        <w:jc w:val="both"/>
        <w:rPr>
          <w:rFonts w:ascii="TimesNewRomanPSMT" w:hAnsi="TimesNewRomanPSMT" w:cs="TimesNewRomanPSMT"/>
        </w:rPr>
      </w:pPr>
    </w:p>
    <w:p w:rsidR="00AC09AC" w:rsidRDefault="00AC09AC" w:rsidP="00AC09AC">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The responder shall transmit an SS-ACK or BRP frame to request an MIDC phase, with the I-MID and I-BC sub-phases. It shall do so by setting the </w:t>
      </w:r>
      <w:r w:rsidRPr="00536DF1">
        <w:rPr>
          <w:rFonts w:ascii="TimesNewRomanPSMT" w:hAnsi="TimesNewRomanPSMT" w:cs="TimesNewRomanPSMT"/>
        </w:rPr>
        <w:t>MID request</w:t>
      </w:r>
      <w:r>
        <w:rPr>
          <w:rFonts w:ascii="TimesNewRomanPSMT" w:hAnsi="TimesNewRomanPSMT" w:cs="TimesNewRomanPSMT"/>
        </w:rPr>
        <w:t xml:space="preserve"> and the </w:t>
      </w:r>
      <w:r w:rsidRPr="00536DF1">
        <w:rPr>
          <w:rFonts w:ascii="TimesNewRomanPSMT" w:hAnsi="TimesNewRomanPSMT" w:cs="TimesNewRomanPSMT"/>
        </w:rPr>
        <w:t>BC request</w:t>
      </w:r>
      <w:r>
        <w:rPr>
          <w:rFonts w:ascii="TimesNewRomanPSMT" w:hAnsi="TimesNewRomanPSMT" w:cs="TimesNewRomanPSMT"/>
        </w:rPr>
        <w:t xml:space="preserve"> fields to one in the BRP request field within the transmitted frame. The initiator may grant this request by setting the </w:t>
      </w:r>
      <w:r w:rsidRPr="00536DF1">
        <w:rPr>
          <w:rFonts w:ascii="TimesNewRomanPSMT" w:hAnsi="TimesNewRomanPSMT" w:cs="TimesNewRomanPSMT"/>
        </w:rPr>
        <w:t>MID grant</w:t>
      </w:r>
      <w:r>
        <w:rPr>
          <w:rFonts w:ascii="TimesNewRomanPSMT" w:hAnsi="TimesNewRomanPSMT" w:cs="TimesNewRomanPSMT"/>
        </w:rPr>
        <w:t xml:space="preserve"> and the </w:t>
      </w:r>
      <w:r w:rsidRPr="00536DF1">
        <w:rPr>
          <w:rFonts w:ascii="TimesNewRomanPSMT" w:hAnsi="TimesNewRomanPSMT" w:cs="TimesNewRomanPSMT"/>
        </w:rPr>
        <w:t>BC grant</w:t>
      </w:r>
      <w:r>
        <w:rPr>
          <w:rFonts w:ascii="TimesNewRomanPSMT" w:hAnsi="TimesNewRomanPSMT" w:cs="TimesNewRomanPSMT"/>
        </w:rPr>
        <w:t xml:space="preserve"> fields to one in the BRP request field within the next BRP frame transmitted to the responder. The I-MID and I-BC sub-phases are performed if the request is granted, and are not performed otherwise.</w:t>
      </w:r>
    </w:p>
    <w:p w:rsidR="00AC09AC" w:rsidRDefault="00AC09AC" w:rsidP="00AC09AC">
      <w:pPr>
        <w:autoSpaceDE w:val="0"/>
        <w:autoSpaceDN w:val="0"/>
        <w:adjustRightInd w:val="0"/>
        <w:jc w:val="both"/>
        <w:rPr>
          <w:rFonts w:ascii="TimesNewRomanPSMT" w:hAnsi="TimesNewRomanPSMT" w:cs="TimesNewRomanPSMT"/>
        </w:rPr>
      </w:pPr>
    </w:p>
    <w:p w:rsidR="00DF54A1" w:rsidRDefault="00AC09AC">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If all of R-MID, R-BC, I-MID, and I-BC sub-phases are performed, the MID sub-phases are performed before the BC sub-phases. Within the MID and BC sub-phases, the R-MID/BC is performed before I-MID/BC (see </w:t>
      </w:r>
      <w:r w:rsidR="00BD151C">
        <w:rPr>
          <w:rFonts w:ascii="TimesNewRomanPSMT" w:hAnsi="TimesNewRomanPSMT" w:cs="TimesNewRomanPSMT"/>
        </w:rPr>
        <w:fldChar w:fldCharType="begin"/>
      </w:r>
      <w:r w:rsidR="006F3197">
        <w:rPr>
          <w:rFonts w:ascii="TimesNewRomanPSMT" w:hAnsi="TimesNewRomanPSMT" w:cs="TimesNewRomanPSMT"/>
        </w:rPr>
        <w:instrText xml:space="preserve"> REF _Ref243038303 \h </w:instrText>
      </w:r>
      <w:r w:rsidR="00BD151C">
        <w:rPr>
          <w:rFonts w:ascii="TimesNewRomanPSMT" w:hAnsi="TimesNewRomanPSMT" w:cs="TimesNewRomanPSMT"/>
        </w:rPr>
      </w:r>
      <w:r w:rsidR="00BD151C">
        <w:rPr>
          <w:rFonts w:ascii="TimesNewRomanPSMT" w:hAnsi="TimesNewRomanPSMT" w:cs="TimesNewRomanPSMT"/>
        </w:rPr>
        <w:fldChar w:fldCharType="separate"/>
      </w:r>
      <w:r w:rsidR="003E4210" w:rsidRPr="00066F65">
        <w:t xml:space="preserve">Figure </w:t>
      </w:r>
      <w:r w:rsidR="003E4210">
        <w:rPr>
          <w:noProof/>
        </w:rPr>
        <w:t>97</w:t>
      </w:r>
      <w:r w:rsidR="00BD151C">
        <w:rPr>
          <w:rFonts w:ascii="TimesNewRomanPSMT" w:hAnsi="TimesNewRomanPSMT" w:cs="TimesNewRomanPSMT"/>
        </w:rPr>
        <w:fldChar w:fldCharType="end"/>
      </w:r>
      <w:r w:rsidR="006F3197">
        <w:rPr>
          <w:rFonts w:ascii="TimesNewRomanPSMT" w:hAnsi="TimesNewRomanPSMT" w:cs="TimesNewRomanPSMT"/>
        </w:rPr>
        <w:t xml:space="preserve"> </w:t>
      </w:r>
      <w:r>
        <w:rPr>
          <w:rFonts w:ascii="TimesNewRomanPSMT" w:hAnsi="TimesNewRomanPSMT" w:cs="TimesNewRomanPSMT"/>
        </w:rPr>
        <w:t xml:space="preserve">and </w:t>
      </w:r>
      <w:r w:rsidR="00BD151C">
        <w:rPr>
          <w:rFonts w:ascii="TimesNewRomanPSMT" w:hAnsi="TimesNewRomanPSMT" w:cs="TimesNewRomanPSMT"/>
        </w:rPr>
        <w:fldChar w:fldCharType="begin"/>
      </w:r>
      <w:r w:rsidR="006F3197">
        <w:rPr>
          <w:rFonts w:ascii="TimesNewRomanPSMT" w:hAnsi="TimesNewRomanPSMT" w:cs="TimesNewRomanPSMT"/>
        </w:rPr>
        <w:instrText xml:space="preserve"> REF _Ref255734611 \h </w:instrText>
      </w:r>
      <w:r w:rsidR="00BD151C">
        <w:rPr>
          <w:rFonts w:ascii="TimesNewRomanPSMT" w:hAnsi="TimesNewRomanPSMT" w:cs="TimesNewRomanPSMT"/>
        </w:rPr>
      </w:r>
      <w:r w:rsidR="00BD151C">
        <w:rPr>
          <w:rFonts w:ascii="TimesNewRomanPSMT" w:hAnsi="TimesNewRomanPSMT" w:cs="TimesNewRomanPSMT"/>
        </w:rPr>
        <w:fldChar w:fldCharType="separate"/>
      </w:r>
      <w:r w:rsidR="003E4210">
        <w:t xml:space="preserve">Figure </w:t>
      </w:r>
      <w:r w:rsidR="003E4210">
        <w:rPr>
          <w:noProof/>
        </w:rPr>
        <w:t>98</w:t>
      </w:r>
      <w:r w:rsidR="00BD151C">
        <w:rPr>
          <w:rFonts w:ascii="TimesNewRomanPSMT" w:hAnsi="TimesNewRomanPSMT" w:cs="TimesNewRomanPSMT"/>
        </w:rPr>
        <w:fldChar w:fldCharType="end"/>
      </w:r>
      <w:r w:rsidR="00A138F5">
        <w:rPr>
          <w:rFonts w:ascii="TimesNewRomanPSMT" w:hAnsi="TimesNewRomanPSMT" w:cs="TimesNewRomanPSMT"/>
        </w:rPr>
        <w:t>).</w:t>
      </w:r>
    </w:p>
    <w:p w:rsidR="00AC09AC" w:rsidRDefault="00AC09AC" w:rsidP="00AC09AC">
      <w:pPr>
        <w:autoSpaceDE w:val="0"/>
        <w:autoSpaceDN w:val="0"/>
        <w:adjustRightInd w:val="0"/>
        <w:rPr>
          <w:rFonts w:ascii="TimesNewRomanPSMT" w:hAnsi="TimesNewRomanPSMT" w:cs="TimesNewRomanPSMT"/>
        </w:rPr>
      </w:pPr>
    </w:p>
    <w:p w:rsidR="00AC09AC" w:rsidRDefault="00AC09AC" w:rsidP="00AC09AC">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In addition to the </w:t>
      </w:r>
      <w:r w:rsidRPr="000F03A1">
        <w:rPr>
          <w:rFonts w:ascii="TimesNewRomanPSMT" w:hAnsi="TimesNewRomanPSMT" w:cs="TimesNewRomanPSMT"/>
        </w:rPr>
        <w:t>MID</w:t>
      </w:r>
      <w:r w:rsidRPr="00BA7566">
        <w:rPr>
          <w:rFonts w:ascii="TimesNewRomanPSMT" w:hAnsi="TimesNewRomanPSMT" w:cs="TimesNewRomanPSMT"/>
          <w:i/>
        </w:rPr>
        <w:t xml:space="preserve">, </w:t>
      </w:r>
      <w:r w:rsidRPr="000F03A1">
        <w:rPr>
          <w:rFonts w:ascii="TimesNewRomanPSMT" w:hAnsi="TimesNewRomanPSMT" w:cs="TimesNewRomanPSMT"/>
        </w:rPr>
        <w:t>BC request</w:t>
      </w:r>
      <w:r>
        <w:rPr>
          <w:rFonts w:ascii="TimesNewRomanPSMT" w:hAnsi="TimesNewRomanPSMT" w:cs="TimesNewRomanPSMT"/>
        </w:rPr>
        <w:t xml:space="preserve"> and </w:t>
      </w:r>
      <w:r w:rsidRPr="000F03A1">
        <w:rPr>
          <w:rFonts w:ascii="TimesNewRomanPSMT" w:hAnsi="TimesNewRomanPSMT" w:cs="TimesNewRomanPSMT"/>
        </w:rPr>
        <w:t>grant</w:t>
      </w:r>
      <w:r>
        <w:rPr>
          <w:rFonts w:ascii="TimesNewRomanPSMT" w:hAnsi="TimesNewRomanPSMT" w:cs="TimesNewRomanPSMT"/>
        </w:rPr>
        <w:t xml:space="preserve"> fields, the responder (and/or initiator) needs to obtain the number of RX AWV settings to be appended to BRP-RX packets in the R/I-MID sub-phase. To do this, the initiator (and/or responder) should use the </w:t>
      </w:r>
      <w:r w:rsidRPr="00FD3114">
        <w:rPr>
          <w:rFonts w:ascii="TimesNewRomanPSMT" w:hAnsi="TimesNewRomanPSMT" w:cs="TimesNewRomanPSMT"/>
        </w:rPr>
        <w:t>L-RX</w:t>
      </w:r>
      <w:r>
        <w:rPr>
          <w:rFonts w:ascii="TimesNewRomanPSMT" w:hAnsi="TimesNewRomanPSMT" w:cs="TimesNewRomanPSMT"/>
        </w:rPr>
        <w:t xml:space="preserve"> field in the BRP request field to convey this </w:t>
      </w:r>
      <w:r>
        <w:rPr>
          <w:rFonts w:ascii="TimesNewRomanPSMT" w:hAnsi="TimesNewRomanPSMT" w:cs="TimesNewRomanPSMT"/>
        </w:rPr>
        <w:lastRenderedPageBreak/>
        <w:t xml:space="preserve">information. Similarly, the responder (and/or initiator) needs to obtain the IDs and SNRs of the TX sectors received during the SLS phase for use in the R-BC and I-BC sub-phases. To do this, the responder (and/or initiator) shall send a BRP packet with the </w:t>
      </w:r>
      <w:r w:rsidRPr="00FD3114">
        <w:rPr>
          <w:iCs/>
        </w:rPr>
        <w:t>TXSS-FBCK-REQ</w:t>
      </w:r>
      <w:r>
        <w:rPr>
          <w:iCs/>
        </w:rPr>
        <w:t xml:space="preserve"> subfield and</w:t>
      </w:r>
      <w:r>
        <w:rPr>
          <w:rFonts w:ascii="TimesNewRomanPSMT" w:hAnsi="TimesNewRomanPSMT" w:cs="TimesNewRomanPSMT"/>
        </w:rPr>
        <w:t xml:space="preserve"> </w:t>
      </w:r>
      <w:r w:rsidRPr="00FD3114">
        <w:rPr>
          <w:rFonts w:ascii="TimesNewRomanPSMT" w:hAnsi="TimesNewRomanPSMT" w:cs="TimesNewRomanPSMT"/>
        </w:rPr>
        <w:t>SNR Requested</w:t>
      </w:r>
      <w:r>
        <w:rPr>
          <w:rFonts w:ascii="TimesNewRomanPSMT" w:hAnsi="TimesNewRomanPSMT" w:cs="TimesNewRomanPSMT"/>
        </w:rPr>
        <w:t xml:space="preserve"> subfield set to one in the </w:t>
      </w:r>
      <w:r w:rsidRPr="00FD3114">
        <w:rPr>
          <w:rFonts w:ascii="TimesNewRomanPSMT" w:hAnsi="TimesNewRomanPSMT" w:cs="TimesNewRomanPSMT"/>
        </w:rPr>
        <w:t>FBCK-REQ</w:t>
      </w:r>
      <w:r>
        <w:rPr>
          <w:rFonts w:ascii="TimesNewRomanPSMT" w:hAnsi="TimesNewRomanPSMT" w:cs="TimesNewRomanPSMT"/>
        </w:rPr>
        <w:t xml:space="preserve"> field of the mmWave beam refinement element. In response, the initiator (and/or responder) should send a BRP frame with </w:t>
      </w:r>
      <w:r>
        <w:rPr>
          <w:rFonts w:ascii="TimesNewRomanPSMT" w:hAnsi="TimesNewRomanPSMT" w:cs="TimesNewRomanPSMT" w:hint="eastAsia"/>
        </w:rPr>
        <w:t xml:space="preserve">both </w:t>
      </w:r>
      <w:r>
        <w:rPr>
          <w:rFonts w:ascii="TimesNewRomanPSMT" w:hAnsi="TimesNewRomanPSMT" w:cs="TimesNewRomanPSMT"/>
        </w:rPr>
        <w:t xml:space="preserve">the </w:t>
      </w:r>
      <w:r w:rsidRPr="00FD3114">
        <w:rPr>
          <w:rFonts w:ascii="TimesNewRomanPSMT" w:hAnsi="TimesNewRomanPSMT" w:cs="TimesNewRomanPSMT"/>
        </w:rPr>
        <w:t>SNR present</w:t>
      </w:r>
      <w:r>
        <w:rPr>
          <w:rFonts w:ascii="TimesNewRomanPSMT" w:hAnsi="TimesNewRomanPSMT" w:cs="TimesNewRomanPSMT"/>
        </w:rPr>
        <w:t xml:space="preserve"> subfield</w:t>
      </w:r>
      <w:r>
        <w:rPr>
          <w:rFonts w:ascii="TimesNewRomanPSMT" w:hAnsi="TimesNewRomanPSMT" w:cs="TimesNewRomanPSMT" w:hint="eastAsia"/>
        </w:rPr>
        <w:t xml:space="preserve"> and the sector ID order </w:t>
      </w:r>
      <w:r>
        <w:rPr>
          <w:rFonts w:ascii="TimesNewRomanPSMT" w:hAnsi="TimesNewRomanPSMT" w:cs="TimesNewRomanPSMT"/>
        </w:rPr>
        <w:t>present</w:t>
      </w:r>
      <w:r>
        <w:rPr>
          <w:rFonts w:ascii="TimesNewRomanPSMT" w:hAnsi="TimesNewRomanPSMT" w:cs="TimesNewRomanPSMT" w:hint="eastAsia"/>
        </w:rPr>
        <w:t xml:space="preserve"> </w:t>
      </w:r>
      <w:r>
        <w:rPr>
          <w:rFonts w:ascii="TimesNewRomanPSMT" w:hAnsi="TimesNewRomanPSMT" w:cs="TimesNewRomanPSMT"/>
        </w:rPr>
        <w:t xml:space="preserve">subfield set to one. The </w:t>
      </w:r>
      <w:r w:rsidRPr="00BA7566">
        <w:rPr>
          <w:rFonts w:ascii="TimesNewRomanPSMT" w:hAnsi="TimesNewRomanPSMT" w:cs="TimesNewRomanPSMT"/>
          <w:i/>
        </w:rPr>
        <w:t>N</w:t>
      </w:r>
      <w:r w:rsidRPr="00BA7566">
        <w:rPr>
          <w:rFonts w:ascii="TimesNewRomanPSMT" w:hAnsi="TimesNewRomanPSMT" w:cs="TimesNewRomanPSMT"/>
          <w:i/>
          <w:vertAlign w:val="subscript"/>
        </w:rPr>
        <w:t>meas</w:t>
      </w:r>
      <w:r w:rsidR="009D537D" w:rsidRPr="009D537D">
        <w:rPr>
          <w:rFonts w:ascii="TimesNewRomanPSMT" w:hAnsi="TimesNewRomanPSMT" w:cs="TimesNewRomanPSMT"/>
        </w:rPr>
        <w:t xml:space="preserve"> </w:t>
      </w:r>
      <w:r>
        <w:rPr>
          <w:rFonts w:ascii="TimesNewRomanPSMT" w:hAnsi="TimesNewRomanPSMT" w:cs="TimesNewRomanPSMT"/>
        </w:rPr>
        <w:t>field in the FBCK-TYPE is set to indicate the number of sectors received during the last SLS for which an SNR measurement is included. In the channel measurement field, the initiator (or responder) should set the SNR subfield to the SNRs corresponding to the TX sectors trialed during the SLS phase. In the Sector ID subfield, it should list the sector I</w:t>
      </w:r>
      <w:r>
        <w:rPr>
          <w:rFonts w:ascii="TimesNewRomanPSMT" w:hAnsi="TimesNewRomanPSMT" w:cs="TimesNewRomanPSMT" w:hint="eastAsia"/>
        </w:rPr>
        <w:t>D</w:t>
      </w:r>
      <w:r>
        <w:rPr>
          <w:rFonts w:ascii="TimesNewRomanPSMT" w:hAnsi="TimesNewRomanPSMT" w:cs="TimesNewRomanPSMT"/>
        </w:rPr>
        <w:t>s of the received sectors.</w:t>
      </w:r>
      <w:r w:rsidR="005515A4">
        <w:rPr>
          <w:rFonts w:ascii="TimesNewRomanPSMT" w:hAnsi="TimesNewRomanPSMT" w:cs="TimesNewRomanPSMT"/>
        </w:rPr>
        <w:t xml:space="preserve"> </w:t>
      </w:r>
      <w:r>
        <w:rPr>
          <w:rFonts w:ascii="TimesNewRomanPSMT" w:hAnsi="TimesNewRomanPSMT" w:cs="TimesNewRomanPSMT"/>
        </w:rPr>
        <w:t xml:space="preserve">The responder (and/or initiator) should then use the SNR information, and any additional information such as angular separation between sectors, to determine the TX sectors for use in the BC sub-phase. The responder (or initiator) shall inform the </w:t>
      </w:r>
      <w:r w:rsidR="00234455">
        <w:rPr>
          <w:rFonts w:ascii="TimesNewRomanPSMT" w:hAnsi="TimesNewRomanPSMT" w:cs="TimesNewRomanPSMT"/>
        </w:rPr>
        <w:t>initiator</w:t>
      </w:r>
      <w:r>
        <w:rPr>
          <w:rFonts w:ascii="TimesNewRomanPSMT" w:hAnsi="TimesNewRomanPSMT" w:cs="TimesNewRomanPSMT"/>
        </w:rPr>
        <w:t xml:space="preserve"> (or responder) of the number of TX sectors using the </w:t>
      </w:r>
      <w:r w:rsidRPr="00BA7566">
        <w:rPr>
          <w:rFonts w:ascii="TimesNewRomanPSMT" w:hAnsi="TimesNewRomanPSMT" w:cs="TimesNewRomanPSMT"/>
          <w:i/>
        </w:rPr>
        <w:t>N</w:t>
      </w:r>
      <w:r w:rsidRPr="00BA7566">
        <w:rPr>
          <w:rFonts w:ascii="TimesNewRomanPSMT" w:hAnsi="TimesNewRomanPSMT" w:cs="TimesNewRomanPSMT"/>
          <w:i/>
          <w:vertAlign w:val="subscript"/>
        </w:rPr>
        <w:t>beam</w:t>
      </w:r>
      <w:r>
        <w:rPr>
          <w:rFonts w:ascii="TimesNewRomanPSMT" w:hAnsi="TimesNewRomanPSMT" w:cs="TimesNewRomanPSMT"/>
        </w:rPr>
        <w:t xml:space="preserve"> field in the </w:t>
      </w:r>
      <w:r w:rsidRPr="00FD3114">
        <w:rPr>
          <w:rFonts w:ascii="TimesNewRomanPSMT" w:hAnsi="TimesNewRomanPSMT" w:cs="TimesNewRomanPSMT"/>
        </w:rPr>
        <w:t>FBCK-TYPE</w:t>
      </w:r>
      <w:r>
        <w:rPr>
          <w:rFonts w:ascii="TimesNewRomanPSMT" w:hAnsi="TimesNewRomanPSMT" w:cs="TimesNewRomanPSMT"/>
        </w:rPr>
        <w:t xml:space="preserve"> field during the BRP setup sub-phase. After the R/I-MID sub-phases, the same field is used to exchange information about the number of RX AWVs to be trialed during the BC sub-phase.</w:t>
      </w:r>
    </w:p>
    <w:p w:rsidR="00AC09AC" w:rsidRDefault="00AC09AC" w:rsidP="00AC09AC">
      <w:pPr>
        <w:autoSpaceDE w:val="0"/>
        <w:autoSpaceDN w:val="0"/>
        <w:adjustRightInd w:val="0"/>
        <w:rPr>
          <w:rFonts w:ascii="TimesNewRomanPSMT" w:hAnsi="TimesNewRomanPSMT" w:cs="TimesNewRomanPSMT"/>
        </w:rPr>
      </w:pPr>
    </w:p>
    <w:p w:rsidR="00AC09AC" w:rsidRPr="008D3DDC" w:rsidRDefault="00AC09AC" w:rsidP="00AC09AC">
      <w:pPr>
        <w:autoSpaceDE w:val="0"/>
        <w:autoSpaceDN w:val="0"/>
        <w:adjustRightInd w:val="0"/>
        <w:jc w:val="both"/>
        <w:rPr>
          <w:rFonts w:ascii="TimesNewRomanPSMT" w:hAnsi="TimesNewRomanPSMT" w:cs="TimesNewRomanPSMT"/>
        </w:rPr>
      </w:pPr>
      <w:r w:rsidRPr="008D3DDC">
        <w:rPr>
          <w:rFonts w:ascii="TimesNewRomanPSMT" w:hAnsi="TimesNewRomanPSMT" w:cs="TimesNewRomanPSMT"/>
          <w:u w:val="single"/>
        </w:rPr>
        <w:t>Executing the MID sub-phase:</w:t>
      </w:r>
      <w:r w:rsidRPr="008D3DDC">
        <w:rPr>
          <w:rFonts w:ascii="TimesNewRomanPSMT" w:hAnsi="TimesNewRomanPSMT" w:cs="TimesNewRomanPSMT"/>
        </w:rPr>
        <w:t xml:space="preserve"> If </w:t>
      </w:r>
      <w:r w:rsidRPr="008D3DDC">
        <w:rPr>
          <w:rFonts w:ascii="TimesNewRomanPSMT" w:hAnsi="TimesNewRomanPSMT" w:cs="TimesNewRomanPSMT" w:hint="eastAsia"/>
        </w:rPr>
        <w:t>R</w:t>
      </w:r>
      <w:r w:rsidRPr="008D3DDC">
        <w:rPr>
          <w:rFonts w:ascii="TimesNewRomanPSMT" w:hAnsi="TimesNewRomanPSMT" w:cs="TimesNewRomanPSMT"/>
        </w:rPr>
        <w:t xml:space="preserve">-MID was requested and granted during the SLS </w:t>
      </w:r>
      <w:r w:rsidRPr="008D3DDC">
        <w:rPr>
          <w:rFonts w:ascii="TimesNewRomanPSMT" w:hAnsi="TimesNewRomanPSMT" w:cs="TimesNewRomanPSMT" w:hint="eastAsia"/>
        </w:rPr>
        <w:t>and/</w:t>
      </w:r>
      <w:r w:rsidRPr="008D3DDC">
        <w:rPr>
          <w:rFonts w:ascii="TimesNewRomanPSMT" w:hAnsi="TimesNewRomanPSMT" w:cs="TimesNewRomanPSMT"/>
        </w:rPr>
        <w:t xml:space="preserve">or subsequent BRP set-phase, </w:t>
      </w:r>
      <w:r w:rsidRPr="008D3DDC">
        <w:rPr>
          <w:rFonts w:ascii="TimesNewRomanPSMT" w:hAnsi="TimesNewRomanPSMT" w:cs="TimesNewRomanPSMT" w:hint="eastAsia"/>
        </w:rPr>
        <w:t xml:space="preserve">after the BRP setup sub-phase, </w:t>
      </w:r>
      <w:r w:rsidRPr="008D3DDC">
        <w:rPr>
          <w:rFonts w:ascii="TimesNewRomanPSMT" w:hAnsi="TimesNewRomanPSMT" w:cs="TimesNewRomanPSMT"/>
        </w:rPr>
        <w:t xml:space="preserve">the </w:t>
      </w:r>
      <w:r w:rsidRPr="008D3DDC">
        <w:rPr>
          <w:rFonts w:ascii="TimesNewRomanPSMT" w:hAnsi="TimesNewRomanPSMT" w:cs="TimesNewRomanPSMT" w:hint="eastAsia"/>
        </w:rPr>
        <w:t>R</w:t>
      </w:r>
      <w:r w:rsidRPr="008D3DDC">
        <w:rPr>
          <w:rFonts w:ascii="TimesNewRomanPSMT" w:hAnsi="TimesNewRomanPSMT" w:cs="TimesNewRomanPSMT"/>
        </w:rPr>
        <w:t xml:space="preserve">-MID </w:t>
      </w:r>
      <w:r w:rsidRPr="008D3DDC">
        <w:rPr>
          <w:rFonts w:ascii="TimesNewRomanPSMT" w:hAnsi="TimesNewRomanPSMT" w:cs="TimesNewRomanPSMT" w:hint="eastAsia"/>
        </w:rPr>
        <w:t>shall be</w:t>
      </w:r>
      <w:r w:rsidRPr="008D3DDC">
        <w:rPr>
          <w:rFonts w:ascii="TimesNewRomanPSMT" w:hAnsi="TimesNewRomanPSMT" w:cs="TimesNewRomanPSMT"/>
        </w:rPr>
        <w:t xml:space="preserve"> initiated by the </w:t>
      </w:r>
      <w:r w:rsidRPr="008D3DDC">
        <w:rPr>
          <w:rFonts w:ascii="TimesNewRomanPSMT" w:hAnsi="TimesNewRomanPSMT" w:cs="TimesNewRomanPSMT" w:hint="eastAsia"/>
        </w:rPr>
        <w:t>responder</w:t>
      </w:r>
      <w:r w:rsidRPr="008D3DDC">
        <w:rPr>
          <w:rFonts w:ascii="TimesNewRomanPSMT" w:hAnsi="TimesNewRomanPSMT" w:cs="TimesNewRomanPSMT"/>
        </w:rPr>
        <w:t xml:space="preserve"> sending a BRP frame with TRN-R fields (as</w:t>
      </w:r>
      <w:r w:rsidRPr="008D3DDC">
        <w:rPr>
          <w:rFonts w:ascii="TimesNewRomanPSMT" w:hAnsi="TimesNewRomanPSMT" w:cs="TimesNewRomanPSMT" w:hint="eastAsia"/>
        </w:rPr>
        <w:t xml:space="preserve"> requested in the BRP setup sub-phase</w:t>
      </w:r>
      <w:r w:rsidRPr="008D3DDC">
        <w:rPr>
          <w:rFonts w:ascii="TimesNewRomanPSMT" w:hAnsi="TimesNewRomanPSMT" w:cs="TimesNewRomanPSMT"/>
        </w:rPr>
        <w:t>)</w:t>
      </w:r>
      <w:r w:rsidRPr="008D3DDC">
        <w:rPr>
          <w:rFonts w:ascii="TimesNewRomanPSMT" w:hAnsi="TimesNewRomanPSMT" w:cs="TimesNewRomanPSMT" w:hint="eastAsia"/>
        </w:rPr>
        <w:t xml:space="preserve">. </w:t>
      </w:r>
      <w:r w:rsidRPr="008D3DDC">
        <w:rPr>
          <w:rFonts w:ascii="TimesNewRomanPSMT" w:hAnsi="TimesNewRomanPSMT" w:cs="TimesNewRomanPSMT"/>
        </w:rPr>
        <w:t>This packet may be transmitted using a wide pattern, approaching an omni transmit pattern, or by a sector. The receiver may use the TRN-R fields for receiver training.</w:t>
      </w:r>
    </w:p>
    <w:p w:rsidR="00AC09AC" w:rsidRDefault="00AC09AC" w:rsidP="00AC09AC">
      <w:pPr>
        <w:autoSpaceDE w:val="0"/>
        <w:autoSpaceDN w:val="0"/>
        <w:adjustRightInd w:val="0"/>
        <w:jc w:val="both"/>
        <w:rPr>
          <w:rFonts w:ascii="TimesNewRomanPSMT" w:hAnsi="TimesNewRomanPSMT" w:cs="TimesNewRomanPSMT"/>
          <w:u w:val="single"/>
        </w:rPr>
      </w:pPr>
    </w:p>
    <w:p w:rsidR="00AC09AC" w:rsidRPr="008D3DDC" w:rsidRDefault="00AC09AC" w:rsidP="00AC09AC">
      <w:pPr>
        <w:autoSpaceDE w:val="0"/>
        <w:autoSpaceDN w:val="0"/>
        <w:adjustRightInd w:val="0"/>
        <w:jc w:val="both"/>
        <w:rPr>
          <w:rFonts w:ascii="TimesNewRomanPSMT" w:hAnsi="TimesNewRomanPSMT" w:cs="TimesNewRomanPSMT"/>
        </w:rPr>
      </w:pPr>
      <w:r w:rsidRPr="008D3DDC">
        <w:rPr>
          <w:rFonts w:ascii="TimesNewRomanPSMT" w:hAnsi="TimesNewRomanPSMT" w:cs="TimesNewRomanPSMT"/>
        </w:rPr>
        <w:t>If the MID-extension field in this packet is set to 1, the responder will transmit another BRP-RX packet</w:t>
      </w:r>
      <w:r>
        <w:rPr>
          <w:rFonts w:ascii="TimesNewRomanPSMT" w:hAnsi="TimesNewRomanPSMT" w:cs="TimesNewRomanPSMT"/>
        </w:rPr>
        <w:t>,</w:t>
      </w:r>
      <w:r w:rsidRPr="008D3DDC">
        <w:rPr>
          <w:rFonts w:ascii="TimesNewRomanPSMT" w:hAnsi="TimesNewRomanPSMT" w:cs="TimesNewRomanPSMT"/>
        </w:rPr>
        <w:t xml:space="preserve"> possibly transmitted using another transmit pattern. It may continue transmitting BRP-RX packets as long as the MID-extension field in all of them is set to 1. The last BRP-RX packet transmitted by the responder shall have the MID-extension field set to 0.</w:t>
      </w:r>
    </w:p>
    <w:p w:rsidR="00AC09AC" w:rsidRPr="008D3DDC" w:rsidRDefault="00AC09AC" w:rsidP="00AC09AC">
      <w:pPr>
        <w:autoSpaceDE w:val="0"/>
        <w:autoSpaceDN w:val="0"/>
        <w:adjustRightInd w:val="0"/>
        <w:jc w:val="both"/>
        <w:rPr>
          <w:rFonts w:ascii="TimesNewRomanPSMT" w:hAnsi="TimesNewRomanPSMT" w:cs="TimesNewRomanPSMT"/>
        </w:rPr>
      </w:pPr>
    </w:p>
    <w:p w:rsidR="00AC09AC" w:rsidRPr="008D3DDC" w:rsidRDefault="00AC09AC" w:rsidP="00AC09AC">
      <w:pPr>
        <w:autoSpaceDE w:val="0"/>
        <w:autoSpaceDN w:val="0"/>
        <w:adjustRightInd w:val="0"/>
        <w:jc w:val="both"/>
        <w:rPr>
          <w:rFonts w:ascii="TimesNewRomanPSMT" w:hAnsi="TimesNewRomanPSMT" w:cs="TimesNewRomanPSMT"/>
        </w:rPr>
      </w:pPr>
      <w:r w:rsidRPr="008D3DDC">
        <w:rPr>
          <w:rFonts w:ascii="TimesNewRomanPSMT" w:hAnsi="TimesNewRomanPSMT" w:cs="TimesNewRomanPSMT"/>
        </w:rPr>
        <w:t>If the initiator does not receive a BRP-RX packet within BRPIFS after transmitting the first packet, it may retransmit the first packet.</w:t>
      </w:r>
    </w:p>
    <w:p w:rsidR="00AC09AC" w:rsidRPr="008D3DDC" w:rsidRDefault="00AC09AC" w:rsidP="00AC09AC">
      <w:pPr>
        <w:autoSpaceDE w:val="0"/>
        <w:autoSpaceDN w:val="0"/>
        <w:adjustRightInd w:val="0"/>
        <w:jc w:val="both"/>
        <w:rPr>
          <w:rFonts w:ascii="TimesNewRomanPSMT" w:hAnsi="TimesNewRomanPSMT" w:cs="TimesNewRomanPSMT"/>
        </w:rPr>
      </w:pPr>
    </w:p>
    <w:p w:rsidR="00AC09AC" w:rsidRDefault="00AC09AC" w:rsidP="00AC09AC">
      <w:pPr>
        <w:autoSpaceDE w:val="0"/>
        <w:autoSpaceDN w:val="0"/>
        <w:adjustRightInd w:val="0"/>
        <w:jc w:val="both"/>
        <w:rPr>
          <w:iCs/>
        </w:rPr>
      </w:pPr>
      <w:r w:rsidRPr="008D3DDC">
        <w:rPr>
          <w:rFonts w:ascii="TimesNewRomanPSMT" w:hAnsi="TimesNewRomanPSMT" w:cs="TimesNewRomanPSMT"/>
        </w:rPr>
        <w:t xml:space="preserve">After the </w:t>
      </w:r>
      <w:r w:rsidRPr="008D3DDC">
        <w:rPr>
          <w:rFonts w:ascii="TimesNewRomanPSMT" w:hAnsi="TimesNewRomanPSMT" w:cs="TimesNewRomanPSMT" w:hint="eastAsia"/>
        </w:rPr>
        <w:t>i</w:t>
      </w:r>
      <w:r w:rsidRPr="008D3DDC">
        <w:rPr>
          <w:rFonts w:ascii="TimesNewRomanPSMT" w:hAnsi="TimesNewRomanPSMT" w:cs="TimesNewRomanPSMT"/>
        </w:rPr>
        <w:t xml:space="preserve">nitiator receives a BRP-RX packet with the MID-extension field set to 0, it shall respond </w:t>
      </w:r>
      <w:r>
        <w:rPr>
          <w:rFonts w:ascii="TimesNewRomanPSMT" w:hAnsi="TimesNewRomanPSMT" w:cs="TimesNewRomanPSMT"/>
        </w:rPr>
        <w:t>with a BRP frame with the appropriate feedback. This BRP frame should be sent using the best TX sector as determined in the SLS phase, while the responder should use a quasi-omni pattern to receive this frame. The feedback included in this BRP frame is</w:t>
      </w:r>
      <w:r>
        <w:rPr>
          <w:iCs/>
        </w:rPr>
        <w:t xml:space="preserve"> the number of RX AWVs to be tested in the subsequent R-BC sub-phase using the </w:t>
      </w:r>
      <w:r w:rsidRPr="00BA7566">
        <w:rPr>
          <w:rFonts w:ascii="TimesNewRomanPSMT" w:hAnsi="TimesNewRomanPSMT" w:cs="TimesNewRomanPSMT"/>
          <w:i/>
        </w:rPr>
        <w:t>N</w:t>
      </w:r>
      <w:r w:rsidRPr="00BA7566">
        <w:rPr>
          <w:rFonts w:ascii="TimesNewRomanPSMT" w:hAnsi="TimesNewRomanPSMT" w:cs="TimesNewRomanPSMT"/>
          <w:i/>
          <w:vertAlign w:val="subscript"/>
        </w:rPr>
        <w:t>beam</w:t>
      </w:r>
      <w:r>
        <w:rPr>
          <w:rFonts w:ascii="TimesNewRomanPSMT" w:hAnsi="TimesNewRomanPSMT" w:cs="TimesNewRomanPSMT"/>
        </w:rPr>
        <w:t xml:space="preserve"> field in the FBCK-TYPE field</w:t>
      </w:r>
      <w:r>
        <w:rPr>
          <w:iCs/>
        </w:rPr>
        <w:t xml:space="preserve">. </w:t>
      </w:r>
    </w:p>
    <w:p w:rsidR="00AC09AC" w:rsidRDefault="00AC09AC" w:rsidP="00AC09AC">
      <w:pPr>
        <w:autoSpaceDE w:val="0"/>
        <w:autoSpaceDN w:val="0"/>
        <w:adjustRightInd w:val="0"/>
        <w:jc w:val="both"/>
        <w:rPr>
          <w:iCs/>
        </w:rPr>
      </w:pPr>
    </w:p>
    <w:p w:rsidR="00AC09AC" w:rsidRDefault="00AC09AC" w:rsidP="00AC09AC">
      <w:pPr>
        <w:autoSpaceDE w:val="0"/>
        <w:autoSpaceDN w:val="0"/>
        <w:adjustRightInd w:val="0"/>
        <w:jc w:val="both"/>
        <w:rPr>
          <w:iCs/>
        </w:rPr>
      </w:pPr>
      <w:r>
        <w:rPr>
          <w:iCs/>
        </w:rPr>
        <w:t xml:space="preserve">If </w:t>
      </w:r>
      <w:r>
        <w:rPr>
          <w:rFonts w:hint="eastAsia"/>
          <w:iCs/>
        </w:rPr>
        <w:t>I</w:t>
      </w:r>
      <w:r>
        <w:rPr>
          <w:iCs/>
        </w:rPr>
        <w:t xml:space="preserve">-MID was granted in addition to </w:t>
      </w:r>
      <w:r>
        <w:rPr>
          <w:rFonts w:hint="eastAsia"/>
          <w:iCs/>
        </w:rPr>
        <w:t>R</w:t>
      </w:r>
      <w:r>
        <w:rPr>
          <w:iCs/>
        </w:rPr>
        <w:t xml:space="preserve">-MID, the </w:t>
      </w:r>
      <w:r>
        <w:rPr>
          <w:rFonts w:hint="eastAsia"/>
          <w:iCs/>
        </w:rPr>
        <w:t>initiator</w:t>
      </w:r>
      <w:r>
        <w:rPr>
          <w:iCs/>
        </w:rPr>
        <w:t xml:space="preserve"> shall </w:t>
      </w:r>
      <w:r>
        <w:rPr>
          <w:rFonts w:hint="eastAsia"/>
          <w:iCs/>
        </w:rPr>
        <w:t>send a BRP frame with</w:t>
      </w:r>
      <w:r>
        <w:rPr>
          <w:iCs/>
        </w:rPr>
        <w:t xml:space="preserve"> </w:t>
      </w:r>
      <w:r w:rsidRPr="008D3DDC">
        <w:rPr>
          <w:rFonts w:ascii="TimesNewRomanPSMT" w:hAnsi="TimesNewRomanPSMT" w:cs="TimesNewRomanPSMT"/>
        </w:rPr>
        <w:t xml:space="preserve">TRN-R fields (as </w:t>
      </w:r>
      <w:r w:rsidRPr="008D3DDC">
        <w:rPr>
          <w:rFonts w:ascii="TimesNewRomanPSMT" w:hAnsi="TimesNewRomanPSMT" w:cs="TimesNewRomanPSMT" w:hint="eastAsia"/>
        </w:rPr>
        <w:t>requested in the BRP setup sub-phase</w:t>
      </w:r>
      <w:r w:rsidRPr="008D3DDC">
        <w:rPr>
          <w:rFonts w:ascii="TimesNewRomanPSMT" w:hAnsi="TimesNewRomanPSMT" w:cs="TimesNewRomanPSMT"/>
        </w:rPr>
        <w:t>)</w:t>
      </w:r>
      <w:r w:rsidRPr="008D3DDC">
        <w:rPr>
          <w:rFonts w:ascii="TimesNewRomanPSMT" w:hAnsi="TimesNewRomanPSMT" w:cs="TimesNewRomanPSMT" w:hint="eastAsia"/>
        </w:rPr>
        <w:t>.</w:t>
      </w:r>
      <w:r w:rsidDel="002D4489">
        <w:rPr>
          <w:iCs/>
        </w:rPr>
        <w:t xml:space="preserve"> </w:t>
      </w:r>
      <w:r>
        <w:rPr>
          <w:rFonts w:hint="eastAsia"/>
          <w:iCs/>
        </w:rPr>
        <w:t>The initiator shall continue to send BRP packets i</w:t>
      </w:r>
      <w:r>
        <w:rPr>
          <w:iCs/>
        </w:rPr>
        <w:t xml:space="preserve">f the MID-extension was set to 1 as in the </w:t>
      </w:r>
      <w:r>
        <w:rPr>
          <w:rFonts w:hint="eastAsia"/>
          <w:iCs/>
        </w:rPr>
        <w:t>R</w:t>
      </w:r>
      <w:r>
        <w:rPr>
          <w:iCs/>
        </w:rPr>
        <w:t>-MID.</w:t>
      </w:r>
    </w:p>
    <w:p w:rsidR="00AC09AC" w:rsidRDefault="00AC09AC" w:rsidP="00AC09AC">
      <w:pPr>
        <w:autoSpaceDE w:val="0"/>
        <w:autoSpaceDN w:val="0"/>
        <w:adjustRightInd w:val="0"/>
        <w:jc w:val="both"/>
        <w:rPr>
          <w:iCs/>
        </w:rPr>
      </w:pPr>
    </w:p>
    <w:p w:rsidR="00AC09AC" w:rsidRDefault="00AC09AC" w:rsidP="00AC09AC">
      <w:pPr>
        <w:autoSpaceDE w:val="0"/>
        <w:autoSpaceDN w:val="0"/>
        <w:adjustRightInd w:val="0"/>
        <w:jc w:val="both"/>
        <w:rPr>
          <w:iCs/>
        </w:rPr>
      </w:pPr>
      <w:r>
        <w:rPr>
          <w:iCs/>
        </w:rPr>
        <w:t xml:space="preserve">After the responder receives a BRP-RX packet with the MID-extension set to 0. It </w:t>
      </w:r>
      <w:r>
        <w:rPr>
          <w:rFonts w:hint="eastAsia"/>
          <w:iCs/>
        </w:rPr>
        <w:t xml:space="preserve">shall </w:t>
      </w:r>
      <w:r>
        <w:rPr>
          <w:iCs/>
        </w:rPr>
        <w:t>respond by sending a BRP frame with feedback.</w:t>
      </w:r>
      <w:r w:rsidR="005515A4">
        <w:rPr>
          <w:iCs/>
        </w:rPr>
        <w:t xml:space="preserve"> </w:t>
      </w:r>
      <w:r>
        <w:rPr>
          <w:rFonts w:ascii="TimesNewRomanPSMT" w:hAnsi="TimesNewRomanPSMT" w:cs="TimesNewRomanPSMT"/>
        </w:rPr>
        <w:t xml:space="preserve">This BRP frame should be sent using the best TX sector as determined in the SLS phase, while the </w:t>
      </w:r>
      <w:r>
        <w:rPr>
          <w:rFonts w:ascii="TimesNewRomanPSMT" w:hAnsi="TimesNewRomanPSMT" w:cs="TimesNewRomanPSMT" w:hint="eastAsia"/>
        </w:rPr>
        <w:t>initiator</w:t>
      </w:r>
      <w:r>
        <w:rPr>
          <w:rFonts w:ascii="TimesNewRomanPSMT" w:hAnsi="TimesNewRomanPSMT" w:cs="TimesNewRomanPSMT"/>
        </w:rPr>
        <w:t xml:space="preserve"> should use a quasi-omni pattern to receive this frame. The feedback included in this BRP frame is</w:t>
      </w:r>
      <w:r>
        <w:rPr>
          <w:iCs/>
        </w:rPr>
        <w:t xml:space="preserve"> the number of RX AWVs to be tested in the subsequent </w:t>
      </w:r>
      <w:r>
        <w:rPr>
          <w:rFonts w:hint="eastAsia"/>
          <w:iCs/>
        </w:rPr>
        <w:t>I</w:t>
      </w:r>
      <w:r>
        <w:rPr>
          <w:iCs/>
        </w:rPr>
        <w:t xml:space="preserve">-BC sub-phase using the </w:t>
      </w:r>
      <w:r w:rsidRPr="00BA7566">
        <w:rPr>
          <w:rFonts w:ascii="TimesNewRomanPSMT" w:hAnsi="TimesNewRomanPSMT" w:cs="TimesNewRomanPSMT"/>
          <w:i/>
        </w:rPr>
        <w:t>N</w:t>
      </w:r>
      <w:r w:rsidRPr="00BA7566">
        <w:rPr>
          <w:rFonts w:ascii="TimesNewRomanPSMT" w:hAnsi="TimesNewRomanPSMT" w:cs="TimesNewRomanPSMT"/>
          <w:i/>
          <w:vertAlign w:val="subscript"/>
        </w:rPr>
        <w:t>beam</w:t>
      </w:r>
      <w:r>
        <w:rPr>
          <w:rFonts w:ascii="TimesNewRomanPSMT" w:hAnsi="TimesNewRomanPSMT" w:cs="TimesNewRomanPSMT"/>
        </w:rPr>
        <w:t xml:space="preserve"> field in the FBCK-TYPE field</w:t>
      </w:r>
      <w:r>
        <w:rPr>
          <w:iCs/>
        </w:rPr>
        <w:t>.</w:t>
      </w:r>
      <w:r w:rsidR="005515A4">
        <w:rPr>
          <w:iCs/>
        </w:rPr>
        <w:t xml:space="preserve"> </w:t>
      </w:r>
      <w:r>
        <w:rPr>
          <w:iCs/>
        </w:rPr>
        <w:t>The initiator shall respond with a BRP-frame with the TX-</w:t>
      </w:r>
      <w:r>
        <w:rPr>
          <w:rFonts w:hint="eastAsia"/>
          <w:iCs/>
        </w:rPr>
        <w:t>TRN</w:t>
      </w:r>
      <w:r>
        <w:rPr>
          <w:iCs/>
        </w:rPr>
        <w:t xml:space="preserve">-OK field set to 1 as an acknowledgement. The </w:t>
      </w:r>
      <w:r>
        <w:rPr>
          <w:rFonts w:hint="eastAsia"/>
          <w:iCs/>
        </w:rPr>
        <w:t>R</w:t>
      </w:r>
      <w:r>
        <w:rPr>
          <w:iCs/>
        </w:rPr>
        <w:t>-BC sub-phase then follows.</w:t>
      </w:r>
    </w:p>
    <w:p w:rsidR="00AC09AC" w:rsidRDefault="00AC09AC" w:rsidP="00AC09AC">
      <w:pPr>
        <w:autoSpaceDE w:val="0"/>
        <w:autoSpaceDN w:val="0"/>
        <w:adjustRightInd w:val="0"/>
        <w:jc w:val="both"/>
        <w:rPr>
          <w:iCs/>
        </w:rPr>
      </w:pPr>
    </w:p>
    <w:p w:rsidR="00AC09AC" w:rsidRDefault="00AC09AC" w:rsidP="00AC09AC">
      <w:pPr>
        <w:autoSpaceDE w:val="0"/>
        <w:autoSpaceDN w:val="0"/>
        <w:adjustRightInd w:val="0"/>
        <w:jc w:val="both"/>
        <w:rPr>
          <w:iCs/>
        </w:rPr>
      </w:pPr>
      <w:r>
        <w:rPr>
          <w:iCs/>
        </w:rPr>
        <w:t xml:space="preserve">If </w:t>
      </w:r>
      <w:r>
        <w:rPr>
          <w:rFonts w:hint="eastAsia"/>
          <w:iCs/>
        </w:rPr>
        <w:t>I</w:t>
      </w:r>
      <w:r>
        <w:rPr>
          <w:iCs/>
        </w:rPr>
        <w:t xml:space="preserve">-MID does not follow </w:t>
      </w:r>
      <w:r>
        <w:rPr>
          <w:rFonts w:hint="eastAsia"/>
          <w:iCs/>
        </w:rPr>
        <w:t>R</w:t>
      </w:r>
      <w:r>
        <w:rPr>
          <w:iCs/>
        </w:rPr>
        <w:t>-MID, the BC sub-phase follows immediately.</w:t>
      </w:r>
    </w:p>
    <w:p w:rsidR="00AC09AC" w:rsidRDefault="00AC09AC" w:rsidP="00AC09AC">
      <w:pPr>
        <w:autoSpaceDE w:val="0"/>
        <w:autoSpaceDN w:val="0"/>
        <w:adjustRightInd w:val="0"/>
        <w:rPr>
          <w:rFonts w:ascii="TimesNewRomanPSMT" w:hAnsi="TimesNewRomanPSMT" w:cs="TimesNewRomanPSMT"/>
        </w:rPr>
      </w:pPr>
    </w:p>
    <w:p w:rsidR="00FC542A" w:rsidRPr="00FC542A" w:rsidRDefault="00AC09AC" w:rsidP="000603B0">
      <w:pPr>
        <w:autoSpaceDE w:val="0"/>
        <w:autoSpaceDN w:val="0"/>
        <w:adjustRightInd w:val="0"/>
        <w:jc w:val="both"/>
        <w:rPr>
          <w:iCs/>
        </w:rPr>
      </w:pPr>
      <w:r>
        <w:rPr>
          <w:rFonts w:ascii="TimesNewRomanPSMT" w:hAnsi="TimesNewRomanPSMT" w:cs="TimesNewRomanPSMT"/>
          <w:u w:val="single"/>
        </w:rPr>
        <w:t>Executing the BC sub-phase</w:t>
      </w:r>
      <w:r w:rsidRPr="002A49F3">
        <w:rPr>
          <w:rFonts w:ascii="TimesNewRomanPSMT" w:hAnsi="TimesNewRomanPSMT" w:cs="TimesNewRomanPSMT"/>
          <w:u w:val="single"/>
        </w:rPr>
        <w:t>:</w:t>
      </w:r>
      <w:r w:rsidRPr="006428C4">
        <w:rPr>
          <w:rFonts w:ascii="TimesNewRomanPSMT" w:hAnsi="TimesNewRomanPSMT" w:cs="TimesNewRomanPSMT"/>
        </w:rPr>
        <w:t xml:space="preserve"> </w:t>
      </w:r>
      <w:r>
        <w:rPr>
          <w:rFonts w:ascii="TimesNewRomanPSMT" w:hAnsi="TimesNewRomanPSMT" w:cs="TimesNewRomanPSMT"/>
        </w:rPr>
        <w:t xml:space="preserve">The execution of an I-BC sub-phase is used as an example. In </w:t>
      </w:r>
      <w:r>
        <w:rPr>
          <w:iCs/>
        </w:rPr>
        <w:t xml:space="preserve">an I-BC sub-phase, the initiator shall transmit </w:t>
      </w:r>
      <w:r w:rsidRPr="00BA7566">
        <w:rPr>
          <w:iCs/>
        </w:rPr>
        <w:t>N</w:t>
      </w:r>
      <w:r w:rsidRPr="00BA7566">
        <w:rPr>
          <w:iCs/>
          <w:vertAlign w:val="subscript"/>
        </w:rPr>
        <w:t>beam</w:t>
      </w:r>
      <w:r w:rsidRPr="00BA7566">
        <w:rPr>
          <w:iCs/>
          <w:vertAlign w:val="superscript"/>
        </w:rPr>
        <w:t>(I,TX)</w:t>
      </w:r>
      <w:r>
        <w:rPr>
          <w:iCs/>
        </w:rPr>
        <w:t xml:space="preserve"> BRP-RX frames using the number of TX sectors specified during the BRP setup sub-phase. Each BRP-RX frame shall be appended with N</w:t>
      </w:r>
      <w:r>
        <w:rPr>
          <w:iCs/>
          <w:vertAlign w:val="subscript"/>
        </w:rPr>
        <w:t>beam</w:t>
      </w:r>
      <w:r>
        <w:rPr>
          <w:iCs/>
          <w:vertAlign w:val="superscript"/>
        </w:rPr>
        <w:t xml:space="preserve">(I,RX) </w:t>
      </w:r>
      <w:r w:rsidRPr="00BA7566">
        <w:rPr>
          <w:i/>
          <w:iCs/>
        </w:rPr>
        <w:t>TRN-R</w:t>
      </w:r>
      <w:r>
        <w:rPr>
          <w:rFonts w:hint="eastAsia"/>
          <w:iCs/>
        </w:rPr>
        <w:t xml:space="preserve"> </w:t>
      </w:r>
      <w:r>
        <w:rPr>
          <w:iCs/>
        </w:rPr>
        <w:t xml:space="preserve">subfields, and shall </w:t>
      </w:r>
      <w:r>
        <w:rPr>
          <w:rFonts w:ascii="TimesNewRomanPSMT" w:hAnsi="TimesNewRomanPSMT" w:cs="TimesNewRomanPSMT"/>
        </w:rPr>
        <w:t xml:space="preserve">include the </w:t>
      </w:r>
      <w:r w:rsidRPr="00BA7566">
        <w:rPr>
          <w:rFonts w:ascii="TimesNewRomanPSMT" w:hAnsi="TimesNewRomanPSMT" w:cs="TimesNewRomanPSMT"/>
          <w:i/>
        </w:rPr>
        <w:t>Sector ID</w:t>
      </w:r>
      <w:r>
        <w:rPr>
          <w:rFonts w:ascii="TimesNewRomanPSMT" w:hAnsi="TimesNewRomanPSMT" w:cs="TimesNewRomanPSMT" w:hint="eastAsia"/>
        </w:rPr>
        <w:t xml:space="preserve"> subfield</w:t>
      </w:r>
      <w:r>
        <w:rPr>
          <w:rFonts w:ascii="TimesNewRomanPSMT" w:hAnsi="TimesNewRomanPSMT" w:cs="TimesNewRomanPSMT"/>
        </w:rPr>
        <w:t xml:space="preserve"> of the TX sector used</w:t>
      </w:r>
      <w:r>
        <w:rPr>
          <w:iCs/>
        </w:rPr>
        <w:t xml:space="preserve">. While receiving these </w:t>
      </w:r>
      <w:r w:rsidRPr="00BA7566">
        <w:rPr>
          <w:i/>
          <w:iCs/>
        </w:rPr>
        <w:t>TRN-R</w:t>
      </w:r>
      <w:r>
        <w:rPr>
          <w:iCs/>
        </w:rPr>
        <w:t xml:space="preserve"> subfields, the responder shall switch through the RX AWVs selected during the prior I-MID </w:t>
      </w:r>
      <w:r>
        <w:rPr>
          <w:rFonts w:hint="eastAsia"/>
          <w:iCs/>
        </w:rPr>
        <w:t>sub-phase</w:t>
      </w:r>
      <w:r>
        <w:rPr>
          <w:iCs/>
        </w:rPr>
        <w:t xml:space="preserve">. To conclude the I-BC </w:t>
      </w:r>
      <w:r>
        <w:rPr>
          <w:rFonts w:hint="eastAsia"/>
          <w:iCs/>
        </w:rPr>
        <w:t>sub-phase</w:t>
      </w:r>
      <w:r>
        <w:rPr>
          <w:iCs/>
        </w:rPr>
        <w:t xml:space="preserve">, the responder shall feed back to the initiator a BRP frame with (a) the </w:t>
      </w:r>
      <w:r w:rsidRPr="00985B0E">
        <w:rPr>
          <w:iCs/>
        </w:rPr>
        <w:t>BS-FBCK</w:t>
      </w:r>
      <w:r>
        <w:rPr>
          <w:iCs/>
        </w:rPr>
        <w:t xml:space="preserve"> field set to the TX sector ID of the BRP-RX packet received with the highest link quality, and (b) </w:t>
      </w:r>
      <w:r>
        <w:rPr>
          <w:rFonts w:ascii="TimesNewRomanPSMT" w:hAnsi="TimesNewRomanPSMT" w:cs="TimesNewRomanPSMT"/>
        </w:rPr>
        <w:t xml:space="preserve">the ordered list of transmit sectors (based on received link quality during the I-BC) using the </w:t>
      </w:r>
      <w:r w:rsidRPr="00985B0E">
        <w:rPr>
          <w:rFonts w:ascii="TimesNewRomanPSMT" w:hAnsi="TimesNewRomanPSMT" w:cs="TimesNewRomanPSMT" w:hint="eastAsia"/>
        </w:rPr>
        <w:t>S</w:t>
      </w:r>
      <w:r w:rsidRPr="00985B0E">
        <w:rPr>
          <w:rFonts w:ascii="TimesNewRomanPSMT" w:hAnsi="TimesNewRomanPSMT" w:cs="TimesNewRomanPSMT"/>
        </w:rPr>
        <w:t>ector ID order</w:t>
      </w:r>
      <w:r>
        <w:rPr>
          <w:rFonts w:ascii="TimesNewRomanPSMT" w:hAnsi="TimesNewRomanPSMT" w:cs="TimesNewRomanPSMT" w:hint="eastAsia"/>
        </w:rPr>
        <w:t xml:space="preserve"> </w:t>
      </w:r>
      <w:r>
        <w:rPr>
          <w:rFonts w:ascii="TimesNewRomanPSMT" w:hAnsi="TimesNewRomanPSMT" w:cs="TimesNewRomanPSMT"/>
        </w:rPr>
        <w:t>subfield in the channel measurement feedback element</w:t>
      </w:r>
      <w:r>
        <w:rPr>
          <w:iCs/>
        </w:rPr>
        <w:t xml:space="preserve">. </w:t>
      </w:r>
      <w:r>
        <w:rPr>
          <w:rFonts w:ascii="TimesNewRomanPSMT" w:hAnsi="TimesNewRomanPSMT" w:cs="TimesNewRomanPSMT"/>
        </w:rPr>
        <w:t xml:space="preserve">This BRP frame should be sent using the best TX sector as determined in the SLS phase, while the initiator should use a quasi-omni pattern to receive this frame. </w:t>
      </w:r>
      <w:r>
        <w:rPr>
          <w:iCs/>
        </w:rPr>
        <w:t>The complete procedure is illustrated in</w:t>
      </w:r>
      <w:r w:rsidR="007E3F65">
        <w:rPr>
          <w:iCs/>
        </w:rPr>
        <w:t xml:space="preserve"> </w:t>
      </w:r>
      <w:r w:rsidR="00BD151C">
        <w:rPr>
          <w:iCs/>
        </w:rPr>
        <w:fldChar w:fldCharType="begin"/>
      </w:r>
      <w:r w:rsidR="007E3F65">
        <w:rPr>
          <w:iCs/>
        </w:rPr>
        <w:instrText xml:space="preserve"> REF _Ref257278747 \h </w:instrText>
      </w:r>
      <w:r w:rsidR="00BD151C">
        <w:rPr>
          <w:iCs/>
        </w:rPr>
      </w:r>
      <w:r w:rsidR="00BD151C">
        <w:rPr>
          <w:iCs/>
        </w:rPr>
        <w:fldChar w:fldCharType="separate"/>
      </w:r>
      <w:r w:rsidR="003E4210">
        <w:t xml:space="preserve">Figure </w:t>
      </w:r>
      <w:r w:rsidR="003E4210">
        <w:rPr>
          <w:noProof/>
        </w:rPr>
        <w:t>102</w:t>
      </w:r>
      <w:r w:rsidR="00BD151C">
        <w:rPr>
          <w:iCs/>
        </w:rPr>
        <w:fldChar w:fldCharType="end"/>
      </w:r>
      <w:r w:rsidR="007C5C0A">
        <w:rPr>
          <w:iCs/>
        </w:rPr>
        <w:t xml:space="preserve">, while </w:t>
      </w:r>
      <w:r w:rsidR="00BD151C">
        <w:rPr>
          <w:iCs/>
        </w:rPr>
        <w:fldChar w:fldCharType="begin"/>
      </w:r>
      <w:r w:rsidR="007E3F65">
        <w:rPr>
          <w:iCs/>
        </w:rPr>
        <w:instrText xml:space="preserve"> REF _Ref257278749 \h </w:instrText>
      </w:r>
      <w:r w:rsidR="00BD151C">
        <w:rPr>
          <w:iCs/>
        </w:rPr>
      </w:r>
      <w:r w:rsidR="00BD151C">
        <w:rPr>
          <w:iCs/>
        </w:rPr>
        <w:fldChar w:fldCharType="separate"/>
      </w:r>
      <w:r w:rsidR="003E4210">
        <w:t xml:space="preserve">Figure </w:t>
      </w:r>
      <w:r w:rsidR="003E4210">
        <w:rPr>
          <w:noProof/>
        </w:rPr>
        <w:t>103</w:t>
      </w:r>
      <w:r w:rsidR="00BD151C">
        <w:rPr>
          <w:iCs/>
        </w:rPr>
        <w:fldChar w:fldCharType="end"/>
      </w:r>
      <w:r w:rsidR="007E3F65">
        <w:rPr>
          <w:iCs/>
        </w:rPr>
        <w:t xml:space="preserve"> </w:t>
      </w:r>
      <w:r w:rsidR="007C5C0A">
        <w:rPr>
          <w:iCs/>
        </w:rPr>
        <w:t>depicts the beam combining sub-phase.</w:t>
      </w:r>
    </w:p>
    <w:p w:rsidR="00FC542A" w:rsidRPr="00FC542A" w:rsidRDefault="00FC542A" w:rsidP="00FC542A">
      <w:pPr>
        <w:autoSpaceDE w:val="0"/>
        <w:autoSpaceDN w:val="0"/>
        <w:adjustRightInd w:val="0"/>
        <w:jc w:val="both"/>
        <w:rPr>
          <w:iCs/>
        </w:rPr>
      </w:pPr>
    </w:p>
    <w:p w:rsidR="00FE4EAD" w:rsidRDefault="00FE4EAD" w:rsidP="00FE4EAD">
      <w:pPr>
        <w:autoSpaceDE w:val="0"/>
        <w:autoSpaceDN w:val="0"/>
        <w:adjustRightInd w:val="0"/>
        <w:jc w:val="center"/>
      </w:pPr>
      <w:r>
        <w:object w:dxaOrig="13032" w:dyaOrig="4500">
          <v:shape id="_x0000_i1062" type="#_x0000_t75" style="width:351.85pt;height:120.45pt" o:ole="">
            <v:imagedata r:id="rId171" o:title=""/>
          </v:shape>
          <o:OLEObject Type="Embed" ProgID="Word.Picture.8" ShapeID="_x0000_i1062" DrawAspect="Content" ObjectID="_1334048244" r:id="rId172"/>
        </w:object>
      </w:r>
    </w:p>
    <w:p w:rsidR="00FE4EAD" w:rsidRDefault="00FE4EAD" w:rsidP="00FE4EAD">
      <w:pPr>
        <w:autoSpaceDE w:val="0"/>
        <w:autoSpaceDN w:val="0"/>
        <w:adjustRightInd w:val="0"/>
        <w:jc w:val="center"/>
        <w:rPr>
          <w:sz w:val="18"/>
          <w:szCs w:val="18"/>
        </w:rPr>
      </w:pPr>
      <w:r w:rsidRPr="00A00A4B">
        <w:rPr>
          <w:sz w:val="18"/>
          <w:szCs w:val="18"/>
        </w:rPr>
        <w:t xml:space="preserve">(a) Normal process: one MID </w:t>
      </w:r>
      <w:r>
        <w:rPr>
          <w:sz w:val="18"/>
          <w:szCs w:val="18"/>
        </w:rPr>
        <w:t>and BC</w:t>
      </w:r>
      <w:r w:rsidRPr="00A00A4B">
        <w:rPr>
          <w:sz w:val="18"/>
          <w:szCs w:val="18"/>
        </w:rPr>
        <w:t xml:space="preserve"> for </w:t>
      </w:r>
      <w:r>
        <w:rPr>
          <w:rFonts w:hint="eastAsia"/>
          <w:sz w:val="18"/>
          <w:szCs w:val="18"/>
        </w:rPr>
        <w:t xml:space="preserve">each </w:t>
      </w:r>
      <w:r>
        <w:rPr>
          <w:sz w:val="18"/>
          <w:szCs w:val="18"/>
        </w:rPr>
        <w:t>initiator and responder link</w:t>
      </w:r>
      <w:r w:rsidRPr="00A00A4B">
        <w:rPr>
          <w:sz w:val="18"/>
          <w:szCs w:val="18"/>
        </w:rPr>
        <w:t xml:space="preserve"> </w:t>
      </w:r>
      <w:r>
        <w:rPr>
          <w:rFonts w:hint="eastAsia"/>
          <w:sz w:val="18"/>
          <w:szCs w:val="18"/>
        </w:rPr>
        <w:t>(</w:t>
      </w:r>
      <w:r>
        <w:rPr>
          <w:sz w:val="18"/>
          <w:szCs w:val="18"/>
        </w:rPr>
        <w:t>the initiator and responder use a quasi-omni TX pattern</w:t>
      </w:r>
      <w:r w:rsidRPr="00A00A4B">
        <w:rPr>
          <w:sz w:val="18"/>
          <w:szCs w:val="18"/>
        </w:rPr>
        <w:t>)</w:t>
      </w:r>
    </w:p>
    <w:p w:rsidR="00791856" w:rsidRDefault="00FE4EAD" w:rsidP="00FE4EAD">
      <w:pPr>
        <w:autoSpaceDE w:val="0"/>
        <w:autoSpaceDN w:val="0"/>
        <w:adjustRightInd w:val="0"/>
        <w:jc w:val="center"/>
      </w:pPr>
      <w:r>
        <w:object w:dxaOrig="15484" w:dyaOrig="4500">
          <v:shape id="_x0000_i1063" type="#_x0000_t75" style="width:417.95pt;height:120.45pt" o:ole="">
            <v:imagedata r:id="rId173" o:title=""/>
          </v:shape>
          <o:OLEObject Type="Embed" ProgID="Word.Picture.8" ShapeID="_x0000_i1063" DrawAspect="Content" ObjectID="_1334048245" r:id="rId174"/>
        </w:object>
      </w:r>
    </w:p>
    <w:p w:rsidR="00FE4EAD" w:rsidRPr="008E3091" w:rsidRDefault="00FE4EAD" w:rsidP="00FE4EAD">
      <w:pPr>
        <w:autoSpaceDE w:val="0"/>
        <w:autoSpaceDN w:val="0"/>
        <w:adjustRightInd w:val="0"/>
        <w:jc w:val="center"/>
        <w:rPr>
          <w:sz w:val="18"/>
          <w:szCs w:val="18"/>
        </w:rPr>
      </w:pPr>
      <w:r w:rsidRPr="00A00A4B">
        <w:rPr>
          <w:sz w:val="18"/>
          <w:szCs w:val="18"/>
        </w:rPr>
        <w:t xml:space="preserve">(b) </w:t>
      </w:r>
      <w:r>
        <w:rPr>
          <w:rFonts w:hint="eastAsia"/>
          <w:sz w:val="18"/>
          <w:szCs w:val="18"/>
        </w:rPr>
        <w:t>T</w:t>
      </w:r>
      <w:r>
        <w:rPr>
          <w:sz w:val="18"/>
          <w:szCs w:val="18"/>
        </w:rPr>
        <w:t>h</w:t>
      </w:r>
      <w:r>
        <w:rPr>
          <w:rFonts w:hint="eastAsia"/>
          <w:sz w:val="18"/>
          <w:szCs w:val="18"/>
        </w:rPr>
        <w:t>e MID for</w:t>
      </w:r>
      <w:r w:rsidRPr="00A00A4B">
        <w:rPr>
          <w:sz w:val="18"/>
          <w:szCs w:val="18"/>
        </w:rPr>
        <w:t xml:space="preserve"> both the initiator and responder are </w:t>
      </w:r>
      <w:r>
        <w:rPr>
          <w:rFonts w:hint="eastAsia"/>
          <w:sz w:val="18"/>
          <w:szCs w:val="18"/>
        </w:rPr>
        <w:t xml:space="preserve">repeated twice: each TX beam is </w:t>
      </w:r>
      <w:r>
        <w:rPr>
          <w:sz w:val="18"/>
          <w:szCs w:val="18"/>
        </w:rPr>
        <w:t>wider than a TX sector but narrower than a quasi-omni pattern</w:t>
      </w:r>
      <w:r>
        <w:rPr>
          <w:rFonts w:hint="eastAsia"/>
          <w:sz w:val="18"/>
          <w:szCs w:val="18"/>
        </w:rPr>
        <w:t xml:space="preserve"> and covers a different direction</w:t>
      </w:r>
    </w:p>
    <w:p w:rsidR="00FE4EAD" w:rsidRDefault="00FE4EAD" w:rsidP="00FE4EAD">
      <w:pPr>
        <w:autoSpaceDE w:val="0"/>
        <w:autoSpaceDN w:val="0"/>
        <w:adjustRightInd w:val="0"/>
        <w:jc w:val="center"/>
      </w:pPr>
      <w:r>
        <w:object w:dxaOrig="14299" w:dyaOrig="4500">
          <v:shape id="_x0000_i1064" type="#_x0000_t75" style="width:387.6pt;height:122.7pt" o:ole="">
            <v:imagedata r:id="rId175" o:title=""/>
          </v:shape>
          <o:OLEObject Type="Embed" ProgID="Word.Picture.8" ShapeID="_x0000_i1064" DrawAspect="Content" ObjectID="_1334048246" r:id="rId176"/>
        </w:object>
      </w:r>
    </w:p>
    <w:p w:rsidR="00FE4EAD" w:rsidRPr="00A00A4B" w:rsidRDefault="00FE4EAD" w:rsidP="00FE4EAD">
      <w:pPr>
        <w:autoSpaceDE w:val="0"/>
        <w:autoSpaceDN w:val="0"/>
        <w:adjustRightInd w:val="0"/>
        <w:jc w:val="center"/>
        <w:rPr>
          <w:sz w:val="18"/>
          <w:szCs w:val="18"/>
        </w:rPr>
      </w:pPr>
      <w:r w:rsidRPr="00A00A4B">
        <w:rPr>
          <w:sz w:val="18"/>
          <w:szCs w:val="18"/>
        </w:rPr>
        <w:t xml:space="preserve">(c) </w:t>
      </w:r>
      <w:r>
        <w:rPr>
          <w:rFonts w:hint="eastAsia"/>
          <w:sz w:val="18"/>
          <w:szCs w:val="18"/>
        </w:rPr>
        <w:t xml:space="preserve">The MID for </w:t>
      </w:r>
      <w:r w:rsidRPr="00A00A4B">
        <w:rPr>
          <w:sz w:val="18"/>
          <w:szCs w:val="18"/>
        </w:rPr>
        <w:t xml:space="preserve">the initiator is </w:t>
      </w:r>
      <w:r>
        <w:rPr>
          <w:rFonts w:hint="eastAsia"/>
          <w:sz w:val="18"/>
          <w:szCs w:val="18"/>
        </w:rPr>
        <w:t>repeated twice</w:t>
      </w:r>
      <w:r w:rsidRPr="00A00A4B">
        <w:rPr>
          <w:sz w:val="18"/>
          <w:szCs w:val="18"/>
        </w:rPr>
        <w:t xml:space="preserve">: </w:t>
      </w:r>
      <w:r>
        <w:rPr>
          <w:rFonts w:hint="eastAsia"/>
          <w:sz w:val="18"/>
          <w:szCs w:val="18"/>
        </w:rPr>
        <w:t xml:space="preserve">each TX beam is </w:t>
      </w:r>
      <w:r>
        <w:rPr>
          <w:sz w:val="18"/>
          <w:szCs w:val="18"/>
        </w:rPr>
        <w:t>wider than a TX sector but narrower than a quasi-omni pattern</w:t>
      </w:r>
      <w:r>
        <w:rPr>
          <w:rFonts w:hint="eastAsia"/>
          <w:sz w:val="18"/>
          <w:szCs w:val="18"/>
        </w:rPr>
        <w:t xml:space="preserve"> and covers a different direction</w:t>
      </w:r>
    </w:p>
    <w:p w:rsidR="00FC542A" w:rsidRPr="008E540B" w:rsidRDefault="00FC542A" w:rsidP="008E540B">
      <w:pPr>
        <w:keepNext/>
        <w:autoSpaceDE w:val="0"/>
        <w:autoSpaceDN w:val="0"/>
        <w:adjustRightInd w:val="0"/>
        <w:jc w:val="center"/>
        <w:rPr>
          <w:sz w:val="18"/>
          <w:szCs w:val="18"/>
        </w:rPr>
      </w:pPr>
    </w:p>
    <w:p w:rsidR="008749A1" w:rsidRDefault="008749A1" w:rsidP="008749A1"/>
    <w:p w:rsidR="006F6C58" w:rsidRDefault="004C3611" w:rsidP="00FA5CFE">
      <w:pPr>
        <w:pStyle w:val="Caption"/>
        <w:rPr>
          <w:rFonts w:cs="Arial"/>
        </w:rPr>
      </w:pPr>
      <w:bookmarkStart w:id="1673" w:name="_Ref257278747"/>
      <w:bookmarkStart w:id="1674" w:name="_Toc259717534"/>
      <w:r>
        <w:t xml:space="preserve">Figure </w:t>
      </w:r>
      <w:r w:rsidR="00BD151C">
        <w:fldChar w:fldCharType="begin"/>
      </w:r>
      <w:r w:rsidR="00801316">
        <w:instrText xml:space="preserve"> SEQ Figure \* ARABIC </w:instrText>
      </w:r>
      <w:r w:rsidR="00BD151C">
        <w:fldChar w:fldCharType="separate"/>
      </w:r>
      <w:r w:rsidR="003E4210">
        <w:rPr>
          <w:noProof/>
        </w:rPr>
        <w:t>102</w:t>
      </w:r>
      <w:r w:rsidR="00BD151C">
        <w:fldChar w:fldCharType="end"/>
      </w:r>
      <w:bookmarkEnd w:id="1673"/>
      <w:r w:rsidR="00FA5CFE">
        <w:t xml:space="preserve"> </w:t>
      </w:r>
      <w:r w:rsidR="00080054">
        <w:t xml:space="preserve">– </w:t>
      </w:r>
      <w:r w:rsidRPr="008E540B">
        <w:rPr>
          <w:rFonts w:cs="Arial"/>
        </w:rPr>
        <w:t>Examples of the use of the MID extension field during the execution of the MID sub-ph</w:t>
      </w:r>
      <w:r>
        <w:rPr>
          <w:rFonts w:cs="Arial"/>
        </w:rPr>
        <w:t>ase</w:t>
      </w:r>
      <w:bookmarkEnd w:id="1674"/>
    </w:p>
    <w:p w:rsidR="008749A1" w:rsidRPr="008749A1" w:rsidRDefault="008749A1" w:rsidP="008749A1">
      <w:pPr>
        <w:rPr>
          <w:lang w:bidi="ar-SA"/>
        </w:rPr>
      </w:pPr>
    </w:p>
    <w:p w:rsidR="008E540B" w:rsidRDefault="00BD151C" w:rsidP="008E540B">
      <w:pPr>
        <w:autoSpaceDE w:val="0"/>
        <w:autoSpaceDN w:val="0"/>
        <w:adjustRightInd w:val="0"/>
      </w:pPr>
      <w:r>
        <w:rPr>
          <w:noProof/>
        </w:rPr>
        <w:pict>
          <v:group id="_x0000_s1047" editas="canvas" style="position:absolute;margin-left:-1pt;margin-top:0;width:476.55pt;height:211.2pt;z-index:251653120;mso-position-horizontal-relative:char;mso-position-vertical-relative:line" coordorigin="1701,9545" coordsize="9531,4224">
            <o:lock v:ext="edit" aspectratio="t"/>
            <v:shape id="_x0000_s1048" type="#_x0000_t75" style="position:absolute;left:1701;top:9545;width:9531;height:4224" o:preferrelative="f">
              <v:fill o:detectmouseclick="t"/>
              <v:path o:extrusionok="t" o:connecttype="none"/>
              <o:lock v:ext="edit" text="t"/>
            </v:shape>
            <v:shape id="_x0000_s1049" type="#_x0000_t202" style="position:absolute;left:8344;top:9545;width:1011;height:497" filled="f" stroked="f">
              <v:textbox style="mso-next-textbox:#_x0000_s1049" inset="0,0,0,0">
                <w:txbxContent>
                  <w:p w:rsidR="00DB6E8E" w:rsidRPr="004445E4" w:rsidRDefault="00DB6E8E" w:rsidP="00FE4EAD">
                    <w:pPr>
                      <w:snapToGrid w:val="0"/>
                      <w:spacing w:line="240" w:lineRule="atLeast"/>
                      <w:jc w:val="center"/>
                      <w:rPr>
                        <w:rFonts w:ascii="Arial" w:hAnsi="Arial" w:cs="Arial"/>
                        <w:sz w:val="16"/>
                        <w:szCs w:val="28"/>
                        <w:u w:val="single"/>
                      </w:rPr>
                    </w:pPr>
                    <w:r w:rsidRPr="004445E4">
                      <w:rPr>
                        <w:rFonts w:ascii="Arial" w:hAnsi="Arial" w:cs="Arial" w:hint="eastAsia"/>
                        <w:sz w:val="16"/>
                        <w:szCs w:val="28"/>
                        <w:u w:val="single"/>
                      </w:rPr>
                      <w:t>&gt;</w:t>
                    </w:r>
                    <w:r w:rsidRPr="004445E4">
                      <w:rPr>
                        <w:rFonts w:ascii="Arial" w:hAnsi="Arial" w:cs="Arial" w:hint="eastAsia"/>
                        <w:sz w:val="16"/>
                        <w:szCs w:val="28"/>
                      </w:rPr>
                      <w:t xml:space="preserve"> SIFS</w:t>
                    </w:r>
                  </w:p>
                  <w:p w:rsidR="00DB6E8E" w:rsidRPr="004445E4" w:rsidRDefault="00DB6E8E" w:rsidP="00FE4EAD">
                    <w:pPr>
                      <w:snapToGrid w:val="0"/>
                      <w:spacing w:line="240" w:lineRule="atLeast"/>
                      <w:jc w:val="center"/>
                      <w:rPr>
                        <w:rFonts w:ascii="Arial" w:hAnsi="Arial" w:cs="Arial"/>
                        <w:sz w:val="16"/>
                        <w:szCs w:val="28"/>
                      </w:rPr>
                    </w:pPr>
                    <w:r w:rsidRPr="004445E4">
                      <w:rPr>
                        <w:rFonts w:ascii="Arial" w:hAnsi="Arial" w:cs="Arial" w:hint="eastAsia"/>
                        <w:sz w:val="16"/>
                        <w:szCs w:val="28"/>
                        <w:u w:val="single"/>
                      </w:rPr>
                      <w:t>&lt;</w:t>
                    </w:r>
                    <w:r w:rsidRPr="004445E4">
                      <w:rPr>
                        <w:rFonts w:ascii="Arial" w:hAnsi="Arial" w:cs="Arial" w:hint="eastAsia"/>
                        <w:sz w:val="16"/>
                        <w:szCs w:val="28"/>
                      </w:rPr>
                      <w:t xml:space="preserve"> BRPIFS</w:t>
                    </w:r>
                  </w:p>
                </w:txbxContent>
              </v:textbox>
            </v:shape>
            <v:line id="_x0000_s1050" style="position:absolute" from="8698,10313" to="9096,10315" strokeweight=".5pt">
              <v:stroke startarrow="block" startarrowlength="short" endarrow="block" endarrowlength="short"/>
            </v:line>
            <v:line id="_x0000_s1051" style="position:absolute;flip:y" from="9102,10035" to="9103,11072"/>
            <v:rect id="_x0000_s1052" style="position:absolute;left:9102;top:10581;width:406;height:519" fillcolor="#e6e6ff" strokeweight="1.5pt">
              <v:textbox inset="5.85pt,.7pt,5.85pt,.7pt"/>
            </v:rect>
            <v:rect id="_x0000_s1053" style="position:absolute;left:9913;top:11618;width:406;height:519" fillcolor="#e6e6ff" strokeweight="1.5pt">
              <v:textbox inset="5.85pt,.7pt,5.85pt,.7pt"/>
            </v:rect>
            <v:shape id="_x0000_s1054" type="#_x0000_t202" style="position:absolute;left:9305;top:9545;width:1014;height:776" filled="f" stroked="f">
              <v:textbox style="mso-next-textbox:#_x0000_s1054"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 with</w:t>
                    </w:r>
                  </w:p>
                  <w:p w:rsidR="00DB6E8E" w:rsidRPr="004445E4" w:rsidRDefault="00DB6E8E" w:rsidP="00FE4EAD">
                    <w:pPr>
                      <w:jc w:val="center"/>
                      <w:rPr>
                        <w:rFonts w:ascii="Arial" w:hAnsi="Arial" w:cs="Arial"/>
                        <w:sz w:val="16"/>
                        <w:szCs w:val="28"/>
                      </w:rPr>
                    </w:pPr>
                    <w:r>
                      <w:rPr>
                        <w:rFonts w:ascii="Arial" w:hAnsi="Arial" w:cs="Arial"/>
                        <w:sz w:val="16"/>
                        <w:szCs w:val="28"/>
                      </w:rPr>
                      <w:t>f</w:t>
                    </w:r>
                    <w:r w:rsidRPr="004445E4">
                      <w:rPr>
                        <w:rFonts w:ascii="Arial" w:hAnsi="Arial" w:cs="Arial" w:hint="eastAsia"/>
                        <w:sz w:val="16"/>
                        <w:szCs w:val="28"/>
                      </w:rPr>
                      <w:t>eedback</w:t>
                    </w:r>
                  </w:p>
                </w:txbxContent>
              </v:textbox>
            </v:shape>
            <v:line id="_x0000_s1055" style="position:absolute;flip:x" from="9305,10322" to="9508,10840">
              <v:stroke endarrow="block" endarrowlength="short"/>
            </v:line>
            <v:shape id="_x0000_s1056" type="#_x0000_t202" style="position:absolute;left:9913;top:11748;width:406;height:259" filled="f" stroked="f">
              <v:textbox style="mso-next-textbox:#_x0000_s1056"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w:t>
                    </w:r>
                  </w:p>
                </w:txbxContent>
              </v:textbox>
            </v:shape>
            <v:line id="_x0000_s1057" style="position:absolute;flip:y" from="9516,12397" to="9914,12398" strokeweight=".5pt">
              <v:stroke startarrow="block" startarrowlength="short" endarrow="block" endarrowlength="short"/>
            </v:line>
            <v:line id="_x0000_s1058" style="position:absolute;flip:y" from="9913,11618" to="9914,12655"/>
            <v:line id="_x0000_s1059" style="position:absolute;flip:y" from="9516,11100" to="9517,12655"/>
            <v:line id="_x0000_s1060" style="position:absolute" from="2614,12136" to="10521,12137" strokeweight="1.5pt">
              <v:stroke endarrow="block" endarrowlength="short"/>
            </v:line>
            <v:line id="_x0000_s1061" style="position:absolute;flip:y" from="2614,10579" to="10521,10580" strokeweight="1.5pt">
              <v:stroke endarrow="block" endarrowlength="short"/>
            </v:line>
            <v:rect id="_x0000_s1062" style="position:absolute;left:3019;top:10582;width:607;height:518" fillcolor="#e6e6ff" strokeweight="1.5pt">
              <v:textbox inset="5.85pt,.7pt,5.85pt,.7pt"/>
            </v:rect>
            <v:shape id="_x0000_s1063" type="#_x0000_t202" style="position:absolute;left:1701;top:12007;width:915;height:260" filled="f" stroked="f">
              <v:textbox style="mso-next-textbox:#_x0000_s1063" inset="0,0,0,0">
                <w:txbxContent>
                  <w:p w:rsidR="00DB6E8E" w:rsidRPr="004445E4" w:rsidRDefault="00DB6E8E" w:rsidP="00FE4EAD">
                    <w:pPr>
                      <w:jc w:val="center"/>
                      <w:rPr>
                        <w:rFonts w:ascii="Arial" w:hAnsi="Arial" w:cs="Arial"/>
                        <w:sz w:val="16"/>
                        <w:szCs w:val="28"/>
                      </w:rPr>
                    </w:pPr>
                    <w:r>
                      <w:rPr>
                        <w:rFonts w:ascii="Arial" w:hAnsi="Arial" w:cs="Arial"/>
                        <w:sz w:val="16"/>
                        <w:szCs w:val="28"/>
                      </w:rPr>
                      <w:t>Initiator</w:t>
                    </w:r>
                  </w:p>
                </w:txbxContent>
              </v:textbox>
            </v:shape>
            <v:shape id="_x0000_s1064" type="#_x0000_t202" style="position:absolute;left:3019;top:10712;width:608;height:258" filled="f" stroked="f">
              <v:textbox style="mso-next-textbox:#_x0000_s1064"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65" style="position:absolute;left:3831;top:10581;width:607;height:517" fillcolor="#e6e6ff" strokeweight="1.5pt">
              <v:textbox inset="5.85pt,.7pt,5.85pt,.7pt"/>
            </v:rect>
            <v:shape id="_x0000_s1066" type="#_x0000_t202" style="position:absolute;left:3831;top:10712;width:610;height:258" filled="f" stroked="f">
              <v:textbox style="mso-next-textbox:#_x0000_s1066"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67" style="position:absolute;left:5047;top:10580;width:609;height:518" fillcolor="#e6e6ff" strokeweight="1.5pt">
              <v:textbox inset="5.85pt,.7pt,5.85pt,.7pt"/>
            </v:rect>
            <v:shape id="_x0000_s1068" type="#_x0000_t202" style="position:absolute;left:5047;top:10711;width:609;height:258" filled="f" stroked="f">
              <v:textbox style="mso-next-textbox:#_x0000_s1068"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shape id="_x0000_s1069" type="#_x0000_t202" style="position:absolute;left:4542;top:10711;width:403;height:259" filled="f" stroked="f">
              <v:textbox style="mso-next-textbox:#_x0000_s1069"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p>
                </w:txbxContent>
              </v:textbox>
            </v:shape>
            <v:line id="_x0000_s1070" style="position:absolute;flip:x y" from="3626,10063" to="3627,11100"/>
            <v:line id="_x0000_s1071" style="position:absolute;flip:y" from="3830,10063" to="3831,11100"/>
            <v:line id="_x0000_s1072" style="position:absolute;flip:y" from="3420,10323" to="3625,10324" strokeweight=".5pt">
              <v:stroke endarrow="block" endarrowlength="short"/>
            </v:line>
            <v:line id="_x0000_s1073" style="position:absolute;flip:x y" from="3830,10323" to="4031,10324" strokeweight=".5pt">
              <v:stroke endarrow="block" endarrowlength="short"/>
            </v:line>
            <v:shape id="_x0000_s1074" type="#_x0000_t202" style="position:absolute;left:3401;top:9804;width:641;height:259" filled="f" stroked="f">
              <v:textbox style="mso-next-textbox:#_x0000_s1074"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SBIFS</w:t>
                    </w:r>
                  </w:p>
                </w:txbxContent>
              </v:textbox>
            </v:shape>
            <v:rect id="_x0000_s1075" style="position:absolute;left:6062;top:11618;width:609;height:519" fillcolor="#e6e6ff" strokeweight="1.5pt">
              <v:textbox inset="5.85pt,.7pt,5.85pt,.7pt"/>
            </v:rect>
            <v:shape id="_x0000_s1076" type="#_x0000_t202" style="position:absolute;left:6062;top:11748;width:609;height:258" filled="f" stroked="f">
              <v:textbox style="mso-next-textbox:#_x0000_s1076"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77" style="position:absolute;left:6871;top:11617;width:609;height:518" fillcolor="#e6e6ff" strokeweight="1.5pt">
              <v:textbox inset="5.85pt,.7pt,5.85pt,.7pt"/>
            </v:rect>
            <v:shape id="_x0000_s1078" type="#_x0000_t202" style="position:absolute;left:6872;top:11748;width:608;height:258" filled="f" stroked="f">
              <v:textbox style="mso-next-textbox:#_x0000_s1078"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79" style="position:absolute;left:8088;top:11616;width:609;height:519" fillcolor="#e6e6ff" strokeweight="1.5pt">
              <v:textbox inset="5.85pt,.7pt,5.85pt,.7pt"/>
            </v:rect>
            <v:shape id="_x0000_s1080" type="#_x0000_t202" style="position:absolute;left:8088;top:11747;width:609;height:259" filled="f" stroked="f">
              <v:textbox style="mso-next-textbox:#_x0000_s1080"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line id="_x0000_s1081" style="position:absolute;flip:y" from="5655,10063" to="5656,11100"/>
            <v:line id="_x0000_s1082" style="position:absolute;flip:y" from="6061,10063" to="6061,11618"/>
            <v:line id="_x0000_s1083" style="position:absolute;flip:x y" from="6668,10063" to="6669,11618"/>
            <v:line id="_x0000_s1084" style="position:absolute;flip:x y" from="6871,10063" to="6872,11618"/>
            <v:line id="_x0000_s1085" style="position:absolute" from="6466,10322" to="6667,10323" strokeweight=".5pt">
              <v:stroke endarrow="block" endarrowlength="short"/>
            </v:line>
            <v:line id="_x0000_s1086" style="position:absolute;flip:x" from="6870,10322" to="7072,10323" strokeweight=".5pt">
              <v:stroke endarrow="block" endarrowlength="short"/>
            </v:line>
            <v:shape id="_x0000_s1087" type="#_x0000_t202" style="position:absolute;left:6524;top:9804;width:607;height:259" filled="f" stroked="f">
              <v:textbox style="mso-next-textbox:#_x0000_s1087" inset="0,0,0,0">
                <w:txbxContent>
                  <w:p w:rsidR="00DB6E8E" w:rsidRPr="004445E4" w:rsidRDefault="00DB6E8E" w:rsidP="00FE4EAD">
                    <w:pPr>
                      <w:rPr>
                        <w:rFonts w:ascii="Arial" w:hAnsi="Arial" w:cs="Arial"/>
                        <w:sz w:val="16"/>
                        <w:szCs w:val="28"/>
                      </w:rPr>
                    </w:pPr>
                    <w:r w:rsidRPr="004445E4">
                      <w:rPr>
                        <w:rFonts w:ascii="Arial" w:hAnsi="Arial" w:cs="Arial" w:hint="eastAsia"/>
                        <w:sz w:val="16"/>
                        <w:szCs w:val="28"/>
                      </w:rPr>
                      <w:t>SBIFS</w:t>
                    </w:r>
                  </w:p>
                </w:txbxContent>
              </v:textbox>
            </v:shape>
            <v:line id="_x0000_s1088" style="position:absolute;flip:y" from="5654,10321" to="6061,10322" strokeweight=".5pt">
              <v:stroke startarrow="block" startarrowlength="short" endarrow="block" endarrowlength="short"/>
            </v:line>
            <v:shape id="_x0000_s1089" type="#_x0000_t202" style="position:absolute;left:7582;top:11749;width:404;height:259" filled="f" stroked="f">
              <v:textbox style="mso-next-textbox:#_x0000_s1089"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p>
                </w:txbxContent>
              </v:textbox>
            </v:shape>
            <v:shape id="_x0000_s1090" type="#_x0000_t202" style="position:absolute;left:2918;top:11229;width:811;height:259" filled="f" stroked="f">
              <v:textbox style="mso-next-textbox:#_x0000_s1090"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1</w:t>
                    </w:r>
                  </w:p>
                </w:txbxContent>
              </v:textbox>
            </v:shape>
            <v:shape id="_x0000_s1091" type="#_x0000_t202" style="position:absolute;left:3729;top:11229;width:812;height:259" filled="f" stroked="f">
              <v:textbox style="mso-next-textbox:#_x0000_s1091"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2</w:t>
                    </w:r>
                  </w:p>
                </w:txbxContent>
              </v:textbox>
            </v:shape>
            <v:shape id="_x0000_s1092" type="#_x0000_t202" style="position:absolute;left:4945;top:11229;width:812;height:259" filled="f" stroked="f">
              <v:textbox style="mso-next-textbox:#_x0000_s1092"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N</w:t>
                    </w:r>
                    <w:r w:rsidRPr="004445E4">
                      <w:rPr>
                        <w:rFonts w:ascii="Arial" w:hAnsi="Arial" w:cs="Arial" w:hint="eastAsia"/>
                        <w:color w:val="008000"/>
                        <w:sz w:val="16"/>
                        <w:szCs w:val="28"/>
                        <w:vertAlign w:val="subscript"/>
                      </w:rPr>
                      <w:t>beam</w:t>
                    </w:r>
                    <w:r>
                      <w:rPr>
                        <w:rFonts w:ascii="Arial" w:hAnsi="Arial" w:cs="Arial" w:hint="eastAsia"/>
                        <w:color w:val="008000"/>
                        <w:sz w:val="16"/>
                        <w:szCs w:val="28"/>
                        <w:vertAlign w:val="superscript"/>
                      </w:rPr>
                      <w:t>(</w:t>
                    </w:r>
                    <w:r>
                      <w:rPr>
                        <w:rFonts w:ascii="Arial" w:hAnsi="Arial" w:cs="Arial"/>
                        <w:color w:val="008000"/>
                        <w:sz w:val="16"/>
                        <w:szCs w:val="28"/>
                        <w:vertAlign w:val="superscript"/>
                      </w:rPr>
                      <w:t>R</w:t>
                    </w:r>
                    <w:r w:rsidRPr="004445E4">
                      <w:rPr>
                        <w:rFonts w:ascii="Arial" w:hAnsi="Arial" w:cs="Arial" w:hint="eastAsia"/>
                        <w:color w:val="008000"/>
                        <w:sz w:val="16"/>
                        <w:szCs w:val="28"/>
                        <w:vertAlign w:val="superscript"/>
                      </w:rPr>
                      <w:t>, Tx)</w:t>
                    </w:r>
                  </w:p>
                </w:txbxContent>
              </v:textbox>
            </v:shape>
            <v:shape id="_x0000_s1093" type="#_x0000_t202" style="position:absolute;left:5959;top:12266;width:810;height:260" filled="f" stroked="f">
              <v:textbox style="mso-next-textbox:#_x0000_s1093"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1</w:t>
                    </w:r>
                  </w:p>
                </w:txbxContent>
              </v:textbox>
            </v:shape>
            <v:shape id="_x0000_s1094" type="#_x0000_t202" style="position:absolute;left:6769;top:12266;width:812;height:260" filled="f" stroked="f">
              <v:textbox style="mso-next-textbox:#_x0000_s1094"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2</w:t>
                    </w:r>
                  </w:p>
                </w:txbxContent>
              </v:textbox>
            </v:shape>
            <v:shape id="_x0000_s1095" type="#_x0000_t202" style="position:absolute;left:7987;top:12266;width:810;height:260" filled="f" stroked="f">
              <v:textbox style="mso-next-textbox:#_x0000_s1095"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N</w:t>
                    </w:r>
                    <w:r w:rsidRPr="004445E4">
                      <w:rPr>
                        <w:rFonts w:ascii="Arial" w:hAnsi="Arial" w:cs="Arial" w:hint="eastAsia"/>
                        <w:color w:val="008000"/>
                        <w:sz w:val="16"/>
                        <w:szCs w:val="28"/>
                        <w:vertAlign w:val="subscript"/>
                      </w:rPr>
                      <w:t>beam</w:t>
                    </w:r>
                    <w:r>
                      <w:rPr>
                        <w:rFonts w:ascii="Arial" w:hAnsi="Arial" w:cs="Arial" w:hint="eastAsia"/>
                        <w:color w:val="008000"/>
                        <w:sz w:val="16"/>
                        <w:szCs w:val="28"/>
                        <w:vertAlign w:val="superscript"/>
                      </w:rPr>
                      <w:t>(</w:t>
                    </w:r>
                    <w:r>
                      <w:rPr>
                        <w:rFonts w:ascii="Arial" w:hAnsi="Arial" w:cs="Arial"/>
                        <w:color w:val="008000"/>
                        <w:sz w:val="16"/>
                        <w:szCs w:val="28"/>
                        <w:vertAlign w:val="superscript"/>
                      </w:rPr>
                      <w:t>I</w:t>
                    </w:r>
                    <w:r w:rsidRPr="004445E4">
                      <w:rPr>
                        <w:rFonts w:ascii="Arial" w:hAnsi="Arial" w:cs="Arial" w:hint="eastAsia"/>
                        <w:color w:val="008000"/>
                        <w:sz w:val="16"/>
                        <w:szCs w:val="28"/>
                        <w:vertAlign w:val="superscript"/>
                      </w:rPr>
                      <w:t>, Tx)</w:t>
                    </w:r>
                  </w:p>
                </w:txbxContent>
              </v:textbox>
            </v:shape>
            <v:group id="_x0000_s1096" style="position:absolute;left:2606;top:11506;width:2647;height:1696" coordorigin="4207,9564" coordsize="4016,2036">
              <v:shape id="Text Box 4" o:spid="_x0000_s1097" type="#_x0000_t202" style="position:absolute;left:4207;top:10736;width:4016;height:864;visibility:visible" filled="f" stroked="f" strokeweight="1pt">
                <v:stroke startarrowwidth="narrow" startarrowlength="short" endarrowwidth="narrow" endarrowlength="short"/>
                <v:textbox style="mso-next-textbox:#Text Box 4;mso-rotate-with-shape:t" inset="1.41875mm,.70939mm,1.41875mm,.70939mm">
                  <w:txbxContent>
                    <w:p w:rsidR="00DB6E8E" w:rsidRPr="004445E4" w:rsidRDefault="00DB6E8E" w:rsidP="00FE4EAD">
                      <w:pPr>
                        <w:autoSpaceDE w:val="0"/>
                        <w:autoSpaceDN w:val="0"/>
                        <w:adjustRightInd w:val="0"/>
                        <w:rPr>
                          <w:rFonts w:ascii="Arial" w:eastAsia="MS PGothic" w:hAnsi="Arial" w:cs="Arial"/>
                          <w:bCs/>
                          <w:color w:val="333399"/>
                          <w:sz w:val="14"/>
                        </w:rPr>
                      </w:pPr>
                      <w:r w:rsidRPr="004445E4">
                        <w:rPr>
                          <w:rFonts w:ascii="Arial" w:eastAsia="MS PGothic" w:hAnsi="Arial" w:cs="Arial"/>
                          <w:bCs/>
                          <w:color w:val="333399"/>
                          <w:sz w:val="14"/>
                        </w:rPr>
                        <w:t>N</w:t>
                      </w:r>
                      <w:r w:rsidRPr="004445E4">
                        <w:rPr>
                          <w:rFonts w:ascii="Arial" w:eastAsia="MS PGothic" w:hAnsi="Arial" w:cs="Arial"/>
                          <w:bCs/>
                          <w:color w:val="333399"/>
                          <w:sz w:val="14"/>
                          <w:vertAlign w:val="subscript"/>
                        </w:rPr>
                        <w:t>beam</w:t>
                      </w:r>
                      <w:r w:rsidRPr="004445E4">
                        <w:rPr>
                          <w:rFonts w:ascii="Arial" w:eastAsia="MS PGothic" w:hAnsi="Arial" w:cs="Arial"/>
                          <w:bCs/>
                          <w:color w:val="333399"/>
                          <w:sz w:val="14"/>
                          <w:vertAlign w:val="superscript"/>
                        </w:rPr>
                        <w:t>(</w:t>
                      </w:r>
                      <w:r>
                        <w:rPr>
                          <w:rFonts w:ascii="Arial" w:eastAsia="MS PGothic" w:hAnsi="Arial" w:cs="Arial"/>
                          <w:bCs/>
                          <w:color w:val="333399"/>
                          <w:sz w:val="14"/>
                          <w:vertAlign w:val="superscript"/>
                        </w:rPr>
                        <w:t>R</w:t>
                      </w:r>
                      <w:r w:rsidRPr="004445E4">
                        <w:rPr>
                          <w:rFonts w:ascii="Arial" w:eastAsia="MS PGothic" w:hAnsi="Arial" w:cs="Arial"/>
                          <w:bCs/>
                          <w:color w:val="333399"/>
                          <w:sz w:val="14"/>
                          <w:vertAlign w:val="superscript"/>
                        </w:rPr>
                        <w:t>,</w:t>
                      </w:r>
                      <w:r w:rsidRPr="004445E4">
                        <w:rPr>
                          <w:rFonts w:ascii="Arial" w:eastAsia="MS PGothic" w:hAnsi="Arial" w:cs="Arial" w:hint="eastAsia"/>
                          <w:bCs/>
                          <w:color w:val="333399"/>
                          <w:sz w:val="14"/>
                          <w:vertAlign w:val="superscript"/>
                        </w:rPr>
                        <w:t>R</w:t>
                      </w:r>
                      <w:r w:rsidRPr="004445E4">
                        <w:rPr>
                          <w:rFonts w:ascii="Arial" w:eastAsia="MS PGothic" w:hAnsi="Arial" w:cs="Arial"/>
                          <w:bCs/>
                          <w:color w:val="333399"/>
                          <w:sz w:val="14"/>
                          <w:vertAlign w:val="superscript"/>
                        </w:rPr>
                        <w:t>x)</w:t>
                      </w:r>
                      <w:r w:rsidRPr="004445E4">
                        <w:rPr>
                          <w:rFonts w:ascii="Arial" w:eastAsia="MS PGothic" w:hAnsi="Arial" w:cs="Arial"/>
                          <w:bCs/>
                          <w:color w:val="333399"/>
                          <w:sz w:val="14"/>
                        </w:rPr>
                        <w:t xml:space="preserve"> </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x beams are tested</w:t>
                      </w:r>
                      <w:r>
                        <w:rPr>
                          <w:rFonts w:ascii="Arial" w:eastAsia="MS PGothic" w:hAnsi="Arial" w:cs="Arial"/>
                          <w:bCs/>
                          <w:color w:val="333399"/>
                          <w:sz w:val="14"/>
                        </w:rPr>
                        <w:t xml:space="preserve"> while receiving</w:t>
                      </w:r>
                      <w:r w:rsidRPr="004445E4">
                        <w:rPr>
                          <w:rFonts w:ascii="Arial" w:eastAsia="MS PGothic" w:hAnsi="Arial" w:cs="Arial"/>
                          <w:bCs/>
                          <w:color w:val="333399"/>
                          <w:sz w:val="14"/>
                        </w:rPr>
                        <w:t xml:space="preserve"> each BRP-</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 xml:space="preserve">X </w:t>
                      </w:r>
                      <w:r>
                        <w:rPr>
                          <w:rFonts w:ascii="Arial" w:eastAsia="MS PGothic" w:hAnsi="Arial" w:cs="Arial"/>
                          <w:bCs/>
                          <w:color w:val="333399"/>
                          <w:sz w:val="14"/>
                        </w:rPr>
                        <w:t>packet</w:t>
                      </w:r>
                      <w:r w:rsidRPr="004445E4">
                        <w:rPr>
                          <w:rFonts w:ascii="Arial" w:eastAsia="MS PGothic" w:hAnsi="Arial" w:cs="Arial"/>
                          <w:bCs/>
                          <w:color w:val="333399"/>
                          <w:sz w:val="14"/>
                        </w:rPr>
                        <w:t>.</w:t>
                      </w:r>
                    </w:p>
                  </w:txbxContent>
                </v:textbox>
              </v:shape>
              <v:line id="_x0000_s1098" style="position:absolute;flip:x y" from="5470,9593" to="5805,10684" strokeweight=".5pt">
                <v:stroke startarrowwidth="narrow" startarrowlength="short" endarrow="block" endarrowlength="short"/>
                <v:shadow color="#969696"/>
              </v:line>
              <v:line id="_x0000_s1099" style="position:absolute;flip:y" from="5805,9564" to="6460,10698" strokeweight="1pt">
                <v:stroke startarrowwidth="narrow" startarrowlength="short" endarrow="block" endarrowlength="short"/>
                <v:shadow color="#969696"/>
              </v:line>
              <v:line id="_x0000_s1100" style="position:absolute;flip:y" from="5805,9579" to="7900,10714" strokeweight="1pt">
                <v:stroke startarrowwidth="narrow" startarrowlength="short" endarrow="block" endarrowlength="short"/>
                <v:shadow color="#969696"/>
              </v:line>
            </v:group>
            <v:line id="_x0000_s1101" style="position:absolute;flip:x y" from="6496,12681" to="6779,13231" strokeweight=".5pt">
              <v:stroke startarrowwidth="narrow" startarrowlength="short" endarrow="block" endarrowlength="short"/>
              <v:shadow color="#969696"/>
            </v:line>
            <v:line id="_x0000_s1102" style="position:absolute;flip:y" from="6769,12652" to="7159,13218" strokeweight="1pt">
              <v:stroke startarrowwidth="narrow" startarrowlength="short" endarrow="block" endarrowlength="short"/>
              <v:shadow color="#969696"/>
            </v:line>
            <v:line id="_x0000_s1103" style="position:absolute;flip:y" from="6779,12667" to="8124,13218" strokeweight="1pt">
              <v:stroke startarrowwidth="narrow" startarrowlength="short" endarrow="block" endarrowlength="short"/>
              <v:shadow color="#969696"/>
            </v:line>
            <v:shape id="Text Box 4" o:spid="_x0000_s1104" type="#_x0000_t202" style="position:absolute;left:5954;top:13155;width:2669;height:458;visibility:visible" filled="f" stroked="f" strokeweight="1pt">
              <v:stroke startarrowwidth="narrow" startarrowlength="short" endarrowwidth="narrow" endarrowlength="short"/>
              <v:textbox style="mso-rotate-with-shape:t" inset="1.41875mm,.70939mm,1.41875mm,.70939mm">
                <w:txbxContent>
                  <w:p w:rsidR="00DB6E8E" w:rsidRPr="004445E4" w:rsidRDefault="00DB6E8E" w:rsidP="00FE4EAD">
                    <w:pPr>
                      <w:autoSpaceDE w:val="0"/>
                      <w:autoSpaceDN w:val="0"/>
                      <w:adjustRightInd w:val="0"/>
                      <w:rPr>
                        <w:rFonts w:ascii="Arial" w:eastAsia="MS PGothic" w:hAnsi="Arial" w:cs="Arial"/>
                        <w:bCs/>
                        <w:color w:val="333399"/>
                        <w:sz w:val="14"/>
                      </w:rPr>
                    </w:pPr>
                    <w:r w:rsidRPr="004445E4">
                      <w:rPr>
                        <w:rFonts w:ascii="Arial" w:eastAsia="MS PGothic" w:hAnsi="Arial" w:cs="Arial"/>
                        <w:bCs/>
                        <w:color w:val="333399"/>
                        <w:sz w:val="14"/>
                      </w:rPr>
                      <w:t>N</w:t>
                    </w:r>
                    <w:r w:rsidRPr="004445E4">
                      <w:rPr>
                        <w:rFonts w:ascii="Arial" w:eastAsia="MS PGothic" w:hAnsi="Arial" w:cs="Arial"/>
                        <w:bCs/>
                        <w:color w:val="333399"/>
                        <w:sz w:val="14"/>
                        <w:vertAlign w:val="subscript"/>
                      </w:rPr>
                      <w:t>beam</w:t>
                    </w:r>
                    <w:r w:rsidRPr="004445E4">
                      <w:rPr>
                        <w:rFonts w:ascii="Arial" w:eastAsia="MS PGothic" w:hAnsi="Arial" w:cs="Arial"/>
                        <w:bCs/>
                        <w:color w:val="333399"/>
                        <w:sz w:val="14"/>
                        <w:vertAlign w:val="superscript"/>
                      </w:rPr>
                      <w:t>(</w:t>
                    </w:r>
                    <w:r>
                      <w:rPr>
                        <w:rFonts w:ascii="Arial" w:eastAsia="MS PGothic" w:hAnsi="Arial" w:cs="Arial"/>
                        <w:bCs/>
                        <w:color w:val="333399"/>
                        <w:sz w:val="14"/>
                        <w:vertAlign w:val="superscript"/>
                      </w:rPr>
                      <w:t>I</w:t>
                    </w:r>
                    <w:r w:rsidRPr="004445E4">
                      <w:rPr>
                        <w:rFonts w:ascii="Arial" w:eastAsia="MS PGothic" w:hAnsi="Arial" w:cs="Arial"/>
                        <w:bCs/>
                        <w:color w:val="333399"/>
                        <w:sz w:val="14"/>
                        <w:vertAlign w:val="superscript"/>
                      </w:rPr>
                      <w:t>,</w:t>
                    </w:r>
                    <w:r w:rsidRPr="004445E4">
                      <w:rPr>
                        <w:rFonts w:ascii="Arial" w:eastAsia="MS PGothic" w:hAnsi="Arial" w:cs="Arial" w:hint="eastAsia"/>
                        <w:bCs/>
                        <w:color w:val="333399"/>
                        <w:sz w:val="14"/>
                        <w:vertAlign w:val="superscript"/>
                      </w:rPr>
                      <w:t>R</w:t>
                    </w:r>
                    <w:r w:rsidRPr="004445E4">
                      <w:rPr>
                        <w:rFonts w:ascii="Arial" w:eastAsia="MS PGothic" w:hAnsi="Arial" w:cs="Arial"/>
                        <w:bCs/>
                        <w:color w:val="333399"/>
                        <w:sz w:val="14"/>
                        <w:vertAlign w:val="superscript"/>
                      </w:rPr>
                      <w:t>x)</w:t>
                    </w:r>
                    <w:r w:rsidRPr="004445E4">
                      <w:rPr>
                        <w:rFonts w:ascii="Arial" w:eastAsia="MS PGothic" w:hAnsi="Arial" w:cs="Arial"/>
                        <w:bCs/>
                        <w:color w:val="333399"/>
                        <w:sz w:val="14"/>
                      </w:rPr>
                      <w:t xml:space="preserve"> </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x beams are tested</w:t>
                    </w:r>
                    <w:r>
                      <w:rPr>
                        <w:rFonts w:ascii="Arial" w:eastAsia="MS PGothic" w:hAnsi="Arial" w:cs="Arial"/>
                        <w:bCs/>
                        <w:color w:val="333399"/>
                        <w:sz w:val="14"/>
                      </w:rPr>
                      <w:t xml:space="preserve"> while receiving</w:t>
                    </w:r>
                    <w:r w:rsidRPr="004445E4">
                      <w:rPr>
                        <w:rFonts w:ascii="Arial" w:eastAsia="MS PGothic" w:hAnsi="Arial" w:cs="Arial"/>
                        <w:bCs/>
                        <w:color w:val="333399"/>
                        <w:sz w:val="14"/>
                      </w:rPr>
                      <w:t xml:space="preserve"> each BRP-</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 xml:space="preserve">X </w:t>
                    </w:r>
                    <w:r>
                      <w:rPr>
                        <w:rFonts w:ascii="Arial" w:eastAsia="MS PGothic" w:hAnsi="Arial" w:cs="Arial"/>
                        <w:bCs/>
                        <w:color w:val="333399"/>
                        <w:sz w:val="14"/>
                      </w:rPr>
                      <w:t>packet</w:t>
                    </w:r>
                    <w:r w:rsidRPr="004445E4">
                      <w:rPr>
                        <w:rFonts w:ascii="Arial" w:eastAsia="MS PGothic" w:hAnsi="Arial" w:cs="Arial"/>
                        <w:bCs/>
                        <w:color w:val="333399"/>
                        <w:sz w:val="14"/>
                      </w:rPr>
                      <w:t>.</w:t>
                    </w:r>
                  </w:p>
                </w:txbxContent>
              </v:textbox>
            </v:shape>
            <v:line id="_x0000_s1105" style="position:absolute;flip:y" from="8697,10048" to="8697,11604"/>
            <v:shape id="_x0000_s1106" type="#_x0000_t202" style="position:absolute;left:5330;top:9545;width:1011;height:497" filled="f" stroked="f">
              <v:textbox style="mso-next-textbox:#_x0000_s1106" inset="0,0,0,0">
                <w:txbxContent>
                  <w:p w:rsidR="00DB6E8E" w:rsidRPr="004445E4" w:rsidRDefault="00DB6E8E" w:rsidP="00FE4EAD">
                    <w:pPr>
                      <w:snapToGrid w:val="0"/>
                      <w:spacing w:line="240" w:lineRule="atLeast"/>
                      <w:jc w:val="center"/>
                      <w:rPr>
                        <w:rFonts w:ascii="Arial" w:hAnsi="Arial" w:cs="Arial"/>
                        <w:sz w:val="16"/>
                        <w:szCs w:val="28"/>
                        <w:u w:val="single"/>
                      </w:rPr>
                    </w:pPr>
                    <w:r w:rsidRPr="004445E4">
                      <w:rPr>
                        <w:rFonts w:ascii="Arial" w:hAnsi="Arial" w:cs="Arial" w:hint="eastAsia"/>
                        <w:sz w:val="16"/>
                        <w:szCs w:val="28"/>
                        <w:u w:val="single"/>
                      </w:rPr>
                      <w:t>&gt;</w:t>
                    </w:r>
                    <w:r w:rsidRPr="004445E4">
                      <w:rPr>
                        <w:rFonts w:ascii="Arial" w:hAnsi="Arial" w:cs="Arial" w:hint="eastAsia"/>
                        <w:sz w:val="16"/>
                        <w:szCs w:val="28"/>
                      </w:rPr>
                      <w:t xml:space="preserve"> SIFS</w:t>
                    </w:r>
                  </w:p>
                  <w:p w:rsidR="00DB6E8E" w:rsidRPr="004445E4" w:rsidRDefault="00DB6E8E" w:rsidP="00FE4EAD">
                    <w:pPr>
                      <w:snapToGrid w:val="0"/>
                      <w:spacing w:line="240" w:lineRule="atLeast"/>
                      <w:jc w:val="center"/>
                      <w:rPr>
                        <w:rFonts w:ascii="Arial" w:hAnsi="Arial" w:cs="Arial"/>
                        <w:sz w:val="16"/>
                        <w:szCs w:val="28"/>
                      </w:rPr>
                    </w:pPr>
                    <w:r w:rsidRPr="004445E4">
                      <w:rPr>
                        <w:rFonts w:ascii="Arial" w:hAnsi="Arial" w:cs="Arial" w:hint="eastAsia"/>
                        <w:sz w:val="16"/>
                        <w:szCs w:val="28"/>
                        <w:u w:val="single"/>
                      </w:rPr>
                      <w:t>&lt;</w:t>
                    </w:r>
                    <w:r w:rsidRPr="004445E4">
                      <w:rPr>
                        <w:rFonts w:ascii="Arial" w:hAnsi="Arial" w:cs="Arial" w:hint="eastAsia"/>
                        <w:sz w:val="16"/>
                        <w:szCs w:val="28"/>
                      </w:rPr>
                      <w:t xml:space="preserve"> BRPIFS</w:t>
                    </w:r>
                  </w:p>
                </w:txbxContent>
              </v:textbox>
            </v:shape>
            <v:shape id="_x0000_s1107" type="#_x0000_t202" style="position:absolute;left:9217;top:12685;width:1012;height:497" filled="f" stroked="f">
              <v:textbox style="mso-next-textbox:#_x0000_s1107" inset="0,0,0,0">
                <w:txbxContent>
                  <w:p w:rsidR="00DB6E8E" w:rsidRPr="004445E4" w:rsidRDefault="00DB6E8E" w:rsidP="00FE4EAD">
                    <w:pPr>
                      <w:snapToGrid w:val="0"/>
                      <w:spacing w:line="240" w:lineRule="atLeast"/>
                      <w:jc w:val="center"/>
                      <w:rPr>
                        <w:rFonts w:ascii="Arial" w:hAnsi="Arial" w:cs="Arial"/>
                        <w:sz w:val="16"/>
                        <w:szCs w:val="28"/>
                        <w:u w:val="single"/>
                      </w:rPr>
                    </w:pPr>
                    <w:r w:rsidRPr="004445E4">
                      <w:rPr>
                        <w:rFonts w:ascii="Arial" w:hAnsi="Arial" w:cs="Arial" w:hint="eastAsia"/>
                        <w:sz w:val="16"/>
                        <w:szCs w:val="28"/>
                        <w:u w:val="single"/>
                      </w:rPr>
                      <w:t>&gt;</w:t>
                    </w:r>
                    <w:r w:rsidRPr="004445E4">
                      <w:rPr>
                        <w:rFonts w:ascii="Arial" w:hAnsi="Arial" w:cs="Arial" w:hint="eastAsia"/>
                        <w:sz w:val="16"/>
                        <w:szCs w:val="28"/>
                      </w:rPr>
                      <w:t xml:space="preserve"> SIFS</w:t>
                    </w:r>
                  </w:p>
                  <w:p w:rsidR="00DB6E8E" w:rsidRPr="004445E4" w:rsidRDefault="00DB6E8E" w:rsidP="00FE4EAD">
                    <w:pPr>
                      <w:snapToGrid w:val="0"/>
                      <w:spacing w:line="240" w:lineRule="atLeast"/>
                      <w:jc w:val="center"/>
                      <w:rPr>
                        <w:rFonts w:ascii="Arial" w:hAnsi="Arial" w:cs="Arial"/>
                        <w:sz w:val="16"/>
                        <w:szCs w:val="28"/>
                      </w:rPr>
                    </w:pPr>
                    <w:r w:rsidRPr="004445E4">
                      <w:rPr>
                        <w:rFonts w:ascii="Arial" w:hAnsi="Arial" w:cs="Arial" w:hint="eastAsia"/>
                        <w:sz w:val="16"/>
                        <w:szCs w:val="28"/>
                        <w:u w:val="single"/>
                      </w:rPr>
                      <w:t>&lt;</w:t>
                    </w:r>
                    <w:r w:rsidRPr="004445E4">
                      <w:rPr>
                        <w:rFonts w:ascii="Arial" w:hAnsi="Arial" w:cs="Arial" w:hint="eastAsia"/>
                        <w:sz w:val="16"/>
                        <w:szCs w:val="28"/>
                      </w:rPr>
                      <w:t xml:space="preserve"> BRPIFS</w:t>
                    </w:r>
                  </w:p>
                </w:txbxContent>
              </v:textbox>
            </v:shape>
          </v:group>
        </w:pict>
      </w:r>
      <w:r>
        <w:pict>
          <v:shape id="_x0000_i1065" type="#_x0000_t75" style="width:371.3pt;height:181.6pt">
            <v:imagedata croptop="-65520f" cropbottom="65520f"/>
          </v:shape>
        </w:pict>
      </w:r>
    </w:p>
    <w:p w:rsidR="00FE4EAD" w:rsidRDefault="00FE4EAD" w:rsidP="008E540B">
      <w:pPr>
        <w:autoSpaceDE w:val="0"/>
        <w:autoSpaceDN w:val="0"/>
        <w:adjustRightInd w:val="0"/>
      </w:pPr>
    </w:p>
    <w:p w:rsidR="00AF2907" w:rsidRPr="009448FC" w:rsidRDefault="00AF2907" w:rsidP="00AF2907">
      <w:pPr>
        <w:keepNext/>
        <w:autoSpaceDE w:val="0"/>
        <w:autoSpaceDN w:val="0"/>
        <w:adjustRightInd w:val="0"/>
        <w:jc w:val="center"/>
      </w:pPr>
    </w:p>
    <w:p w:rsidR="008749A1" w:rsidRDefault="008749A1" w:rsidP="008749A1">
      <w:bookmarkStart w:id="1675" w:name="_Ref243038573"/>
      <w:bookmarkStart w:id="1676" w:name="_Toc244251976"/>
      <w:bookmarkStart w:id="1677" w:name="_Ref246243007"/>
      <w:bookmarkStart w:id="1678" w:name="_Ref246243020"/>
    </w:p>
    <w:p w:rsidR="00000C5F" w:rsidRDefault="005F471B" w:rsidP="005F471B">
      <w:pPr>
        <w:pStyle w:val="Caption"/>
        <w:rPr>
          <w:noProof/>
        </w:rPr>
      </w:pPr>
      <w:bookmarkStart w:id="1679" w:name="_Ref257278749"/>
      <w:bookmarkStart w:id="1680" w:name="_Toc259717535"/>
      <w:r>
        <w:t xml:space="preserve">Figure </w:t>
      </w:r>
      <w:r w:rsidR="00BD151C">
        <w:fldChar w:fldCharType="begin"/>
      </w:r>
      <w:r w:rsidR="00801316">
        <w:instrText xml:space="preserve"> SEQ Figure \* ARABIC </w:instrText>
      </w:r>
      <w:r w:rsidR="00BD151C">
        <w:fldChar w:fldCharType="separate"/>
      </w:r>
      <w:r w:rsidR="003E4210">
        <w:rPr>
          <w:noProof/>
        </w:rPr>
        <w:t>103</w:t>
      </w:r>
      <w:r w:rsidR="00BD151C">
        <w:fldChar w:fldCharType="end"/>
      </w:r>
      <w:bookmarkEnd w:id="1679"/>
      <w:r>
        <w:t xml:space="preserve"> </w:t>
      </w:r>
      <w:r w:rsidR="00FF5E5B">
        <w:t>– Beam Combining</w:t>
      </w:r>
      <w:bookmarkEnd w:id="1680"/>
    </w:p>
    <w:bookmarkEnd w:id="1675"/>
    <w:bookmarkEnd w:id="1676"/>
    <w:bookmarkEnd w:id="1677"/>
    <w:bookmarkEnd w:id="1678"/>
    <w:p w:rsidR="003E32F7" w:rsidRDefault="003E32F7" w:rsidP="008749A1"/>
    <w:p w:rsidR="003E32F7" w:rsidRPr="00A85EB8" w:rsidRDefault="00766542" w:rsidP="003701DB">
      <w:pPr>
        <w:pStyle w:val="Heading5"/>
        <w:numPr>
          <w:ilvl w:val="4"/>
          <w:numId w:val="171"/>
        </w:numPr>
        <w:rPr>
          <w:rFonts w:cs="Helvetica"/>
        </w:rPr>
      </w:pPr>
      <w:r w:rsidRPr="00A85EB8">
        <w:rPr>
          <w:rFonts w:cs="Helvetica"/>
        </w:rPr>
        <w:t xml:space="preserve"> </w:t>
      </w:r>
      <w:bookmarkStart w:id="1681" w:name="_Ref257057718"/>
      <w:bookmarkStart w:id="1682" w:name="_Toc259717160"/>
      <w:r w:rsidRPr="00A85EB8">
        <w:rPr>
          <w:rFonts w:cs="Helvetica"/>
        </w:rPr>
        <w:t>MIDC phase with MID sub-phase only</w:t>
      </w:r>
      <w:bookmarkEnd w:id="1681"/>
      <w:bookmarkEnd w:id="1682"/>
      <w:r w:rsidR="005515A4" w:rsidRPr="00A85EB8">
        <w:rPr>
          <w:rFonts w:cs="Helvetica"/>
        </w:rPr>
        <w:t xml:space="preserve"> </w:t>
      </w:r>
    </w:p>
    <w:p w:rsidR="008E540B" w:rsidRPr="008E540B" w:rsidRDefault="008E540B" w:rsidP="008E540B">
      <w:pPr>
        <w:autoSpaceDE w:val="0"/>
        <w:autoSpaceDN w:val="0"/>
        <w:adjustRightInd w:val="0"/>
        <w:jc w:val="both"/>
        <w:rPr>
          <w:rFonts w:ascii="TimesNewRomanPSMT" w:hAnsi="TimesNewRomanPSMT" w:cs="TimesNewRomanPSMT"/>
        </w:rPr>
      </w:pPr>
      <w:bookmarkStart w:id="1683" w:name="_Ref246652099"/>
      <w:r w:rsidRPr="008E540B">
        <w:rPr>
          <w:iCs/>
        </w:rPr>
        <w:t xml:space="preserve">The MIDC phase may also be implemented such that </w:t>
      </w:r>
      <w:r w:rsidRPr="008E540B">
        <w:rPr>
          <w:rFonts w:ascii="TimesNewRomanPSMT" w:hAnsi="TimesNewRomanPSMT" w:cs="TimesNewRomanPSMT"/>
        </w:rPr>
        <w:t>multiple TX sectors, obtained from the TXSS in the SLS</w:t>
      </w:r>
      <w:r w:rsidRPr="008E540B">
        <w:rPr>
          <w:rFonts w:ascii="TimesNewRomanPSMT" w:hAnsi="TimesNewRomanPSMT" w:cs="TimesNewRomanPSMT" w:hint="eastAsia"/>
        </w:rPr>
        <w:t xml:space="preserve"> phase</w:t>
      </w:r>
      <w:r w:rsidRPr="008E540B">
        <w:rPr>
          <w:rFonts w:ascii="TimesNewRomanPSMT" w:hAnsi="TimesNewRomanPSMT" w:cs="TimesNewRomanPSMT"/>
        </w:rPr>
        <w:t>, are used instead of wide TX beams. Here, the receiver employs multiple RX AWVs for each TX sector chosen by the transmitter. Based on this joint trial of TX and RX AWVs, the optimal starting TX and RX AWV pair is chosen for further refinement in the BRP phase. In this case, the MIDC phase consists only of the MID sub-phase. This is conceptually illustrated in</w:t>
      </w:r>
      <w:r w:rsidR="007E3F65">
        <w:rPr>
          <w:rFonts w:ascii="TimesNewRomanPSMT" w:hAnsi="TimesNewRomanPSMT" w:cs="TimesNewRomanPSMT"/>
        </w:rPr>
        <w:t xml:space="preserve"> </w:t>
      </w:r>
      <w:r w:rsidR="00BD151C">
        <w:rPr>
          <w:rFonts w:ascii="TimesNewRomanPSMT" w:hAnsi="TimesNewRomanPSMT" w:cs="TimesNewRomanPSMT"/>
        </w:rPr>
        <w:fldChar w:fldCharType="begin"/>
      </w:r>
      <w:r w:rsidR="007E3F65">
        <w:rPr>
          <w:rFonts w:ascii="TimesNewRomanPSMT" w:hAnsi="TimesNewRomanPSMT" w:cs="TimesNewRomanPSMT"/>
        </w:rPr>
        <w:instrText xml:space="preserve"> REF _Ref257278783 \h </w:instrText>
      </w:r>
      <w:r w:rsidR="00BD151C">
        <w:rPr>
          <w:rFonts w:ascii="TimesNewRomanPSMT" w:hAnsi="TimesNewRomanPSMT" w:cs="TimesNewRomanPSMT"/>
        </w:rPr>
      </w:r>
      <w:r w:rsidR="00BD151C">
        <w:rPr>
          <w:rFonts w:ascii="TimesNewRomanPSMT" w:hAnsi="TimesNewRomanPSMT" w:cs="TimesNewRomanPSMT"/>
        </w:rPr>
        <w:fldChar w:fldCharType="separate"/>
      </w:r>
      <w:r w:rsidR="003E4210">
        <w:t xml:space="preserve">Figure </w:t>
      </w:r>
      <w:r w:rsidR="003E4210">
        <w:rPr>
          <w:noProof/>
        </w:rPr>
        <w:t>104</w:t>
      </w:r>
      <w:r w:rsidR="00BD151C">
        <w:rPr>
          <w:rFonts w:ascii="TimesNewRomanPSMT" w:hAnsi="TimesNewRomanPSMT" w:cs="TimesNewRomanPSMT"/>
        </w:rPr>
        <w:fldChar w:fldCharType="end"/>
      </w:r>
      <w:r w:rsidRPr="008E540B">
        <w:rPr>
          <w:rFonts w:ascii="TimesNewRomanPSMT" w:hAnsi="TimesNewRomanPSMT" w:cs="TimesNewRomanPSMT"/>
        </w:rPr>
        <w:t>.</w:t>
      </w:r>
    </w:p>
    <w:p w:rsidR="008E540B" w:rsidRPr="008E540B" w:rsidRDefault="008E540B" w:rsidP="008E540B">
      <w:pPr>
        <w:autoSpaceDE w:val="0"/>
        <w:autoSpaceDN w:val="0"/>
        <w:adjustRightInd w:val="0"/>
        <w:jc w:val="both"/>
        <w:rPr>
          <w:rFonts w:ascii="Arial" w:hAnsi="Arial" w:cs="Arial"/>
          <w:b/>
        </w:rPr>
      </w:pPr>
    </w:p>
    <w:p w:rsidR="001D5978" w:rsidRDefault="008E540B" w:rsidP="001D5978">
      <w:pPr>
        <w:autoSpaceDE w:val="0"/>
        <w:autoSpaceDN w:val="0"/>
        <w:adjustRightInd w:val="0"/>
        <w:jc w:val="center"/>
        <w:rPr>
          <w:rFonts w:ascii="TimesNewRomanPSMT" w:hAnsi="TimesNewRomanPSMT" w:cs="TimesNewRomanPSMT"/>
        </w:rPr>
      </w:pPr>
      <w:r w:rsidRPr="00523C18">
        <w:object w:dxaOrig="11907" w:dyaOrig="6409">
          <v:shape id="_x0000_i1066" type="#_x0000_t75" style="width:416.6pt;height:223.25pt" o:ole="">
            <v:imagedata r:id="rId177" o:title=""/>
          </v:shape>
          <o:OLEObject Type="Embed" ProgID="Word.Picture.8" ShapeID="_x0000_i1066" DrawAspect="Content" ObjectID="_1334048247" r:id="rId178"/>
        </w:object>
      </w:r>
    </w:p>
    <w:p w:rsidR="001D5978" w:rsidRDefault="003C5643" w:rsidP="003C5643">
      <w:pPr>
        <w:pStyle w:val="Caption"/>
      </w:pPr>
      <w:bookmarkStart w:id="1684" w:name="_Ref257278783"/>
      <w:bookmarkStart w:id="1685" w:name="_Toc259717536"/>
      <w:r>
        <w:t xml:space="preserve">Figure </w:t>
      </w:r>
      <w:r w:rsidR="00BD151C">
        <w:fldChar w:fldCharType="begin"/>
      </w:r>
      <w:r w:rsidR="00801316">
        <w:instrText xml:space="preserve"> SEQ Figure \* ARABIC </w:instrText>
      </w:r>
      <w:r w:rsidR="00BD151C">
        <w:fldChar w:fldCharType="separate"/>
      </w:r>
      <w:r w:rsidR="003E4210">
        <w:rPr>
          <w:noProof/>
        </w:rPr>
        <w:t>104</w:t>
      </w:r>
      <w:r w:rsidR="00BD151C">
        <w:fldChar w:fldCharType="end"/>
      </w:r>
      <w:bookmarkEnd w:id="1684"/>
      <w:r w:rsidR="00565D8A">
        <w:t xml:space="preserve"> – </w:t>
      </w:r>
      <w:r w:rsidR="001D5978" w:rsidRPr="0083499C">
        <w:t>Conceptual flow of a sample MIDC phase execution with only the MID sub-phase for the initiator link</w:t>
      </w:r>
      <w:bookmarkEnd w:id="1685"/>
    </w:p>
    <w:p w:rsidR="008E540B" w:rsidRPr="008E540B" w:rsidRDefault="008E540B" w:rsidP="008E540B">
      <w:pPr>
        <w:autoSpaceDE w:val="0"/>
        <w:autoSpaceDN w:val="0"/>
        <w:adjustRightInd w:val="0"/>
        <w:jc w:val="both"/>
        <w:rPr>
          <w:rFonts w:ascii="TimesNewRomanPSMT" w:hAnsi="TimesNewRomanPSMT" w:cs="TimesNewRomanPSMT"/>
        </w:rPr>
      </w:pPr>
    </w:p>
    <w:p w:rsidR="00893A3B" w:rsidRDefault="00893A3B" w:rsidP="00893A3B">
      <w:pPr>
        <w:autoSpaceDE w:val="0"/>
        <w:autoSpaceDN w:val="0"/>
        <w:adjustRightInd w:val="0"/>
        <w:jc w:val="both"/>
        <w:rPr>
          <w:rFonts w:ascii="TimesNewRomanPSMT" w:hAnsi="TimesNewRomanPSMT" w:cs="TimesNewRomanPSMT"/>
        </w:rPr>
      </w:pPr>
      <w:r w:rsidRPr="007210D6">
        <w:rPr>
          <w:rFonts w:ascii="TimesNewRomanPSMT" w:hAnsi="TimesNewRomanPSMT" w:cs="TimesNewRomanPSMT"/>
          <w:u w:val="single"/>
        </w:rPr>
        <w:lastRenderedPageBreak/>
        <w:t>Setting up the MID sub-phase</w:t>
      </w:r>
      <w:r>
        <w:rPr>
          <w:rFonts w:ascii="TimesNewRomanPSMT" w:hAnsi="TimesNewRomanPSMT" w:cs="TimesNewRomanPSMT"/>
        </w:rPr>
        <w:t xml:space="preserve">: To request an MIDC phase with only the R-MID sub-phase, the initiator shall transmit an SS-Feedback or BRP frame with the </w:t>
      </w:r>
      <w:r w:rsidRPr="00985B0E">
        <w:rPr>
          <w:rFonts w:ascii="TimesNewRomanPSMT" w:hAnsi="TimesNewRomanPSMT" w:cs="TimesNewRomanPSMT"/>
        </w:rPr>
        <w:t>MID request</w:t>
      </w:r>
      <w:r>
        <w:rPr>
          <w:rFonts w:ascii="TimesNewRomanPSMT" w:hAnsi="TimesNewRomanPSMT" w:cs="TimesNewRomanPSMT"/>
        </w:rPr>
        <w:t xml:space="preserve"> subfield set to one and the </w:t>
      </w:r>
      <w:r w:rsidRPr="003C0408">
        <w:rPr>
          <w:rFonts w:ascii="TimesNewRomanPSMT" w:hAnsi="TimesNewRomanPSMT" w:cs="TimesNewRomanPSMT"/>
        </w:rPr>
        <w:t>BC request</w:t>
      </w:r>
      <w:r>
        <w:rPr>
          <w:rFonts w:ascii="TimesNewRomanPSMT" w:hAnsi="TimesNewRomanPSMT" w:cs="TimesNewRomanPSMT"/>
        </w:rPr>
        <w:t xml:space="preserve"> subfield set to zero in the </w:t>
      </w:r>
      <w:r w:rsidRPr="003C0408">
        <w:rPr>
          <w:rFonts w:ascii="TimesNewRomanPSMT" w:hAnsi="TimesNewRomanPSMT" w:cs="TimesNewRomanPSMT"/>
        </w:rPr>
        <w:t>BRP request</w:t>
      </w:r>
      <w:r>
        <w:rPr>
          <w:rFonts w:ascii="TimesNewRomanPSMT" w:hAnsi="TimesNewRomanPSMT" w:cs="TimesNewRomanPSMT"/>
        </w:rPr>
        <w:t xml:space="preserve"> field. The responder may grant this request by setting the </w:t>
      </w:r>
      <w:r w:rsidRPr="003C0408">
        <w:rPr>
          <w:rFonts w:ascii="TimesNewRomanPSMT" w:hAnsi="TimesNewRomanPSMT" w:cs="TimesNewRomanPSMT"/>
        </w:rPr>
        <w:t>MID grant</w:t>
      </w:r>
      <w:r>
        <w:rPr>
          <w:rFonts w:ascii="TimesNewRomanPSMT" w:hAnsi="TimesNewRomanPSMT" w:cs="TimesNewRomanPSMT"/>
        </w:rPr>
        <w:t xml:space="preserve"> subfield to one in the </w:t>
      </w:r>
      <w:r w:rsidRPr="003C0408">
        <w:rPr>
          <w:rFonts w:ascii="TimesNewRomanPSMT" w:hAnsi="TimesNewRomanPSMT" w:cs="TimesNewRomanPSMT"/>
        </w:rPr>
        <w:t>BRP request</w:t>
      </w:r>
      <w:r>
        <w:rPr>
          <w:rFonts w:ascii="TimesNewRomanPSMT" w:hAnsi="TimesNewRomanPSMT" w:cs="TimesNewRomanPSMT"/>
        </w:rPr>
        <w:t xml:space="preserve"> field transmitted in the next SS-ACK or BRP frame sent to the initiator. The R-MID sub-phase is performed if the request is granted and is not performed otherwise. The responder shall use the SS-ACK or BRP frames to request an MIDC phase, with only the I-MID sub-phase. It shall do so by setting the </w:t>
      </w:r>
      <w:r w:rsidRPr="003C0408">
        <w:rPr>
          <w:rFonts w:ascii="TimesNewRomanPSMT" w:hAnsi="TimesNewRomanPSMT" w:cs="TimesNewRomanPSMT"/>
        </w:rPr>
        <w:t>MID request</w:t>
      </w:r>
      <w:r>
        <w:rPr>
          <w:rFonts w:ascii="TimesNewRomanPSMT" w:hAnsi="TimesNewRomanPSMT" w:cs="TimesNewRomanPSMT"/>
        </w:rPr>
        <w:t xml:space="preserve"> subfield to one and the </w:t>
      </w:r>
      <w:r w:rsidRPr="003C0408">
        <w:rPr>
          <w:rFonts w:ascii="TimesNewRomanPSMT" w:hAnsi="TimesNewRomanPSMT" w:cs="TimesNewRomanPSMT"/>
        </w:rPr>
        <w:t>BC request</w:t>
      </w:r>
      <w:r>
        <w:rPr>
          <w:rFonts w:ascii="TimesNewRomanPSMT" w:hAnsi="TimesNewRomanPSMT" w:cs="TimesNewRomanPSMT"/>
        </w:rPr>
        <w:t xml:space="preserve"> subfield to zero in the </w:t>
      </w:r>
      <w:r w:rsidRPr="003C0408">
        <w:rPr>
          <w:rFonts w:ascii="TimesNewRomanPSMT" w:hAnsi="TimesNewRomanPSMT" w:cs="TimesNewRomanPSMT"/>
        </w:rPr>
        <w:t>BRP request</w:t>
      </w:r>
      <w:r>
        <w:rPr>
          <w:rFonts w:ascii="TimesNewRomanPSMT" w:hAnsi="TimesNewRomanPSMT" w:cs="TimesNewRomanPSMT"/>
        </w:rPr>
        <w:t xml:space="preserve"> field. The initiator may grant this request by setting the </w:t>
      </w:r>
      <w:r w:rsidRPr="003C0408">
        <w:rPr>
          <w:rFonts w:ascii="TimesNewRomanPSMT" w:hAnsi="TimesNewRomanPSMT" w:cs="TimesNewRomanPSMT"/>
        </w:rPr>
        <w:t>MID grant</w:t>
      </w:r>
      <w:r>
        <w:rPr>
          <w:rFonts w:ascii="TimesNewRomanPSMT" w:hAnsi="TimesNewRomanPSMT" w:cs="TimesNewRomanPSMT"/>
        </w:rPr>
        <w:t xml:space="preserve"> subfield to one in the </w:t>
      </w:r>
      <w:r w:rsidRPr="003C0408">
        <w:rPr>
          <w:rFonts w:ascii="TimesNewRomanPSMT" w:hAnsi="TimesNewRomanPSMT" w:cs="TimesNewRomanPSMT"/>
        </w:rPr>
        <w:t>BRP request</w:t>
      </w:r>
      <w:r>
        <w:rPr>
          <w:rFonts w:ascii="TimesNewRomanPSMT" w:hAnsi="TimesNewRomanPSMT" w:cs="TimesNewRomanPSMT"/>
        </w:rPr>
        <w:t xml:space="preserve"> field within the next BRP frame transmitted to the responder. The I-MID sub-phase is performed if the request is granted and is not performed otherwise. If both R-MID and I-MID are performed, the R-MID is performed before the I-MID.</w:t>
      </w:r>
    </w:p>
    <w:p w:rsidR="00791856" w:rsidRDefault="00791856" w:rsidP="00893A3B">
      <w:pPr>
        <w:autoSpaceDE w:val="0"/>
        <w:autoSpaceDN w:val="0"/>
        <w:adjustRightInd w:val="0"/>
        <w:jc w:val="both"/>
        <w:rPr>
          <w:rFonts w:ascii="TimesNewRomanPSMT" w:hAnsi="TimesNewRomanPSMT" w:cs="TimesNewRomanPSMT"/>
        </w:rPr>
      </w:pPr>
    </w:p>
    <w:p w:rsidR="00893A3B" w:rsidRDefault="00893A3B" w:rsidP="00893A3B">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In addition to using the </w:t>
      </w:r>
      <w:r w:rsidRPr="00A138F5">
        <w:rPr>
          <w:rFonts w:ascii="TimesNewRomanPSMT" w:hAnsi="TimesNewRomanPSMT" w:cs="TimesNewRomanPSMT"/>
        </w:rPr>
        <w:t>MID request</w:t>
      </w:r>
      <w:r>
        <w:rPr>
          <w:rFonts w:ascii="TimesNewRomanPSMT" w:hAnsi="TimesNewRomanPSMT" w:cs="TimesNewRomanPSMT"/>
        </w:rPr>
        <w:t xml:space="preserve"> and </w:t>
      </w:r>
      <w:r w:rsidRPr="00A138F5">
        <w:rPr>
          <w:rFonts w:ascii="TimesNewRomanPSMT" w:hAnsi="TimesNewRomanPSMT" w:cs="TimesNewRomanPSMT"/>
        </w:rPr>
        <w:t>grant</w:t>
      </w:r>
      <w:r>
        <w:rPr>
          <w:rFonts w:ascii="TimesNewRomanPSMT" w:hAnsi="TimesNewRomanPSMT" w:cs="TimesNewRomanPSMT"/>
        </w:rPr>
        <w:t xml:space="preserve"> fields to setup the MID sub-phase, the responder and initiator need to know the SNRs of the sectors tested during the SLS phase for use in the R-MID and I-MID respectively. To get this information, the</w:t>
      </w:r>
      <w:r>
        <w:rPr>
          <w:rFonts w:ascii="TimesNewRomanPSMT" w:hAnsi="TimesNewRomanPSMT" w:cs="TimesNewRomanPSMT" w:hint="eastAsia"/>
        </w:rPr>
        <w:t xml:space="preserve"> </w:t>
      </w:r>
      <w:r>
        <w:rPr>
          <w:rFonts w:ascii="TimesNewRomanPSMT" w:hAnsi="TimesNewRomanPSMT" w:cs="TimesNewRomanPSMT"/>
        </w:rPr>
        <w:t xml:space="preserve">responder (or initiator) shall send a BRP packet with the </w:t>
      </w:r>
      <w:r w:rsidRPr="00985B0E">
        <w:rPr>
          <w:rFonts w:ascii="TimesNewRomanPSMT" w:hAnsi="TimesNewRomanPSMT" w:cs="TimesNewRomanPSMT"/>
        </w:rPr>
        <w:t>TXSS-FBCK-REQ</w:t>
      </w:r>
      <w:r>
        <w:rPr>
          <w:rFonts w:ascii="TimesNewRomanPSMT" w:hAnsi="TimesNewRomanPSMT" w:cs="TimesNewRomanPSMT"/>
        </w:rPr>
        <w:t xml:space="preserve"> subfield, and the </w:t>
      </w:r>
      <w:r w:rsidRPr="00985B0E">
        <w:rPr>
          <w:rFonts w:ascii="TimesNewRomanPSMT" w:hAnsi="TimesNewRomanPSMT" w:cs="TimesNewRomanPSMT"/>
        </w:rPr>
        <w:t>SNR requested</w:t>
      </w:r>
      <w:r>
        <w:rPr>
          <w:rFonts w:ascii="TimesNewRomanPSMT" w:hAnsi="TimesNewRomanPSMT" w:cs="TimesNewRomanPSMT"/>
        </w:rPr>
        <w:t xml:space="preserve"> subfield set to one in the FBCK-REQ field of the mmWave beam refinement element. The initiator (or responder) should respond with a BRP frame with the </w:t>
      </w:r>
      <w:r w:rsidRPr="00985B0E">
        <w:rPr>
          <w:rFonts w:ascii="TimesNewRomanPSMT" w:hAnsi="TimesNewRomanPSMT" w:cs="TimesNewRomanPSMT"/>
        </w:rPr>
        <w:t>SNR present</w:t>
      </w:r>
      <w:r>
        <w:rPr>
          <w:rFonts w:ascii="TimesNewRomanPSMT" w:hAnsi="TimesNewRomanPSMT" w:cs="TimesNewRomanPSMT"/>
        </w:rPr>
        <w:t xml:space="preserve"> </w:t>
      </w:r>
      <w:r>
        <w:rPr>
          <w:rFonts w:ascii="TimesNewRomanPSMT" w:hAnsi="TimesNewRomanPSMT" w:cs="TimesNewRomanPSMT" w:hint="eastAsia"/>
        </w:rPr>
        <w:t xml:space="preserve">and </w:t>
      </w:r>
      <w:r w:rsidRPr="00985B0E">
        <w:rPr>
          <w:rFonts w:ascii="TimesNewRomanPSMT" w:hAnsi="TimesNewRomanPSMT" w:cs="TimesNewRomanPSMT" w:hint="eastAsia"/>
        </w:rPr>
        <w:t>sector ID order present</w:t>
      </w:r>
      <w:r>
        <w:rPr>
          <w:rFonts w:ascii="TimesNewRomanPSMT" w:hAnsi="TimesNewRomanPSMT" w:cs="TimesNewRomanPSMT" w:hint="eastAsia"/>
        </w:rPr>
        <w:t xml:space="preserve"> </w:t>
      </w:r>
      <w:r>
        <w:rPr>
          <w:rFonts w:ascii="TimesNewRomanPSMT" w:hAnsi="TimesNewRomanPSMT" w:cs="TimesNewRomanPSMT"/>
        </w:rPr>
        <w:t>subfields set</w:t>
      </w:r>
      <w:r>
        <w:rPr>
          <w:rFonts w:ascii="TimesNewRomanPSMT" w:hAnsi="TimesNewRomanPSMT" w:cs="TimesNewRomanPSMT" w:hint="eastAsia"/>
        </w:rPr>
        <w:t xml:space="preserve"> to one</w:t>
      </w:r>
      <w:r>
        <w:rPr>
          <w:rFonts w:ascii="TimesNewRomanPSMT" w:hAnsi="TimesNewRomanPSMT" w:cs="TimesNewRomanPSMT"/>
        </w:rPr>
        <w:t xml:space="preserve">, and the </w:t>
      </w:r>
      <w:r w:rsidRPr="003E73D1">
        <w:rPr>
          <w:rFonts w:ascii="TimesNewRomanPSMT" w:hAnsi="TimesNewRomanPSMT" w:cs="TimesNewRomanPSMT"/>
          <w:i/>
        </w:rPr>
        <w:t>N</w:t>
      </w:r>
      <w:r w:rsidRPr="003E73D1">
        <w:rPr>
          <w:rFonts w:ascii="TimesNewRomanPSMT" w:hAnsi="TimesNewRomanPSMT" w:cs="TimesNewRomanPSMT"/>
          <w:i/>
          <w:vertAlign w:val="subscript"/>
        </w:rPr>
        <w:t>meas</w:t>
      </w:r>
      <w:r>
        <w:rPr>
          <w:rFonts w:ascii="TimesNewRomanPSMT" w:hAnsi="TimesNewRomanPSMT" w:cs="TimesNewRomanPSMT"/>
          <w:vertAlign w:val="subscript"/>
        </w:rPr>
        <w:t xml:space="preserve"> </w:t>
      </w:r>
      <w:r>
        <w:rPr>
          <w:rFonts w:ascii="TimesNewRomanPSMT" w:hAnsi="TimesNewRomanPSMT" w:cs="TimesNewRomanPSMT"/>
          <w:vertAlign w:val="subscript"/>
        </w:rPr>
        <w:softHyphen/>
      </w:r>
      <w:r>
        <w:rPr>
          <w:rFonts w:ascii="TimesNewRomanPSMT" w:hAnsi="TimesNewRomanPSMT" w:cs="TimesNewRomanPSMT"/>
        </w:rPr>
        <w:t xml:space="preserve">field in the </w:t>
      </w:r>
      <w:r w:rsidRPr="00985B0E">
        <w:rPr>
          <w:rFonts w:ascii="TimesNewRomanPSMT" w:hAnsi="TimesNewRomanPSMT" w:cs="TimesNewRomanPSMT"/>
        </w:rPr>
        <w:t>FBCK-TYPE</w:t>
      </w:r>
      <w:r>
        <w:rPr>
          <w:rFonts w:ascii="TimesNewRomanPSMT" w:hAnsi="TimesNewRomanPSMT" w:cs="TimesNewRomanPSMT"/>
        </w:rPr>
        <w:t xml:space="preserve"> field indicating the number of SNR measurements from the last SLS phase. In the channel measurement field, the initiator (or responder) should set the SNR subfield to the SNRs corresponding to the TX sectors received during the SLS phase. In the Sector ID subfield, it should list the sector I</w:t>
      </w:r>
      <w:r>
        <w:rPr>
          <w:rFonts w:ascii="TimesNewRomanPSMT" w:hAnsi="TimesNewRomanPSMT" w:cs="TimesNewRomanPSMT" w:hint="eastAsia"/>
        </w:rPr>
        <w:t>D</w:t>
      </w:r>
      <w:r>
        <w:rPr>
          <w:rFonts w:ascii="TimesNewRomanPSMT" w:hAnsi="TimesNewRomanPSMT" w:cs="TimesNewRomanPSMT"/>
        </w:rPr>
        <w:t>s of the received sectors.</w:t>
      </w:r>
      <w:r w:rsidR="005515A4">
        <w:rPr>
          <w:rFonts w:ascii="TimesNewRomanPSMT" w:hAnsi="TimesNewRomanPSMT" w:cs="TimesNewRomanPSMT"/>
        </w:rPr>
        <w:t xml:space="preserve"> </w:t>
      </w:r>
    </w:p>
    <w:p w:rsidR="008E540B" w:rsidRPr="008E540B" w:rsidRDefault="008E540B" w:rsidP="008E540B">
      <w:pPr>
        <w:autoSpaceDE w:val="0"/>
        <w:autoSpaceDN w:val="0"/>
        <w:adjustRightInd w:val="0"/>
        <w:jc w:val="both"/>
        <w:rPr>
          <w:rFonts w:ascii="TimesNewRomanPSMT" w:hAnsi="TimesNewRomanPSMT" w:cs="TimesNewRomanPSMT"/>
        </w:rPr>
      </w:pPr>
      <w:r w:rsidRPr="008E540B">
        <w:rPr>
          <w:rFonts w:ascii="TimesNewRomanPSMT" w:hAnsi="TimesNewRomanPSMT" w:cs="TimesNewRomanPSMT"/>
        </w:rPr>
        <w:t xml:space="preserve"> </w:t>
      </w:r>
    </w:p>
    <w:bookmarkEnd w:id="1683"/>
    <w:p w:rsidR="001D5978" w:rsidRDefault="00B93268" w:rsidP="001D5978">
      <w:pPr>
        <w:keepNext/>
        <w:autoSpaceDE w:val="0"/>
        <w:autoSpaceDN w:val="0"/>
        <w:adjustRightInd w:val="0"/>
        <w:jc w:val="center"/>
      </w:pPr>
      <w:r>
        <w:rPr>
          <w:noProof/>
          <w:lang w:bidi="ar-SA"/>
        </w:rPr>
        <w:drawing>
          <wp:inline distT="0" distB="0" distL="0" distR="0">
            <wp:extent cx="5441315" cy="3417570"/>
            <wp:effectExtent l="0" t="0" r="0" b="0"/>
            <wp:docPr id="485"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319713"/>
                      <a:chOff x="381000" y="1144588"/>
                      <a:chExt cx="8534400" cy="5319713"/>
                    </a:xfrm>
                  </a:grpSpPr>
                  <a:grpSp>
                    <a:nvGrpSpPr>
                      <a:cNvPr id="67665" name="Group 81"/>
                      <a:cNvGrpSpPr>
                        <a:grpSpLocks/>
                      </a:cNvGrpSpPr>
                    </a:nvGrpSpPr>
                    <a:grpSpPr bwMode="auto">
                      <a:xfrm>
                        <a:off x="381000" y="1144588"/>
                        <a:ext cx="8534400" cy="5319713"/>
                        <a:chOff x="240" y="721"/>
                        <a:chExt cx="5376" cy="3351"/>
                      </a:xfrm>
                    </a:grpSpPr>
                    <a:sp>
                      <a:nvSpPr>
                        <a:cNvPr id="67589" name="Rectangle 9"/>
                        <a:cNvSpPr>
                          <a:spLocks noChangeArrowheads="1"/>
                        </a:cNvSpPr>
                      </a:nvSpPr>
                      <a:spPr bwMode="auto">
                        <a:xfrm>
                          <a:off x="72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590" name="Text Box 10"/>
                        <a:cNvSpPr txBox="1">
                          <a:spLocks noChangeArrowheads="1"/>
                        </a:cNvSpPr>
                      </a:nvSpPr>
                      <a:spPr bwMode="auto">
                        <a:xfrm>
                          <a:off x="240"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7591" name="Text Box 11"/>
                        <a:cNvSpPr txBox="1">
                          <a:spLocks noChangeArrowheads="1"/>
                        </a:cNvSpPr>
                      </a:nvSpPr>
                      <a:spPr bwMode="auto">
                        <a:xfrm>
                          <a:off x="267"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7592" name="TextBox 111"/>
                        <a:cNvSpPr txBox="1">
                          <a:spLocks noChangeArrowheads="1"/>
                        </a:cNvSpPr>
                      </a:nvSpPr>
                      <a:spPr bwMode="auto">
                        <a:xfrm>
                          <a:off x="844"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7593" name="Line 7"/>
                        <a:cNvSpPr>
                          <a:spLocks noChangeShapeType="1"/>
                        </a:cNvSpPr>
                      </a:nvSpPr>
                      <a:spPr bwMode="auto">
                        <a:xfrm flipV="1">
                          <a:off x="624" y="3043"/>
                          <a:ext cx="4032"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594" name="Line 8"/>
                        <a:cNvSpPr>
                          <a:spLocks noChangeShapeType="1"/>
                        </a:cNvSpPr>
                      </a:nvSpPr>
                      <a:spPr bwMode="auto">
                        <a:xfrm>
                          <a:off x="624" y="1699"/>
                          <a:ext cx="4032"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595" name="Rectangle 9"/>
                        <a:cNvSpPr>
                          <a:spLocks noChangeArrowheads="1"/>
                        </a:cNvSpPr>
                      </a:nvSpPr>
                      <a:spPr bwMode="auto">
                        <a:xfrm>
                          <a:off x="100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596" name="Text Box 35"/>
                        <a:cNvSpPr txBox="1">
                          <a:spLocks noChangeArrowheads="1"/>
                        </a:cNvSpPr>
                      </a:nvSpPr>
                      <a:spPr bwMode="auto">
                        <a:xfrm rot="-5400000">
                          <a:off x="54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597" name="Text Box 49"/>
                        <a:cNvSpPr txBox="1">
                          <a:spLocks noChangeArrowheads="1"/>
                        </a:cNvSpPr>
                      </a:nvSpPr>
                      <a:spPr bwMode="auto">
                        <a:xfrm>
                          <a:off x="720"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7598" name="Text Box 49"/>
                        <a:cNvSpPr txBox="1">
                          <a:spLocks noChangeArrowheads="1"/>
                        </a:cNvSpPr>
                      </a:nvSpPr>
                      <a:spPr bwMode="auto">
                        <a:xfrm>
                          <a:off x="1248"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7599" name="Text Box 35"/>
                        <a:cNvSpPr txBox="1">
                          <a:spLocks noChangeArrowheads="1"/>
                        </a:cNvSpPr>
                      </a:nvSpPr>
                      <a:spPr bwMode="auto">
                        <a:xfrm rot="-5400000">
                          <a:off x="835"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600" name="Rectangle 9"/>
                        <a:cNvSpPr>
                          <a:spLocks noChangeArrowheads="1"/>
                        </a:cNvSpPr>
                      </a:nvSpPr>
                      <a:spPr bwMode="auto">
                        <a:xfrm>
                          <a:off x="12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1" name="TextBox 111"/>
                        <a:cNvSpPr txBox="1">
                          <a:spLocks noChangeArrowheads="1"/>
                        </a:cNvSpPr>
                      </a:nvSpPr>
                      <a:spPr bwMode="auto">
                        <a:xfrm>
                          <a:off x="1386"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7602" name="Rectangle 9"/>
                        <a:cNvSpPr>
                          <a:spLocks noChangeArrowheads="1"/>
                        </a:cNvSpPr>
                      </a:nvSpPr>
                      <a:spPr bwMode="auto">
                        <a:xfrm>
                          <a:off x="155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3" name="Text Box 35"/>
                        <a:cNvSpPr txBox="1">
                          <a:spLocks noChangeArrowheads="1"/>
                        </a:cNvSpPr>
                      </a:nvSpPr>
                      <a:spPr bwMode="auto">
                        <a:xfrm rot="-5400000">
                          <a:off x="10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604" name="Text Box 35"/>
                        <a:cNvSpPr txBox="1">
                          <a:spLocks noChangeArrowheads="1"/>
                        </a:cNvSpPr>
                      </a:nvSpPr>
                      <a:spPr bwMode="auto">
                        <a:xfrm rot="-5400000">
                          <a:off x="1377"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605" name="Rectangle 9"/>
                        <a:cNvSpPr>
                          <a:spLocks noChangeArrowheads="1"/>
                        </a:cNvSpPr>
                      </a:nvSpPr>
                      <a:spPr bwMode="auto">
                        <a:xfrm>
                          <a:off x="178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6" name="Text Box 35"/>
                        <a:cNvSpPr txBox="1">
                          <a:spLocks noChangeArrowheads="1"/>
                        </a:cNvSpPr>
                      </a:nvSpPr>
                      <a:spPr bwMode="auto">
                        <a:xfrm rot="-5400000">
                          <a:off x="1565" y="1814"/>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7607" name="Rectangle 9"/>
                        <a:cNvSpPr>
                          <a:spLocks noChangeArrowheads="1"/>
                        </a:cNvSpPr>
                      </a:nvSpPr>
                      <a:spPr bwMode="auto">
                        <a:xfrm>
                          <a:off x="23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8" name="Text Box 35"/>
                        <a:cNvSpPr txBox="1">
                          <a:spLocks noChangeArrowheads="1"/>
                        </a:cNvSpPr>
                      </a:nvSpPr>
                      <a:spPr bwMode="auto">
                        <a:xfrm rot="-5400000">
                          <a:off x="21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09" name="Rectangle 9"/>
                        <a:cNvSpPr>
                          <a:spLocks noChangeArrowheads="1"/>
                        </a:cNvSpPr>
                      </a:nvSpPr>
                      <a:spPr bwMode="auto">
                        <a:xfrm>
                          <a:off x="260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0" name="Text Box 35"/>
                        <a:cNvSpPr txBox="1">
                          <a:spLocks noChangeArrowheads="1"/>
                        </a:cNvSpPr>
                      </a:nvSpPr>
                      <a:spPr bwMode="auto">
                        <a:xfrm rot="-5400000">
                          <a:off x="242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11" name="Rectangle 9"/>
                        <a:cNvSpPr>
                          <a:spLocks noChangeArrowheads="1"/>
                        </a:cNvSpPr>
                      </a:nvSpPr>
                      <a:spPr bwMode="auto">
                        <a:xfrm>
                          <a:off x="284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2" name="Text Box 35"/>
                        <a:cNvSpPr txBox="1">
                          <a:spLocks noChangeArrowheads="1"/>
                        </a:cNvSpPr>
                      </a:nvSpPr>
                      <a:spPr bwMode="auto">
                        <a:xfrm rot="-5400000">
                          <a:off x="266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13" name="Rectangle 9"/>
                        <a:cNvSpPr>
                          <a:spLocks noChangeArrowheads="1"/>
                        </a:cNvSpPr>
                      </a:nvSpPr>
                      <a:spPr bwMode="auto">
                        <a:xfrm>
                          <a:off x="307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4" name="Text Box 35"/>
                        <a:cNvSpPr txBox="1">
                          <a:spLocks noChangeArrowheads="1"/>
                        </a:cNvSpPr>
                      </a:nvSpPr>
                      <a:spPr bwMode="auto">
                        <a:xfrm rot="-5400000">
                          <a:off x="289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15" name="Rectangle 9"/>
                        <a:cNvSpPr>
                          <a:spLocks noChangeArrowheads="1"/>
                        </a:cNvSpPr>
                      </a:nvSpPr>
                      <a:spPr bwMode="auto">
                        <a:xfrm>
                          <a:off x="212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6" name="Text Box 35"/>
                        <a:cNvSpPr txBox="1">
                          <a:spLocks noChangeArrowheads="1"/>
                        </a:cNvSpPr>
                      </a:nvSpPr>
                      <a:spPr bwMode="auto">
                        <a:xfrm rot="-5400000">
                          <a:off x="194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23" name="Rectangle 9"/>
                        <a:cNvSpPr>
                          <a:spLocks noChangeArrowheads="1"/>
                        </a:cNvSpPr>
                      </a:nvSpPr>
                      <a:spPr bwMode="auto">
                        <a:xfrm>
                          <a:off x="393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24" name="Text Box 35"/>
                        <a:cNvSpPr txBox="1">
                          <a:spLocks noChangeArrowheads="1"/>
                        </a:cNvSpPr>
                      </a:nvSpPr>
                      <a:spPr bwMode="auto">
                        <a:xfrm rot="-5400000">
                          <a:off x="3763"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25" name="TextBox 111"/>
                        <a:cNvSpPr txBox="1">
                          <a:spLocks noChangeArrowheads="1"/>
                        </a:cNvSpPr>
                      </a:nvSpPr>
                      <a:spPr bwMode="auto">
                        <a:xfrm>
                          <a:off x="3530"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7626" name="Rectangle 9"/>
                        <a:cNvSpPr>
                          <a:spLocks noChangeArrowheads="1"/>
                        </a:cNvSpPr>
                      </a:nvSpPr>
                      <a:spPr bwMode="auto">
                        <a:xfrm>
                          <a:off x="341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27" name="Text Box 35"/>
                        <a:cNvSpPr txBox="1">
                          <a:spLocks noChangeArrowheads="1"/>
                        </a:cNvSpPr>
                      </a:nvSpPr>
                      <a:spPr bwMode="auto">
                        <a:xfrm rot="-5400000">
                          <a:off x="324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28" name="Rectangle 9"/>
                        <a:cNvSpPr>
                          <a:spLocks noChangeArrowheads="1"/>
                        </a:cNvSpPr>
                      </a:nvSpPr>
                      <a:spPr bwMode="auto">
                        <a:xfrm>
                          <a:off x="369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29" name="Text Box 35"/>
                        <a:cNvSpPr txBox="1">
                          <a:spLocks noChangeArrowheads="1"/>
                        </a:cNvSpPr>
                      </a:nvSpPr>
                      <a:spPr bwMode="auto">
                        <a:xfrm rot="-5400000">
                          <a:off x="352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39" name="Text Box 49"/>
                        <a:cNvSpPr txBox="1">
                          <a:spLocks noChangeArrowheads="1"/>
                        </a:cNvSpPr>
                      </a:nvSpPr>
                      <a:spPr bwMode="auto">
                        <a:xfrm>
                          <a:off x="3216" y="3024"/>
                          <a:ext cx="41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R-MID</a:t>
                            </a:r>
                          </a:p>
                        </a:txBody>
                        <a:useSpRect/>
                      </a:txSp>
                    </a:sp>
                    <a:sp>
                      <a:nvSpPr>
                        <a:cNvPr id="67642" name="AutoShape 58"/>
                        <a:cNvSpPr>
                          <a:spLocks/>
                        </a:cNvSpPr>
                      </a:nvSpPr>
                      <a:spPr bwMode="auto">
                        <a:xfrm>
                          <a:off x="692" y="1249"/>
                          <a:ext cx="746" cy="238"/>
                        </a:xfrm>
                        <a:prstGeom prst="borderCallout2">
                          <a:avLst>
                            <a:gd name="adj1" fmla="val 30250"/>
                            <a:gd name="adj2" fmla="val 106435"/>
                            <a:gd name="adj3" fmla="val 30250"/>
                            <a:gd name="adj4" fmla="val 130028"/>
                            <a:gd name="adj5" fmla="val 191597"/>
                            <a:gd name="adj6" fmla="val 15442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a:t>
                            </a:r>
                            <a:endParaRPr lang="ja-JP" altLang="en-US" sz="1000">
                              <a:ea typeface="ＭＳ Ｐゴシック" pitchFamily="34" charset="-128"/>
                            </a:endParaRPr>
                          </a:p>
                        </a:txBody>
                        <a:useSpRect/>
                      </a:txSp>
                    </a:sp>
                    <a:sp>
                      <a:nvSpPr>
                        <a:cNvPr id="67643" name="AutoShape 59"/>
                        <a:cNvSpPr>
                          <a:spLocks/>
                        </a:cNvSpPr>
                      </a:nvSpPr>
                      <a:spPr bwMode="auto">
                        <a:xfrm>
                          <a:off x="794" y="721"/>
                          <a:ext cx="864" cy="432"/>
                        </a:xfrm>
                        <a:prstGeom prst="borderCallout2">
                          <a:avLst>
                            <a:gd name="adj1" fmla="val 16667"/>
                            <a:gd name="adj2" fmla="val 105556"/>
                            <a:gd name="adj3" fmla="val 16667"/>
                            <a:gd name="adj4" fmla="val 126852"/>
                            <a:gd name="adj5" fmla="val 225926"/>
                            <a:gd name="adj6" fmla="val 16157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7644" name="AutoShape 60"/>
                        <a:cNvSpPr>
                          <a:spLocks/>
                        </a:cNvSpPr>
                      </a:nvSpPr>
                      <a:spPr bwMode="auto">
                        <a:xfrm>
                          <a:off x="864" y="3360"/>
                          <a:ext cx="1152" cy="528"/>
                        </a:xfrm>
                        <a:prstGeom prst="borderCallout2">
                          <a:avLst>
                            <a:gd name="adj1" fmla="val 13634"/>
                            <a:gd name="adj2" fmla="val 104167"/>
                            <a:gd name="adj3" fmla="val 13634"/>
                            <a:gd name="adj4" fmla="val 119792"/>
                            <a:gd name="adj5" fmla="val -60606"/>
                            <a:gd name="adj6" fmla="val 135417"/>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 </a:t>
                            </a:r>
                          </a:p>
                          <a:p>
                            <a:r>
                              <a:rPr lang="en-US" altLang="ja-JP" sz="1000">
                                <a:ea typeface="ＭＳ Ｐゴシック" pitchFamily="34" charset="-128"/>
                              </a:rPr>
                              <a:t>MID-Grant=1, BC-Grant=0,</a:t>
                            </a:r>
                          </a:p>
                          <a:p>
                            <a:r>
                              <a:rPr lang="en-US" altLang="ja-JP" sz="1000">
                                <a:ea typeface="ＭＳ Ｐゴシック" pitchFamily="34" charset="-128"/>
                              </a:rPr>
                              <a:t>TXSS-FBCK-REQ=1, </a:t>
                            </a:r>
                          </a:p>
                          <a:p>
                            <a:r>
                              <a:rPr lang="en-US" altLang="ja-JP" sz="1000">
                                <a:ea typeface="ＭＳ Ｐゴシック" pitchFamily="34" charset="-128"/>
                              </a:rPr>
                              <a:t>SNR requested=1, </a:t>
                            </a:r>
                          </a:p>
                          <a:p>
                            <a:r>
                              <a:rPr lang="en-US" altLang="ja-JP" sz="1000">
                                <a:ea typeface="ＭＳ Ｐゴシック" pitchFamily="34" charset="-128"/>
                              </a:rPr>
                              <a:t>MID/BC-REQ=1, L-RX&gt;0</a:t>
                            </a:r>
                          </a:p>
                        </a:txBody>
                        <a:useSpRect/>
                      </a:txSp>
                    </a:sp>
                    <a:sp>
                      <a:nvSpPr>
                        <a:cNvPr id="67645" name="Line 61"/>
                        <a:cNvSpPr>
                          <a:spLocks noChangeShapeType="1"/>
                        </a:cNvSpPr>
                      </a:nvSpPr>
                      <a:spPr bwMode="auto">
                        <a:xfrm>
                          <a:off x="720"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646" name="Text Box 49"/>
                        <a:cNvSpPr txBox="1">
                          <a:spLocks noChangeArrowheads="1"/>
                        </a:cNvSpPr>
                      </a:nvSpPr>
                      <a:spPr bwMode="auto">
                        <a:xfrm>
                          <a:off x="960"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7647" name="Line 63"/>
                        <a:cNvSpPr>
                          <a:spLocks noChangeShapeType="1"/>
                        </a:cNvSpPr>
                      </a:nvSpPr>
                      <a:spPr bwMode="auto">
                        <a:xfrm>
                          <a:off x="2016"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648" name="Text Box 49"/>
                        <a:cNvSpPr txBox="1">
                          <a:spLocks noChangeArrowheads="1"/>
                        </a:cNvSpPr>
                      </a:nvSpPr>
                      <a:spPr bwMode="auto">
                        <a:xfrm>
                          <a:off x="2208"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7649" name="Line 65"/>
                        <a:cNvSpPr>
                          <a:spLocks noChangeShapeType="1"/>
                        </a:cNvSpPr>
                      </a:nvSpPr>
                      <a:spPr bwMode="auto">
                        <a:xfrm>
                          <a:off x="3312" y="2400"/>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650" name="Text Box 49"/>
                        <a:cNvSpPr txBox="1">
                          <a:spLocks noChangeArrowheads="1"/>
                        </a:cNvSpPr>
                      </a:nvSpPr>
                      <a:spPr bwMode="auto">
                        <a:xfrm>
                          <a:off x="3504" y="2256"/>
                          <a:ext cx="577"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(DTT)</a:t>
                            </a:r>
                          </a:p>
                        </a:txBody>
                        <a:useSpRect/>
                      </a:txSp>
                    </a:sp>
                    <a:sp>
                      <a:nvSpPr>
                        <a:cNvPr id="67654" name="AutoShape 70"/>
                        <a:cNvSpPr>
                          <a:spLocks/>
                        </a:cNvSpPr>
                      </a:nvSpPr>
                      <a:spPr bwMode="auto">
                        <a:xfrm>
                          <a:off x="2409" y="817"/>
                          <a:ext cx="1008" cy="448"/>
                        </a:xfrm>
                        <a:prstGeom prst="borderCallout3">
                          <a:avLst>
                            <a:gd name="adj1" fmla="val 16069"/>
                            <a:gd name="adj2" fmla="val -4764"/>
                            <a:gd name="adj3" fmla="val 16069"/>
                            <a:gd name="adj4" fmla="val -7144"/>
                            <a:gd name="adj5" fmla="val 133259"/>
                            <a:gd name="adj6" fmla="val -7144"/>
                            <a:gd name="adj7" fmla="val 195981"/>
                            <a:gd name="adj8" fmla="val 2539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 </a:t>
                            </a:r>
                          </a:p>
                          <a:p>
                            <a:r>
                              <a:rPr lang="en-US" altLang="ja-JP" sz="1000">
                                <a:ea typeface="ＭＳ Ｐゴシック" pitchFamily="34" charset="-128"/>
                              </a:rPr>
                              <a:t>MID/BC-Grant=0</a:t>
                            </a:r>
                          </a:p>
                        </a:txBody>
                        <a:useSpRect/>
                      </a:txSp>
                    </a:sp>
                    <a:sp>
                      <a:nvSpPr>
                        <a:cNvPr id="67655" name="AutoShape 71"/>
                        <a:cNvSpPr>
                          <a:spLocks/>
                        </a:cNvSpPr>
                      </a:nvSpPr>
                      <a:spPr bwMode="auto">
                        <a:xfrm>
                          <a:off x="2640" y="3360"/>
                          <a:ext cx="816" cy="152"/>
                        </a:xfrm>
                        <a:prstGeom prst="borderCallout3">
                          <a:avLst>
                            <a:gd name="adj1" fmla="val 47370"/>
                            <a:gd name="adj2" fmla="val -5884"/>
                            <a:gd name="adj3" fmla="val 47370"/>
                            <a:gd name="adj4" fmla="val -11028"/>
                            <a:gd name="adj5" fmla="val -53949"/>
                            <a:gd name="adj6" fmla="val -11028"/>
                            <a:gd name="adj7" fmla="val -205264"/>
                            <a:gd name="adj8" fmla="val 3321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txBody>
                        <a:useSpRect/>
                      </a:txSp>
                    </a:sp>
                    <a:sp>
                      <a:nvSpPr>
                        <a:cNvPr id="67656" name="AutoShape 72"/>
                        <a:cNvSpPr>
                          <a:spLocks/>
                        </a:cNvSpPr>
                      </a:nvSpPr>
                      <a:spPr bwMode="auto">
                        <a:xfrm>
                          <a:off x="3456" y="1296"/>
                          <a:ext cx="528" cy="240"/>
                        </a:xfrm>
                        <a:prstGeom prst="borderCallout2">
                          <a:avLst>
                            <a:gd name="adj1" fmla="val 30000"/>
                            <a:gd name="adj2" fmla="val -9093"/>
                            <a:gd name="adj3" fmla="val 30000"/>
                            <a:gd name="adj4" fmla="val -16667"/>
                            <a:gd name="adj5" fmla="val 165000"/>
                            <a:gd name="adj6" fmla="val -5946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7658" name="AutoShape 74"/>
                        <a:cNvSpPr>
                          <a:spLocks/>
                        </a:cNvSpPr>
                      </a:nvSpPr>
                      <a:spPr bwMode="auto">
                        <a:xfrm>
                          <a:off x="4271" y="1296"/>
                          <a:ext cx="1008" cy="240"/>
                        </a:xfrm>
                        <a:prstGeom prst="borderCallout2">
                          <a:avLst>
                            <a:gd name="adj1" fmla="val 30000"/>
                            <a:gd name="adj2" fmla="val -4764"/>
                            <a:gd name="adj3" fmla="val 30000"/>
                            <a:gd name="adj4" fmla="val -10319"/>
                            <a:gd name="adj5" fmla="val 165417"/>
                            <a:gd name="adj6" fmla="val -25296"/>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TX),</a:t>
                            </a:r>
                          </a:p>
                          <a:p>
                            <a:r>
                              <a:rPr lang="en-US" altLang="en-US" sz="1000"/>
                              <a:t>Sector-ID-order present=1</a:t>
                            </a:r>
                            <a:endParaRPr lang="ja-JP" altLang="en-US" sz="1000">
                              <a:ea typeface="ＭＳ Ｐゴシック" pitchFamily="34" charset="-128"/>
                            </a:endParaRPr>
                          </a:p>
                        </a:txBody>
                        <a:useSpRect/>
                      </a:txSp>
                    </a:sp>
                    <a:sp>
                      <a:nvSpPr>
                        <a:cNvPr id="67661" name="Text Box 77"/>
                        <a:cNvSpPr txBox="1">
                          <a:spLocks noChangeArrowheads="1"/>
                        </a:cNvSpPr>
                      </a:nvSpPr>
                      <a:spPr bwMode="auto">
                        <a:xfrm>
                          <a:off x="2080" y="3888"/>
                          <a:ext cx="3536" cy="184"/>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r"/>
                            <a:r>
                              <a:rPr lang="en-US" altLang="ja-JP" sz="1300" dirty="0" smtClean="0">
                                <a:latin typeface="Arial" charset="0"/>
                                <a:ea typeface="ＭＳ Ｐゴシック" pitchFamily="34" charset="-128"/>
                                <a:cs typeface="Arial" charset="0"/>
                              </a:rPr>
                              <a:t>Time separation between </a:t>
                            </a:r>
                            <a:r>
                              <a:rPr lang="en-US" altLang="ja-JP" sz="1300" dirty="0">
                                <a:latin typeface="Arial" charset="0"/>
                                <a:ea typeface="ＭＳ Ｐゴシック" pitchFamily="34" charset="-128"/>
                                <a:cs typeface="Arial" charset="0"/>
                              </a:rPr>
                              <a:t>BRP </a:t>
                            </a:r>
                            <a:r>
                              <a:rPr lang="en-US" altLang="ja-JP" sz="1300" dirty="0" smtClean="0">
                                <a:latin typeface="Arial" charset="0"/>
                                <a:ea typeface="ＭＳ Ｐゴシック" pitchFamily="34" charset="-128"/>
                                <a:cs typeface="Arial" charset="0"/>
                              </a:rPr>
                              <a:t>frame exchanges:  ≥ </a:t>
                            </a:r>
                            <a:r>
                              <a:rPr lang="en-US" altLang="ja-JP" sz="1300" dirty="0">
                                <a:latin typeface="Arial" charset="0"/>
                                <a:ea typeface="ＭＳ Ｐゴシック" pitchFamily="34" charset="-128"/>
                                <a:cs typeface="Arial" charset="0"/>
                              </a:rPr>
                              <a:t>SIFS &amp; &lt; BRPIFS</a:t>
                            </a:r>
                            <a:endParaRPr lang="ja-JP" altLang="en-US" sz="1300">
                              <a:latin typeface="Arial" charset="0"/>
                              <a:ea typeface="ＭＳ Ｐゴシック" pitchFamily="34" charset="-128"/>
                              <a:cs typeface="Arial" charset="0"/>
                            </a:endParaRPr>
                          </a:p>
                        </a:txBody>
                        <a:useSpRect/>
                      </a:txSp>
                    </a:sp>
                    <a:sp>
                      <a:nvSpPr>
                        <a:cNvPr id="67663" name="AutoShape 79"/>
                        <a:cNvSpPr>
                          <a:spLocks/>
                        </a:cNvSpPr>
                      </a:nvSpPr>
                      <a:spPr bwMode="auto">
                        <a:xfrm>
                          <a:off x="4403" y="3408"/>
                          <a:ext cx="744" cy="160"/>
                        </a:xfrm>
                        <a:prstGeom prst="borderCallout2">
                          <a:avLst>
                            <a:gd name="adj1" fmla="val 45000"/>
                            <a:gd name="adj2" fmla="val -6454"/>
                            <a:gd name="adj3" fmla="val 45000"/>
                            <a:gd name="adj4" fmla="val -59407"/>
                            <a:gd name="adj5" fmla="val -275000"/>
                            <a:gd name="adj6" fmla="val -11263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extension=1</a:t>
                            </a:r>
                          </a:p>
                        </a:txBody>
                        <a:useSpRect/>
                      </a:txSp>
                    </a:sp>
                    <a:sp>
                      <a:nvSpPr>
                        <a:cNvPr id="67664" name="AutoShape 80"/>
                        <a:cNvSpPr>
                          <a:spLocks/>
                        </a:cNvSpPr>
                      </a:nvSpPr>
                      <a:spPr bwMode="auto">
                        <a:xfrm>
                          <a:off x="4367" y="3120"/>
                          <a:ext cx="816" cy="256"/>
                        </a:xfrm>
                        <a:prstGeom prst="borderCallout2">
                          <a:avLst>
                            <a:gd name="adj1" fmla="val 28125"/>
                            <a:gd name="adj2" fmla="val -5884"/>
                            <a:gd name="adj3" fmla="val 28125"/>
                            <a:gd name="adj4" fmla="val -35537"/>
                            <a:gd name="adj5" fmla="val -66407"/>
                            <a:gd name="adj6" fmla="val -6519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extension=0 for the last BRP frame</a:t>
                            </a:r>
                          </a:p>
                        </a:txBody>
                        <a:useSpRect/>
                      </a:txSp>
                    </a:sp>
                  </a:grpSp>
                </lc:lockedCanvas>
              </a:graphicData>
            </a:graphic>
          </wp:inline>
        </w:drawing>
      </w:r>
    </w:p>
    <w:p w:rsidR="007C5C0A" w:rsidRDefault="0097272D" w:rsidP="0097272D">
      <w:pPr>
        <w:pStyle w:val="Caption"/>
      </w:pPr>
      <w:bookmarkStart w:id="1686" w:name="_Ref257278652"/>
      <w:bookmarkStart w:id="1687" w:name="_Toc259717537"/>
      <w:r>
        <w:t xml:space="preserve">Figure </w:t>
      </w:r>
      <w:r w:rsidR="00BD151C">
        <w:fldChar w:fldCharType="begin"/>
      </w:r>
      <w:r w:rsidR="00801316">
        <w:instrText xml:space="preserve"> SEQ Figure \* ARABIC </w:instrText>
      </w:r>
      <w:r w:rsidR="00BD151C">
        <w:fldChar w:fldCharType="separate"/>
      </w:r>
      <w:r w:rsidR="003E4210">
        <w:rPr>
          <w:noProof/>
        </w:rPr>
        <w:t>105</w:t>
      </w:r>
      <w:r w:rsidR="00BD151C">
        <w:fldChar w:fldCharType="end"/>
      </w:r>
      <w:bookmarkEnd w:id="1686"/>
      <w:r w:rsidR="00565D8A">
        <w:t xml:space="preserve"> – </w:t>
      </w:r>
      <w:r w:rsidR="009D537D" w:rsidRPr="009D537D">
        <w:t>Example of the use of the BRP setup sub-phase to setup the subsequent R-MID sub-phase in the A-BFT and DTT</w:t>
      </w:r>
      <w:bookmarkEnd w:id="1687"/>
    </w:p>
    <w:p w:rsidR="001D5978" w:rsidRPr="001D5978" w:rsidRDefault="001D5978" w:rsidP="007C5C0A"/>
    <w:p w:rsidR="001D5978" w:rsidRDefault="00B93268" w:rsidP="001D5978">
      <w:pPr>
        <w:keepNext/>
        <w:autoSpaceDE w:val="0"/>
        <w:autoSpaceDN w:val="0"/>
        <w:adjustRightInd w:val="0"/>
        <w:jc w:val="center"/>
      </w:pPr>
      <w:r>
        <w:rPr>
          <w:noProof/>
          <w:lang w:bidi="ar-SA"/>
        </w:rPr>
        <w:lastRenderedPageBreak/>
        <w:drawing>
          <wp:inline distT="0" distB="0" distL="0" distR="0">
            <wp:extent cx="5369560" cy="3540760"/>
            <wp:effectExtent l="0" t="0" r="0" b="0"/>
            <wp:docPr id="48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31200" cy="5313362"/>
                      <a:chOff x="508000" y="1081088"/>
                      <a:chExt cx="8331200" cy="5313362"/>
                    </a:xfrm>
                  </a:grpSpPr>
                  <a:grpSp>
                    <a:nvGrpSpPr>
                      <a:cNvPr id="66655" name="Group 95"/>
                      <a:cNvGrpSpPr>
                        <a:grpSpLocks/>
                      </a:cNvGrpSpPr>
                    </a:nvGrpSpPr>
                    <a:grpSpPr bwMode="auto">
                      <a:xfrm>
                        <a:off x="508000" y="1081088"/>
                        <a:ext cx="8331200" cy="5313362"/>
                        <a:chOff x="320" y="681"/>
                        <a:chExt cx="5248" cy="3347"/>
                      </a:xfrm>
                    </a:grpSpPr>
                    <a:sp>
                      <a:nvSpPr>
                        <a:cNvPr id="66564" name="Rectangle 9"/>
                        <a:cNvSpPr>
                          <a:spLocks noChangeArrowheads="1"/>
                        </a:cNvSpPr>
                      </a:nvSpPr>
                      <a:spPr bwMode="auto">
                        <a:xfrm>
                          <a:off x="1048"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67" name="TextBox 111"/>
                        <a:cNvSpPr txBox="1">
                          <a:spLocks noChangeArrowheads="1"/>
                        </a:cNvSpPr>
                      </a:nvSpPr>
                      <a:spPr bwMode="auto">
                        <a:xfrm>
                          <a:off x="1172" y="174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6568" name="Line 7"/>
                        <a:cNvSpPr>
                          <a:spLocks noChangeShapeType="1"/>
                        </a:cNvSpPr>
                      </a:nvSpPr>
                      <a:spPr bwMode="auto">
                        <a:xfrm flipV="1">
                          <a:off x="952" y="2947"/>
                          <a:ext cx="3727"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569" name="Line 8"/>
                        <a:cNvSpPr>
                          <a:spLocks noChangeShapeType="1"/>
                        </a:cNvSpPr>
                      </a:nvSpPr>
                      <a:spPr bwMode="auto">
                        <a:xfrm>
                          <a:off x="952" y="1603"/>
                          <a:ext cx="3727"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570" name="Rectangle 9"/>
                        <a:cNvSpPr>
                          <a:spLocks noChangeArrowheads="1"/>
                        </a:cNvSpPr>
                      </a:nvSpPr>
                      <a:spPr bwMode="auto">
                        <a:xfrm>
                          <a:off x="1336"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71" name="Text Box 35"/>
                        <a:cNvSpPr txBox="1">
                          <a:spLocks noChangeArrowheads="1"/>
                        </a:cNvSpPr>
                      </a:nvSpPr>
                      <a:spPr bwMode="auto">
                        <a:xfrm rot="-5400000">
                          <a:off x="875"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72" name="Text Box 49"/>
                        <a:cNvSpPr txBox="1">
                          <a:spLocks noChangeArrowheads="1"/>
                        </a:cNvSpPr>
                      </a:nvSpPr>
                      <a:spPr bwMode="auto">
                        <a:xfrm>
                          <a:off x="1048" y="1440"/>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6573" name="Text Box 49"/>
                        <a:cNvSpPr txBox="1">
                          <a:spLocks noChangeArrowheads="1"/>
                        </a:cNvSpPr>
                      </a:nvSpPr>
                      <a:spPr bwMode="auto">
                        <a:xfrm>
                          <a:off x="1576" y="2947"/>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6574" name="Text Box 35"/>
                        <a:cNvSpPr txBox="1">
                          <a:spLocks noChangeArrowheads="1"/>
                        </a:cNvSpPr>
                      </a:nvSpPr>
                      <a:spPr bwMode="auto">
                        <a:xfrm rot="-5400000">
                          <a:off x="1163"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75" name="Rectangle 9"/>
                        <a:cNvSpPr>
                          <a:spLocks noChangeArrowheads="1"/>
                        </a:cNvSpPr>
                      </a:nvSpPr>
                      <a:spPr bwMode="auto">
                        <a:xfrm>
                          <a:off x="159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76" name="TextBox 111"/>
                        <a:cNvSpPr txBox="1">
                          <a:spLocks noChangeArrowheads="1"/>
                        </a:cNvSpPr>
                      </a:nvSpPr>
                      <a:spPr bwMode="auto">
                        <a:xfrm>
                          <a:off x="1714" y="2611"/>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6577" name="Rectangle 9"/>
                        <a:cNvSpPr>
                          <a:spLocks noChangeArrowheads="1"/>
                        </a:cNvSpPr>
                      </a:nvSpPr>
                      <a:spPr bwMode="auto">
                        <a:xfrm>
                          <a:off x="1878"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78" name="Text Box 35"/>
                        <a:cNvSpPr txBox="1">
                          <a:spLocks noChangeArrowheads="1"/>
                        </a:cNvSpPr>
                      </a:nvSpPr>
                      <a:spPr bwMode="auto">
                        <a:xfrm rot="-5400000">
                          <a:off x="141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79" name="Text Box 35"/>
                        <a:cNvSpPr txBox="1">
                          <a:spLocks noChangeArrowheads="1"/>
                        </a:cNvSpPr>
                      </a:nvSpPr>
                      <a:spPr bwMode="auto">
                        <a:xfrm rot="-5400000">
                          <a:off x="1705"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80" name="Rectangle 9"/>
                        <a:cNvSpPr>
                          <a:spLocks noChangeArrowheads="1"/>
                        </a:cNvSpPr>
                      </a:nvSpPr>
                      <a:spPr bwMode="auto">
                        <a:xfrm>
                          <a:off x="2114"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1" name="Text Box 35"/>
                        <a:cNvSpPr txBox="1">
                          <a:spLocks noChangeArrowheads="1"/>
                        </a:cNvSpPr>
                      </a:nvSpPr>
                      <a:spPr bwMode="auto">
                        <a:xfrm rot="-5400000">
                          <a:off x="1884" y="1736"/>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6582" name="Rectangle 9"/>
                        <a:cNvSpPr>
                          <a:spLocks noChangeArrowheads="1"/>
                        </a:cNvSpPr>
                      </a:nvSpPr>
                      <a:spPr bwMode="auto">
                        <a:xfrm>
                          <a:off x="293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3" name="Text Box 35"/>
                        <a:cNvSpPr txBox="1">
                          <a:spLocks noChangeArrowheads="1"/>
                        </a:cNvSpPr>
                      </a:nvSpPr>
                      <a:spPr bwMode="auto">
                        <a:xfrm rot="-5400000">
                          <a:off x="275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584" name="Rectangle 9"/>
                        <a:cNvSpPr>
                          <a:spLocks noChangeArrowheads="1"/>
                        </a:cNvSpPr>
                      </a:nvSpPr>
                      <a:spPr bwMode="auto">
                        <a:xfrm>
                          <a:off x="3170"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5" name="Text Box 35"/>
                        <a:cNvSpPr txBox="1">
                          <a:spLocks noChangeArrowheads="1"/>
                        </a:cNvSpPr>
                      </a:nvSpPr>
                      <a:spPr bwMode="auto">
                        <a:xfrm rot="-5400000">
                          <a:off x="2997"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586" name="Rectangle 9"/>
                        <a:cNvSpPr>
                          <a:spLocks noChangeArrowheads="1"/>
                        </a:cNvSpPr>
                      </a:nvSpPr>
                      <a:spPr bwMode="auto">
                        <a:xfrm>
                          <a:off x="341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7" name="Text Box 35"/>
                        <a:cNvSpPr txBox="1">
                          <a:spLocks noChangeArrowheads="1"/>
                        </a:cNvSpPr>
                      </a:nvSpPr>
                      <a:spPr bwMode="auto">
                        <a:xfrm rot="-5400000">
                          <a:off x="323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590" name="Rectangle 9"/>
                        <a:cNvSpPr>
                          <a:spLocks noChangeArrowheads="1"/>
                        </a:cNvSpPr>
                      </a:nvSpPr>
                      <a:spPr bwMode="auto">
                        <a:xfrm>
                          <a:off x="2690"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91" name="Text Box 35"/>
                        <a:cNvSpPr txBox="1">
                          <a:spLocks noChangeArrowheads="1"/>
                        </a:cNvSpPr>
                      </a:nvSpPr>
                      <a:spPr bwMode="auto">
                        <a:xfrm rot="-5400000">
                          <a:off x="2517"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01" name="Rectangle 9"/>
                        <a:cNvSpPr>
                          <a:spLocks noChangeArrowheads="1"/>
                        </a:cNvSpPr>
                      </a:nvSpPr>
                      <a:spPr bwMode="auto">
                        <a:xfrm>
                          <a:off x="430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02" name="Text Box 35"/>
                        <a:cNvSpPr txBox="1">
                          <a:spLocks noChangeArrowheads="1"/>
                        </a:cNvSpPr>
                      </a:nvSpPr>
                      <a:spPr bwMode="auto">
                        <a:xfrm rot="-5400000">
                          <a:off x="412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17" name="AutoShape 57"/>
                        <a:cNvSpPr>
                          <a:spLocks/>
                        </a:cNvSpPr>
                      </a:nvSpPr>
                      <a:spPr bwMode="auto">
                        <a:xfrm>
                          <a:off x="1048" y="1113"/>
                          <a:ext cx="720" cy="336"/>
                        </a:xfrm>
                        <a:prstGeom prst="borderCallout2">
                          <a:avLst>
                            <a:gd name="adj1" fmla="val 21431"/>
                            <a:gd name="adj2" fmla="val 106667"/>
                            <a:gd name="adj3" fmla="val 21431"/>
                            <a:gd name="adj4" fmla="val 129583"/>
                            <a:gd name="adj5" fmla="val 147620"/>
                            <a:gd name="adj6" fmla="val 15333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 </a:t>
                            </a:r>
                          </a:p>
                          <a:p>
                            <a:r>
                              <a:rPr lang="en-US" altLang="ja-JP" sz="1000">
                                <a:ea typeface="ＭＳ Ｐゴシック" pitchFamily="34" charset="-128"/>
                              </a:rPr>
                              <a:t>L-RX&gt;0</a:t>
                            </a:r>
                          </a:p>
                        </a:txBody>
                        <a:useSpRect/>
                      </a:txSp>
                    </a:sp>
                    <a:sp>
                      <a:nvSpPr>
                        <a:cNvPr id="66618" name="AutoShape 58"/>
                        <a:cNvSpPr>
                          <a:spLocks/>
                        </a:cNvSpPr>
                      </a:nvSpPr>
                      <a:spPr bwMode="auto">
                        <a:xfrm>
                          <a:off x="1506" y="3540"/>
                          <a:ext cx="1054" cy="342"/>
                        </a:xfrm>
                        <a:prstGeom prst="borderCallout2">
                          <a:avLst>
                            <a:gd name="adj1" fmla="val 21051"/>
                            <a:gd name="adj2" fmla="val 104556"/>
                            <a:gd name="adj3" fmla="val 21051"/>
                            <a:gd name="adj4" fmla="val 122958"/>
                            <a:gd name="adj5" fmla="val -171639"/>
                            <a:gd name="adj6" fmla="val 14165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a:t>
                            </a:r>
                          </a:p>
                        </a:txBody>
                        <a:useSpRect/>
                      </a:txSp>
                    </a:sp>
                    <a:sp>
                      <a:nvSpPr>
                        <a:cNvPr id="66619" name="Line 59"/>
                        <a:cNvSpPr>
                          <a:spLocks noChangeShapeType="1"/>
                        </a:cNvSpPr>
                      </a:nvSpPr>
                      <a:spPr bwMode="auto">
                        <a:xfrm>
                          <a:off x="1048" y="2304"/>
                          <a:ext cx="153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620" name="Text Box 49"/>
                        <a:cNvSpPr txBox="1">
                          <a:spLocks noChangeArrowheads="1"/>
                        </a:cNvSpPr>
                      </a:nvSpPr>
                      <a:spPr bwMode="auto">
                        <a:xfrm>
                          <a:off x="1576" y="2160"/>
                          <a:ext cx="2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a:t>
                            </a:r>
                          </a:p>
                        </a:txBody>
                        <a:useSpRect/>
                      </a:txSp>
                    </a:sp>
                    <a:sp>
                      <a:nvSpPr>
                        <a:cNvPr id="66621" name="Line 61"/>
                        <a:cNvSpPr>
                          <a:spLocks noChangeShapeType="1"/>
                        </a:cNvSpPr>
                      </a:nvSpPr>
                      <a:spPr bwMode="auto">
                        <a:xfrm>
                          <a:off x="2584" y="2304"/>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622" name="Text Box 49"/>
                        <a:cNvSpPr txBox="1">
                          <a:spLocks noChangeArrowheads="1"/>
                        </a:cNvSpPr>
                      </a:nvSpPr>
                      <a:spPr bwMode="auto">
                        <a:xfrm>
                          <a:off x="2848" y="2160"/>
                          <a:ext cx="5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a:t>
                            </a:r>
                          </a:p>
                        </a:txBody>
                        <a:useSpRect/>
                      </a:txSp>
                    </a:sp>
                    <a:sp>
                      <a:nvSpPr>
                        <a:cNvPr id="66623" name="Line 63"/>
                        <a:cNvSpPr>
                          <a:spLocks noChangeShapeType="1"/>
                        </a:cNvSpPr>
                      </a:nvSpPr>
                      <a:spPr bwMode="auto">
                        <a:xfrm>
                          <a:off x="3640" y="2304"/>
                          <a:ext cx="882"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624" name="Text Box 49"/>
                        <a:cNvSpPr txBox="1">
                          <a:spLocks noChangeArrowheads="1"/>
                        </a:cNvSpPr>
                      </a:nvSpPr>
                      <a:spPr bwMode="auto">
                        <a:xfrm>
                          <a:off x="3952" y="2160"/>
                          <a:ext cx="32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a:t>
                            </a:r>
                          </a:p>
                        </a:txBody>
                        <a:useSpRect/>
                      </a:txSp>
                    </a:sp>
                    <a:sp>
                      <a:nvSpPr>
                        <a:cNvPr id="66627" name="Text Box 49"/>
                        <a:cNvSpPr txBox="1">
                          <a:spLocks noChangeArrowheads="1"/>
                        </a:cNvSpPr>
                      </a:nvSpPr>
                      <a:spPr bwMode="auto">
                        <a:xfrm>
                          <a:off x="3600" y="1440"/>
                          <a:ext cx="382"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I-MID</a:t>
                            </a:r>
                          </a:p>
                        </a:txBody>
                        <a:useSpRect/>
                      </a:txSp>
                    </a:sp>
                    <a:sp>
                      <a:nvSpPr>
                        <a:cNvPr id="66628" name="AutoShape 68"/>
                        <a:cNvSpPr>
                          <a:spLocks/>
                        </a:cNvSpPr>
                      </a:nvSpPr>
                      <a:spPr bwMode="auto">
                        <a:xfrm>
                          <a:off x="2248" y="681"/>
                          <a:ext cx="1104" cy="528"/>
                        </a:xfrm>
                        <a:prstGeom prst="borderCallout3">
                          <a:avLst>
                            <a:gd name="adj1" fmla="val 13634"/>
                            <a:gd name="adj2" fmla="val -4347"/>
                            <a:gd name="adj3" fmla="val 13634"/>
                            <a:gd name="adj4" fmla="val -4347"/>
                            <a:gd name="adj5" fmla="val 119884"/>
                            <a:gd name="adj6" fmla="val -4347"/>
                            <a:gd name="adj7" fmla="val 176514"/>
                            <a:gd name="adj8" fmla="val 4565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MID-Grant=1, BC-Grand=0,</a:t>
                            </a:r>
                            <a:endParaRPr lang="ja-JP" altLang="en-US" sz="1000">
                              <a:ea typeface="ＭＳ Ｐゴシック" pitchFamily="34" charset="-128"/>
                            </a:endParaRPr>
                          </a:p>
                          <a:p>
                            <a:r>
                              <a:rPr lang="en-US" altLang="ja-JP" sz="1000">
                                <a:ea typeface="ＭＳ Ｐゴシック" pitchFamily="34" charset="-128"/>
                              </a:rPr>
                              <a:t>TXSS-FBCK-REQ=1,</a:t>
                            </a:r>
                          </a:p>
                          <a:p>
                            <a:r>
                              <a:rPr lang="en-US" altLang="ja-JP" sz="1000">
                                <a:ea typeface="ＭＳ Ｐゴシック" pitchFamily="34" charset="-128"/>
                              </a:rPr>
                              <a:t>SNR requested=1</a:t>
                            </a:r>
                          </a:p>
                        </a:txBody>
                        <a:useSpRect/>
                      </a:txSp>
                    </a:sp>
                    <a:sp>
                      <a:nvSpPr>
                        <a:cNvPr id="66629" name="AutoShape 69"/>
                        <a:cNvSpPr>
                          <a:spLocks/>
                        </a:cNvSpPr>
                      </a:nvSpPr>
                      <a:spPr bwMode="auto">
                        <a:xfrm>
                          <a:off x="3220" y="3546"/>
                          <a:ext cx="852" cy="144"/>
                        </a:xfrm>
                        <a:prstGeom prst="borderCallout3">
                          <a:avLst>
                            <a:gd name="adj1" fmla="val 50000"/>
                            <a:gd name="adj2" fmla="val -5634"/>
                            <a:gd name="adj3" fmla="val 50000"/>
                            <a:gd name="adj4" fmla="val -19718"/>
                            <a:gd name="adj5" fmla="val -141667"/>
                            <a:gd name="adj6" fmla="val -19718"/>
                            <a:gd name="adj7" fmla="val -420833"/>
                            <a:gd name="adj8" fmla="val 34389"/>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txBody>
                        <a:useSpRect/>
                      </a:txSp>
                    </a:sp>
                    <a:sp>
                      <a:nvSpPr>
                        <a:cNvPr id="66630" name="AutoShape 70"/>
                        <a:cNvSpPr>
                          <a:spLocks/>
                        </a:cNvSpPr>
                      </a:nvSpPr>
                      <a:spPr bwMode="auto">
                        <a:xfrm>
                          <a:off x="3744" y="816"/>
                          <a:ext cx="480" cy="240"/>
                        </a:xfrm>
                        <a:prstGeom prst="borderCallout2">
                          <a:avLst>
                            <a:gd name="adj1" fmla="val 30000"/>
                            <a:gd name="adj2" fmla="val -10000"/>
                            <a:gd name="adj3" fmla="val 30000"/>
                            <a:gd name="adj4" fmla="val -24375"/>
                            <a:gd name="adj5" fmla="val 330417"/>
                            <a:gd name="adj6" fmla="val -10708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6635" name="Text Box 75"/>
                        <a:cNvSpPr txBox="1">
                          <a:spLocks noChangeArrowheads="1"/>
                        </a:cNvSpPr>
                      </a:nvSpPr>
                      <a:spPr bwMode="auto">
                        <a:xfrm>
                          <a:off x="2724" y="3718"/>
                          <a:ext cx="2468" cy="310"/>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a:t>
                            </a:r>
                            <a:r>
                              <a:rPr lang="en-US" altLang="ja-JP" sz="1300" dirty="0">
                                <a:latin typeface="Arial" charset="0"/>
                                <a:ea typeface="ＭＳ Ｐゴシック" pitchFamily="34" charset="-128"/>
                                <a:cs typeface="Arial" charset="0"/>
                              </a:rPr>
                              <a:t>BRP </a:t>
                            </a:r>
                            <a:r>
                              <a:rPr lang="en-US" altLang="ja-JP" sz="1300" dirty="0" smtClean="0">
                                <a:latin typeface="Arial" charset="0"/>
                                <a:ea typeface="ＭＳ Ｐゴシック" pitchFamily="34" charset="-128"/>
                                <a:cs typeface="Arial" charset="0"/>
                              </a:rPr>
                              <a:t>frame exchanges: </a:t>
                            </a:r>
                            <a:endParaRPr lang="en-US" altLang="ja-JP" sz="1300" dirty="0">
                              <a:latin typeface="Arial" charset="0"/>
                              <a:ea typeface="ＭＳ Ｐゴシック" pitchFamily="34" charset="-128"/>
                              <a:cs typeface="Arial" charset="0"/>
                            </a:endParaRPr>
                          </a:p>
                          <a:p>
                            <a:r>
                              <a:rPr lang="ja-JP" altLang="en-US" sz="1300">
                                <a:latin typeface="Arial" charset="0"/>
                                <a:ea typeface="ＭＳ Ｐゴシック" pitchFamily="34" charset="-128"/>
                                <a:cs typeface="Arial" charset="0"/>
                              </a:rPr>
                              <a:t>　　　　　　　　　　　　　 　　　</a:t>
                            </a:r>
                            <a:r>
                              <a:rPr lang="ja-JP" altLang="en-US" sz="1300">
                                <a:latin typeface="Arial" charset="0"/>
                                <a:ea typeface="ＭＳ Ｐゴシック" pitchFamily="34" charset="-128"/>
                                <a:cs typeface="Arial" charset="0"/>
                              </a:rPr>
                              <a:t>　</a:t>
                            </a:r>
                            <a:r>
                              <a:rPr lang="en-US" altLang="ja-JP" sz="1300" dirty="0">
                                <a:latin typeface="Arial" charset="0"/>
                                <a:ea typeface="ＭＳ Ｐゴシック" pitchFamily="34" charset="-128"/>
                                <a:cs typeface="Arial" charset="0"/>
                              </a:rPr>
                              <a:t>≥</a:t>
                            </a:r>
                            <a:r>
                              <a:rPr lang="en-US" altLang="ja-JP" sz="1300" dirty="0" smtClean="0">
                                <a:latin typeface="Arial" charset="0"/>
                                <a:ea typeface="ＭＳ Ｐゴシック" pitchFamily="34" charset="-128"/>
                                <a:cs typeface="Arial" charset="0"/>
                              </a:rPr>
                              <a:t> </a:t>
                            </a:r>
                            <a:r>
                              <a:rPr lang="en-US" altLang="ja-JP" sz="1300" dirty="0">
                                <a:latin typeface="Arial" charset="0"/>
                                <a:ea typeface="ＭＳ Ｐゴシック" pitchFamily="34" charset="-128"/>
                                <a:cs typeface="Arial" charset="0"/>
                              </a:rPr>
                              <a:t>SIFS &amp; &lt; BRPIFS</a:t>
                            </a:r>
                            <a:endParaRPr lang="ja-JP" altLang="en-US" sz="1300">
                              <a:latin typeface="Arial" charset="0"/>
                              <a:ea typeface="ＭＳ Ｐゴシック" pitchFamily="34" charset="-128"/>
                              <a:cs typeface="Arial" charset="0"/>
                            </a:endParaRPr>
                          </a:p>
                        </a:txBody>
                        <a:useSpRect/>
                      </a:txSp>
                    </a:sp>
                    <a:sp>
                      <a:nvSpPr>
                        <a:cNvPr id="66637" name="Rectangle 9"/>
                        <a:cNvSpPr>
                          <a:spLocks noChangeArrowheads="1"/>
                        </a:cNvSpPr>
                      </a:nvSpPr>
                      <a:spPr bwMode="auto">
                        <a:xfrm>
                          <a:off x="2352" y="2466"/>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38" name="Text Box 35"/>
                        <a:cNvSpPr txBox="1">
                          <a:spLocks noChangeArrowheads="1"/>
                        </a:cNvSpPr>
                      </a:nvSpPr>
                      <a:spPr bwMode="auto">
                        <a:xfrm rot="-5400000">
                          <a:off x="2209" y="2615"/>
                          <a:ext cx="424"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ACK</a:t>
                            </a:r>
                          </a:p>
                        </a:txBody>
                        <a:useSpRect/>
                      </a:txSp>
                    </a:sp>
                    <a:sp>
                      <a:nvSpPr>
                        <a:cNvPr id="66639" name="AutoShape 79"/>
                        <a:cNvSpPr>
                          <a:spLocks/>
                        </a:cNvSpPr>
                      </a:nvSpPr>
                      <a:spPr bwMode="auto">
                        <a:xfrm>
                          <a:off x="1384" y="3120"/>
                          <a:ext cx="816" cy="336"/>
                        </a:xfrm>
                        <a:prstGeom prst="borderCallout2">
                          <a:avLst>
                            <a:gd name="adj1" fmla="val 21431"/>
                            <a:gd name="adj2" fmla="val 105884"/>
                            <a:gd name="adj3" fmla="val 21431"/>
                            <a:gd name="adj4" fmla="val 116787"/>
                            <a:gd name="adj5" fmla="val -49403"/>
                            <a:gd name="adj6" fmla="val 127819"/>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MID/BC-Grant=0, </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6643" name="Rectangle 9"/>
                        <a:cNvSpPr>
                          <a:spLocks noChangeArrowheads="1"/>
                        </a:cNvSpPr>
                      </a:nvSpPr>
                      <a:spPr bwMode="auto">
                        <a:xfrm>
                          <a:off x="3746" y="1602"/>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44" name="TextBox 111"/>
                        <a:cNvSpPr txBox="1">
                          <a:spLocks noChangeArrowheads="1"/>
                        </a:cNvSpPr>
                      </a:nvSpPr>
                      <a:spPr bwMode="auto">
                        <a:xfrm>
                          <a:off x="3870" y="1746"/>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6645" name="Rectangle 9"/>
                        <a:cNvSpPr>
                          <a:spLocks noChangeArrowheads="1"/>
                        </a:cNvSpPr>
                      </a:nvSpPr>
                      <a:spPr bwMode="auto">
                        <a:xfrm>
                          <a:off x="4034" y="1602"/>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46" name="Text Box 35"/>
                        <a:cNvSpPr txBox="1">
                          <a:spLocks noChangeArrowheads="1"/>
                        </a:cNvSpPr>
                      </a:nvSpPr>
                      <a:spPr bwMode="auto">
                        <a:xfrm rot="-5400000">
                          <a:off x="3573" y="1765"/>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47" name="Text Box 35"/>
                        <a:cNvSpPr txBox="1">
                          <a:spLocks noChangeArrowheads="1"/>
                        </a:cNvSpPr>
                      </a:nvSpPr>
                      <a:spPr bwMode="auto">
                        <a:xfrm rot="-5400000">
                          <a:off x="3861" y="1765"/>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49" name="AutoShape 89"/>
                        <a:cNvSpPr>
                          <a:spLocks/>
                        </a:cNvSpPr>
                      </a:nvSpPr>
                      <a:spPr bwMode="auto">
                        <a:xfrm>
                          <a:off x="3292" y="3192"/>
                          <a:ext cx="990" cy="264"/>
                        </a:xfrm>
                        <a:prstGeom prst="borderCallout2">
                          <a:avLst>
                            <a:gd name="adj1" fmla="val 27273"/>
                            <a:gd name="adj2" fmla="val 104847"/>
                            <a:gd name="adj3" fmla="val 27273"/>
                            <a:gd name="adj4" fmla="val 104847"/>
                            <a:gd name="adj5" fmla="val -90153"/>
                            <a:gd name="adj6" fmla="val 10777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TX),</a:t>
                            </a:r>
                          </a:p>
                          <a:p>
                            <a:r>
                              <a:rPr lang="en-US" altLang="en-US" sz="1000"/>
                              <a:t>Sector-ID-order present=1</a:t>
                            </a:r>
                            <a:endParaRPr lang="en-US" altLang="ja-JP" sz="1000">
                              <a:ea typeface="ＭＳ Ｐゴシック" pitchFamily="34" charset="-128"/>
                            </a:endParaRPr>
                          </a:p>
                        </a:txBody>
                        <a:useSpRect/>
                      </a:txSp>
                    </a:sp>
                    <a:sp>
                      <a:nvSpPr>
                        <a:cNvPr id="66650" name="AutoShape 90"/>
                        <a:cNvSpPr>
                          <a:spLocks/>
                        </a:cNvSpPr>
                      </a:nvSpPr>
                      <a:spPr bwMode="auto">
                        <a:xfrm>
                          <a:off x="4487" y="1008"/>
                          <a:ext cx="745" cy="144"/>
                        </a:xfrm>
                        <a:prstGeom prst="borderCallout2">
                          <a:avLst>
                            <a:gd name="adj1" fmla="val 50000"/>
                            <a:gd name="adj2" fmla="val -6444"/>
                            <a:gd name="adj3" fmla="val 50000"/>
                            <a:gd name="adj4" fmla="val -17181"/>
                            <a:gd name="adj5" fmla="val 460417"/>
                            <a:gd name="adj6" fmla="val -79866"/>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extension=1</a:t>
                            </a:r>
                            <a:endParaRPr lang="ja-JP" altLang="en-US" sz="1000">
                              <a:ea typeface="ＭＳ Ｐゴシック" pitchFamily="34" charset="-128"/>
                            </a:endParaRPr>
                          </a:p>
                        </a:txBody>
                        <a:useSpRect/>
                      </a:txSp>
                    </a:sp>
                    <a:sp>
                      <a:nvSpPr>
                        <a:cNvPr id="66651" name="AutoShape 91"/>
                        <a:cNvSpPr>
                          <a:spLocks/>
                        </a:cNvSpPr>
                      </a:nvSpPr>
                      <a:spPr bwMode="auto">
                        <a:xfrm>
                          <a:off x="4704" y="1248"/>
                          <a:ext cx="864" cy="240"/>
                        </a:xfrm>
                        <a:prstGeom prst="borderCallout2">
                          <a:avLst>
                            <a:gd name="adj1" fmla="val 30000"/>
                            <a:gd name="adj2" fmla="val -5556"/>
                            <a:gd name="adj3" fmla="val 30000"/>
                            <a:gd name="adj4" fmla="val -13542"/>
                            <a:gd name="adj5" fmla="val 177083"/>
                            <a:gd name="adj6" fmla="val -60880"/>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extension=0 for the last BRP frame </a:t>
                            </a:r>
                          </a:p>
                        </a:txBody>
                        <a:useSpRect/>
                      </a:txSp>
                    </a:sp>
                    <a:sp>
                      <a:nvSpPr>
                        <a:cNvPr id="66653" name="Text Box 10"/>
                        <a:cNvSpPr txBox="1">
                          <a:spLocks noChangeArrowheads="1"/>
                        </a:cNvSpPr>
                      </a:nvSpPr>
                      <a:spPr bwMode="auto">
                        <a:xfrm>
                          <a:off x="344" y="1491"/>
                          <a:ext cx="640"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Initiator</a:t>
                            </a:r>
                            <a:endParaRPr lang="ja-JP" altLang="en-US" sz="1600">
                              <a:ea typeface="ＭＳ Ｐゴシック" pitchFamily="34" charset="-128"/>
                            </a:endParaRPr>
                          </a:p>
                        </a:txBody>
                        <a:useSpRect/>
                      </a:txSp>
                    </a:sp>
                    <a:sp>
                      <a:nvSpPr>
                        <a:cNvPr id="66654" name="Text Box 10"/>
                        <a:cNvSpPr txBox="1">
                          <a:spLocks noChangeArrowheads="1"/>
                        </a:cNvSpPr>
                      </a:nvSpPr>
                      <a:spPr bwMode="auto">
                        <a:xfrm>
                          <a:off x="320" y="2835"/>
                          <a:ext cx="664"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Responder</a:t>
                            </a:r>
                            <a:endParaRPr lang="ja-JP" altLang="en-US" sz="1600">
                              <a:ea typeface="ＭＳ Ｐゴシック" pitchFamily="34" charset="-128"/>
                            </a:endParaRPr>
                          </a:p>
                        </a:txBody>
                        <a:useSpRect/>
                      </a:txSp>
                    </a:sp>
                  </a:grpSp>
                </lc:lockedCanvas>
              </a:graphicData>
            </a:graphic>
          </wp:inline>
        </w:drawing>
      </w:r>
    </w:p>
    <w:p w:rsidR="001D5978" w:rsidRDefault="001D5978" w:rsidP="00981580">
      <w:pPr>
        <w:pStyle w:val="Caption"/>
        <w:rPr>
          <w:rFonts w:ascii="TimesNewRomanPSMT" w:hAnsi="TimesNewRomanPSMT" w:cs="TimesNewRomanPSMT"/>
          <w:szCs w:val="24"/>
        </w:rPr>
      </w:pPr>
      <w:bookmarkStart w:id="1688" w:name="_Ref257039803"/>
      <w:bookmarkStart w:id="1689" w:name="_Toc259717538"/>
      <w:r>
        <w:t xml:space="preserve">Figure </w:t>
      </w:r>
      <w:r w:rsidR="00BD151C">
        <w:fldChar w:fldCharType="begin"/>
      </w:r>
      <w:r w:rsidR="00801316">
        <w:instrText xml:space="preserve"> SEQ Figure \* ARABIC </w:instrText>
      </w:r>
      <w:r w:rsidR="00BD151C">
        <w:fldChar w:fldCharType="separate"/>
      </w:r>
      <w:r w:rsidR="003E4210">
        <w:rPr>
          <w:noProof/>
        </w:rPr>
        <w:t>106</w:t>
      </w:r>
      <w:r w:rsidR="00BD151C">
        <w:fldChar w:fldCharType="end"/>
      </w:r>
      <w:bookmarkEnd w:id="1688"/>
      <w:r w:rsidR="00565D8A">
        <w:t xml:space="preserve"> – </w:t>
      </w:r>
      <w:r w:rsidR="009D537D" w:rsidRPr="009D537D">
        <w:t>Example of the use of the BRP setup sub-phase to setup the subsequent I-MID sub-phase in the DTT</w:t>
      </w:r>
      <w:bookmarkEnd w:id="1689"/>
    </w:p>
    <w:p w:rsidR="001D5978" w:rsidRDefault="001D5978" w:rsidP="001D5978">
      <w:pPr>
        <w:autoSpaceDE w:val="0"/>
        <w:autoSpaceDN w:val="0"/>
        <w:adjustRightInd w:val="0"/>
        <w:jc w:val="both"/>
        <w:rPr>
          <w:rFonts w:ascii="TimesNewRomanPSMT" w:hAnsi="TimesNewRomanPSMT" w:cs="TimesNewRomanPSMT"/>
          <w:u w:val="single"/>
        </w:rPr>
      </w:pPr>
    </w:p>
    <w:p w:rsidR="00DF54A1" w:rsidRDefault="00893A3B">
      <w:pPr>
        <w:autoSpaceDE w:val="0"/>
        <w:autoSpaceDN w:val="0"/>
        <w:adjustRightInd w:val="0"/>
        <w:jc w:val="both"/>
        <w:rPr>
          <w:rFonts w:ascii="TimesNewRomanPSMT" w:hAnsi="TimesNewRomanPSMT" w:cs="TimesNewRomanPSMT"/>
        </w:rPr>
      </w:pPr>
      <w:r>
        <w:rPr>
          <w:rFonts w:ascii="TimesNewRomanPSMT" w:hAnsi="TimesNewRomanPSMT" w:cs="TimesNewRomanPSMT"/>
          <w:u w:val="single"/>
        </w:rPr>
        <w:t>Executing the MID sub-phase</w:t>
      </w:r>
      <w:r w:rsidRPr="002A49F3">
        <w:rPr>
          <w:rFonts w:ascii="TimesNewRomanPSMT" w:hAnsi="TimesNewRomanPSMT" w:cs="TimesNewRomanPSMT"/>
          <w:u w:val="single"/>
        </w:rPr>
        <w:t>:</w:t>
      </w:r>
      <w:r>
        <w:rPr>
          <w:rFonts w:ascii="TimesNewRomanPSMT" w:hAnsi="TimesNewRomanPSMT" w:cs="TimesNewRomanPSMT"/>
        </w:rPr>
        <w:t xml:space="preserve"> The execution of the MID sub-phase for the responder link (i.e.</w:t>
      </w:r>
      <w:r w:rsidR="00A138F5">
        <w:rPr>
          <w:rFonts w:ascii="TimesNewRomanPSMT" w:hAnsi="TimesNewRomanPSMT" w:cs="TimesNewRomanPSMT"/>
        </w:rPr>
        <w:t>,</w:t>
      </w:r>
      <w:r>
        <w:rPr>
          <w:rFonts w:ascii="TimesNewRomanPSMT" w:hAnsi="TimesNewRomanPSMT" w:cs="TimesNewRomanPSMT"/>
        </w:rPr>
        <w:t xml:space="preserve"> R-MID) is used as an example. Execution of the MID sub-phase for the initiator link (i.e.</w:t>
      </w:r>
      <w:r w:rsidR="00A138F5">
        <w:rPr>
          <w:rFonts w:ascii="TimesNewRomanPSMT" w:hAnsi="TimesNewRomanPSMT" w:cs="TimesNewRomanPSMT"/>
        </w:rPr>
        <w:t>,</w:t>
      </w:r>
      <w:r>
        <w:rPr>
          <w:rFonts w:ascii="TimesNewRomanPSMT" w:hAnsi="TimesNewRomanPSMT" w:cs="TimesNewRomanPSMT"/>
        </w:rPr>
        <w:t xml:space="preserve"> I-MID) will be similar, except for a change in the direction of the corresponding frames. In an R-MID sub-phase, the responder shall transmit one BRP-RX packet each from one of the chosen TX sectors. In each packet, it shall indicate the sector ID of the TX sector used using the </w:t>
      </w:r>
      <w:r w:rsidRPr="00985B0E">
        <w:rPr>
          <w:rFonts w:ascii="TimesNewRomanPSMT" w:hAnsi="TimesNewRomanPSMT" w:cs="TimesNewRomanPSMT"/>
        </w:rPr>
        <w:t>Sector ID</w:t>
      </w:r>
      <w:r>
        <w:rPr>
          <w:rFonts w:ascii="TimesNewRomanPSMT" w:hAnsi="TimesNewRomanPSMT" w:cs="TimesNewRomanPSMT"/>
        </w:rPr>
        <w:t xml:space="preserve"> field</w:t>
      </w:r>
      <w:r>
        <w:rPr>
          <w:rFonts w:ascii="TimesNewRomanPSMT" w:hAnsi="TimesNewRomanPSMT" w:cs="TimesNewRomanPSMT" w:hint="eastAsia"/>
        </w:rPr>
        <w:t xml:space="preserve"> in the BRP request field</w:t>
      </w:r>
      <w:r>
        <w:rPr>
          <w:rFonts w:ascii="TimesNewRomanPSMT" w:hAnsi="TimesNewRomanPSMT" w:cs="TimesNewRomanPSMT"/>
        </w:rPr>
        <w:t xml:space="preserve">. Each transmitted BRP-RX packet should be appended with multiple </w:t>
      </w:r>
      <w:r w:rsidRPr="003C0408">
        <w:rPr>
          <w:rFonts w:ascii="TimesNewRomanPSMT" w:hAnsi="TimesNewRomanPSMT" w:cs="TimesNewRomanPSMT"/>
        </w:rPr>
        <w:t>TRN-R</w:t>
      </w:r>
      <w:r>
        <w:rPr>
          <w:rFonts w:ascii="TimesNewRomanPSMT" w:hAnsi="TimesNewRomanPSMT" w:cs="TimesNewRomanPSMT" w:hint="eastAsia"/>
        </w:rPr>
        <w:t xml:space="preserve"> </w:t>
      </w:r>
      <w:r>
        <w:rPr>
          <w:rFonts w:ascii="TimesNewRomanPSMT" w:hAnsi="TimesNewRomanPSMT" w:cs="TimesNewRomanPSMT"/>
        </w:rPr>
        <w:t xml:space="preserve">subfields such that the initiator can train its receiver antenna during the R-MID sub-phase. The initiator shall train its receiver antenna by cycling through its choice of RX AWVs while receiving the </w:t>
      </w:r>
      <w:r w:rsidRPr="003E73D1">
        <w:rPr>
          <w:rFonts w:ascii="TimesNewRomanPSMT" w:hAnsi="TimesNewRomanPSMT" w:cs="TimesNewRomanPSMT"/>
          <w:i/>
        </w:rPr>
        <w:t>TRN-R</w:t>
      </w:r>
      <w:r>
        <w:rPr>
          <w:rFonts w:ascii="TimesNewRomanPSMT" w:hAnsi="TimesNewRomanPSMT" w:cs="TimesNewRomanPSMT"/>
        </w:rPr>
        <w:t xml:space="preserve"> subfields. The initiator shall indicate to the responder the number of </w:t>
      </w:r>
      <w:r w:rsidRPr="003C0408">
        <w:rPr>
          <w:rFonts w:ascii="TimesNewRomanPSMT" w:hAnsi="TimesNewRomanPSMT" w:cs="TimesNewRomanPSMT"/>
        </w:rPr>
        <w:t>TRN</w:t>
      </w:r>
      <w:r w:rsidRPr="003C0408">
        <w:rPr>
          <w:rFonts w:ascii="TimesNewRomanPSMT" w:hAnsi="TimesNewRomanPSMT" w:cs="TimesNewRomanPSMT" w:hint="eastAsia"/>
        </w:rPr>
        <w:t>-</w:t>
      </w:r>
      <w:r w:rsidRPr="003C0408">
        <w:rPr>
          <w:rFonts w:ascii="TimesNewRomanPSMT" w:hAnsi="TimesNewRomanPSMT" w:cs="TimesNewRomanPSMT"/>
        </w:rPr>
        <w:t>R</w:t>
      </w:r>
      <w:r>
        <w:rPr>
          <w:rFonts w:ascii="TimesNewRomanPSMT" w:hAnsi="TimesNewRomanPSMT" w:cs="TimesNewRomanPSMT" w:hint="eastAsia"/>
        </w:rPr>
        <w:t xml:space="preserve"> </w:t>
      </w:r>
      <w:r>
        <w:rPr>
          <w:rFonts w:ascii="TimesNewRomanPSMT" w:hAnsi="TimesNewRomanPSMT" w:cs="TimesNewRomanPSMT"/>
        </w:rPr>
        <w:t xml:space="preserve">subfields to be appended using the </w:t>
      </w:r>
      <w:r w:rsidRPr="00BA7566">
        <w:rPr>
          <w:rFonts w:ascii="TimesNewRomanPSMT" w:hAnsi="TimesNewRomanPSMT" w:cs="TimesNewRomanPSMT"/>
          <w:i/>
        </w:rPr>
        <w:t>L-RX</w:t>
      </w:r>
      <w:r>
        <w:rPr>
          <w:rFonts w:ascii="TimesNewRomanPSMT" w:hAnsi="TimesNewRomanPSMT" w:cs="TimesNewRomanPSMT"/>
        </w:rPr>
        <w:t xml:space="preserve"> field in the </w:t>
      </w:r>
      <w:r w:rsidRPr="003C0408">
        <w:rPr>
          <w:rFonts w:ascii="TimesNewRomanPSMT" w:hAnsi="TimesNewRomanPSMT" w:cs="TimesNewRomanPSMT"/>
        </w:rPr>
        <w:t>BRP request</w:t>
      </w:r>
      <w:r>
        <w:rPr>
          <w:rFonts w:ascii="TimesNewRomanPSMT" w:hAnsi="TimesNewRomanPSMT" w:cs="TimesNewRomanPSMT"/>
        </w:rPr>
        <w:t xml:space="preserve"> field during the SLS phase or the BRP-setup phase (see</w:t>
      </w:r>
      <w:r w:rsidR="007E3F65">
        <w:rPr>
          <w:rFonts w:ascii="TimesNewRomanPSMT" w:hAnsi="TimesNewRomanPSMT" w:cs="TimesNewRomanPSMT"/>
        </w:rPr>
        <w:t xml:space="preserve"> </w:t>
      </w:r>
      <w:r w:rsidR="00BD151C">
        <w:rPr>
          <w:rFonts w:ascii="TimesNewRomanPSMT" w:hAnsi="TimesNewRomanPSMT" w:cs="TimesNewRomanPSMT"/>
        </w:rPr>
        <w:fldChar w:fldCharType="begin"/>
      </w:r>
      <w:r w:rsidR="007E3F65">
        <w:rPr>
          <w:rFonts w:ascii="TimesNewRomanPSMT" w:hAnsi="TimesNewRomanPSMT" w:cs="TimesNewRomanPSMT"/>
        </w:rPr>
        <w:instrText xml:space="preserve"> REF _Ref257278652 \h </w:instrText>
      </w:r>
      <w:r w:rsidR="00BD151C">
        <w:rPr>
          <w:rFonts w:ascii="TimesNewRomanPSMT" w:hAnsi="TimesNewRomanPSMT" w:cs="TimesNewRomanPSMT"/>
        </w:rPr>
      </w:r>
      <w:r w:rsidR="00BD151C">
        <w:rPr>
          <w:rFonts w:ascii="TimesNewRomanPSMT" w:hAnsi="TimesNewRomanPSMT" w:cs="TimesNewRomanPSMT"/>
        </w:rPr>
        <w:fldChar w:fldCharType="separate"/>
      </w:r>
      <w:r w:rsidR="003E4210">
        <w:t xml:space="preserve">Figure </w:t>
      </w:r>
      <w:r w:rsidR="003E4210">
        <w:rPr>
          <w:noProof/>
        </w:rPr>
        <w:t>105</w:t>
      </w:r>
      <w:r w:rsidR="00BD151C">
        <w:rPr>
          <w:rFonts w:ascii="TimesNewRomanPSMT" w:hAnsi="TimesNewRomanPSMT" w:cs="TimesNewRomanPSMT"/>
        </w:rPr>
        <w:fldChar w:fldCharType="end"/>
      </w:r>
      <w:r>
        <w:rPr>
          <w:rFonts w:ascii="TimesNewRomanPSMT" w:hAnsi="TimesNewRomanPSMT" w:cs="TimesNewRomanPSMT"/>
        </w:rPr>
        <w:t xml:space="preserve">). For all BRP-RX packets except the last one, the responder shall also set the </w:t>
      </w:r>
      <w:r w:rsidRPr="003C0408">
        <w:rPr>
          <w:rFonts w:ascii="TimesNewRomanPSMT" w:hAnsi="TimesNewRomanPSMT" w:cs="TimesNewRomanPSMT"/>
        </w:rPr>
        <w:t>MID extension</w:t>
      </w:r>
      <w:r>
        <w:rPr>
          <w:rFonts w:ascii="TimesNewRomanPSMT" w:hAnsi="TimesNewRomanPSMT" w:cs="TimesNewRomanPSMT"/>
        </w:rPr>
        <w:t xml:space="preserve"> field to 1. </w:t>
      </w:r>
    </w:p>
    <w:p w:rsidR="00893A3B" w:rsidRDefault="00893A3B" w:rsidP="00893A3B">
      <w:pPr>
        <w:autoSpaceDE w:val="0"/>
        <w:autoSpaceDN w:val="0"/>
        <w:adjustRightInd w:val="0"/>
        <w:jc w:val="both"/>
        <w:rPr>
          <w:rFonts w:ascii="TimesNewRomanPSMT" w:hAnsi="TimesNewRomanPSMT" w:cs="TimesNewRomanPSMT"/>
        </w:rPr>
      </w:pPr>
    </w:p>
    <w:p w:rsidR="00893A3B" w:rsidRDefault="00893A3B" w:rsidP="00893A3B">
      <w:pPr>
        <w:autoSpaceDE w:val="0"/>
        <w:autoSpaceDN w:val="0"/>
        <w:adjustRightInd w:val="0"/>
        <w:jc w:val="both"/>
        <w:rPr>
          <w:rFonts w:ascii="TimesNewRomanPSMT" w:hAnsi="TimesNewRomanPSMT" w:cs="TimesNewRomanPSMT"/>
        </w:rPr>
      </w:pPr>
      <w:r>
        <w:rPr>
          <w:rFonts w:ascii="TimesNewRomanPSMT" w:hAnsi="TimesNewRomanPSMT" w:cs="TimesNewRomanPSMT"/>
        </w:rPr>
        <w:t>In the R-MID sub-phase, the initiator shall send a BRP frame with feedback. This BRP frame should be sent using the best TX sector as determined in the SLS phase, while the responder should use a quasi-omni pattern to receive this frame. The feedback included in this BRP frame should be</w:t>
      </w:r>
      <w:r>
        <w:rPr>
          <w:iCs/>
        </w:rPr>
        <w:t xml:space="preserve"> (a) the </w:t>
      </w:r>
      <w:r w:rsidRPr="00985B0E">
        <w:rPr>
          <w:iCs/>
        </w:rPr>
        <w:t>BS-FBCK</w:t>
      </w:r>
      <w:r>
        <w:rPr>
          <w:iCs/>
        </w:rPr>
        <w:t xml:space="preserve"> field set to the TX sector ID of the BRP-RX packet received with the highest link quality, and (b) </w:t>
      </w:r>
      <w:r>
        <w:rPr>
          <w:rFonts w:ascii="TimesNewRomanPSMT" w:hAnsi="TimesNewRomanPSMT" w:cs="TimesNewRomanPSMT"/>
        </w:rPr>
        <w:t xml:space="preserve">the ordered list of transmit sectors (based on received link quality during the R-MID) using the </w:t>
      </w:r>
      <w:r w:rsidRPr="00985B0E">
        <w:rPr>
          <w:rFonts w:ascii="TimesNewRomanPSMT" w:hAnsi="TimesNewRomanPSMT" w:cs="TimesNewRomanPSMT" w:hint="eastAsia"/>
        </w:rPr>
        <w:t>S</w:t>
      </w:r>
      <w:r w:rsidRPr="00985B0E">
        <w:rPr>
          <w:rFonts w:ascii="TimesNewRomanPSMT" w:hAnsi="TimesNewRomanPSMT" w:cs="TimesNewRomanPSMT"/>
        </w:rPr>
        <w:t>ector ID order</w:t>
      </w:r>
      <w:r>
        <w:rPr>
          <w:rFonts w:ascii="TimesNewRomanPSMT" w:hAnsi="TimesNewRomanPSMT" w:cs="TimesNewRomanPSMT" w:hint="eastAsia"/>
        </w:rPr>
        <w:t xml:space="preserve"> </w:t>
      </w:r>
      <w:r>
        <w:rPr>
          <w:rFonts w:ascii="TimesNewRomanPSMT" w:hAnsi="TimesNewRomanPSMT" w:cs="TimesNewRomanPSMT"/>
        </w:rPr>
        <w:t>subfield</w:t>
      </w:r>
      <w:r>
        <w:rPr>
          <w:iCs/>
        </w:rPr>
        <w:t>.</w:t>
      </w:r>
    </w:p>
    <w:p w:rsidR="003E32F7" w:rsidRDefault="003E32F7" w:rsidP="003E32F7">
      <w:pPr>
        <w:autoSpaceDE w:val="0"/>
        <w:autoSpaceDN w:val="0"/>
        <w:adjustRightInd w:val="0"/>
        <w:jc w:val="both"/>
      </w:pPr>
    </w:p>
    <w:p w:rsidR="00CE2C84" w:rsidRPr="00A85EB8" w:rsidRDefault="00CE2C84" w:rsidP="003701DB">
      <w:pPr>
        <w:pStyle w:val="Heading5"/>
        <w:numPr>
          <w:ilvl w:val="4"/>
          <w:numId w:val="171"/>
        </w:numPr>
        <w:rPr>
          <w:rFonts w:cs="Helvetica"/>
        </w:rPr>
      </w:pPr>
      <w:r w:rsidRPr="00A85EB8">
        <w:rPr>
          <w:rFonts w:cs="Helvetica"/>
        </w:rPr>
        <w:t xml:space="preserve"> </w:t>
      </w:r>
      <w:bookmarkStart w:id="1690" w:name="_Toc259717161"/>
      <w:r w:rsidRPr="00A85EB8">
        <w:rPr>
          <w:rFonts w:cs="Helvetica"/>
        </w:rPr>
        <w:t>MIDC phase with BC sub-phases only</w:t>
      </w:r>
      <w:bookmarkEnd w:id="1690"/>
      <w:r w:rsidR="005515A4" w:rsidRPr="00A85EB8">
        <w:rPr>
          <w:rFonts w:cs="Helvetica"/>
        </w:rPr>
        <w:t xml:space="preserve"> </w:t>
      </w:r>
    </w:p>
    <w:p w:rsidR="001D5978" w:rsidRPr="001D5978" w:rsidRDefault="001D5978" w:rsidP="001D5978">
      <w:pPr>
        <w:autoSpaceDE w:val="0"/>
        <w:autoSpaceDN w:val="0"/>
        <w:adjustRightInd w:val="0"/>
        <w:jc w:val="both"/>
        <w:rPr>
          <w:iCs/>
        </w:rPr>
      </w:pPr>
      <w:r w:rsidRPr="001D5978">
        <w:rPr>
          <w:iCs/>
        </w:rPr>
        <w:t>An</w:t>
      </w:r>
      <w:r w:rsidRPr="001D5978">
        <w:rPr>
          <w:rFonts w:hint="eastAsia"/>
          <w:iCs/>
        </w:rPr>
        <w:t xml:space="preserve"> MIDC </w:t>
      </w:r>
      <w:r w:rsidRPr="001D5978">
        <w:rPr>
          <w:iCs/>
        </w:rPr>
        <w:t>phase</w:t>
      </w:r>
      <w:r w:rsidRPr="001D5978">
        <w:rPr>
          <w:rFonts w:hint="eastAsia"/>
          <w:iCs/>
        </w:rPr>
        <w:t xml:space="preserve"> with only the BC sub-phase is carried out when the MID and BC sub-phases have been carried out earlier. </w:t>
      </w:r>
      <w:r w:rsidRPr="001D5978">
        <w:rPr>
          <w:rFonts w:ascii="TimesNewRomanPSMT" w:hAnsi="TimesNewRomanPSMT" w:cs="TimesNewRomanPSMT"/>
        </w:rPr>
        <w:t xml:space="preserve">In this case, the initiator and responder keep track of the TX and RX sectors, for use in the BC sub-phase, from earlier iterations. </w:t>
      </w:r>
      <w:r w:rsidRPr="001D5978">
        <w:rPr>
          <w:rFonts w:hint="eastAsia"/>
          <w:iCs/>
        </w:rPr>
        <w:t xml:space="preserve">Since </w:t>
      </w:r>
      <w:r w:rsidRPr="001D5978">
        <w:rPr>
          <w:iCs/>
        </w:rPr>
        <w:t xml:space="preserve">the best </w:t>
      </w:r>
      <w:r w:rsidRPr="001D5978">
        <w:rPr>
          <w:rFonts w:hint="eastAsia"/>
          <w:iCs/>
        </w:rPr>
        <w:t>TX and RX sectors</w:t>
      </w:r>
      <w:r w:rsidRPr="001D5978">
        <w:rPr>
          <w:iCs/>
        </w:rPr>
        <w:t xml:space="preserve"> (in terms of link </w:t>
      </w:r>
      <w:r w:rsidRPr="001D5978">
        <w:rPr>
          <w:iCs/>
        </w:rPr>
        <w:lastRenderedPageBreak/>
        <w:t>quality)</w:t>
      </w:r>
      <w:r w:rsidRPr="001D5978">
        <w:rPr>
          <w:rFonts w:hint="eastAsia"/>
          <w:iCs/>
        </w:rPr>
        <w:t xml:space="preserve"> are kept track of, this information can be used </w:t>
      </w:r>
      <w:r w:rsidRPr="001D5978">
        <w:rPr>
          <w:iCs/>
        </w:rPr>
        <w:t xml:space="preserve">to deal with </w:t>
      </w:r>
      <w:r w:rsidRPr="001D5978">
        <w:rPr>
          <w:rFonts w:hint="eastAsia"/>
          <w:iCs/>
        </w:rPr>
        <w:t>link blockage</w:t>
      </w:r>
      <w:r w:rsidRPr="001D5978">
        <w:rPr>
          <w:iCs/>
        </w:rPr>
        <w:t xml:space="preserve"> events</w:t>
      </w:r>
      <w:r w:rsidRPr="001D5978">
        <w:rPr>
          <w:rFonts w:hint="eastAsia"/>
          <w:iCs/>
        </w:rPr>
        <w:t xml:space="preserve">. </w:t>
      </w:r>
      <w:r w:rsidRPr="001D5978">
        <w:rPr>
          <w:rFonts w:ascii="TimesNewRomanPSMT" w:hAnsi="TimesNewRomanPSMT" w:cs="TimesNewRomanPSMT"/>
        </w:rPr>
        <w:t xml:space="preserve">STAs can utilize only the chosen set of TX sectors in the SLS phase to reduce beamforming training time, and jump to the BC </w:t>
      </w:r>
      <w:r w:rsidRPr="001D5978">
        <w:rPr>
          <w:rFonts w:ascii="TimesNewRomanPSMT" w:hAnsi="TimesNewRomanPSMT" w:cs="TimesNewRomanPSMT" w:hint="eastAsia"/>
        </w:rPr>
        <w:t>sub-phase</w:t>
      </w:r>
      <w:r w:rsidRPr="001D5978">
        <w:rPr>
          <w:rFonts w:ascii="TimesNewRomanPSMT" w:hAnsi="TimesNewRomanPSMT" w:cs="TimesNewRomanPSMT"/>
        </w:rPr>
        <w:t xml:space="preserve"> directly without executing the MID </w:t>
      </w:r>
      <w:r w:rsidRPr="001D5978">
        <w:rPr>
          <w:rFonts w:ascii="TimesNewRomanPSMT" w:hAnsi="TimesNewRomanPSMT" w:cs="TimesNewRomanPSMT" w:hint="eastAsia"/>
        </w:rPr>
        <w:t>sub-phase</w:t>
      </w:r>
      <w:r w:rsidRPr="001D5978">
        <w:rPr>
          <w:rFonts w:ascii="TimesNewRomanPSMT" w:hAnsi="TimesNewRomanPSMT" w:cs="TimesNewRomanPSMT"/>
        </w:rPr>
        <w:t>. In this manner,</w:t>
      </w:r>
      <w:r w:rsidRPr="001D5978">
        <w:rPr>
          <w:rFonts w:ascii="TimesNewRomanPSMT" w:hAnsi="TimesNewRomanPSMT" w:cs="TimesNewRomanPSMT" w:hint="eastAsia"/>
        </w:rPr>
        <w:t xml:space="preserve"> </w:t>
      </w:r>
      <w:r w:rsidRPr="001D5978">
        <w:rPr>
          <w:rFonts w:hint="eastAsia"/>
          <w:iCs/>
        </w:rPr>
        <w:t>fast recover</w:t>
      </w:r>
      <w:r w:rsidRPr="001D5978">
        <w:rPr>
          <w:iCs/>
        </w:rPr>
        <w:t>y</w:t>
      </w:r>
      <w:r w:rsidRPr="001D5978">
        <w:rPr>
          <w:rFonts w:hint="eastAsia"/>
          <w:iCs/>
        </w:rPr>
        <w:t xml:space="preserve"> is possible when some of backup links are available after partial blockage around the STA. </w:t>
      </w:r>
    </w:p>
    <w:p w:rsidR="001D5978" w:rsidRPr="001D5978" w:rsidRDefault="001D5978" w:rsidP="001D5978">
      <w:pPr>
        <w:autoSpaceDE w:val="0"/>
        <w:autoSpaceDN w:val="0"/>
        <w:adjustRightInd w:val="0"/>
        <w:jc w:val="both"/>
        <w:rPr>
          <w:rFonts w:ascii="TimesNewRomanPSMT" w:hAnsi="TimesNewRomanPSMT" w:cs="TimesNewRomanPSMT"/>
        </w:rPr>
      </w:pPr>
    </w:p>
    <w:p w:rsidR="00DF54A1" w:rsidRDefault="001D5978">
      <w:pPr>
        <w:autoSpaceDE w:val="0"/>
        <w:autoSpaceDN w:val="0"/>
        <w:adjustRightInd w:val="0"/>
        <w:jc w:val="both"/>
        <w:rPr>
          <w:iCs/>
        </w:rPr>
      </w:pPr>
      <w:r w:rsidRPr="001D5978">
        <w:rPr>
          <w:rFonts w:ascii="TimesNewRomanPSMT" w:hAnsi="TimesNewRomanPSMT" w:cs="TimesNewRomanPSMT"/>
        </w:rPr>
        <w:t xml:space="preserve">To carry out the MIDC phase with the BC sub-phase only, </w:t>
      </w:r>
      <w:r w:rsidRPr="001D5978">
        <w:rPr>
          <w:iCs/>
        </w:rPr>
        <w:t>t</w:t>
      </w:r>
      <w:r w:rsidRPr="001D5978">
        <w:rPr>
          <w:rFonts w:hint="eastAsia"/>
          <w:iCs/>
        </w:rPr>
        <w:t xml:space="preserve">he values of </w:t>
      </w:r>
      <w:r w:rsidRPr="001D5978">
        <w:rPr>
          <w:iCs/>
        </w:rPr>
        <w:t>the</w:t>
      </w:r>
      <w:r w:rsidRPr="001D5978">
        <w:rPr>
          <w:rFonts w:hint="eastAsia"/>
          <w:iCs/>
        </w:rPr>
        <w:t xml:space="preserve"> MID request field is set to zero and the value of BC request field is set to one in SS-F</w:t>
      </w:r>
      <w:r w:rsidRPr="001D5978">
        <w:rPr>
          <w:iCs/>
        </w:rPr>
        <w:t>eedback or SS-ACK or BRP</w:t>
      </w:r>
      <w:r w:rsidRPr="001D5978">
        <w:rPr>
          <w:rFonts w:hint="eastAsia"/>
          <w:iCs/>
        </w:rPr>
        <w:t xml:space="preserve"> frames and values of the BC grant field </w:t>
      </w:r>
      <w:r w:rsidRPr="001D5978">
        <w:rPr>
          <w:iCs/>
        </w:rPr>
        <w:t>is</w:t>
      </w:r>
      <w:r w:rsidRPr="001D5978">
        <w:rPr>
          <w:rFonts w:hint="eastAsia"/>
          <w:iCs/>
        </w:rPr>
        <w:t xml:space="preserve"> set to one in the following SS</w:t>
      </w:r>
      <w:r w:rsidRPr="001D5978">
        <w:rPr>
          <w:iCs/>
        </w:rPr>
        <w:t>-ACK or BRP</w:t>
      </w:r>
      <w:r w:rsidRPr="001D5978">
        <w:rPr>
          <w:rFonts w:hint="eastAsia"/>
          <w:iCs/>
        </w:rPr>
        <w:t xml:space="preserve"> frame. The BC sub-phase can include an I-BC </w:t>
      </w:r>
      <w:r w:rsidRPr="001D5978">
        <w:rPr>
          <w:iCs/>
        </w:rPr>
        <w:t xml:space="preserve">and/or </w:t>
      </w:r>
      <w:r w:rsidR="00F30F19">
        <w:rPr>
          <w:rFonts w:hint="eastAsia"/>
          <w:iCs/>
        </w:rPr>
        <w:t xml:space="preserve">an R-BC </w:t>
      </w:r>
      <w:r w:rsidR="00BF0437">
        <w:rPr>
          <w:iCs/>
        </w:rPr>
        <w:t>(</w:t>
      </w:r>
      <w:r w:rsidR="00BD151C">
        <w:rPr>
          <w:iCs/>
        </w:rPr>
        <w:fldChar w:fldCharType="begin"/>
      </w:r>
      <w:r w:rsidR="00BF0437">
        <w:rPr>
          <w:iCs/>
        </w:rPr>
        <w:instrText xml:space="preserve"> REF _Ref257058362 \r \h </w:instrText>
      </w:r>
      <w:r w:rsidR="00BD151C">
        <w:rPr>
          <w:iCs/>
        </w:rPr>
      </w:r>
      <w:r w:rsidR="00BD151C">
        <w:rPr>
          <w:iCs/>
        </w:rPr>
        <w:fldChar w:fldCharType="separate"/>
      </w:r>
      <w:r w:rsidR="003E4210">
        <w:rPr>
          <w:iCs/>
        </w:rPr>
        <w:t>9.25.5.2.1</w:t>
      </w:r>
      <w:r w:rsidR="00BD151C">
        <w:rPr>
          <w:iCs/>
        </w:rPr>
        <w:fldChar w:fldCharType="end"/>
      </w:r>
      <w:r w:rsidR="00BF0437">
        <w:rPr>
          <w:iCs/>
        </w:rPr>
        <w:t>)</w:t>
      </w:r>
      <w:r w:rsidRPr="001D5978">
        <w:rPr>
          <w:iCs/>
        </w:rPr>
        <w:t>.</w:t>
      </w:r>
      <w:r w:rsidRPr="001D5978">
        <w:rPr>
          <w:rFonts w:hint="eastAsia"/>
          <w:iCs/>
        </w:rPr>
        <w:t xml:space="preserve"> </w:t>
      </w:r>
    </w:p>
    <w:p w:rsidR="003473F1" w:rsidRDefault="003473F1" w:rsidP="003473F1"/>
    <w:p w:rsidR="003E32F7" w:rsidRPr="009448FC" w:rsidRDefault="003E32F7" w:rsidP="003701DB">
      <w:pPr>
        <w:pStyle w:val="Heading4"/>
        <w:numPr>
          <w:ilvl w:val="3"/>
          <w:numId w:val="171"/>
        </w:numPr>
      </w:pPr>
      <w:bookmarkStart w:id="1691" w:name="_Ref255748041"/>
      <w:bookmarkStart w:id="1692" w:name="_Toc259717162"/>
      <w:r w:rsidRPr="009448FC">
        <w:t xml:space="preserve">BRP </w:t>
      </w:r>
      <w:r>
        <w:t>p</w:t>
      </w:r>
      <w:r w:rsidRPr="009448FC">
        <w:t xml:space="preserve">hase </w:t>
      </w:r>
      <w:r>
        <w:t>e</w:t>
      </w:r>
      <w:r w:rsidRPr="009448FC">
        <w:t>xecutio</w:t>
      </w:r>
      <w:r>
        <w:t>n</w:t>
      </w:r>
      <w:bookmarkEnd w:id="1691"/>
      <w:bookmarkEnd w:id="1692"/>
      <w:r w:rsidR="005515A4">
        <w:t xml:space="preserve"> </w:t>
      </w:r>
    </w:p>
    <w:p w:rsidR="00F718E3" w:rsidRPr="009448FC" w:rsidRDefault="00F718E3" w:rsidP="00F718E3">
      <w:r w:rsidRPr="009448FC">
        <w:t>Beam refinement is a request/response based process. A STA requests receive beam refinement training by sending a beam refinement frame (</w:t>
      </w:r>
      <w:r w:rsidR="00BD151C" w:rsidRPr="009448FC">
        <w:fldChar w:fldCharType="begin"/>
      </w:r>
      <w:r w:rsidRPr="009448FC">
        <w:instrText xml:space="preserve"> REF _Ref236728088 \r \h </w:instrText>
      </w:r>
      <w:r w:rsidR="00BD151C" w:rsidRPr="009448FC">
        <w:fldChar w:fldCharType="separate"/>
      </w:r>
      <w:r w:rsidR="003E4210">
        <w:t>7.4.13.7</w:t>
      </w:r>
      <w:r w:rsidR="00BD151C" w:rsidRPr="009448FC">
        <w:fldChar w:fldCharType="end"/>
      </w:r>
      <w:r w:rsidRPr="009448FC">
        <w:t>) with a non-zero value in the L-RX field. The STA that receives a beam refinement frame shall respond with a beam refinement packet (</w:t>
      </w:r>
      <w:r w:rsidR="00BD151C" w:rsidRPr="009448FC">
        <w:fldChar w:fldCharType="begin"/>
      </w:r>
      <w:r w:rsidRPr="009448FC">
        <w:instrText xml:space="preserve"> REF _Ref204497823 \r \h </w:instrText>
      </w:r>
      <w:r w:rsidR="00BD151C" w:rsidRPr="009448FC">
        <w:fldChar w:fldCharType="separate"/>
      </w:r>
      <w:r w:rsidR="003E4210">
        <w:t>21.8.2.2</w:t>
      </w:r>
      <w:r w:rsidR="00BD151C" w:rsidRPr="009448FC">
        <w:fldChar w:fldCharType="end"/>
      </w:r>
      <w:r w:rsidRPr="009448FC">
        <w:t xml:space="preserve">) with the appropriate number of appended TRN-R fields and with the RX-train-response </w:t>
      </w:r>
      <w:r w:rsidR="00791856">
        <w:t>field</w:t>
      </w:r>
      <w:r w:rsidR="00791856" w:rsidRPr="009448FC">
        <w:t xml:space="preserve"> </w:t>
      </w:r>
      <w:r w:rsidRPr="009448FC">
        <w:t>in the PLCP header set to 1.</w:t>
      </w:r>
    </w:p>
    <w:p w:rsidR="00F718E3" w:rsidRPr="009448FC" w:rsidRDefault="00F718E3" w:rsidP="00F718E3"/>
    <w:p w:rsidR="00F718E3" w:rsidRPr="009448FC" w:rsidRDefault="00F718E3" w:rsidP="00F718E3">
      <w:r w:rsidRPr="009448FC">
        <w:t xml:space="preserve">A STA requests transmit beam refinement training by sending a beam refinement frame as follows. In the mmWave Beam Refinement element, the TX-TRN-REQ is set to one and the FBCK-REQ field to the desired feedback type. In the PLCP header, the packet type and the training length </w:t>
      </w:r>
      <w:r w:rsidR="00791856">
        <w:t xml:space="preserve">fields </w:t>
      </w:r>
      <w:r w:rsidRPr="009448FC">
        <w:t xml:space="preserve">are set to indicate the number of AGC and TRN-T fields appended to the packet. </w:t>
      </w:r>
    </w:p>
    <w:p w:rsidR="00F718E3" w:rsidRPr="009448FC" w:rsidRDefault="00F718E3" w:rsidP="00F718E3"/>
    <w:p w:rsidR="00F718E3" w:rsidRPr="009448FC" w:rsidRDefault="00F718E3" w:rsidP="00F718E3">
      <w:r w:rsidRPr="009448FC">
        <w:t xml:space="preserve">The responding STA shall reply to the transmit beam refinement training with a beam refinement frame </w:t>
      </w:r>
      <w:r w:rsidR="00C14AEF">
        <w:t>containing</w:t>
      </w:r>
      <w:r w:rsidR="00C14AEF" w:rsidRPr="009448FC">
        <w:t xml:space="preserve"> </w:t>
      </w:r>
      <w:r w:rsidRPr="009448FC">
        <w:t>a mmWave Beam Refinement element with the TX-TRN-OK field set to one and the BS-FBCK field set to indicate the TRN-T field on which it received the best signal (the determination of best signal is implementation dependent). The FBCK-TYPE field shall be set to according to the format of the Channel measurement feedback element, if one is included in the frame. If the SNR present and channel measurement prese</w:t>
      </w:r>
      <w:r>
        <w:t>n</w:t>
      </w:r>
      <w:r w:rsidRPr="009448FC">
        <w:t xml:space="preserve">t </w:t>
      </w:r>
      <w:r w:rsidR="00791856">
        <w:t>fields</w:t>
      </w:r>
      <w:r w:rsidR="00791856" w:rsidRPr="009448FC">
        <w:t xml:space="preserve"> </w:t>
      </w:r>
      <w:r w:rsidRPr="009448FC">
        <w:t xml:space="preserve">of this FBCK-TYPE field are set to zero, the Channel measurement feedback element shall not be included. The number of taps indicated in the FBCK-TYPE shall less than or equal to the number of taps indicated in the FBCK-REQ field of the request frame. </w:t>
      </w:r>
    </w:p>
    <w:p w:rsidR="00F718E3" w:rsidRPr="009448FC" w:rsidRDefault="00F718E3" w:rsidP="00F718E3"/>
    <w:p w:rsidR="00F718E3" w:rsidRPr="009448FC" w:rsidRDefault="00F718E3" w:rsidP="00870066">
      <w:r w:rsidRPr="009448FC">
        <w:t xml:space="preserve">If a STA requests transmit beam refinement training, but does not send TRN-T fields, the responding STA shall reply with a Beam Refinement frame </w:t>
      </w:r>
      <w:r w:rsidR="00F95C06">
        <w:t>containing</w:t>
      </w:r>
      <w:r w:rsidR="00F95C06" w:rsidRPr="009448FC">
        <w:t xml:space="preserve"> </w:t>
      </w:r>
      <w:r w:rsidRPr="009448FC">
        <w:t>a mmWave Beam refinement element with the TX-TRN-OK field set to one. The requesting STA shall then transmit a beam refinement packet with TRN-</w:t>
      </w:r>
      <w:r w:rsidR="00623171">
        <w:t xml:space="preserve">T </w:t>
      </w:r>
      <w:r w:rsidRPr="009448FC">
        <w:t>fields. The responding STA shall then respond with a beam refinement frame with the BS-FBCK and channel measurement feedback element as above.</w:t>
      </w:r>
    </w:p>
    <w:p w:rsidR="00F718E3" w:rsidRPr="009448FC" w:rsidRDefault="00F718E3" w:rsidP="00F718E3"/>
    <w:p w:rsidR="00F718E3" w:rsidRPr="009448FC" w:rsidRDefault="00F718E3" w:rsidP="00F718E3">
      <w:r w:rsidRPr="009448FC">
        <w:t>Beam refinement can</w:t>
      </w:r>
      <w:r w:rsidR="00A138F5">
        <w:t xml:space="preserve"> start immediately following SLS (</w:t>
      </w:r>
      <w:r w:rsidR="00BD151C" w:rsidRPr="009448FC">
        <w:fldChar w:fldCharType="begin"/>
      </w:r>
      <w:r w:rsidRPr="009448FC">
        <w:instrText xml:space="preserve"> REF _Ref243107154 \r \h </w:instrText>
      </w:r>
      <w:r w:rsidR="00BD151C" w:rsidRPr="009448FC">
        <w:fldChar w:fldCharType="separate"/>
      </w:r>
      <w:r w:rsidR="003E4210">
        <w:t>9.25.5.3.2</w:t>
      </w:r>
      <w:r w:rsidR="00BD151C" w:rsidRPr="009448FC">
        <w:fldChar w:fldCharType="end"/>
      </w:r>
      <w:r w:rsidR="00A138F5">
        <w:t>)</w:t>
      </w:r>
      <w:r w:rsidRPr="009448FC">
        <w:t>. If the responder receives an SS-Feedback frame from the PCP/AP in an A-BFT, the PCP/AP allocates an SP for the beam refinement if required (see</w:t>
      </w:r>
      <w:r w:rsidR="009653CF">
        <w:t xml:space="preserve"> </w:t>
      </w:r>
      <w:r w:rsidR="00BD151C">
        <w:fldChar w:fldCharType="begin"/>
      </w:r>
      <w:r w:rsidR="009653CF">
        <w:instrText xml:space="preserve"> REF _Ref251753257 \r \h </w:instrText>
      </w:r>
      <w:r w:rsidR="00BD151C">
        <w:fldChar w:fldCharType="separate"/>
      </w:r>
      <w:r w:rsidR="003E4210">
        <w:t>9.25.4.3</w:t>
      </w:r>
      <w:r w:rsidR="00BD151C">
        <w:fldChar w:fldCharType="end"/>
      </w:r>
      <w:r w:rsidRPr="009448FC">
        <w:t xml:space="preserve">). A STA may transmit a beam refinement packet to another STA whenever it transmits a packet to that STA, provided that the transmitting STA knows that the recipient STA’s receive antennas are directed to it or </w:t>
      </w:r>
      <w:r w:rsidR="00C14AEF">
        <w:t xml:space="preserve">are </w:t>
      </w:r>
      <w:r w:rsidRPr="009448FC">
        <w:t>in a quasi-omni antenna pattern.</w:t>
      </w:r>
    </w:p>
    <w:p w:rsidR="00F718E3" w:rsidRPr="009448FC" w:rsidRDefault="00F718E3" w:rsidP="00F718E3"/>
    <w:p w:rsidR="00F718E3" w:rsidRPr="009448FC" w:rsidRDefault="00F718E3" w:rsidP="00F718E3">
      <w:r w:rsidRPr="009448FC">
        <w:t xml:space="preserve">A STA shall set the initiator </w:t>
      </w:r>
      <w:r w:rsidR="00F95C06">
        <w:t>field</w:t>
      </w:r>
      <w:r w:rsidR="00F95C06" w:rsidRPr="009448FC">
        <w:t xml:space="preserve"> </w:t>
      </w:r>
      <w:r w:rsidRPr="009448FC">
        <w:t xml:space="preserve">to one </w:t>
      </w:r>
      <w:r w:rsidR="00F95C06">
        <w:t xml:space="preserve">within a mmWave beam refinement element </w:t>
      </w:r>
      <w:r w:rsidRPr="009448FC">
        <w:t xml:space="preserve">if the previous received frame was not a beam refinement frame, or the last packet it transmitted was a beam refinement frame with the initiator </w:t>
      </w:r>
      <w:r w:rsidR="00F95C06">
        <w:t>field</w:t>
      </w:r>
      <w:r w:rsidR="00F95C06" w:rsidRPr="009448FC">
        <w:t xml:space="preserve"> </w:t>
      </w:r>
      <w:r w:rsidRPr="009448FC">
        <w:t>set to one.</w:t>
      </w:r>
    </w:p>
    <w:p w:rsidR="00F718E3" w:rsidRPr="009448FC" w:rsidRDefault="00F718E3" w:rsidP="00F718E3"/>
    <w:p w:rsidR="00F718E3" w:rsidRPr="009448FC" w:rsidRDefault="00F718E3" w:rsidP="00F718E3">
      <w:r w:rsidRPr="009448FC">
        <w:t xml:space="preserve">A STA that has transmitted a beam refinement frame with the initiator </w:t>
      </w:r>
      <w:r w:rsidR="00F95C06">
        <w:t>field</w:t>
      </w:r>
      <w:r w:rsidR="00F95C06" w:rsidRPr="009448FC">
        <w:t xml:space="preserve"> </w:t>
      </w:r>
      <w:r w:rsidRPr="009448FC">
        <w:t xml:space="preserve">set to one and has not received a response BRPIFS after the transmission may retransmit the frame. </w:t>
      </w:r>
    </w:p>
    <w:p w:rsidR="00F718E3" w:rsidRPr="009448FC" w:rsidRDefault="00F718E3" w:rsidP="00F718E3"/>
    <w:p w:rsidR="00F718E3" w:rsidRPr="009448FC" w:rsidRDefault="00F718E3" w:rsidP="00F718E3">
      <w:r w:rsidRPr="009448FC">
        <w:t xml:space="preserve">A beam refinement frame shall not be both a TX training request packet and RX response packet. </w:t>
      </w:r>
    </w:p>
    <w:p w:rsidR="00F718E3" w:rsidRPr="009448FC" w:rsidRDefault="00F718E3" w:rsidP="00F718E3"/>
    <w:p w:rsidR="00F718E3" w:rsidRPr="009448FC" w:rsidRDefault="00F718E3" w:rsidP="00F718E3">
      <w:r w:rsidRPr="009448FC">
        <w:t xml:space="preserve">A STA may request a TXSS sector list feedback by sending a beam refinement frame with the TXSS-FBCK-REQ </w:t>
      </w:r>
      <w:r w:rsidR="00590326">
        <w:t xml:space="preserve">field </w:t>
      </w:r>
      <w:r w:rsidRPr="009448FC">
        <w:t xml:space="preserve">set to 1 and by setting the FBCK-REQ </w:t>
      </w:r>
      <w:r w:rsidR="00590326">
        <w:t xml:space="preserve">field </w:t>
      </w:r>
      <w:r w:rsidRPr="009448FC">
        <w:t>to “0b1000” (</w:t>
      </w:r>
      <w:r w:rsidR="00590326">
        <w:t>o</w:t>
      </w:r>
      <w:r w:rsidR="00590326" w:rsidRPr="009448FC">
        <w:t xml:space="preserve">nly </w:t>
      </w:r>
      <w:r w:rsidRPr="009448FC">
        <w:t xml:space="preserve">SNR is requested). The responding STA shall respond with a beam refinement frame with the FBCK-REQ </w:t>
      </w:r>
      <w:r w:rsidR="00590326">
        <w:t xml:space="preserve">field </w:t>
      </w:r>
      <w:r w:rsidRPr="009448FC">
        <w:t xml:space="preserve">set to “0b1000” </w:t>
      </w:r>
      <w:r>
        <w:t xml:space="preserve">a list of Sector </w:t>
      </w:r>
      <w:r w:rsidR="00590326">
        <w:t xml:space="preserve">IDs </w:t>
      </w:r>
      <w:r>
        <w:t xml:space="preserve">indicating the sector </w:t>
      </w:r>
      <w:r w:rsidR="00590326">
        <w:t xml:space="preserve">IDs </w:t>
      </w:r>
      <w:r>
        <w:t xml:space="preserve">of the received SS frames or mmWave </w:t>
      </w:r>
      <w:r w:rsidR="00590326">
        <w:t xml:space="preserve">Beacon </w:t>
      </w:r>
      <w:r>
        <w:t xml:space="preserve">frames, </w:t>
      </w:r>
      <w:r w:rsidRPr="009448FC">
        <w:t xml:space="preserve">and the SNR values </w:t>
      </w:r>
      <w:r>
        <w:t xml:space="preserve">in which those frames were received in the </w:t>
      </w:r>
      <w:r w:rsidRPr="009448FC">
        <w:t>last TXSS.</w:t>
      </w:r>
      <w:r>
        <w:t xml:space="preserve"> </w:t>
      </w:r>
    </w:p>
    <w:p w:rsidR="00F718E3" w:rsidRPr="009448FC" w:rsidRDefault="00F718E3" w:rsidP="00F718E3"/>
    <w:p w:rsidR="00F718E3" w:rsidRPr="009448FC" w:rsidRDefault="00F718E3" w:rsidP="00F718E3">
      <w:r w:rsidRPr="009448FC">
        <w:t xml:space="preserve">A STA shall not set the TXSS-FBCK-REQ and the TX-TRN-REQ </w:t>
      </w:r>
      <w:r w:rsidR="00590326">
        <w:t>fields</w:t>
      </w:r>
      <w:r w:rsidR="00590326" w:rsidRPr="009448FC">
        <w:t xml:space="preserve"> </w:t>
      </w:r>
      <w:r w:rsidRPr="009448FC">
        <w:t>to 1 in the same beam refinement frame.</w:t>
      </w:r>
    </w:p>
    <w:p w:rsidR="00F718E3" w:rsidRPr="009448FC" w:rsidRDefault="00F718E3" w:rsidP="00F718E3"/>
    <w:p w:rsidR="00F718E3" w:rsidRPr="009448FC" w:rsidRDefault="00F718E3" w:rsidP="00F718E3">
      <w:r w:rsidRPr="009448FC">
        <w:t>More than one beam refinement packet shall not be aggregated into a single A-MPDU.</w:t>
      </w:r>
    </w:p>
    <w:p w:rsidR="00F718E3" w:rsidRPr="009448FC" w:rsidRDefault="00F718E3" w:rsidP="00F718E3"/>
    <w:p w:rsidR="00F718E3" w:rsidRPr="009448FC" w:rsidRDefault="00F718E3" w:rsidP="00F718E3">
      <w:pPr>
        <w:rPr>
          <w:sz w:val="20"/>
        </w:rPr>
      </w:pPr>
      <w:r w:rsidRPr="009448FC">
        <w:rPr>
          <w:sz w:val="20"/>
        </w:rPr>
        <w:t xml:space="preserve">NOTE – A beam refinement packet with a combination of TX training response and RX request is not recommended. </w:t>
      </w:r>
    </w:p>
    <w:p w:rsidR="00F718E3" w:rsidRPr="009448FC" w:rsidRDefault="00F718E3" w:rsidP="003701DB">
      <w:pPr>
        <w:pStyle w:val="Heading5"/>
        <w:numPr>
          <w:ilvl w:val="4"/>
          <w:numId w:val="171"/>
        </w:numPr>
      </w:pPr>
      <w:bookmarkStart w:id="1693" w:name="_Toc241556203"/>
      <w:bookmarkStart w:id="1694" w:name="_Ref252032847"/>
      <w:bookmarkStart w:id="1695" w:name="_Toc259717163"/>
      <w:r w:rsidRPr="009448FC">
        <w:t xml:space="preserve">Beam </w:t>
      </w:r>
      <w:r w:rsidR="000A5ED3">
        <w:t>r</w:t>
      </w:r>
      <w:r w:rsidRPr="009448FC">
        <w:t xml:space="preserve">efinement </w:t>
      </w:r>
      <w:r w:rsidR="000A5ED3">
        <w:t>t</w:t>
      </w:r>
      <w:r w:rsidRPr="009448FC">
        <w:t>ransaction</w:t>
      </w:r>
      <w:bookmarkEnd w:id="1693"/>
      <w:bookmarkEnd w:id="1694"/>
      <w:bookmarkEnd w:id="1695"/>
    </w:p>
    <w:p w:rsidR="00F718E3" w:rsidRPr="009448FC" w:rsidRDefault="00F718E3" w:rsidP="00F718E3">
      <w:r w:rsidRPr="009448FC">
        <w:t>A beam refinement transaction is a set of beam refinement frames composed of request and responses.</w:t>
      </w:r>
    </w:p>
    <w:p w:rsidR="00F718E3" w:rsidRPr="009448FC" w:rsidRDefault="00F718E3" w:rsidP="00F718E3"/>
    <w:p w:rsidR="00F718E3" w:rsidRPr="009448FC" w:rsidRDefault="00F718E3" w:rsidP="00F718E3">
      <w:r w:rsidRPr="009448FC">
        <w:t xml:space="preserve">A beam refinement transaction starts with the beamforming initiator STA sending a beam refinement frame with the initiator </w:t>
      </w:r>
      <w:r w:rsidR="00590326">
        <w:t>field</w:t>
      </w:r>
      <w:r w:rsidR="00590326" w:rsidRPr="009448FC">
        <w:t xml:space="preserve"> </w:t>
      </w:r>
      <w:r w:rsidRPr="009448FC">
        <w:t>set to 1.</w:t>
      </w:r>
    </w:p>
    <w:p w:rsidR="00F718E3" w:rsidRPr="009448FC" w:rsidRDefault="00F718E3" w:rsidP="00F718E3"/>
    <w:p w:rsidR="00F718E3" w:rsidRPr="009448FC" w:rsidRDefault="00F718E3" w:rsidP="00F718E3">
      <w:r w:rsidRPr="009448FC">
        <w:t xml:space="preserve">A beam refinement responder is a STA that receives a beam refinement frame (which is directed to it) with the initiator </w:t>
      </w:r>
      <w:r w:rsidR="00590326">
        <w:t>field</w:t>
      </w:r>
      <w:r w:rsidR="00590326" w:rsidRPr="009448FC">
        <w:t xml:space="preserve"> </w:t>
      </w:r>
      <w:r w:rsidRPr="009448FC">
        <w:t>set</w:t>
      </w:r>
      <w:r w:rsidR="00590326">
        <w:t xml:space="preserve"> to 1</w:t>
      </w:r>
      <w:r w:rsidRPr="009448FC">
        <w:t>.</w:t>
      </w:r>
    </w:p>
    <w:p w:rsidR="00F718E3" w:rsidRPr="009448FC" w:rsidRDefault="00F718E3" w:rsidP="00F718E3"/>
    <w:p w:rsidR="00F718E3" w:rsidRPr="009448FC" w:rsidRDefault="00F718E3" w:rsidP="00F718E3">
      <w:r w:rsidRPr="009448FC">
        <w:t>A beam refinement transaction participant shall respond to a beam refinement frame with a beam refinement frame.</w:t>
      </w:r>
    </w:p>
    <w:p w:rsidR="00F718E3" w:rsidRPr="009448FC" w:rsidRDefault="00F718E3" w:rsidP="00F718E3"/>
    <w:p w:rsidR="00F718E3" w:rsidRPr="009448FC" w:rsidRDefault="00F718E3" w:rsidP="00870066">
      <w:r w:rsidRPr="009448FC">
        <w:t xml:space="preserve">If the beam refinement transaction initiator received </w:t>
      </w:r>
      <w:r w:rsidR="00623171">
        <w:t xml:space="preserve">a beam refinement frame </w:t>
      </w:r>
      <w:r w:rsidRPr="009448FC">
        <w:t>from the responder with no training requests, it may terminate the transaction by not transmitting any further beam refinement packets.</w:t>
      </w:r>
    </w:p>
    <w:p w:rsidR="00F718E3" w:rsidRPr="009448FC" w:rsidRDefault="00F718E3" w:rsidP="00F718E3"/>
    <w:p w:rsidR="00F718E3" w:rsidRPr="009448FC" w:rsidRDefault="00BD151C" w:rsidP="00F718E3">
      <w:r w:rsidRPr="009448FC">
        <w:fldChar w:fldCharType="begin"/>
      </w:r>
      <w:r w:rsidR="00F718E3" w:rsidRPr="009448FC">
        <w:instrText xml:space="preserve"> REF _Ref243273580 \h </w:instrText>
      </w:r>
      <w:r w:rsidRPr="009448FC">
        <w:fldChar w:fldCharType="separate"/>
      </w:r>
      <w:r w:rsidR="003E4210" w:rsidRPr="00066F65">
        <w:t xml:space="preserve">Figure </w:t>
      </w:r>
      <w:r w:rsidR="003E4210">
        <w:rPr>
          <w:noProof/>
        </w:rPr>
        <w:t>107</w:t>
      </w:r>
      <w:r w:rsidRPr="009448FC">
        <w:fldChar w:fldCharType="end"/>
      </w:r>
      <w:r w:rsidR="00F718E3" w:rsidRPr="009448FC">
        <w:t xml:space="preserve">, </w:t>
      </w:r>
      <w:r w:rsidRPr="009448FC">
        <w:fldChar w:fldCharType="begin"/>
      </w:r>
      <w:r w:rsidR="00F718E3" w:rsidRPr="009448FC">
        <w:instrText xml:space="preserve"> REF _Ref243273582 \h </w:instrText>
      </w:r>
      <w:r w:rsidRPr="009448FC">
        <w:fldChar w:fldCharType="separate"/>
      </w:r>
      <w:r w:rsidR="003E4210" w:rsidRPr="00066F65">
        <w:t xml:space="preserve">Figure </w:t>
      </w:r>
      <w:r w:rsidR="003E4210">
        <w:rPr>
          <w:noProof/>
        </w:rPr>
        <w:t>108</w:t>
      </w:r>
      <w:r w:rsidRPr="009448FC">
        <w:fldChar w:fldCharType="end"/>
      </w:r>
      <w:r w:rsidR="00F718E3" w:rsidRPr="009448FC">
        <w:t xml:space="preserve"> and </w:t>
      </w:r>
      <w:r w:rsidRPr="009448FC">
        <w:fldChar w:fldCharType="begin"/>
      </w:r>
      <w:r w:rsidR="00F718E3" w:rsidRPr="009448FC">
        <w:instrText xml:space="preserve"> REF _Ref243273586 \h </w:instrText>
      </w:r>
      <w:r w:rsidRPr="009448FC">
        <w:fldChar w:fldCharType="separate"/>
      </w:r>
      <w:r w:rsidR="003E4210" w:rsidRPr="00066F65">
        <w:t xml:space="preserve">Figure </w:t>
      </w:r>
      <w:r w:rsidR="003E4210">
        <w:rPr>
          <w:noProof/>
        </w:rPr>
        <w:t>109</w:t>
      </w:r>
      <w:r w:rsidRPr="009448FC">
        <w:fldChar w:fldCharType="end"/>
      </w:r>
      <w:r w:rsidR="00F718E3" w:rsidRPr="009448FC">
        <w:t xml:space="preserve"> show examples of beam refinement transactions.</w:t>
      </w:r>
    </w:p>
    <w:p w:rsidR="00F718E3" w:rsidRPr="009448FC" w:rsidRDefault="00F718E3" w:rsidP="003701DB">
      <w:pPr>
        <w:pStyle w:val="Heading5"/>
        <w:numPr>
          <w:ilvl w:val="4"/>
          <w:numId w:val="171"/>
        </w:numPr>
      </w:pPr>
      <w:bookmarkStart w:id="1696" w:name="_Toc241556204"/>
      <w:bookmarkStart w:id="1697" w:name="_Ref243107154"/>
      <w:bookmarkStart w:id="1698" w:name="_Toc259717164"/>
      <w:r w:rsidRPr="009448FC">
        <w:t xml:space="preserve">Beam </w:t>
      </w:r>
      <w:r w:rsidR="000A5ED3">
        <w:t>r</w:t>
      </w:r>
      <w:r w:rsidRPr="009448FC">
        <w:t xml:space="preserve">efinement </w:t>
      </w:r>
      <w:r w:rsidR="000A5ED3">
        <w:t>t</w:t>
      </w:r>
      <w:r w:rsidRPr="009448FC">
        <w:t>ransaction after SLS</w:t>
      </w:r>
      <w:bookmarkEnd w:id="1696"/>
      <w:bookmarkEnd w:id="1697"/>
      <w:bookmarkEnd w:id="1698"/>
    </w:p>
    <w:p w:rsidR="00F718E3" w:rsidRPr="009448FC" w:rsidRDefault="00F718E3" w:rsidP="00F718E3">
      <w:r w:rsidRPr="009448FC">
        <w:t xml:space="preserve">If either L-RX or </w:t>
      </w:r>
      <w:r>
        <w:t>TX-TRN-REQ</w:t>
      </w:r>
      <w:r w:rsidRPr="009448FC">
        <w:t xml:space="preserve"> are non-zero within the </w:t>
      </w:r>
      <w:r>
        <w:t>BRP request field</w:t>
      </w:r>
      <w:r w:rsidRPr="009448FC">
        <w:t xml:space="preserve"> in the SS-Feedback or SS-ACK frames of the most recent SLS phase execution</w:t>
      </w:r>
      <w:r>
        <w:t xml:space="preserve"> a</w:t>
      </w:r>
      <w:r w:rsidRPr="002C1F69">
        <w:t xml:space="preserve">nd no MID or BC was granted during the </w:t>
      </w:r>
      <w:r w:rsidR="007B7D66">
        <w:t>BRP setup sub-</w:t>
      </w:r>
      <w:r w:rsidRPr="002C1F69">
        <w:t>phase</w:t>
      </w:r>
      <w:r w:rsidR="0066410A">
        <w:t xml:space="preserve"> </w:t>
      </w:r>
      <w:r w:rsidRPr="009448FC">
        <w:t xml:space="preserve">and no beam refinement transaction has been done since the most recent SLS phase execution, the initiator shall initiate the beam refinement transaction with the responder by sending a beam refinement frame to the responder. When the responder phase of the SLS included a TXSS, the type of </w:t>
      </w:r>
      <w:r w:rsidR="000F7631">
        <w:t xml:space="preserve">the </w:t>
      </w:r>
      <w:r w:rsidRPr="009448FC">
        <w:t xml:space="preserve">first beam refinement frame the initiator transmits is defined in </w:t>
      </w:r>
      <w:r w:rsidR="00BD151C" w:rsidRPr="009448FC">
        <w:fldChar w:fldCharType="begin"/>
      </w:r>
      <w:r w:rsidRPr="009448FC">
        <w:instrText xml:space="preserve"> REF _Ref241405821 \h </w:instrText>
      </w:r>
      <w:r w:rsidR="00BD151C" w:rsidRPr="009448FC">
        <w:fldChar w:fldCharType="separate"/>
      </w:r>
      <w:r w:rsidR="003E4210" w:rsidRPr="00066F65">
        <w:t xml:space="preserve">Table </w:t>
      </w:r>
      <w:r w:rsidR="003E4210">
        <w:rPr>
          <w:noProof/>
        </w:rPr>
        <w:t>58</w:t>
      </w:r>
      <w:r w:rsidR="00BD151C" w:rsidRPr="009448FC">
        <w:fldChar w:fldCharType="end"/>
      </w:r>
      <w:r w:rsidRPr="009448FC">
        <w:t xml:space="preserve">. When the responder phase of the SLS included an RXSS, the type of </w:t>
      </w:r>
      <w:r w:rsidR="000F7631">
        <w:t xml:space="preserve">the </w:t>
      </w:r>
      <w:r w:rsidRPr="009448FC">
        <w:t xml:space="preserve">first beam refinement frame the initiator transmits is defined in </w:t>
      </w:r>
      <w:r w:rsidR="00BD151C">
        <w:fldChar w:fldCharType="begin"/>
      </w:r>
      <w:r>
        <w:instrText xml:space="preserve"> REF _Ref241405877 \h </w:instrText>
      </w:r>
      <w:r w:rsidR="00BD151C">
        <w:fldChar w:fldCharType="separate"/>
      </w:r>
      <w:r w:rsidR="003E4210" w:rsidRPr="00066F65">
        <w:t xml:space="preserve">Table </w:t>
      </w:r>
      <w:r w:rsidR="003E4210">
        <w:rPr>
          <w:noProof/>
        </w:rPr>
        <w:t>59</w:t>
      </w:r>
      <w:r w:rsidR="00BD151C">
        <w:fldChar w:fldCharType="end"/>
      </w:r>
      <w:r w:rsidRPr="009448FC">
        <w:t>.</w:t>
      </w:r>
    </w:p>
    <w:p w:rsidR="00F718E3" w:rsidRPr="009448FC" w:rsidRDefault="00F718E3" w:rsidP="00F718E3">
      <w:pPr>
        <w:rPr>
          <w:b/>
        </w:rPr>
      </w:pPr>
    </w:p>
    <w:p w:rsidR="00F718E3" w:rsidRPr="00066F65" w:rsidRDefault="00F718E3" w:rsidP="00F718E3">
      <w:pPr>
        <w:pStyle w:val="Caption"/>
        <w:keepNext/>
      </w:pPr>
      <w:bookmarkStart w:id="1699" w:name="_Ref241405821"/>
      <w:bookmarkStart w:id="1700" w:name="_Toc250654442"/>
      <w:bookmarkStart w:id="1701" w:name="_Toc259717636"/>
      <w:r w:rsidRPr="00066F65">
        <w:lastRenderedPageBreak/>
        <w:t xml:space="preserve">Table </w:t>
      </w:r>
      <w:r w:rsidR="00BD151C">
        <w:fldChar w:fldCharType="begin"/>
      </w:r>
      <w:r w:rsidR="00801316">
        <w:instrText xml:space="preserve"> SEQ Table \* ARABIC </w:instrText>
      </w:r>
      <w:r w:rsidR="00BD151C">
        <w:fldChar w:fldCharType="separate"/>
      </w:r>
      <w:r w:rsidR="003E4210">
        <w:rPr>
          <w:noProof/>
        </w:rPr>
        <w:t>58</w:t>
      </w:r>
      <w:r w:rsidR="00BD151C">
        <w:fldChar w:fldCharType="end"/>
      </w:r>
      <w:bookmarkEnd w:id="1699"/>
      <w:r w:rsidRPr="00066F65">
        <w:rPr>
          <w:noProof/>
        </w:rPr>
        <w:t xml:space="preserve"> – Beam Refinement packet type following a TXSS</w:t>
      </w:r>
      <w:bookmarkEnd w:id="1700"/>
      <w:bookmarkEnd w:id="1701"/>
      <w:r w:rsidR="00BE1F31">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1034"/>
        <w:gridCol w:w="1362"/>
        <w:gridCol w:w="1362"/>
        <w:gridCol w:w="5333"/>
      </w:tblGrid>
      <w:tr w:rsidR="003319B9" w:rsidRPr="00066F65" w:rsidTr="003319B9">
        <w:tc>
          <w:tcPr>
            <w:tcW w:w="2364" w:type="pct"/>
            <w:gridSpan w:val="4"/>
            <w:vAlign w:val="bottom"/>
          </w:tcPr>
          <w:p w:rsidR="003319B9" w:rsidRPr="009448FC" w:rsidRDefault="003319B9" w:rsidP="003319B9">
            <w:pPr>
              <w:jc w:val="center"/>
              <w:rPr>
                <w:rFonts w:ascii="Arial" w:eastAsia="MS Mincho" w:hAnsi="Arial"/>
                <w:b/>
                <w:sz w:val="20"/>
              </w:rPr>
            </w:pPr>
            <w:r>
              <w:rPr>
                <w:rFonts w:ascii="Arial" w:eastAsia="MS Mincho" w:hAnsi="Arial"/>
                <w:b/>
                <w:sz w:val="20"/>
              </w:rPr>
              <w:t>values received during the SLS</w:t>
            </w:r>
          </w:p>
        </w:tc>
        <w:tc>
          <w:tcPr>
            <w:tcW w:w="2636" w:type="pct"/>
            <w:vMerge w:val="restart"/>
          </w:tcPr>
          <w:p w:rsidR="003319B9" w:rsidRPr="009448FC" w:rsidRDefault="003319B9" w:rsidP="00D95E1E">
            <w:pPr>
              <w:jc w:val="both"/>
              <w:rPr>
                <w:rFonts w:ascii="Arial" w:eastAsia="MS Mincho" w:hAnsi="Arial"/>
                <w:b/>
                <w:sz w:val="20"/>
              </w:rPr>
            </w:pPr>
            <w:r w:rsidRPr="009448FC">
              <w:rPr>
                <w:rFonts w:ascii="Arial" w:eastAsia="MS Mincho" w:hAnsi="Arial"/>
                <w:b/>
                <w:sz w:val="20"/>
              </w:rPr>
              <w:t>First Beam Refinement packet</w:t>
            </w:r>
            <w:r>
              <w:rPr>
                <w:rFonts w:ascii="Arial" w:eastAsia="MS Mincho" w:hAnsi="Arial"/>
                <w:b/>
                <w:sz w:val="20"/>
              </w:rPr>
              <w:t>, the values of L-RX and TX-TRN-REQ are the ones to be used in the first BRP packet</w:t>
            </w:r>
          </w:p>
        </w:tc>
      </w:tr>
      <w:tr w:rsidR="003319B9" w:rsidRPr="00066F65" w:rsidTr="00D95E1E">
        <w:tc>
          <w:tcPr>
            <w:tcW w:w="507" w:type="pct"/>
            <w:vAlign w:val="bottom"/>
          </w:tcPr>
          <w:p w:rsidR="003319B9" w:rsidRPr="009448FC" w:rsidRDefault="003319B9" w:rsidP="00D95E1E">
            <w:pPr>
              <w:jc w:val="center"/>
              <w:rPr>
                <w:rFonts w:eastAsia="SimSun"/>
                <w:b/>
              </w:rPr>
            </w:pPr>
            <w:r w:rsidRPr="009448FC">
              <w:rPr>
                <w:rFonts w:ascii="Arial" w:eastAsia="MS Mincho" w:hAnsi="Arial"/>
                <w:b/>
                <w:sz w:val="20"/>
              </w:rPr>
              <w:t xml:space="preserve">Initiator </w:t>
            </w:r>
            <w:r w:rsidRPr="009448FC">
              <w:rPr>
                <w:rFonts w:ascii="Arial" w:eastAsia="MS Mincho" w:hAnsi="Arial"/>
                <w:b/>
                <w:sz w:val="20"/>
              </w:rPr>
              <w:br/>
              <w:t>L-RX</w:t>
            </w:r>
          </w:p>
        </w:tc>
        <w:tc>
          <w:tcPr>
            <w:tcW w:w="511" w:type="pct"/>
            <w:vAlign w:val="bottom"/>
          </w:tcPr>
          <w:p w:rsidR="003319B9" w:rsidRPr="009448FC" w:rsidRDefault="003319B9" w:rsidP="00D95E1E">
            <w:pPr>
              <w:jc w:val="center"/>
              <w:rPr>
                <w:rFonts w:eastAsia="SimSun"/>
                <w:b/>
              </w:rPr>
            </w:pPr>
            <w:r w:rsidRPr="009448FC">
              <w:rPr>
                <w:rFonts w:ascii="Arial" w:eastAsia="MS Mincho" w:hAnsi="Arial"/>
                <w:b/>
                <w:sz w:val="20"/>
              </w:rPr>
              <w:t xml:space="preserve">Initiator </w:t>
            </w:r>
            <w:r w:rsidRPr="009448FC">
              <w:rPr>
                <w:rFonts w:ascii="Arial" w:eastAsia="MS Mincho" w:hAnsi="Arial"/>
                <w:b/>
                <w:sz w:val="20"/>
              </w:rPr>
              <w:br/>
            </w:r>
            <w:r>
              <w:rPr>
                <w:rFonts w:ascii="Arial" w:eastAsia="MS Mincho" w:hAnsi="Arial"/>
                <w:b/>
                <w:sz w:val="20"/>
              </w:rPr>
              <w:t>TX-TRN-REQ</w:t>
            </w:r>
          </w:p>
        </w:tc>
        <w:tc>
          <w:tcPr>
            <w:tcW w:w="673" w:type="pct"/>
            <w:vAlign w:val="bottom"/>
          </w:tcPr>
          <w:p w:rsidR="003319B9" w:rsidRPr="009448FC" w:rsidRDefault="003319B9" w:rsidP="00D95E1E">
            <w:pPr>
              <w:jc w:val="center"/>
              <w:rPr>
                <w:rFonts w:eastAsia="SimSun"/>
                <w:b/>
              </w:rPr>
            </w:pPr>
            <w:r w:rsidRPr="009448FC">
              <w:rPr>
                <w:rFonts w:ascii="Arial" w:eastAsia="MS Mincho" w:hAnsi="Arial"/>
                <w:b/>
                <w:sz w:val="20"/>
              </w:rPr>
              <w:t>Responder L-RX</w:t>
            </w:r>
          </w:p>
        </w:tc>
        <w:tc>
          <w:tcPr>
            <w:tcW w:w="673" w:type="pct"/>
            <w:vAlign w:val="bottom"/>
          </w:tcPr>
          <w:p w:rsidR="003319B9" w:rsidRPr="009448FC" w:rsidRDefault="003319B9" w:rsidP="00D95E1E">
            <w:pPr>
              <w:jc w:val="center"/>
              <w:rPr>
                <w:rFonts w:eastAsia="SimSun"/>
                <w:b/>
              </w:rPr>
            </w:pPr>
            <w:r w:rsidRPr="009448FC">
              <w:rPr>
                <w:rFonts w:ascii="Arial" w:eastAsia="MS Mincho" w:hAnsi="Arial"/>
                <w:b/>
                <w:sz w:val="20"/>
              </w:rPr>
              <w:t xml:space="preserve">Responder </w:t>
            </w:r>
            <w:r>
              <w:rPr>
                <w:rFonts w:ascii="Arial" w:eastAsia="MS Mincho" w:hAnsi="Arial"/>
                <w:b/>
                <w:sz w:val="20"/>
              </w:rPr>
              <w:t>TX-TRN-REQ</w:t>
            </w:r>
          </w:p>
        </w:tc>
        <w:tc>
          <w:tcPr>
            <w:tcW w:w="2636" w:type="pct"/>
            <w:vMerge/>
            <w:vAlign w:val="bottom"/>
          </w:tcPr>
          <w:p w:rsidR="003319B9" w:rsidRPr="009448FC" w:rsidRDefault="003319B9" w:rsidP="00D95E1E">
            <w:pPr>
              <w:jc w:val="both"/>
              <w:rPr>
                <w:rFonts w:eastAsia="SimSun"/>
                <w:b/>
              </w:rPr>
            </w:pP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packet from the initiator with L-RX=0 and TX-TRN-REQ=0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is not initiated</w:t>
            </w:r>
          </w:p>
        </w:tc>
      </w:tr>
    </w:tbl>
    <w:p w:rsidR="00F718E3" w:rsidRPr="009448FC" w:rsidRDefault="00F718E3" w:rsidP="00F718E3">
      <w:pPr>
        <w:rPr>
          <w:b/>
        </w:rPr>
      </w:pPr>
    </w:p>
    <w:p w:rsidR="00F718E3" w:rsidRPr="00066F65" w:rsidRDefault="00F718E3" w:rsidP="00F718E3">
      <w:pPr>
        <w:pStyle w:val="Caption"/>
        <w:keepNext/>
      </w:pPr>
      <w:bookmarkStart w:id="1702" w:name="_Ref241405877"/>
      <w:bookmarkStart w:id="1703" w:name="_Toc250654443"/>
      <w:bookmarkStart w:id="1704" w:name="_Toc259717637"/>
      <w:r w:rsidRPr="00066F65">
        <w:t xml:space="preserve">Table </w:t>
      </w:r>
      <w:r w:rsidR="00BD151C">
        <w:fldChar w:fldCharType="begin"/>
      </w:r>
      <w:r w:rsidR="00801316">
        <w:instrText xml:space="preserve"> SEQ Table \* ARABIC </w:instrText>
      </w:r>
      <w:r w:rsidR="00BD151C">
        <w:fldChar w:fldCharType="separate"/>
      </w:r>
      <w:r w:rsidR="003E4210">
        <w:rPr>
          <w:noProof/>
        </w:rPr>
        <w:t>59</w:t>
      </w:r>
      <w:r w:rsidR="00BD151C">
        <w:fldChar w:fldCharType="end"/>
      </w:r>
      <w:bookmarkEnd w:id="1702"/>
      <w:r w:rsidRPr="00066F65">
        <w:t xml:space="preserve"> – Beam refinement packet type following an RXSS</w:t>
      </w:r>
      <w:bookmarkEnd w:id="1703"/>
      <w:bookmarkEnd w:id="170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97"/>
        <w:gridCol w:w="1297"/>
        <w:gridCol w:w="7522"/>
      </w:tblGrid>
      <w:tr w:rsidR="00F718E3" w:rsidRPr="00066F65" w:rsidTr="00D95E1E">
        <w:trPr>
          <w:trHeight w:val="540"/>
        </w:trPr>
        <w:tc>
          <w:tcPr>
            <w:tcW w:w="641" w:type="pct"/>
            <w:shd w:val="clear" w:color="auto" w:fill="auto"/>
            <w:vAlign w:val="bottom"/>
          </w:tcPr>
          <w:p w:rsidR="00F718E3" w:rsidRPr="009448FC" w:rsidRDefault="00F718E3" w:rsidP="00D95E1E">
            <w:pPr>
              <w:jc w:val="center"/>
              <w:rPr>
                <w:rFonts w:ascii="Arial" w:eastAsia="MS Mincho" w:hAnsi="Arial"/>
                <w:b/>
                <w:sz w:val="20"/>
              </w:rPr>
            </w:pPr>
            <w:r w:rsidRPr="009448FC">
              <w:rPr>
                <w:rFonts w:ascii="Arial" w:eastAsia="MS Mincho" w:hAnsi="Arial"/>
                <w:b/>
                <w:sz w:val="20"/>
              </w:rPr>
              <w:t>Initiator</w:t>
            </w:r>
            <w:r w:rsidRPr="009448FC">
              <w:rPr>
                <w:rFonts w:ascii="Arial" w:eastAsia="MS Mincho" w:hAnsi="Arial"/>
                <w:b/>
                <w:sz w:val="20"/>
              </w:rPr>
              <w:br/>
              <w:t xml:space="preserve"> L-RX</w:t>
            </w:r>
          </w:p>
        </w:tc>
        <w:tc>
          <w:tcPr>
            <w:tcW w:w="641" w:type="pct"/>
            <w:shd w:val="clear" w:color="auto" w:fill="auto"/>
            <w:vAlign w:val="bottom"/>
          </w:tcPr>
          <w:p w:rsidR="00F718E3" w:rsidRPr="009448FC" w:rsidRDefault="00F718E3" w:rsidP="003319B9">
            <w:pPr>
              <w:jc w:val="center"/>
              <w:rPr>
                <w:rFonts w:ascii="Arial" w:eastAsia="MS Mincho" w:hAnsi="Arial"/>
                <w:b/>
                <w:sz w:val="20"/>
              </w:rPr>
            </w:pPr>
            <w:r w:rsidRPr="009448FC">
              <w:rPr>
                <w:rFonts w:ascii="Arial" w:eastAsia="MS Mincho" w:hAnsi="Arial"/>
                <w:b/>
                <w:sz w:val="20"/>
              </w:rPr>
              <w:t>Initiator</w:t>
            </w:r>
            <w:r w:rsidRPr="009448FC">
              <w:rPr>
                <w:rFonts w:ascii="Arial" w:eastAsia="MS Mincho" w:hAnsi="Arial"/>
                <w:b/>
                <w:sz w:val="20"/>
              </w:rPr>
              <w:br/>
              <w:t xml:space="preserve"> </w:t>
            </w:r>
            <w:r w:rsidR="003319B9">
              <w:rPr>
                <w:rFonts w:ascii="Arial" w:eastAsia="MS Mincho" w:hAnsi="Arial"/>
                <w:b/>
                <w:sz w:val="20"/>
              </w:rPr>
              <w:t>TX-TRN-REQ</w:t>
            </w:r>
          </w:p>
        </w:tc>
        <w:tc>
          <w:tcPr>
            <w:tcW w:w="3718" w:type="pct"/>
            <w:shd w:val="clear" w:color="auto" w:fill="auto"/>
            <w:noWrap/>
            <w:vAlign w:val="bottom"/>
          </w:tcPr>
          <w:p w:rsidR="00F718E3" w:rsidRPr="009448FC" w:rsidRDefault="00F718E3" w:rsidP="00D95E1E">
            <w:pPr>
              <w:jc w:val="center"/>
              <w:rPr>
                <w:rFonts w:ascii="Arial" w:eastAsia="MS Mincho" w:hAnsi="Arial"/>
                <w:b/>
                <w:sz w:val="20"/>
              </w:rPr>
            </w:pPr>
            <w:r w:rsidRPr="009448FC">
              <w:rPr>
                <w:rFonts w:ascii="Arial" w:eastAsia="MS Mincho" w:hAnsi="Arial"/>
                <w:b/>
                <w:sz w:val="20"/>
              </w:rPr>
              <w:t>First Beam Refinement packet</w:t>
            </w:r>
          </w:p>
        </w:tc>
      </w:tr>
      <w:tr w:rsidR="00F718E3" w:rsidRPr="00066F65" w:rsidTr="00D95E1E">
        <w:trPr>
          <w:trHeight w:val="270"/>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BRP-TX packet from the initiator, L-RX&gt;0</w:t>
            </w:r>
          </w:p>
        </w:tc>
      </w:tr>
      <w:tr w:rsidR="00F718E3" w:rsidRPr="00066F65" w:rsidTr="00D95E1E">
        <w:trPr>
          <w:trHeight w:val="255"/>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beam refinement frame from the initiator with L-RX&gt;0</w:t>
            </w:r>
          </w:p>
        </w:tc>
      </w:tr>
      <w:tr w:rsidR="00F718E3" w:rsidRPr="00066F65" w:rsidTr="00D95E1E">
        <w:trPr>
          <w:trHeight w:val="255"/>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BRP-TX packet from the initiator, L-RX=0</w:t>
            </w:r>
          </w:p>
        </w:tc>
      </w:tr>
      <w:tr w:rsidR="00F718E3" w:rsidRPr="00066F65" w:rsidTr="00D95E1E">
        <w:trPr>
          <w:trHeight w:val="270"/>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Beam refinement is not initiated</w:t>
            </w:r>
          </w:p>
        </w:tc>
      </w:tr>
    </w:tbl>
    <w:p w:rsidR="00117C6B" w:rsidRDefault="00117C6B" w:rsidP="00F718E3"/>
    <w:p w:rsidR="00117C6B" w:rsidRDefault="00117C6B">
      <w:r>
        <w:br w:type="page"/>
      </w:r>
    </w:p>
    <w:p w:rsidR="00F718E3" w:rsidRPr="009448FC" w:rsidRDefault="00F718E3" w:rsidP="00F718E3"/>
    <w:p w:rsidR="00F718E3" w:rsidRPr="009448FC" w:rsidRDefault="003660C2" w:rsidP="003701DB">
      <w:pPr>
        <w:pStyle w:val="Heading5"/>
        <w:numPr>
          <w:ilvl w:val="4"/>
          <w:numId w:val="171"/>
        </w:numPr>
      </w:pPr>
      <w:bookmarkStart w:id="1705" w:name="_Toc241556205"/>
      <w:r>
        <w:t xml:space="preserve"> </w:t>
      </w:r>
      <w:bookmarkStart w:id="1706" w:name="_Toc259717165"/>
      <w:r w:rsidR="00F718E3" w:rsidRPr="009448FC">
        <w:t xml:space="preserve">Antenna </w:t>
      </w:r>
      <w:r w:rsidR="000A5ED3">
        <w:t>c</w:t>
      </w:r>
      <w:r w:rsidR="00F718E3" w:rsidRPr="009448FC">
        <w:t xml:space="preserve">onfiguration </w:t>
      </w:r>
      <w:r w:rsidR="000A5ED3">
        <w:t>s</w:t>
      </w:r>
      <w:r w:rsidR="00F718E3" w:rsidRPr="009448FC">
        <w:t xml:space="preserve">etting during a </w:t>
      </w:r>
      <w:r w:rsidR="000A5ED3">
        <w:t>b</w:t>
      </w:r>
      <w:r w:rsidR="00F718E3" w:rsidRPr="009448FC">
        <w:t xml:space="preserve">eam </w:t>
      </w:r>
      <w:r w:rsidR="000A5ED3">
        <w:t>r</w:t>
      </w:r>
      <w:r w:rsidR="00F718E3" w:rsidRPr="009448FC">
        <w:t xml:space="preserve">efinement </w:t>
      </w:r>
      <w:r w:rsidR="000A5ED3">
        <w:t>t</w:t>
      </w:r>
      <w:r w:rsidR="00F718E3" w:rsidRPr="009448FC">
        <w:t>ransaction</w:t>
      </w:r>
      <w:bookmarkEnd w:id="1705"/>
      <w:bookmarkEnd w:id="1706"/>
    </w:p>
    <w:p w:rsidR="00F718E3" w:rsidRPr="009448FC" w:rsidRDefault="00F718E3" w:rsidP="003660C2">
      <w:r w:rsidRPr="009448FC">
        <w:t>A STA that has requested beam refinement receive training shall set its receive antenna configuration to the best known receive antenna configuration based on previous beam refinement receive training or receive sector level training. If the STA has not received a beam refinement receive frame since the last sector level training, and the sector level training did not include a receive sector sweep, it should set its receive antenna configuration to a quasi-omni a</w:t>
      </w:r>
      <w:r w:rsidR="003660C2">
        <w:t xml:space="preserve">ntenna pattern in the antenna </w:t>
      </w:r>
      <w:r w:rsidRPr="009448FC">
        <w:t>through which i</w:t>
      </w:r>
      <w:r w:rsidR="00A94BE8">
        <w:t xml:space="preserve">t </w:t>
      </w:r>
      <w:r w:rsidRPr="009448FC">
        <w:t xml:space="preserve">received the best sector during the sector level training. </w:t>
      </w:r>
    </w:p>
    <w:p w:rsidR="00F718E3" w:rsidRPr="009448FC" w:rsidRDefault="00F718E3" w:rsidP="00F718E3"/>
    <w:p w:rsidR="00F718E3" w:rsidRPr="009448FC" w:rsidRDefault="00F718E3" w:rsidP="00F718E3">
      <w:r w:rsidRPr="009448FC">
        <w:t>A STA that has received a beam refinement transmit training request shall send the response frame and then set its antenna configuration to the best known receive antenna configuration based on previous beam refinement receive training or sector level receive training. If it has not received a beam refinement receive frame since the last sector level training and the sector level training did not include a receive sector sweep it should set its antennas to a quasi-omni antenna pattern.</w:t>
      </w:r>
    </w:p>
    <w:p w:rsidR="00F718E3" w:rsidRPr="009448FC" w:rsidRDefault="00F718E3" w:rsidP="00F718E3">
      <w:r w:rsidRPr="009448FC">
        <w:t xml:space="preserve"> </w:t>
      </w:r>
    </w:p>
    <w:tbl>
      <w:tblPr>
        <w:tblW w:w="0" w:type="auto"/>
        <w:tblLayout w:type="fixed"/>
        <w:tblLook w:val="01E0"/>
      </w:tblPr>
      <w:tblGrid>
        <w:gridCol w:w="4068"/>
        <w:gridCol w:w="6048"/>
      </w:tblGrid>
      <w:tr w:rsidR="00F718E3" w:rsidRPr="00066F65" w:rsidTr="00D95E1E">
        <w:tc>
          <w:tcPr>
            <w:tcW w:w="4068" w:type="dxa"/>
          </w:tcPr>
          <w:p w:rsidR="00F718E3" w:rsidRPr="009448FC" w:rsidRDefault="00F718E3" w:rsidP="00D95E1E">
            <w:r w:rsidRPr="009448FC">
              <w:object w:dxaOrig="5393" w:dyaOrig="5322">
                <v:shape id="_x0000_i1067" type="#_x0000_t75" style="width:233.65pt;height:230.05pt" o:ole="">
                  <v:imagedata r:id="rId179" o:title=""/>
                </v:shape>
                <o:OLEObject Type="Embed" ProgID="Visio.Drawing.11" ShapeID="_x0000_i1067" DrawAspect="Content" ObjectID="_1334048248" r:id="rId180"/>
              </w:object>
            </w:r>
          </w:p>
        </w:tc>
        <w:tc>
          <w:tcPr>
            <w:tcW w:w="6048" w:type="dxa"/>
          </w:tcPr>
          <w:p w:rsidR="00F718E3" w:rsidRPr="009448FC" w:rsidRDefault="00F718E3" w:rsidP="00D95E1E">
            <w:r w:rsidRPr="009448FC">
              <w:object w:dxaOrig="5825" w:dyaOrig="4551">
                <v:shape id="_x0000_i1068" type="#_x0000_t75" style="width:291.6pt;height:227.75pt" o:ole="">
                  <v:imagedata r:id="rId181" o:title=""/>
                </v:shape>
                <o:OLEObject Type="Embed" ProgID="Visio.Drawing.11" ShapeID="_x0000_i1068" DrawAspect="Content" ObjectID="_1334048249" r:id="rId182"/>
              </w:object>
            </w:r>
          </w:p>
        </w:tc>
      </w:tr>
      <w:tr w:rsidR="00F718E3" w:rsidRPr="00066F65" w:rsidTr="00D95E1E">
        <w:tc>
          <w:tcPr>
            <w:tcW w:w="4068" w:type="dxa"/>
          </w:tcPr>
          <w:p w:rsidR="00F718E3" w:rsidRPr="00066F65" w:rsidRDefault="00F718E3" w:rsidP="00D95E1E">
            <w:pPr>
              <w:pStyle w:val="Caption"/>
            </w:pPr>
            <w:bookmarkStart w:id="1707" w:name="_Ref243273580"/>
            <w:bookmarkStart w:id="1708" w:name="_Toc241556966"/>
            <w:bookmarkStart w:id="1709" w:name="_Toc259717539"/>
            <w:r w:rsidRPr="00066F65">
              <w:t xml:space="preserve">Figure </w:t>
            </w:r>
            <w:r w:rsidR="00BD151C">
              <w:fldChar w:fldCharType="begin"/>
            </w:r>
            <w:r w:rsidR="00801316">
              <w:instrText xml:space="preserve"> SEQ Figure \* ARABIC </w:instrText>
            </w:r>
            <w:r w:rsidR="00BD151C">
              <w:fldChar w:fldCharType="separate"/>
            </w:r>
            <w:r w:rsidR="003E4210">
              <w:rPr>
                <w:noProof/>
              </w:rPr>
              <w:t>107</w:t>
            </w:r>
            <w:r w:rsidR="00BD151C">
              <w:fldChar w:fldCharType="end"/>
            </w:r>
            <w:bookmarkEnd w:id="1707"/>
            <w:r w:rsidRPr="00066F65">
              <w:t xml:space="preserve"> – Example beam refinement transaction (receive training)</w:t>
            </w:r>
            <w:bookmarkEnd w:id="1708"/>
            <w:bookmarkEnd w:id="1709"/>
          </w:p>
        </w:tc>
        <w:tc>
          <w:tcPr>
            <w:tcW w:w="6048" w:type="dxa"/>
          </w:tcPr>
          <w:p w:rsidR="00F718E3" w:rsidRPr="00066F65" w:rsidRDefault="00F718E3" w:rsidP="00D95E1E">
            <w:pPr>
              <w:pStyle w:val="Caption"/>
            </w:pPr>
            <w:bookmarkStart w:id="1710" w:name="_Ref243273582"/>
            <w:bookmarkStart w:id="1711" w:name="_Toc241556967"/>
            <w:bookmarkStart w:id="1712" w:name="_Toc259717540"/>
            <w:r w:rsidRPr="00066F65">
              <w:t xml:space="preserve">Figure </w:t>
            </w:r>
            <w:r w:rsidR="00BD151C">
              <w:fldChar w:fldCharType="begin"/>
            </w:r>
            <w:r w:rsidR="00801316">
              <w:instrText xml:space="preserve"> SEQ Figure \* ARABIC </w:instrText>
            </w:r>
            <w:r w:rsidR="00BD151C">
              <w:fldChar w:fldCharType="separate"/>
            </w:r>
            <w:r w:rsidR="003E4210">
              <w:rPr>
                <w:noProof/>
              </w:rPr>
              <w:t>108</w:t>
            </w:r>
            <w:r w:rsidR="00BD151C">
              <w:fldChar w:fldCharType="end"/>
            </w:r>
            <w:bookmarkEnd w:id="1710"/>
            <w:r w:rsidRPr="00066F65">
              <w:t xml:space="preserve"> – Example beam refinement transaction (transmit training)</w:t>
            </w:r>
            <w:bookmarkEnd w:id="1711"/>
            <w:bookmarkEnd w:id="1712"/>
          </w:p>
        </w:tc>
      </w:tr>
    </w:tbl>
    <w:p w:rsidR="00F718E3" w:rsidRPr="009448FC" w:rsidRDefault="00F718E3" w:rsidP="00F718E3"/>
    <w:p w:rsidR="00F718E3" w:rsidRPr="009448FC" w:rsidRDefault="00F718E3" w:rsidP="00F718E3">
      <w:pPr>
        <w:keepNext/>
        <w:jc w:val="center"/>
      </w:pPr>
      <w:r w:rsidRPr="009448FC">
        <w:object w:dxaOrig="11441" w:dyaOrig="5128">
          <v:shape id="_x0000_i1069" type="#_x0000_t75" style="width:493.6pt;height:224.6pt" o:ole="">
            <v:imagedata r:id="rId183" o:title=""/>
          </v:shape>
          <o:OLEObject Type="Embed" ProgID="Visio.Drawing.11" ShapeID="_x0000_i1069" DrawAspect="Content" ObjectID="_1334048250" r:id="rId184"/>
        </w:object>
      </w:r>
    </w:p>
    <w:p w:rsidR="00F718E3" w:rsidRPr="009448FC" w:rsidRDefault="00F718E3" w:rsidP="00F718E3">
      <w:pPr>
        <w:keepNext/>
        <w:jc w:val="center"/>
      </w:pPr>
    </w:p>
    <w:p w:rsidR="00F718E3" w:rsidRPr="00066F65" w:rsidRDefault="00F718E3" w:rsidP="00F718E3">
      <w:pPr>
        <w:pStyle w:val="Caption"/>
      </w:pPr>
      <w:bookmarkStart w:id="1713" w:name="_Ref243273586"/>
      <w:bookmarkStart w:id="1714" w:name="_Toc241556968"/>
      <w:bookmarkStart w:id="1715" w:name="_Toc259717541"/>
      <w:r w:rsidRPr="00066F65">
        <w:t xml:space="preserve">Figure </w:t>
      </w:r>
      <w:r w:rsidR="00BD151C">
        <w:fldChar w:fldCharType="begin"/>
      </w:r>
      <w:r w:rsidR="00801316">
        <w:instrText xml:space="preserve"> SEQ Figure \* ARABIC </w:instrText>
      </w:r>
      <w:r w:rsidR="00BD151C">
        <w:fldChar w:fldCharType="separate"/>
      </w:r>
      <w:r w:rsidR="003E4210">
        <w:rPr>
          <w:noProof/>
        </w:rPr>
        <w:t>109</w:t>
      </w:r>
      <w:r w:rsidR="00BD151C">
        <w:fldChar w:fldCharType="end"/>
      </w:r>
      <w:bookmarkEnd w:id="1713"/>
      <w:r w:rsidRPr="00066F65">
        <w:t xml:space="preserve"> – Example beam refinement transaction (combination of receive and transmit training)</w:t>
      </w:r>
      <w:bookmarkEnd w:id="1714"/>
      <w:bookmarkEnd w:id="1715"/>
    </w:p>
    <w:p w:rsidR="00F718E3" w:rsidRPr="009448FC" w:rsidRDefault="00F718E3" w:rsidP="003473F1"/>
    <w:p w:rsidR="00022C45" w:rsidRPr="009448FC" w:rsidRDefault="00022C45" w:rsidP="003701DB">
      <w:pPr>
        <w:pStyle w:val="Heading3"/>
        <w:numPr>
          <w:ilvl w:val="2"/>
          <w:numId w:val="188"/>
        </w:numPr>
      </w:pPr>
      <w:bookmarkStart w:id="1716" w:name="_Toc241556206"/>
      <w:bookmarkStart w:id="1717" w:name="_Ref244130775"/>
      <w:bookmarkStart w:id="1718" w:name="_Ref251767219"/>
      <w:bookmarkStart w:id="1719" w:name="_Toc259717166"/>
      <w:r w:rsidRPr="009448FC">
        <w:t>Beam tracking</w:t>
      </w:r>
      <w:bookmarkEnd w:id="1716"/>
      <w:bookmarkEnd w:id="1717"/>
      <w:bookmarkEnd w:id="1718"/>
      <w:bookmarkEnd w:id="1719"/>
    </w:p>
    <w:p w:rsidR="00022C45" w:rsidRPr="009448FC" w:rsidRDefault="00022C45" w:rsidP="00C0418F">
      <w:r w:rsidRPr="009448FC">
        <w:t>A STA (beam tracking initiator) may request a peer STA (beam tracking responder) to perform be</w:t>
      </w:r>
      <w:r w:rsidR="00C0418F">
        <w:t>am tracking by setting the Beam Tracking R</w:t>
      </w:r>
      <w:r w:rsidRPr="009448FC">
        <w:t>eq</w:t>
      </w:r>
      <w:r w:rsidR="00C0418F">
        <w:t>uest</w:t>
      </w:r>
      <w:r w:rsidRPr="009448FC">
        <w:t xml:space="preserve"> field to one in the PLCP header</w:t>
      </w:r>
      <w:r w:rsidR="002E1EDF" w:rsidRPr="009448FC">
        <w:t xml:space="preserve"> of a transmitted packet</w:t>
      </w:r>
      <w:r w:rsidRPr="009448FC">
        <w:t xml:space="preserve">. Otherwise, the </w:t>
      </w:r>
      <w:r w:rsidR="007B7D66">
        <w:t>Beam Tracking R</w:t>
      </w:r>
      <w:r w:rsidR="007B7D66" w:rsidRPr="009448FC">
        <w:t>eq</w:t>
      </w:r>
      <w:r w:rsidR="007B7D66">
        <w:t>uest</w:t>
      </w:r>
      <w:r w:rsidRPr="009448FC">
        <w:t xml:space="preserve"> field shall be set to zero. The beam tracking initiator shall also include a beam refinement frame as part of the transmitted packet.</w:t>
      </w:r>
    </w:p>
    <w:p w:rsidR="00022C45" w:rsidRPr="009448FC" w:rsidRDefault="00022C45" w:rsidP="00022C45"/>
    <w:p w:rsidR="00022C45" w:rsidRPr="009448FC" w:rsidRDefault="00022C45" w:rsidP="00022C45">
      <w:r w:rsidRPr="009448FC">
        <w:t>A beam tracking initiator requesting receive beam tracking shall set the L-RX field of the beam refinement frame to the number of training fields it needs from the beam tracking responder.</w:t>
      </w:r>
    </w:p>
    <w:p w:rsidR="00022C45" w:rsidRPr="009448FC" w:rsidRDefault="00022C45" w:rsidP="00022C45"/>
    <w:p w:rsidR="00022C45" w:rsidRPr="009448FC" w:rsidRDefault="00022C45" w:rsidP="00833604">
      <w:r w:rsidRPr="009448FC">
        <w:t xml:space="preserve">A beam tracking responder </w:t>
      </w:r>
      <w:r w:rsidR="00C0418F">
        <w:t>that receives a frame with the Beam T</w:t>
      </w:r>
      <w:r w:rsidRPr="009448FC">
        <w:t xml:space="preserve">racking </w:t>
      </w:r>
      <w:r w:rsidR="00C0418F">
        <w:t xml:space="preserve">Request </w:t>
      </w:r>
      <w:r w:rsidRPr="009448FC">
        <w:t xml:space="preserve">field set to one shall follow the rules described in </w:t>
      </w:r>
      <w:r w:rsidR="00BD151C" w:rsidRPr="009448FC">
        <w:fldChar w:fldCharType="begin"/>
      </w:r>
      <w:r w:rsidR="00833604" w:rsidRPr="009448FC">
        <w:instrText xml:space="preserve"> REF _Ref204497823 \n \h </w:instrText>
      </w:r>
      <w:r w:rsidR="00BD151C" w:rsidRPr="009448FC">
        <w:fldChar w:fldCharType="separate"/>
      </w:r>
      <w:r w:rsidR="003E4210">
        <w:t>21.8.2.2</w:t>
      </w:r>
      <w:r w:rsidR="00BD151C" w:rsidRPr="009448FC">
        <w:fldChar w:fldCharType="end"/>
      </w:r>
      <w:r w:rsidR="00833604" w:rsidRPr="009448FC">
        <w:t xml:space="preserve"> </w:t>
      </w:r>
      <w:r w:rsidRPr="009448FC">
        <w:t>and shall include a beam refinement frame with the Rx-Train-Resp set to one, and beam refinement AGC field and TRN-R fields appended to the following packet transmitted to the initiator. The number of TRN-R subfields appended to the following packet may be lower than the value of the L-RX field specified</w:t>
      </w:r>
      <w:r w:rsidR="00170AA8" w:rsidRPr="009448FC">
        <w:t xml:space="preserve"> in the beam refinement frame. </w:t>
      </w:r>
      <w:r w:rsidRPr="009448FC">
        <w:t xml:space="preserve">If the beam tracking initiator desires further beam tracking training, it may append a beam refinement packet with a new value of L-RX to the next packet addressed to the beam tracking responder and set the </w:t>
      </w:r>
      <w:r w:rsidR="007B7D66">
        <w:t>Beam Tracking R</w:t>
      </w:r>
      <w:r w:rsidR="007B7D66" w:rsidRPr="009448FC">
        <w:t>eq</w:t>
      </w:r>
      <w:r w:rsidR="007B7D66">
        <w:t>uest</w:t>
      </w:r>
      <w:r w:rsidRPr="009448FC">
        <w:t xml:space="preserve"> within the PLCP header to one.</w:t>
      </w:r>
      <w:r w:rsidR="00281486" w:rsidRPr="009448FC">
        <w:t xml:space="preserve"> </w:t>
      </w:r>
    </w:p>
    <w:p w:rsidR="00022C45" w:rsidRPr="009448FC" w:rsidRDefault="00022C45" w:rsidP="00022C45"/>
    <w:p w:rsidR="00022C45" w:rsidRPr="009448FC" w:rsidRDefault="00022C45" w:rsidP="00C0418F">
      <w:r w:rsidRPr="009448FC">
        <w:t xml:space="preserve">A beam tracking initiator requesting transmit beam tracking shall set the </w:t>
      </w:r>
      <w:r w:rsidR="00C0418F">
        <w:t>B</w:t>
      </w:r>
      <w:r w:rsidRPr="009448FC">
        <w:t>eam</w:t>
      </w:r>
      <w:r w:rsidR="00C0418F">
        <w:t xml:space="preserve"> Tracking R</w:t>
      </w:r>
      <w:r w:rsidRPr="009448FC">
        <w:t>eq</w:t>
      </w:r>
      <w:r w:rsidR="00C0418F">
        <w:t>uest</w:t>
      </w:r>
      <w:r w:rsidR="005515A4">
        <w:t xml:space="preserve"> </w:t>
      </w:r>
      <w:r w:rsidRPr="009448FC">
        <w:t>field in the PLCP header to one and append an AGC field an</w:t>
      </w:r>
      <w:r w:rsidR="00170AA8" w:rsidRPr="009448FC">
        <w:t xml:space="preserve">d a TRN-T field to the packet. </w:t>
      </w:r>
      <w:r w:rsidRPr="009448FC">
        <w:t>It shall also include a beam refinement frame in the packet, with the TX-TRN-REQ set to 1 and the FBCK-REQ type set to the desired feedback.</w:t>
      </w:r>
      <w:r w:rsidR="00281486" w:rsidRPr="009448FC">
        <w:t xml:space="preserve"> </w:t>
      </w:r>
      <w:r w:rsidRPr="009448FC">
        <w:t>The beam tracking responder shall append a beam refinement frame with the TX-TRN-Resp set to 1, and a measurement feedback</w:t>
      </w:r>
      <w:r w:rsidR="00170AA8" w:rsidRPr="009448FC">
        <w:t xml:space="preserve"> as specified in the FBCK-REQ. </w:t>
      </w:r>
      <w:r w:rsidRPr="009448FC">
        <w:t>If the beam tracking responder is not ready with the FBCK in the immediately following packet, it shall continue including beam refinement frames in the packet it transmits with the TX-TRN-Resp set to 1 and FBCK-TYPE set to 0 until it is ready with the feedback.</w:t>
      </w:r>
    </w:p>
    <w:p w:rsidR="00022C45" w:rsidRPr="009448FC" w:rsidRDefault="00022C45" w:rsidP="00022C45"/>
    <w:p w:rsidR="00022C45" w:rsidRPr="009448FC" w:rsidRDefault="00022C45" w:rsidP="00E642E2">
      <w:r w:rsidRPr="009448FC">
        <w:t>The beam tracking initiator shall provide feedback to the beam tracking responder by transmitting a beam refinement frame to the beam tracking responder. The beam refinement frame may be aggregated with other MPDUs sent to the beam tracking responder. When aggregating a beam refinement frame with a Ack MPDU or a BlockAck MPDU, the beam refinement frame shall be considered as a Action No Ack frame.</w:t>
      </w:r>
      <w:r w:rsidR="00AC298F" w:rsidRPr="009448FC">
        <w:t xml:space="preserve"> </w:t>
      </w:r>
      <w:r w:rsidR="00BD151C" w:rsidRPr="009448FC">
        <w:fldChar w:fldCharType="begin"/>
      </w:r>
      <w:r w:rsidR="00AC298F" w:rsidRPr="009448FC">
        <w:instrText xml:space="preserve"> REF _Ref243453826 \h </w:instrText>
      </w:r>
      <w:r w:rsidR="00BD151C" w:rsidRPr="009448FC">
        <w:fldChar w:fldCharType="separate"/>
      </w:r>
      <w:r w:rsidR="003E4210" w:rsidRPr="00066F65">
        <w:t xml:space="preserve">Figure </w:t>
      </w:r>
      <w:r w:rsidR="003E4210">
        <w:rPr>
          <w:noProof/>
        </w:rPr>
        <w:t>110</w:t>
      </w:r>
      <w:r w:rsidR="00BD151C" w:rsidRPr="009448FC">
        <w:fldChar w:fldCharType="end"/>
      </w:r>
      <w:r w:rsidR="00AC298F" w:rsidRPr="009448FC">
        <w:t xml:space="preserve"> </w:t>
      </w:r>
      <w:r w:rsidR="00E642E2" w:rsidRPr="009448FC">
        <w:t>illustrates a beam tracking frame exchange sequence.</w:t>
      </w:r>
    </w:p>
    <w:p w:rsidR="00022C45" w:rsidRPr="009448FC" w:rsidRDefault="00022C45" w:rsidP="00022C45"/>
    <w:p w:rsidR="00022C45" w:rsidRPr="009448FC" w:rsidRDefault="00022C45" w:rsidP="00022C45">
      <w:pPr>
        <w:keepNext/>
        <w:jc w:val="center"/>
      </w:pPr>
      <w:r w:rsidRPr="009448FC">
        <w:object w:dxaOrig="11559" w:dyaOrig="4085">
          <v:shape id="_x0000_i1070" type="#_x0000_t75" style="width:494.95pt;height:172.1pt" o:ole="">
            <v:imagedata r:id="rId185" o:title=""/>
          </v:shape>
          <o:OLEObject Type="Embed" ProgID="Visio.Drawing.11" ShapeID="_x0000_i1070" DrawAspect="Content" ObjectID="_1334048251" r:id="rId186"/>
        </w:object>
      </w:r>
    </w:p>
    <w:p w:rsidR="00022C45" w:rsidRPr="00066F65" w:rsidRDefault="00022C45" w:rsidP="00BA5BC4">
      <w:pPr>
        <w:pStyle w:val="Caption"/>
      </w:pPr>
      <w:bookmarkStart w:id="1720" w:name="_Ref243453826"/>
      <w:bookmarkStart w:id="1721" w:name="_Toc241556969"/>
      <w:bookmarkStart w:id="1722" w:name="_Toc259717542"/>
      <w:r w:rsidRPr="00066F65">
        <w:t xml:space="preserve">Figure </w:t>
      </w:r>
      <w:r w:rsidR="00BD151C">
        <w:fldChar w:fldCharType="begin"/>
      </w:r>
      <w:r w:rsidR="00801316">
        <w:instrText xml:space="preserve"> SEQ Figure \* ARABIC </w:instrText>
      </w:r>
      <w:r w:rsidR="00BD151C">
        <w:fldChar w:fldCharType="separate"/>
      </w:r>
      <w:r w:rsidR="003E4210">
        <w:rPr>
          <w:noProof/>
        </w:rPr>
        <w:t>110</w:t>
      </w:r>
      <w:r w:rsidR="00BD151C">
        <w:fldChar w:fldCharType="end"/>
      </w:r>
      <w:bookmarkEnd w:id="1720"/>
      <w:r w:rsidRPr="00066F65">
        <w:t xml:space="preserve"> – </w:t>
      </w:r>
      <w:r w:rsidR="00183618">
        <w:t>Example of a b</w:t>
      </w:r>
      <w:r w:rsidRPr="00066F65">
        <w:t>eam tracking procedure</w:t>
      </w:r>
      <w:bookmarkEnd w:id="1721"/>
      <w:bookmarkEnd w:id="1722"/>
    </w:p>
    <w:p w:rsidR="000E7E88" w:rsidRPr="009448FC" w:rsidRDefault="000E7E88" w:rsidP="000E7E88"/>
    <w:p w:rsidR="000E7E88" w:rsidRPr="009448FC" w:rsidRDefault="000E7E88" w:rsidP="003701DB">
      <w:pPr>
        <w:pStyle w:val="Heading3"/>
        <w:numPr>
          <w:ilvl w:val="2"/>
          <w:numId w:val="188"/>
        </w:numPr>
      </w:pPr>
      <w:bookmarkStart w:id="1723" w:name="_Toc235400354"/>
      <w:bookmarkStart w:id="1724" w:name="_Toc259717167"/>
      <w:r w:rsidRPr="009448FC">
        <w:t xml:space="preserve">State </w:t>
      </w:r>
      <w:r w:rsidR="000A5ED3">
        <w:t>m</w:t>
      </w:r>
      <w:r w:rsidRPr="009448FC">
        <w:t>achines (</w:t>
      </w:r>
      <w:r w:rsidR="000A5ED3">
        <w:t>i</w:t>
      </w:r>
      <w:r w:rsidRPr="009448FC">
        <w:t>nformative)</w:t>
      </w:r>
      <w:bookmarkEnd w:id="1723"/>
      <w:bookmarkEnd w:id="1724"/>
    </w:p>
    <w:p w:rsidR="000E7E88" w:rsidRPr="009448FC" w:rsidRDefault="00BD151C" w:rsidP="00FC4597">
      <w:r w:rsidRPr="009448FC">
        <w:fldChar w:fldCharType="begin"/>
      </w:r>
      <w:r w:rsidR="00013E97" w:rsidRPr="009448FC">
        <w:instrText xml:space="preserve"> REF _Ref236555632 \h </w:instrText>
      </w:r>
      <w:r w:rsidRPr="009448FC">
        <w:fldChar w:fldCharType="separate"/>
      </w:r>
      <w:r w:rsidR="003E4210" w:rsidRPr="00066F65">
        <w:t xml:space="preserve">Figure </w:t>
      </w:r>
      <w:r w:rsidR="003E4210">
        <w:rPr>
          <w:noProof/>
        </w:rPr>
        <w:t>111</w:t>
      </w:r>
      <w:r w:rsidRPr="009448FC">
        <w:fldChar w:fldCharType="end"/>
      </w:r>
      <w:r w:rsidR="000E7E88" w:rsidRPr="009448FC">
        <w:t xml:space="preserve"> depicts the state machine of the TXSS phase for the initiator and </w:t>
      </w:r>
      <w:r w:rsidRPr="009448FC">
        <w:fldChar w:fldCharType="begin"/>
      </w:r>
      <w:r w:rsidR="00013E97" w:rsidRPr="009448FC">
        <w:instrText xml:space="preserve"> REF _Ref236555652 \h </w:instrText>
      </w:r>
      <w:r w:rsidRPr="009448FC">
        <w:fldChar w:fldCharType="separate"/>
      </w:r>
      <w:r w:rsidR="003E4210" w:rsidRPr="00066F65">
        <w:t xml:space="preserve">Figure </w:t>
      </w:r>
      <w:r w:rsidR="003E4210">
        <w:rPr>
          <w:noProof/>
        </w:rPr>
        <w:t>112</w:t>
      </w:r>
      <w:r w:rsidRPr="009448FC">
        <w:fldChar w:fldCharType="end"/>
      </w:r>
      <w:r w:rsidR="000E7E88" w:rsidRPr="009448FC">
        <w:t xml:space="preserve"> illustrates the state machine of the TXSS phase for the responder. These state machines describe the behavior of the initiator and responder during BF and are applicable for any period of the BI where BF is performed. </w:t>
      </w:r>
    </w:p>
    <w:p w:rsidR="000E7E88" w:rsidRPr="009448FC" w:rsidRDefault="000E7E88" w:rsidP="000E7E88"/>
    <w:p w:rsidR="000E7E88" w:rsidRPr="009448FC" w:rsidRDefault="0080569E" w:rsidP="000E7E88">
      <w:pPr>
        <w:jc w:val="center"/>
      </w:pPr>
      <w:r w:rsidRPr="009448FC">
        <w:object w:dxaOrig="7720" w:dyaOrig="5884">
          <v:shape id="_x0000_i1071" type="#_x0000_t75" style="width:385.8pt;height:295.25pt" o:ole="">
            <v:imagedata r:id="rId187" o:title=""/>
          </v:shape>
          <o:OLEObject Type="Embed" ProgID="Visio.Drawing.11" ShapeID="_x0000_i1071" DrawAspect="Content" ObjectID="_1334048252" r:id="rId188"/>
        </w:object>
      </w:r>
    </w:p>
    <w:p w:rsidR="000E7E88" w:rsidRPr="00066F65" w:rsidRDefault="00720AA9" w:rsidP="00BA5BC4">
      <w:pPr>
        <w:pStyle w:val="Caption"/>
      </w:pPr>
      <w:bookmarkStart w:id="1725" w:name="_Ref236555632"/>
      <w:bookmarkStart w:id="1726" w:name="_Toc259717543"/>
      <w:r w:rsidRPr="00066F65">
        <w:t xml:space="preserve">Figure </w:t>
      </w:r>
      <w:r w:rsidR="00BD151C">
        <w:fldChar w:fldCharType="begin"/>
      </w:r>
      <w:r w:rsidR="00801316">
        <w:instrText xml:space="preserve"> SEQ Figure \* ARABIC </w:instrText>
      </w:r>
      <w:r w:rsidR="00BD151C">
        <w:fldChar w:fldCharType="separate"/>
      </w:r>
      <w:r w:rsidR="003E4210">
        <w:rPr>
          <w:noProof/>
        </w:rPr>
        <w:t>111</w:t>
      </w:r>
      <w:r w:rsidR="00BD151C">
        <w:fldChar w:fldCharType="end"/>
      </w:r>
      <w:bookmarkEnd w:id="1725"/>
      <w:r w:rsidR="0007143E" w:rsidRPr="00066F65">
        <w:t xml:space="preserve"> </w:t>
      </w:r>
      <w:r w:rsidR="000E7E88" w:rsidRPr="00066F65">
        <w:t>– TXSS phase state machine (initiator)</w:t>
      </w:r>
      <w:bookmarkEnd w:id="1726"/>
    </w:p>
    <w:p w:rsidR="000E7E88" w:rsidRPr="009448FC" w:rsidRDefault="000E7E88" w:rsidP="000E7E88"/>
    <w:p w:rsidR="000E7E88" w:rsidRPr="009448FC" w:rsidRDefault="0080569E" w:rsidP="000E7E88">
      <w:pPr>
        <w:jc w:val="center"/>
      </w:pPr>
      <w:r w:rsidRPr="009448FC">
        <w:object w:dxaOrig="7305" w:dyaOrig="6246">
          <v:shape id="_x0000_i1072" type="#_x0000_t75" style="width:365.9pt;height:313.8pt" o:ole="">
            <v:imagedata r:id="rId189" o:title=""/>
          </v:shape>
          <o:OLEObject Type="Embed" ProgID="Visio.Drawing.11" ShapeID="_x0000_i1072" DrawAspect="Content" ObjectID="_1334048253" r:id="rId190"/>
        </w:object>
      </w:r>
    </w:p>
    <w:p w:rsidR="000E7E88" w:rsidRPr="00066F65" w:rsidRDefault="00720AA9" w:rsidP="00BA5BC4">
      <w:pPr>
        <w:pStyle w:val="Caption"/>
      </w:pPr>
      <w:bookmarkStart w:id="1727" w:name="_Ref236555652"/>
      <w:bookmarkStart w:id="1728" w:name="_Toc259717544"/>
      <w:r w:rsidRPr="00066F65">
        <w:t xml:space="preserve">Figure </w:t>
      </w:r>
      <w:r w:rsidR="00BD151C">
        <w:fldChar w:fldCharType="begin"/>
      </w:r>
      <w:r w:rsidR="00801316">
        <w:instrText xml:space="preserve"> SEQ Figure \* ARABIC </w:instrText>
      </w:r>
      <w:r w:rsidR="00BD151C">
        <w:fldChar w:fldCharType="separate"/>
      </w:r>
      <w:r w:rsidR="003E4210">
        <w:rPr>
          <w:noProof/>
        </w:rPr>
        <w:t>112</w:t>
      </w:r>
      <w:r w:rsidR="00BD151C">
        <w:fldChar w:fldCharType="end"/>
      </w:r>
      <w:bookmarkEnd w:id="1727"/>
      <w:r w:rsidR="000E7E88" w:rsidRPr="00066F65">
        <w:t xml:space="preserve"> – TXSS phase state machine (responder)</w:t>
      </w:r>
      <w:bookmarkEnd w:id="1728"/>
    </w:p>
    <w:p w:rsidR="005902DA" w:rsidRPr="009448FC" w:rsidRDefault="005902DA" w:rsidP="00FD72A7">
      <w:bookmarkStart w:id="1729" w:name="_Toc235390697"/>
      <w:bookmarkStart w:id="1730" w:name="_Toc235392896"/>
      <w:bookmarkStart w:id="1731" w:name="_Toc235394108"/>
      <w:bookmarkStart w:id="1732" w:name="_Toc235400355"/>
      <w:bookmarkStart w:id="1733" w:name="_Toc236396768"/>
      <w:bookmarkStart w:id="1734" w:name="_Toc235390698"/>
      <w:bookmarkStart w:id="1735" w:name="_Toc235392897"/>
      <w:bookmarkStart w:id="1736" w:name="_Toc235394109"/>
      <w:bookmarkStart w:id="1737" w:name="_Toc235400356"/>
      <w:bookmarkStart w:id="1738" w:name="_Toc236396769"/>
      <w:bookmarkStart w:id="1739" w:name="_Toc235390700"/>
      <w:bookmarkStart w:id="1740" w:name="_Toc235392899"/>
      <w:bookmarkStart w:id="1741" w:name="_Toc235394111"/>
      <w:bookmarkStart w:id="1742" w:name="_Toc235400358"/>
      <w:bookmarkStart w:id="1743" w:name="_Toc236396771"/>
      <w:bookmarkStart w:id="1744" w:name="_Toc235390703"/>
      <w:bookmarkStart w:id="1745" w:name="_Toc235392902"/>
      <w:bookmarkStart w:id="1746" w:name="_Toc235394114"/>
      <w:bookmarkStart w:id="1747" w:name="_Toc235400361"/>
      <w:bookmarkStart w:id="1748" w:name="_Toc236396774"/>
      <w:bookmarkStart w:id="1749" w:name="_Toc235390705"/>
      <w:bookmarkStart w:id="1750" w:name="_Toc235392904"/>
      <w:bookmarkStart w:id="1751" w:name="_Toc235394116"/>
      <w:bookmarkStart w:id="1752" w:name="_Toc235400363"/>
      <w:bookmarkStart w:id="1753" w:name="_Toc236396776"/>
      <w:bookmarkStart w:id="1754" w:name="_Toc235390707"/>
      <w:bookmarkStart w:id="1755" w:name="_Toc235392906"/>
      <w:bookmarkStart w:id="1756" w:name="_Toc235394118"/>
      <w:bookmarkStart w:id="1757" w:name="_Toc235400365"/>
      <w:bookmarkStart w:id="1758" w:name="_Toc236396778"/>
      <w:bookmarkStart w:id="1759" w:name="_Toc235390708"/>
      <w:bookmarkStart w:id="1760" w:name="_Toc235392907"/>
      <w:bookmarkStart w:id="1761" w:name="_Toc235394119"/>
      <w:bookmarkStart w:id="1762" w:name="_Toc235400366"/>
      <w:bookmarkStart w:id="1763" w:name="_Toc236396779"/>
      <w:bookmarkStart w:id="1764" w:name="_Toc235390709"/>
      <w:bookmarkStart w:id="1765" w:name="_Toc235392908"/>
      <w:bookmarkStart w:id="1766" w:name="_Toc235394120"/>
      <w:bookmarkStart w:id="1767" w:name="_Toc235400367"/>
      <w:bookmarkStart w:id="1768" w:name="_Toc236396780"/>
      <w:bookmarkStart w:id="1769" w:name="_Toc235390710"/>
      <w:bookmarkStart w:id="1770" w:name="_Toc235392909"/>
      <w:bookmarkStart w:id="1771" w:name="_Toc235394121"/>
      <w:bookmarkStart w:id="1772" w:name="_Toc235400368"/>
      <w:bookmarkStart w:id="1773" w:name="_Toc236396781"/>
      <w:bookmarkStart w:id="1774" w:name="_Toc235390711"/>
      <w:bookmarkStart w:id="1775" w:name="_Toc235392910"/>
      <w:bookmarkStart w:id="1776" w:name="_Toc235394122"/>
      <w:bookmarkStart w:id="1777" w:name="_Toc235400369"/>
      <w:bookmarkStart w:id="1778" w:name="_Toc236396782"/>
      <w:bookmarkStart w:id="1779" w:name="_Toc235390712"/>
      <w:bookmarkStart w:id="1780" w:name="_Toc235392911"/>
      <w:bookmarkStart w:id="1781" w:name="_Toc235394123"/>
      <w:bookmarkStart w:id="1782" w:name="_Toc235400370"/>
      <w:bookmarkStart w:id="1783" w:name="_Toc236396783"/>
      <w:bookmarkStart w:id="1784" w:name="_Toc235390713"/>
      <w:bookmarkStart w:id="1785" w:name="_Toc235392912"/>
      <w:bookmarkStart w:id="1786" w:name="_Toc235394124"/>
      <w:bookmarkStart w:id="1787" w:name="_Toc235400371"/>
      <w:bookmarkStart w:id="1788" w:name="_Toc236396784"/>
      <w:bookmarkStart w:id="1789" w:name="_Toc235390714"/>
      <w:bookmarkStart w:id="1790" w:name="_Toc235391181"/>
      <w:bookmarkStart w:id="1791" w:name="_Toc235392913"/>
      <w:bookmarkStart w:id="1792" w:name="_Toc235394125"/>
      <w:bookmarkStart w:id="1793" w:name="_Toc235400372"/>
      <w:bookmarkStart w:id="1794" w:name="_Toc236392289"/>
      <w:bookmarkStart w:id="1795" w:name="_Toc236396785"/>
      <w:bookmarkStart w:id="1796" w:name="_Toc236397263"/>
      <w:bookmarkStart w:id="1797" w:name="_Toc235390715"/>
      <w:bookmarkStart w:id="1798" w:name="_Toc235392914"/>
      <w:bookmarkStart w:id="1799" w:name="_Toc235394126"/>
      <w:bookmarkStart w:id="1800" w:name="_Toc235400373"/>
      <w:bookmarkStart w:id="1801" w:name="_Toc236396786"/>
      <w:bookmarkStart w:id="1802" w:name="_Toc235390716"/>
      <w:bookmarkStart w:id="1803" w:name="_Toc235392915"/>
      <w:bookmarkStart w:id="1804" w:name="_Toc235394127"/>
      <w:bookmarkStart w:id="1805" w:name="_Toc235400374"/>
      <w:bookmarkStart w:id="1806" w:name="_Toc236396787"/>
      <w:bookmarkStart w:id="1807" w:name="_Toc235390717"/>
      <w:bookmarkStart w:id="1808" w:name="_Toc235392916"/>
      <w:bookmarkStart w:id="1809" w:name="_Toc235394128"/>
      <w:bookmarkStart w:id="1810" w:name="_Toc235400375"/>
      <w:bookmarkStart w:id="1811" w:name="_Toc236396788"/>
      <w:bookmarkStart w:id="1812" w:name="_Toc235390721"/>
      <w:bookmarkStart w:id="1813" w:name="_Toc235392920"/>
      <w:bookmarkStart w:id="1814" w:name="_Toc235394132"/>
      <w:bookmarkStart w:id="1815" w:name="_Toc235400379"/>
      <w:bookmarkStart w:id="1816" w:name="_Toc236396792"/>
      <w:bookmarkStart w:id="1817" w:name="_Toc235390722"/>
      <w:bookmarkStart w:id="1818" w:name="_Toc235392921"/>
      <w:bookmarkStart w:id="1819" w:name="_Toc235394133"/>
      <w:bookmarkStart w:id="1820" w:name="_Toc235400380"/>
      <w:bookmarkStart w:id="1821" w:name="_Toc236396793"/>
      <w:bookmarkStart w:id="1822" w:name="_Toc235390724"/>
      <w:bookmarkStart w:id="1823" w:name="_Toc235392923"/>
      <w:bookmarkStart w:id="1824" w:name="_Toc235394135"/>
      <w:bookmarkStart w:id="1825" w:name="_Toc235400382"/>
      <w:bookmarkStart w:id="1826" w:name="_Toc236396795"/>
      <w:bookmarkStart w:id="1827" w:name="_Toc235390725"/>
      <w:bookmarkStart w:id="1828" w:name="_Toc235392924"/>
      <w:bookmarkStart w:id="1829" w:name="_Toc235394136"/>
      <w:bookmarkStart w:id="1830" w:name="_Toc235400383"/>
      <w:bookmarkStart w:id="1831" w:name="_Toc236396796"/>
      <w:bookmarkStart w:id="1832" w:name="_Toc235390726"/>
      <w:bookmarkStart w:id="1833" w:name="_Toc235392925"/>
      <w:bookmarkStart w:id="1834" w:name="_Toc235394137"/>
      <w:bookmarkStart w:id="1835" w:name="_Toc235400384"/>
      <w:bookmarkStart w:id="1836" w:name="_Toc236396797"/>
      <w:bookmarkStart w:id="1837" w:name="_Toc235390727"/>
      <w:bookmarkStart w:id="1838" w:name="_Toc235392926"/>
      <w:bookmarkStart w:id="1839" w:name="_Toc235394138"/>
      <w:bookmarkStart w:id="1840" w:name="_Toc235400385"/>
      <w:bookmarkStart w:id="1841" w:name="_Toc236396798"/>
      <w:bookmarkStart w:id="1842" w:name="_Toc235390729"/>
      <w:bookmarkStart w:id="1843" w:name="_Toc235392928"/>
      <w:bookmarkStart w:id="1844" w:name="_Toc235394140"/>
      <w:bookmarkStart w:id="1845" w:name="_Toc235400387"/>
      <w:bookmarkStart w:id="1846" w:name="_Toc236396800"/>
      <w:bookmarkStart w:id="1847" w:name="_Toc235390730"/>
      <w:bookmarkStart w:id="1848" w:name="_Toc235392929"/>
      <w:bookmarkStart w:id="1849" w:name="_Toc235394141"/>
      <w:bookmarkStart w:id="1850" w:name="_Toc235400388"/>
      <w:bookmarkStart w:id="1851" w:name="_Toc236396801"/>
      <w:bookmarkStart w:id="1852" w:name="_Toc235390731"/>
      <w:bookmarkStart w:id="1853" w:name="_Toc235392930"/>
      <w:bookmarkStart w:id="1854" w:name="_Toc235394142"/>
      <w:bookmarkStart w:id="1855" w:name="_Toc235400389"/>
      <w:bookmarkStart w:id="1856" w:name="_Toc236396802"/>
      <w:bookmarkStart w:id="1857" w:name="_Toc235390732"/>
      <w:bookmarkStart w:id="1858" w:name="_Toc235392931"/>
      <w:bookmarkStart w:id="1859" w:name="_Toc235394143"/>
      <w:bookmarkStart w:id="1860" w:name="_Toc235400390"/>
      <w:bookmarkStart w:id="1861" w:name="_Toc236396803"/>
      <w:bookmarkStart w:id="1862" w:name="_Toc235390733"/>
      <w:bookmarkStart w:id="1863" w:name="_Toc235392932"/>
      <w:bookmarkStart w:id="1864" w:name="_Toc235394144"/>
      <w:bookmarkStart w:id="1865" w:name="_Toc235400391"/>
      <w:bookmarkStart w:id="1866" w:name="_Toc236396804"/>
      <w:bookmarkStart w:id="1867" w:name="_Toc235390735"/>
      <w:bookmarkStart w:id="1868" w:name="_Toc235392934"/>
      <w:bookmarkStart w:id="1869" w:name="_Toc235394146"/>
      <w:bookmarkStart w:id="1870" w:name="_Toc235400393"/>
      <w:bookmarkStart w:id="1871" w:name="_Toc236396806"/>
      <w:bookmarkStart w:id="1872" w:name="_Toc235390737"/>
      <w:bookmarkStart w:id="1873" w:name="_Toc235392936"/>
      <w:bookmarkStart w:id="1874" w:name="_Toc235394148"/>
      <w:bookmarkStart w:id="1875" w:name="_Toc235400395"/>
      <w:bookmarkStart w:id="1876" w:name="_Toc236396808"/>
      <w:bookmarkStart w:id="1877" w:name="_Toc235390739"/>
      <w:bookmarkStart w:id="1878" w:name="_Toc235392938"/>
      <w:bookmarkStart w:id="1879" w:name="_Toc235394150"/>
      <w:bookmarkStart w:id="1880" w:name="_Toc235400397"/>
      <w:bookmarkStart w:id="1881" w:name="_Toc236396810"/>
      <w:bookmarkStart w:id="1882" w:name="_Toc235390741"/>
      <w:bookmarkStart w:id="1883" w:name="_Toc235392940"/>
      <w:bookmarkStart w:id="1884" w:name="_Toc235394152"/>
      <w:bookmarkStart w:id="1885" w:name="_Toc235400399"/>
      <w:bookmarkStart w:id="1886" w:name="_Toc236396812"/>
      <w:bookmarkStart w:id="1887" w:name="_Toc235390743"/>
      <w:bookmarkStart w:id="1888" w:name="_Toc235392942"/>
      <w:bookmarkStart w:id="1889" w:name="_Toc235394154"/>
      <w:bookmarkStart w:id="1890" w:name="_Toc235400401"/>
      <w:bookmarkStart w:id="1891" w:name="_Toc236396814"/>
      <w:bookmarkStart w:id="1892" w:name="_Toc235390745"/>
      <w:bookmarkStart w:id="1893" w:name="_Toc235392944"/>
      <w:bookmarkStart w:id="1894" w:name="_Toc235394156"/>
      <w:bookmarkStart w:id="1895" w:name="_Toc235400403"/>
      <w:bookmarkStart w:id="1896" w:name="_Toc236396816"/>
      <w:bookmarkStart w:id="1897" w:name="_Toc235390748"/>
      <w:bookmarkStart w:id="1898" w:name="_Toc235392947"/>
      <w:bookmarkStart w:id="1899" w:name="_Toc235394159"/>
      <w:bookmarkStart w:id="1900" w:name="_Toc235400406"/>
      <w:bookmarkStart w:id="1901" w:name="_Toc236396819"/>
      <w:bookmarkStart w:id="1902" w:name="_Toc235390750"/>
      <w:bookmarkStart w:id="1903" w:name="_Toc235392949"/>
      <w:bookmarkStart w:id="1904" w:name="_Toc235394161"/>
      <w:bookmarkStart w:id="1905" w:name="_Toc235400408"/>
      <w:bookmarkStart w:id="1906" w:name="_Toc236396821"/>
      <w:bookmarkStart w:id="1907" w:name="_Toc235390751"/>
      <w:bookmarkStart w:id="1908" w:name="_Toc235392950"/>
      <w:bookmarkStart w:id="1909" w:name="_Toc235394162"/>
      <w:bookmarkStart w:id="1910" w:name="_Toc235400409"/>
      <w:bookmarkStart w:id="1911" w:name="_Toc236396822"/>
      <w:bookmarkStart w:id="1912" w:name="_Toc235390752"/>
      <w:bookmarkStart w:id="1913" w:name="_Toc235392951"/>
      <w:bookmarkStart w:id="1914" w:name="_Toc235394163"/>
      <w:bookmarkStart w:id="1915" w:name="_Toc235400410"/>
      <w:bookmarkStart w:id="1916" w:name="_Toc236396823"/>
      <w:bookmarkStart w:id="1917" w:name="_Toc235390753"/>
      <w:bookmarkStart w:id="1918" w:name="_Toc235392952"/>
      <w:bookmarkStart w:id="1919" w:name="_Toc235394164"/>
      <w:bookmarkStart w:id="1920" w:name="_Toc235400411"/>
      <w:bookmarkStart w:id="1921" w:name="_Toc236396824"/>
      <w:bookmarkStart w:id="1922" w:name="_Toc235390755"/>
      <w:bookmarkStart w:id="1923" w:name="_Toc235392954"/>
      <w:bookmarkStart w:id="1924" w:name="_Toc235394166"/>
      <w:bookmarkStart w:id="1925" w:name="_Toc235400413"/>
      <w:bookmarkStart w:id="1926" w:name="_Toc236396826"/>
      <w:bookmarkStart w:id="1927" w:name="_Toc235390756"/>
      <w:bookmarkStart w:id="1928" w:name="_Toc235392955"/>
      <w:bookmarkStart w:id="1929" w:name="_Toc235394167"/>
      <w:bookmarkStart w:id="1930" w:name="_Toc235400414"/>
      <w:bookmarkStart w:id="1931" w:name="_Toc236396827"/>
      <w:bookmarkStart w:id="1932" w:name="_Toc235390757"/>
      <w:bookmarkStart w:id="1933" w:name="_Toc235392956"/>
      <w:bookmarkStart w:id="1934" w:name="_Toc235394168"/>
      <w:bookmarkStart w:id="1935" w:name="_Toc235400415"/>
      <w:bookmarkStart w:id="1936" w:name="_Toc236396828"/>
      <w:bookmarkStart w:id="1937" w:name="_Toc235390758"/>
      <w:bookmarkStart w:id="1938" w:name="_Toc235392957"/>
      <w:bookmarkStart w:id="1939" w:name="_Toc235394169"/>
      <w:bookmarkStart w:id="1940" w:name="_Toc235400416"/>
      <w:bookmarkStart w:id="1941" w:name="_Toc236396829"/>
      <w:bookmarkStart w:id="1942" w:name="_Toc235390760"/>
      <w:bookmarkStart w:id="1943" w:name="_Toc235392959"/>
      <w:bookmarkStart w:id="1944" w:name="_Toc235394171"/>
      <w:bookmarkStart w:id="1945" w:name="_Toc235400418"/>
      <w:bookmarkStart w:id="1946" w:name="_Toc236396831"/>
      <w:bookmarkStart w:id="1947" w:name="_Toc235390761"/>
      <w:bookmarkStart w:id="1948" w:name="_Toc235392960"/>
      <w:bookmarkStart w:id="1949" w:name="_Toc235394172"/>
      <w:bookmarkStart w:id="1950" w:name="_Toc235400419"/>
      <w:bookmarkStart w:id="1951" w:name="_Toc236396832"/>
      <w:bookmarkStart w:id="1952" w:name="_Toc235390762"/>
      <w:bookmarkStart w:id="1953" w:name="_Toc235392961"/>
      <w:bookmarkStart w:id="1954" w:name="_Toc235394173"/>
      <w:bookmarkStart w:id="1955" w:name="_Toc235400420"/>
      <w:bookmarkStart w:id="1956" w:name="_Toc236396833"/>
      <w:bookmarkStart w:id="1957" w:name="_Toc235390764"/>
      <w:bookmarkStart w:id="1958" w:name="_Toc235392963"/>
      <w:bookmarkStart w:id="1959" w:name="_Toc235394175"/>
      <w:bookmarkStart w:id="1960" w:name="_Toc235400422"/>
      <w:bookmarkStart w:id="1961" w:name="_Toc236396835"/>
      <w:bookmarkStart w:id="1962" w:name="_Toc235390765"/>
      <w:bookmarkStart w:id="1963" w:name="_Toc235392964"/>
      <w:bookmarkStart w:id="1964" w:name="_Toc235394176"/>
      <w:bookmarkStart w:id="1965" w:name="_Toc235400423"/>
      <w:bookmarkStart w:id="1966" w:name="_Toc236396836"/>
      <w:bookmarkStart w:id="1967" w:name="_Toc235390767"/>
      <w:bookmarkStart w:id="1968" w:name="_Toc235392966"/>
      <w:bookmarkStart w:id="1969" w:name="_Toc235394178"/>
      <w:bookmarkStart w:id="1970" w:name="_Toc235400425"/>
      <w:bookmarkStart w:id="1971" w:name="_Toc236396838"/>
      <w:bookmarkStart w:id="1972" w:name="_Toc235390768"/>
      <w:bookmarkStart w:id="1973" w:name="_Toc235392967"/>
      <w:bookmarkStart w:id="1974" w:name="_Toc235394179"/>
      <w:bookmarkStart w:id="1975" w:name="_Toc235400426"/>
      <w:bookmarkStart w:id="1976" w:name="_Toc236396839"/>
      <w:bookmarkStart w:id="1977" w:name="_Toc235390769"/>
      <w:bookmarkStart w:id="1978" w:name="_Toc235392968"/>
      <w:bookmarkStart w:id="1979" w:name="_Toc235394180"/>
      <w:bookmarkStart w:id="1980" w:name="_Toc235400427"/>
      <w:bookmarkStart w:id="1981" w:name="_Toc236396840"/>
      <w:bookmarkStart w:id="1982" w:name="_Toc235390770"/>
      <w:bookmarkStart w:id="1983" w:name="_Toc235392969"/>
      <w:bookmarkStart w:id="1984" w:name="_Toc235394181"/>
      <w:bookmarkStart w:id="1985" w:name="_Toc235400428"/>
      <w:bookmarkStart w:id="1986" w:name="_Toc236396841"/>
      <w:bookmarkStart w:id="1987" w:name="_Toc235390773"/>
      <w:bookmarkStart w:id="1988" w:name="_Toc235392972"/>
      <w:bookmarkStart w:id="1989" w:name="_Toc235394184"/>
      <w:bookmarkStart w:id="1990" w:name="_Toc235400431"/>
      <w:bookmarkStart w:id="1991" w:name="_Toc236396844"/>
      <w:bookmarkStart w:id="1992" w:name="_Toc235390774"/>
      <w:bookmarkStart w:id="1993" w:name="_Toc235392973"/>
      <w:bookmarkStart w:id="1994" w:name="_Toc235394185"/>
      <w:bookmarkStart w:id="1995" w:name="_Toc235400432"/>
      <w:bookmarkStart w:id="1996" w:name="_Toc236396845"/>
      <w:bookmarkStart w:id="1997" w:name="_Toc235390775"/>
      <w:bookmarkStart w:id="1998" w:name="_Toc235392974"/>
      <w:bookmarkStart w:id="1999" w:name="_Toc235394186"/>
      <w:bookmarkStart w:id="2000" w:name="_Toc235400433"/>
      <w:bookmarkStart w:id="2001" w:name="_Toc236396846"/>
      <w:bookmarkStart w:id="2002" w:name="_Toc235390777"/>
      <w:bookmarkStart w:id="2003" w:name="_Toc235392976"/>
      <w:bookmarkStart w:id="2004" w:name="_Toc235394188"/>
      <w:bookmarkStart w:id="2005" w:name="_Toc235400435"/>
      <w:bookmarkStart w:id="2006" w:name="_Toc236396848"/>
      <w:bookmarkStart w:id="2007" w:name="_Toc235390779"/>
      <w:bookmarkStart w:id="2008" w:name="_Toc235392978"/>
      <w:bookmarkStart w:id="2009" w:name="_Toc235394190"/>
      <w:bookmarkStart w:id="2010" w:name="_Toc235400437"/>
      <w:bookmarkStart w:id="2011" w:name="_Toc236396850"/>
      <w:bookmarkStart w:id="2012" w:name="_Toc235390780"/>
      <w:bookmarkStart w:id="2013" w:name="_Toc235392979"/>
      <w:bookmarkStart w:id="2014" w:name="_Toc235394191"/>
      <w:bookmarkStart w:id="2015" w:name="_Toc235400438"/>
      <w:bookmarkStart w:id="2016" w:name="_Toc236396851"/>
      <w:bookmarkStart w:id="2017" w:name="_Toc235390782"/>
      <w:bookmarkStart w:id="2018" w:name="_Toc235392981"/>
      <w:bookmarkStart w:id="2019" w:name="_Toc235394193"/>
      <w:bookmarkStart w:id="2020" w:name="_Toc235400440"/>
      <w:bookmarkStart w:id="2021" w:name="_Toc236396853"/>
      <w:bookmarkStart w:id="2022" w:name="_Toc235390784"/>
      <w:bookmarkStart w:id="2023" w:name="_Toc235392983"/>
      <w:bookmarkStart w:id="2024" w:name="_Toc235394195"/>
      <w:bookmarkStart w:id="2025" w:name="_Toc235400442"/>
      <w:bookmarkStart w:id="2026" w:name="_Toc236396855"/>
      <w:bookmarkStart w:id="2027" w:name="_Toc235390786"/>
      <w:bookmarkStart w:id="2028" w:name="_Toc235392985"/>
      <w:bookmarkStart w:id="2029" w:name="_Toc235394197"/>
      <w:bookmarkStart w:id="2030" w:name="_Toc235400444"/>
      <w:bookmarkStart w:id="2031" w:name="_Toc236396857"/>
      <w:bookmarkStart w:id="2032" w:name="_Toc235390788"/>
      <w:bookmarkStart w:id="2033" w:name="_Toc235392987"/>
      <w:bookmarkStart w:id="2034" w:name="_Toc235394199"/>
      <w:bookmarkStart w:id="2035" w:name="_Toc235400446"/>
      <w:bookmarkStart w:id="2036" w:name="_Toc236396859"/>
      <w:bookmarkStart w:id="2037" w:name="_Toc235390790"/>
      <w:bookmarkStart w:id="2038" w:name="_Toc235392989"/>
      <w:bookmarkStart w:id="2039" w:name="_Toc235394201"/>
      <w:bookmarkStart w:id="2040" w:name="_Toc235400448"/>
      <w:bookmarkStart w:id="2041" w:name="_Toc236396861"/>
      <w:bookmarkStart w:id="2042" w:name="_Toc235390792"/>
      <w:bookmarkStart w:id="2043" w:name="_Toc235392991"/>
      <w:bookmarkStart w:id="2044" w:name="_Toc235394203"/>
      <w:bookmarkStart w:id="2045" w:name="_Toc235400450"/>
      <w:bookmarkStart w:id="2046" w:name="_Toc236396863"/>
      <w:bookmarkStart w:id="2047" w:name="_Toc235390794"/>
      <w:bookmarkStart w:id="2048" w:name="_Toc235392993"/>
      <w:bookmarkStart w:id="2049" w:name="_Toc235394205"/>
      <w:bookmarkStart w:id="2050" w:name="_Toc235400452"/>
      <w:bookmarkStart w:id="2051" w:name="_Toc236396865"/>
      <w:bookmarkStart w:id="2052" w:name="_Toc235390796"/>
      <w:bookmarkStart w:id="2053" w:name="_Toc235392995"/>
      <w:bookmarkStart w:id="2054" w:name="_Toc235394207"/>
      <w:bookmarkStart w:id="2055" w:name="_Toc235400454"/>
      <w:bookmarkStart w:id="2056" w:name="_Toc236396867"/>
      <w:bookmarkStart w:id="2057" w:name="_Toc235390798"/>
      <w:bookmarkStart w:id="2058" w:name="_Toc235392997"/>
      <w:bookmarkStart w:id="2059" w:name="_Toc235394209"/>
      <w:bookmarkStart w:id="2060" w:name="_Toc235400456"/>
      <w:bookmarkStart w:id="2061" w:name="_Toc236396869"/>
      <w:bookmarkStart w:id="2062" w:name="_Toc235390800"/>
      <w:bookmarkStart w:id="2063" w:name="_Toc235392999"/>
      <w:bookmarkStart w:id="2064" w:name="_Toc235394211"/>
      <w:bookmarkStart w:id="2065" w:name="_Toc235400458"/>
      <w:bookmarkStart w:id="2066" w:name="_Toc236396871"/>
      <w:bookmarkStart w:id="2067" w:name="_Toc235390802"/>
      <w:bookmarkStart w:id="2068" w:name="_Toc235393001"/>
      <w:bookmarkStart w:id="2069" w:name="_Toc235394213"/>
      <w:bookmarkStart w:id="2070" w:name="_Toc235400460"/>
      <w:bookmarkStart w:id="2071" w:name="_Toc236396873"/>
      <w:bookmarkStart w:id="2072" w:name="_Toc235390804"/>
      <w:bookmarkStart w:id="2073" w:name="_Toc235393003"/>
      <w:bookmarkStart w:id="2074" w:name="_Toc235394215"/>
      <w:bookmarkStart w:id="2075" w:name="_Toc235400462"/>
      <w:bookmarkStart w:id="2076" w:name="_Toc236396875"/>
      <w:bookmarkStart w:id="2077" w:name="_Toc235390806"/>
      <w:bookmarkStart w:id="2078" w:name="_Toc235393005"/>
      <w:bookmarkStart w:id="2079" w:name="_Toc235394217"/>
      <w:bookmarkStart w:id="2080" w:name="_Toc235400464"/>
      <w:bookmarkStart w:id="2081" w:name="_Toc236396877"/>
      <w:bookmarkStart w:id="2082" w:name="_Toc235390807"/>
      <w:bookmarkStart w:id="2083" w:name="_Toc235393006"/>
      <w:bookmarkStart w:id="2084" w:name="_Toc235394218"/>
      <w:bookmarkStart w:id="2085" w:name="_Toc235400465"/>
      <w:bookmarkStart w:id="2086" w:name="_Toc236396878"/>
      <w:bookmarkStart w:id="2087" w:name="_Toc235390808"/>
      <w:bookmarkStart w:id="2088" w:name="_Toc235393007"/>
      <w:bookmarkStart w:id="2089" w:name="_Toc235394219"/>
      <w:bookmarkStart w:id="2090" w:name="_Toc235400466"/>
      <w:bookmarkStart w:id="2091" w:name="_Toc236396879"/>
      <w:bookmarkStart w:id="2092" w:name="_Toc235390809"/>
      <w:bookmarkStart w:id="2093" w:name="_Toc235393008"/>
      <w:bookmarkStart w:id="2094" w:name="_Toc235394220"/>
      <w:bookmarkStart w:id="2095" w:name="_Toc235400467"/>
      <w:bookmarkStart w:id="2096" w:name="_Toc236396880"/>
      <w:bookmarkStart w:id="2097" w:name="_Toc235390811"/>
      <w:bookmarkStart w:id="2098" w:name="_Toc235393010"/>
      <w:bookmarkStart w:id="2099" w:name="_Toc235394222"/>
      <w:bookmarkStart w:id="2100" w:name="_Toc235400469"/>
      <w:bookmarkStart w:id="2101" w:name="_Toc236396882"/>
      <w:bookmarkStart w:id="2102" w:name="_Toc235390813"/>
      <w:bookmarkStart w:id="2103" w:name="_Toc235393012"/>
      <w:bookmarkStart w:id="2104" w:name="_Toc235394224"/>
      <w:bookmarkStart w:id="2105" w:name="_Toc235400471"/>
      <w:bookmarkStart w:id="2106" w:name="_Toc236396884"/>
      <w:bookmarkStart w:id="2107" w:name="_Toc235390814"/>
      <w:bookmarkStart w:id="2108" w:name="_Toc235393013"/>
      <w:bookmarkStart w:id="2109" w:name="_Toc235394225"/>
      <w:bookmarkStart w:id="2110" w:name="_Toc235400472"/>
      <w:bookmarkStart w:id="2111" w:name="_Toc236396885"/>
      <w:bookmarkStart w:id="2112" w:name="_Toc235390815"/>
      <w:bookmarkStart w:id="2113" w:name="_Toc235393014"/>
      <w:bookmarkStart w:id="2114" w:name="_Toc235394226"/>
      <w:bookmarkStart w:id="2115" w:name="_Toc235400473"/>
      <w:bookmarkStart w:id="2116" w:name="_Toc236396886"/>
      <w:bookmarkStart w:id="2117" w:name="_Toc243455741"/>
      <w:bookmarkStart w:id="2118" w:name="_Toc243461610"/>
      <w:bookmarkStart w:id="2119" w:name="_Toc243471741"/>
      <w:bookmarkStart w:id="2120" w:name="_Toc243455743"/>
      <w:bookmarkStart w:id="2121" w:name="_Toc243461612"/>
      <w:bookmarkStart w:id="2122" w:name="_Toc243471743"/>
      <w:bookmarkStart w:id="2123" w:name="_Toc243455745"/>
      <w:bookmarkStart w:id="2124" w:name="_Toc243461614"/>
      <w:bookmarkStart w:id="2125" w:name="_Toc243471745"/>
      <w:bookmarkStart w:id="2126" w:name="_Toc243455747"/>
      <w:bookmarkStart w:id="2127" w:name="_Toc243461616"/>
      <w:bookmarkStart w:id="2128" w:name="_Toc243471747"/>
      <w:bookmarkStart w:id="2129" w:name="_Toc243455749"/>
      <w:bookmarkStart w:id="2130" w:name="_Toc243461618"/>
      <w:bookmarkStart w:id="2131" w:name="_Toc243471749"/>
      <w:bookmarkStart w:id="2132" w:name="_Toc243455751"/>
      <w:bookmarkStart w:id="2133" w:name="_Toc243461620"/>
      <w:bookmarkStart w:id="2134" w:name="_Toc243471751"/>
      <w:bookmarkStart w:id="2135" w:name="_Toc243455752"/>
      <w:bookmarkStart w:id="2136" w:name="_Toc243461621"/>
      <w:bookmarkStart w:id="2137" w:name="_Toc243471752"/>
      <w:bookmarkStart w:id="2138" w:name="_Toc243455757"/>
      <w:bookmarkStart w:id="2139" w:name="_Toc243461626"/>
      <w:bookmarkStart w:id="2140" w:name="_Toc243471757"/>
      <w:bookmarkStart w:id="2141" w:name="_Toc243455769"/>
      <w:bookmarkStart w:id="2142" w:name="_Toc243461638"/>
      <w:bookmarkStart w:id="2143" w:name="_Toc243471769"/>
      <w:bookmarkStart w:id="2144" w:name="_Toc243455771"/>
      <w:bookmarkStart w:id="2145" w:name="_Toc243461640"/>
      <w:bookmarkStart w:id="2146" w:name="_Toc243471771"/>
      <w:bookmarkStart w:id="2147" w:name="_Toc243455772"/>
      <w:bookmarkStart w:id="2148" w:name="_Toc243461641"/>
      <w:bookmarkStart w:id="2149" w:name="_Toc243471772"/>
      <w:bookmarkStart w:id="2150" w:name="_Toc243399779"/>
      <w:bookmarkStart w:id="2151" w:name="_Toc243455773"/>
      <w:bookmarkStart w:id="2152" w:name="_Toc243461642"/>
      <w:bookmarkStart w:id="2153" w:name="_Toc243471773"/>
      <w:bookmarkStart w:id="2154" w:name="_Toc243399780"/>
      <w:bookmarkStart w:id="2155" w:name="_Toc243455774"/>
      <w:bookmarkStart w:id="2156" w:name="_Toc243461643"/>
      <w:bookmarkStart w:id="2157" w:name="_Toc243471774"/>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rsidR="00B7684C" w:rsidRPr="00066F65" w:rsidRDefault="00B7684C" w:rsidP="003701DB">
      <w:pPr>
        <w:pStyle w:val="Heading2"/>
        <w:numPr>
          <w:ilvl w:val="1"/>
          <w:numId w:val="108"/>
        </w:numPr>
      </w:pPr>
      <w:bookmarkStart w:id="2158" w:name="_Toc235400499"/>
      <w:bookmarkStart w:id="2159" w:name="_Ref243282170"/>
      <w:bookmarkStart w:id="2160" w:name="_Ref243798124"/>
      <w:bookmarkStart w:id="2161" w:name="_Ref243799151"/>
      <w:bookmarkStart w:id="2162" w:name="_Toc259717168"/>
      <w:r w:rsidRPr="00066F65">
        <w:t>m</w:t>
      </w:r>
      <w:r w:rsidR="00EE16E6">
        <w:t>m</w:t>
      </w:r>
      <w:r w:rsidRPr="00066F65">
        <w:t>Wave Block Ack with Flow Control</w:t>
      </w:r>
      <w:bookmarkEnd w:id="2158"/>
      <w:bookmarkEnd w:id="2159"/>
      <w:bookmarkEnd w:id="2160"/>
      <w:bookmarkEnd w:id="2161"/>
      <w:bookmarkEnd w:id="2162"/>
    </w:p>
    <w:p w:rsidR="00B7684C" w:rsidRPr="009448FC" w:rsidRDefault="00BF72EC" w:rsidP="00B7684C">
      <w:r>
        <w:t xml:space="preserve"> </w:t>
      </w:r>
    </w:p>
    <w:p w:rsidR="00B7684C" w:rsidRPr="009448FC" w:rsidRDefault="00F154EF" w:rsidP="00F154EF">
      <w:r w:rsidRPr="009448FC">
        <w:t>A</w:t>
      </w:r>
      <w:r w:rsidR="002F0A96" w:rsidRPr="009448FC">
        <w:t>n</w:t>
      </w:r>
      <w:r w:rsidRPr="009448FC">
        <w:t xml:space="preserve"> </w:t>
      </w:r>
      <w:r w:rsidR="00B96FB9" w:rsidRPr="009448FC">
        <w:t>mSTA</w:t>
      </w:r>
      <w:r w:rsidRPr="009448FC">
        <w:t xml:space="preserve"> indicates that it is capable to support </w:t>
      </w:r>
      <w:r w:rsidR="00B7684C" w:rsidRPr="009448FC">
        <w:t>mmWaveBlock</w:t>
      </w:r>
      <w:r w:rsidR="008B3E64">
        <w:t xml:space="preserve"> </w:t>
      </w:r>
      <w:r w:rsidR="00B7684C" w:rsidRPr="009448FC">
        <w:t xml:space="preserve">Ack with Flow Control </w:t>
      </w:r>
      <w:r w:rsidRPr="009448FC">
        <w:t xml:space="preserve">by setting the BA with flow control field to </w:t>
      </w:r>
      <w:r w:rsidR="00B910DA" w:rsidRPr="009448FC">
        <w:t xml:space="preserve">one within the </w:t>
      </w:r>
      <w:r w:rsidR="00EE16E6">
        <w:t xml:space="preserve">mSTA’s </w:t>
      </w:r>
      <w:r w:rsidR="00B910DA" w:rsidRPr="009448FC">
        <w:t>mmWave Capabilities</w:t>
      </w:r>
      <w:r w:rsidR="00281486" w:rsidRPr="009448FC">
        <w:t xml:space="preserve"> element</w:t>
      </w:r>
      <w:r w:rsidR="00B7684C" w:rsidRPr="009448FC">
        <w:t>. Both originator and recipient shall be capable of m</w:t>
      </w:r>
      <w:r w:rsidR="00065BE1" w:rsidRPr="009448FC">
        <w:t>mWaveBlockAck with Flow Control</w:t>
      </w:r>
      <w:r w:rsidR="00B7684C" w:rsidRPr="009448FC">
        <w:t xml:space="preserve"> to allow a valid engagement.</w:t>
      </w:r>
    </w:p>
    <w:p w:rsidR="00B7684C" w:rsidRPr="009448FC" w:rsidRDefault="00B7684C" w:rsidP="003701DB">
      <w:pPr>
        <w:pStyle w:val="Heading3"/>
        <w:numPr>
          <w:ilvl w:val="2"/>
          <w:numId w:val="108"/>
        </w:numPr>
      </w:pPr>
      <w:bookmarkStart w:id="2163" w:name="_Toc235400500"/>
      <w:bookmarkStart w:id="2164" w:name="_Toc259717169"/>
      <w:r w:rsidRPr="009448FC">
        <w:t xml:space="preserve">mmWave Block Ack architecture with Flow </w:t>
      </w:r>
      <w:r w:rsidR="00EE563B">
        <w:t>C</w:t>
      </w:r>
      <w:r w:rsidRPr="009448FC">
        <w:t>ontrol</w:t>
      </w:r>
      <w:bookmarkEnd w:id="2163"/>
      <w:bookmarkEnd w:id="2164"/>
    </w:p>
    <w:p w:rsidR="00B7684C" w:rsidRPr="009448FC" w:rsidRDefault="00B7684C" w:rsidP="000639D7">
      <w:r w:rsidRPr="009448FC">
        <w:t xml:space="preserve">The mmWave Block Ack rules are explained in terms of the architecture shown in </w:t>
      </w:r>
      <w:r w:rsidR="00BD151C">
        <w:rPr>
          <w:lang w:bidi="ar-SA"/>
        </w:rPr>
        <w:fldChar w:fldCharType="begin"/>
      </w:r>
      <w:r w:rsidR="000639D7">
        <w:rPr>
          <w:lang w:bidi="ar-SA"/>
        </w:rPr>
        <w:instrText xml:space="preserve"> REF _Ref246141827 \h </w:instrText>
      </w:r>
      <w:r w:rsidR="00BD151C">
        <w:rPr>
          <w:lang w:bidi="ar-SA"/>
        </w:rPr>
      </w:r>
      <w:r w:rsidR="00BD151C">
        <w:rPr>
          <w:lang w:bidi="ar-SA"/>
        </w:rPr>
        <w:fldChar w:fldCharType="separate"/>
      </w:r>
      <w:r w:rsidR="003E4210" w:rsidRPr="00066F65">
        <w:t xml:space="preserve">Figure </w:t>
      </w:r>
      <w:r w:rsidR="003E4210">
        <w:rPr>
          <w:noProof/>
        </w:rPr>
        <w:t>113</w:t>
      </w:r>
      <w:r w:rsidR="00BD151C">
        <w:rPr>
          <w:lang w:bidi="ar-SA"/>
        </w:rPr>
        <w:fldChar w:fldCharType="end"/>
      </w:r>
      <w:r w:rsidR="000639D7" w:rsidRPr="009448FC">
        <w:t xml:space="preserve"> </w:t>
      </w:r>
      <w:r w:rsidRPr="009448FC">
        <w:t>and explained in this subclause.</w:t>
      </w:r>
    </w:p>
    <w:p w:rsidR="00B7684C" w:rsidRPr="009448FC" w:rsidRDefault="00B7684C" w:rsidP="00B7684C"/>
    <w:p w:rsidR="00B7684C" w:rsidRPr="009448FC" w:rsidRDefault="009621FC" w:rsidP="00B7684C">
      <w:pPr>
        <w:jc w:val="center"/>
      </w:pPr>
      <w:r w:rsidRPr="009448FC">
        <w:object w:dxaOrig="8294" w:dyaOrig="4259">
          <v:shape id="_x0000_i1073" type="#_x0000_t75" style="width:414.35pt;height:214.65pt" o:ole="">
            <v:imagedata r:id="rId191" o:title=""/>
          </v:shape>
          <o:OLEObject Type="Embed" ProgID="Visio.Drawing.11" ShapeID="_x0000_i1073" DrawAspect="Content" ObjectID="_1334048254" r:id="rId192"/>
        </w:object>
      </w:r>
    </w:p>
    <w:p w:rsidR="00B7684C" w:rsidRPr="00066F65" w:rsidRDefault="00720AA9" w:rsidP="00BA5BC4">
      <w:pPr>
        <w:pStyle w:val="Caption"/>
      </w:pPr>
      <w:bookmarkStart w:id="2165" w:name="_Ref246141827"/>
      <w:bookmarkStart w:id="2166" w:name="_Toc259717545"/>
      <w:r w:rsidRPr="00066F65">
        <w:t xml:space="preserve">Figure </w:t>
      </w:r>
      <w:r w:rsidR="00BD151C">
        <w:fldChar w:fldCharType="begin"/>
      </w:r>
      <w:r w:rsidR="00801316">
        <w:instrText xml:space="preserve"> SEQ Figure \* ARABIC </w:instrText>
      </w:r>
      <w:r w:rsidR="00BD151C">
        <w:fldChar w:fldCharType="separate"/>
      </w:r>
      <w:r w:rsidR="003E4210">
        <w:rPr>
          <w:noProof/>
        </w:rPr>
        <w:t>113</w:t>
      </w:r>
      <w:r w:rsidR="00BD151C">
        <w:fldChar w:fldCharType="end"/>
      </w:r>
      <w:bookmarkEnd w:id="2165"/>
      <w:r w:rsidR="00867012" w:rsidRPr="00066F65">
        <w:t xml:space="preserve"> –</w:t>
      </w:r>
      <w:r w:rsidR="00FE1B74" w:rsidRPr="00066F65">
        <w:t xml:space="preserve"> </w:t>
      </w:r>
      <w:r w:rsidR="00B7684C" w:rsidRPr="00066F65">
        <w:t>mmWave Block Ack architecture</w:t>
      </w:r>
      <w:bookmarkEnd w:id="2166"/>
    </w:p>
    <w:p w:rsidR="00B7684C" w:rsidRPr="009448FC" w:rsidRDefault="00B7684C" w:rsidP="00B7684C"/>
    <w:p w:rsidR="00B7684C" w:rsidRPr="009448FC" w:rsidRDefault="00B7684C" w:rsidP="00B7684C">
      <w:r w:rsidRPr="009448FC">
        <w:t>The originator contains a Transmit Buffer Control that uses WinStart</w:t>
      </w:r>
      <w:r w:rsidRPr="009448FC">
        <w:rPr>
          <w:vertAlign w:val="subscript"/>
        </w:rPr>
        <w:t>O</w:t>
      </w:r>
      <w:r w:rsidR="00281486" w:rsidRPr="009448FC">
        <w:t xml:space="preserve"> </w:t>
      </w:r>
      <w:r w:rsidRPr="009448FC">
        <w:t>BufSize</w:t>
      </w:r>
      <w:r w:rsidRPr="009448FC">
        <w:rPr>
          <w:vertAlign w:val="subscript"/>
        </w:rPr>
        <w:t>O</w:t>
      </w:r>
      <w:r w:rsidRPr="009448FC">
        <w:t xml:space="preserve"> and WinLimit</w:t>
      </w:r>
      <w:r w:rsidRPr="009448FC">
        <w:rPr>
          <w:vertAlign w:val="subscript"/>
        </w:rPr>
        <w:t>O</w:t>
      </w:r>
      <w:r w:rsidRPr="009448FC">
        <w:t xml:space="preserve"> to submit MPDUs for transmission, and releases transmit buffers upon receiving BlockAck frames from the recipient</w:t>
      </w:r>
      <w:r w:rsidR="009621FC" w:rsidRPr="009448FC">
        <w:t xml:space="preserve"> or when it advances the transmit control buffer window</w:t>
      </w:r>
      <w:r w:rsidRPr="009448FC">
        <w:t>.</w:t>
      </w:r>
      <w:r w:rsidR="009621FC" w:rsidRPr="009448FC">
        <w:t xml:space="preserve"> </w:t>
      </w:r>
    </w:p>
    <w:p w:rsidR="00774DD1" w:rsidRPr="009448FC" w:rsidRDefault="00774DD1" w:rsidP="00B7684C"/>
    <w:p w:rsidR="00B7684C" w:rsidRPr="009448FC" w:rsidRDefault="00B7684C" w:rsidP="00B7684C">
      <w:r w:rsidRPr="009448FC">
        <w:t>WinStart</w:t>
      </w:r>
      <w:r w:rsidRPr="009448FC">
        <w:rPr>
          <w:vertAlign w:val="subscript"/>
        </w:rPr>
        <w:t>O</w:t>
      </w:r>
      <w:r w:rsidRPr="009448FC">
        <w:t xml:space="preserve"> is the starting sequence number of the transmit range, WinLimit</w:t>
      </w:r>
      <w:r w:rsidRPr="009448FC">
        <w:rPr>
          <w:vertAlign w:val="subscript"/>
        </w:rPr>
        <w:t>O</w:t>
      </w:r>
      <w:r w:rsidRPr="009448FC">
        <w:t xml:space="preserve"> is the last sequence number expected to exhaust the receiver buffer capacity, and BufSize</w:t>
      </w:r>
      <w:r w:rsidRPr="009448FC">
        <w:rPr>
          <w:vertAlign w:val="subscript"/>
        </w:rPr>
        <w:t>O</w:t>
      </w:r>
      <w:r w:rsidRPr="009448FC">
        <w:t xml:space="preserve"> is the number of buffers negotiated in the Block Ack agreement.</w:t>
      </w:r>
    </w:p>
    <w:p w:rsidR="00774DD1" w:rsidRDefault="00774DD1" w:rsidP="00774DD1"/>
    <w:p w:rsidR="002022A8" w:rsidRDefault="00BD151C" w:rsidP="00774DD1">
      <w:r>
        <w:fldChar w:fldCharType="begin"/>
      </w:r>
      <w:r w:rsidR="002022A8">
        <w:instrText xml:space="preserve"> REF _Ref251595553 \h </w:instrText>
      </w:r>
      <w:r>
        <w:fldChar w:fldCharType="separate"/>
      </w:r>
      <w:r w:rsidR="003E4210" w:rsidRPr="00066F65">
        <w:t xml:space="preserve">Figure </w:t>
      </w:r>
      <w:r w:rsidR="003E4210">
        <w:rPr>
          <w:noProof/>
        </w:rPr>
        <w:t>114</w:t>
      </w:r>
      <w:r>
        <w:fldChar w:fldCharType="end"/>
      </w:r>
      <w:r w:rsidR="002022A8">
        <w:t xml:space="preserve"> shows the mmWave Block Ack with flow control and its associated parameters from the Originator perspective.</w:t>
      </w:r>
    </w:p>
    <w:p w:rsidR="002022A8" w:rsidRDefault="002022A8" w:rsidP="00774DD1"/>
    <w:p w:rsidR="002022A8" w:rsidRDefault="00A13274" w:rsidP="002022A8">
      <w:pPr>
        <w:jc w:val="center"/>
      </w:pPr>
      <w:r>
        <w:object w:dxaOrig="10318" w:dyaOrig="3044">
          <v:shape id="_x0000_i1074" type="#_x0000_t75" style="width:365.9pt;height:105.95pt" o:ole="">
            <v:imagedata r:id="rId193" o:title=""/>
          </v:shape>
          <o:OLEObject Type="Embed" ProgID="Visio.Drawing.11" ShapeID="_x0000_i1074" DrawAspect="Content" ObjectID="_1334048255" r:id="rId194"/>
        </w:object>
      </w:r>
    </w:p>
    <w:p w:rsidR="002022A8" w:rsidRPr="00066F65" w:rsidRDefault="002022A8" w:rsidP="002022A8">
      <w:pPr>
        <w:pStyle w:val="Caption"/>
      </w:pPr>
      <w:bookmarkStart w:id="2167" w:name="_Ref251595553"/>
      <w:bookmarkStart w:id="2168" w:name="_Toc259717546"/>
      <w:r w:rsidRPr="00066F65">
        <w:t xml:space="preserve">Figure </w:t>
      </w:r>
      <w:r w:rsidR="00BD151C">
        <w:fldChar w:fldCharType="begin"/>
      </w:r>
      <w:r w:rsidR="00801316">
        <w:instrText xml:space="preserve"> SEQ Figure \* ARABIC </w:instrText>
      </w:r>
      <w:r w:rsidR="00BD151C">
        <w:fldChar w:fldCharType="separate"/>
      </w:r>
      <w:r w:rsidR="003E4210">
        <w:rPr>
          <w:noProof/>
        </w:rPr>
        <w:t>114</w:t>
      </w:r>
      <w:r w:rsidR="00BD151C">
        <w:fldChar w:fldCharType="end"/>
      </w:r>
      <w:bookmarkEnd w:id="2167"/>
      <w:r w:rsidRPr="00066F65">
        <w:t xml:space="preserve"> – </w:t>
      </w:r>
      <w:r w:rsidR="009D537D" w:rsidRPr="009D537D">
        <w:t>Flow control and its associated parameters as a function of receiver buffer size</w:t>
      </w:r>
      <w:bookmarkEnd w:id="2168"/>
    </w:p>
    <w:p w:rsidR="002022A8" w:rsidRPr="009448FC" w:rsidRDefault="002022A8" w:rsidP="00774DD1"/>
    <w:p w:rsidR="00B7684C" w:rsidRPr="009448FC" w:rsidRDefault="00B7684C" w:rsidP="00834CF8">
      <w:r w:rsidRPr="009448FC">
        <w:t>The Aggregation control creates A-MPDUs. It may adjust the Ack Policy field of transmitted data</w:t>
      </w:r>
      <w:r w:rsidR="00774DD1" w:rsidRPr="009448FC">
        <w:t xml:space="preserve"> </w:t>
      </w:r>
      <w:r w:rsidRPr="009448FC">
        <w:t>frames acco</w:t>
      </w:r>
      <w:r w:rsidR="00F46922" w:rsidRPr="009448FC">
        <w:t xml:space="preserve">rding to the rules defined in </w:t>
      </w:r>
      <w:r w:rsidR="00834CF8" w:rsidRPr="009448FC">
        <w:t xml:space="preserve">9.10.7.7 </w:t>
      </w:r>
      <w:r w:rsidRPr="009448FC">
        <w:t>in order to solicit Block</w:t>
      </w:r>
      <w:r w:rsidR="000A5ED3">
        <w:t xml:space="preserve"> </w:t>
      </w:r>
      <w:r w:rsidRPr="009448FC">
        <w:t>Ack responses.</w:t>
      </w:r>
    </w:p>
    <w:p w:rsidR="00774DD1" w:rsidRPr="009448FC" w:rsidRDefault="00774DD1" w:rsidP="00B7684C"/>
    <w:p w:rsidR="00B7684C" w:rsidRPr="009448FC" w:rsidRDefault="00B7684C" w:rsidP="00B7684C">
      <w:r w:rsidRPr="009448FC">
        <w:t>The recipient contains a Receive Reordering Buffer Control per TA/TID, which contains related control state.</w:t>
      </w:r>
      <w:r w:rsidR="009621FC" w:rsidRPr="009448FC">
        <w:t xml:space="preserve"> </w:t>
      </w:r>
    </w:p>
    <w:p w:rsidR="00774DD1" w:rsidRPr="009448FC" w:rsidRDefault="00774DD1" w:rsidP="00B7684C"/>
    <w:p w:rsidR="00B7684C" w:rsidRPr="009448FC" w:rsidRDefault="00B7684C" w:rsidP="0047096B">
      <w:r w:rsidRPr="009448FC">
        <w:t xml:space="preserve">The receive reordering buffer is responsible for reordering MSDUs or A-MSDUs so that MSDUs or A-MSDUs are eventually passed up to the next MAC process in order of received sequence number (SN). It maintains its own state independent of the Scoreboard Context Control to perform this reordering as specified in </w:t>
      </w:r>
      <w:r w:rsidR="0047096B" w:rsidRPr="009448FC">
        <w:t>9</w:t>
      </w:r>
      <w:r w:rsidR="00015152" w:rsidRPr="009448FC">
        <w:t>.10.7.6</w:t>
      </w:r>
      <w:r w:rsidR="00F46922" w:rsidRPr="009448FC">
        <w:t>.</w:t>
      </w:r>
      <w:r w:rsidRPr="009448FC">
        <w:t xml:space="preserve"> </w:t>
      </w:r>
      <w:r w:rsidR="007C530A" w:rsidRPr="009448FC">
        <w:t>The delivery of in order MSDUs or A-MSDUs to the next MAC process is implementation dependent. In some cases, the receiver reordering buffer may be forced to hold on MSDUs ready for in order delivery due to deferred reception at the next MAC process.</w:t>
      </w:r>
      <w:r w:rsidR="00281486" w:rsidRPr="009448FC">
        <w:t xml:space="preserve"> </w:t>
      </w:r>
      <w:r w:rsidRPr="009448FC">
        <w:t>This behavior imposes handling of dynamic capacity. The reordering buffer is required to manage its</w:t>
      </w:r>
      <w:r w:rsidR="002022A8">
        <w:t xml:space="preserve"> least and most (in order) SN – </w:t>
      </w:r>
      <w:r w:rsidRPr="009448FC">
        <w:t>de</w:t>
      </w:r>
      <w:r w:rsidR="002022A8">
        <w:t xml:space="preserve">ferred-delivery MSDU or A-MSDUs – </w:t>
      </w:r>
      <w:r w:rsidRPr="009448FC">
        <w:t>marked as WinTail</w:t>
      </w:r>
      <w:r w:rsidRPr="009448FC">
        <w:rPr>
          <w:vertAlign w:val="subscript"/>
        </w:rPr>
        <w:t>B</w:t>
      </w:r>
      <w:r w:rsidRPr="009448FC">
        <w:t xml:space="preserve"> and WinHead</w:t>
      </w:r>
      <w:r w:rsidRPr="009448FC">
        <w:rPr>
          <w:vertAlign w:val="subscript"/>
        </w:rPr>
        <w:t>B</w:t>
      </w:r>
      <w:r w:rsidRPr="009448FC">
        <w:t xml:space="preserve">, respectively. </w:t>
      </w:r>
    </w:p>
    <w:p w:rsidR="00774DD1" w:rsidRPr="009448FC" w:rsidRDefault="00774DD1" w:rsidP="00DD40B9"/>
    <w:p w:rsidR="00B7684C" w:rsidRPr="009448FC" w:rsidRDefault="00DD40B9" w:rsidP="00DD40B9">
      <w:r w:rsidRPr="009448FC">
        <w:t>The scoreboard context control provides the WinCapacity</w:t>
      </w:r>
      <w:r w:rsidRPr="009448FC">
        <w:rPr>
          <w:vertAlign w:val="subscript"/>
        </w:rPr>
        <w:t>B</w:t>
      </w:r>
      <w:r w:rsidRPr="009448FC">
        <w:t xml:space="preserve">, actually controlled by the </w:t>
      </w:r>
      <w:r w:rsidR="00B7684C" w:rsidRPr="009448FC">
        <w:t xml:space="preserve">Reordering buffer </w:t>
      </w:r>
      <w:r w:rsidRPr="009448FC">
        <w:t>in addition to the bitmap field and</w:t>
      </w:r>
      <w:r w:rsidR="00B7684C" w:rsidRPr="009448FC">
        <w:t xml:space="preserve"> the Starting Sequence Number (SSN) field to be sent in BlockA</w:t>
      </w:r>
      <w:r w:rsidR="0076747A" w:rsidRPr="009448FC">
        <w:t>ck responses to the originator.</w:t>
      </w:r>
    </w:p>
    <w:p w:rsidR="0076747A" w:rsidRPr="009448FC" w:rsidRDefault="0076747A" w:rsidP="00B7684C">
      <w:r w:rsidRPr="009448FC">
        <w:t xml:space="preserve"> </w:t>
      </w:r>
    </w:p>
    <w:p w:rsidR="00B7684C" w:rsidRPr="009448FC" w:rsidRDefault="0076747A" w:rsidP="003701DB">
      <w:pPr>
        <w:pStyle w:val="Heading3"/>
        <w:numPr>
          <w:ilvl w:val="2"/>
          <w:numId w:val="108"/>
        </w:numPr>
      </w:pPr>
      <w:bookmarkStart w:id="2169" w:name="_Toc235400501"/>
      <w:bookmarkStart w:id="2170" w:name="_Toc259717170"/>
      <w:r w:rsidRPr="009448FC">
        <w:t xml:space="preserve">Scoreboard context control </w:t>
      </w:r>
      <w:r w:rsidR="003A7296" w:rsidRPr="009448FC">
        <w:t>with Flow Control</w:t>
      </w:r>
      <w:bookmarkEnd w:id="2169"/>
      <w:bookmarkEnd w:id="2170"/>
    </w:p>
    <w:p w:rsidR="0076747A" w:rsidRPr="009448FC" w:rsidRDefault="003A7296" w:rsidP="00446164">
      <w:r w:rsidRPr="009448FC">
        <w:t xml:space="preserve">The scoreboard context control with Flow Control is defined in </w:t>
      </w:r>
      <w:r w:rsidR="00446164" w:rsidRPr="009448FC">
        <w:t>9.10.7.3</w:t>
      </w:r>
      <w:r w:rsidR="005A23F3" w:rsidRPr="009448FC">
        <w:t xml:space="preserve"> and</w:t>
      </w:r>
      <w:r w:rsidR="00841BF4" w:rsidRPr="009448FC">
        <w:t xml:space="preserve"> </w:t>
      </w:r>
      <w:r w:rsidR="00446164" w:rsidRPr="009448FC">
        <w:t>9.10.7.4.</w:t>
      </w:r>
    </w:p>
    <w:p w:rsidR="0076747A" w:rsidRPr="009448FC" w:rsidRDefault="0076747A" w:rsidP="003701DB">
      <w:pPr>
        <w:pStyle w:val="Heading3"/>
        <w:numPr>
          <w:ilvl w:val="2"/>
          <w:numId w:val="108"/>
        </w:numPr>
      </w:pPr>
      <w:bookmarkStart w:id="2171" w:name="_Toc235400502"/>
      <w:bookmarkStart w:id="2172" w:name="_Toc259717171"/>
      <w:r w:rsidRPr="009448FC">
        <w:t>Receive Reordering Buffer with Flow Control operation</w:t>
      </w:r>
      <w:bookmarkEnd w:id="2171"/>
      <w:bookmarkEnd w:id="2172"/>
    </w:p>
    <w:p w:rsidR="0076747A" w:rsidRPr="009448FC" w:rsidRDefault="0076747A" w:rsidP="0076747A">
      <w:pPr>
        <w:rPr>
          <w:rFonts w:ascii="Arial" w:hAnsi="Arial"/>
          <w:b/>
        </w:rPr>
      </w:pPr>
    </w:p>
    <w:p w:rsidR="00B7684C" w:rsidRPr="009448FC" w:rsidRDefault="00B7684C" w:rsidP="003701DB">
      <w:pPr>
        <w:pStyle w:val="Heading4"/>
        <w:numPr>
          <w:ilvl w:val="3"/>
          <w:numId w:val="108"/>
        </w:numPr>
      </w:pPr>
      <w:bookmarkStart w:id="2173" w:name="_Toc235400503"/>
      <w:bookmarkStart w:id="2174" w:name="_Ref246142509"/>
      <w:bookmarkStart w:id="2175" w:name="_Toc259717172"/>
      <w:r w:rsidRPr="009448FC">
        <w:t>General</w:t>
      </w:r>
      <w:bookmarkEnd w:id="2173"/>
      <w:bookmarkEnd w:id="2174"/>
      <w:bookmarkEnd w:id="2175"/>
    </w:p>
    <w:p w:rsidR="00B7684C" w:rsidRPr="009448FC" w:rsidRDefault="00B7684C" w:rsidP="00B7684C">
      <w:r w:rsidRPr="009448FC">
        <w:t>A receive reordering buffer shall be maintained for each mmWave Block Ack agreement. Each receive reordering buffer includes a record comprising:</w:t>
      </w:r>
    </w:p>
    <w:p w:rsidR="00B7684C" w:rsidRPr="009448FC" w:rsidRDefault="00B7684C" w:rsidP="003701DB">
      <w:pPr>
        <w:numPr>
          <w:ilvl w:val="0"/>
          <w:numId w:val="9"/>
        </w:numPr>
      </w:pPr>
      <w:r w:rsidRPr="009448FC">
        <w:t>buffered MSDUs or A-MSDUs that have been received, but not yet passed up to the next MAC process</w:t>
      </w:r>
    </w:p>
    <w:p w:rsidR="00B7684C" w:rsidRPr="009448FC" w:rsidRDefault="00B7684C" w:rsidP="003701DB">
      <w:pPr>
        <w:numPr>
          <w:ilvl w:val="0"/>
          <w:numId w:val="9"/>
        </w:numPr>
      </w:pPr>
      <w:r w:rsidRPr="009448FC">
        <w:t>a WinStart</w:t>
      </w:r>
      <w:r w:rsidRPr="009448FC">
        <w:rPr>
          <w:vertAlign w:val="subscript"/>
        </w:rPr>
        <w:t>B</w:t>
      </w:r>
      <w:r w:rsidRPr="009448FC">
        <w:t xml:space="preserve"> parameter, indicating the value of the Sequence Number field (SN) of the first (in order of ascending sequence number) MSDU or A-MSDU that has not yet been received</w:t>
      </w:r>
    </w:p>
    <w:p w:rsidR="00B7684C" w:rsidRPr="009448FC" w:rsidRDefault="00B7684C" w:rsidP="003701DB">
      <w:pPr>
        <w:numPr>
          <w:ilvl w:val="0"/>
          <w:numId w:val="9"/>
        </w:numPr>
      </w:pPr>
      <w:r w:rsidRPr="009448FC">
        <w:t>a WinEnd</w:t>
      </w:r>
      <w:r w:rsidRPr="009448FC">
        <w:rPr>
          <w:vertAlign w:val="subscript"/>
        </w:rPr>
        <w:t>B</w:t>
      </w:r>
      <w:r w:rsidRPr="009448FC">
        <w:t xml:space="preserve"> parameter, indicating the highest SN expected to be received in the current reception range</w:t>
      </w:r>
    </w:p>
    <w:p w:rsidR="00B7684C" w:rsidRPr="009448FC" w:rsidRDefault="00B7684C" w:rsidP="003701DB">
      <w:pPr>
        <w:numPr>
          <w:ilvl w:val="0"/>
          <w:numId w:val="9"/>
        </w:numPr>
      </w:pPr>
      <w:r w:rsidRPr="009448FC">
        <w:lastRenderedPageBreak/>
        <w:t>a BuffSize</w:t>
      </w:r>
      <w:r w:rsidRPr="009448FC">
        <w:rPr>
          <w:vertAlign w:val="subscript"/>
        </w:rPr>
        <w:t>B</w:t>
      </w:r>
      <w:r w:rsidRPr="009448FC">
        <w:t xml:space="preserve"> parameter, indicating the size of the reception window</w:t>
      </w:r>
    </w:p>
    <w:p w:rsidR="00B7684C" w:rsidRPr="009448FC" w:rsidRDefault="00B7684C" w:rsidP="003701DB">
      <w:pPr>
        <w:numPr>
          <w:ilvl w:val="0"/>
          <w:numId w:val="9"/>
        </w:numPr>
      </w:pPr>
      <w:r w:rsidRPr="009448FC">
        <w:t>a WinTail</w:t>
      </w:r>
      <w:r w:rsidRPr="009448FC">
        <w:rPr>
          <w:vertAlign w:val="subscript"/>
        </w:rPr>
        <w:t>B</w:t>
      </w:r>
      <w:r w:rsidRPr="009448FC">
        <w:t xml:space="preserve"> parameter, indicating the value of the Sequence Number field (SN) of the first (in order of ascending sequence number) MSDU or A-MSDU that has not yet been de</w:t>
      </w:r>
      <w:r w:rsidR="00F21C90" w:rsidRPr="009448FC">
        <w:t>livered to the next MAC process</w:t>
      </w:r>
    </w:p>
    <w:p w:rsidR="00B7684C" w:rsidRPr="009448FC" w:rsidRDefault="00B7684C" w:rsidP="003701DB">
      <w:pPr>
        <w:numPr>
          <w:ilvl w:val="0"/>
          <w:numId w:val="9"/>
        </w:numPr>
      </w:pPr>
      <w:r w:rsidRPr="009448FC">
        <w:t>a WinHead</w:t>
      </w:r>
      <w:r w:rsidRPr="009448FC">
        <w:rPr>
          <w:vertAlign w:val="subscript"/>
        </w:rPr>
        <w:t>B</w:t>
      </w:r>
      <w:r w:rsidRPr="009448FC">
        <w:t xml:space="preserve"> parameter, indicating the highest SN received in the current reception range</w:t>
      </w:r>
    </w:p>
    <w:p w:rsidR="00B7684C" w:rsidRPr="009448FC" w:rsidRDefault="00B7684C" w:rsidP="00B7684C"/>
    <w:p w:rsidR="00B7684C" w:rsidRPr="009448FC" w:rsidRDefault="00B7684C" w:rsidP="00B7684C">
      <w:r w:rsidRPr="009448FC">
        <w:t>WinStart</w:t>
      </w:r>
      <w:r w:rsidRPr="009448FC">
        <w:rPr>
          <w:vertAlign w:val="subscript"/>
        </w:rPr>
        <w:t>B</w:t>
      </w:r>
      <w:r w:rsidRPr="009448FC">
        <w:t xml:space="preserve"> is initialized to the Starting Sequence Number field value (SSN) of the ADDBA request frame that elicited the ADDBA response frame that established the mmWave Block Ack agreement.</w:t>
      </w:r>
    </w:p>
    <w:p w:rsidR="00774DD1" w:rsidRPr="009448FC" w:rsidRDefault="00774DD1" w:rsidP="00B7684C"/>
    <w:p w:rsidR="00B7684C" w:rsidRPr="009448FC" w:rsidRDefault="00B7684C" w:rsidP="00B7684C">
      <w:r w:rsidRPr="009448FC">
        <w:t>WinEnd</w:t>
      </w:r>
      <w:r w:rsidRPr="009448FC">
        <w:rPr>
          <w:vertAlign w:val="subscript"/>
        </w:rPr>
        <w:t>B</w:t>
      </w:r>
      <w:r w:rsidRPr="009448FC">
        <w:t xml:space="preserve"> is initialized to WinStart</w:t>
      </w:r>
      <w:r w:rsidRPr="009448FC">
        <w:rPr>
          <w:vertAlign w:val="subscript"/>
        </w:rPr>
        <w:t>B</w:t>
      </w:r>
      <w:r w:rsidRPr="009448FC">
        <w:t xml:space="preserve"> + BufSize</w:t>
      </w:r>
      <w:r w:rsidRPr="009448FC">
        <w:rPr>
          <w:vertAlign w:val="subscript"/>
        </w:rPr>
        <w:t>B</w:t>
      </w:r>
      <w:r w:rsidRPr="009448FC">
        <w:t xml:space="preserve"> - 1, where BufSize</w:t>
      </w:r>
      <w:r w:rsidRPr="009448FC">
        <w:rPr>
          <w:vertAlign w:val="subscript"/>
        </w:rPr>
        <w:t>B</w:t>
      </w:r>
      <w:r w:rsidRPr="009448FC">
        <w:t xml:space="preserve"> is set to the value of the Buffer Size field of the ADDBA Response frame that established the Block Ack agreement.</w:t>
      </w:r>
    </w:p>
    <w:p w:rsidR="00391B5F" w:rsidRPr="009448FC" w:rsidRDefault="00391B5F" w:rsidP="00B7684C"/>
    <w:p w:rsidR="00B7684C" w:rsidRPr="009448FC" w:rsidRDefault="00B7684C" w:rsidP="00B7684C">
      <w:r w:rsidRPr="009448FC">
        <w:t>Both WinTail</w:t>
      </w:r>
      <w:r w:rsidRPr="009448FC">
        <w:rPr>
          <w:vertAlign w:val="subscript"/>
        </w:rPr>
        <w:t>B</w:t>
      </w:r>
      <w:r w:rsidRPr="009448FC">
        <w:t xml:space="preserve"> and WinHead</w:t>
      </w:r>
      <w:r w:rsidRPr="009448FC">
        <w:rPr>
          <w:vertAlign w:val="subscript"/>
        </w:rPr>
        <w:t>B</w:t>
      </w:r>
      <w:r w:rsidRPr="009448FC">
        <w:t xml:space="preserve"> are initialized to the preceding Starting Sequence Number field value (SSN-1), to indicate no MPDU was received, within the current reception window.</w:t>
      </w:r>
    </w:p>
    <w:p w:rsidR="00B7684C" w:rsidRPr="009448FC" w:rsidRDefault="00B7684C" w:rsidP="00B7684C"/>
    <w:p w:rsidR="00B7684C" w:rsidRPr="009448FC" w:rsidRDefault="00B7684C" w:rsidP="00B7684C">
      <w:r w:rsidRPr="009448FC">
        <w:t>Any MSDU or A-MSDU that has been passed up to the next MAC process shall be deleted from the receive reordering buffer, advancing the WinTail</w:t>
      </w:r>
      <w:r w:rsidRPr="009448FC">
        <w:rPr>
          <w:vertAlign w:val="subscript"/>
        </w:rPr>
        <w:t>B</w:t>
      </w:r>
      <w:r w:rsidRPr="009448FC">
        <w:t>.</w:t>
      </w:r>
    </w:p>
    <w:p w:rsidR="00391B5F" w:rsidRPr="009448FC" w:rsidRDefault="00391B5F" w:rsidP="00B7684C"/>
    <w:p w:rsidR="00B7684C" w:rsidRPr="009448FC" w:rsidRDefault="00B7684C" w:rsidP="00B7684C">
      <w:r w:rsidRPr="009448FC">
        <w:t>The recipient shall always pass MSDUs or A-MSDUs up to the next MAC process in order of increasing Sequence Number field value.</w:t>
      </w:r>
    </w:p>
    <w:p w:rsidR="00B7684C" w:rsidRPr="009448FC" w:rsidRDefault="00F21C90" w:rsidP="00F21C90">
      <w:pPr>
        <w:pStyle w:val="Heading4"/>
      </w:pPr>
      <w:bookmarkStart w:id="2176" w:name="_Toc235400504"/>
      <w:bookmarkStart w:id="2177" w:name="_Toc259717173"/>
      <w:r w:rsidRPr="009448FC">
        <w:t xml:space="preserve">9.26.3.2 </w:t>
      </w:r>
      <w:r w:rsidR="00B7684C" w:rsidRPr="009448FC">
        <w:t xml:space="preserve">Operation for mmWave Block Ack agreement </w:t>
      </w:r>
      <w:r w:rsidR="00EE16E6">
        <w:t>i</w:t>
      </w:r>
      <w:r w:rsidR="00B7684C" w:rsidRPr="009448FC">
        <w:t>nitialization</w:t>
      </w:r>
      <w:bookmarkEnd w:id="2176"/>
      <w:bookmarkEnd w:id="2177"/>
    </w:p>
    <w:p w:rsidR="00B7684C" w:rsidRPr="009448FC" w:rsidRDefault="00B7684C" w:rsidP="003701DB">
      <w:pPr>
        <w:numPr>
          <w:ilvl w:val="0"/>
          <w:numId w:val="12"/>
        </w:numPr>
        <w:ind w:left="360"/>
      </w:pPr>
      <w:r w:rsidRPr="009448FC">
        <w:t>At mmWave Block Ack agreement establishment:</w:t>
      </w:r>
    </w:p>
    <w:p w:rsidR="00B7684C" w:rsidRPr="009448FC" w:rsidRDefault="00B7684C" w:rsidP="003701DB">
      <w:pPr>
        <w:numPr>
          <w:ilvl w:val="0"/>
          <w:numId w:val="13"/>
        </w:numPr>
        <w:ind w:left="900"/>
      </w:pPr>
      <w:r w:rsidRPr="009448FC">
        <w:t>WinStart</w:t>
      </w:r>
      <w:r w:rsidRPr="009448FC">
        <w:rPr>
          <w:vertAlign w:val="subscript"/>
        </w:rPr>
        <w:t>B</w:t>
      </w:r>
      <w:r w:rsidR="00281486" w:rsidRPr="009448FC">
        <w:rPr>
          <w:vertAlign w:val="subscript"/>
        </w:rPr>
        <w:t xml:space="preserve"> </w:t>
      </w:r>
      <w:r w:rsidRPr="009448FC">
        <w:t>SSN from the ADDBA request frame that elicited the ADDBA response frame that established the mmWave Block Ack agreement</w:t>
      </w:r>
    </w:p>
    <w:p w:rsidR="00B7684C" w:rsidRPr="009448FC" w:rsidRDefault="00B7684C" w:rsidP="003701DB">
      <w:pPr>
        <w:numPr>
          <w:ilvl w:val="0"/>
          <w:numId w:val="13"/>
        </w:numPr>
        <w:ind w:left="900"/>
      </w:pPr>
      <w:r w:rsidRPr="009448FC">
        <w:t>WinEnd</w:t>
      </w:r>
      <w:r w:rsidRPr="009448FC">
        <w:rPr>
          <w:vertAlign w:val="subscript"/>
        </w:rPr>
        <w:t>B</w:t>
      </w:r>
      <w:r w:rsidR="00281486" w:rsidRPr="009448FC">
        <w:rPr>
          <w:vertAlign w:val="subscript"/>
        </w:rPr>
        <w:t xml:space="preserve"> </w:t>
      </w:r>
      <w:r w:rsidRPr="009448FC">
        <w:t>= WinStart</w:t>
      </w:r>
      <w:r w:rsidRPr="009448FC">
        <w:rPr>
          <w:vertAlign w:val="subscript"/>
        </w:rPr>
        <w:t>B</w:t>
      </w:r>
      <w:r w:rsidR="00281486" w:rsidRPr="009448FC">
        <w:rPr>
          <w:vertAlign w:val="subscript"/>
        </w:rPr>
        <w:t xml:space="preserve"> </w:t>
      </w:r>
      <w:r w:rsidRPr="009448FC">
        <w:t>+ BufSize</w:t>
      </w:r>
      <w:r w:rsidRPr="009448FC">
        <w:rPr>
          <w:vertAlign w:val="subscript"/>
        </w:rPr>
        <w:t>B</w:t>
      </w:r>
      <w:r w:rsidR="00281486" w:rsidRPr="009448FC">
        <w:rPr>
          <w:vertAlign w:val="subscript"/>
        </w:rPr>
        <w:t xml:space="preserve"> </w:t>
      </w:r>
      <w:r w:rsidR="00F21C90" w:rsidRPr="009448FC">
        <w:t>- 1</w:t>
      </w:r>
    </w:p>
    <w:p w:rsidR="00B7684C" w:rsidRPr="009448FC" w:rsidRDefault="00B7684C" w:rsidP="003701DB">
      <w:pPr>
        <w:numPr>
          <w:ilvl w:val="0"/>
          <w:numId w:val="13"/>
        </w:numPr>
        <w:ind w:left="900"/>
      </w:pPr>
      <w:r w:rsidRPr="009448FC">
        <w:t>WinCapacity</w:t>
      </w:r>
      <w:r w:rsidRPr="009448FC">
        <w:rPr>
          <w:vertAlign w:val="subscript"/>
        </w:rPr>
        <w:t xml:space="preserve">B </w:t>
      </w:r>
      <w:r w:rsidRPr="009448FC">
        <w:t>= BufSize</w:t>
      </w:r>
      <w:r w:rsidRPr="009448FC">
        <w:rPr>
          <w:vertAlign w:val="subscript"/>
        </w:rPr>
        <w:t>B</w:t>
      </w:r>
    </w:p>
    <w:p w:rsidR="00B7684C" w:rsidRPr="009448FC" w:rsidRDefault="00B7684C" w:rsidP="003701DB">
      <w:pPr>
        <w:numPr>
          <w:ilvl w:val="0"/>
          <w:numId w:val="13"/>
        </w:numPr>
        <w:ind w:left="900"/>
      </w:pPr>
      <w:r w:rsidRPr="009448FC">
        <w:t>WinHead</w:t>
      </w:r>
      <w:r w:rsidRPr="009448FC">
        <w:rPr>
          <w:vertAlign w:val="subscript"/>
        </w:rPr>
        <w:t>B</w:t>
      </w:r>
      <w:r w:rsidRPr="009448FC">
        <w:t xml:space="preserve"> = SSN-1, where SSN is taken from the ADDBA request, similar to WinStart</w:t>
      </w:r>
      <w:r w:rsidRPr="009448FC">
        <w:rPr>
          <w:vertAlign w:val="subscript"/>
        </w:rPr>
        <w:t>B</w:t>
      </w:r>
    </w:p>
    <w:p w:rsidR="00B7684C" w:rsidRPr="009448FC" w:rsidRDefault="00B7684C" w:rsidP="003701DB">
      <w:pPr>
        <w:numPr>
          <w:ilvl w:val="0"/>
          <w:numId w:val="13"/>
        </w:numPr>
        <w:ind w:left="900"/>
      </w:pPr>
      <w:r w:rsidRPr="009448FC">
        <w:t>WinTail</w:t>
      </w:r>
      <w:r w:rsidRPr="009448FC">
        <w:rPr>
          <w:vertAlign w:val="subscript"/>
        </w:rPr>
        <w:t>B</w:t>
      </w:r>
      <w:r w:rsidRPr="009448FC">
        <w:t xml:space="preserve"> = SSN-1</w:t>
      </w:r>
    </w:p>
    <w:p w:rsidR="00B7684C" w:rsidRPr="009448FC" w:rsidRDefault="00F21C90" w:rsidP="00F21C90">
      <w:pPr>
        <w:pStyle w:val="Heading4"/>
      </w:pPr>
      <w:bookmarkStart w:id="2178" w:name="_Toc235400505"/>
      <w:bookmarkStart w:id="2179" w:name="_Toc259717174"/>
      <w:r w:rsidRPr="009448FC">
        <w:t xml:space="preserve">9.26.3.3 </w:t>
      </w:r>
      <w:r w:rsidR="00B7684C" w:rsidRPr="009448FC">
        <w:t>Operation for each received data MPDU</w:t>
      </w:r>
      <w:bookmarkEnd w:id="2178"/>
      <w:bookmarkEnd w:id="2179"/>
    </w:p>
    <w:p w:rsidR="00B7684C" w:rsidRPr="009448FC" w:rsidRDefault="00B7684C" w:rsidP="00B7684C">
      <w:pPr>
        <w:rPr>
          <w:rFonts w:eastAsia="MS Mincho"/>
        </w:rPr>
      </w:pPr>
      <w:r w:rsidRPr="009448FC">
        <w:rPr>
          <w:rFonts w:eastAsia="MS Mincho"/>
        </w:rPr>
        <w:t>For each received data MPDU that is related to a specific mmWave Block Ack agreement, the receive reordering buffer record is modified as follows, where SN is the value of the Sequence Number field of the received MPDU:</w:t>
      </w:r>
    </w:p>
    <w:p w:rsidR="00065BE1" w:rsidRPr="009448FC" w:rsidRDefault="00065BE1" w:rsidP="00B7684C">
      <w:pPr>
        <w:rPr>
          <w:rFonts w:eastAsia="MS Mincho"/>
        </w:rPr>
      </w:pPr>
    </w:p>
    <w:p w:rsidR="00B7684C" w:rsidRPr="009448FC" w:rsidRDefault="00B7684C" w:rsidP="003701DB">
      <w:pPr>
        <w:numPr>
          <w:ilvl w:val="0"/>
          <w:numId w:val="11"/>
        </w:numPr>
        <w:rPr>
          <w:rFonts w:eastAsia="MS Mincho"/>
        </w:rPr>
      </w:pPr>
      <w:r w:rsidRPr="009448FC">
        <w:rPr>
          <w:rFonts w:eastAsia="MS Mincho"/>
        </w:rPr>
        <w:t>If</w:t>
      </w:r>
      <w:r w:rsidR="00EE1100" w:rsidRPr="009448FC">
        <w:rPr>
          <w:rFonts w:eastAsia="MS Mincho"/>
        </w:rPr>
        <w:t xml:space="preserve"> </w:t>
      </w:r>
      <w:r w:rsidRPr="009448FC">
        <w:t>WinStart</w:t>
      </w:r>
      <w:r w:rsidRPr="009448FC">
        <w:rPr>
          <w:vertAlign w:val="subscript"/>
        </w:rPr>
        <w:t>B</w:t>
      </w:r>
      <w:r w:rsidRPr="009448FC">
        <w:t xml:space="preserve"> &lt;= SN &lt;= WinEnd</w:t>
      </w:r>
      <w:r w:rsidRPr="009448FC">
        <w:rPr>
          <w:vertAlign w:val="subscript"/>
        </w:rPr>
        <w:t>B</w:t>
      </w:r>
    </w:p>
    <w:p w:rsidR="00B7684C" w:rsidRPr="009448FC" w:rsidRDefault="00B7684C" w:rsidP="003701DB">
      <w:pPr>
        <w:numPr>
          <w:ilvl w:val="1"/>
          <w:numId w:val="11"/>
        </w:numPr>
        <w:rPr>
          <w:rFonts w:eastAsia="MS Mincho"/>
        </w:rPr>
      </w:pPr>
      <w:r w:rsidRPr="009448FC">
        <w:rPr>
          <w:rFonts w:eastAsia="MS Mincho"/>
        </w:rPr>
        <w:t>Store the received MPDU in the buffer</w:t>
      </w:r>
    </w:p>
    <w:p w:rsidR="00B7684C" w:rsidRPr="009448FC" w:rsidRDefault="00B7684C" w:rsidP="003701DB">
      <w:pPr>
        <w:numPr>
          <w:ilvl w:val="2"/>
          <w:numId w:val="11"/>
        </w:numPr>
        <w:rPr>
          <w:rFonts w:eastAsia="MS Mincho"/>
        </w:rPr>
      </w:pPr>
      <w:r w:rsidRPr="009448FC">
        <w:rPr>
          <w:rFonts w:eastAsia="MS Mincho"/>
        </w:rPr>
        <w:t>If SN &gt; WinHead</w:t>
      </w:r>
      <w:r w:rsidRPr="009448FC">
        <w:rPr>
          <w:rFonts w:eastAsia="MS Mincho"/>
          <w:vertAlign w:val="subscript"/>
        </w:rPr>
        <w:t xml:space="preserve">B, </w:t>
      </w:r>
      <w:r w:rsidRPr="009448FC">
        <w:rPr>
          <w:rFonts w:eastAsia="MS Mincho"/>
        </w:rPr>
        <w:t>Set WinHead</w:t>
      </w:r>
      <w:r w:rsidRPr="009448FC">
        <w:rPr>
          <w:rFonts w:eastAsia="MS Mincho"/>
          <w:vertAlign w:val="subscript"/>
        </w:rPr>
        <w:t>B</w:t>
      </w:r>
      <w:r w:rsidRPr="009448FC">
        <w:rPr>
          <w:rFonts w:eastAsia="MS Mincho"/>
        </w:rPr>
        <w:t xml:space="preserve"> = SN.</w:t>
      </w:r>
    </w:p>
    <w:p w:rsidR="00B7684C" w:rsidRPr="009448FC" w:rsidRDefault="00B7684C" w:rsidP="003701DB">
      <w:pPr>
        <w:numPr>
          <w:ilvl w:val="2"/>
          <w:numId w:val="11"/>
        </w:numPr>
      </w:pPr>
      <w:r w:rsidRPr="009448FC">
        <w:t>if SN &gt; (WinTail</w:t>
      </w:r>
      <w:r w:rsidR="00CE0178" w:rsidRPr="009448FC">
        <w:rPr>
          <w:vertAlign w:val="subscript"/>
        </w:rPr>
        <w:t>B</w:t>
      </w:r>
      <w:r w:rsidRPr="009448FC">
        <w:t xml:space="preserve"> + BufSize</w:t>
      </w:r>
      <w:r w:rsidRPr="009448FC">
        <w:rPr>
          <w:vertAlign w:val="subscript"/>
        </w:rPr>
        <w:t>B</w:t>
      </w:r>
      <w:r w:rsidRPr="009448FC">
        <w:t xml:space="preserve">), </w:t>
      </w:r>
    </w:p>
    <w:p w:rsidR="00B7684C" w:rsidRPr="009448FC" w:rsidRDefault="00B7684C" w:rsidP="003701DB">
      <w:pPr>
        <w:numPr>
          <w:ilvl w:val="3"/>
          <w:numId w:val="11"/>
        </w:numPr>
      </w:pPr>
      <w:r w:rsidRPr="009448FC">
        <w:t>all MSDU buffers with sequence numbers from WinTail</w:t>
      </w:r>
      <w:r w:rsidRPr="009448FC">
        <w:rPr>
          <w:vertAlign w:val="subscript"/>
        </w:rPr>
        <w:t>B</w:t>
      </w:r>
      <w:r w:rsidRPr="009448FC">
        <w:t xml:space="preserve"> to SN-BufSize</w:t>
      </w:r>
      <w:r w:rsidRPr="009448FC">
        <w:rPr>
          <w:vertAlign w:val="subscript"/>
        </w:rPr>
        <w:t>B</w:t>
      </w:r>
      <w:r w:rsidR="0086374C" w:rsidRPr="009448FC">
        <w:t xml:space="preserve"> that were received correctly are passed to the next MAC process. </w:t>
      </w:r>
    </w:p>
    <w:p w:rsidR="00B7684C" w:rsidRPr="009448FC" w:rsidRDefault="00B7684C" w:rsidP="003701DB">
      <w:pPr>
        <w:numPr>
          <w:ilvl w:val="3"/>
          <w:numId w:val="11"/>
        </w:numPr>
      </w:pPr>
      <w:r w:rsidRPr="009448FC">
        <w:t>set WinTail</w:t>
      </w:r>
      <w:r w:rsidRPr="009448FC">
        <w:rPr>
          <w:vertAlign w:val="subscript"/>
        </w:rPr>
        <w:t>B</w:t>
      </w:r>
      <w:r w:rsidRPr="009448FC">
        <w:t xml:space="preserve"> = SN-BufSize</w:t>
      </w:r>
      <w:r w:rsidRPr="009448FC">
        <w:rPr>
          <w:vertAlign w:val="subscript"/>
        </w:rPr>
        <w:t>B</w:t>
      </w:r>
    </w:p>
    <w:p w:rsidR="00B7684C" w:rsidRPr="009448FC" w:rsidRDefault="00B7684C" w:rsidP="003701DB">
      <w:pPr>
        <w:numPr>
          <w:ilvl w:val="2"/>
          <w:numId w:val="11"/>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B7684C" w:rsidRPr="009448FC" w:rsidRDefault="00B7684C" w:rsidP="003701DB">
      <w:pPr>
        <w:numPr>
          <w:ilvl w:val="1"/>
          <w:numId w:val="11"/>
        </w:numPr>
        <w:rPr>
          <w:rFonts w:eastAsia="MS Mincho"/>
        </w:rPr>
      </w:pPr>
      <w:r w:rsidRPr="009448FC">
        <w:rPr>
          <w:rFonts w:eastAsia="MS Mincho"/>
        </w:rPr>
        <w:t>Set WinStart</w:t>
      </w:r>
      <w:r w:rsidRPr="009448FC">
        <w:rPr>
          <w:rFonts w:eastAsia="MS Mincho"/>
          <w:vertAlign w:val="subscript"/>
        </w:rPr>
        <w:t>B</w:t>
      </w:r>
      <w:r w:rsidRPr="009448FC">
        <w:rPr>
          <w:rFonts w:eastAsia="MS Mincho"/>
        </w:rPr>
        <w:t xml:space="preserve"> to the value of the Sequence Number field of the first MSDU or A-MSDU that is missing to allow in-order delivery to the next MAC process</w:t>
      </w:r>
    </w:p>
    <w:p w:rsidR="00B7684C" w:rsidRPr="009448FC" w:rsidRDefault="00B7684C" w:rsidP="003701DB">
      <w:pPr>
        <w:numPr>
          <w:ilvl w:val="1"/>
          <w:numId w:val="11"/>
        </w:numPr>
        <w:rPr>
          <w:rFonts w:eastAsia="MS Mincho"/>
        </w:rPr>
      </w:pPr>
      <w:r w:rsidRPr="009448FC">
        <w:rPr>
          <w:rFonts w:eastAsia="MS Mincho"/>
        </w:rPr>
        <w:t>Set WinEnd</w:t>
      </w:r>
      <w:r w:rsidRPr="009448FC">
        <w:rPr>
          <w:rFonts w:eastAsia="MS Mincho"/>
          <w:vertAlign w:val="subscript"/>
        </w:rPr>
        <w:t>B</w:t>
      </w:r>
      <w:r w:rsidRPr="009448FC">
        <w:rPr>
          <w:rFonts w:eastAsia="MS Mincho"/>
        </w:rPr>
        <w:t xml:space="preserve"> = WinStart</w:t>
      </w:r>
      <w:r w:rsidRPr="009448FC">
        <w:rPr>
          <w:rFonts w:eastAsia="MS Mincho"/>
          <w:vertAlign w:val="subscript"/>
        </w:rPr>
        <w:t>B</w:t>
      </w:r>
      <w:r w:rsidRPr="009448FC">
        <w:rPr>
          <w:rFonts w:eastAsia="MS Mincho"/>
        </w:rPr>
        <w:t xml:space="preserve"> + BufSize</w:t>
      </w:r>
      <w:r w:rsidRPr="009448FC">
        <w:rPr>
          <w:rFonts w:eastAsia="MS Mincho"/>
          <w:vertAlign w:val="subscript"/>
        </w:rPr>
        <w:t xml:space="preserve">B </w:t>
      </w:r>
      <w:r w:rsidR="006919BD" w:rsidRPr="009448FC">
        <w:rPr>
          <w:rFonts w:eastAsia="MS Mincho"/>
        </w:rPr>
        <w:t>–</w:t>
      </w:r>
      <w:r w:rsidRPr="009448FC">
        <w:rPr>
          <w:rFonts w:eastAsia="MS Mincho"/>
        </w:rPr>
        <w:t xml:space="preserve"> 1</w:t>
      </w:r>
    </w:p>
    <w:p w:rsidR="006919BD" w:rsidRPr="009448FC" w:rsidRDefault="006919BD" w:rsidP="006919BD">
      <w:pPr>
        <w:ind w:left="720"/>
        <w:rPr>
          <w:rFonts w:eastAsia="MS Mincho"/>
        </w:rPr>
      </w:pPr>
    </w:p>
    <w:p w:rsidR="00B7684C" w:rsidRPr="009448FC" w:rsidRDefault="00B7684C" w:rsidP="003701DB">
      <w:pPr>
        <w:numPr>
          <w:ilvl w:val="0"/>
          <w:numId w:val="11"/>
        </w:numPr>
        <w:rPr>
          <w:rFonts w:eastAsia="MS Mincho"/>
        </w:rPr>
      </w:pPr>
      <w:r w:rsidRPr="009448FC">
        <w:rPr>
          <w:rFonts w:eastAsia="MS Mincho"/>
        </w:rPr>
        <w:t xml:space="preserve">If </w:t>
      </w:r>
      <w:r w:rsidRPr="009448FC">
        <w:t>WinEnd</w:t>
      </w:r>
      <w:r w:rsidRPr="009448FC">
        <w:rPr>
          <w:vertAlign w:val="subscript"/>
        </w:rPr>
        <w:t>B</w:t>
      </w:r>
      <w:r w:rsidR="00281486" w:rsidRPr="009448FC">
        <w:rPr>
          <w:vertAlign w:val="subscript"/>
        </w:rPr>
        <w:t xml:space="preserve"> </w:t>
      </w:r>
      <w:r w:rsidRPr="009448FC">
        <w:t>&lt; SN &lt; WinStart</w:t>
      </w:r>
      <w:r w:rsidRPr="009448FC">
        <w:rPr>
          <w:vertAlign w:val="subscript"/>
        </w:rPr>
        <w:t>B</w:t>
      </w:r>
      <w:r w:rsidRPr="009448FC">
        <w:t xml:space="preserve"> + 2</w:t>
      </w:r>
      <w:r w:rsidRPr="009448FC">
        <w:rPr>
          <w:vertAlign w:val="superscript"/>
        </w:rPr>
        <w:t>11</w:t>
      </w:r>
    </w:p>
    <w:p w:rsidR="00B7684C" w:rsidRPr="009448FC" w:rsidRDefault="00B7684C" w:rsidP="003701DB">
      <w:pPr>
        <w:numPr>
          <w:ilvl w:val="1"/>
          <w:numId w:val="11"/>
        </w:numPr>
        <w:rPr>
          <w:rFonts w:eastAsia="MS Mincho"/>
        </w:rPr>
      </w:pPr>
      <w:r w:rsidRPr="009448FC">
        <w:rPr>
          <w:rFonts w:eastAsia="MS Mincho"/>
        </w:rPr>
        <w:lastRenderedPageBreak/>
        <w:t>Store the received MPDU in the buffer</w:t>
      </w:r>
    </w:p>
    <w:p w:rsidR="00B7684C" w:rsidRPr="009448FC" w:rsidRDefault="00B7684C" w:rsidP="003701DB">
      <w:pPr>
        <w:numPr>
          <w:ilvl w:val="1"/>
          <w:numId w:val="11"/>
        </w:numPr>
        <w:rPr>
          <w:rFonts w:eastAsia="MS Mincho"/>
        </w:rPr>
      </w:pPr>
      <w:r w:rsidRPr="009448FC">
        <w:rPr>
          <w:rFonts w:eastAsia="MS Mincho"/>
        </w:rPr>
        <w:t>set WinEnd</w:t>
      </w:r>
      <w:r w:rsidRPr="009448FC">
        <w:rPr>
          <w:rFonts w:eastAsia="MS Mincho"/>
          <w:vertAlign w:val="subscript"/>
        </w:rPr>
        <w:t>B</w:t>
      </w:r>
      <w:r w:rsidRPr="009448FC">
        <w:rPr>
          <w:rFonts w:eastAsia="MS Mincho"/>
        </w:rPr>
        <w:t xml:space="preserve"> = SN</w:t>
      </w:r>
    </w:p>
    <w:p w:rsidR="00B7684C" w:rsidRPr="009448FC" w:rsidRDefault="00B7684C" w:rsidP="003701DB">
      <w:pPr>
        <w:numPr>
          <w:ilvl w:val="1"/>
          <w:numId w:val="11"/>
        </w:numPr>
        <w:rPr>
          <w:rFonts w:eastAsia="MS Mincho"/>
        </w:rPr>
      </w:pPr>
      <w:r w:rsidRPr="009448FC">
        <w:rPr>
          <w:rFonts w:eastAsia="MS Mincho"/>
        </w:rPr>
        <w:t>set WinStart</w:t>
      </w:r>
      <w:r w:rsidRPr="009448FC">
        <w:rPr>
          <w:rFonts w:eastAsia="MS Mincho"/>
          <w:vertAlign w:val="subscript"/>
        </w:rPr>
        <w:t>B</w:t>
      </w:r>
      <w:r w:rsidRPr="009448FC">
        <w:rPr>
          <w:rFonts w:eastAsia="MS Mincho"/>
        </w:rPr>
        <w:t xml:space="preserve"> = WinEnd</w:t>
      </w:r>
      <w:r w:rsidRPr="009448FC">
        <w:rPr>
          <w:rFonts w:eastAsia="MS Mincho"/>
          <w:vertAlign w:val="subscript"/>
        </w:rPr>
        <w:t xml:space="preserve">B </w:t>
      </w:r>
      <w:r w:rsidRPr="009448FC">
        <w:rPr>
          <w:rFonts w:eastAsia="MS Mincho"/>
        </w:rPr>
        <w:t>- BufSize</w:t>
      </w:r>
      <w:r w:rsidRPr="009448FC">
        <w:rPr>
          <w:rFonts w:eastAsia="MS Mincho"/>
          <w:vertAlign w:val="subscript"/>
        </w:rPr>
        <w:t>B</w:t>
      </w:r>
      <w:r w:rsidRPr="009448FC">
        <w:rPr>
          <w:rFonts w:eastAsia="MS Mincho"/>
        </w:rPr>
        <w:t xml:space="preserve"> + 1</w:t>
      </w:r>
    </w:p>
    <w:p w:rsidR="00B7684C" w:rsidRPr="009448FC" w:rsidRDefault="00B7684C" w:rsidP="003701DB">
      <w:pPr>
        <w:numPr>
          <w:ilvl w:val="1"/>
          <w:numId w:val="11"/>
        </w:numPr>
      </w:pPr>
      <w:r w:rsidRPr="009448FC">
        <w:t>all MSDU buffers with sequence numbers from WinTail</w:t>
      </w:r>
      <w:r w:rsidRPr="009448FC">
        <w:rPr>
          <w:vertAlign w:val="subscript"/>
        </w:rPr>
        <w:t>B</w:t>
      </w:r>
      <w:r w:rsidRPr="009448FC">
        <w:t xml:space="preserve"> to SN-BufSize</w:t>
      </w:r>
      <w:r w:rsidRPr="009448FC">
        <w:rPr>
          <w:vertAlign w:val="subscript"/>
        </w:rPr>
        <w:t>B</w:t>
      </w:r>
      <w:r w:rsidR="0086374C" w:rsidRPr="009448FC">
        <w:rPr>
          <w:vertAlign w:val="subscript"/>
        </w:rPr>
        <w:t xml:space="preserve"> </w:t>
      </w:r>
      <w:r w:rsidR="0086374C" w:rsidRPr="009448FC">
        <w:t>that were received correctly are passed to the next MAC process</w:t>
      </w:r>
      <w:r w:rsidRPr="009448FC">
        <w:t>.</w:t>
      </w:r>
    </w:p>
    <w:p w:rsidR="00B7684C" w:rsidRPr="009448FC" w:rsidRDefault="00B7684C" w:rsidP="003701DB">
      <w:pPr>
        <w:numPr>
          <w:ilvl w:val="1"/>
          <w:numId w:val="11"/>
        </w:numPr>
      </w:pPr>
      <w:r w:rsidRPr="009448FC">
        <w:t>set WinTail</w:t>
      </w:r>
      <w:r w:rsidRPr="009448FC">
        <w:rPr>
          <w:vertAlign w:val="subscript"/>
        </w:rPr>
        <w:t>B</w:t>
      </w:r>
      <w:r w:rsidRPr="009448FC">
        <w:t xml:space="preserve"> = SN-BufSize</w:t>
      </w:r>
      <w:r w:rsidRPr="009448FC">
        <w:rPr>
          <w:vertAlign w:val="subscript"/>
        </w:rPr>
        <w:t>B</w:t>
      </w:r>
    </w:p>
    <w:p w:rsidR="00B7684C" w:rsidRPr="009448FC" w:rsidRDefault="00B7684C" w:rsidP="003701DB">
      <w:pPr>
        <w:numPr>
          <w:ilvl w:val="1"/>
          <w:numId w:val="11"/>
        </w:numPr>
      </w:pPr>
      <w:r w:rsidRPr="009448FC">
        <w:t>set WinHead</w:t>
      </w:r>
      <w:r w:rsidRPr="009448FC">
        <w:rPr>
          <w:vertAlign w:val="subscript"/>
        </w:rPr>
        <w:t>B</w:t>
      </w:r>
      <w:r w:rsidRPr="009448FC">
        <w:t xml:space="preserve"> = SN</w:t>
      </w:r>
    </w:p>
    <w:p w:rsidR="00B7684C" w:rsidRPr="009448FC" w:rsidRDefault="00B7684C" w:rsidP="003701DB">
      <w:pPr>
        <w:numPr>
          <w:ilvl w:val="1"/>
          <w:numId w:val="11"/>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6919BD" w:rsidRPr="009448FC" w:rsidRDefault="006919BD" w:rsidP="006919BD">
      <w:pPr>
        <w:ind w:left="720"/>
      </w:pPr>
    </w:p>
    <w:p w:rsidR="00B7684C" w:rsidRPr="009448FC" w:rsidRDefault="00B7684C" w:rsidP="003701DB">
      <w:pPr>
        <w:numPr>
          <w:ilvl w:val="0"/>
          <w:numId w:val="11"/>
        </w:numPr>
        <w:rPr>
          <w:rFonts w:eastAsia="MS Mincho"/>
        </w:rPr>
      </w:pPr>
      <w:r w:rsidRPr="009448FC">
        <w:rPr>
          <w:rFonts w:eastAsia="MS Mincho"/>
        </w:rPr>
        <w:t xml:space="preserve">If </w:t>
      </w:r>
      <w:r w:rsidRPr="009448FC">
        <w:t>WinStart</w:t>
      </w:r>
      <w:r w:rsidRPr="009448FC">
        <w:rPr>
          <w:vertAlign w:val="subscript"/>
        </w:rPr>
        <w:t>B</w:t>
      </w:r>
      <w:r w:rsidRPr="009448FC">
        <w:t xml:space="preserve"> + 2</w:t>
      </w:r>
      <w:r w:rsidRPr="009448FC">
        <w:rPr>
          <w:vertAlign w:val="superscript"/>
        </w:rPr>
        <w:t>11</w:t>
      </w:r>
      <w:r w:rsidRPr="009448FC">
        <w:t>&lt;= SN &lt; WinStart</w:t>
      </w:r>
      <w:r w:rsidRPr="009448FC">
        <w:rPr>
          <w:vertAlign w:val="subscript"/>
        </w:rPr>
        <w:t>B</w:t>
      </w:r>
      <w:r w:rsidR="00655EA4" w:rsidRPr="009448FC">
        <w:rPr>
          <w:rFonts w:eastAsia="MS Mincho"/>
        </w:rPr>
        <w:t>,</w:t>
      </w:r>
      <w:r w:rsidRPr="009448FC">
        <w:rPr>
          <w:rFonts w:eastAsia="MS Mincho"/>
        </w:rPr>
        <w:t xml:space="preserve"> discard the MPDU (do not store the MPDU in the buffer, do not pass the MSDU or A-MSDU up to the next MAC process)</w:t>
      </w:r>
    </w:p>
    <w:p w:rsidR="006919BD" w:rsidRPr="009448FC" w:rsidRDefault="006919BD" w:rsidP="006919BD">
      <w:pPr>
        <w:rPr>
          <w:rFonts w:eastAsia="MS Mincho"/>
        </w:rPr>
      </w:pPr>
    </w:p>
    <w:p w:rsidR="00B7684C" w:rsidRPr="009448FC" w:rsidRDefault="00B7684C" w:rsidP="003701DB">
      <w:pPr>
        <w:numPr>
          <w:ilvl w:val="0"/>
          <w:numId w:val="11"/>
        </w:numPr>
      </w:pPr>
      <w:r w:rsidRPr="009448FC">
        <w:t>For each received Block Ack Request frame the block acknowledgement record for that agreement is modified as follows, where SSN is the value from the Starting Sequence Number field of the received Block Ack Request frame:</w:t>
      </w:r>
    </w:p>
    <w:p w:rsidR="00B7684C" w:rsidRPr="009448FC" w:rsidRDefault="00B7684C" w:rsidP="003701DB">
      <w:pPr>
        <w:numPr>
          <w:ilvl w:val="1"/>
          <w:numId w:val="11"/>
        </w:numPr>
      </w:pPr>
      <w:r w:rsidRPr="009448FC">
        <w:t>If WinStart</w:t>
      </w:r>
      <w:r w:rsidRPr="009448FC">
        <w:rPr>
          <w:vertAlign w:val="subscript"/>
        </w:rPr>
        <w:t>B</w:t>
      </w:r>
      <w:r w:rsidRPr="009448FC">
        <w:t xml:space="preserve"> &lt; SSN &lt;= WinEnd</w:t>
      </w:r>
      <w:r w:rsidRPr="009448FC">
        <w:rPr>
          <w:vertAlign w:val="subscript"/>
        </w:rPr>
        <w:t>B</w:t>
      </w:r>
    </w:p>
    <w:p w:rsidR="00B7684C" w:rsidRPr="009448FC" w:rsidRDefault="00B7684C" w:rsidP="003701DB">
      <w:pPr>
        <w:numPr>
          <w:ilvl w:val="1"/>
          <w:numId w:val="15"/>
        </w:numPr>
      </w:pPr>
      <w:r w:rsidRPr="009448FC">
        <w:t>set WinStart</w:t>
      </w:r>
      <w:r w:rsidRPr="009448FC">
        <w:rPr>
          <w:vertAlign w:val="subscript"/>
        </w:rPr>
        <w:t>B</w:t>
      </w:r>
      <w:r w:rsidR="00281486" w:rsidRPr="009448FC">
        <w:rPr>
          <w:vertAlign w:val="subscript"/>
        </w:rPr>
        <w:t xml:space="preserve"> </w:t>
      </w:r>
      <w:r w:rsidRPr="009448FC">
        <w:t>= SSN</w:t>
      </w:r>
    </w:p>
    <w:p w:rsidR="00B7684C" w:rsidRPr="009448FC" w:rsidRDefault="00B7684C" w:rsidP="003701DB">
      <w:pPr>
        <w:numPr>
          <w:ilvl w:val="1"/>
          <w:numId w:val="15"/>
        </w:numPr>
      </w:pPr>
      <w:r w:rsidRPr="009448FC">
        <w:t>set WinEnd</w:t>
      </w:r>
      <w:r w:rsidRPr="009448FC">
        <w:rPr>
          <w:vertAlign w:val="subscript"/>
        </w:rPr>
        <w:t>B</w:t>
      </w:r>
      <w:r w:rsidR="00281486" w:rsidRPr="009448FC">
        <w:rPr>
          <w:vertAlign w:val="subscript"/>
        </w:rPr>
        <w:t xml:space="preserve"> </w:t>
      </w:r>
      <w:r w:rsidRPr="009448FC">
        <w:t>= WinStart</w:t>
      </w:r>
      <w:r w:rsidRPr="009448FC">
        <w:rPr>
          <w:vertAlign w:val="subscript"/>
        </w:rPr>
        <w:t>B</w:t>
      </w:r>
      <w:r w:rsidR="00281486" w:rsidRPr="009448FC">
        <w:rPr>
          <w:vertAlign w:val="subscript"/>
        </w:rPr>
        <w:t xml:space="preserve"> </w:t>
      </w:r>
      <w:r w:rsidRPr="009448FC">
        <w:t>+ BufSize</w:t>
      </w:r>
      <w:r w:rsidRPr="009448FC">
        <w:rPr>
          <w:vertAlign w:val="subscript"/>
        </w:rPr>
        <w:t>B</w:t>
      </w:r>
      <w:r w:rsidR="00281486" w:rsidRPr="009448FC">
        <w:rPr>
          <w:vertAlign w:val="subscript"/>
        </w:rPr>
        <w:t xml:space="preserve"> </w:t>
      </w:r>
      <w:r w:rsidRPr="009448FC">
        <w:t>- 1.</w:t>
      </w:r>
    </w:p>
    <w:p w:rsidR="00B7684C" w:rsidRPr="009448FC" w:rsidRDefault="00B7684C" w:rsidP="003701DB">
      <w:pPr>
        <w:numPr>
          <w:ilvl w:val="1"/>
          <w:numId w:val="15"/>
        </w:numPr>
      </w:pPr>
      <w:r w:rsidRPr="009448FC">
        <w:t>if</w:t>
      </w:r>
      <w:r w:rsidR="00281486" w:rsidRPr="009448FC">
        <w:t xml:space="preserve"> </w:t>
      </w:r>
      <w:r w:rsidRPr="009448FC">
        <w:t>SSN &gt; WinHead</w:t>
      </w:r>
      <w:r w:rsidRPr="009448FC">
        <w:rPr>
          <w:vertAlign w:val="subscript"/>
        </w:rPr>
        <w:t>B</w:t>
      </w:r>
      <w:r w:rsidRPr="009448FC">
        <w:t>, set WinHead</w:t>
      </w:r>
      <w:r w:rsidRPr="009448FC">
        <w:rPr>
          <w:vertAlign w:val="subscript"/>
        </w:rPr>
        <w:t>B</w:t>
      </w:r>
      <w:r w:rsidRPr="009448FC">
        <w:t xml:space="preserve"> = SSN-1 </w:t>
      </w:r>
    </w:p>
    <w:p w:rsidR="00B7684C" w:rsidRPr="009448FC" w:rsidRDefault="00B7684C" w:rsidP="003701DB">
      <w:pPr>
        <w:numPr>
          <w:ilvl w:val="1"/>
          <w:numId w:val="15"/>
        </w:numPr>
      </w:pPr>
      <w:r w:rsidRPr="009448FC">
        <w:t>if SSN &gt; (WinTail</w:t>
      </w:r>
      <w:r w:rsidRPr="009448FC">
        <w:rPr>
          <w:vertAlign w:val="subscript"/>
        </w:rPr>
        <w:t>B</w:t>
      </w:r>
      <w:r w:rsidRPr="009448FC">
        <w:t xml:space="preserve"> + BufSize</w:t>
      </w:r>
      <w:r w:rsidRPr="009448FC">
        <w:rPr>
          <w:vertAlign w:val="subscript"/>
        </w:rPr>
        <w:t>B</w:t>
      </w:r>
      <w:r w:rsidRPr="009448FC">
        <w:t xml:space="preserve">), </w:t>
      </w:r>
    </w:p>
    <w:p w:rsidR="00B7684C" w:rsidRPr="009448FC" w:rsidRDefault="00B7684C" w:rsidP="003701DB">
      <w:pPr>
        <w:numPr>
          <w:ilvl w:val="2"/>
          <w:numId w:val="15"/>
        </w:numPr>
      </w:pPr>
      <w:r w:rsidRPr="009448FC">
        <w:t>all MSDU buffers with sequence numbers from WinTail</w:t>
      </w:r>
      <w:r w:rsidRPr="009448FC">
        <w:rPr>
          <w:vertAlign w:val="subscript"/>
        </w:rPr>
        <w:t>B</w:t>
      </w:r>
      <w:r w:rsidRPr="009448FC">
        <w:t xml:space="preserve"> to SSN-BufSize</w:t>
      </w:r>
      <w:r w:rsidRPr="009448FC">
        <w:rPr>
          <w:vertAlign w:val="subscript"/>
        </w:rPr>
        <w:t>B,</w:t>
      </w:r>
      <w:r w:rsidRPr="009448FC">
        <w:t xml:space="preserve"> are discarded from the buffer </w:t>
      </w:r>
    </w:p>
    <w:p w:rsidR="00B7684C" w:rsidRPr="009448FC" w:rsidRDefault="00B7684C" w:rsidP="003701DB">
      <w:pPr>
        <w:numPr>
          <w:ilvl w:val="2"/>
          <w:numId w:val="15"/>
        </w:numPr>
      </w:pPr>
      <w:r w:rsidRPr="009448FC">
        <w:t>set WinTail</w:t>
      </w:r>
      <w:r w:rsidRPr="009448FC">
        <w:rPr>
          <w:vertAlign w:val="subscript"/>
        </w:rPr>
        <w:t>B</w:t>
      </w:r>
      <w:r w:rsidRPr="009448FC">
        <w:t xml:space="preserve"> = SSN-BufSize</w:t>
      </w:r>
      <w:r w:rsidRPr="009448FC">
        <w:rPr>
          <w:vertAlign w:val="subscript"/>
        </w:rPr>
        <w:t>B</w:t>
      </w:r>
    </w:p>
    <w:p w:rsidR="00B7684C" w:rsidRPr="009448FC" w:rsidRDefault="00B7684C" w:rsidP="003701DB">
      <w:pPr>
        <w:numPr>
          <w:ilvl w:val="1"/>
          <w:numId w:val="15"/>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B7684C" w:rsidRPr="009448FC" w:rsidRDefault="00B7684C" w:rsidP="003701DB">
      <w:pPr>
        <w:numPr>
          <w:ilvl w:val="1"/>
          <w:numId w:val="11"/>
        </w:numPr>
      </w:pPr>
      <w:r w:rsidRPr="009448FC">
        <w:t>If WinEnd</w:t>
      </w:r>
      <w:r w:rsidRPr="009448FC">
        <w:rPr>
          <w:vertAlign w:val="subscript"/>
        </w:rPr>
        <w:t>B</w:t>
      </w:r>
      <w:r w:rsidRPr="009448FC">
        <w:t xml:space="preserve"> &lt; SSN &lt; WinStart</w:t>
      </w:r>
      <w:r w:rsidRPr="009448FC">
        <w:rPr>
          <w:vertAlign w:val="subscript"/>
        </w:rPr>
        <w:t xml:space="preserve">B </w:t>
      </w:r>
      <w:r w:rsidRPr="009448FC">
        <w:t>+ 2</w:t>
      </w:r>
      <w:r w:rsidRPr="009448FC">
        <w:rPr>
          <w:vertAlign w:val="superscript"/>
        </w:rPr>
        <w:t>11</w:t>
      </w:r>
    </w:p>
    <w:p w:rsidR="00B7684C" w:rsidRPr="009448FC" w:rsidRDefault="00B7684C" w:rsidP="003701DB">
      <w:pPr>
        <w:numPr>
          <w:ilvl w:val="1"/>
          <w:numId w:val="16"/>
        </w:numPr>
      </w:pPr>
      <w:r w:rsidRPr="009448FC">
        <w:t>set WinStart</w:t>
      </w:r>
      <w:r w:rsidRPr="009448FC">
        <w:rPr>
          <w:vertAlign w:val="subscript"/>
        </w:rPr>
        <w:t>B</w:t>
      </w:r>
      <w:r w:rsidR="00281486" w:rsidRPr="009448FC">
        <w:t xml:space="preserve"> </w:t>
      </w:r>
      <w:r w:rsidRPr="009448FC">
        <w:t>= SSN</w:t>
      </w:r>
    </w:p>
    <w:p w:rsidR="00B7684C" w:rsidRPr="009448FC" w:rsidRDefault="00B7684C" w:rsidP="003701DB">
      <w:pPr>
        <w:numPr>
          <w:ilvl w:val="1"/>
          <w:numId w:val="16"/>
        </w:numPr>
      </w:pPr>
      <w:r w:rsidRPr="009448FC">
        <w:t>set WinEnd</w:t>
      </w:r>
      <w:r w:rsidRPr="009448FC">
        <w:rPr>
          <w:vertAlign w:val="subscript"/>
        </w:rPr>
        <w:t>B</w:t>
      </w:r>
      <w:r w:rsidR="00281486" w:rsidRPr="009448FC">
        <w:t xml:space="preserve"> </w:t>
      </w:r>
      <w:r w:rsidRPr="009448FC">
        <w:t>= WinStart</w:t>
      </w:r>
      <w:r w:rsidRPr="009448FC">
        <w:rPr>
          <w:vertAlign w:val="subscript"/>
        </w:rPr>
        <w:t>B</w:t>
      </w:r>
      <w:r w:rsidR="00281486" w:rsidRPr="009448FC">
        <w:t xml:space="preserve"> </w:t>
      </w:r>
      <w:r w:rsidRPr="009448FC">
        <w:t>+ BufSize</w:t>
      </w:r>
      <w:r w:rsidRPr="009448FC">
        <w:rPr>
          <w:vertAlign w:val="subscript"/>
        </w:rPr>
        <w:t>B</w:t>
      </w:r>
      <w:r w:rsidRPr="009448FC">
        <w:t xml:space="preserve"> - 1</w:t>
      </w:r>
    </w:p>
    <w:p w:rsidR="00B7684C" w:rsidRPr="009448FC" w:rsidRDefault="00B7684C" w:rsidP="003701DB">
      <w:pPr>
        <w:numPr>
          <w:ilvl w:val="1"/>
          <w:numId w:val="16"/>
        </w:numPr>
      </w:pPr>
      <w:r w:rsidRPr="009448FC">
        <w:t>set WinHead</w:t>
      </w:r>
      <w:r w:rsidRPr="009448FC">
        <w:rPr>
          <w:vertAlign w:val="subscript"/>
        </w:rPr>
        <w:t>B</w:t>
      </w:r>
      <w:r w:rsidRPr="009448FC">
        <w:t xml:space="preserve"> = SSN-1</w:t>
      </w:r>
    </w:p>
    <w:p w:rsidR="00B7684C" w:rsidRPr="009448FC" w:rsidRDefault="00B7684C" w:rsidP="003701DB">
      <w:pPr>
        <w:numPr>
          <w:ilvl w:val="1"/>
          <w:numId w:val="16"/>
        </w:numPr>
      </w:pPr>
      <w:r w:rsidRPr="009448FC">
        <w:t>if SSN &gt; (WinTail</w:t>
      </w:r>
      <w:r w:rsidRPr="009448FC">
        <w:rPr>
          <w:vertAlign w:val="subscript"/>
        </w:rPr>
        <w:t>B</w:t>
      </w:r>
      <w:r w:rsidRPr="009448FC">
        <w:t xml:space="preserve"> + BufSize</w:t>
      </w:r>
      <w:r w:rsidRPr="009448FC">
        <w:rPr>
          <w:vertAlign w:val="subscript"/>
        </w:rPr>
        <w:t>B</w:t>
      </w:r>
      <w:r w:rsidRPr="009448FC">
        <w:t xml:space="preserve">), </w:t>
      </w:r>
    </w:p>
    <w:p w:rsidR="00B7684C" w:rsidRPr="009448FC" w:rsidRDefault="00B7684C" w:rsidP="003701DB">
      <w:pPr>
        <w:numPr>
          <w:ilvl w:val="2"/>
          <w:numId w:val="16"/>
        </w:numPr>
      </w:pPr>
      <w:r w:rsidRPr="009448FC">
        <w:t>all MSDU buffers with sequence numbers from WinTail</w:t>
      </w:r>
      <w:r w:rsidRPr="009448FC">
        <w:rPr>
          <w:vertAlign w:val="subscript"/>
        </w:rPr>
        <w:t>B</w:t>
      </w:r>
      <w:r w:rsidRPr="009448FC">
        <w:t xml:space="preserve"> to SSN-BufSize</w:t>
      </w:r>
      <w:r w:rsidRPr="009448FC">
        <w:rPr>
          <w:vertAlign w:val="subscript"/>
        </w:rPr>
        <w:t>B,</w:t>
      </w:r>
      <w:r w:rsidRPr="009448FC">
        <w:t xml:space="preserve"> are discarded from the buffer </w:t>
      </w:r>
    </w:p>
    <w:p w:rsidR="00B7684C" w:rsidRPr="009448FC" w:rsidRDefault="00B7684C" w:rsidP="003701DB">
      <w:pPr>
        <w:numPr>
          <w:ilvl w:val="2"/>
          <w:numId w:val="16"/>
        </w:numPr>
      </w:pPr>
      <w:r w:rsidRPr="009448FC">
        <w:t>set WinTail</w:t>
      </w:r>
      <w:r w:rsidRPr="009448FC">
        <w:rPr>
          <w:vertAlign w:val="subscript"/>
        </w:rPr>
        <w:t>B</w:t>
      </w:r>
      <w:r w:rsidRPr="009448FC">
        <w:t xml:space="preserve"> = SSN-BufSize</w:t>
      </w:r>
      <w:r w:rsidRPr="009448FC">
        <w:rPr>
          <w:vertAlign w:val="subscript"/>
        </w:rPr>
        <w:t>B</w:t>
      </w:r>
    </w:p>
    <w:p w:rsidR="00B7684C" w:rsidRPr="009448FC" w:rsidRDefault="00B7684C" w:rsidP="003701DB">
      <w:pPr>
        <w:numPr>
          <w:ilvl w:val="1"/>
          <w:numId w:val="16"/>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B7684C" w:rsidRPr="009448FC" w:rsidRDefault="00B7684C" w:rsidP="003701DB">
      <w:pPr>
        <w:numPr>
          <w:ilvl w:val="1"/>
          <w:numId w:val="11"/>
        </w:numPr>
        <w:rPr>
          <w:rFonts w:eastAsia="MS Mincho"/>
        </w:rPr>
      </w:pPr>
      <w:r w:rsidRPr="009448FC">
        <w:t>If WinStart</w:t>
      </w:r>
      <w:r w:rsidRPr="009448FC">
        <w:rPr>
          <w:vertAlign w:val="subscript"/>
        </w:rPr>
        <w:t xml:space="preserve">B </w:t>
      </w:r>
      <w:r w:rsidRPr="009448FC">
        <w:t>+ 2</w:t>
      </w:r>
      <w:r w:rsidRPr="009448FC">
        <w:rPr>
          <w:vertAlign w:val="superscript"/>
        </w:rPr>
        <w:t>11</w:t>
      </w:r>
      <w:r w:rsidR="00281486" w:rsidRPr="009448FC">
        <w:t xml:space="preserve"> </w:t>
      </w:r>
      <w:r w:rsidRPr="009448FC">
        <w:t>&lt;= SSN &lt;= WinStart</w:t>
      </w:r>
      <w:r w:rsidRPr="009448FC">
        <w:rPr>
          <w:vertAlign w:val="subscript"/>
        </w:rPr>
        <w:t>B</w:t>
      </w:r>
      <w:r w:rsidR="00655EA4" w:rsidRPr="009448FC">
        <w:t>,</w:t>
      </w:r>
      <w:r w:rsidRPr="009448FC">
        <w:t xml:space="preserve"> make no changes to the record</w:t>
      </w:r>
    </w:p>
    <w:p w:rsidR="00B7684C" w:rsidRPr="009448FC" w:rsidRDefault="00354A0E" w:rsidP="00354A0E">
      <w:pPr>
        <w:pStyle w:val="Heading4"/>
      </w:pPr>
      <w:bookmarkStart w:id="2180" w:name="_Toc235400506"/>
      <w:bookmarkStart w:id="2181" w:name="_Toc259717175"/>
      <w:r w:rsidRPr="009448FC">
        <w:t xml:space="preserve">9.26.3.4 </w:t>
      </w:r>
      <w:r w:rsidR="00B7684C" w:rsidRPr="009448FC">
        <w:t>Operation for ongoing release of received MPDUs</w:t>
      </w:r>
      <w:bookmarkEnd w:id="2180"/>
      <w:bookmarkEnd w:id="2181"/>
    </w:p>
    <w:p w:rsidR="00B7684C" w:rsidRPr="009448FC" w:rsidRDefault="0095429F" w:rsidP="00B7684C">
      <w:pPr>
        <w:rPr>
          <w:rFonts w:eastAsia="MS Mincho"/>
        </w:rPr>
      </w:pPr>
      <w:r w:rsidRPr="009448FC">
        <w:rPr>
          <w:rFonts w:eastAsia="MS Mincho"/>
        </w:rPr>
        <w:t>T</w:t>
      </w:r>
      <w:r w:rsidR="00B7684C" w:rsidRPr="009448FC">
        <w:rPr>
          <w:rFonts w:eastAsia="MS Mincho"/>
        </w:rPr>
        <w:t>he reordering buffer shall continue to pass MSDUs or A-MSDUs up to the next MAC process that are stored in the buffer in order of increasing value of the Sequence Number field</w:t>
      </w:r>
      <w:r w:rsidR="00065BE1" w:rsidRPr="009448FC">
        <w:rPr>
          <w:rFonts w:eastAsia="MS Mincho"/>
        </w:rPr>
        <w:t>,</w:t>
      </w:r>
      <w:r w:rsidR="00B7684C" w:rsidRPr="009448FC">
        <w:rPr>
          <w:rFonts w:eastAsia="MS Mincho"/>
        </w:rPr>
        <w:t xml:space="preserve"> starting with the MSDU or A-MSDU that has SN=WinTail</w:t>
      </w:r>
      <w:r w:rsidR="00B7684C" w:rsidRPr="009448FC">
        <w:rPr>
          <w:rFonts w:eastAsia="MS Mincho"/>
          <w:vertAlign w:val="subscript"/>
        </w:rPr>
        <w:t>B</w:t>
      </w:r>
      <w:r w:rsidR="00B7684C" w:rsidRPr="009448FC">
        <w:rPr>
          <w:rFonts w:eastAsia="MS Mincho"/>
        </w:rPr>
        <w:t xml:space="preserve"> and proceeding sequentially until there is no ready in-order MSDU or A-MSDU buffered for the next sequential value of the Sequence Number field.</w:t>
      </w:r>
    </w:p>
    <w:p w:rsidR="00B7684C" w:rsidRPr="009448FC" w:rsidRDefault="00B7684C" w:rsidP="00B7684C">
      <w:pPr>
        <w:rPr>
          <w:rFonts w:eastAsia="MS Mincho"/>
        </w:rPr>
      </w:pPr>
    </w:p>
    <w:p w:rsidR="00B7684C" w:rsidRPr="009448FC" w:rsidRDefault="00B7684C" w:rsidP="003701DB">
      <w:pPr>
        <w:numPr>
          <w:ilvl w:val="0"/>
          <w:numId w:val="14"/>
        </w:numPr>
        <w:rPr>
          <w:rFonts w:eastAsia="MS Mincho"/>
        </w:rPr>
      </w:pPr>
      <w:r w:rsidRPr="009448FC">
        <w:rPr>
          <w:rFonts w:eastAsia="MS Mincho"/>
        </w:rPr>
        <w:t>Set WinTail</w:t>
      </w:r>
      <w:r w:rsidRPr="009448FC">
        <w:rPr>
          <w:rFonts w:eastAsia="MS Mincho"/>
          <w:vertAlign w:val="subscript"/>
        </w:rPr>
        <w:t>B</w:t>
      </w:r>
      <w:r w:rsidRPr="009448FC">
        <w:rPr>
          <w:rFonts w:eastAsia="MS Mincho"/>
        </w:rPr>
        <w:t xml:space="preserve"> to the value of the Sequence Number field of the last MSDU or A-MSDU that was passed up to the next MAC process plus one.</w:t>
      </w:r>
    </w:p>
    <w:p w:rsidR="00B7684C" w:rsidRPr="009448FC" w:rsidRDefault="00B7684C" w:rsidP="00B7684C">
      <w:pPr>
        <w:rPr>
          <w:rFonts w:eastAsia="MS Mincho"/>
        </w:rPr>
      </w:pPr>
    </w:p>
    <w:p w:rsidR="00B7684C" w:rsidRPr="009448FC" w:rsidRDefault="00B7684C" w:rsidP="003701DB">
      <w:pPr>
        <w:pStyle w:val="Heading3"/>
        <w:numPr>
          <w:ilvl w:val="2"/>
          <w:numId w:val="108"/>
        </w:numPr>
      </w:pPr>
      <w:bookmarkStart w:id="2182" w:name="_Toc235400507"/>
      <w:bookmarkStart w:id="2183" w:name="_Toc259717176"/>
      <w:r w:rsidRPr="009448FC">
        <w:t>Generation an</w:t>
      </w:r>
      <w:r w:rsidR="00EE563B">
        <w:t>d transmission of BlockAck by a</w:t>
      </w:r>
      <w:r w:rsidRPr="009448FC">
        <w:t xml:space="preserve"> STA with Flow </w:t>
      </w:r>
      <w:r w:rsidR="00EE563B">
        <w:t>C</w:t>
      </w:r>
      <w:r w:rsidRPr="009448FC">
        <w:t>ontrol</w:t>
      </w:r>
      <w:bookmarkEnd w:id="2182"/>
      <w:bookmarkEnd w:id="2183"/>
    </w:p>
    <w:p w:rsidR="00B7684C" w:rsidRPr="009448FC" w:rsidRDefault="00B7684C" w:rsidP="00B7684C"/>
    <w:p w:rsidR="00B7684C" w:rsidRPr="009448FC" w:rsidDel="007E4493" w:rsidRDefault="000B3438" w:rsidP="00EE6DBA">
      <w:r w:rsidRPr="009448FC">
        <w:lastRenderedPageBreak/>
        <w:t xml:space="preserve">In addition to the normative behavior specified in subclause </w:t>
      </w:r>
      <w:r w:rsidR="00EE6DBA" w:rsidRPr="009448FC">
        <w:t xml:space="preserve">9.10.7.5 </w:t>
      </w:r>
      <w:r w:rsidRPr="009448FC">
        <w:t>w</w:t>
      </w:r>
      <w:r w:rsidR="00B7684C" w:rsidRPr="009448FC">
        <w:t>hen responding with a BlockAck frame, the RBUFCAP field shall be updated with the value of WinCapacity</w:t>
      </w:r>
      <w:r w:rsidR="00B7684C" w:rsidRPr="009448FC">
        <w:rPr>
          <w:vertAlign w:val="subscript"/>
        </w:rPr>
        <w:t>B</w:t>
      </w:r>
      <w:r w:rsidR="00B7684C" w:rsidRPr="009448FC">
        <w:t xml:space="preserve">. </w:t>
      </w:r>
    </w:p>
    <w:p w:rsidR="00B7684C" w:rsidRPr="009448FC" w:rsidRDefault="00B7684C" w:rsidP="00B7684C">
      <w:pPr>
        <w:rPr>
          <w:rFonts w:eastAsia="MS Mincho"/>
        </w:rPr>
      </w:pPr>
    </w:p>
    <w:p w:rsidR="00B7684C" w:rsidRPr="009448FC" w:rsidRDefault="00B7684C" w:rsidP="003701DB">
      <w:pPr>
        <w:pStyle w:val="Heading3"/>
        <w:numPr>
          <w:ilvl w:val="2"/>
          <w:numId w:val="108"/>
        </w:numPr>
        <w:rPr>
          <w:rFonts w:eastAsia="MS Mincho"/>
        </w:rPr>
      </w:pPr>
      <w:bookmarkStart w:id="2184" w:name="_Toc235400508"/>
      <w:bookmarkStart w:id="2185" w:name="_Toc259717177"/>
      <w:r w:rsidRPr="009448FC">
        <w:rPr>
          <w:rFonts w:eastAsia="MS Mincho"/>
        </w:rPr>
        <w:t>Originator’s behavior with flow control support</w:t>
      </w:r>
      <w:bookmarkEnd w:id="2184"/>
      <w:bookmarkEnd w:id="2185"/>
    </w:p>
    <w:p w:rsidR="00B7684C" w:rsidRPr="009448FC" w:rsidRDefault="00B7684C" w:rsidP="00B7684C">
      <w:pPr>
        <w:rPr>
          <w:rFonts w:eastAsia="MS Mincho"/>
        </w:rPr>
      </w:pPr>
    </w:p>
    <w:p w:rsidR="00B7684C" w:rsidRPr="009448FC" w:rsidRDefault="00154369" w:rsidP="00154369">
      <w:pPr>
        <w:rPr>
          <w:rFonts w:eastAsia="MS Mincho"/>
        </w:rPr>
      </w:pPr>
      <w:r w:rsidRPr="009448FC">
        <w:t xml:space="preserve">If the BA with flow control field within </w:t>
      </w:r>
      <w:r w:rsidR="001A103E">
        <w:t>a</w:t>
      </w:r>
      <w:r w:rsidR="00B910DA" w:rsidRPr="009448FC">
        <w:t xml:space="preserve"> recipient’s mmWave Capabilities</w:t>
      </w:r>
      <w:r w:rsidRPr="009448FC">
        <w:t xml:space="preserve"> </w:t>
      </w:r>
      <w:r w:rsidR="00877796" w:rsidRPr="009448FC">
        <w:t>element</w:t>
      </w:r>
      <w:r w:rsidRPr="009448FC">
        <w:t xml:space="preserve"> is set to one, the originator shall</w:t>
      </w:r>
      <w:r w:rsidR="00281486" w:rsidRPr="009448FC">
        <w:rPr>
          <w:rFonts w:eastAsia="MS Mincho"/>
        </w:rPr>
        <w:t xml:space="preserve"> </w:t>
      </w:r>
      <w:r w:rsidR="00B7684C" w:rsidRPr="009448FC">
        <w:rPr>
          <w:rFonts w:eastAsia="MS Mincho"/>
        </w:rPr>
        <w:t xml:space="preserve">defer transmission of MPDU with an SN that is beyond the current </w:t>
      </w:r>
      <w:r w:rsidR="001A103E">
        <w:rPr>
          <w:rFonts w:eastAsia="MS Mincho"/>
        </w:rPr>
        <w:t>r</w:t>
      </w:r>
      <w:r w:rsidR="00B7684C" w:rsidRPr="009448FC">
        <w:rPr>
          <w:rFonts w:eastAsia="MS Mincho"/>
        </w:rPr>
        <w:t>ecipient’s buffer capacity</w:t>
      </w:r>
      <w:r w:rsidRPr="009448FC">
        <w:rPr>
          <w:rFonts w:eastAsia="MS Mincho"/>
        </w:rPr>
        <w:t xml:space="preserve"> (WinLimit</w:t>
      </w:r>
      <w:r w:rsidRPr="009448FC">
        <w:rPr>
          <w:rFonts w:eastAsia="MS Mincho"/>
          <w:vertAlign w:val="subscript"/>
        </w:rPr>
        <w:t>O</w:t>
      </w:r>
      <w:r w:rsidRPr="009448FC">
        <w:rPr>
          <w:rFonts w:eastAsia="MS Mincho"/>
        </w:rPr>
        <w:t>)</w:t>
      </w:r>
      <w:r w:rsidR="00B7684C" w:rsidRPr="009448FC">
        <w:rPr>
          <w:rFonts w:eastAsia="MS Mincho"/>
        </w:rPr>
        <w:t>.</w:t>
      </w:r>
    </w:p>
    <w:p w:rsidR="00B7684C" w:rsidRPr="009448FC" w:rsidRDefault="00B7684C" w:rsidP="00B7684C">
      <w:pPr>
        <w:rPr>
          <w:rFonts w:eastAsia="MS Mincho"/>
        </w:rPr>
      </w:pPr>
    </w:p>
    <w:p w:rsidR="00B7684C" w:rsidRPr="009448FC" w:rsidRDefault="00B7684C" w:rsidP="0086374C">
      <w:pPr>
        <w:rPr>
          <w:rFonts w:eastAsia="MS Mincho"/>
        </w:rPr>
      </w:pPr>
      <w:r w:rsidRPr="009448FC">
        <w:rPr>
          <w:rFonts w:eastAsia="MS Mincho"/>
        </w:rPr>
        <w:t>The BlockAck</w:t>
      </w:r>
      <w:r w:rsidR="00EE1100" w:rsidRPr="009448FC">
        <w:rPr>
          <w:rFonts w:eastAsia="MS Mincho"/>
        </w:rPr>
        <w:t xml:space="preserve"> </w:t>
      </w:r>
      <w:r w:rsidRPr="009448FC">
        <w:rPr>
          <w:rFonts w:eastAsia="MS Mincho"/>
        </w:rPr>
        <w:t xml:space="preserve">frame indicates the amount of free buffer slots available at the recipient for </w:t>
      </w:r>
      <w:r w:rsidR="003D625F" w:rsidRPr="009448FC">
        <w:rPr>
          <w:rFonts w:eastAsia="MS Mincho"/>
        </w:rPr>
        <w:t>reception</w:t>
      </w:r>
      <w:r w:rsidRPr="009448FC">
        <w:rPr>
          <w:rFonts w:eastAsia="MS Mincho"/>
        </w:rPr>
        <w:t xml:space="preserve"> of additional MPDUs. </w:t>
      </w:r>
    </w:p>
    <w:p w:rsidR="00B7684C" w:rsidRPr="009448FC" w:rsidRDefault="00B7684C" w:rsidP="00B7684C">
      <w:pPr>
        <w:rPr>
          <w:rFonts w:eastAsia="MS Mincho"/>
        </w:rPr>
      </w:pPr>
    </w:p>
    <w:p w:rsidR="00B7684C" w:rsidRPr="009448FC" w:rsidRDefault="00801DA7" w:rsidP="007C530A">
      <w:pPr>
        <w:rPr>
          <w:rFonts w:eastAsia="MS Mincho"/>
        </w:rPr>
      </w:pPr>
      <w:r w:rsidRPr="009448FC">
        <w:t>The originator shall update a</w:t>
      </w:r>
      <w:r w:rsidR="00281486" w:rsidRPr="009448FC">
        <w:t xml:space="preserve"> </w:t>
      </w:r>
      <w:r w:rsidRPr="009448FC">
        <w:t>variable WinLimit</w:t>
      </w:r>
      <w:r w:rsidRPr="009448FC">
        <w:rPr>
          <w:vertAlign w:val="subscript"/>
        </w:rPr>
        <w:t>O</w:t>
      </w:r>
      <w:r w:rsidRPr="009448FC">
        <w:t xml:space="preserve"> to limit the transmission of following MPDUs</w:t>
      </w:r>
      <w:r w:rsidRPr="009448FC">
        <w:rPr>
          <w:rFonts w:eastAsia="MS Mincho"/>
        </w:rPr>
        <w:t xml:space="preserve"> </w:t>
      </w:r>
      <w:r w:rsidR="00B7684C" w:rsidRPr="009448FC">
        <w:rPr>
          <w:rFonts w:eastAsia="MS Mincho"/>
        </w:rPr>
        <w:t>upon reception of a valid BlockAck</w:t>
      </w:r>
      <w:r w:rsidR="007C530A" w:rsidRPr="009448FC">
        <w:rPr>
          <w:rFonts w:eastAsia="MS Mincho"/>
        </w:rPr>
        <w:t>:</w:t>
      </w:r>
      <w:r w:rsidR="00B7684C" w:rsidRPr="009448FC">
        <w:rPr>
          <w:rFonts w:eastAsia="MS Mincho"/>
        </w:rPr>
        <w:t xml:space="preserve"> </w:t>
      </w:r>
    </w:p>
    <w:p w:rsidR="00B7684C" w:rsidRPr="009448FC" w:rsidRDefault="00B7684C" w:rsidP="003701DB">
      <w:pPr>
        <w:numPr>
          <w:ilvl w:val="2"/>
          <w:numId w:val="10"/>
        </w:numPr>
        <w:rPr>
          <w:rFonts w:eastAsia="MS Mincho"/>
        </w:rPr>
      </w:pPr>
      <w:r w:rsidRPr="009448FC">
        <w:rPr>
          <w:rFonts w:eastAsia="MS Mincho"/>
        </w:rPr>
        <w:t>Set WinCapacity</w:t>
      </w:r>
      <w:r w:rsidRPr="009448FC">
        <w:rPr>
          <w:rFonts w:eastAsia="MS Mincho"/>
          <w:vertAlign w:val="subscript"/>
        </w:rPr>
        <w:t>O</w:t>
      </w:r>
      <w:r w:rsidR="00281486" w:rsidRPr="009448FC">
        <w:rPr>
          <w:rFonts w:eastAsia="MS Mincho"/>
          <w:vertAlign w:val="subscript"/>
        </w:rPr>
        <w:t xml:space="preserve"> </w:t>
      </w:r>
      <w:r w:rsidRPr="009448FC">
        <w:rPr>
          <w:rFonts w:eastAsia="MS Mincho"/>
        </w:rPr>
        <w:t xml:space="preserve">to the received </w:t>
      </w:r>
      <w:r w:rsidR="007C530A" w:rsidRPr="009448FC">
        <w:rPr>
          <w:rFonts w:eastAsia="MS Mincho"/>
        </w:rPr>
        <w:t xml:space="preserve">value of the </w:t>
      </w:r>
      <w:r w:rsidRPr="009448FC">
        <w:rPr>
          <w:rFonts w:eastAsia="MS Mincho"/>
        </w:rPr>
        <w:t>RBUFCAP field</w:t>
      </w:r>
      <w:r w:rsidR="00281486" w:rsidRPr="009448FC">
        <w:rPr>
          <w:rFonts w:eastAsia="MS Mincho"/>
        </w:rPr>
        <w:t xml:space="preserve"> in the BlockAck frame</w:t>
      </w:r>
      <w:r w:rsidRPr="009448FC">
        <w:rPr>
          <w:rFonts w:eastAsia="MS Mincho"/>
        </w:rPr>
        <w:t>.</w:t>
      </w:r>
    </w:p>
    <w:p w:rsidR="00B7684C" w:rsidRPr="009448FC" w:rsidRDefault="00302960" w:rsidP="003701DB">
      <w:pPr>
        <w:numPr>
          <w:ilvl w:val="2"/>
          <w:numId w:val="10"/>
        </w:numPr>
        <w:rPr>
          <w:rFonts w:eastAsia="MS Mincho"/>
        </w:rPr>
      </w:pPr>
      <w:r w:rsidRPr="009448FC">
        <w:rPr>
          <w:rFonts w:eastAsia="MS Mincho"/>
        </w:rPr>
        <w:t>Set MostSuccSN to</w:t>
      </w:r>
      <w:r w:rsidR="00B7684C" w:rsidRPr="009448FC">
        <w:rPr>
          <w:rFonts w:eastAsia="MS Mincho"/>
        </w:rPr>
        <w:t xml:space="preserve"> the highest SN of</w:t>
      </w:r>
      <w:r w:rsidRPr="009448FC">
        <w:rPr>
          <w:rFonts w:eastAsia="MS Mincho"/>
        </w:rPr>
        <w:t xml:space="preserve"> positively acknowledged MPDUs </w:t>
      </w:r>
    </w:p>
    <w:p w:rsidR="007514BC" w:rsidRPr="009448FC" w:rsidRDefault="00302960" w:rsidP="003701DB">
      <w:pPr>
        <w:numPr>
          <w:ilvl w:val="2"/>
          <w:numId w:val="10"/>
        </w:numPr>
        <w:rPr>
          <w:rFonts w:eastAsia="MS Mincho"/>
        </w:rPr>
      </w:pPr>
      <w:r w:rsidRPr="009448FC">
        <w:rPr>
          <w:rFonts w:eastAsia="MS Mincho"/>
        </w:rPr>
        <w:t>Set WinLimit</w:t>
      </w:r>
      <w:r w:rsidRPr="009448FC">
        <w:rPr>
          <w:rFonts w:eastAsia="MS Mincho"/>
          <w:vertAlign w:val="subscript"/>
        </w:rPr>
        <w:t>O</w:t>
      </w:r>
      <w:r w:rsidRPr="009448FC">
        <w:rPr>
          <w:rFonts w:eastAsia="MS Mincho"/>
        </w:rPr>
        <w:t xml:space="preserve"> =</w:t>
      </w:r>
      <w:r w:rsidR="00281486" w:rsidRPr="009448FC">
        <w:rPr>
          <w:rFonts w:eastAsia="MS Mincho"/>
        </w:rPr>
        <w:t xml:space="preserve"> </w:t>
      </w:r>
      <w:r w:rsidRPr="009448FC">
        <w:rPr>
          <w:rFonts w:eastAsia="MS Mincho"/>
        </w:rPr>
        <w:t>MostSuccSN + WinCapacity</w:t>
      </w:r>
      <w:r w:rsidRPr="009448FC">
        <w:rPr>
          <w:rFonts w:eastAsia="MS Mincho"/>
          <w:vertAlign w:val="subscript"/>
        </w:rPr>
        <w:t>O</w:t>
      </w:r>
      <w:r w:rsidR="00154369" w:rsidRPr="009448FC">
        <w:rPr>
          <w:rFonts w:eastAsia="MS Mincho"/>
        </w:rPr>
        <w:t xml:space="preserve"> </w:t>
      </w:r>
    </w:p>
    <w:p w:rsidR="007514BC" w:rsidRPr="009448FC" w:rsidRDefault="007514BC" w:rsidP="007514BC">
      <w:pPr>
        <w:rPr>
          <w:rFonts w:eastAsia="MS Mincho"/>
        </w:rPr>
      </w:pPr>
    </w:p>
    <w:p w:rsidR="00D25580" w:rsidRPr="009448FC" w:rsidRDefault="00D25580" w:rsidP="00122E9A">
      <w:pPr>
        <w:rPr>
          <w:rFonts w:eastAsia="MS Mincho"/>
        </w:rPr>
      </w:pPr>
      <w:r w:rsidRPr="009448FC">
        <w:t xml:space="preserve">Originator’s support of recipient’s partial state is defined in </w:t>
      </w:r>
      <w:r w:rsidR="00122E9A" w:rsidRPr="009448FC">
        <w:t>9.10.7.9.</w:t>
      </w:r>
    </w:p>
    <w:p w:rsidR="005F7103" w:rsidRPr="009448FC" w:rsidRDefault="005F7103" w:rsidP="00956636">
      <w:pPr>
        <w:rPr>
          <w:i/>
          <w:sz w:val="28"/>
        </w:rPr>
      </w:pPr>
    </w:p>
    <w:p w:rsidR="008C36FC" w:rsidRPr="009448FC" w:rsidRDefault="008C36FC" w:rsidP="003701DB">
      <w:pPr>
        <w:pStyle w:val="Heading2"/>
        <w:numPr>
          <w:ilvl w:val="1"/>
          <w:numId w:val="108"/>
        </w:numPr>
        <w:rPr>
          <w:u w:val="none"/>
        </w:rPr>
      </w:pPr>
      <w:bookmarkStart w:id="2186" w:name="_Toc207098989"/>
      <w:bookmarkStart w:id="2187" w:name="_Toc207099597"/>
      <w:bookmarkStart w:id="2188" w:name="_Toc207100516"/>
      <w:bookmarkStart w:id="2189" w:name="_Toc207348438"/>
      <w:bookmarkStart w:id="2190" w:name="_Toc215582817"/>
      <w:bookmarkStart w:id="2191" w:name="_Toc235400512"/>
      <w:bookmarkStart w:id="2192" w:name="_Ref251927203"/>
      <w:bookmarkStart w:id="2193" w:name="_Ref259716272"/>
      <w:bookmarkStart w:id="2194" w:name="_Ref259716679"/>
      <w:bookmarkStart w:id="2195" w:name="_Toc259717178"/>
      <w:r w:rsidRPr="009448FC">
        <w:rPr>
          <w:u w:val="none"/>
        </w:rPr>
        <w:t>mmWave Link adaptation</w:t>
      </w:r>
      <w:bookmarkEnd w:id="2186"/>
      <w:bookmarkEnd w:id="2187"/>
      <w:bookmarkEnd w:id="2188"/>
      <w:bookmarkEnd w:id="2189"/>
      <w:bookmarkEnd w:id="2190"/>
      <w:bookmarkEnd w:id="2191"/>
      <w:bookmarkEnd w:id="2192"/>
      <w:bookmarkEnd w:id="2193"/>
      <w:bookmarkEnd w:id="2194"/>
      <w:bookmarkEnd w:id="2195"/>
    </w:p>
    <w:p w:rsidR="00D158EF" w:rsidRPr="009448FC" w:rsidRDefault="00D158EF" w:rsidP="00D158EF"/>
    <w:p w:rsidR="00305FA5" w:rsidRPr="009448FC" w:rsidRDefault="00305FA5" w:rsidP="00305FA5">
      <w:r w:rsidRPr="009448FC">
        <w:t xml:space="preserve">A STA may transmit a Link </w:t>
      </w:r>
      <w:r w:rsidR="004625C0">
        <w:t>Margin</w:t>
      </w:r>
      <w:r w:rsidRPr="009448FC">
        <w:t xml:space="preserve"> Request frame (</w:t>
      </w:r>
      <w:r w:rsidR="00BD151C" w:rsidRPr="009448FC">
        <w:fldChar w:fldCharType="begin"/>
      </w:r>
      <w:r w:rsidR="00653ECA" w:rsidRPr="009448FC">
        <w:instrText xml:space="preserve"> REF _Ref250115620 \r \h </w:instrText>
      </w:r>
      <w:r w:rsidR="00BD151C" w:rsidRPr="009448FC">
        <w:fldChar w:fldCharType="separate"/>
      </w:r>
      <w:r w:rsidR="003E4210">
        <w:t>7.4.13.10</w:t>
      </w:r>
      <w:r w:rsidR="00BD151C" w:rsidRPr="009448FC">
        <w:fldChar w:fldCharType="end"/>
      </w:r>
      <w:r w:rsidRPr="009448FC">
        <w:t>) to request a STA indicated in the RA field of the frame to respond with</w:t>
      </w:r>
      <w:r w:rsidR="005515A4">
        <w:t xml:space="preserve"> </w:t>
      </w:r>
      <w:r w:rsidRPr="009448FC">
        <w:t xml:space="preserve">Link </w:t>
      </w:r>
      <w:r w:rsidR="004625C0">
        <w:t>Margin</w:t>
      </w:r>
      <w:r w:rsidRPr="009448FC">
        <w:t xml:space="preserve"> Response frame (</w:t>
      </w:r>
      <w:r w:rsidR="00BD151C" w:rsidRPr="009448FC">
        <w:fldChar w:fldCharType="begin"/>
      </w:r>
      <w:r w:rsidR="00653ECA" w:rsidRPr="009448FC">
        <w:instrText xml:space="preserve"> REF _Ref250115623 \r \h </w:instrText>
      </w:r>
      <w:r w:rsidR="00BD151C" w:rsidRPr="009448FC">
        <w:fldChar w:fldCharType="separate"/>
      </w:r>
      <w:r w:rsidR="003E4210">
        <w:t>7.4.13.11</w:t>
      </w:r>
      <w:r w:rsidR="00BD151C" w:rsidRPr="009448FC">
        <w:fldChar w:fldCharType="end"/>
      </w:r>
      <w:r w:rsidRPr="009448FC">
        <w:t>)</w:t>
      </w:r>
      <w:r w:rsidR="00924DC4" w:rsidRPr="009448FC">
        <w:t xml:space="preserve">. The Link </w:t>
      </w:r>
      <w:r w:rsidR="004625C0">
        <w:t>Margin</w:t>
      </w:r>
      <w:r w:rsidR="00924DC4" w:rsidRPr="009448FC">
        <w:t xml:space="preserve"> Response frame</w:t>
      </w:r>
      <w:r w:rsidRPr="009448FC">
        <w:t xml:space="preserve"> contains the values of the MCS</w:t>
      </w:r>
      <w:r w:rsidR="006860A2">
        <w:t>, of the SNR</w:t>
      </w:r>
      <w:r w:rsidRPr="009448FC">
        <w:t xml:space="preserve"> and of the Link Margin that the requesting STA may use to transmit frames to the STA indicated in the RA field of the </w:t>
      </w:r>
      <w:r w:rsidR="00924DC4" w:rsidRPr="009448FC">
        <w:t xml:space="preserve">Link </w:t>
      </w:r>
      <w:r w:rsidR="004625C0">
        <w:t>Margin</w:t>
      </w:r>
      <w:r w:rsidR="00924DC4" w:rsidRPr="009448FC">
        <w:t xml:space="preserve"> Request</w:t>
      </w:r>
      <w:r w:rsidRPr="009448FC">
        <w:t xml:space="preserve"> frame.</w:t>
      </w:r>
    </w:p>
    <w:p w:rsidR="00305FA5" w:rsidRPr="009448FC" w:rsidRDefault="00305FA5" w:rsidP="00305FA5"/>
    <w:p w:rsidR="00305FA5" w:rsidRPr="009448FC" w:rsidRDefault="00305FA5" w:rsidP="00305FA5">
      <w:pPr>
        <w:autoSpaceDE w:val="0"/>
        <w:autoSpaceDN w:val="0"/>
        <w:adjustRightInd w:val="0"/>
      </w:pPr>
      <w:r w:rsidRPr="009448FC">
        <w:t xml:space="preserve">The requesting STA may aggregate </w:t>
      </w:r>
      <w:r w:rsidR="00924DC4" w:rsidRPr="009448FC">
        <w:t>a</w:t>
      </w:r>
      <w:r w:rsidRPr="009448FC">
        <w:t xml:space="preserve"> Link </w:t>
      </w:r>
      <w:r w:rsidR="004625C0">
        <w:t>Margin</w:t>
      </w:r>
      <w:r w:rsidRPr="009448FC">
        <w:t xml:space="preserve"> </w:t>
      </w:r>
      <w:r w:rsidR="00924DC4" w:rsidRPr="009448FC">
        <w:t>R</w:t>
      </w:r>
      <w:r w:rsidRPr="009448FC">
        <w:t xml:space="preserve">equest frame in </w:t>
      </w:r>
      <w:r w:rsidR="00924DC4" w:rsidRPr="009448FC">
        <w:t>a</w:t>
      </w:r>
      <w:r w:rsidRPr="009448FC">
        <w:t xml:space="preserve"> A-MPDU as defined in Table 7-57y and Table 7-57ab (IEEE Std. 802.11n-2009)</w:t>
      </w:r>
      <w:r w:rsidR="00924DC4" w:rsidRPr="009448FC">
        <w:t>.</w:t>
      </w:r>
    </w:p>
    <w:p w:rsidR="00305FA5" w:rsidRDefault="00995D7F" w:rsidP="00305FA5">
      <w:pPr>
        <w:autoSpaceDE w:val="0"/>
        <w:autoSpaceDN w:val="0"/>
        <w:adjustRightInd w:val="0"/>
      </w:pPr>
      <w:r>
        <w:t xml:space="preserve"> </w:t>
      </w:r>
    </w:p>
    <w:p w:rsidR="00531771" w:rsidRPr="00531771" w:rsidRDefault="009D537D" w:rsidP="00531771">
      <w:pPr>
        <w:autoSpaceDE w:val="0"/>
        <w:autoSpaceDN w:val="0"/>
        <w:adjustRightInd w:val="0"/>
        <w:rPr>
          <w:rFonts w:eastAsia="MS Mincho"/>
        </w:rPr>
      </w:pPr>
      <w:r w:rsidRPr="009D537D">
        <w:rPr>
          <w:rFonts w:eastAsia="MS Mincho"/>
        </w:rPr>
        <w:t xml:space="preserve">If </w:t>
      </w:r>
      <w:r w:rsidRPr="009D537D">
        <w:rPr>
          <w:rFonts w:eastAsia="SimSun"/>
          <w:lang w:eastAsia="zh-CN"/>
        </w:rPr>
        <w:t>the Dialog Token field in the Link Margin Request frame is set to a non-zero value, t</w:t>
      </w:r>
      <w:r w:rsidRPr="009D537D">
        <w:rPr>
          <w:rFonts w:eastAsia="MS Mincho"/>
        </w:rPr>
        <w:t>he requesting STA shall se</w:t>
      </w:r>
      <w:r w:rsidR="00EB6EC4">
        <w:rPr>
          <w:rFonts w:eastAsia="MS Mincho"/>
        </w:rPr>
        <w:t>nd a frame to the same respond</w:t>
      </w:r>
      <w:r w:rsidR="00BF1D97">
        <w:rPr>
          <w:rFonts w:eastAsia="MS Mincho"/>
        </w:rPr>
        <w:t>ing</w:t>
      </w:r>
      <w:r w:rsidRPr="009D537D">
        <w:rPr>
          <w:rFonts w:eastAsia="MS Mincho"/>
        </w:rPr>
        <w:t xml:space="preserve"> </w:t>
      </w:r>
      <w:r w:rsidR="00BF1D97">
        <w:rPr>
          <w:rFonts w:eastAsia="MS Mincho"/>
        </w:rPr>
        <w:t xml:space="preserve">STA </w:t>
      </w:r>
      <w:r w:rsidRPr="009D537D">
        <w:rPr>
          <w:rFonts w:eastAsia="MS Mincho"/>
        </w:rPr>
        <w:t xml:space="preserve">SIFS after receiving the ACK or BA </w:t>
      </w:r>
      <w:r w:rsidR="00776DA5">
        <w:rPr>
          <w:rFonts w:eastAsia="MS Mincho"/>
        </w:rPr>
        <w:t xml:space="preserve">frame </w:t>
      </w:r>
      <w:r w:rsidR="00BF1D97">
        <w:rPr>
          <w:rFonts w:eastAsia="MS Mincho"/>
        </w:rPr>
        <w:t xml:space="preserve">corresponding to </w:t>
      </w:r>
      <w:r w:rsidRPr="009D537D">
        <w:rPr>
          <w:rFonts w:eastAsia="MS Mincho"/>
        </w:rPr>
        <w:t xml:space="preserve">the Link Margin Request frame. </w:t>
      </w:r>
    </w:p>
    <w:p w:rsidR="00531771" w:rsidRPr="009448FC" w:rsidRDefault="00531771" w:rsidP="00305FA5">
      <w:pPr>
        <w:autoSpaceDE w:val="0"/>
        <w:autoSpaceDN w:val="0"/>
        <w:adjustRightInd w:val="0"/>
      </w:pPr>
    </w:p>
    <w:p w:rsidR="00305FA5" w:rsidRPr="009448FC" w:rsidRDefault="00305FA5" w:rsidP="00305FA5">
      <w:pPr>
        <w:autoSpaceDE w:val="0"/>
        <w:autoSpaceDN w:val="0"/>
        <w:adjustRightInd w:val="0"/>
      </w:pPr>
      <w:r w:rsidRPr="009448FC">
        <w:t xml:space="preserve">The responding STA may aggregate </w:t>
      </w:r>
      <w:r w:rsidR="00924DC4" w:rsidRPr="009448FC">
        <w:t>a</w:t>
      </w:r>
      <w:r w:rsidRPr="009448FC">
        <w:t xml:space="preserve"> Link </w:t>
      </w:r>
      <w:r w:rsidR="004625C0">
        <w:t>Margin</w:t>
      </w:r>
      <w:r w:rsidRPr="009448FC">
        <w:t xml:space="preserve"> </w:t>
      </w:r>
      <w:r w:rsidR="00924DC4" w:rsidRPr="009448FC">
        <w:t>R</w:t>
      </w:r>
      <w:r w:rsidRPr="009448FC">
        <w:t xml:space="preserve">esponse frame in </w:t>
      </w:r>
      <w:r w:rsidR="00924DC4" w:rsidRPr="009448FC">
        <w:t>a</w:t>
      </w:r>
      <w:r w:rsidRPr="009448FC">
        <w:t xml:space="preserve"> A-MPDU as defined in Table 7-57y and Table 7-57ab (IEEE Std. 802.11n-2009)</w:t>
      </w:r>
      <w:r w:rsidR="00924DC4" w:rsidRPr="009448FC">
        <w:t>.</w:t>
      </w:r>
    </w:p>
    <w:p w:rsidR="00305FA5" w:rsidRDefault="00305FA5" w:rsidP="00305FA5">
      <w:pPr>
        <w:autoSpaceDE w:val="0"/>
        <w:autoSpaceDN w:val="0"/>
        <w:adjustRightInd w:val="0"/>
      </w:pPr>
    </w:p>
    <w:p w:rsidR="00531771" w:rsidRPr="00531771" w:rsidRDefault="009D537D" w:rsidP="00531771">
      <w:pPr>
        <w:autoSpaceDE w:val="0"/>
        <w:autoSpaceDN w:val="0"/>
        <w:adjustRightInd w:val="0"/>
        <w:rPr>
          <w:rFonts w:eastAsia="MS Mincho"/>
        </w:rPr>
      </w:pPr>
      <w:r w:rsidRPr="009D537D">
        <w:rPr>
          <w:rFonts w:eastAsia="MS Mincho"/>
        </w:rPr>
        <w:t xml:space="preserve">An mSTA with MAC address that is equal to the value of the Link Margin Request frame RA field should transmit </w:t>
      </w:r>
      <w:r w:rsidR="00BF1D97">
        <w:rPr>
          <w:rFonts w:eastAsia="MS Mincho"/>
        </w:rPr>
        <w:t>a</w:t>
      </w:r>
      <w:r w:rsidRPr="009D537D">
        <w:rPr>
          <w:rFonts w:eastAsia="MS Mincho"/>
        </w:rPr>
        <w:t xml:space="preserve"> Link Margin response frame</w:t>
      </w:r>
      <w:r w:rsidR="00BF1D97">
        <w:rPr>
          <w:rFonts w:eastAsia="MS Mincho"/>
        </w:rPr>
        <w:t xml:space="preserve"> addressed to the requesting STA</w:t>
      </w:r>
      <w:r w:rsidRPr="009D537D">
        <w:rPr>
          <w:rFonts w:eastAsia="MS Mincho"/>
        </w:rPr>
        <w:t>. The RA field of the Link Margin response frame shall be equal to the TA field of the Link Margin Request frame.</w:t>
      </w:r>
    </w:p>
    <w:p w:rsidR="00531771" w:rsidRPr="00531771" w:rsidRDefault="00531771" w:rsidP="00531771">
      <w:pPr>
        <w:autoSpaceDE w:val="0"/>
        <w:autoSpaceDN w:val="0"/>
        <w:adjustRightInd w:val="0"/>
        <w:rPr>
          <w:rFonts w:eastAsia="MS Mincho"/>
        </w:rPr>
      </w:pPr>
    </w:p>
    <w:p w:rsidR="00531771" w:rsidRPr="00531771" w:rsidRDefault="009D537D" w:rsidP="00531771">
      <w:pPr>
        <w:rPr>
          <w:rFonts w:eastAsia="MS Mincho"/>
        </w:rPr>
      </w:pPr>
      <w:r w:rsidRPr="009D537D">
        <w:rPr>
          <w:rFonts w:eastAsia="MS Mincho"/>
        </w:rPr>
        <w:t xml:space="preserve">If the Dialog Token field in the Link Margin </w:t>
      </w:r>
      <w:r w:rsidR="00BF1D97">
        <w:rPr>
          <w:rFonts w:eastAsia="MS Mincho"/>
        </w:rPr>
        <w:t>R</w:t>
      </w:r>
      <w:r w:rsidRPr="009D537D">
        <w:rPr>
          <w:rFonts w:eastAsia="MS Mincho"/>
        </w:rPr>
        <w:t xml:space="preserve">esponse frame is equal to the non-zero Dialog Token field of the Link Margin </w:t>
      </w:r>
      <w:r w:rsidR="00BF1D97">
        <w:rPr>
          <w:rFonts w:eastAsia="MS Mincho"/>
        </w:rPr>
        <w:t>R</w:t>
      </w:r>
      <w:r w:rsidRPr="009D537D">
        <w:rPr>
          <w:rFonts w:eastAsia="MS Mincho"/>
        </w:rPr>
        <w:t xml:space="preserve">equest frame, the MCS, SNR and Link Margin fields of the Link Margin </w:t>
      </w:r>
      <w:r w:rsidR="00BF1D97">
        <w:rPr>
          <w:rFonts w:eastAsia="MS Mincho"/>
        </w:rPr>
        <w:t>R</w:t>
      </w:r>
      <w:r w:rsidRPr="009D537D">
        <w:rPr>
          <w:rFonts w:eastAsia="MS Mincho"/>
        </w:rPr>
        <w:t>esponse frame shall be computed using the measurements of the PPDU which is the subsequent frame following the Link Margin Request frame.</w:t>
      </w:r>
    </w:p>
    <w:p w:rsidR="00531771" w:rsidRPr="00531771" w:rsidRDefault="00531771" w:rsidP="00531771">
      <w:pPr>
        <w:rPr>
          <w:rFonts w:eastAsia="MS Mincho"/>
        </w:rPr>
      </w:pPr>
    </w:p>
    <w:p w:rsidR="00531771" w:rsidRPr="00531771" w:rsidRDefault="009D537D" w:rsidP="00531771">
      <w:pPr>
        <w:rPr>
          <w:rFonts w:eastAsia="MS Mincho"/>
        </w:rPr>
      </w:pPr>
      <w:r w:rsidRPr="009D537D">
        <w:rPr>
          <w:rFonts w:eastAsia="MS Mincho"/>
        </w:rPr>
        <w:t xml:space="preserve">If </w:t>
      </w:r>
      <w:r w:rsidRPr="009D537D">
        <w:rPr>
          <w:rFonts w:eastAsia="SimSun"/>
          <w:lang w:eastAsia="zh-CN"/>
        </w:rPr>
        <w:t>the Dialog Token field in the Link Margin Request frame is set to zero,</w:t>
      </w:r>
      <w:r w:rsidRPr="009D537D">
        <w:rPr>
          <w:rFonts w:eastAsia="MS Mincho"/>
        </w:rPr>
        <w:t xml:space="preserve"> the responding STA may set the MCS field in the Link Margin Response frame to the MCS value computed based on any of the received frames from the requesting STA. </w:t>
      </w:r>
    </w:p>
    <w:p w:rsidR="00531771" w:rsidRPr="00531771" w:rsidRDefault="00531771" w:rsidP="00531771">
      <w:pPr>
        <w:rPr>
          <w:rFonts w:eastAsia="MS Mincho"/>
        </w:rPr>
      </w:pPr>
    </w:p>
    <w:p w:rsidR="00531771" w:rsidRPr="00531771" w:rsidRDefault="009D537D" w:rsidP="00531771">
      <w:pPr>
        <w:autoSpaceDE w:val="0"/>
        <w:autoSpaceDN w:val="0"/>
        <w:adjustRightInd w:val="0"/>
        <w:rPr>
          <w:rFonts w:eastAsia="MS Mincho"/>
        </w:rPr>
      </w:pPr>
      <w:r w:rsidRPr="009D537D">
        <w:rPr>
          <w:rFonts w:eastAsia="MS Mincho"/>
        </w:rPr>
        <w:t>The SNR field and Link Margin field in the Link Margin Response frame shall indicate the corresponding measurements based on the reception of the PPDU that was used to generate the MCS feedback contained in the same Link Margin Response frame.</w:t>
      </w:r>
    </w:p>
    <w:p w:rsidR="00531771" w:rsidRDefault="00531771" w:rsidP="00305FA5">
      <w:pPr>
        <w:autoSpaceDE w:val="0"/>
        <w:autoSpaceDN w:val="0"/>
        <w:adjustRightInd w:val="0"/>
      </w:pPr>
    </w:p>
    <w:p w:rsidR="004625C0" w:rsidRDefault="004625C0" w:rsidP="004625C0">
      <w:pPr>
        <w:autoSpaceDE w:val="0"/>
        <w:autoSpaceDN w:val="0"/>
        <w:adjustRightInd w:val="0"/>
        <w:rPr>
          <w:lang w:eastAsia="ko-KR"/>
        </w:rPr>
      </w:pPr>
      <w:r>
        <w:rPr>
          <w:rFonts w:hint="eastAsia"/>
          <w:lang w:eastAsia="ko-KR"/>
        </w:rPr>
        <w:t xml:space="preserve">The Link Margin Request and Response </w:t>
      </w:r>
      <w:r w:rsidR="00BF1D97">
        <w:rPr>
          <w:lang w:eastAsia="ko-KR"/>
        </w:rPr>
        <w:t xml:space="preserve">frames </w:t>
      </w:r>
      <w:r>
        <w:rPr>
          <w:rFonts w:hint="eastAsia"/>
          <w:lang w:eastAsia="ko-KR"/>
        </w:rPr>
        <w:t xml:space="preserve">may be used </w:t>
      </w:r>
      <w:r w:rsidR="00BF1D97">
        <w:rPr>
          <w:lang w:eastAsia="ko-KR"/>
        </w:rPr>
        <w:t xml:space="preserve">to obtain </w:t>
      </w:r>
      <w:r>
        <w:rPr>
          <w:rFonts w:hint="eastAsia"/>
          <w:lang w:eastAsia="ko-KR"/>
        </w:rPr>
        <w:t xml:space="preserve">Link Margin information, which can be used to determine appropriate action by the </w:t>
      </w:r>
      <w:r w:rsidR="00BF1D97">
        <w:rPr>
          <w:lang w:eastAsia="ko-KR"/>
        </w:rPr>
        <w:t>r</w:t>
      </w:r>
      <w:r w:rsidR="00BF1D97">
        <w:rPr>
          <w:rFonts w:hint="eastAsia"/>
          <w:lang w:eastAsia="ko-KR"/>
        </w:rPr>
        <w:t xml:space="preserve">equesting </w:t>
      </w:r>
      <w:r>
        <w:rPr>
          <w:rFonts w:hint="eastAsia"/>
          <w:lang w:eastAsia="ko-KR"/>
        </w:rPr>
        <w:t>STA (e.g.</w:t>
      </w:r>
      <w:r w:rsidR="003924DD">
        <w:rPr>
          <w:lang w:eastAsia="ko-KR"/>
        </w:rPr>
        <w:t>,</w:t>
      </w:r>
      <w:r>
        <w:rPr>
          <w:rFonts w:hint="eastAsia"/>
          <w:lang w:eastAsia="ko-KR"/>
        </w:rPr>
        <w:t xml:space="preserve"> control </w:t>
      </w:r>
      <w:r w:rsidR="00BF1D97">
        <w:rPr>
          <w:lang w:eastAsia="ko-KR"/>
        </w:rPr>
        <w:t>transmit</w:t>
      </w:r>
      <w:r w:rsidR="00BF1D97">
        <w:rPr>
          <w:rFonts w:hint="eastAsia"/>
          <w:lang w:eastAsia="ko-KR"/>
        </w:rPr>
        <w:t xml:space="preserve"> </w:t>
      </w:r>
      <w:r>
        <w:rPr>
          <w:rFonts w:hint="eastAsia"/>
          <w:lang w:eastAsia="ko-KR"/>
        </w:rPr>
        <w:t xml:space="preserve">power or </w:t>
      </w:r>
      <w:r w:rsidR="00BF1D97">
        <w:rPr>
          <w:lang w:eastAsia="ko-KR"/>
        </w:rPr>
        <w:t>i</w:t>
      </w:r>
      <w:r w:rsidR="00BF1D97">
        <w:rPr>
          <w:rFonts w:hint="eastAsia"/>
          <w:lang w:eastAsia="ko-KR"/>
        </w:rPr>
        <w:t xml:space="preserve">nitiate </w:t>
      </w:r>
      <w:r>
        <w:rPr>
          <w:rFonts w:hint="eastAsia"/>
          <w:lang w:eastAsia="ko-KR"/>
        </w:rPr>
        <w:t>FST).</w:t>
      </w:r>
    </w:p>
    <w:p w:rsidR="004625C0" w:rsidRPr="009448FC" w:rsidRDefault="004625C0" w:rsidP="00305FA5">
      <w:pPr>
        <w:autoSpaceDE w:val="0"/>
        <w:autoSpaceDN w:val="0"/>
        <w:adjustRightInd w:val="0"/>
      </w:pPr>
    </w:p>
    <w:p w:rsidR="00E95C0A" w:rsidRPr="009448FC" w:rsidRDefault="00305FA5" w:rsidP="00305FA5">
      <w:r w:rsidRPr="009448FC">
        <w:t xml:space="preserve">A STA may send </w:t>
      </w:r>
      <w:r w:rsidR="00924DC4" w:rsidRPr="009448FC">
        <w:t xml:space="preserve">an </w:t>
      </w:r>
      <w:r w:rsidRPr="009448FC">
        <w:t xml:space="preserve">unsolicited Link </w:t>
      </w:r>
      <w:r w:rsidR="004625C0">
        <w:t>Margin</w:t>
      </w:r>
      <w:r w:rsidRPr="009448FC">
        <w:t xml:space="preserve"> </w:t>
      </w:r>
      <w:r w:rsidR="00924DC4" w:rsidRPr="009448FC">
        <w:t>R</w:t>
      </w:r>
      <w:r w:rsidRPr="009448FC">
        <w:t>esponse frame</w:t>
      </w:r>
      <w:r w:rsidR="009D537D" w:rsidRPr="009D537D">
        <w:rPr>
          <w:rFonts w:eastAsia="MS Mincho"/>
        </w:rPr>
        <w:t xml:space="preserve"> with the Dialog Token field set to zero</w:t>
      </w:r>
      <w:r w:rsidRPr="009448FC">
        <w:t>.</w:t>
      </w:r>
    </w:p>
    <w:p w:rsidR="008C36FC" w:rsidRDefault="008C36FC" w:rsidP="004D1E99">
      <w:bookmarkStart w:id="2196" w:name="_Toc207098998"/>
      <w:bookmarkStart w:id="2197" w:name="_Toc207099606"/>
      <w:bookmarkStart w:id="2198" w:name="_Toc207100525"/>
      <w:bookmarkStart w:id="2199" w:name="_Toc207348447"/>
      <w:bookmarkStart w:id="2200" w:name="_Toc215582826"/>
      <w:bookmarkStart w:id="2201" w:name="_Toc235400521"/>
      <w:bookmarkStart w:id="2202" w:name="_Toc222806407"/>
      <w:bookmarkStart w:id="2203" w:name="_Toc222806983"/>
      <w:bookmarkStart w:id="2204" w:name="_Toc222807804"/>
      <w:bookmarkStart w:id="2205" w:name="_Toc222809522"/>
      <w:bookmarkStart w:id="2206" w:name="_Toc207099013"/>
      <w:bookmarkStart w:id="2207" w:name="_Toc207099621"/>
      <w:bookmarkStart w:id="2208" w:name="_Toc207100540"/>
      <w:bookmarkStart w:id="2209" w:name="_Toc207348462"/>
      <w:bookmarkStart w:id="2210" w:name="_Toc215582841"/>
      <w:bookmarkStart w:id="2211" w:name="_Toc222806421"/>
      <w:bookmarkStart w:id="2212" w:name="_Toc222806997"/>
      <w:bookmarkStart w:id="2213" w:name="_Toc222807818"/>
      <w:bookmarkStart w:id="2214" w:name="_Toc222809536"/>
      <w:bookmarkStart w:id="2215" w:name="_Toc222806422"/>
      <w:bookmarkStart w:id="2216" w:name="_Toc222806998"/>
      <w:bookmarkStart w:id="2217" w:name="_Toc222807819"/>
      <w:bookmarkStart w:id="2218" w:name="_Toc222809537"/>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rsidR="001363F5" w:rsidRPr="009448FC" w:rsidRDefault="001363F5" w:rsidP="003701DB">
      <w:pPr>
        <w:pStyle w:val="Heading2"/>
        <w:numPr>
          <w:ilvl w:val="1"/>
          <w:numId w:val="108"/>
        </w:numPr>
        <w:rPr>
          <w:u w:val="none"/>
        </w:rPr>
      </w:pPr>
      <w:bookmarkStart w:id="2219" w:name="_Ref251766419"/>
      <w:bookmarkStart w:id="2220" w:name="_Toc259717179"/>
      <w:r>
        <w:rPr>
          <w:u w:val="none"/>
        </w:rPr>
        <w:t>mmWave D</w:t>
      </w:r>
      <w:r w:rsidR="003308B2">
        <w:rPr>
          <w:u w:val="none"/>
        </w:rPr>
        <w:t>ynamic</w:t>
      </w:r>
      <w:r w:rsidR="00CF5CB5">
        <w:rPr>
          <w:u w:val="none"/>
        </w:rPr>
        <w:t xml:space="preserve"> Tone </w:t>
      </w:r>
      <w:bookmarkEnd w:id="2219"/>
      <w:r w:rsidR="00CF5CB5">
        <w:rPr>
          <w:u w:val="none"/>
        </w:rPr>
        <w:t>Pairing (DTP)</w:t>
      </w:r>
      <w:bookmarkEnd w:id="2220"/>
    </w:p>
    <w:p w:rsidR="001363F5" w:rsidRDefault="001363F5" w:rsidP="004D1E99"/>
    <w:p w:rsidR="001363F5" w:rsidRDefault="001363F5" w:rsidP="001363F5">
      <w:r>
        <w:t xml:space="preserve">A pair of communicating STAs shall only employ DTP modulation if both STAs support DTP as indicated through the DTP Supported field within the STA’s mmWave Capability element. </w:t>
      </w:r>
    </w:p>
    <w:p w:rsidR="001363F5" w:rsidRDefault="001363F5" w:rsidP="001363F5"/>
    <w:p w:rsidR="001363F5" w:rsidRPr="009A3C67" w:rsidRDefault="001363F5" w:rsidP="001363F5">
      <w:r>
        <w:t xml:space="preserve">A DTP capable STA may use DTP with another DTP capable STA by setting the </w:t>
      </w:r>
      <w:r w:rsidRPr="00C6444E">
        <w:t xml:space="preserve">Tone Pairing Type </w:t>
      </w:r>
      <w:r w:rsidR="00A6426E" w:rsidRPr="00A6426E">
        <w:t>field within the PLCP header</w:t>
      </w:r>
      <w:r w:rsidR="00A6426E">
        <w:t xml:space="preserve"> </w:t>
      </w:r>
      <w:r w:rsidRPr="00C6444E">
        <w:t>to one, otherwise the Tone Pairing Type field shall be set to zero.</w:t>
      </w:r>
      <w:r>
        <w:t xml:space="preserve"> The transmitting STA may stop using DTP by setting the </w:t>
      </w:r>
      <w:r w:rsidRPr="007F3B09">
        <w:t>Tone Pairing Type field within the PLCP header to zero.</w:t>
      </w:r>
    </w:p>
    <w:p w:rsidR="001363F5" w:rsidRDefault="00BF72EC" w:rsidP="001363F5">
      <w:r>
        <w:t xml:space="preserve"> </w:t>
      </w:r>
    </w:p>
    <w:p w:rsidR="001363F5" w:rsidRDefault="001363F5" w:rsidP="001363F5">
      <w:pPr>
        <w:rPr>
          <w:lang w:eastAsia="zh-TW"/>
        </w:rPr>
      </w:pPr>
      <w:r>
        <w:t>A transmitting STA requests a DTP report from a receiving STA by sending a DTP Request frame to that STA. Upon receiving a DTP Request frame, the receiving STA shall respond with a DTP Report frame carrying the DTP configuration. A receiving STA may also send a DTP Report frame unsolicited, that is, without receiving a corresponding DTP Request frame.</w:t>
      </w:r>
      <w:r>
        <w:rPr>
          <w:rFonts w:hint="eastAsia"/>
          <w:lang w:eastAsia="zh-TW"/>
        </w:rPr>
        <w:t xml:space="preserve"> </w:t>
      </w:r>
    </w:p>
    <w:p w:rsidR="001363F5" w:rsidRDefault="001363F5" w:rsidP="001363F5">
      <w:pPr>
        <w:rPr>
          <w:lang w:eastAsia="zh-TW"/>
        </w:rPr>
      </w:pPr>
    </w:p>
    <w:p w:rsidR="001363F5" w:rsidRDefault="001363F5" w:rsidP="001363F5">
      <w:pPr>
        <w:rPr>
          <w:lang w:eastAsia="zh-TW"/>
        </w:rPr>
      </w:pPr>
      <w:r>
        <w:rPr>
          <w:rFonts w:hint="eastAsia"/>
          <w:lang w:eastAsia="zh-TW"/>
        </w:rPr>
        <w:t xml:space="preserve">The transmitting STA should switch to the updated DTP configuration </w:t>
      </w:r>
      <w:r>
        <w:rPr>
          <w:lang w:eastAsia="zh-TW"/>
        </w:rPr>
        <w:t>after</w:t>
      </w:r>
      <w:r>
        <w:t xml:space="preserve"> </w:t>
      </w:r>
      <w:r>
        <w:rPr>
          <w:rFonts w:hint="eastAsia"/>
          <w:lang w:eastAsia="zh-TW"/>
        </w:rPr>
        <w:t>a</w:t>
      </w:r>
      <w:r>
        <w:t xml:space="preserve"> DTP Report frame is received</w:t>
      </w:r>
      <w:r>
        <w:rPr>
          <w:rFonts w:hint="eastAsia"/>
          <w:lang w:eastAsia="zh-TW"/>
        </w:rPr>
        <w:t>.</w:t>
      </w:r>
      <w:r w:rsidR="005515A4">
        <w:rPr>
          <w:rFonts w:hint="eastAsia"/>
          <w:lang w:eastAsia="zh-TW"/>
        </w:rPr>
        <w:t xml:space="preserve"> </w:t>
      </w:r>
    </w:p>
    <w:p w:rsidR="001363F5" w:rsidRDefault="001363F5" w:rsidP="001363F5">
      <w:pPr>
        <w:rPr>
          <w:lang w:eastAsia="zh-TW"/>
        </w:rPr>
      </w:pPr>
    </w:p>
    <w:p w:rsidR="001363F5" w:rsidRDefault="001363F5" w:rsidP="001363F5">
      <w:r>
        <w:t>If a STA transmits a DTP R</w:t>
      </w:r>
      <w:r w:rsidRPr="0052713E">
        <w:t>eport</w:t>
      </w:r>
      <w:r>
        <w:t xml:space="preserve"> frame</w:t>
      </w:r>
      <w:r w:rsidRPr="0052713E">
        <w:t xml:space="preserve"> </w:t>
      </w:r>
      <w:r>
        <w:rPr>
          <w:rFonts w:hint="eastAsia"/>
        </w:rPr>
        <w:t xml:space="preserve">in response to </w:t>
      </w:r>
      <w:r>
        <w:t xml:space="preserve">the reception of </w:t>
      </w:r>
      <w:r>
        <w:rPr>
          <w:rFonts w:hint="eastAsia"/>
        </w:rPr>
        <w:t xml:space="preserve">a DTP </w:t>
      </w:r>
      <w:r>
        <w:t>R</w:t>
      </w:r>
      <w:r>
        <w:rPr>
          <w:rFonts w:hint="eastAsia"/>
        </w:rPr>
        <w:t xml:space="preserve">equest </w:t>
      </w:r>
      <w:r>
        <w:t>frame, t</w:t>
      </w:r>
      <w:r w:rsidRPr="0052713E">
        <w:t>he STA</w:t>
      </w:r>
      <w:r>
        <w:t xml:space="preserve"> should not send an updated DTP R</w:t>
      </w:r>
      <w:r w:rsidRPr="0052713E">
        <w:t>eport</w:t>
      </w:r>
      <w:r>
        <w:t xml:space="preserve"> frame</w:t>
      </w:r>
      <w:r w:rsidRPr="0052713E">
        <w:t xml:space="preserve"> unless it receives another DTP </w:t>
      </w:r>
      <w:r>
        <w:t>R</w:t>
      </w:r>
      <w:r w:rsidRPr="0052713E">
        <w:t>equest</w:t>
      </w:r>
      <w:r>
        <w:t xml:space="preserve"> frame</w:t>
      </w:r>
      <w:r w:rsidRPr="0052713E">
        <w:t xml:space="preserve">. </w:t>
      </w:r>
    </w:p>
    <w:p w:rsidR="001363F5" w:rsidRPr="0052713E" w:rsidRDefault="001363F5" w:rsidP="001363F5">
      <w:pPr>
        <w:pStyle w:val="ListParagraph"/>
        <w:ind w:left="1080"/>
      </w:pPr>
    </w:p>
    <w:p w:rsidR="001363F5" w:rsidRDefault="001363F5" w:rsidP="001363F5">
      <w:r>
        <w:t>If a STA transmits an unsolicited DTP R</w:t>
      </w:r>
      <w:r w:rsidRPr="0052713E">
        <w:t>eport</w:t>
      </w:r>
      <w:r>
        <w:t xml:space="preserve"> frame,</w:t>
      </w:r>
      <w:r w:rsidRPr="0052713E" w:rsidDel="00A541AA">
        <w:t xml:space="preserve"> </w:t>
      </w:r>
      <w:r>
        <w:t>t</w:t>
      </w:r>
      <w:r w:rsidRPr="0052713E">
        <w:t xml:space="preserve">he STA </w:t>
      </w:r>
      <w:r>
        <w:t xml:space="preserve">should not send a new </w:t>
      </w:r>
      <w:r>
        <w:rPr>
          <w:rFonts w:hint="eastAsia"/>
        </w:rPr>
        <w:t xml:space="preserve">unsolicited </w:t>
      </w:r>
      <w:r>
        <w:t>updated DTP R</w:t>
      </w:r>
      <w:r w:rsidRPr="0052713E">
        <w:t xml:space="preserve">eport unless the </w:t>
      </w:r>
      <w:r>
        <w:t>transmitting STA</w:t>
      </w:r>
      <w:r w:rsidRPr="0052713E">
        <w:t xml:space="preserve"> has switched to the DTP </w:t>
      </w:r>
      <w:r>
        <w:rPr>
          <w:rFonts w:hint="eastAsia"/>
        </w:rPr>
        <w:t xml:space="preserve">configuration </w:t>
      </w:r>
      <w:r>
        <w:t xml:space="preserve">last </w:t>
      </w:r>
      <w:r w:rsidRPr="0052713E">
        <w:t xml:space="preserve">sent. </w:t>
      </w:r>
    </w:p>
    <w:p w:rsidR="001363F5" w:rsidRDefault="001363F5" w:rsidP="001363F5">
      <w:pPr>
        <w:pStyle w:val="ListParagraph"/>
      </w:pPr>
    </w:p>
    <w:p w:rsidR="001363F5" w:rsidRPr="008039AB" w:rsidRDefault="001363F5" w:rsidP="001363F5">
      <w:r w:rsidRPr="008039AB">
        <w:t>Both the transmitting and receiving STAs maintain two copies of DTP configurations</w:t>
      </w:r>
      <w:r>
        <w:t>: the</w:t>
      </w:r>
      <w:r w:rsidRPr="008039AB">
        <w:t xml:space="preserve"> current configuration</w:t>
      </w:r>
      <w:r>
        <w:t xml:space="preserve"> that is in use for transmission</w:t>
      </w:r>
      <w:r w:rsidRPr="008039AB">
        <w:t xml:space="preserve"> and an update</w:t>
      </w:r>
      <w:r>
        <w:t>d</w:t>
      </w:r>
      <w:r w:rsidRPr="008039AB">
        <w:t xml:space="preserve"> configuration</w:t>
      </w:r>
      <w:r>
        <w:t>, if any,</w:t>
      </w:r>
      <w:r w:rsidRPr="008039AB">
        <w:t xml:space="preserve"> received after the current configur</w:t>
      </w:r>
      <w:r>
        <w:t xml:space="preserve">ation. </w:t>
      </w:r>
      <w:r w:rsidRPr="008039AB">
        <w:t xml:space="preserve">The transmitting STA determines when to switch from the current to the </w:t>
      </w:r>
      <w:r>
        <w:t>updated DTP configuration. The transmitting STA shall indicate the switch</w:t>
      </w:r>
      <w:r w:rsidRPr="008039AB">
        <w:t xml:space="preserve"> from </w:t>
      </w:r>
      <w:r>
        <w:t xml:space="preserve">the current configuration to the updated configuration by </w:t>
      </w:r>
      <w:r w:rsidRPr="008039AB">
        <w:t xml:space="preserve">toggling </w:t>
      </w:r>
      <w:r>
        <w:t>the DTP I</w:t>
      </w:r>
      <w:r w:rsidRPr="00ED0516">
        <w:t>ndicator</w:t>
      </w:r>
      <w:r>
        <w:t xml:space="preserve"> </w:t>
      </w:r>
      <w:r w:rsidRPr="008039AB">
        <w:t>bit</w:t>
      </w:r>
      <w:r>
        <w:t xml:space="preserve"> field</w:t>
      </w:r>
      <w:r w:rsidRPr="008039AB">
        <w:t xml:space="preserve"> in the </w:t>
      </w:r>
      <w:r>
        <w:t>PLCP</w:t>
      </w:r>
      <w:r w:rsidRPr="008039AB">
        <w:t xml:space="preserve"> header.</w:t>
      </w:r>
      <w:r>
        <w:t xml:space="preserve"> The value of the DTP Indicator field shall be kept unchanged until the transmitting STA decides to switch DTP configuration.</w:t>
      </w:r>
    </w:p>
    <w:p w:rsidR="001363F5" w:rsidRPr="00A05742" w:rsidRDefault="001363F5" w:rsidP="001363F5">
      <w:pPr>
        <w:rPr>
          <w:strike/>
        </w:rPr>
      </w:pPr>
    </w:p>
    <w:p w:rsidR="001363F5" w:rsidRDefault="001363F5" w:rsidP="001363F5">
      <w:r w:rsidRPr="009A3C67">
        <w:lastRenderedPageBreak/>
        <w:t xml:space="preserve">The </w:t>
      </w:r>
      <w:r>
        <w:t>transmitting STA may send another DTP Request frame to a receiving STA even if it decided not to switch to the DTP configuration indicated by the receiving STA’s last transmitted, if any, DTP Report frame.</w:t>
      </w:r>
    </w:p>
    <w:p w:rsidR="001363F5" w:rsidRPr="009448FC" w:rsidRDefault="001363F5" w:rsidP="004D1E99"/>
    <w:p w:rsidR="008C36FC" w:rsidRPr="009448FC" w:rsidRDefault="008C36FC" w:rsidP="003701DB">
      <w:pPr>
        <w:pStyle w:val="Heading1"/>
        <w:numPr>
          <w:ilvl w:val="0"/>
          <w:numId w:val="31"/>
        </w:numPr>
        <w:rPr>
          <w:rFonts w:ascii="Times New Roman" w:hAnsi="Times New Roman"/>
          <w:u w:val="none"/>
        </w:rPr>
      </w:pPr>
      <w:bookmarkStart w:id="2221" w:name="_Toc207099031"/>
      <w:bookmarkStart w:id="2222" w:name="_Toc207099639"/>
      <w:bookmarkStart w:id="2223" w:name="_Toc207100558"/>
      <w:bookmarkStart w:id="2224" w:name="_Toc207348480"/>
      <w:bookmarkStart w:id="2225" w:name="_Toc215582859"/>
      <w:bookmarkStart w:id="2226" w:name="_Toc235400554"/>
      <w:bookmarkStart w:id="2227" w:name="_Toc259717180"/>
      <w:r w:rsidRPr="009448FC">
        <w:rPr>
          <w:rFonts w:ascii="Times New Roman" w:hAnsi="Times New Roman"/>
          <w:u w:val="none"/>
        </w:rPr>
        <w:t>MLME</w:t>
      </w:r>
      <w:bookmarkEnd w:id="2221"/>
      <w:bookmarkEnd w:id="2222"/>
      <w:bookmarkEnd w:id="2223"/>
      <w:bookmarkEnd w:id="2224"/>
      <w:bookmarkEnd w:id="2225"/>
      <w:bookmarkEnd w:id="2226"/>
      <w:bookmarkEnd w:id="2227"/>
    </w:p>
    <w:p w:rsidR="008C36FC" w:rsidRPr="009448FC" w:rsidRDefault="008C36FC" w:rsidP="003701DB">
      <w:pPr>
        <w:pStyle w:val="Heading2"/>
        <w:numPr>
          <w:ilvl w:val="1"/>
          <w:numId w:val="32"/>
        </w:numPr>
        <w:rPr>
          <w:u w:val="none"/>
        </w:rPr>
      </w:pPr>
      <w:bookmarkStart w:id="2228" w:name="_Toc207099032"/>
      <w:bookmarkStart w:id="2229" w:name="_Toc207099640"/>
      <w:bookmarkStart w:id="2230" w:name="_Toc207100559"/>
      <w:bookmarkStart w:id="2231" w:name="_Toc207348481"/>
      <w:bookmarkStart w:id="2232" w:name="_Toc215582860"/>
      <w:bookmarkStart w:id="2233" w:name="_Toc235400555"/>
      <w:bookmarkStart w:id="2234" w:name="_Ref243988071"/>
      <w:bookmarkStart w:id="2235" w:name="_Ref244148220"/>
      <w:bookmarkStart w:id="2236" w:name="_Toc259717181"/>
      <w:bookmarkStart w:id="2237" w:name="_Ref259717671"/>
      <w:r w:rsidRPr="009448FC">
        <w:rPr>
          <w:u w:val="none"/>
        </w:rPr>
        <w:t>Synchronization</w:t>
      </w:r>
      <w:bookmarkEnd w:id="2228"/>
      <w:bookmarkEnd w:id="2229"/>
      <w:bookmarkEnd w:id="2230"/>
      <w:bookmarkEnd w:id="2231"/>
      <w:bookmarkEnd w:id="2232"/>
      <w:bookmarkEnd w:id="2233"/>
      <w:bookmarkEnd w:id="2234"/>
      <w:bookmarkEnd w:id="2235"/>
      <w:bookmarkEnd w:id="2236"/>
      <w:bookmarkEnd w:id="2237"/>
    </w:p>
    <w:p w:rsidR="00824E00" w:rsidRPr="009448FC" w:rsidRDefault="00824E00" w:rsidP="00824E00"/>
    <w:p w:rsidR="00824E00" w:rsidRPr="009448FC" w:rsidRDefault="00824E00" w:rsidP="003701DB">
      <w:pPr>
        <w:pStyle w:val="Heading3"/>
        <w:numPr>
          <w:ilvl w:val="2"/>
          <w:numId w:val="32"/>
        </w:numPr>
      </w:pPr>
      <w:bookmarkStart w:id="2238" w:name="_Toc259717182"/>
      <w:r w:rsidRPr="009448FC">
        <w:t>Basic approach</w:t>
      </w:r>
      <w:bookmarkEnd w:id="2238"/>
    </w:p>
    <w:p w:rsidR="00444738" w:rsidRPr="00BB5A7F" w:rsidRDefault="00444738" w:rsidP="00BB5A7F">
      <w:pPr>
        <w:autoSpaceDE w:val="0"/>
        <w:autoSpaceDN w:val="0"/>
        <w:adjustRightInd w:val="0"/>
        <w:jc w:val="both"/>
      </w:pPr>
    </w:p>
    <w:p w:rsidR="00BB5A7F" w:rsidRPr="009448FC" w:rsidRDefault="00BB5A7F" w:rsidP="00BB5A7F">
      <w:pPr>
        <w:rPr>
          <w:i/>
        </w:rPr>
      </w:pPr>
      <w:r w:rsidRPr="009448FC">
        <w:rPr>
          <w:i/>
        </w:rPr>
        <w:t xml:space="preserve">.11 Editor Note: </w:t>
      </w:r>
      <w:r>
        <w:rPr>
          <w:i/>
        </w:rPr>
        <w:t>insert the following paragraph at the end of this subclause</w:t>
      </w:r>
      <w:r w:rsidRPr="009448FC">
        <w:rPr>
          <w:i/>
        </w:rPr>
        <w:t>:</w:t>
      </w:r>
    </w:p>
    <w:p w:rsidR="00BB5A7F" w:rsidRDefault="00BF72EC" w:rsidP="00BB5A7F">
      <w:pPr>
        <w:autoSpaceDE w:val="0"/>
        <w:autoSpaceDN w:val="0"/>
        <w:adjustRightInd w:val="0"/>
        <w:jc w:val="both"/>
      </w:pPr>
      <w:r>
        <w:t xml:space="preserve"> </w:t>
      </w:r>
    </w:p>
    <w:p w:rsidR="00BB5A7F" w:rsidRPr="00BB5A7F" w:rsidRDefault="00BB5A7F" w:rsidP="00BB5A7F">
      <w:pPr>
        <w:autoSpaceDE w:val="0"/>
        <w:autoSpaceDN w:val="0"/>
        <w:adjustRightInd w:val="0"/>
        <w:jc w:val="both"/>
      </w:pPr>
      <w:r>
        <w:t>A multi-band capable STA (</w:t>
      </w:r>
      <w:r w:rsidR="0029442A">
        <w:t xml:space="preserve">11.34 </w:t>
      </w:r>
      <w:r w:rsidR="00BD151C">
        <w:fldChar w:fldCharType="begin"/>
      </w:r>
      <w:r>
        <w:instrText xml:space="preserve"> REF _Ref246664738 \h </w:instrText>
      </w:r>
      <w:r w:rsidR="00BD151C">
        <w:fldChar w:fldCharType="separate"/>
      </w:r>
      <w:r w:rsidR="003E4210">
        <w:t xml:space="preserve"> </w:t>
      </w:r>
      <w:r w:rsidR="003E4210" w:rsidRPr="00DB7490">
        <w:t xml:space="preserve">Multi-band </w:t>
      </w:r>
      <w:r w:rsidR="003E4210" w:rsidRPr="00DB7490">
        <w:rPr>
          <w:rFonts w:cs="Arial"/>
        </w:rPr>
        <w:t>Operation</w:t>
      </w:r>
      <w:r w:rsidR="00BD151C">
        <w:fldChar w:fldCharType="end"/>
      </w:r>
      <w:r>
        <w:t xml:space="preserve">) shall maintain a local TSF timer for each channel that </w:t>
      </w:r>
      <w:r w:rsidR="0029442A">
        <w:t xml:space="preserve">the </w:t>
      </w:r>
      <w:r>
        <w:t>STA operates.</w:t>
      </w:r>
    </w:p>
    <w:p w:rsidR="00BB5A7F" w:rsidRPr="00BB5A7F" w:rsidRDefault="00BB5A7F" w:rsidP="00BB5A7F">
      <w:pPr>
        <w:autoSpaceDE w:val="0"/>
        <w:autoSpaceDN w:val="0"/>
        <w:adjustRightInd w:val="0"/>
        <w:jc w:val="both"/>
      </w:pPr>
    </w:p>
    <w:p w:rsidR="00444738" w:rsidRPr="009448FC" w:rsidRDefault="00444738" w:rsidP="00444738">
      <w:pPr>
        <w:rPr>
          <w:i/>
        </w:rPr>
      </w:pPr>
      <w:r w:rsidRPr="009448FC">
        <w:rPr>
          <w:i/>
        </w:rPr>
        <w:t>.11 Editor Note: Please replace section 11.1.1.1 with the following paragraphs:</w:t>
      </w:r>
    </w:p>
    <w:p w:rsidR="00444738" w:rsidRPr="009448FC" w:rsidRDefault="00444738" w:rsidP="00444738">
      <w:pPr>
        <w:autoSpaceDE w:val="0"/>
        <w:autoSpaceDN w:val="0"/>
        <w:adjustRightInd w:val="0"/>
        <w:jc w:val="both"/>
        <w:rPr>
          <w:rFonts w:ascii="Arial,Bold" w:hAnsi="Arial,Bold"/>
          <w:b/>
        </w:rPr>
      </w:pPr>
    </w:p>
    <w:p w:rsidR="00444738" w:rsidRPr="009448FC" w:rsidRDefault="00444738" w:rsidP="003701DB">
      <w:pPr>
        <w:pStyle w:val="Heading4"/>
        <w:numPr>
          <w:ilvl w:val="3"/>
          <w:numId w:val="32"/>
        </w:numPr>
      </w:pPr>
      <w:bookmarkStart w:id="2239" w:name="_Toc259717183"/>
      <w:r w:rsidRPr="009448FC">
        <w:t xml:space="preserve">TSF for infrastructure networks </w:t>
      </w:r>
      <w:r w:rsidRPr="00066F65">
        <w:rPr>
          <w:u w:val="single"/>
          <w:lang w:eastAsia="ko-KR"/>
        </w:rPr>
        <w:t>and PBSS networks</w:t>
      </w:r>
      <w:bookmarkEnd w:id="2239"/>
    </w:p>
    <w:p w:rsidR="00444738" w:rsidRPr="009448FC" w:rsidRDefault="00444738" w:rsidP="00444738">
      <w:pPr>
        <w:autoSpaceDE w:val="0"/>
        <w:autoSpaceDN w:val="0"/>
        <w:adjustRightInd w:val="0"/>
        <w:jc w:val="both"/>
        <w:rPr>
          <w:rFonts w:ascii="TimesNewRoman" w:hAnsi="TimesNewRoman"/>
        </w:rPr>
      </w:pPr>
    </w:p>
    <w:p w:rsidR="00444738" w:rsidRPr="009448FC" w:rsidRDefault="00444738" w:rsidP="00444738">
      <w:pPr>
        <w:autoSpaceDE w:val="0"/>
        <w:autoSpaceDN w:val="0"/>
        <w:adjustRightInd w:val="0"/>
        <w:jc w:val="both"/>
      </w:pPr>
      <w:r w:rsidRPr="009448FC">
        <w:t xml:space="preserve">In an infrastructure BSS </w:t>
      </w:r>
      <w:r w:rsidRPr="00066F65">
        <w:rPr>
          <w:u w:val="single"/>
          <w:lang w:eastAsia="ko-KR" w:bidi="ar-SA"/>
        </w:rPr>
        <w:t>or in a PBSS</w:t>
      </w:r>
      <w:r w:rsidRPr="009448FC">
        <w:t xml:space="preserve">, the AP </w:t>
      </w:r>
      <w:r w:rsidRPr="00066F65">
        <w:rPr>
          <w:u w:val="single"/>
          <w:lang w:eastAsia="ko-KR" w:bidi="ar-SA"/>
        </w:rPr>
        <w:t>in the infrastructure BSS or the PCP in the PBSS</w:t>
      </w:r>
      <w:r w:rsidRPr="009448FC">
        <w:t xml:space="preserve"> shall be the timing master for the TSF. The AP </w:t>
      </w:r>
      <w:r w:rsidRPr="00066F65">
        <w:rPr>
          <w:u w:val="single"/>
          <w:lang w:eastAsia="ko-KR" w:bidi="ar-SA"/>
        </w:rPr>
        <w:t>and the PCP</w:t>
      </w:r>
      <w:r w:rsidRPr="009448FC">
        <w:t xml:space="preserve"> shall initialize its TSF timer independently of any simultaneously started APs </w:t>
      </w:r>
      <w:r w:rsidRPr="00066F65">
        <w:rPr>
          <w:u w:val="single"/>
          <w:lang w:eastAsia="ko-KR" w:bidi="ar-SA"/>
        </w:rPr>
        <w:t>and PCPs</w:t>
      </w:r>
      <w:r w:rsidRPr="009448FC">
        <w:t xml:space="preserve"> in an effort to minimize the synchronization of the TSF timers of multiple APs </w:t>
      </w:r>
      <w:r w:rsidRPr="00066F65">
        <w:rPr>
          <w:u w:val="single"/>
          <w:lang w:eastAsia="ko-KR" w:bidi="ar-SA"/>
        </w:rPr>
        <w:t>and PCPs</w:t>
      </w:r>
      <w:r w:rsidRPr="009448FC">
        <w:t xml:space="preserve">. In the HB and LB, The AP shall periodically transmit special frames called </w:t>
      </w:r>
      <w:r w:rsidRPr="009448FC">
        <w:rPr>
          <w:i/>
        </w:rPr>
        <w:t>Beacon frames</w:t>
      </w:r>
      <w:r w:rsidRPr="00066F65">
        <w:rPr>
          <w:i/>
          <w:iCs/>
          <w:u w:val="single"/>
          <w:lang w:eastAsia="ko-KR" w:bidi="ar-SA"/>
        </w:rPr>
        <w:t xml:space="preserve">. </w:t>
      </w:r>
      <w:r w:rsidRPr="00066F65">
        <w:rPr>
          <w:u w:val="single"/>
          <w:lang w:eastAsia="ko-KR" w:bidi="ar-SA"/>
        </w:rPr>
        <w:t>In the UB, the PCP shall periodically transmit special frames called mmWave Beacon and Announce frames and which provide a similar function to the Beacon frame in the LB and HB. Beacon, mmWave Beacon and Announce frames</w:t>
      </w:r>
      <w:r w:rsidRPr="009448FC">
        <w:t xml:space="preserve"> contain a copy of </w:t>
      </w:r>
      <w:r w:rsidRPr="009448FC">
        <w:rPr>
          <w:strike/>
        </w:rPr>
        <w:t>its</w:t>
      </w:r>
      <w:r w:rsidRPr="009448FC">
        <w:t xml:space="preserve"> </w:t>
      </w:r>
      <w:r w:rsidR="00D63DDF" w:rsidRPr="00066F65">
        <w:rPr>
          <w:u w:val="single"/>
          <w:lang w:eastAsia="ko-KR" w:bidi="ar-SA"/>
        </w:rPr>
        <w:t>the PCP’s or AP’s</w:t>
      </w:r>
      <w:r w:rsidR="00D63DDF" w:rsidRPr="009448FC">
        <w:t xml:space="preserve"> </w:t>
      </w:r>
      <w:r w:rsidRPr="009448FC">
        <w:t>TSF timer to synchronize the TSF timers of other STAs in a BSS. A receiving STA shall always accept the timing information in Beacon</w:t>
      </w:r>
      <w:r w:rsidRPr="00066F65">
        <w:rPr>
          <w:u w:val="single"/>
          <w:lang w:eastAsia="ko-KR" w:bidi="ar-SA"/>
        </w:rPr>
        <w:t>, mmWave Beacon and Announce</w:t>
      </w:r>
      <w:r w:rsidRPr="009448FC">
        <w:t xml:space="preserve"> frames sent from the AP </w:t>
      </w:r>
      <w:r w:rsidRPr="00066F65">
        <w:rPr>
          <w:u w:val="single"/>
          <w:lang w:eastAsia="ko-KR" w:bidi="ar-SA"/>
        </w:rPr>
        <w:t>and PCP</w:t>
      </w:r>
      <w:r w:rsidRPr="009448FC">
        <w:t xml:space="preserve"> servicing its BSS. If a STA’s TSF timer is different from the timestamp in the received Beacon, </w:t>
      </w:r>
      <w:r w:rsidRPr="00066F65">
        <w:rPr>
          <w:u w:val="single"/>
          <w:lang w:eastAsia="ko-KR" w:bidi="ar-SA"/>
        </w:rPr>
        <w:t xml:space="preserve">mmWave Beacon </w:t>
      </w:r>
      <w:r w:rsidR="00D63DDF" w:rsidRPr="00066F65">
        <w:rPr>
          <w:u w:val="single"/>
          <w:lang w:eastAsia="ko-KR" w:bidi="ar-SA"/>
        </w:rPr>
        <w:t>or</w:t>
      </w:r>
      <w:r w:rsidRPr="00066F65">
        <w:rPr>
          <w:u w:val="single"/>
          <w:lang w:eastAsia="ko-KR" w:bidi="ar-SA"/>
        </w:rPr>
        <w:t xml:space="preserve"> Announce frame,</w:t>
      </w:r>
      <w:r w:rsidRPr="009448FC">
        <w:t xml:space="preserve"> the receiving STA shall set its local TSF timer to the received timestamp value.</w:t>
      </w:r>
      <w:r w:rsidR="005515A4">
        <w:t xml:space="preserve"> </w:t>
      </w:r>
    </w:p>
    <w:p w:rsidR="00444738" w:rsidRDefault="00444738" w:rsidP="00444738">
      <w:pPr>
        <w:autoSpaceDE w:val="0"/>
        <w:autoSpaceDN w:val="0"/>
        <w:adjustRightInd w:val="0"/>
        <w:jc w:val="both"/>
      </w:pPr>
    </w:p>
    <w:p w:rsidR="00444738" w:rsidRPr="00066F65" w:rsidRDefault="00444738" w:rsidP="00444738">
      <w:pPr>
        <w:autoSpaceDE w:val="0"/>
        <w:autoSpaceDN w:val="0"/>
        <w:adjustRightInd w:val="0"/>
        <w:rPr>
          <w:u w:val="single"/>
        </w:rPr>
      </w:pPr>
      <w:r w:rsidRPr="00066F65">
        <w:rPr>
          <w:u w:val="single"/>
          <w:lang w:eastAsia="ko-KR" w:bidi="ar-SA"/>
        </w:rPr>
        <w:t>In LB and HB,</w:t>
      </w:r>
      <w:r w:rsidRPr="009448FC">
        <w:t xml:space="preserve"> Beacon frames shall be generated for transmission by the AP once every dot11BeaconPeriod TUs. </w:t>
      </w:r>
      <w:r w:rsidRPr="00066F65">
        <w:rPr>
          <w:u w:val="single"/>
          <w:lang w:eastAsia="ko-KR" w:bidi="ar-SA"/>
        </w:rPr>
        <w:t xml:space="preserve">In the UB, at least one mmWave Beacon </w:t>
      </w:r>
      <w:r w:rsidR="00ED4611">
        <w:rPr>
          <w:u w:val="single"/>
          <w:lang w:eastAsia="ko-KR" w:bidi="ar-SA"/>
        </w:rPr>
        <w:t xml:space="preserve">frame </w:t>
      </w:r>
      <w:r w:rsidRPr="00066F65">
        <w:rPr>
          <w:u w:val="single"/>
          <w:lang w:eastAsia="ko-KR" w:bidi="ar-SA"/>
        </w:rPr>
        <w:t>shall be generated for transmission by the AP every dot11BeaconPeriod TUs.</w:t>
      </w:r>
      <w:r w:rsidRPr="009448FC">
        <w:t xml:space="preserve"> </w:t>
      </w:r>
      <w:r w:rsidRPr="00066F65">
        <w:rPr>
          <w:u w:val="single"/>
          <w:lang w:eastAsia="ko-KR" w:bidi="ar-SA"/>
        </w:rPr>
        <w:t xml:space="preserve">The AP shall transmit at least one mmWave Beacon frame through each antenna configuration available to the AP within a time interval that is not longer than </w:t>
      </w:r>
      <w:r w:rsidRPr="00066F65">
        <w:rPr>
          <w:u w:val="single"/>
        </w:rPr>
        <w:t>dot11BeaconPeriod*</w:t>
      </w:r>
      <w:r w:rsidR="004D1A1B">
        <w:rPr>
          <w:u w:val="single"/>
          <w:lang w:bidi="ar-SA"/>
        </w:rPr>
        <w:t>dot11MaxLostBeacons</w:t>
      </w:r>
      <w:r w:rsidRPr="00066F65">
        <w:rPr>
          <w:u w:val="single"/>
          <w:lang w:bidi="ar-SA"/>
        </w:rPr>
        <w:t xml:space="preserve"> </w:t>
      </w:r>
      <w:r w:rsidRPr="00066F65">
        <w:rPr>
          <w:u w:val="single"/>
        </w:rPr>
        <w:t>TUs</w:t>
      </w:r>
      <w:r w:rsidRPr="00066F65">
        <w:rPr>
          <w:u w:val="single"/>
          <w:lang w:eastAsia="ko-KR" w:bidi="ar-SA"/>
        </w:rPr>
        <w:t xml:space="preserve">. </w:t>
      </w:r>
      <w:r w:rsidRPr="00066F65">
        <w:rPr>
          <w:rFonts w:ascii="TimesNewRoman" w:hAnsi="TimesNewRoman" w:cs="TimesNewRoman"/>
          <w:u w:val="single"/>
          <w:lang w:eastAsia="ko-KR" w:bidi="ar-SA"/>
        </w:rPr>
        <w:t xml:space="preserve">TXSS Span field in the mmWave Beacon shall be set to a value that is less than or equal to the </w:t>
      </w:r>
      <w:r w:rsidR="004D1A1B">
        <w:rPr>
          <w:u w:val="single"/>
          <w:lang w:bidi="ar-SA"/>
        </w:rPr>
        <w:t>dot11MaxLostBeacons</w:t>
      </w:r>
      <w:r w:rsidRPr="00066F65">
        <w:rPr>
          <w:u w:val="single"/>
          <w:lang w:bidi="ar-SA"/>
        </w:rPr>
        <w:t xml:space="preserve"> </w:t>
      </w:r>
      <w:r w:rsidRPr="00066F65">
        <w:rPr>
          <w:u w:val="single"/>
        </w:rPr>
        <w:t>attribute.</w:t>
      </w:r>
    </w:p>
    <w:p w:rsidR="00444738" w:rsidRPr="00066F65" w:rsidRDefault="00444738" w:rsidP="00444738">
      <w:pPr>
        <w:autoSpaceDE w:val="0"/>
        <w:autoSpaceDN w:val="0"/>
        <w:adjustRightInd w:val="0"/>
        <w:rPr>
          <w:u w:val="single"/>
        </w:rPr>
      </w:pPr>
    </w:p>
    <w:p w:rsidR="00444738" w:rsidRPr="00066F65" w:rsidRDefault="00444738" w:rsidP="00AF3C47">
      <w:pPr>
        <w:autoSpaceDE w:val="0"/>
        <w:autoSpaceDN w:val="0"/>
        <w:adjustRightInd w:val="0"/>
        <w:rPr>
          <w:u w:val="single"/>
        </w:rPr>
      </w:pPr>
      <w:r w:rsidRPr="00066F65">
        <w:rPr>
          <w:u w:val="single"/>
          <w:lang w:eastAsia="ko-KR" w:bidi="ar-SA"/>
        </w:rPr>
        <w:t xml:space="preserve">In a PBSS, </w:t>
      </w:r>
      <w:r w:rsidR="00502715">
        <w:t>the TSF is advertized by the mmWave Beacon frames generated at each BT. In a PBSS the TSF is delivered to the</w:t>
      </w:r>
      <w:r w:rsidR="005515A4">
        <w:t xml:space="preserve"> </w:t>
      </w:r>
      <w:r w:rsidR="00502715">
        <w:t>mSTA by the mmWave beacon frames generated at each BT and by the Announce frames generated at AT. In a PBSS the BT and AT can alternate in different BIs.</w:t>
      </w:r>
      <w:r w:rsidRPr="00066F65">
        <w:rPr>
          <w:u w:val="single"/>
        </w:rPr>
        <w:t xml:space="preserve"> The time interval in between two consecutive BTs shall be an integer multiple of dot11BeaconPeriod TUs. </w:t>
      </w:r>
      <w:r w:rsidRPr="00066F65">
        <w:rPr>
          <w:u w:val="single"/>
          <w:lang w:eastAsia="ko-KR" w:bidi="ar-SA"/>
        </w:rPr>
        <w:t xml:space="preserve">The </w:t>
      </w:r>
      <w:r w:rsidRPr="00066F65">
        <w:rPr>
          <w:u w:val="single"/>
          <w:lang w:eastAsia="ko-KR" w:bidi="ar-SA"/>
        </w:rPr>
        <w:lastRenderedPageBreak/>
        <w:t>PCP shall transmit a</w:t>
      </w:r>
      <w:r w:rsidR="007373B3" w:rsidRPr="00066F65">
        <w:rPr>
          <w:u w:val="single"/>
          <w:lang w:eastAsia="ko-KR" w:bidi="ar-SA"/>
        </w:rPr>
        <w:t>t least one mmWave Beacon frame</w:t>
      </w:r>
      <w:r w:rsidRPr="00066F65">
        <w:rPr>
          <w:u w:val="single"/>
          <w:lang w:eastAsia="ko-KR" w:bidi="ar-SA"/>
        </w:rPr>
        <w:t xml:space="preserve"> to each associated STA within a time interval that is not longer than </w:t>
      </w:r>
      <w:r w:rsidRPr="00066F65">
        <w:rPr>
          <w:u w:val="single"/>
        </w:rPr>
        <w:t>dot11BeaconPeriod*</w:t>
      </w:r>
      <w:r w:rsidRPr="00066F65">
        <w:rPr>
          <w:u w:val="single"/>
          <w:lang w:bidi="ar-SA"/>
        </w:rPr>
        <w:t xml:space="preserve"> </w:t>
      </w:r>
      <w:r w:rsidR="004D1A1B">
        <w:rPr>
          <w:u w:val="single"/>
          <w:lang w:bidi="ar-SA"/>
        </w:rPr>
        <w:t>dot11MaxLostBeacons</w:t>
      </w:r>
      <w:r w:rsidRPr="00066F65">
        <w:rPr>
          <w:u w:val="single"/>
          <w:lang w:bidi="ar-SA"/>
        </w:rPr>
        <w:t xml:space="preserve"> </w:t>
      </w:r>
      <w:r w:rsidRPr="00066F65">
        <w:rPr>
          <w:u w:val="single"/>
        </w:rPr>
        <w:t>TUs</w:t>
      </w:r>
      <w:r w:rsidRPr="00066F65">
        <w:rPr>
          <w:u w:val="single"/>
          <w:lang w:eastAsia="ko-KR" w:bidi="ar-SA"/>
        </w:rPr>
        <w:t xml:space="preserve">. </w:t>
      </w:r>
      <w:r w:rsidR="004D1A1B">
        <w:rPr>
          <w:u w:val="single"/>
          <w:lang w:bidi="ar-SA"/>
        </w:rPr>
        <w:t>dot11MaxLostBeacons</w:t>
      </w:r>
      <w:r w:rsidR="00BF72EC">
        <w:rPr>
          <w:u w:val="single"/>
        </w:rPr>
        <w:t>.</w:t>
      </w:r>
      <w:r w:rsidR="00AF3C47">
        <w:rPr>
          <w:u w:val="single"/>
        </w:rPr>
        <w:t xml:space="preserve"> </w:t>
      </w:r>
    </w:p>
    <w:p w:rsidR="00444738" w:rsidRPr="009448FC" w:rsidRDefault="00444738" w:rsidP="00444738">
      <w:pPr>
        <w:autoSpaceDE w:val="0"/>
        <w:autoSpaceDN w:val="0"/>
        <w:adjustRightInd w:val="0"/>
        <w:jc w:val="both"/>
        <w:rPr>
          <w:rFonts w:ascii="TimesNewRoman" w:hAnsi="TimesNewRoman"/>
        </w:rPr>
      </w:pPr>
    </w:p>
    <w:p w:rsidR="00444738" w:rsidRPr="009448FC" w:rsidRDefault="00444738" w:rsidP="003701DB">
      <w:pPr>
        <w:pStyle w:val="Heading3"/>
        <w:numPr>
          <w:ilvl w:val="2"/>
          <w:numId w:val="32"/>
        </w:numPr>
      </w:pPr>
      <w:bookmarkStart w:id="2240" w:name="_Toc259717184"/>
      <w:r w:rsidRPr="009448FC">
        <w:t>Maintaining synchronization</w:t>
      </w:r>
      <w:bookmarkEnd w:id="2240"/>
    </w:p>
    <w:p w:rsidR="00444738" w:rsidRPr="009448FC" w:rsidRDefault="00444738" w:rsidP="00444738">
      <w:pPr>
        <w:autoSpaceDE w:val="0"/>
        <w:autoSpaceDN w:val="0"/>
        <w:adjustRightInd w:val="0"/>
        <w:jc w:val="both"/>
        <w:rPr>
          <w:rFonts w:ascii="TimesNewRoman" w:hAnsi="TimesNewRoman"/>
        </w:rPr>
      </w:pPr>
    </w:p>
    <w:p w:rsidR="00AC39E3" w:rsidRPr="009448FC" w:rsidRDefault="00AC39E3" w:rsidP="00AC39E3">
      <w:pPr>
        <w:autoSpaceDE w:val="0"/>
        <w:autoSpaceDN w:val="0"/>
        <w:adjustRightInd w:val="0"/>
      </w:pPr>
      <w:r w:rsidRPr="009448FC">
        <w:rPr>
          <w:i/>
        </w:rPr>
        <w:t>.11 Editor Note: modify the first paragraph as indicated below</w:t>
      </w:r>
    </w:p>
    <w:p w:rsidR="00AC39E3" w:rsidRPr="009448FC" w:rsidRDefault="00AC39E3" w:rsidP="00AC39E3"/>
    <w:p w:rsidR="00FE33BF" w:rsidRPr="009448FC" w:rsidRDefault="00AC39E3" w:rsidP="00F201C6">
      <w:pPr>
        <w:autoSpaceDE w:val="0"/>
        <w:autoSpaceDN w:val="0"/>
        <w:adjustRightInd w:val="0"/>
        <w:jc w:val="both"/>
        <w:rPr>
          <w:rFonts w:ascii="TimesNewRomanPSMT" w:hAnsi="TimesNewRomanPSMT"/>
        </w:rPr>
      </w:pPr>
      <w:r w:rsidRPr="009448FC">
        <w:rPr>
          <w:rFonts w:ascii="TimesNewRomanPSMT" w:hAnsi="TimesNewRomanPSMT"/>
        </w:rPr>
        <w:t xml:space="preserve">Each STA shall maintain a TSF timer </w:t>
      </w:r>
      <w:r w:rsidRPr="00066F65">
        <w:rPr>
          <w:rFonts w:ascii="TimesNewRomanPSMT" w:hAnsi="TimesNewRomanPSMT" w:cs="TimesNewRomanPSMT"/>
          <w:u w:val="single"/>
          <w:lang w:bidi="ar-SA"/>
        </w:rPr>
        <w:t>that increments in microseconds</w:t>
      </w:r>
      <w:r w:rsidRPr="009448FC">
        <w:rPr>
          <w:rFonts w:ascii="TimesNewRomanPSMT" w:hAnsi="TimesNewRomanPSMT"/>
        </w:rPr>
        <w:t xml:space="preserve"> </w:t>
      </w:r>
      <w:r w:rsidRPr="009448FC">
        <w:rPr>
          <w:rFonts w:ascii="TimesNewRomanPSMT" w:hAnsi="TimesNewRomanPSMT"/>
          <w:strike/>
        </w:rPr>
        <w:t>with</w:t>
      </w:r>
      <w:r w:rsidRPr="009448FC">
        <w:rPr>
          <w:rFonts w:ascii="TimesNewRomanPSMT" w:hAnsi="TimesNewRomanPSMT"/>
        </w:rPr>
        <w:t xml:space="preserve"> </w:t>
      </w:r>
      <w:r w:rsidRPr="00066F65">
        <w:rPr>
          <w:rFonts w:ascii="TimesNewRomanPSMT" w:hAnsi="TimesNewRomanPSMT" w:cs="TimesNewRomanPSMT"/>
          <w:u w:val="single"/>
          <w:lang w:bidi="ar-SA"/>
        </w:rPr>
        <w:t>which is reset every</w:t>
      </w:r>
      <w:r w:rsidRPr="009448FC">
        <w:rPr>
          <w:rFonts w:ascii="TimesNewRomanPSMT" w:hAnsi="TimesNewRomanPSMT"/>
        </w:rPr>
        <w:t xml:space="preserve"> modulus 2</w:t>
      </w:r>
      <w:r w:rsidRPr="009448FC">
        <w:rPr>
          <w:rFonts w:ascii="TimesNewRomanPSMT" w:hAnsi="TimesNewRomanPSMT"/>
          <w:vertAlign w:val="superscript"/>
        </w:rPr>
        <w:t>64</w:t>
      </w:r>
      <w:r w:rsidRPr="009448FC">
        <w:rPr>
          <w:rFonts w:ascii="TimesNewRomanPSMT" w:hAnsi="TimesNewRomanPSMT"/>
        </w:rPr>
        <w:t xml:space="preserve"> </w:t>
      </w:r>
      <w:r w:rsidRPr="00066F65">
        <w:rPr>
          <w:rFonts w:ascii="TimesNewRomanPSMT" w:hAnsi="TimesNewRomanPSMT" w:cs="TimesNewRomanPSMT"/>
          <w:u w:val="single"/>
          <w:lang w:bidi="ar-SA"/>
        </w:rPr>
        <w:t>microseconds</w:t>
      </w:r>
      <w:r w:rsidR="006B059D" w:rsidRPr="009448FC">
        <w:rPr>
          <w:rFonts w:ascii="TimesNewRomanPSMT" w:hAnsi="TimesNewRomanPSMT"/>
        </w:rPr>
        <w:t xml:space="preserve"> </w:t>
      </w:r>
      <w:r w:rsidR="006B059D" w:rsidRPr="009448FC">
        <w:rPr>
          <w:rFonts w:ascii="TimesNewRomanPSMT" w:hAnsi="TimesNewRomanPSMT"/>
          <w:strike/>
        </w:rPr>
        <w:t>counting in increments of microseconds</w:t>
      </w:r>
      <w:r w:rsidRPr="009448FC">
        <w:rPr>
          <w:rFonts w:ascii="TimesNewRomanPSMT" w:hAnsi="TimesNewRomanPSMT"/>
        </w:rPr>
        <w:t xml:space="preserve">. STAs expect to receive Beacon frames at a nominal rate. </w:t>
      </w:r>
      <w:r w:rsidR="00455BC5" w:rsidRPr="00066F65">
        <w:rPr>
          <w:u w:val="single"/>
          <w:lang w:eastAsia="ko-KR" w:bidi="ar-SA"/>
        </w:rPr>
        <w:t>In an infrastructure network that operates in LB and HB, the</w:t>
      </w:r>
      <w:r w:rsidRPr="009448FC">
        <w:rPr>
          <w:rFonts w:ascii="TimesNewRomanPSMT" w:hAnsi="TimesNewRomanPSMT"/>
        </w:rPr>
        <w:t xml:space="preserve"> interval between Beacon frames is defined by the dot11Bea</w:t>
      </w:r>
      <w:r w:rsidR="00FE33BF" w:rsidRPr="009448FC">
        <w:rPr>
          <w:rFonts w:ascii="TimesNewRomanPSMT" w:hAnsi="TimesNewRomanPSMT"/>
        </w:rPr>
        <w:t>conPeriod parameter of the STA.</w:t>
      </w:r>
      <w:r w:rsidR="00455BC5" w:rsidRPr="00455BC5">
        <w:rPr>
          <w:u w:val="single"/>
          <w:lang w:eastAsia="ko-KR" w:bidi="ar-SA"/>
        </w:rPr>
        <w:t xml:space="preserve"> </w:t>
      </w:r>
      <w:r w:rsidR="00455BC5" w:rsidRPr="00066F65">
        <w:rPr>
          <w:u w:val="single"/>
          <w:lang w:eastAsia="ko-KR" w:bidi="ar-SA"/>
        </w:rPr>
        <w:t>In an infrastructure network that operate in UB, the STAs expect to receive at least one mmWave Beacon frame every dot11BeaconPeriod*</w:t>
      </w:r>
      <w:r w:rsidR="00455BC5" w:rsidRPr="00066F65">
        <w:rPr>
          <w:u w:val="single"/>
          <w:lang w:bidi="ar-SA"/>
        </w:rPr>
        <w:t xml:space="preserve"> </w:t>
      </w:r>
      <w:r w:rsidR="004D1A1B">
        <w:rPr>
          <w:u w:val="single"/>
          <w:lang w:bidi="ar-SA"/>
        </w:rPr>
        <w:t>dot11MaxLostBeacons</w:t>
      </w:r>
      <w:r w:rsidR="00455BC5" w:rsidRPr="00066F65">
        <w:rPr>
          <w:u w:val="single"/>
          <w:lang w:bidi="ar-SA"/>
        </w:rPr>
        <w:t xml:space="preserve"> </w:t>
      </w:r>
      <w:r w:rsidR="00455BC5" w:rsidRPr="00066F65">
        <w:rPr>
          <w:u w:val="single"/>
          <w:lang w:eastAsia="ko-KR" w:bidi="ar-SA"/>
        </w:rPr>
        <w:t>TUs.</w:t>
      </w:r>
      <w:r w:rsidR="00C01CA6">
        <w:rPr>
          <w:u w:val="single"/>
          <w:lang w:eastAsia="ko-KR" w:bidi="ar-SA"/>
        </w:rPr>
        <w:t xml:space="preserve"> </w:t>
      </w:r>
      <w:r w:rsidR="00C01CA6">
        <w:rPr>
          <w:u w:val="single"/>
          <w:lang w:eastAsia="ko-KR"/>
        </w:rPr>
        <w:t xml:space="preserve">In the PBSS the mSTAs expect to receive at least one </w:t>
      </w:r>
      <w:r w:rsidR="00C01CA6" w:rsidRPr="00066F65">
        <w:rPr>
          <w:u w:val="single"/>
          <w:lang w:eastAsia="ko-KR"/>
        </w:rPr>
        <w:t>mmWave Beacon frame</w:t>
      </w:r>
      <w:r w:rsidR="00C01CA6">
        <w:rPr>
          <w:u w:val="single"/>
          <w:lang w:eastAsia="ko-KR"/>
        </w:rPr>
        <w:t xml:space="preserve"> or one Announce frame every </w:t>
      </w:r>
      <w:r w:rsidR="00C01CA6" w:rsidRPr="00066F65">
        <w:rPr>
          <w:u w:val="single"/>
          <w:lang w:eastAsia="ko-KR"/>
        </w:rPr>
        <w:t>dot11BeaconPeriod*</w:t>
      </w:r>
      <w:r w:rsidR="00C01CA6" w:rsidRPr="00066F65">
        <w:rPr>
          <w:u w:val="single"/>
        </w:rPr>
        <w:t xml:space="preserve"> </w:t>
      </w:r>
      <w:r w:rsidR="004D1A1B">
        <w:rPr>
          <w:u w:val="single"/>
        </w:rPr>
        <w:t>dot11MaxLostBeacons</w:t>
      </w:r>
      <w:r w:rsidR="00C01CA6" w:rsidRPr="00066F65">
        <w:rPr>
          <w:u w:val="single"/>
        </w:rPr>
        <w:t xml:space="preserve"> </w:t>
      </w:r>
      <w:r w:rsidR="00C01CA6" w:rsidRPr="00066F65">
        <w:rPr>
          <w:u w:val="single"/>
          <w:lang w:eastAsia="ko-KR"/>
        </w:rPr>
        <w:t>TUs.</w:t>
      </w:r>
      <w:r w:rsidR="00C23ADA">
        <w:rPr>
          <w:u w:val="single"/>
          <w:lang w:eastAsia="ko-KR"/>
        </w:rPr>
        <w:t xml:space="preserve"> </w:t>
      </w:r>
    </w:p>
    <w:p w:rsidR="00FE33BF" w:rsidRPr="009448FC" w:rsidRDefault="00FE33BF" w:rsidP="002E503E">
      <w:pPr>
        <w:autoSpaceDE w:val="0"/>
        <w:autoSpaceDN w:val="0"/>
        <w:adjustRightInd w:val="0"/>
        <w:jc w:val="both"/>
        <w:rPr>
          <w:rFonts w:ascii="TimesNewRomanPSMT" w:hAnsi="TimesNewRomanPSMT"/>
        </w:rPr>
      </w:pPr>
    </w:p>
    <w:p w:rsidR="00AC39E3" w:rsidRPr="009448FC" w:rsidRDefault="00AC39E3" w:rsidP="005C6593">
      <w:pPr>
        <w:autoSpaceDE w:val="0"/>
        <w:autoSpaceDN w:val="0"/>
        <w:adjustRightInd w:val="0"/>
        <w:rPr>
          <w:rFonts w:ascii="TimesNewRomanPSMT" w:hAnsi="TimesNewRomanPSMT"/>
        </w:rPr>
      </w:pPr>
      <w:r w:rsidRPr="009448FC">
        <w:rPr>
          <w:rFonts w:ascii="TimesNewRomanPSMT" w:hAnsi="TimesNewRomanPSMT"/>
        </w:rPr>
        <w:t xml:space="preserve">A STA sending a Beacon frame shall set the value of the Beacon frame’s timestamp so that it equals the value of the STA’s TSF timer at the time that the data symbol containing the first bit of the timestamp is transmitted to the PHY </w:t>
      </w:r>
      <w:r w:rsidR="006B059D" w:rsidRPr="009448FC">
        <w:rPr>
          <w:rFonts w:ascii="TimesNewRomanPSMT" w:hAnsi="TimesNewRomanPSMT"/>
        </w:rPr>
        <w:t xml:space="preserve">plus </w:t>
      </w:r>
      <w:r w:rsidRPr="009448FC">
        <w:rPr>
          <w:rFonts w:ascii="TimesNewRomanPSMT" w:hAnsi="TimesNewRomanPSMT"/>
        </w:rPr>
        <w:t>the transmitting STA’s delays through its local PHY from the MAC-PHY interface to its interface with the WM [e.g., antenna, light-emitting diode (LED) emission surface].</w:t>
      </w:r>
      <w:r w:rsidR="00FE33BF" w:rsidRPr="009448FC">
        <w:rPr>
          <w:rFonts w:ascii="TimesNewRomanPSMT" w:hAnsi="TimesNewRomanPSMT"/>
        </w:rPr>
        <w:t xml:space="preserve"> </w:t>
      </w:r>
      <w:r w:rsidR="00FE33BF" w:rsidRPr="00066F65">
        <w:rPr>
          <w:rFonts w:ascii="TimesNewRomanPSMT" w:hAnsi="TimesNewRomanPSMT" w:cs="TimesNewRomanPSMT"/>
          <w:u w:val="single"/>
          <w:lang w:bidi="ar-SA"/>
        </w:rPr>
        <w:t xml:space="preserve">A STA sending a mmWave Beacon or an Announce frame shall set the value of the frame’s timestamp field so that it equals the value of the STA’s TSF timer at the time that the </w:t>
      </w:r>
      <w:r w:rsidR="005C6593">
        <w:rPr>
          <w:rFonts w:ascii="TimesNewRomanPSMT" w:hAnsi="TimesNewRomanPSMT" w:cs="TimesNewRomanPSMT"/>
          <w:u w:val="single"/>
          <w:lang w:bidi="ar-SA"/>
        </w:rPr>
        <w:t xml:space="preserve">transmission of </w:t>
      </w:r>
      <w:r w:rsidR="00FE33BF" w:rsidRPr="00066F65">
        <w:rPr>
          <w:rFonts w:ascii="TimesNewRomanPSMT" w:hAnsi="TimesNewRomanPSMT" w:cs="TimesNewRomanPSMT"/>
          <w:u w:val="single"/>
          <w:lang w:bidi="ar-SA"/>
        </w:rPr>
        <w:t xml:space="preserve">data symbol </w:t>
      </w:r>
      <w:r w:rsidR="005C6593">
        <w:rPr>
          <w:rFonts w:ascii="TimesNewRomanPSMT" w:hAnsi="TimesNewRomanPSMT" w:cs="TimesNewRomanPSMT"/>
          <w:u w:val="single"/>
          <w:lang w:bidi="ar-SA"/>
        </w:rPr>
        <w:t xml:space="preserve">containing the first bit of the MPDU </w:t>
      </w:r>
      <w:r w:rsidR="00FE33BF" w:rsidRPr="00066F65">
        <w:rPr>
          <w:rFonts w:ascii="TimesNewRomanPSMT" w:hAnsi="TimesNewRomanPSMT" w:cs="TimesNewRomanPSMT"/>
          <w:u w:val="single"/>
          <w:lang w:bidi="ar-SA"/>
        </w:rPr>
        <w:t xml:space="preserve">is </w:t>
      </w:r>
      <w:r w:rsidR="005C6593">
        <w:rPr>
          <w:rFonts w:ascii="TimesNewRomanPSMT" w:hAnsi="TimesNewRomanPSMT" w:cs="TimesNewRomanPSMT"/>
          <w:u w:val="single"/>
          <w:lang w:bidi="ar-SA"/>
        </w:rPr>
        <w:t>started</w:t>
      </w:r>
      <w:r w:rsidR="005C6593" w:rsidRPr="00066F65">
        <w:rPr>
          <w:rFonts w:ascii="TimesNewRomanPSMT" w:hAnsi="TimesNewRomanPSMT" w:cs="TimesNewRomanPSMT"/>
          <w:u w:val="single"/>
          <w:lang w:bidi="ar-SA"/>
        </w:rPr>
        <w:t xml:space="preserve"> </w:t>
      </w:r>
      <w:r w:rsidR="00FE33BF" w:rsidRPr="00066F65">
        <w:rPr>
          <w:rFonts w:ascii="TimesNewRomanPSMT" w:hAnsi="TimesNewRomanPSMT" w:cs="TimesNewRomanPSMT"/>
          <w:u w:val="single"/>
          <w:lang w:bidi="ar-SA"/>
        </w:rPr>
        <w:t>on the air, which should include any transmitting STA’s delays through its local PHY from the MAC-PHY interface to its interface with the WM</w:t>
      </w:r>
      <w:r w:rsidR="005C6593">
        <w:rPr>
          <w:rFonts w:ascii="TimesNewRomanPSMT" w:hAnsi="TimesNewRomanPSMT" w:cs="TimesNewRomanPSMT"/>
          <w:u w:val="single"/>
          <w:lang w:bidi="ar-SA"/>
        </w:rPr>
        <w:t>.</w:t>
      </w:r>
      <w:r w:rsidR="00FE33BF" w:rsidRPr="00066F65">
        <w:rPr>
          <w:rFonts w:ascii="TimesNewRomanPSMT" w:hAnsi="TimesNewRomanPSMT" w:cs="TimesNewRomanPSMT"/>
          <w:u w:val="single"/>
          <w:lang w:bidi="ar-SA"/>
        </w:rPr>
        <w:t xml:space="preserve"> </w:t>
      </w:r>
    </w:p>
    <w:p w:rsidR="00455BC5" w:rsidRDefault="00455BC5" w:rsidP="00455BC5">
      <w:pPr>
        <w:rPr>
          <w:i/>
        </w:rPr>
      </w:pPr>
    </w:p>
    <w:p w:rsidR="00E553D4" w:rsidRPr="009448FC" w:rsidRDefault="00E553D4" w:rsidP="00455BC5">
      <w:r w:rsidRPr="009448FC">
        <w:rPr>
          <w:i/>
        </w:rPr>
        <w:t>.11 Editor Note: change the heading of 11.1.2.1 as follows</w:t>
      </w:r>
    </w:p>
    <w:p w:rsidR="00444738" w:rsidRPr="009448FC" w:rsidRDefault="00444738" w:rsidP="003701DB">
      <w:pPr>
        <w:pStyle w:val="Heading4"/>
        <w:numPr>
          <w:ilvl w:val="3"/>
          <w:numId w:val="32"/>
        </w:numPr>
      </w:pPr>
      <w:bookmarkStart w:id="2241" w:name="_Toc259717185"/>
      <w:r w:rsidRPr="009448FC">
        <w:t xml:space="preserve">Beacon </w:t>
      </w:r>
      <w:r w:rsidRPr="008F25F4">
        <w:t>generation</w:t>
      </w:r>
      <w:r w:rsidRPr="009448FC">
        <w:t xml:space="preserve"> in infrastructure networks </w:t>
      </w:r>
      <w:r w:rsidRPr="00066F65">
        <w:rPr>
          <w:szCs w:val="24"/>
          <w:u w:val="single"/>
          <w:lang w:eastAsia="ko-KR"/>
        </w:rPr>
        <w:t>in LB and HB</w:t>
      </w:r>
      <w:bookmarkEnd w:id="2241"/>
    </w:p>
    <w:p w:rsidR="00444738" w:rsidRPr="009448FC" w:rsidRDefault="00444738" w:rsidP="00444738"/>
    <w:p w:rsidR="00444738" w:rsidRPr="009448FC" w:rsidRDefault="00444738" w:rsidP="00444738">
      <w:pPr>
        <w:rPr>
          <w:i/>
        </w:rPr>
      </w:pPr>
      <w:r w:rsidRPr="009448FC">
        <w:rPr>
          <w:i/>
        </w:rPr>
        <w:t>.11 Editor Note: Please insert the following sections after section 11.1.2.1</w:t>
      </w:r>
    </w:p>
    <w:p w:rsidR="00444738" w:rsidRPr="009448FC" w:rsidRDefault="00444738" w:rsidP="00444738">
      <w:pPr>
        <w:rPr>
          <w:i/>
        </w:rPr>
      </w:pPr>
    </w:p>
    <w:p w:rsidR="00444738" w:rsidRPr="009448FC" w:rsidRDefault="00444738" w:rsidP="00FC14B8">
      <w:pPr>
        <w:pStyle w:val="Heading4"/>
      </w:pPr>
      <w:bookmarkStart w:id="2242" w:name="_Ref243816264"/>
      <w:bookmarkStart w:id="2243" w:name="_Toc259717186"/>
      <w:r w:rsidRPr="009448FC">
        <w:t>11.1.2.1a Beacon generation in infrastructure BSS and in PBSS in UB</w:t>
      </w:r>
      <w:bookmarkEnd w:id="2242"/>
      <w:bookmarkEnd w:id="2243"/>
    </w:p>
    <w:p w:rsidR="00FA6363" w:rsidRPr="009448FC" w:rsidRDefault="00FA6363" w:rsidP="00FA6363"/>
    <w:p w:rsidR="009265CC" w:rsidRDefault="009265CC" w:rsidP="009265CC">
      <w:pPr>
        <w:autoSpaceDE w:val="0"/>
        <w:autoSpaceDN w:val="0"/>
        <w:adjustRightInd w:val="0"/>
        <w:jc w:val="both"/>
      </w:pPr>
      <w:r w:rsidRPr="009448FC">
        <w:t>A</w:t>
      </w:r>
      <w:r w:rsidR="009B3258">
        <w:t>n</w:t>
      </w:r>
      <w:r w:rsidRPr="009448FC">
        <w:t xml:space="preserve"> </w:t>
      </w:r>
      <w:r w:rsidR="009B3258">
        <w:t>m</w:t>
      </w:r>
      <w:r w:rsidRPr="009448FC">
        <w:t xml:space="preserve">STA acting as a PCP/AP may access the medium at any time to transmit a mmWave Beacon, except when it overlaps in time with an allocation owned by a non-PCP/non-AP STA. </w:t>
      </w:r>
    </w:p>
    <w:p w:rsidR="00C956E1" w:rsidRDefault="00C956E1" w:rsidP="00A16F12"/>
    <w:p w:rsidR="0058728D" w:rsidRDefault="00A16F12" w:rsidP="00A16F12">
      <w:r w:rsidRPr="009448FC">
        <w:t>Each mmWa</w:t>
      </w:r>
      <w:r>
        <w:t xml:space="preserve">ve Beacon frame transmitted by the </w:t>
      </w:r>
      <w:r w:rsidRPr="009448FC">
        <w:t>PCP</w:t>
      </w:r>
      <w:r>
        <w:t xml:space="preserve"> mSTA and the AP mSTA </w:t>
      </w:r>
      <w:r w:rsidRPr="009448FC">
        <w:t>shall have the discovery mode field within the mmWave Beacon set to zero.</w:t>
      </w:r>
    </w:p>
    <w:p w:rsidR="007225C7" w:rsidRDefault="007225C7" w:rsidP="00A16F12"/>
    <w:p w:rsidR="007225C7" w:rsidRPr="009448FC" w:rsidRDefault="007225C7" w:rsidP="007225C7">
      <w:r>
        <w:t>The</w:t>
      </w:r>
      <w:r w:rsidRPr="009448FC">
        <w:t xml:space="preserve"> Duration/ID field of each transmitted mmWave Beacon frame</w:t>
      </w:r>
      <w:r>
        <w:t xml:space="preserve"> shall be set</w:t>
      </w:r>
      <w:r w:rsidRPr="009448FC">
        <w:t xml:space="preserve"> to the time remaining until the end of the current BT.</w:t>
      </w:r>
      <w:r>
        <w:t xml:space="preserve"> </w:t>
      </w:r>
    </w:p>
    <w:p w:rsidR="009265CC" w:rsidRPr="009448FC" w:rsidRDefault="009265CC" w:rsidP="009265CC">
      <w:pPr>
        <w:autoSpaceDE w:val="0"/>
        <w:autoSpaceDN w:val="0"/>
        <w:adjustRightInd w:val="0"/>
        <w:jc w:val="both"/>
      </w:pPr>
    </w:p>
    <w:p w:rsidR="006B059D" w:rsidRPr="009448FC" w:rsidRDefault="009265CC" w:rsidP="008D0A06">
      <w:pPr>
        <w:autoSpaceDE w:val="0"/>
        <w:autoSpaceDN w:val="0"/>
        <w:adjustRightInd w:val="0"/>
      </w:pPr>
      <w:r w:rsidRPr="009448FC">
        <w:t xml:space="preserve">The </w:t>
      </w:r>
      <w:r w:rsidR="0031110A" w:rsidRPr="009448FC">
        <w:t>PCP</w:t>
      </w:r>
      <w:r w:rsidR="008D0A06" w:rsidRPr="008D0A06">
        <w:t xml:space="preserve"> </w:t>
      </w:r>
      <w:r w:rsidR="008D0A06">
        <w:t xml:space="preserve">mSTA and </w:t>
      </w:r>
      <w:r w:rsidR="008D0A06" w:rsidRPr="009448FC">
        <w:t xml:space="preserve">AP </w:t>
      </w:r>
      <w:r w:rsidR="008D0A06">
        <w:t xml:space="preserve">mSTA </w:t>
      </w:r>
      <w:r w:rsidRPr="009448FC">
        <w:t xml:space="preserve">establishes a series of Target Beacon Transmission Times (TBTTs) spaced dot11BeaconPeriod TUs apart. The period between two TBTTs is referred to as the beacon </w:t>
      </w:r>
      <w:r w:rsidRPr="009448FC">
        <w:lastRenderedPageBreak/>
        <w:t>interval</w:t>
      </w:r>
      <w:r w:rsidR="006B059D" w:rsidRPr="009448FC">
        <w:t xml:space="preserve"> (BI)</w:t>
      </w:r>
      <w:r w:rsidRPr="009448FC">
        <w:t xml:space="preserve">. </w:t>
      </w:r>
      <w:r w:rsidR="005805C5" w:rsidRPr="009448FC">
        <w:t>The BI length shall be no m</w:t>
      </w:r>
      <w:r w:rsidR="0077584F">
        <w:t xml:space="preserve">ore than aMaxBIDuration. </w:t>
      </w:r>
      <w:r w:rsidR="006B059D" w:rsidRPr="009448FC">
        <w:t xml:space="preserve">Time </w:t>
      </w:r>
      <w:r w:rsidR="00E553D4" w:rsidRPr="009448FC">
        <w:t xml:space="preserve">value </w:t>
      </w:r>
      <w:r w:rsidR="006B059D" w:rsidRPr="009448FC">
        <w:t xml:space="preserve">zero </w:t>
      </w:r>
      <w:r w:rsidR="00E553D4" w:rsidRPr="009448FC">
        <w:t xml:space="preserve">of the TSF </w:t>
      </w:r>
      <w:r w:rsidR="006B059D" w:rsidRPr="009448FC">
        <w:t>is defined to be a TBTT with a mmWave Beacon frame transmitted at the beginning of the BI.</w:t>
      </w:r>
      <w:r w:rsidR="005515A4">
        <w:t xml:space="preserve"> </w:t>
      </w:r>
    </w:p>
    <w:p w:rsidR="006B059D" w:rsidRDefault="00BF72EC" w:rsidP="006B059D">
      <w:pPr>
        <w:autoSpaceDE w:val="0"/>
        <w:autoSpaceDN w:val="0"/>
        <w:adjustRightInd w:val="0"/>
      </w:pPr>
      <w:r>
        <w:t xml:space="preserve"> </w:t>
      </w:r>
    </w:p>
    <w:p w:rsidR="00714F04" w:rsidRDefault="00714F04" w:rsidP="006B059D">
      <w:pPr>
        <w:autoSpaceDE w:val="0"/>
        <w:autoSpaceDN w:val="0"/>
        <w:adjustRightInd w:val="0"/>
      </w:pPr>
      <w:r w:rsidRPr="009448FC">
        <w:t xml:space="preserve">The length of the beacon interval is included in </w:t>
      </w:r>
      <w:r>
        <w:t xml:space="preserve">the </w:t>
      </w:r>
      <w:r w:rsidRPr="009448FC">
        <w:t xml:space="preserve">mmWave Beacon, Announce and Probe Response frames, and </w:t>
      </w:r>
      <w:r>
        <w:t>the m</w:t>
      </w:r>
      <w:r w:rsidRPr="009448FC">
        <w:t>STAs shall adopt that beacon interval when joining the BSS.</w:t>
      </w:r>
      <w:r w:rsidR="00BF72EC">
        <w:t xml:space="preserve"> </w:t>
      </w:r>
    </w:p>
    <w:p w:rsidR="0058728D" w:rsidRPr="009448FC" w:rsidRDefault="0058728D" w:rsidP="006B059D">
      <w:pPr>
        <w:autoSpaceDE w:val="0"/>
        <w:autoSpaceDN w:val="0"/>
        <w:adjustRightInd w:val="0"/>
      </w:pPr>
    </w:p>
    <w:p w:rsidR="00071C5B" w:rsidRDefault="006B059D" w:rsidP="00477518">
      <w:pPr>
        <w:autoSpaceDE w:val="0"/>
        <w:autoSpaceDN w:val="0"/>
        <w:adjustRightInd w:val="0"/>
      </w:pPr>
      <w:r w:rsidRPr="009448FC">
        <w:t>A PCP</w:t>
      </w:r>
      <w:r w:rsidR="00477518" w:rsidRPr="00477518">
        <w:t xml:space="preserve"> </w:t>
      </w:r>
      <w:r w:rsidR="00477518">
        <w:t xml:space="preserve">mSTA and an </w:t>
      </w:r>
      <w:r w:rsidR="00477518" w:rsidRPr="009448FC">
        <w:t xml:space="preserve">AP </w:t>
      </w:r>
      <w:r w:rsidR="00477518">
        <w:t xml:space="preserve">mSTA </w:t>
      </w:r>
      <w:r w:rsidRPr="009448FC">
        <w:t>that moves the BT (</w:t>
      </w:r>
      <w:r w:rsidR="00BD151C" w:rsidRPr="009448FC">
        <w:fldChar w:fldCharType="begin"/>
      </w:r>
      <w:r w:rsidR="00A832F2" w:rsidRPr="009448FC">
        <w:instrText xml:space="preserve"> REF _Ref243815965 \n \h </w:instrText>
      </w:r>
      <w:r w:rsidR="00BD151C" w:rsidRPr="009448FC">
        <w:fldChar w:fldCharType="separate"/>
      </w:r>
      <w:r w:rsidR="003E4210">
        <w:t>11.32.1</w:t>
      </w:r>
      <w:r w:rsidR="00BD151C" w:rsidRPr="009448FC">
        <w:fldChar w:fldCharType="end"/>
      </w:r>
      <w:r w:rsidRPr="009448FC">
        <w:t>) or changes the BI duration (</w:t>
      </w:r>
      <w:r w:rsidR="00BD151C" w:rsidRPr="009448FC">
        <w:fldChar w:fldCharType="begin"/>
      </w:r>
      <w:r w:rsidR="00D05298" w:rsidRPr="009448FC">
        <w:instrText xml:space="preserve"> REF _Ref246652786 \n \h </w:instrText>
      </w:r>
      <w:r w:rsidR="00BD151C" w:rsidRPr="009448FC">
        <w:fldChar w:fldCharType="separate"/>
      </w:r>
      <w:r w:rsidR="003E4210">
        <w:t>11.32.2</w:t>
      </w:r>
      <w:r w:rsidR="00BD151C" w:rsidRPr="009448FC">
        <w:fldChar w:fldCharType="end"/>
      </w:r>
      <w:r w:rsidRPr="009448FC">
        <w:t xml:space="preserve">) shall re-establish the TBTT and reset the </w:t>
      </w:r>
      <w:r w:rsidR="00E553D4" w:rsidRPr="009448FC">
        <w:t>TSF</w:t>
      </w:r>
      <w:r w:rsidRPr="009448FC">
        <w:t xml:space="preserve"> to zero at the time the BSS parameter change takes effect in the BSS.</w:t>
      </w:r>
      <w:r w:rsidR="005515A4">
        <w:t xml:space="preserve"> </w:t>
      </w:r>
    </w:p>
    <w:p w:rsidR="001078CB" w:rsidRDefault="001078CB" w:rsidP="00477518">
      <w:pPr>
        <w:autoSpaceDE w:val="0"/>
        <w:autoSpaceDN w:val="0"/>
        <w:adjustRightInd w:val="0"/>
      </w:pPr>
    </w:p>
    <w:p w:rsidR="001078CB" w:rsidRDefault="001078CB" w:rsidP="001078CB">
      <w:r>
        <w:t xml:space="preserve">Transmission of the mmWave Beacon may comprise </w:t>
      </w:r>
      <w:r w:rsidRPr="00BF606F">
        <w:t>transmi</w:t>
      </w:r>
      <w:r>
        <w:t xml:space="preserve">ssion of one or more </w:t>
      </w:r>
      <w:r w:rsidRPr="00BF606F">
        <w:t>mmWave Beacon frames through different antenna configurations during the BT</w:t>
      </w:r>
      <w:r>
        <w:t xml:space="preserve">. The PCP mSTA and the AP mSTA </w:t>
      </w:r>
      <w:r w:rsidRPr="00BF606F">
        <w:t>shall not transmit more than one mmWave Beacon frame through the same antenna configuration during the BT of any BI</w:t>
      </w:r>
      <w:r>
        <w:t>.</w:t>
      </w:r>
      <w:r w:rsidR="00BE1F31">
        <w:t xml:space="preserve"> </w:t>
      </w:r>
      <w:r>
        <w:t xml:space="preserve"> </w:t>
      </w:r>
    </w:p>
    <w:p w:rsidR="0077584F" w:rsidRPr="009448FC" w:rsidRDefault="0077584F" w:rsidP="0077584F">
      <w:pPr>
        <w:autoSpaceDE w:val="0"/>
        <w:autoSpaceDN w:val="0"/>
        <w:adjustRightInd w:val="0"/>
      </w:pPr>
    </w:p>
    <w:p w:rsidR="00D809F8" w:rsidRDefault="00071C5B" w:rsidP="009802CB">
      <w:pPr>
        <w:autoSpaceDE w:val="0"/>
        <w:autoSpaceDN w:val="0"/>
        <w:adjustRightInd w:val="0"/>
      </w:pPr>
      <w:r w:rsidRPr="009448FC">
        <w:t xml:space="preserve">At least once every </w:t>
      </w:r>
      <w:r w:rsidR="003A4AD3" w:rsidRPr="009448FC">
        <w:t>aMinBTPeriod</w:t>
      </w:r>
      <w:r w:rsidRPr="009448FC">
        <w:t xml:space="preserve"> beacon intervals, the PCP/AP shall </w:t>
      </w:r>
      <w:r w:rsidRPr="009448FC">
        <w:rPr>
          <w:rFonts w:hint="eastAsia"/>
        </w:rPr>
        <w:t>transmit a</w:t>
      </w:r>
      <w:r w:rsidR="0020549F" w:rsidRPr="009448FC">
        <w:t>t least one</w:t>
      </w:r>
      <w:r w:rsidRPr="009448FC">
        <w:rPr>
          <w:rFonts w:hint="eastAsia"/>
        </w:rPr>
        <w:t xml:space="preserve"> mmWave Beacon within </w:t>
      </w:r>
      <w:r w:rsidR="00004CB5" w:rsidRPr="009448FC">
        <w:rPr>
          <w:rFonts w:hint="eastAsia"/>
        </w:rPr>
        <w:t>dot11MinBIHeaderDuration</w:t>
      </w:r>
      <w:r w:rsidRPr="009448FC">
        <w:rPr>
          <w:rFonts w:hint="eastAsia"/>
        </w:rPr>
        <w:t xml:space="preserve"> following the start of </w:t>
      </w:r>
      <w:r w:rsidRPr="009448FC">
        <w:t xml:space="preserve">a </w:t>
      </w:r>
      <w:r w:rsidRPr="009448FC">
        <w:rPr>
          <w:rFonts w:hint="eastAsia"/>
        </w:rPr>
        <w:t>BI</w:t>
      </w:r>
      <w:r w:rsidRPr="009448FC">
        <w:t xml:space="preserve">. </w:t>
      </w:r>
      <w:r w:rsidR="00221C9B" w:rsidRPr="007B5991">
        <w:t>The PCP</w:t>
      </w:r>
      <w:r w:rsidR="00221C9B">
        <w:t xml:space="preserve"> mSTA and the AP mSTA</w:t>
      </w:r>
      <w:r w:rsidR="00221C9B" w:rsidRPr="007B5991">
        <w:t xml:space="preserve"> shall transmit at least one mmWave Beacon frame through each possible antenna configuration in a full-coverage set of antenna configurations within the number of beacon intervals specified within the most recent</w:t>
      </w:r>
      <w:r w:rsidR="00221C9B">
        <w:t xml:space="preserve">ly updated TXSS Span field. </w:t>
      </w:r>
      <w:r w:rsidR="00221C9B" w:rsidRPr="009448FC">
        <w:t>At each</w:t>
      </w:r>
      <w:r w:rsidR="001F3B6D">
        <w:t xml:space="preserve"> </w:t>
      </w:r>
      <w:r w:rsidR="00221C9B">
        <w:t>BT</w:t>
      </w:r>
      <w:r w:rsidR="00221C9B" w:rsidRPr="009448FC">
        <w:t xml:space="preserve">, the PCP </w:t>
      </w:r>
      <w:r w:rsidR="00221C9B">
        <w:t>schedules</w:t>
      </w:r>
      <w:r w:rsidR="00221C9B" w:rsidRPr="009448FC">
        <w:t xml:space="preserve"> one or more mmWave Beacon frames for transmission according to the procedure specified in subclause</w:t>
      </w:r>
      <w:r w:rsidR="00221C9B">
        <w:t xml:space="preserve"> </w:t>
      </w:r>
      <w:fldSimple w:instr=" REF _Ref256202560 \r \h  \* MERGEFORMAT ">
        <w:r w:rsidR="003E4210">
          <w:t>9.25.3</w:t>
        </w:r>
      </w:fldSimple>
      <w:r w:rsidR="001F3B6D">
        <w:t>.</w:t>
      </w:r>
      <w:r w:rsidR="00BE1F31">
        <w:t xml:space="preserve"> </w:t>
      </w:r>
      <w:r w:rsidR="0020549F" w:rsidRPr="009448FC">
        <w:rPr>
          <w:rFonts w:hint="eastAsia"/>
        </w:rPr>
        <w:t>Subject to th</w:t>
      </w:r>
      <w:r w:rsidR="0020549F" w:rsidRPr="009448FC">
        <w:t>is</w:t>
      </w:r>
      <w:r w:rsidR="0020549F" w:rsidRPr="009448FC">
        <w:rPr>
          <w:rFonts w:hint="eastAsia"/>
        </w:rPr>
        <w:t xml:space="preserve"> constraint, t</w:t>
      </w:r>
      <w:r w:rsidR="0020549F" w:rsidRPr="009448FC">
        <w:t>he PCP</w:t>
      </w:r>
      <w:r w:rsidR="009802CB" w:rsidRPr="009802CB">
        <w:t xml:space="preserve"> </w:t>
      </w:r>
      <w:r w:rsidR="009802CB">
        <w:t xml:space="preserve">mSTA and the </w:t>
      </w:r>
      <w:r w:rsidR="009802CB" w:rsidRPr="009448FC">
        <w:t>AP</w:t>
      </w:r>
      <w:r w:rsidR="009802CB">
        <w:t xml:space="preserve"> mSTA</w:t>
      </w:r>
      <w:r w:rsidR="009802CB" w:rsidRPr="009448FC">
        <w:t xml:space="preserve"> </w:t>
      </w:r>
      <w:r w:rsidR="0020549F" w:rsidRPr="009448FC">
        <w:t>may</w:t>
      </w:r>
      <w:r w:rsidR="0020549F" w:rsidRPr="009448FC">
        <w:rPr>
          <w:rFonts w:hint="eastAsia"/>
        </w:rPr>
        <w:t xml:space="preserve"> delay </w:t>
      </w:r>
      <w:r w:rsidR="00331243">
        <w:t>the</w:t>
      </w:r>
      <w:r w:rsidR="0020549F" w:rsidRPr="009448FC">
        <w:rPr>
          <w:rFonts w:hint="eastAsia"/>
        </w:rPr>
        <w:t xml:space="preserve"> mmWave Beacon transmission i</w:t>
      </w:r>
      <w:r w:rsidR="0020549F" w:rsidRPr="009448FC">
        <w:t>f the medium is determined by the carrier-sense mechanism to be busy</w:t>
      </w:r>
      <w:r w:rsidR="0020549F" w:rsidRPr="009448FC">
        <w:rPr>
          <w:rFonts w:hint="eastAsia"/>
        </w:rPr>
        <w:t>.</w:t>
      </w:r>
      <w:r w:rsidR="0020549F" w:rsidRPr="009448FC">
        <w:t xml:space="preserve"> </w:t>
      </w:r>
      <w:r w:rsidR="00D63DDF" w:rsidRPr="009448FC">
        <w:t xml:space="preserve">When delaying a mmWave beacon transmision, the PCP/AP shall ensure that the BT, A-BFT and AT do not overlap in time with pseudo-static SPs for which the PCP/AP is </w:t>
      </w:r>
      <w:r w:rsidR="00D809F8">
        <w:t>neither source nor destination.</w:t>
      </w:r>
    </w:p>
    <w:p w:rsidR="00D809F8" w:rsidRDefault="00D809F8" w:rsidP="00FD49A0">
      <w:pPr>
        <w:autoSpaceDE w:val="0"/>
        <w:autoSpaceDN w:val="0"/>
        <w:adjustRightInd w:val="0"/>
      </w:pPr>
    </w:p>
    <w:p w:rsidR="009265CC" w:rsidRPr="009448FC" w:rsidRDefault="00BF606F" w:rsidP="00D809F8">
      <w:pPr>
        <w:jc w:val="both"/>
      </w:pPr>
      <w:r w:rsidRPr="00BF606F">
        <w:t>The PCP/AP may transmit mmWave Beacon frames through different antenna configurations during the BT, but shall not transmit more than one mmWave Beacon frame through the same antenna configuration during the BT of any BI</w:t>
      </w:r>
      <w:r>
        <w:t xml:space="preserve">. </w:t>
      </w:r>
      <w:r w:rsidR="0020549F" w:rsidRPr="009448FC">
        <w:t xml:space="preserve">For any BI that does not include a mmWave Beacon transmission, the PCP/AP shall begin the </w:t>
      </w:r>
      <w:r w:rsidR="0020549F" w:rsidRPr="009448FC">
        <w:rPr>
          <w:rFonts w:hint="eastAsia"/>
        </w:rPr>
        <w:t xml:space="preserve">BI </w:t>
      </w:r>
      <w:r w:rsidR="0020549F" w:rsidRPr="009448FC">
        <w:t>with an AT sequence.</w:t>
      </w:r>
      <w:r w:rsidR="0020549F" w:rsidRPr="009448FC">
        <w:rPr>
          <w:rFonts w:hint="eastAsia"/>
        </w:rPr>
        <w:t xml:space="preserve"> </w:t>
      </w:r>
      <w:r w:rsidR="00D809F8" w:rsidRPr="005F3344">
        <w:t>All mmWave Beacon frames transmitted within the number of beacon intervals specified within the most recently updated TXSS Span field shall have the same value for all the subfields within th</w:t>
      </w:r>
      <w:r w:rsidR="00D809F8">
        <w:t>e Beacon Interval Control field</w:t>
      </w:r>
      <w:r w:rsidR="00D809F8" w:rsidRPr="00C63FBE">
        <w:t>.</w:t>
      </w:r>
      <w:r w:rsidR="00BE1F31">
        <w:t xml:space="preserve"> </w:t>
      </w:r>
    </w:p>
    <w:p w:rsidR="00A925ED" w:rsidRDefault="00A925ED" w:rsidP="00174ABF">
      <w:pPr>
        <w:autoSpaceDE w:val="0"/>
        <w:autoSpaceDN w:val="0"/>
        <w:adjustRightInd w:val="0"/>
        <w:jc w:val="both"/>
      </w:pPr>
    </w:p>
    <w:p w:rsidR="00A43B02" w:rsidRPr="009448FC" w:rsidRDefault="00DF4D58" w:rsidP="0012189B">
      <w:pPr>
        <w:autoSpaceDE w:val="0"/>
        <w:autoSpaceDN w:val="0"/>
        <w:adjustRightInd w:val="0"/>
      </w:pPr>
      <w:r>
        <w:t>W</w:t>
      </w:r>
      <w:r w:rsidRPr="009448FC">
        <w:t>hen the mmWave Beacon transmission is performed as multiple directional transmissions</w:t>
      </w:r>
      <w:r>
        <w:t>, t</w:t>
      </w:r>
      <w:r w:rsidR="00A43B02" w:rsidRPr="009448FC">
        <w:t xml:space="preserve">he PCP/AP may change the sequence of directions through which a </w:t>
      </w:r>
      <w:r w:rsidR="00691495" w:rsidRPr="009448FC">
        <w:t xml:space="preserve">mmWave </w:t>
      </w:r>
      <w:r w:rsidR="00A43B02" w:rsidRPr="009448FC">
        <w:t xml:space="preserve">Beacon is transmitted </w:t>
      </w:r>
      <w:r w:rsidR="00633135" w:rsidRPr="00633135">
        <w:t>after it has transmitted a mmWave Beacon frame through each direction in the current sequence of directions</w:t>
      </w:r>
      <w:r>
        <w:t>.</w:t>
      </w:r>
      <w:r w:rsidR="00A43B02" w:rsidRPr="009448FC">
        <w:t xml:space="preserve"> This is done to randomize and potentially minimize interference to/from the </w:t>
      </w:r>
      <w:r w:rsidR="00A96981" w:rsidRPr="009448FC">
        <w:t xml:space="preserve">mmWave </w:t>
      </w:r>
      <w:r w:rsidR="00A43B02" w:rsidRPr="009448FC">
        <w:t>Beacon.</w:t>
      </w:r>
      <w:r w:rsidR="004A2EA2" w:rsidRPr="009448FC">
        <w:t xml:space="preserve"> One such example is indicated in </w:t>
      </w:r>
      <w:r w:rsidR="00BD151C" w:rsidRPr="009448FC">
        <w:fldChar w:fldCharType="begin"/>
      </w:r>
      <w:r w:rsidR="004A2EA2" w:rsidRPr="009448FC">
        <w:instrText xml:space="preserve"> REF _Ref243211315 \h </w:instrText>
      </w:r>
      <w:r w:rsidR="00BD151C" w:rsidRPr="009448FC">
        <w:fldChar w:fldCharType="separate"/>
      </w:r>
      <w:r w:rsidR="003E4210" w:rsidRPr="009448FC">
        <w:t xml:space="preserve">Figure </w:t>
      </w:r>
      <w:r w:rsidR="003E4210">
        <w:rPr>
          <w:noProof/>
        </w:rPr>
        <w:t>115</w:t>
      </w:r>
      <w:r w:rsidR="00BD151C" w:rsidRPr="009448FC">
        <w:fldChar w:fldCharType="end"/>
      </w:r>
      <w:r w:rsidR="004A2EA2" w:rsidRPr="009448FC">
        <w:t xml:space="preserve">. </w:t>
      </w:r>
      <w:r w:rsidR="00A43B02" w:rsidRPr="009448FC">
        <w:t xml:space="preserve">The sequence of directions shall be pseudo-randomly chosen from a sequence of directions covering the full set of directions available to a </w:t>
      </w:r>
      <w:r w:rsidR="00A96981" w:rsidRPr="009448FC">
        <w:t>PCP/AP</w:t>
      </w:r>
      <w:r w:rsidR="00A43B02" w:rsidRPr="009448FC">
        <w:t>.</w:t>
      </w:r>
    </w:p>
    <w:p w:rsidR="00A43B02" w:rsidRPr="009448FC" w:rsidRDefault="00A43B02" w:rsidP="00A43B02">
      <w:pPr>
        <w:pStyle w:val="BodyText"/>
        <w:rPr>
          <w:rFonts w:ascii="Times New Roman" w:hAnsi="Times New Roman"/>
        </w:rPr>
      </w:pPr>
    </w:p>
    <w:p w:rsidR="00A43B02" w:rsidRPr="009448FC" w:rsidRDefault="00601114" w:rsidP="00A43B02">
      <w:pPr>
        <w:pStyle w:val="BodyText"/>
        <w:rPr>
          <w:rFonts w:ascii="Times New Roman" w:hAnsi="Times New Roman"/>
        </w:rPr>
      </w:pPr>
      <w:r w:rsidRPr="009448FC">
        <w:rPr>
          <w:rFonts w:ascii="Times New Roman" w:hAnsi="Times New Roman"/>
        </w:rPr>
        <w:object w:dxaOrig="15317" w:dyaOrig="2458">
          <v:shape id="_x0000_i1075" type="#_x0000_t75" style="width:494.95pt;height:78.8pt" o:ole="">
            <v:imagedata r:id="rId195" o:title=""/>
          </v:shape>
          <o:OLEObject Type="Embed" ProgID="Visio.Drawing.11" ShapeID="_x0000_i1075" DrawAspect="Content" ObjectID="_1334048256" r:id="rId196"/>
        </w:object>
      </w:r>
    </w:p>
    <w:p w:rsidR="00A43B02" w:rsidRPr="009448FC" w:rsidRDefault="00A43B02" w:rsidP="00BA5BC4">
      <w:pPr>
        <w:pStyle w:val="Caption"/>
        <w:rPr>
          <w:rFonts w:ascii="Times New Roman" w:hAnsi="Times New Roman"/>
        </w:rPr>
      </w:pPr>
      <w:bookmarkStart w:id="2244" w:name="_Ref243211315"/>
      <w:bookmarkStart w:id="2245" w:name="_Toc259717547"/>
      <w:r w:rsidRPr="009448FC">
        <w:rPr>
          <w:rFonts w:ascii="Times New Roman" w:hAnsi="Times New Roman"/>
        </w:rPr>
        <w:t xml:space="preserve">Figure </w:t>
      </w:r>
      <w:r w:rsidR="00BD151C" w:rsidRPr="009448FC">
        <w:rPr>
          <w:rFonts w:ascii="Times New Roman" w:hAnsi="Times New Roman"/>
        </w:rPr>
        <w:fldChar w:fldCharType="begin"/>
      </w:r>
      <w:r w:rsidRPr="009448FC">
        <w:rPr>
          <w:rFonts w:ascii="Times New Roman" w:hAnsi="Times New Roman"/>
        </w:rPr>
        <w:instrText xml:space="preserve"> SEQ Figure \* ARABIC </w:instrText>
      </w:r>
      <w:r w:rsidR="00BD151C" w:rsidRPr="009448FC">
        <w:rPr>
          <w:rFonts w:ascii="Times New Roman" w:hAnsi="Times New Roman"/>
        </w:rPr>
        <w:fldChar w:fldCharType="separate"/>
      </w:r>
      <w:r w:rsidR="003E4210">
        <w:rPr>
          <w:rFonts w:ascii="Times New Roman" w:hAnsi="Times New Roman"/>
          <w:noProof/>
        </w:rPr>
        <w:t>115</w:t>
      </w:r>
      <w:r w:rsidR="00BD151C" w:rsidRPr="009448FC">
        <w:rPr>
          <w:rFonts w:ascii="Times New Roman" w:hAnsi="Times New Roman"/>
        </w:rPr>
        <w:fldChar w:fldCharType="end"/>
      </w:r>
      <w:bookmarkEnd w:id="2244"/>
      <w:r w:rsidRPr="009448FC">
        <w:rPr>
          <w:rFonts w:ascii="Times New Roman" w:hAnsi="Times New Roman"/>
        </w:rPr>
        <w:t xml:space="preserve"> – Example of </w:t>
      </w:r>
      <w:r w:rsidR="00A96981" w:rsidRPr="009448FC">
        <w:rPr>
          <w:rFonts w:ascii="Times New Roman" w:hAnsi="Times New Roman"/>
        </w:rPr>
        <w:t>mmWave B</w:t>
      </w:r>
      <w:r w:rsidRPr="009448FC">
        <w:rPr>
          <w:rFonts w:ascii="Times New Roman" w:hAnsi="Times New Roman"/>
        </w:rPr>
        <w:t>eacon transmission by PCP</w:t>
      </w:r>
      <w:r w:rsidR="00A96981" w:rsidRPr="009448FC">
        <w:rPr>
          <w:rFonts w:ascii="Times New Roman" w:hAnsi="Times New Roman"/>
        </w:rPr>
        <w:t>/AP</w:t>
      </w:r>
      <w:r w:rsidRPr="009448FC">
        <w:rPr>
          <w:rFonts w:ascii="Times New Roman" w:hAnsi="Times New Roman"/>
        </w:rPr>
        <w:t xml:space="preserve"> during the </w:t>
      </w:r>
      <w:r w:rsidR="00A96981" w:rsidRPr="009448FC">
        <w:rPr>
          <w:rFonts w:ascii="Times New Roman" w:hAnsi="Times New Roman"/>
        </w:rPr>
        <w:t>BT</w:t>
      </w:r>
      <w:bookmarkEnd w:id="2245"/>
    </w:p>
    <w:p w:rsidR="00A43B02" w:rsidRPr="009448FC" w:rsidRDefault="00A43B02" w:rsidP="00444738">
      <w:pPr>
        <w:rPr>
          <w:i/>
        </w:rPr>
      </w:pPr>
    </w:p>
    <w:p w:rsidR="00444738" w:rsidRPr="009448FC" w:rsidRDefault="00444738" w:rsidP="00356C50">
      <w:pPr>
        <w:autoSpaceDE w:val="0"/>
        <w:autoSpaceDN w:val="0"/>
        <w:adjustRightInd w:val="0"/>
        <w:rPr>
          <w:sz w:val="20"/>
        </w:rPr>
      </w:pPr>
      <w:r w:rsidRPr="009448FC">
        <w:rPr>
          <w:sz w:val="20"/>
        </w:rPr>
        <w:t>NOTE – An PCP/AP operating in the UB can transmit Announce frames as request frames during the AT (</w:t>
      </w:r>
      <w:fldSimple w:instr=" REF _Ref243983673 \r \h  \* MERGEFORMAT ">
        <w:r w:rsidR="003E4210" w:rsidRPr="003E4210">
          <w:rPr>
            <w:sz w:val="20"/>
          </w:rPr>
          <w:t>9.23.3</w:t>
        </w:r>
      </w:fldSimple>
      <w:r w:rsidRPr="009448FC">
        <w:rPr>
          <w:sz w:val="20"/>
        </w:rPr>
        <w:t xml:space="preserve">). </w:t>
      </w:r>
      <w:r w:rsidR="008C52FD" w:rsidRPr="009448FC">
        <w:rPr>
          <w:sz w:val="20"/>
        </w:rPr>
        <w:t>An Announce frame</w:t>
      </w:r>
      <w:r w:rsidRPr="009448FC">
        <w:rPr>
          <w:sz w:val="20"/>
        </w:rPr>
        <w:t xml:space="preserve"> </w:t>
      </w:r>
      <w:r w:rsidR="008C52FD" w:rsidRPr="009448FC">
        <w:rPr>
          <w:sz w:val="20"/>
        </w:rPr>
        <w:t xml:space="preserve">can perform the function of a mmWave Beacon frame, </w:t>
      </w:r>
      <w:r w:rsidRPr="009448FC">
        <w:rPr>
          <w:sz w:val="20"/>
        </w:rPr>
        <w:t>can be transmitted as a unicast frame directed to a STA, and can provide a much more spectrally efficient access than using a mmWave Beacon frame.</w:t>
      </w:r>
    </w:p>
    <w:p w:rsidR="00444738" w:rsidRDefault="00444738" w:rsidP="00444738"/>
    <w:p w:rsidR="003305D4" w:rsidRDefault="003305D4" w:rsidP="003305D4">
      <w:r w:rsidRPr="007D3D84">
        <w:t>An AP and PCP shall include a mmWave Operation element within a transmitted mmWave Beacon frame if the CB</w:t>
      </w:r>
      <w:r>
        <w:t>P</w:t>
      </w:r>
      <w:r w:rsidRPr="007D3D84">
        <w:t xml:space="preserve"> only field within the mmWave Beacon frame is set to one. An AP and PCP shall include a mmWave Operation element within a transmitted mmWave Beacon frame if the CB</w:t>
      </w:r>
      <w:r>
        <w:t>P</w:t>
      </w:r>
      <w:r w:rsidRPr="007D3D84">
        <w:t xml:space="preserve"> only field within the mmWave Beacon frame is set to zero and the Extended Schedule element is included in the mmWave Beacon frame. An AP and PCP shall include a mmWave Operation element within a transmitted Announce frame if the Extended Schedule element is included in the Announce frame.</w:t>
      </w:r>
      <w:r w:rsidR="00BE1F31">
        <w:t xml:space="preserve"> </w:t>
      </w:r>
    </w:p>
    <w:p w:rsidR="003305D4" w:rsidRPr="009448FC" w:rsidRDefault="003305D4" w:rsidP="00444738"/>
    <w:p w:rsidR="00444738" w:rsidRPr="009448FC" w:rsidRDefault="00444738" w:rsidP="00DD0176">
      <w:pPr>
        <w:pStyle w:val="Heading5"/>
      </w:pPr>
      <w:bookmarkStart w:id="2246" w:name="_Toc259717187"/>
      <w:r w:rsidRPr="009448FC">
        <w:t>11.1.2.1a.1 Beacon generation in a PBSS</w:t>
      </w:r>
      <w:bookmarkEnd w:id="2246"/>
    </w:p>
    <w:p w:rsidR="00444738" w:rsidRPr="009448FC" w:rsidRDefault="00444738" w:rsidP="00444738">
      <w:pPr>
        <w:rPr>
          <w:rFonts w:ascii="Arial,Bold" w:hAnsi="Arial,Bold"/>
          <w:b/>
        </w:rPr>
      </w:pPr>
    </w:p>
    <w:p w:rsidR="00444738" w:rsidRDefault="0058728D" w:rsidP="00444738">
      <w:pPr>
        <w:autoSpaceDE w:val="0"/>
        <w:autoSpaceDN w:val="0"/>
        <w:adjustRightInd w:val="0"/>
        <w:jc w:val="both"/>
      </w:pPr>
      <w:r w:rsidRPr="009448FC">
        <w:t xml:space="preserve">At TBTTs </w:t>
      </w:r>
      <w:r>
        <w:t xml:space="preserve">that do not start with a BT </w:t>
      </w:r>
      <w:r w:rsidRPr="009448FC">
        <w:t xml:space="preserve">and when the PCP is not in </w:t>
      </w:r>
      <w:r w:rsidR="00355B34">
        <w:t>D</w:t>
      </w:r>
      <w:r w:rsidRPr="009448FC">
        <w:t>oze state, the PCP shall begin a beacon interval with an AT sequence.</w:t>
      </w:r>
      <w:r w:rsidR="00BE1F31">
        <w:t xml:space="preserve"> </w:t>
      </w:r>
      <w:r w:rsidR="00BF72EC">
        <w:t xml:space="preserve"> </w:t>
      </w:r>
    </w:p>
    <w:p w:rsidR="00EA2199" w:rsidRPr="00333E24" w:rsidRDefault="00EA2199" w:rsidP="00EA2199">
      <w:pPr>
        <w:pStyle w:val="Heading5"/>
      </w:pPr>
      <w:bookmarkStart w:id="2247" w:name="_Toc259717188"/>
      <w:r w:rsidRPr="00333E24">
        <w:t>11.1.2.1a</w:t>
      </w:r>
      <w:r>
        <w:t>.2</w:t>
      </w:r>
      <w:r w:rsidRPr="00333E24">
        <w:t xml:space="preserve"> Beacon generation in</w:t>
      </w:r>
      <w:r>
        <w:t xml:space="preserve"> infrastructure BSS </w:t>
      </w:r>
      <w:r w:rsidRPr="00333E24">
        <w:t>in UB</w:t>
      </w:r>
      <w:bookmarkEnd w:id="2247"/>
      <w:r w:rsidR="00BE1F31">
        <w:t xml:space="preserve"> </w:t>
      </w:r>
      <w:r w:rsidR="001B028C">
        <w:t xml:space="preserve"> </w:t>
      </w:r>
    </w:p>
    <w:p w:rsidR="00EA2199" w:rsidRDefault="00EA2199" w:rsidP="00EA2199"/>
    <w:p w:rsidR="00EA2199" w:rsidRPr="008319C0" w:rsidDel="006F4793" w:rsidRDefault="00EA2199" w:rsidP="00EA2199">
      <w:pPr>
        <w:rPr>
          <w:iCs/>
        </w:rPr>
      </w:pPr>
      <w:r>
        <w:rPr>
          <w:iCs/>
        </w:rPr>
        <w:t xml:space="preserve">In </w:t>
      </w:r>
      <w:r w:rsidR="0058728D">
        <w:rPr>
          <w:iCs/>
        </w:rPr>
        <w:t>an</w:t>
      </w:r>
      <w:r>
        <w:rPr>
          <w:iCs/>
        </w:rPr>
        <w:t xml:space="preserve"> infrastructure BSS </w:t>
      </w:r>
      <w:r w:rsidR="0058728D">
        <w:rPr>
          <w:iCs/>
        </w:rPr>
        <w:t xml:space="preserve">operating </w:t>
      </w:r>
      <w:r>
        <w:rPr>
          <w:iCs/>
        </w:rPr>
        <w:t>in UB</w:t>
      </w:r>
      <w:r w:rsidR="0058728D">
        <w:rPr>
          <w:iCs/>
        </w:rPr>
        <w:t>,</w:t>
      </w:r>
      <w:r>
        <w:rPr>
          <w:iCs/>
        </w:rPr>
        <w:t xml:space="preserve"> the AP mSTA shall assert the dot11MaxLostBeacons attribute value equal to the </w:t>
      </w:r>
      <w:r>
        <w:t>aMinBTPeriod parameter value.</w:t>
      </w:r>
    </w:p>
    <w:p w:rsidR="00EA2199" w:rsidRPr="009448FC" w:rsidRDefault="00EA2199" w:rsidP="00444738">
      <w:pPr>
        <w:autoSpaceDE w:val="0"/>
        <w:autoSpaceDN w:val="0"/>
        <w:adjustRightInd w:val="0"/>
        <w:jc w:val="both"/>
      </w:pPr>
    </w:p>
    <w:p w:rsidR="00444738" w:rsidRPr="009448FC" w:rsidRDefault="00444738" w:rsidP="00CF3630">
      <w:pPr>
        <w:pStyle w:val="Heading4"/>
      </w:pPr>
      <w:bookmarkStart w:id="2248" w:name="_Ref243984409"/>
      <w:bookmarkStart w:id="2249" w:name="_Toc259717189"/>
      <w:r w:rsidRPr="009448FC">
        <w:t>11.1.2.1b Beacon ge</w:t>
      </w:r>
      <w:r w:rsidRPr="0082035A">
        <w:t>n</w:t>
      </w:r>
      <w:r w:rsidRPr="009448FC">
        <w:t>eration before network initialization</w:t>
      </w:r>
      <w:bookmarkEnd w:id="2248"/>
      <w:bookmarkEnd w:id="2249"/>
    </w:p>
    <w:p w:rsidR="00444738" w:rsidRPr="009448FC" w:rsidRDefault="00444738" w:rsidP="00444738">
      <w:pPr>
        <w:autoSpaceDE w:val="0"/>
        <w:autoSpaceDN w:val="0"/>
        <w:adjustRightInd w:val="0"/>
        <w:jc w:val="both"/>
      </w:pPr>
    </w:p>
    <w:p w:rsidR="00444738" w:rsidRPr="009448FC" w:rsidRDefault="00444738" w:rsidP="00444738">
      <w:pPr>
        <w:jc w:val="both"/>
      </w:pPr>
      <w:r w:rsidRPr="009448FC">
        <w:t>A</w:t>
      </w:r>
      <w:r w:rsidR="002F0A96" w:rsidRPr="009448FC">
        <w:t>n</w:t>
      </w:r>
      <w:r w:rsidRPr="009448FC">
        <w:t xml:space="preserve"> </w:t>
      </w:r>
      <w:r w:rsidR="00B96FB9" w:rsidRPr="009448FC">
        <w:t>mSTA</w:t>
      </w:r>
      <w:r w:rsidRPr="009448FC">
        <w:t xml:space="preserve"> that transmits mmWave Beacon frames before network initialization shall set the discovery mode field in each transmitted mmWave Beacon frame to one. This indicates that the </w:t>
      </w:r>
      <w:r w:rsidR="00B96FB9" w:rsidRPr="009448FC">
        <w:t>mSTA</w:t>
      </w:r>
      <w:r w:rsidRPr="009448FC">
        <w:t xml:space="preserve"> is not a PCP or an AP, and the network initialization procedure defined in </w:t>
      </w:r>
      <w:r w:rsidR="00BD151C">
        <w:rPr>
          <w:lang w:bidi="ar-SA"/>
        </w:rPr>
        <w:fldChar w:fldCharType="begin"/>
      </w:r>
      <w:r w:rsidR="00665F57">
        <w:rPr>
          <w:lang w:bidi="ar-SA"/>
        </w:rPr>
        <w:instrText xml:space="preserve"> REF _Ref243815927 \r \h </w:instrText>
      </w:r>
      <w:r w:rsidR="00BD151C">
        <w:rPr>
          <w:lang w:bidi="ar-SA"/>
        </w:rPr>
      </w:r>
      <w:r w:rsidR="00BD151C">
        <w:rPr>
          <w:lang w:bidi="ar-SA"/>
        </w:rPr>
        <w:fldChar w:fldCharType="separate"/>
      </w:r>
      <w:r w:rsidR="003E4210">
        <w:rPr>
          <w:lang w:bidi="ar-SA"/>
        </w:rPr>
        <w:t>11.1.3.3</w:t>
      </w:r>
      <w:r w:rsidR="00BD151C">
        <w:rPr>
          <w:lang w:bidi="ar-SA"/>
        </w:rPr>
        <w:fldChar w:fldCharType="end"/>
      </w:r>
      <w:r w:rsidRPr="009448FC">
        <w:t xml:space="preserve"> has not been performed.</w:t>
      </w:r>
    </w:p>
    <w:p w:rsidR="00444738" w:rsidRPr="009448FC" w:rsidRDefault="00444738" w:rsidP="00444738">
      <w:pPr>
        <w:jc w:val="both"/>
      </w:pPr>
    </w:p>
    <w:p w:rsidR="00444738" w:rsidRPr="009448FC" w:rsidRDefault="00444738" w:rsidP="00444738">
      <w:pPr>
        <w:jc w:val="both"/>
      </w:pPr>
      <w:r w:rsidRPr="009448FC">
        <w:t xml:space="preserve">Before network initialization, the spacing between TBTTs can change and the time to the next TBTT is contained in the last mmWave Beacon transmission. At each TBTT, the </w:t>
      </w:r>
      <w:r w:rsidR="00B96FB9" w:rsidRPr="009448FC">
        <w:t>mSTA</w:t>
      </w:r>
      <w:r w:rsidRPr="009448FC">
        <w:t xml:space="preserve"> should generate a random value for the beacon interval field within the mmWave Beacon frame from a uniform distribution between [10 TUs, aMaxBIDuration), i.e., 10 TUs inclusive through aMaxBIDuration exclusive. All mmWave Beacon frame transmissions within the same BT shall have the same value for the beacon interval field. The </w:t>
      </w:r>
      <w:r w:rsidR="00B96FB9" w:rsidRPr="009448FC">
        <w:t>mSTA</w:t>
      </w:r>
      <w:r w:rsidRPr="009448FC">
        <w:t xml:space="preserve"> shall transmit the first mmWave Beacon frame of the next BT at the time indicated by the addition of the TSF value transmitted in the last mmWave Beacon frame transmission within the last BT and the value of the beacon interval field contained in the last mmWave Beacon transmission within the last BT.</w:t>
      </w:r>
      <w:r w:rsidR="0020549F" w:rsidRPr="009448FC">
        <w:t xml:space="preserve"> The TSF shall be set to zero at the first TBTT</w:t>
      </w:r>
      <w:r w:rsidR="00EF445F" w:rsidRPr="009448FC">
        <w:t xml:space="preserve"> </w:t>
      </w:r>
      <w:r w:rsidR="00260020" w:rsidRPr="00260020">
        <w:t>for which the discovery mode field within the mmWave Beacon frame is set to one</w:t>
      </w:r>
      <w:r w:rsidR="0020549F" w:rsidRPr="009448FC">
        <w:t xml:space="preserve">. </w:t>
      </w:r>
    </w:p>
    <w:p w:rsidR="00444738" w:rsidRPr="009448FC" w:rsidRDefault="00BF72EC" w:rsidP="00444738">
      <w:pPr>
        <w:jc w:val="both"/>
      </w:pPr>
      <w:r>
        <w:t xml:space="preserve"> </w:t>
      </w:r>
    </w:p>
    <w:p w:rsidR="00444738" w:rsidRPr="009448FC" w:rsidRDefault="00444738" w:rsidP="00444738">
      <w:pPr>
        <w:jc w:val="both"/>
      </w:pPr>
      <w:r w:rsidRPr="009448FC">
        <w:t>The procedure of TBTT change</w:t>
      </w:r>
      <w:r w:rsidR="008071E4">
        <w:t xml:space="preserve"> </w:t>
      </w:r>
      <w:r w:rsidR="008071E4" w:rsidRPr="008071E4">
        <w:t>described in the preceding paragraph</w:t>
      </w:r>
      <w:r w:rsidRPr="009448FC">
        <w:t xml:space="preserve"> is applicable for mmWave Beacon generation before network initialization, whereas the procedures defined in </w:t>
      </w:r>
      <w:r w:rsidR="00BD151C" w:rsidRPr="009448FC">
        <w:fldChar w:fldCharType="begin"/>
      </w:r>
      <w:r w:rsidR="00665F57" w:rsidRPr="009448FC">
        <w:instrText xml:space="preserve"> REF _Ref243815965 \r \h </w:instrText>
      </w:r>
      <w:r w:rsidR="00BD151C" w:rsidRPr="009448FC">
        <w:fldChar w:fldCharType="separate"/>
      </w:r>
      <w:r w:rsidR="003E4210">
        <w:t>11.32.1</w:t>
      </w:r>
      <w:r w:rsidR="00BD151C" w:rsidRPr="009448FC">
        <w:fldChar w:fldCharType="end"/>
      </w:r>
      <w:r w:rsidR="00665F57" w:rsidRPr="009448FC">
        <w:t xml:space="preserve"> and </w:t>
      </w:r>
      <w:r w:rsidR="00BD151C" w:rsidRPr="009448FC">
        <w:fldChar w:fldCharType="begin"/>
      </w:r>
      <w:r w:rsidR="00665F57" w:rsidRPr="009448FC">
        <w:instrText xml:space="preserve"> REF _Ref243815968 \r \h </w:instrText>
      </w:r>
      <w:r w:rsidR="00BD151C" w:rsidRPr="009448FC">
        <w:fldChar w:fldCharType="separate"/>
      </w:r>
      <w:r w:rsidR="003E4210">
        <w:t>11.32.2</w:t>
      </w:r>
      <w:r w:rsidR="00BD151C" w:rsidRPr="009448FC">
        <w:fldChar w:fldCharType="end"/>
      </w:r>
      <w:r w:rsidRPr="009448FC">
        <w:t xml:space="preserve"> are used to change the mmWave BSS parameters after the infrastructure BSS and PBBS are initialized in the UB.</w:t>
      </w:r>
    </w:p>
    <w:p w:rsidR="00444738" w:rsidRPr="009448FC" w:rsidRDefault="00444738" w:rsidP="00444738">
      <w:pPr>
        <w:jc w:val="both"/>
      </w:pPr>
    </w:p>
    <w:p w:rsidR="00444738" w:rsidRPr="009448FC" w:rsidRDefault="00444738" w:rsidP="00444738">
      <w:r w:rsidRPr="009448FC">
        <w:t xml:space="preserve">The </w:t>
      </w:r>
      <w:r w:rsidR="00B96FB9" w:rsidRPr="009448FC">
        <w:t>mSTA</w:t>
      </w:r>
      <w:r w:rsidRPr="009448FC">
        <w:t xml:space="preserve"> shall set the Duration/ID field of each transmitted mmWave Beacon frame to the time remaining until the end of the current BT.</w:t>
      </w:r>
    </w:p>
    <w:p w:rsidR="003D0505" w:rsidRPr="00066F65" w:rsidRDefault="003D0505" w:rsidP="00444738">
      <w:pPr>
        <w:rPr>
          <w:u w:val="single"/>
          <w:lang w:bidi="ar-SA"/>
        </w:rPr>
      </w:pPr>
    </w:p>
    <w:p w:rsidR="00444738" w:rsidRPr="009448FC" w:rsidRDefault="00444738" w:rsidP="003701DB">
      <w:pPr>
        <w:pStyle w:val="Heading4"/>
        <w:numPr>
          <w:ilvl w:val="3"/>
          <w:numId w:val="32"/>
        </w:numPr>
      </w:pPr>
      <w:bookmarkStart w:id="2250" w:name="_Toc259717190"/>
      <w:r w:rsidRPr="009448FC">
        <w:t>Beacon generation in an IBSS</w:t>
      </w:r>
      <w:bookmarkEnd w:id="2250"/>
    </w:p>
    <w:p w:rsidR="00444738" w:rsidRPr="009448FC" w:rsidRDefault="00444738" w:rsidP="00444738">
      <w:pPr>
        <w:autoSpaceDE w:val="0"/>
        <w:autoSpaceDN w:val="0"/>
        <w:adjustRightInd w:val="0"/>
        <w:jc w:val="both"/>
      </w:pPr>
    </w:p>
    <w:p w:rsidR="00444738" w:rsidRPr="009448FC" w:rsidRDefault="00444738" w:rsidP="00444738">
      <w:pPr>
        <w:rPr>
          <w:i/>
        </w:rPr>
      </w:pPr>
      <w:r w:rsidRPr="009448FC">
        <w:rPr>
          <w:i/>
        </w:rPr>
        <w:t>.11 Editor Note: Modify the first paragraph as follows</w:t>
      </w:r>
    </w:p>
    <w:p w:rsidR="00444738" w:rsidRPr="009448FC" w:rsidRDefault="00444738" w:rsidP="00444738">
      <w:pPr>
        <w:autoSpaceDE w:val="0"/>
        <w:autoSpaceDN w:val="0"/>
        <w:adjustRightInd w:val="0"/>
        <w:jc w:val="both"/>
      </w:pPr>
    </w:p>
    <w:p w:rsidR="00444738" w:rsidRPr="009448FC" w:rsidRDefault="00444738" w:rsidP="00444738">
      <w:pPr>
        <w:jc w:val="both"/>
      </w:pPr>
      <w:r w:rsidRPr="009448FC">
        <w:t>Beacon generation in an IBSS is distributed. The beacon period is included in Beacon</w:t>
      </w:r>
      <w:r w:rsidRPr="00066F65">
        <w:rPr>
          <w:u w:val="single"/>
          <w:lang w:eastAsia="ko-KR" w:bidi="ar-SA"/>
        </w:rPr>
        <w:t>, Announce</w:t>
      </w:r>
      <w:r w:rsidRPr="009448FC">
        <w:t xml:space="preserve"> and Probe Response frames, and STAs shall adopt that beacon period when joining the IBSS. All members of the IBSS participate in beacon generation. Each STA shall maintain its own TSF timer that is used for dot11BeaconPeriod timing. The beacon interval within an IBSS is established by the STA at which the MLME-START.request is performed to create the IBSS. This defines a series of TBTTs exactly dot11BeaconPeriod TUs apart. Time zero is defined to be a TBTT. At each TBTT the STA shall</w:t>
      </w:r>
    </w:p>
    <w:p w:rsidR="00444738" w:rsidRPr="009448FC" w:rsidRDefault="00444738" w:rsidP="003701DB">
      <w:pPr>
        <w:numPr>
          <w:ilvl w:val="0"/>
          <w:numId w:val="84"/>
        </w:numPr>
        <w:jc w:val="both"/>
      </w:pPr>
      <w:r w:rsidRPr="009448FC">
        <w:t>Suspend the decrementing of the backoff timer for any pending non</w:t>
      </w:r>
      <w:r w:rsidRPr="00066F65">
        <w:rPr>
          <w:u w:val="single"/>
          <w:lang w:eastAsia="ko-KR" w:bidi="ar-SA"/>
        </w:rPr>
        <w:t>-</w:t>
      </w:r>
      <w:r w:rsidRPr="009448FC">
        <w:t xml:space="preserve">beacon or non-ATIM </w:t>
      </w:r>
      <w:r w:rsidRPr="00066F65">
        <w:rPr>
          <w:u w:val="single"/>
          <w:lang w:eastAsia="ko-KR" w:bidi="ar-SA"/>
        </w:rPr>
        <w:t>or non-mmWave Beacon</w:t>
      </w:r>
      <w:r w:rsidRPr="009448FC">
        <w:t xml:space="preserve"> transmission,</w:t>
      </w:r>
    </w:p>
    <w:p w:rsidR="00444738" w:rsidRPr="009448FC" w:rsidRDefault="00444738" w:rsidP="003701DB">
      <w:pPr>
        <w:numPr>
          <w:ilvl w:val="0"/>
          <w:numId w:val="84"/>
        </w:numPr>
      </w:pPr>
      <w:r w:rsidRPr="009448FC">
        <w:t>Calculate a random delay uniformly distributed in the range between zero and twice aCWmin</w:t>
      </w:r>
      <w:r w:rsidRPr="009448FC">
        <w:rPr>
          <w:rFonts w:hint="eastAsia"/>
        </w:rPr>
        <w:t xml:space="preserve">× </w:t>
      </w:r>
      <w:r w:rsidRPr="009448FC">
        <w:t xml:space="preserve">aSlotTime </w:t>
      </w:r>
      <w:r w:rsidRPr="00066F65">
        <w:rPr>
          <w:u w:val="single"/>
          <w:lang w:eastAsia="ko-KR" w:bidi="ar-SA"/>
        </w:rPr>
        <w:t>when operating in the LB and the HB, and between zero and the result of two multiplied by aCW</w:t>
      </w:r>
      <w:r w:rsidR="00FA4FBB" w:rsidRPr="00066F65">
        <w:rPr>
          <w:u w:val="single"/>
          <w:lang w:eastAsia="ko-KR" w:bidi="ar-SA"/>
        </w:rPr>
        <w:t xml:space="preserve">minMMwaveIBSS </w:t>
      </w:r>
      <w:r w:rsidRPr="00066F65">
        <w:rPr>
          <w:u w:val="single"/>
          <w:lang w:eastAsia="ko-KR" w:bidi="ar-SA"/>
        </w:rPr>
        <w:t xml:space="preserve">multiplied by the duration of the </w:t>
      </w:r>
      <w:r w:rsidR="00613C6F" w:rsidRPr="00613C6F">
        <w:rPr>
          <w:u w:val="single"/>
          <w:lang w:eastAsia="ko-KR" w:bidi="ar-SA"/>
        </w:rPr>
        <w:t>STA</w:t>
      </w:r>
      <w:r w:rsidR="00613C6F">
        <w:rPr>
          <w:u w:val="single"/>
          <w:lang w:eastAsia="ko-KR" w:bidi="ar-SA"/>
        </w:rPr>
        <w:t>’</w:t>
      </w:r>
      <w:r w:rsidR="00613C6F" w:rsidRPr="00613C6F">
        <w:rPr>
          <w:u w:val="single"/>
          <w:lang w:eastAsia="ko-KR" w:bidi="ar-SA"/>
        </w:rPr>
        <w:t>s following BT when operating in the UB</w:t>
      </w:r>
      <w:r w:rsidRPr="009448FC">
        <w:t>,</w:t>
      </w:r>
    </w:p>
    <w:p w:rsidR="00444738" w:rsidRPr="009448FC" w:rsidRDefault="00444738" w:rsidP="003701DB">
      <w:pPr>
        <w:numPr>
          <w:ilvl w:val="0"/>
          <w:numId w:val="84"/>
        </w:numPr>
        <w:jc w:val="both"/>
      </w:pPr>
      <w:r w:rsidRPr="009448FC">
        <w:t>Wait for the period of the random delay, decrementing the random delay timer using the same algorithm as for backoff,</w:t>
      </w:r>
    </w:p>
    <w:p w:rsidR="00444738" w:rsidRPr="009448FC" w:rsidRDefault="00444738" w:rsidP="003701DB">
      <w:pPr>
        <w:numPr>
          <w:ilvl w:val="0"/>
          <w:numId w:val="84"/>
        </w:numPr>
        <w:jc w:val="both"/>
      </w:pPr>
      <w:r w:rsidRPr="009448FC">
        <w:t xml:space="preserve">Cancel the remaining random delay and the pending beacon transmission </w:t>
      </w:r>
      <w:r w:rsidRPr="00066F65">
        <w:rPr>
          <w:u w:val="single"/>
          <w:lang w:eastAsia="ko-KR" w:bidi="ar-SA"/>
        </w:rPr>
        <w:t>or BT if operating in the UB</w:t>
      </w:r>
      <w:r w:rsidRPr="009448FC">
        <w:t>, if a Beacon frame arrives from the IBSS of which the STA is a member before the random delay timer has expired, at which time the ATIM backoff timer shall resume decrementing.</w:t>
      </w:r>
    </w:p>
    <w:p w:rsidR="00444738" w:rsidRPr="009448FC" w:rsidRDefault="00444738" w:rsidP="003701DB">
      <w:pPr>
        <w:numPr>
          <w:ilvl w:val="0"/>
          <w:numId w:val="84"/>
        </w:numPr>
        <w:jc w:val="both"/>
      </w:pPr>
      <w:r w:rsidRPr="009448FC">
        <w:t xml:space="preserve">Send a Beacon frame </w:t>
      </w:r>
      <w:r w:rsidRPr="00066F65">
        <w:rPr>
          <w:u w:val="single"/>
          <w:lang w:eastAsia="ko-KR" w:bidi="ar-SA"/>
        </w:rPr>
        <w:t>when operating in the LB or the HB or mmWave Beacon frame(s) when operating in the UB</w:t>
      </w:r>
      <w:r w:rsidRPr="009448FC">
        <w:t xml:space="preserve"> if the random delay has expired and no Beacon frame </w:t>
      </w:r>
      <w:r w:rsidRPr="00066F65">
        <w:rPr>
          <w:u w:val="single"/>
          <w:lang w:eastAsia="ko-KR" w:bidi="ar-SA"/>
        </w:rPr>
        <w:t>when operating in the LB or the HB or mmWave Beacon frame when operating in the UB</w:t>
      </w:r>
      <w:r w:rsidRPr="009448FC">
        <w:t xml:space="preserve"> has arrived from the IBSS of which the STA is a member during the delay period.</w:t>
      </w:r>
    </w:p>
    <w:p w:rsidR="00444738" w:rsidRPr="009448FC" w:rsidRDefault="00444738" w:rsidP="00444738"/>
    <w:p w:rsidR="00444738" w:rsidRPr="009448FC" w:rsidRDefault="00444738" w:rsidP="003701DB">
      <w:pPr>
        <w:pStyle w:val="Heading4"/>
        <w:numPr>
          <w:ilvl w:val="3"/>
          <w:numId w:val="32"/>
        </w:numPr>
      </w:pPr>
      <w:bookmarkStart w:id="2251" w:name="_Ref243816096"/>
      <w:bookmarkStart w:id="2252" w:name="_Toc259717191"/>
      <w:r w:rsidRPr="009448FC">
        <w:t>Beacon reception</w:t>
      </w:r>
      <w:bookmarkEnd w:id="2251"/>
      <w:bookmarkEnd w:id="2252"/>
    </w:p>
    <w:p w:rsidR="00444738" w:rsidRPr="009448FC" w:rsidRDefault="00444738" w:rsidP="00444738"/>
    <w:p w:rsidR="00444738" w:rsidRPr="009448FC" w:rsidRDefault="00444738" w:rsidP="00444738">
      <w:pPr>
        <w:rPr>
          <w:i/>
        </w:rPr>
      </w:pPr>
      <w:r w:rsidRPr="009448FC">
        <w:rPr>
          <w:i/>
        </w:rPr>
        <w:t>.11 Editor Note: Modify the following paragraphs as follows</w:t>
      </w:r>
    </w:p>
    <w:p w:rsidR="00444738" w:rsidRPr="009448FC" w:rsidRDefault="00444738" w:rsidP="00444738"/>
    <w:p w:rsidR="00444738" w:rsidRPr="009448FC" w:rsidRDefault="00444738" w:rsidP="00444738">
      <w:pPr>
        <w:jc w:val="both"/>
      </w:pPr>
      <w:r w:rsidRPr="009448FC">
        <w:t xml:space="preserve">STAs in an infrastructure network </w:t>
      </w:r>
      <w:r w:rsidRPr="00066F65">
        <w:rPr>
          <w:u w:val="single"/>
          <w:lang w:eastAsia="ko-KR" w:bidi="ar-SA"/>
        </w:rPr>
        <w:t>and STAs in a PBSS</w:t>
      </w:r>
      <w:r w:rsidRPr="009448FC">
        <w:t xml:space="preserve"> shall only use other information in received Beacon frames </w:t>
      </w:r>
      <w:r w:rsidRPr="00066F65">
        <w:rPr>
          <w:u w:val="single"/>
          <w:lang w:eastAsia="ko-KR" w:bidi="ar-SA"/>
        </w:rPr>
        <w:t>or mmWave Beacon frames or Announce frames</w:t>
      </w:r>
      <w:r w:rsidRPr="009448FC">
        <w:t xml:space="preserve">, if the BSSID field is equal to the MAC address currently in use by the STA contained in the AP of the infrastructure BSS </w:t>
      </w:r>
      <w:r w:rsidRPr="00066F65">
        <w:rPr>
          <w:u w:val="single"/>
          <w:lang w:eastAsia="ko-KR" w:bidi="ar-SA"/>
        </w:rPr>
        <w:t>or to the MAC address currently in use by the PCP of the PBSS</w:t>
      </w:r>
      <w:r w:rsidRPr="009448FC">
        <w:t>.</w:t>
      </w:r>
    </w:p>
    <w:p w:rsidR="00444738" w:rsidRPr="009448FC" w:rsidRDefault="00444738" w:rsidP="00444738"/>
    <w:p w:rsidR="00444738" w:rsidRPr="009448FC" w:rsidRDefault="00444738" w:rsidP="00444738">
      <w:pPr>
        <w:jc w:val="both"/>
      </w:pPr>
      <w:r w:rsidRPr="009448FC">
        <w:t xml:space="preserve">STAs in an IBSS </w:t>
      </w:r>
      <w:r w:rsidRPr="00066F65">
        <w:rPr>
          <w:u w:val="single"/>
          <w:lang w:eastAsia="ko-KR" w:bidi="ar-SA"/>
        </w:rPr>
        <w:t>operating in the LB or in the HB</w:t>
      </w:r>
      <w:r w:rsidRPr="009448FC">
        <w:t xml:space="preserve"> shall use other information in any received Beacon frame for which the IBSS subfield of the Capability field is set to 1, the content of the SSID element is equal to the SSID of the IBSS, and the TSF value is later than the receiving STA’s TSF timer. Use of this information is specified in </w:t>
      </w:r>
      <w:r w:rsidR="00BD151C">
        <w:rPr>
          <w:lang w:eastAsia="ko-KR" w:bidi="ar-SA"/>
        </w:rPr>
        <w:fldChar w:fldCharType="begin"/>
      </w:r>
      <w:r w:rsidR="001C165E">
        <w:rPr>
          <w:lang w:eastAsia="ko-KR" w:bidi="ar-SA"/>
        </w:rPr>
        <w:instrText xml:space="preserve"> REF _Ref243816011 \r \h </w:instrText>
      </w:r>
      <w:r w:rsidR="00BD151C">
        <w:rPr>
          <w:lang w:eastAsia="ko-KR" w:bidi="ar-SA"/>
        </w:rPr>
      </w:r>
      <w:r w:rsidR="00BD151C">
        <w:rPr>
          <w:lang w:eastAsia="ko-KR" w:bidi="ar-SA"/>
        </w:rPr>
        <w:fldChar w:fldCharType="separate"/>
      </w:r>
      <w:r w:rsidR="003E4210">
        <w:rPr>
          <w:lang w:eastAsia="ko-KR" w:bidi="ar-SA"/>
        </w:rPr>
        <w:t>11.1.4</w:t>
      </w:r>
      <w:r w:rsidR="00BD151C">
        <w:rPr>
          <w:lang w:eastAsia="ko-KR" w:bidi="ar-SA"/>
        </w:rPr>
        <w:fldChar w:fldCharType="end"/>
      </w:r>
      <w:r w:rsidRPr="009448FC">
        <w:t>.</w:t>
      </w:r>
    </w:p>
    <w:p w:rsidR="00444738" w:rsidRPr="009448FC" w:rsidRDefault="00444738" w:rsidP="00444738"/>
    <w:p w:rsidR="00444738" w:rsidRPr="009448FC" w:rsidRDefault="00444738" w:rsidP="00444738">
      <w:pPr>
        <w:rPr>
          <w:i/>
        </w:rPr>
      </w:pPr>
      <w:r w:rsidRPr="009448FC">
        <w:rPr>
          <w:i/>
        </w:rPr>
        <w:t>.11 Editor Note: Insert the following paragraphs at the end of the subclause</w:t>
      </w:r>
    </w:p>
    <w:p w:rsidR="00444738" w:rsidRPr="009448FC" w:rsidRDefault="00444738" w:rsidP="00444738"/>
    <w:p w:rsidR="00444738" w:rsidRPr="00066F65" w:rsidRDefault="00444738" w:rsidP="00444738">
      <w:pPr>
        <w:jc w:val="both"/>
        <w:rPr>
          <w:u w:val="single"/>
          <w:lang w:eastAsia="ko-KR" w:bidi="ar-SA"/>
        </w:rPr>
      </w:pPr>
      <w:r w:rsidRPr="00066F65">
        <w:rPr>
          <w:u w:val="single"/>
          <w:lang w:eastAsia="ko-KR" w:bidi="ar-SA"/>
        </w:rPr>
        <w:t xml:space="preserve">STAs in an IBSS operating in the UB shall use other information in any received mmWave Beacon and Announce frames for which the BSS Type subfield is set to 1, the content of the SSID element is </w:t>
      </w:r>
      <w:r w:rsidRPr="00066F65">
        <w:rPr>
          <w:u w:val="single"/>
          <w:lang w:eastAsia="ko-KR" w:bidi="ar-SA"/>
        </w:rPr>
        <w:lastRenderedPageBreak/>
        <w:t xml:space="preserve">equal to the SSID of the IBSS, and the TSF value is later than the receiving STA’s TSF timer. Use of this information is specified in </w:t>
      </w:r>
      <w:fldSimple w:instr=" REF _Ref243816011 \r \h  \* MERGEFORMAT ">
        <w:r w:rsidR="003E4210" w:rsidRPr="003E4210">
          <w:rPr>
            <w:u w:val="single"/>
            <w:lang w:eastAsia="ko-KR" w:bidi="ar-SA"/>
          </w:rPr>
          <w:t>11.1.4</w:t>
        </w:r>
      </w:fldSimple>
      <w:r w:rsidRPr="00066F65">
        <w:rPr>
          <w:u w:val="single"/>
          <w:lang w:eastAsia="ko-KR" w:bidi="ar-SA"/>
        </w:rPr>
        <w:t>.</w:t>
      </w:r>
    </w:p>
    <w:p w:rsidR="00444738" w:rsidRPr="00066F65" w:rsidRDefault="00444738" w:rsidP="00444738">
      <w:pPr>
        <w:rPr>
          <w:u w:val="single"/>
          <w:lang w:eastAsia="ko-KR" w:bidi="ar-SA"/>
        </w:rPr>
      </w:pPr>
    </w:p>
    <w:p w:rsidR="00444738" w:rsidRPr="00066F65" w:rsidRDefault="00444738" w:rsidP="00444738">
      <w:pPr>
        <w:rPr>
          <w:u w:val="single"/>
          <w:lang w:eastAsia="ko-KR" w:bidi="ar-SA"/>
        </w:rPr>
      </w:pPr>
      <w:r w:rsidRPr="00066F65">
        <w:rPr>
          <w:u w:val="single"/>
          <w:lang w:eastAsia="ko-KR" w:bidi="ar-SA"/>
        </w:rPr>
        <w:t>A STA shall ignore the BSS Type field contained in a received mmWave Beacon frame if the discovery mode field within the mmWave Beacon is set to one.</w:t>
      </w:r>
    </w:p>
    <w:p w:rsidR="00444738" w:rsidRPr="00066F65" w:rsidRDefault="00444738" w:rsidP="00444738">
      <w:pPr>
        <w:rPr>
          <w:i/>
          <w:iCs/>
          <w:u w:val="single"/>
          <w:lang w:eastAsia="ko-KR" w:bidi="ar-SA"/>
        </w:rPr>
      </w:pPr>
    </w:p>
    <w:p w:rsidR="00444738" w:rsidRPr="00066F65" w:rsidRDefault="00444738" w:rsidP="0095472D">
      <w:pPr>
        <w:rPr>
          <w:u w:val="single"/>
          <w:lang w:eastAsia="ko-KR" w:bidi="ar-SA"/>
        </w:rPr>
      </w:pPr>
      <w:r w:rsidRPr="00066F65">
        <w:rPr>
          <w:u w:val="single"/>
          <w:lang w:eastAsia="ko-KR" w:bidi="ar-SA"/>
        </w:rPr>
        <w:t xml:space="preserve">An active STA operating in a BSS shall be ready to receive a mmWave Beacon or a frame from the PCP/AP for a period of time of at least </w:t>
      </w:r>
      <w:r w:rsidR="00004CB5" w:rsidRPr="00066F65">
        <w:rPr>
          <w:u w:val="single"/>
          <w:lang w:eastAsia="ko-KR" w:bidi="ar-SA"/>
        </w:rPr>
        <w:t>dot11MinBIHeaderDuration</w:t>
      </w:r>
      <w:r w:rsidR="00281486" w:rsidRPr="00066F65">
        <w:rPr>
          <w:u w:val="single"/>
          <w:lang w:eastAsia="ko-KR" w:bidi="ar-SA"/>
        </w:rPr>
        <w:t xml:space="preserve"> </w:t>
      </w:r>
      <w:r w:rsidRPr="00066F65">
        <w:rPr>
          <w:u w:val="single"/>
          <w:lang w:eastAsia="ko-KR" w:bidi="ar-SA"/>
        </w:rPr>
        <w:t xml:space="preserve">following the start of a BI or expected AT start time as specified in the last Next mmWave AT </w:t>
      </w:r>
      <w:r w:rsidR="00877796" w:rsidRPr="00066F65">
        <w:rPr>
          <w:u w:val="single"/>
          <w:lang w:eastAsia="ko-KR" w:bidi="ar-SA"/>
        </w:rPr>
        <w:t>element</w:t>
      </w:r>
      <w:r w:rsidRPr="00066F65">
        <w:rPr>
          <w:u w:val="single"/>
          <w:lang w:eastAsia="ko-KR" w:bidi="ar-SA"/>
        </w:rPr>
        <w:t xml:space="preserve"> (</w:t>
      </w:r>
      <w:fldSimple w:instr=" REF _Ref244235797 \r \h  \* MERGEFORMAT ">
        <w:r w:rsidR="003E4210" w:rsidRPr="003E4210">
          <w:rPr>
            <w:u w:val="single"/>
            <w:lang w:eastAsia="ko-KR" w:bidi="ar-SA"/>
          </w:rPr>
          <w:t>7.3.2.98</w:t>
        </w:r>
      </w:fldSimple>
      <w:r w:rsidRPr="00066F65">
        <w:rPr>
          <w:u w:val="single"/>
          <w:lang w:eastAsia="ko-KR" w:bidi="ar-SA"/>
        </w:rPr>
        <w:t xml:space="preserve">) transmitted by the PCP/AP. </w:t>
      </w:r>
    </w:p>
    <w:p w:rsidR="00444738" w:rsidRPr="00066F65" w:rsidRDefault="00444738" w:rsidP="00444738">
      <w:pPr>
        <w:rPr>
          <w:u w:val="single"/>
          <w:lang w:eastAsia="ko-KR" w:bidi="ar-SA"/>
        </w:rPr>
      </w:pPr>
    </w:p>
    <w:p w:rsidR="00444738" w:rsidRPr="00066F65" w:rsidRDefault="00444738" w:rsidP="00444738">
      <w:pPr>
        <w:rPr>
          <w:u w:val="single"/>
          <w:lang w:eastAsia="ko-KR" w:bidi="ar-SA"/>
        </w:rPr>
      </w:pPr>
      <w:r w:rsidRPr="00066F65">
        <w:rPr>
          <w:u w:val="single"/>
          <w:lang w:eastAsia="ko-KR" w:bidi="ar-SA"/>
        </w:rPr>
        <w:t>In UB, an active STA that is receive beamforming trained with the AP/PCP should direct its receive antenna pattern toward the AP/PCP during this time.</w:t>
      </w:r>
    </w:p>
    <w:p w:rsidR="00EC6B7B" w:rsidRPr="00066F65" w:rsidRDefault="00EC6B7B" w:rsidP="00444738">
      <w:pPr>
        <w:rPr>
          <w:u w:val="single"/>
          <w:lang w:eastAsia="ko-KR" w:bidi="ar-SA"/>
        </w:rPr>
      </w:pPr>
    </w:p>
    <w:p w:rsidR="00EC6B7B" w:rsidRPr="00066F65" w:rsidRDefault="00EC6B7B" w:rsidP="00444738">
      <w:pPr>
        <w:rPr>
          <w:u w:val="single"/>
          <w:lang w:eastAsia="ko-KR" w:bidi="ar-SA"/>
        </w:rPr>
      </w:pPr>
      <w:r w:rsidRPr="00066F65">
        <w:rPr>
          <w:rFonts w:ascii="TimesNewRoman" w:eastAsia="MS Mincho" w:hAnsi="TimesNewRoman" w:cs="TimesNewRoman"/>
          <w:u w:val="single"/>
          <w:lang w:eastAsia="ja-JP" w:bidi="ar-SA"/>
        </w:rPr>
        <w:t>A non-PCP STA that receives a mmWave Beacon frame from a PCP with the PCP AssocReady field set to 0 shall not transmit an Association Request frame addressed to the PCP that transmitted the received mmWave Beacon. A non-PCP STA that receives a mmWave Beacon frame from a PCP with the PCP AssocReady field set to 1 may transmit an Association Request frame addressed to the PCP that transmitted the received mmWave Beacon.</w:t>
      </w:r>
    </w:p>
    <w:p w:rsidR="00444738" w:rsidRPr="009448FC" w:rsidRDefault="00444738" w:rsidP="00444738">
      <w:pPr>
        <w:rPr>
          <w:b/>
          <w:i/>
        </w:rPr>
      </w:pPr>
    </w:p>
    <w:p w:rsidR="008E23E0" w:rsidRPr="009448FC" w:rsidRDefault="008E23E0" w:rsidP="008E23E0">
      <w:pPr>
        <w:pStyle w:val="Heading4"/>
      </w:pPr>
      <w:bookmarkStart w:id="2253" w:name="_Ref243797626"/>
      <w:bookmarkStart w:id="2254" w:name="_Toc259717192"/>
      <w:r w:rsidRPr="009448FC">
        <w:t>11.1.2.3a Multiple BSSID procedures</w:t>
      </w:r>
      <w:bookmarkEnd w:id="2253"/>
      <w:bookmarkEnd w:id="2254"/>
    </w:p>
    <w:p w:rsidR="008E23E0" w:rsidRPr="009448FC" w:rsidRDefault="008E23E0" w:rsidP="008E23E0">
      <w:pPr>
        <w:jc w:val="both"/>
        <w:outlineLvl w:val="0"/>
        <w:rPr>
          <w:i/>
        </w:rPr>
      </w:pPr>
      <w:r w:rsidRPr="009448FC">
        <w:rPr>
          <w:i/>
        </w:rPr>
        <w:t>.11 Editor Instruction: throughout this subclause in 802.11-2007+amendments, change all occurrences of “</w:t>
      </w:r>
      <w:r w:rsidRPr="009448FC">
        <w:t>non-AP</w:t>
      </w:r>
      <w:r w:rsidRPr="009448FC">
        <w:rPr>
          <w:i/>
        </w:rPr>
        <w:t>” to “</w:t>
      </w:r>
      <w:r w:rsidRPr="009448FC">
        <w:t>non-AP/non-PCP</w:t>
      </w:r>
      <w:r w:rsidRPr="009448FC">
        <w:rPr>
          <w:i/>
        </w:rPr>
        <w:t>”</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throughout this subclause in 802.11-2007+amendments, change all occurrences of “</w:t>
      </w:r>
      <w:r w:rsidRPr="009448FC">
        <w:t>AP</w:t>
      </w:r>
      <w:r w:rsidRPr="009448FC">
        <w:rPr>
          <w:i/>
        </w:rPr>
        <w:t>” to “</w:t>
      </w:r>
      <w:r w:rsidRPr="009448FC">
        <w:t>AP/</w:t>
      </w:r>
      <w:r w:rsidR="00B96FB9" w:rsidRPr="009448FC">
        <w:t>mSTA</w:t>
      </w:r>
      <w:r w:rsidRPr="009448FC">
        <w:rPr>
          <w:i/>
        </w:rPr>
        <w:t>”</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throughout this subclause in 802.11-2007+amendments, change all occurrences of “</w:t>
      </w:r>
      <w:r w:rsidRPr="009448FC">
        <w:t>Beacon</w:t>
      </w:r>
      <w:r w:rsidRPr="009448FC">
        <w:rPr>
          <w:i/>
        </w:rPr>
        <w:t>” to “</w:t>
      </w:r>
      <w:r w:rsidRPr="009448FC">
        <w:t>Beacon/mmWave Beacon</w:t>
      </w:r>
      <w:r w:rsidRPr="009448FC">
        <w:rPr>
          <w:i/>
        </w:rPr>
        <w:t>”</w:t>
      </w:r>
    </w:p>
    <w:p w:rsidR="00444738" w:rsidRPr="009448FC" w:rsidRDefault="00444738" w:rsidP="003701DB">
      <w:pPr>
        <w:pStyle w:val="Heading4"/>
        <w:numPr>
          <w:ilvl w:val="3"/>
          <w:numId w:val="32"/>
        </w:numPr>
      </w:pPr>
      <w:bookmarkStart w:id="2255" w:name="_Toc243399820"/>
      <w:bookmarkStart w:id="2256" w:name="_Toc243455814"/>
      <w:bookmarkStart w:id="2257" w:name="_Toc243461681"/>
      <w:bookmarkStart w:id="2258" w:name="_Toc243471812"/>
      <w:bookmarkStart w:id="2259" w:name="_Toc243795083"/>
      <w:bookmarkStart w:id="2260" w:name="_Ref243984671"/>
      <w:bookmarkStart w:id="2261" w:name="_Toc259717193"/>
      <w:bookmarkEnd w:id="2255"/>
      <w:bookmarkEnd w:id="2256"/>
      <w:bookmarkEnd w:id="2257"/>
      <w:bookmarkEnd w:id="2258"/>
      <w:bookmarkEnd w:id="2259"/>
      <w:r w:rsidRPr="009448FC">
        <w:t>TSF timer accuracy</w:t>
      </w:r>
      <w:bookmarkEnd w:id="2260"/>
      <w:bookmarkEnd w:id="2261"/>
    </w:p>
    <w:p w:rsidR="00444738" w:rsidRPr="009448FC" w:rsidRDefault="00444738" w:rsidP="00444738"/>
    <w:p w:rsidR="00444738" w:rsidRPr="009448FC" w:rsidRDefault="00444738" w:rsidP="00444738">
      <w:pPr>
        <w:rPr>
          <w:i/>
        </w:rPr>
      </w:pPr>
      <w:r w:rsidRPr="009448FC">
        <w:rPr>
          <w:i/>
        </w:rPr>
        <w:t>.11 Editor Note: Please Modify the following paragraph as follows</w:t>
      </w:r>
    </w:p>
    <w:p w:rsidR="00444738" w:rsidRPr="009448FC" w:rsidRDefault="00444738" w:rsidP="00444738"/>
    <w:p w:rsidR="00FE33BF" w:rsidRPr="009448FC" w:rsidRDefault="00444738" w:rsidP="00444738">
      <w:pPr>
        <w:jc w:val="both"/>
      </w:pPr>
      <w:r w:rsidRPr="009448FC">
        <w:t xml:space="preserve">Upon receiving a Beacon </w:t>
      </w:r>
      <w:r w:rsidRPr="00066F65">
        <w:rPr>
          <w:u w:val="single"/>
          <w:lang w:eastAsia="ko-KR" w:bidi="ar-SA"/>
        </w:rPr>
        <w:t>or a mmWave Beacon or an Announce</w:t>
      </w:r>
      <w:r w:rsidRPr="009448FC">
        <w:t xml:space="preserve"> frame with a valid FCS and BSSID or SSID, as described in </w:t>
      </w:r>
      <w:r w:rsidR="00BD151C" w:rsidRPr="009448FC">
        <w:fldChar w:fldCharType="begin"/>
      </w:r>
      <w:r w:rsidR="001C165E" w:rsidRPr="009448FC">
        <w:instrText xml:space="preserve"> REF _Ref243816096 \r \h </w:instrText>
      </w:r>
      <w:r w:rsidR="00BD151C" w:rsidRPr="009448FC">
        <w:fldChar w:fldCharType="separate"/>
      </w:r>
      <w:r w:rsidR="003E4210">
        <w:t>11.1.2.3</w:t>
      </w:r>
      <w:r w:rsidR="00BD151C" w:rsidRPr="009448FC">
        <w:fldChar w:fldCharType="end"/>
      </w:r>
      <w:r w:rsidRPr="009448FC">
        <w:t>, a STA shall update its TSF timer accord</w:t>
      </w:r>
      <w:r w:rsidR="00FE33BF" w:rsidRPr="009448FC">
        <w:t>ing to the following algorithm:</w:t>
      </w:r>
    </w:p>
    <w:p w:rsidR="00176D8F" w:rsidRPr="009448FC" w:rsidRDefault="00FE33BF" w:rsidP="003701DB">
      <w:pPr>
        <w:numPr>
          <w:ilvl w:val="0"/>
          <w:numId w:val="167"/>
        </w:numPr>
      </w:pPr>
      <w:r w:rsidRPr="00066F65">
        <w:rPr>
          <w:u w:val="single"/>
          <w:lang w:eastAsia="ko-KR" w:bidi="ar-SA"/>
        </w:rPr>
        <w:t xml:space="preserve">When operating in the LB or the HB, </w:t>
      </w:r>
      <w:r w:rsidR="00444738" w:rsidRPr="009448FC">
        <w:t>The received timestamp value shall be adjusted by adding an amount equal to the receiving STA’s delay through its local PHY components plus the time since the first bit of the timestamp was rec</w:t>
      </w:r>
      <w:r w:rsidR="00176D8F" w:rsidRPr="009448FC">
        <w:t>eived at the MAC/PHY interface.</w:t>
      </w:r>
    </w:p>
    <w:p w:rsidR="00176D8F" w:rsidRPr="00066F65" w:rsidRDefault="00176D8F" w:rsidP="003701DB">
      <w:pPr>
        <w:numPr>
          <w:ilvl w:val="0"/>
          <w:numId w:val="167"/>
        </w:numPr>
        <w:rPr>
          <w:u w:val="single"/>
          <w:lang w:eastAsia="ko-KR" w:bidi="ar-SA"/>
        </w:rPr>
      </w:pPr>
      <w:r w:rsidRPr="00066F65">
        <w:rPr>
          <w:u w:val="single"/>
          <w:lang w:eastAsia="ko-KR" w:bidi="ar-SA"/>
        </w:rPr>
        <w:t xml:space="preserve">When operating in the UB, the received timestamp value shall be adjusted by adding an amount equal to the receiving STA’s delay through its local PHY components plus the time since the </w:t>
      </w:r>
      <w:r w:rsidR="00756873">
        <w:rPr>
          <w:u w:val="single"/>
          <w:lang w:eastAsia="ko-KR" w:bidi="ar-SA"/>
        </w:rPr>
        <w:t>last</w:t>
      </w:r>
      <w:r w:rsidR="00756873" w:rsidRPr="00066F65">
        <w:rPr>
          <w:u w:val="single"/>
          <w:lang w:eastAsia="ko-KR" w:bidi="ar-SA"/>
        </w:rPr>
        <w:t xml:space="preserve"> </w:t>
      </w:r>
      <w:r w:rsidRPr="00066F65">
        <w:rPr>
          <w:u w:val="single"/>
          <w:lang w:eastAsia="ko-KR" w:bidi="ar-SA"/>
        </w:rPr>
        <w:t xml:space="preserve">data symbol of the PLCP header was received as indicated by </w:t>
      </w:r>
      <w:r w:rsidR="00756873">
        <w:rPr>
          <w:u w:val="single"/>
          <w:lang w:eastAsia="ko-KR" w:bidi="ar-SA"/>
        </w:rPr>
        <w:t>PHY_RXSTART</w:t>
      </w:r>
      <w:r w:rsidRPr="00066F65">
        <w:rPr>
          <w:u w:val="single"/>
          <w:lang w:eastAsia="ko-KR" w:bidi="ar-SA"/>
        </w:rPr>
        <w:t>.ind.</w:t>
      </w:r>
      <w:r w:rsidR="00BF72EC">
        <w:rPr>
          <w:u w:val="single"/>
          <w:lang w:eastAsia="ko-KR" w:bidi="ar-SA"/>
        </w:rPr>
        <w:t xml:space="preserve"> </w:t>
      </w:r>
    </w:p>
    <w:p w:rsidR="00176D8F" w:rsidRPr="009448FC" w:rsidRDefault="00176D8F" w:rsidP="00176D8F">
      <w:pPr>
        <w:ind w:left="360"/>
        <w:jc w:val="both"/>
      </w:pPr>
    </w:p>
    <w:p w:rsidR="00444738" w:rsidRPr="009448FC" w:rsidRDefault="00444738" w:rsidP="00176D8F">
      <w:pPr>
        <w:ind w:left="360"/>
        <w:jc w:val="both"/>
      </w:pPr>
      <w:r w:rsidRPr="009448FC">
        <w:t xml:space="preserve">In the case of an infrastructure BSS </w:t>
      </w:r>
      <w:r w:rsidRPr="00066F65">
        <w:rPr>
          <w:u w:val="single"/>
          <w:lang w:eastAsia="ko-KR" w:bidi="ar-SA"/>
        </w:rPr>
        <w:t>or a PBSS</w:t>
      </w:r>
      <w:r w:rsidRPr="009448FC">
        <w:t xml:space="preserve">, the STA’s TSF timer shall then be set to the adjusted value of the timestamp. In the case of an IBSS, the STA’s TSF timer shall be set to the </w:t>
      </w:r>
      <w:r w:rsidRPr="009448FC">
        <w:lastRenderedPageBreak/>
        <w:t>adjusted value of the received timestamp, if the adjusted value of the timestamp is later than the value of the STA’s TSF timer. The accuracy of the TSF timer shall be no worse than ±0.01%.</w:t>
      </w:r>
    </w:p>
    <w:p w:rsidR="00444738" w:rsidRPr="009448FC" w:rsidRDefault="00444738" w:rsidP="00444738">
      <w:pPr>
        <w:jc w:val="both"/>
        <w:rPr>
          <w:b/>
          <w:i/>
        </w:rPr>
      </w:pPr>
    </w:p>
    <w:p w:rsidR="008E23E0" w:rsidRPr="009448FC" w:rsidRDefault="008E23E0" w:rsidP="003701DB">
      <w:pPr>
        <w:pStyle w:val="Heading3"/>
        <w:numPr>
          <w:ilvl w:val="2"/>
          <w:numId w:val="32"/>
        </w:numPr>
      </w:pPr>
      <w:bookmarkStart w:id="2262" w:name="_Toc259717194"/>
      <w:r w:rsidRPr="009448FC">
        <w:t>Acquiring synchronization, scanning</w:t>
      </w:r>
      <w:bookmarkEnd w:id="2262"/>
    </w:p>
    <w:p w:rsidR="008E23E0" w:rsidRPr="009448FC" w:rsidRDefault="008E23E0" w:rsidP="00444738">
      <w:pPr>
        <w:jc w:val="both"/>
      </w:pPr>
    </w:p>
    <w:p w:rsidR="008E23E0" w:rsidRPr="009448FC" w:rsidRDefault="008E23E0" w:rsidP="008E23E0">
      <w:pPr>
        <w:rPr>
          <w:i/>
        </w:rPr>
      </w:pPr>
      <w:r w:rsidRPr="009448FC">
        <w:rPr>
          <w:i/>
        </w:rPr>
        <w:t>.11 Editor Note: starting from the 3</w:t>
      </w:r>
      <w:r w:rsidRPr="009448FC">
        <w:rPr>
          <w:i/>
          <w:vertAlign w:val="superscript"/>
        </w:rPr>
        <w:t>rd</w:t>
      </w:r>
      <w:r w:rsidRPr="009448FC">
        <w:rPr>
          <w:i/>
        </w:rPr>
        <w:t xml:space="preserve"> paragraph, change this subclause as follows:</w:t>
      </w:r>
    </w:p>
    <w:p w:rsidR="008E23E0" w:rsidRPr="009448FC" w:rsidRDefault="008E23E0" w:rsidP="008E23E0">
      <w:pPr>
        <w:autoSpaceDE w:val="0"/>
        <w:autoSpaceDN w:val="0"/>
        <w:adjustRightInd w:val="0"/>
        <w:jc w:val="both"/>
        <w:rPr>
          <w:rFonts w:ascii="TimesNewRoman" w:hAnsi="TimesNewRoman"/>
        </w:rPr>
      </w:pPr>
    </w:p>
    <w:p w:rsidR="008E23E0" w:rsidRPr="009448FC" w:rsidRDefault="008E23E0" w:rsidP="008E23E0">
      <w:r w:rsidRPr="009448FC">
        <w:t xml:space="preserve">Upon receipt of the MLME-SCAN.request primitive, a STA shall perform scanning. The SSID parameter indicates the SSID for which to scan. To become a member of a particular ESS using passive scanning, a STA shall scan for Beacon </w:t>
      </w:r>
      <w:r w:rsidRPr="00066F65">
        <w:rPr>
          <w:u w:val="single"/>
        </w:rPr>
        <w:t>and mmWave Beacon</w:t>
      </w:r>
      <w:r w:rsidRPr="009448FC">
        <w:t xml:space="preserve"> frames containing that ESS’s SSID, returning all Beacon </w:t>
      </w:r>
      <w:r w:rsidRPr="00066F65">
        <w:rPr>
          <w:u w:val="single"/>
        </w:rPr>
        <w:t>and mmWave Beacon</w:t>
      </w:r>
      <w:r w:rsidRPr="009448FC">
        <w:t xml:space="preserve"> frames matching the desired SSID in the BSSDescriptionSet parameter of the corresponding MLME-SCAN.confirm primitive with the appropriate bits in the Capabilities Information field </w:t>
      </w:r>
      <w:r w:rsidRPr="00066F65">
        <w:rPr>
          <w:u w:val="single"/>
        </w:rPr>
        <w:t>and mmWave Capabilities field</w:t>
      </w:r>
      <w:r w:rsidRPr="009448FC">
        <w:t xml:space="preserve"> indicating whether</w:t>
      </w:r>
      <w:r w:rsidRPr="00066F65">
        <w:rPr>
          <w:u w:val="single"/>
        </w:rPr>
        <w:t>, respectively,</w:t>
      </w:r>
      <w:r w:rsidRPr="009448FC">
        <w:t xml:space="preserve"> the Beacon frame </w:t>
      </w:r>
      <w:r w:rsidRPr="00066F65">
        <w:rPr>
          <w:u w:val="single"/>
        </w:rPr>
        <w:t>and the mmWave Beacon frame</w:t>
      </w:r>
      <w:r w:rsidRPr="009448FC">
        <w:t xml:space="preserve"> came from an infrastructure BSS or IBSS </w:t>
      </w:r>
      <w:r w:rsidRPr="00066F65">
        <w:rPr>
          <w:u w:val="single"/>
        </w:rPr>
        <w:t>or PBSS</w:t>
      </w:r>
      <w:r w:rsidRPr="009448FC">
        <w:t>. To actively scan, the STA shall transmit Probe request frames containing the desired SSID</w:t>
      </w:r>
      <w:r w:rsidRPr="00066F65">
        <w:rPr>
          <w:u w:val="single"/>
        </w:rPr>
        <w:t>, but may have to transmit mmWave Beacon frames or do beamforming prior to the transmission of Probe request frames if the STA operates in the UB</w:t>
      </w:r>
      <w:r w:rsidRPr="009448FC">
        <w:t>. Upon completion of scanning, an MLME-SCAN.confirm is issued by the MLME indicating all of the BSS information received.</w:t>
      </w:r>
    </w:p>
    <w:p w:rsidR="008E23E0" w:rsidRPr="009448FC" w:rsidRDefault="008E23E0" w:rsidP="008E23E0">
      <w:pPr>
        <w:autoSpaceDE w:val="0"/>
        <w:autoSpaceDN w:val="0"/>
        <w:adjustRightInd w:val="0"/>
        <w:jc w:val="both"/>
        <w:rPr>
          <w:rFonts w:ascii="TimesNewRoman" w:hAnsi="TimesNewRoman"/>
        </w:rPr>
      </w:pPr>
    </w:p>
    <w:p w:rsidR="008E23E0" w:rsidRPr="009448FC" w:rsidRDefault="008E23E0" w:rsidP="008E23E0">
      <w:r w:rsidRPr="009448FC">
        <w:t xml:space="preserve">Upon receipt of an MLME-SCAN.request with the SSID parameter set to the wildcard SSID, the STA shall passively scan for any Beacon </w:t>
      </w:r>
      <w:r w:rsidRPr="00066F65">
        <w:rPr>
          <w:u w:val="single"/>
        </w:rPr>
        <w:t>and mmWave Beacon</w:t>
      </w:r>
      <w:r w:rsidRPr="009448FC">
        <w:t xml:space="preserve"> frames, or actively transmit Probe request </w:t>
      </w:r>
      <w:r w:rsidRPr="00066F65">
        <w:rPr>
          <w:u w:val="single"/>
        </w:rPr>
        <w:t>or mmWave Beacon</w:t>
      </w:r>
      <w:r w:rsidRPr="009448FC">
        <w:t xml:space="preserve"> frames containing the wildcard SSID, as appropriate depending upon the value of ScanMode. Upon completion of scanning, an MLMESCAN.confirm is issued by the MLME indicating all of the BSS information received.</w:t>
      </w:r>
    </w:p>
    <w:p w:rsidR="008E23E0" w:rsidRPr="009448FC" w:rsidRDefault="008E23E0" w:rsidP="008E23E0">
      <w:pPr>
        <w:autoSpaceDE w:val="0"/>
        <w:autoSpaceDN w:val="0"/>
        <w:adjustRightInd w:val="0"/>
        <w:jc w:val="both"/>
        <w:rPr>
          <w:rFonts w:ascii="TimesNewRoman" w:hAnsi="TimesNewRoman"/>
        </w:rPr>
      </w:pPr>
    </w:p>
    <w:p w:rsidR="008E23E0" w:rsidRPr="009448FC" w:rsidRDefault="008E23E0" w:rsidP="008E23E0">
      <w:r w:rsidRPr="009448FC">
        <w:t xml:space="preserve">When a STA starts a BSS, that STA shall determine the BSSID of the BSS. If the BSSType indicates an infrastructure BSS, then the STA shall start an infrastructure BSS and the BSSID shall be equal to the STA’s dot11StationID. </w:t>
      </w:r>
      <w:r w:rsidRPr="00066F65">
        <w:rPr>
          <w:u w:val="single"/>
        </w:rPr>
        <w:t>If the BSSType indicates a PBSS, then the STA shall start a PBSS and the BSSID shall be equal to the STA’s dot11StationID.</w:t>
      </w:r>
      <w:r w:rsidRPr="009448FC">
        <w:t xml:space="preserve"> </w:t>
      </w:r>
      <w:r w:rsidRPr="00066F65">
        <w:rPr>
          <w:u w:val="single"/>
        </w:rPr>
        <w:t>For both the infrastructure BSS and the PBSS,</w:t>
      </w:r>
      <w:r w:rsidRPr="009448FC">
        <w:t xml:space="preserve"> The value of the BSSID shall remain unchanged, even if the value of dot11StationID is changed after the completion of the MLME-START.request. If the BSSType indicates an IBSS, the STA shall start an IBSS, and the BSSID shall be an individual locally administered IEEE MAC address as defined in 5.2 </w:t>
      </w:r>
      <w:r w:rsidRPr="00894189">
        <w:rPr>
          <w:strike/>
        </w:rPr>
        <w:t>of IEEE Std 802-1990</w:t>
      </w:r>
      <w:r w:rsidRPr="009448FC">
        <w:t>. The remaining 46 bits of that MAC address shall be a number selected in a manner that minimizes the probability of STAs generating the same number, even when those STAs are subjected to the same initial conditions. The value SSID parameter shall be used as the SSID of the new BSS. It is important that designers recognize the need for statistical independence among the random number streams among STAs.</w:t>
      </w:r>
    </w:p>
    <w:p w:rsidR="008E23E0" w:rsidRPr="009448FC" w:rsidRDefault="008E23E0" w:rsidP="00444738">
      <w:pPr>
        <w:jc w:val="both"/>
      </w:pPr>
    </w:p>
    <w:p w:rsidR="00444738" w:rsidRPr="009448FC" w:rsidRDefault="00444738" w:rsidP="003701DB">
      <w:pPr>
        <w:pStyle w:val="Heading4"/>
        <w:numPr>
          <w:ilvl w:val="3"/>
          <w:numId w:val="85"/>
        </w:numPr>
      </w:pPr>
      <w:bookmarkStart w:id="2263" w:name="_Toc259717195"/>
      <w:r w:rsidRPr="009448FC">
        <w:t>Passive scanning</w:t>
      </w:r>
      <w:bookmarkEnd w:id="2263"/>
    </w:p>
    <w:p w:rsidR="00444738" w:rsidRPr="009448FC" w:rsidRDefault="00444738" w:rsidP="00444738">
      <w:pPr>
        <w:jc w:val="both"/>
        <w:rPr>
          <w:rFonts w:ascii="Arial" w:hAnsi="Arial"/>
          <w:b/>
        </w:rPr>
      </w:pPr>
    </w:p>
    <w:p w:rsidR="00444738" w:rsidRPr="009448FC" w:rsidRDefault="001A12BE" w:rsidP="001A12BE">
      <w:pPr>
        <w:jc w:val="both"/>
        <w:rPr>
          <w:i/>
        </w:rPr>
      </w:pPr>
      <w:r w:rsidRPr="009448FC">
        <w:rPr>
          <w:i/>
        </w:rPr>
        <w:t xml:space="preserve">.11 </w:t>
      </w:r>
      <w:r w:rsidR="00444738" w:rsidRPr="009448FC">
        <w:rPr>
          <w:i/>
        </w:rPr>
        <w:t xml:space="preserve">Editor Note: </w:t>
      </w:r>
      <w:r w:rsidRPr="009448FC">
        <w:rPr>
          <w:i/>
        </w:rPr>
        <w:t xml:space="preserve">Add the following </w:t>
      </w:r>
      <w:r w:rsidR="00707E2E" w:rsidRPr="009448FC">
        <w:rPr>
          <w:i/>
        </w:rPr>
        <w:t>subclause:</w:t>
      </w:r>
    </w:p>
    <w:p w:rsidR="00444738" w:rsidRPr="009448FC" w:rsidRDefault="00444738" w:rsidP="00444738">
      <w:pPr>
        <w:jc w:val="both"/>
      </w:pPr>
    </w:p>
    <w:p w:rsidR="00A278A0" w:rsidRPr="009448FC" w:rsidRDefault="00444738" w:rsidP="003701DB">
      <w:pPr>
        <w:pStyle w:val="Heading5"/>
        <w:numPr>
          <w:ilvl w:val="4"/>
          <w:numId w:val="86"/>
        </w:numPr>
      </w:pPr>
      <w:bookmarkStart w:id="2264" w:name="_Toc259717196"/>
      <w:r w:rsidRPr="009448FC">
        <w:t xml:space="preserve">Passive scanning for </w:t>
      </w:r>
      <w:r w:rsidR="00B96FB9" w:rsidRPr="009448FC">
        <w:t>mSTA</w:t>
      </w:r>
      <w:r w:rsidRPr="009448FC">
        <w:t>s</w:t>
      </w:r>
      <w:bookmarkEnd w:id="2264"/>
    </w:p>
    <w:p w:rsidR="00A278A0" w:rsidRPr="009448FC" w:rsidRDefault="00A278A0" w:rsidP="00A278A0">
      <w:r w:rsidRPr="009448FC">
        <w:t>Upon receipt of the MLME-SCAN.request primitive with the ScanType parameter set to Passive, a</w:t>
      </w:r>
      <w:r w:rsidR="002F0A96" w:rsidRPr="009448FC">
        <w:t>n</w:t>
      </w:r>
      <w:r w:rsidRPr="009448FC">
        <w:t xml:space="preserve"> </w:t>
      </w:r>
      <w:r w:rsidR="00B96FB9" w:rsidRPr="009448FC">
        <w:t>mSTA</w:t>
      </w:r>
      <w:r w:rsidRPr="009448FC">
        <w:t xml:space="preserve"> shall passively scan for transmissions on each channel supported by the </w:t>
      </w:r>
      <w:r w:rsidR="00B96FB9" w:rsidRPr="009448FC">
        <w:t>mSTA</w:t>
      </w:r>
      <w:r w:rsidRPr="009448FC">
        <w:t xml:space="preserve">. </w:t>
      </w:r>
    </w:p>
    <w:p w:rsidR="00A278A0" w:rsidRPr="009448FC" w:rsidRDefault="00A278A0" w:rsidP="00A278A0">
      <w:pPr>
        <w:widowControl w:val="0"/>
        <w:autoSpaceDE w:val="0"/>
        <w:autoSpaceDN w:val="0"/>
        <w:adjustRightInd w:val="0"/>
      </w:pPr>
    </w:p>
    <w:p w:rsidR="00A278A0" w:rsidRPr="009448FC" w:rsidRDefault="00A278A0" w:rsidP="00B46FB3">
      <w:pPr>
        <w:widowControl w:val="0"/>
        <w:autoSpaceDE w:val="0"/>
        <w:autoSpaceDN w:val="0"/>
        <w:adjustRightInd w:val="0"/>
      </w:pPr>
      <w:r w:rsidRPr="009448FC">
        <w:rPr>
          <w:rFonts w:eastAsia="TimesNewRoman"/>
        </w:rPr>
        <w:t xml:space="preserve">That is, </w:t>
      </w:r>
      <w:r w:rsidRPr="009448FC">
        <w:rPr>
          <w:rFonts w:hint="eastAsia"/>
        </w:rPr>
        <w:t xml:space="preserve">the </w:t>
      </w:r>
      <w:r w:rsidR="00B96FB9" w:rsidRPr="009448FC">
        <w:t>mSTA</w:t>
      </w:r>
      <w:r w:rsidRPr="009448FC">
        <w:rPr>
          <w:rFonts w:eastAsia="TimesNewRoman"/>
        </w:rPr>
        <w:t xml:space="preserve"> shall be in receive </w:t>
      </w:r>
      <w:r w:rsidR="00B46FB3" w:rsidRPr="009448FC">
        <w:rPr>
          <w:rFonts w:eastAsia="TimesNewRoman"/>
        </w:rPr>
        <w:t>state</w:t>
      </w:r>
      <w:r w:rsidRPr="009448FC">
        <w:rPr>
          <w:rFonts w:hint="eastAsia"/>
        </w:rPr>
        <w:t xml:space="preserve"> f</w:t>
      </w:r>
      <w:r w:rsidRPr="009448FC">
        <w:rPr>
          <w:rFonts w:eastAsia="TimesNewRoman"/>
        </w:rPr>
        <w:t xml:space="preserve">or a period of time in a channel no less than MinChannelScan </w:t>
      </w:r>
      <w:r w:rsidRPr="009448FC">
        <w:rPr>
          <w:rFonts w:hint="eastAsia"/>
        </w:rPr>
        <w:t>and return information on all</w:t>
      </w:r>
      <w:r w:rsidRPr="009448FC">
        <w:rPr>
          <w:rFonts w:eastAsia="TimesNewRoman"/>
        </w:rPr>
        <w:t xml:space="preserve"> mmWave Beacon frames </w:t>
      </w:r>
      <w:r w:rsidRPr="009448FC">
        <w:rPr>
          <w:rFonts w:hint="eastAsia"/>
        </w:rPr>
        <w:t>received matching</w:t>
      </w:r>
      <w:r w:rsidRPr="009448FC">
        <w:rPr>
          <w:rFonts w:eastAsia="TimesNewRoman"/>
        </w:rPr>
        <w:t xml:space="preserve"> a particular BSSID or SSID</w:t>
      </w:r>
      <w:r w:rsidR="00281486" w:rsidRPr="009448FC">
        <w:rPr>
          <w:rFonts w:eastAsia="TimesNewRoman"/>
        </w:rPr>
        <w:t xml:space="preserve"> </w:t>
      </w:r>
      <w:r w:rsidRPr="009448FC">
        <w:rPr>
          <w:rFonts w:hint="eastAsia"/>
        </w:rPr>
        <w:t>parameters specified in the</w:t>
      </w:r>
      <w:r w:rsidRPr="009448FC">
        <w:rPr>
          <w:rFonts w:eastAsia="TimesNewRoman"/>
        </w:rPr>
        <w:t xml:space="preserve"> MLME</w:t>
      </w:r>
      <w:r w:rsidRPr="009448FC">
        <w:rPr>
          <w:rFonts w:hint="eastAsia"/>
        </w:rPr>
        <w:t>-</w:t>
      </w:r>
      <w:r w:rsidRPr="009448FC">
        <w:rPr>
          <w:rFonts w:eastAsia="TimesNewRoman"/>
        </w:rPr>
        <w:t>SCAN.request</w:t>
      </w:r>
      <w:r w:rsidRPr="009448FC">
        <w:rPr>
          <w:rFonts w:hint="eastAsia"/>
        </w:rPr>
        <w:t xml:space="preserve">. </w:t>
      </w:r>
      <w:r w:rsidRPr="009448FC">
        <w:rPr>
          <w:rFonts w:eastAsia="TimesNewRoman"/>
        </w:rPr>
        <w:t xml:space="preserve">If </w:t>
      </w:r>
      <w:r w:rsidRPr="009448FC">
        <w:rPr>
          <w:rFonts w:hint="eastAsia"/>
        </w:rPr>
        <w:t xml:space="preserve">no </w:t>
      </w:r>
      <w:r w:rsidRPr="009448FC">
        <w:rPr>
          <w:rFonts w:eastAsia="TimesNewRoman"/>
        </w:rPr>
        <w:t xml:space="preserve">mmWave Beacon </w:t>
      </w:r>
      <w:r w:rsidRPr="009448FC">
        <w:rPr>
          <w:rFonts w:hint="eastAsia"/>
        </w:rPr>
        <w:t xml:space="preserve">scan parameters are </w:t>
      </w:r>
      <w:r w:rsidRPr="009448FC">
        <w:rPr>
          <w:rFonts w:eastAsia="TimesNewRoman"/>
        </w:rPr>
        <w:t>specified</w:t>
      </w:r>
      <w:r w:rsidRPr="009448FC">
        <w:rPr>
          <w:rFonts w:hint="eastAsia"/>
        </w:rPr>
        <w:t xml:space="preserve"> in the request</w:t>
      </w:r>
      <w:r w:rsidRPr="009448FC">
        <w:rPr>
          <w:rFonts w:eastAsia="TimesNewRoman"/>
        </w:rPr>
        <w:t xml:space="preserve">, </w:t>
      </w:r>
      <w:r w:rsidRPr="009448FC">
        <w:rPr>
          <w:rFonts w:hint="eastAsia"/>
        </w:rPr>
        <w:t xml:space="preserve">then </w:t>
      </w:r>
      <w:r w:rsidRPr="009448FC">
        <w:rPr>
          <w:rFonts w:eastAsia="TimesNewRoman"/>
        </w:rPr>
        <w:t xml:space="preserve">the </w:t>
      </w:r>
      <w:r w:rsidR="00B96FB9" w:rsidRPr="009448FC">
        <w:t>mSTA</w:t>
      </w:r>
      <w:r w:rsidRPr="009448FC">
        <w:rPr>
          <w:rFonts w:eastAsia="TimesNewRoman"/>
        </w:rPr>
        <w:t xml:space="preserve"> shall </w:t>
      </w:r>
      <w:r w:rsidRPr="009448FC">
        <w:rPr>
          <w:rFonts w:hint="eastAsia"/>
        </w:rPr>
        <w:t>return</w:t>
      </w:r>
      <w:r w:rsidRPr="009448FC">
        <w:rPr>
          <w:rFonts w:eastAsia="TimesNewRoman"/>
        </w:rPr>
        <w:t xml:space="preserve"> </w:t>
      </w:r>
      <w:r w:rsidRPr="009448FC">
        <w:rPr>
          <w:rFonts w:hint="eastAsia"/>
        </w:rPr>
        <w:t xml:space="preserve">information on </w:t>
      </w:r>
      <w:r w:rsidRPr="009448FC">
        <w:rPr>
          <w:rFonts w:eastAsia="TimesNewRoman"/>
        </w:rPr>
        <w:t>all received mmWave Beacon frames.</w:t>
      </w:r>
    </w:p>
    <w:p w:rsidR="00A278A0" w:rsidRPr="009448FC" w:rsidRDefault="00A278A0" w:rsidP="00A278A0">
      <w:pPr>
        <w:widowControl w:val="0"/>
        <w:autoSpaceDE w:val="0"/>
        <w:autoSpaceDN w:val="0"/>
        <w:adjustRightInd w:val="0"/>
        <w:rPr>
          <w:rFonts w:eastAsia="TimesNewRoman"/>
        </w:rPr>
      </w:pPr>
    </w:p>
    <w:p w:rsidR="00A278A0" w:rsidRPr="009448FC" w:rsidRDefault="00A278A0" w:rsidP="00071DC3">
      <w:pPr>
        <w:widowControl w:val="0"/>
        <w:autoSpaceDE w:val="0"/>
        <w:autoSpaceDN w:val="0"/>
        <w:adjustRightInd w:val="0"/>
      </w:pPr>
      <w:r w:rsidRPr="009448FC">
        <w:t xml:space="preserve">If at any time during the scan the </w:t>
      </w:r>
      <w:r w:rsidR="00B96FB9" w:rsidRPr="009448FC">
        <w:t>mSTA</w:t>
      </w:r>
      <w:r w:rsidRPr="009448FC">
        <w:t xml:space="preserve"> detects a non</w:t>
      </w:r>
      <w:r w:rsidR="00071DC3" w:rsidRPr="009448FC">
        <w:t>-</w:t>
      </w:r>
      <w:r w:rsidRPr="009448FC">
        <w:rPr>
          <w:rFonts w:eastAsia="TimesNewRoman"/>
        </w:rPr>
        <w:t xml:space="preserve">mmWave Beacon </w:t>
      </w:r>
      <w:r w:rsidRPr="009448FC">
        <w:t xml:space="preserve">frame, the </w:t>
      </w:r>
      <w:r w:rsidR="00B96FB9" w:rsidRPr="009448FC">
        <w:t>mSTA</w:t>
      </w:r>
      <w:r w:rsidRPr="009448FC">
        <w:t xml:space="preserve"> shall continue to scan the current channel until the aMaxChannelScan timer expires or until a </w:t>
      </w:r>
      <w:r w:rsidRPr="009448FC">
        <w:rPr>
          <w:rFonts w:eastAsia="TimesNewRoman"/>
        </w:rPr>
        <w:t xml:space="preserve">mmWave Beacon </w:t>
      </w:r>
      <w:r w:rsidRPr="009448FC">
        <w:t xml:space="preserve">from the new BSS is received, whichever comes first. </w:t>
      </w:r>
      <w:r w:rsidRPr="009448FC">
        <w:rPr>
          <w:rFonts w:hint="eastAsia"/>
        </w:rPr>
        <w:t xml:space="preserve">After scanning one channel, the </w:t>
      </w:r>
      <w:r w:rsidR="00B96FB9" w:rsidRPr="009448FC">
        <w:t>mSTA</w:t>
      </w:r>
      <w:r w:rsidRPr="009448FC">
        <w:rPr>
          <w:rFonts w:hint="eastAsia"/>
        </w:rPr>
        <w:t xml:space="preserve"> may initiate scanning in another channel. The </w:t>
      </w:r>
      <w:r w:rsidR="00B96FB9" w:rsidRPr="009448FC">
        <w:t>mSTA</w:t>
      </w:r>
      <w:r w:rsidRPr="009448FC">
        <w:rPr>
          <w:rFonts w:hint="eastAsia"/>
        </w:rPr>
        <w:t xml:space="preserve"> shall be capable of scanning all channels</w:t>
      </w:r>
      <w:r w:rsidRPr="009448FC">
        <w:t xml:space="preserve"> supported by the </w:t>
      </w:r>
      <w:r w:rsidR="00B96FB9" w:rsidRPr="009448FC">
        <w:t>mSTA</w:t>
      </w:r>
      <w:r w:rsidRPr="009448FC">
        <w:rPr>
          <w:rFonts w:hint="eastAsia"/>
        </w:rPr>
        <w:t>, but the choice of channels scanned and the channel traversal order during passive scanning are implementation specific and may be subject to regulatory requirements.</w:t>
      </w:r>
    </w:p>
    <w:p w:rsidR="00A278A0" w:rsidRPr="009448FC" w:rsidRDefault="00A278A0" w:rsidP="00A278A0">
      <w:pPr>
        <w:widowControl w:val="0"/>
        <w:autoSpaceDE w:val="0"/>
        <w:autoSpaceDN w:val="0"/>
        <w:adjustRightInd w:val="0"/>
      </w:pPr>
    </w:p>
    <w:p w:rsidR="00444738" w:rsidRPr="009448FC" w:rsidRDefault="00A278A0" w:rsidP="00B83E38">
      <w:pPr>
        <w:autoSpaceDE w:val="0"/>
        <w:autoSpaceDN w:val="0"/>
        <w:adjustRightInd w:val="0"/>
      </w:pPr>
      <w:r w:rsidRPr="009448FC">
        <w:rPr>
          <w:rFonts w:hint="eastAsia"/>
        </w:rPr>
        <w:t xml:space="preserve">When the </w:t>
      </w:r>
      <w:r w:rsidR="00B96FB9" w:rsidRPr="009448FC">
        <w:t>mSTA</w:t>
      </w:r>
      <w:r w:rsidRPr="009448FC">
        <w:rPr>
          <w:rFonts w:hint="eastAsia"/>
        </w:rPr>
        <w:t xml:space="preserve"> has completed scanning all indicated channels, it returns the scan results </w:t>
      </w:r>
      <w:r w:rsidRPr="009448FC">
        <w:rPr>
          <w:rFonts w:eastAsia="TimesNewRoman"/>
        </w:rPr>
        <w:t>via the</w:t>
      </w:r>
      <w:r w:rsidRPr="009448FC">
        <w:rPr>
          <w:rFonts w:hint="eastAsia"/>
        </w:rPr>
        <w:t xml:space="preserve"> </w:t>
      </w:r>
      <w:r w:rsidRPr="009448FC">
        <w:rPr>
          <w:rFonts w:eastAsia="TimesNewRoman"/>
        </w:rPr>
        <w:t>MLME-SCAN.confirm primitive</w:t>
      </w:r>
      <w:r w:rsidRPr="009448FC">
        <w:rPr>
          <w:rFonts w:hint="eastAsia"/>
        </w:rPr>
        <w:t>.</w:t>
      </w:r>
      <w:r w:rsidRPr="009448FC">
        <w:t xml:space="preserve"> If dot11MultiDomainCapabilityEnabled is true and no regulatory domain is configured at a multi-band capable </w:t>
      </w:r>
      <w:r w:rsidR="00B96FB9" w:rsidRPr="009448FC">
        <w:t>mSTA</w:t>
      </w:r>
      <w:r w:rsidRPr="009448FC">
        <w:t xml:space="preserve">, the multi-band capable </w:t>
      </w:r>
      <w:r w:rsidR="00B96FB9" w:rsidRPr="009448FC">
        <w:t>mSTA</w:t>
      </w:r>
      <w:r w:rsidRPr="009448FC">
        <w:t xml:space="preserve"> may scan for infrastructure networks to get the Country IE and the AP Channel Report IE. </w:t>
      </w:r>
    </w:p>
    <w:p w:rsidR="00A278A0" w:rsidRPr="009448FC" w:rsidRDefault="00A278A0" w:rsidP="003701DB">
      <w:pPr>
        <w:pStyle w:val="Heading4"/>
        <w:numPr>
          <w:ilvl w:val="3"/>
          <w:numId w:val="85"/>
        </w:numPr>
      </w:pPr>
      <w:bookmarkStart w:id="2265" w:name="_Ref243725940"/>
      <w:bookmarkStart w:id="2266" w:name="_Toc259717197"/>
      <w:r w:rsidRPr="009448FC">
        <w:t>Active scanning</w:t>
      </w:r>
      <w:bookmarkEnd w:id="2265"/>
      <w:bookmarkEnd w:id="2266"/>
    </w:p>
    <w:p w:rsidR="00A278A0" w:rsidRPr="009448FC" w:rsidRDefault="00A278A0" w:rsidP="00444738">
      <w:pPr>
        <w:jc w:val="both"/>
        <w:rPr>
          <w:b/>
        </w:rPr>
      </w:pPr>
    </w:p>
    <w:p w:rsidR="00A278A0" w:rsidRPr="009448FC" w:rsidRDefault="00A278A0" w:rsidP="003701DB">
      <w:pPr>
        <w:pStyle w:val="Heading5"/>
        <w:numPr>
          <w:ilvl w:val="4"/>
          <w:numId w:val="136"/>
        </w:numPr>
      </w:pPr>
      <w:bookmarkStart w:id="2267" w:name="_Toc259717198"/>
      <w:r w:rsidRPr="009448FC">
        <w:t>Sending a probe response</w:t>
      </w:r>
      <w:bookmarkEnd w:id="2267"/>
    </w:p>
    <w:p w:rsidR="00A278A0" w:rsidRPr="009448FC" w:rsidRDefault="00A278A0" w:rsidP="00444738">
      <w:pPr>
        <w:jc w:val="both"/>
        <w:rPr>
          <w:b/>
        </w:rPr>
      </w:pPr>
    </w:p>
    <w:p w:rsidR="00A278A0" w:rsidRPr="009448FC" w:rsidRDefault="00A278A0" w:rsidP="00A278A0">
      <w:pPr>
        <w:autoSpaceDE w:val="0"/>
        <w:autoSpaceDN w:val="0"/>
        <w:adjustRightInd w:val="0"/>
        <w:rPr>
          <w:i/>
        </w:rPr>
      </w:pPr>
      <w:r w:rsidRPr="009448FC">
        <w:rPr>
          <w:i/>
        </w:rPr>
        <w:t>.11 Editor Instruction: change the 2</w:t>
      </w:r>
      <w:r w:rsidRPr="009448FC">
        <w:rPr>
          <w:i/>
          <w:vertAlign w:val="superscript"/>
        </w:rPr>
        <w:t>nd</w:t>
      </w:r>
      <w:r w:rsidRPr="009448FC">
        <w:rPr>
          <w:i/>
        </w:rPr>
        <w:t>, 3</w:t>
      </w:r>
      <w:r w:rsidRPr="009448FC">
        <w:rPr>
          <w:i/>
          <w:vertAlign w:val="superscript"/>
        </w:rPr>
        <w:t>rd</w:t>
      </w:r>
      <w:r w:rsidRPr="009448FC">
        <w:rPr>
          <w:i/>
        </w:rPr>
        <w:t>, and 4</w:t>
      </w:r>
      <w:r w:rsidRPr="009448FC">
        <w:rPr>
          <w:i/>
          <w:vertAlign w:val="superscript"/>
        </w:rPr>
        <w:t>th</w:t>
      </w:r>
      <w:r w:rsidRPr="009448FC">
        <w:rPr>
          <w:i/>
        </w:rPr>
        <w:t xml:space="preserve"> paragraph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Probe Response frames shall be sent as directed frames to the address of the STA that generated the probe request. The probe response shall be sent using normal frame transmission rules. </w:t>
      </w:r>
      <w:r w:rsidRPr="009448FC">
        <w:rPr>
          <w:strike/>
        </w:rPr>
        <w:t xml:space="preserve">An </w:t>
      </w:r>
      <w:r w:rsidRPr="009448FC">
        <w:t>APs</w:t>
      </w:r>
      <w:r w:rsidRPr="00066F65">
        <w:rPr>
          <w:u w:val="single"/>
          <w:lang w:eastAsia="ko-KR" w:bidi="ar-SA"/>
        </w:rPr>
        <w:t xml:space="preserve">, PCPs, and </w:t>
      </w:r>
      <w:r w:rsidR="00B96FB9" w:rsidRPr="00066F65">
        <w:rPr>
          <w:u w:val="single"/>
          <w:lang w:eastAsia="ko-KR" w:bidi="ar-SA"/>
        </w:rPr>
        <w:t>mSTA</w:t>
      </w:r>
      <w:r w:rsidRPr="00066F65">
        <w:rPr>
          <w:u w:val="single"/>
          <w:lang w:eastAsia="ko-KR" w:bidi="ar-SA"/>
        </w:rPr>
        <w:t>s that are not member of a PBSS but that have transmitted at least one mmWave Beacon with the discovery mode field set to one</w:t>
      </w:r>
      <w:r w:rsidRPr="009448FC">
        <w:t xml:space="preserve"> shall respond to all probe requests meeting the above criteria. In an IBSS, the STA that generated the last Beacon</w:t>
      </w:r>
      <w:r w:rsidRPr="00066F65">
        <w:rPr>
          <w:u w:val="single"/>
          <w:lang w:eastAsia="ko-KR" w:bidi="ar-SA"/>
        </w:rPr>
        <w:t>/mmWave Beacon</w:t>
      </w:r>
      <w:r w:rsidRPr="009448FC">
        <w:t xml:space="preserve"> frame shall be the STA that responds to a probe request.</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Only APs</w:t>
      </w:r>
      <w:r w:rsidRPr="00066F65">
        <w:rPr>
          <w:u w:val="single"/>
          <w:lang w:eastAsia="ko-KR" w:bidi="ar-SA"/>
        </w:rPr>
        <w:t xml:space="preserve">, PCPs, </w:t>
      </w:r>
      <w:r w:rsidR="00B96FB9" w:rsidRPr="00066F65">
        <w:rPr>
          <w:u w:val="single"/>
          <w:lang w:eastAsia="ko-KR" w:bidi="ar-SA"/>
        </w:rPr>
        <w:t>mSTA</w:t>
      </w:r>
      <w:r w:rsidRPr="00066F65">
        <w:rPr>
          <w:u w:val="single"/>
          <w:lang w:eastAsia="ko-KR" w:bidi="ar-SA"/>
        </w:rPr>
        <w:t>s that are not member of a PBSS but that have transmitted at least one mmWave Beacon with the discovery mode field set to one</w:t>
      </w:r>
      <w:r w:rsidRPr="009448FC">
        <w:t xml:space="preserve"> and STAs in an IBSS respond to probe requests. The procedures defined in this subclause ensure that in each BSS</w:t>
      </w:r>
      <w:r w:rsidRPr="00066F65">
        <w:rPr>
          <w:u w:val="single"/>
          <w:lang w:eastAsia="ko-KR" w:bidi="ar-SA"/>
        </w:rPr>
        <w:t>, except those operating in the UB,</w:t>
      </w:r>
      <w:r w:rsidRPr="009448FC">
        <w:t xml:space="preserve"> there is at least one STA that is awake at any given time to receive and respond to probe requests. A STA that sent a Beacon frame shall remain in the Awake state and shall respond to probe requests, subject to criteria in the next paragraph, until a Beacon frame with the current BSSID is received. If the STA is an AP, it shall always remain in the Awake state and always respond to probe requests, subject to criteria in the next paragraph. There may be more than one STA in an IBSS that responds to any given probe request, particularly in cases where more than one STA transmitted a Beacon</w:t>
      </w:r>
      <w:r w:rsidRPr="00066F65">
        <w:rPr>
          <w:u w:val="single"/>
          <w:lang w:eastAsia="ko-KR" w:bidi="ar-SA"/>
        </w:rPr>
        <w:t>/mmWave Beacon</w:t>
      </w:r>
      <w:r w:rsidRPr="009448FC">
        <w:t xml:space="preserve"> frame following the most recent TBTT, either due to not receiving successfully a previous Beacon</w:t>
      </w:r>
      <w:r w:rsidRPr="00066F65">
        <w:rPr>
          <w:u w:val="single"/>
          <w:lang w:eastAsia="ko-KR" w:bidi="ar-SA"/>
        </w:rPr>
        <w:t>/mmWave Beacon</w:t>
      </w:r>
      <w:r w:rsidRPr="009448FC">
        <w:t xml:space="preserve"> frame or due to collisions between beacon transmissions.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STAs receiving Probe Request frames shall respond with a probe response when the SSID in the probe request is the wildcard SSID or matches the specific SSID of the STA. Probe Response frames shall be </w:t>
      </w:r>
      <w:r w:rsidRPr="009448FC">
        <w:lastRenderedPageBreak/>
        <w:t>sent as directed frames to the address of the STA that generated the probe request. The probe response shall be sent using normal frame transmission rules. An AP</w:t>
      </w:r>
      <w:r w:rsidRPr="00066F65">
        <w:rPr>
          <w:u w:val="single"/>
          <w:lang w:eastAsia="ko-KR" w:bidi="ar-SA"/>
        </w:rPr>
        <w:t xml:space="preserve">, PCP, and </w:t>
      </w:r>
      <w:r w:rsidR="00B96FB9" w:rsidRPr="00066F65">
        <w:rPr>
          <w:u w:val="single"/>
          <w:lang w:eastAsia="ko-KR" w:bidi="ar-SA"/>
        </w:rPr>
        <w:t>mSTA</w:t>
      </w:r>
      <w:r w:rsidRPr="00066F65">
        <w:rPr>
          <w:u w:val="single"/>
          <w:lang w:eastAsia="ko-KR" w:bidi="ar-SA"/>
        </w:rPr>
        <w:t xml:space="preserve"> that is not member of a PBSS but that have transmitted at least one</w:t>
      </w:r>
      <w:r w:rsidRPr="00066F65" w:rsidDel="00974C92">
        <w:rPr>
          <w:u w:val="single"/>
          <w:lang w:eastAsia="ko-KR" w:bidi="ar-SA"/>
        </w:rPr>
        <w:t xml:space="preserve"> </w:t>
      </w:r>
      <w:r w:rsidRPr="00066F65">
        <w:rPr>
          <w:u w:val="single"/>
          <w:lang w:eastAsia="ko-KR" w:bidi="ar-SA"/>
        </w:rPr>
        <w:t>mmWave Beacon with the discovery mode field set to one</w:t>
      </w:r>
      <w:r w:rsidRPr="009448FC">
        <w:t xml:space="preserve"> shall respond to all probe requests meeting the above criteria. In an IBSS, the STA that generated the last Beacon</w:t>
      </w:r>
      <w:r w:rsidRPr="00066F65">
        <w:rPr>
          <w:u w:val="single"/>
          <w:lang w:eastAsia="ko-KR" w:bidi="ar-SA"/>
        </w:rPr>
        <w:t>/mmWave Beacon</w:t>
      </w:r>
      <w:r w:rsidRPr="009448FC">
        <w:t xml:space="preserve"> frame shall be the STA that responds to a probe request.</w:t>
      </w:r>
    </w:p>
    <w:p w:rsidR="00A278A0" w:rsidRPr="009448FC" w:rsidRDefault="00A278A0" w:rsidP="00444738">
      <w:pPr>
        <w:jc w:val="both"/>
        <w:rPr>
          <w:b/>
        </w:rPr>
      </w:pPr>
    </w:p>
    <w:p w:rsidR="00A278A0" w:rsidRPr="009448FC" w:rsidRDefault="00A278A0" w:rsidP="003701DB">
      <w:pPr>
        <w:pStyle w:val="Heading5"/>
        <w:numPr>
          <w:ilvl w:val="4"/>
          <w:numId w:val="137"/>
        </w:numPr>
      </w:pPr>
      <w:bookmarkStart w:id="2268" w:name="_Toc259717199"/>
      <w:r w:rsidRPr="009448FC">
        <w:t>Active scanning procedure</w:t>
      </w:r>
      <w:bookmarkEnd w:id="2268"/>
    </w:p>
    <w:p w:rsidR="00A278A0" w:rsidRPr="009448FC" w:rsidRDefault="00A278A0" w:rsidP="00A278A0">
      <w:pPr>
        <w:autoSpaceDE w:val="0"/>
        <w:autoSpaceDN w:val="0"/>
        <w:adjustRightInd w:val="0"/>
        <w:rPr>
          <w:i/>
        </w:rPr>
      </w:pPr>
      <w:r w:rsidRPr="009448FC">
        <w:rPr>
          <w:i/>
        </w:rPr>
        <w:t>.11 Editor Instruction: insert the following paragraph as the first paragraph in this subclause:</w:t>
      </w:r>
    </w:p>
    <w:p w:rsidR="00A278A0" w:rsidRPr="009448FC" w:rsidRDefault="00A278A0" w:rsidP="00A278A0">
      <w:pPr>
        <w:autoSpaceDE w:val="0"/>
        <w:autoSpaceDN w:val="0"/>
        <w:adjustRightInd w:val="0"/>
      </w:pPr>
    </w:p>
    <w:p w:rsidR="00A278A0" w:rsidRPr="00066F65" w:rsidRDefault="00A278A0" w:rsidP="00223136">
      <w:pPr>
        <w:autoSpaceDE w:val="0"/>
        <w:autoSpaceDN w:val="0"/>
        <w:adjustRightInd w:val="0"/>
        <w:rPr>
          <w:u w:val="single"/>
        </w:rPr>
      </w:pPr>
      <w:r w:rsidRPr="00066F65">
        <w:rPr>
          <w:u w:val="single"/>
        </w:rPr>
        <w:t>A multi-band capable STA (as defined in</w:t>
      </w:r>
      <w:r w:rsidR="00223136" w:rsidRPr="00066F65">
        <w:rPr>
          <w:u w:val="single"/>
        </w:rPr>
        <w:t xml:space="preserve"> </w:t>
      </w:r>
      <w:r w:rsidR="00BD151C" w:rsidRPr="00066F65">
        <w:rPr>
          <w:u w:val="single"/>
        </w:rPr>
        <w:fldChar w:fldCharType="begin"/>
      </w:r>
      <w:r w:rsidR="00223136" w:rsidRPr="00066F65">
        <w:rPr>
          <w:u w:val="single"/>
        </w:rPr>
        <w:instrText xml:space="preserve"> REF _Ref246665855 \n \h </w:instrText>
      </w:r>
      <w:r w:rsidR="00BD151C" w:rsidRPr="00066F65">
        <w:rPr>
          <w:u w:val="single"/>
        </w:rPr>
      </w:r>
      <w:r w:rsidR="00BD151C" w:rsidRPr="00066F65">
        <w:rPr>
          <w:u w:val="single"/>
        </w:rPr>
        <w:fldChar w:fldCharType="separate"/>
      </w:r>
      <w:r w:rsidR="003E4210">
        <w:rPr>
          <w:u w:val="single"/>
        </w:rPr>
        <w:t>11.34</w:t>
      </w:r>
      <w:r w:rsidR="00BD151C" w:rsidRPr="00066F65">
        <w:rPr>
          <w:u w:val="single"/>
        </w:rPr>
        <w:fldChar w:fldCharType="end"/>
      </w:r>
      <w:r w:rsidRPr="00066F65">
        <w:rPr>
          <w:u w:val="single"/>
        </w:rPr>
        <w:t xml:space="preserve">) that includes support for the UB and either the LB or the HB </w:t>
      </w:r>
      <w:r w:rsidR="00894189">
        <w:rPr>
          <w:u w:val="single"/>
        </w:rPr>
        <w:t>is</w:t>
      </w:r>
      <w:r w:rsidRPr="00066F65">
        <w:rPr>
          <w:u w:val="single"/>
        </w:rPr>
        <w:t xml:space="preserve"> not </w:t>
      </w:r>
      <w:r w:rsidR="00894189">
        <w:rPr>
          <w:u w:val="single"/>
        </w:rPr>
        <w:t xml:space="preserve">required to </w:t>
      </w:r>
      <w:r w:rsidRPr="00066F65">
        <w:rPr>
          <w:u w:val="single"/>
        </w:rPr>
        <w:t>perform active scanning in the UB if the STA intends to perform active scanning by transmitting a mmWave Beacon frame with the discovery mode field set to one. In such case when the multi-band STA did not perform active scanning in the UB, the MLME shall issue an MLME-SCAN.confirm with a ResultCode of NOT_SUPPORTED in response to a MLME-SCAN.request received in the UB, and the STA may then perform active scanning in the LB or HB. In all other cases, the STA proceeds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rPr>
          <w:i/>
        </w:rPr>
      </w:pPr>
      <w:r w:rsidRPr="009448FC">
        <w:rPr>
          <w:i/>
        </w:rPr>
        <w:t>.11 Editor Instruction: change the 2</w:t>
      </w:r>
      <w:r w:rsidRPr="009448FC">
        <w:rPr>
          <w:i/>
          <w:vertAlign w:val="superscript"/>
        </w:rPr>
        <w:t>nd</w:t>
      </w:r>
      <w:r w:rsidRPr="009448FC">
        <w:rPr>
          <w:i/>
        </w:rPr>
        <w:t xml:space="preserve"> paragraph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For each channel to be scanned</w:t>
      </w:r>
      <w:r w:rsidRPr="00066F65">
        <w:rPr>
          <w:u w:val="single"/>
          <w:lang w:eastAsia="ko-KR" w:bidi="ar-SA"/>
        </w:rPr>
        <w:t>, including any channel in the UB as permitted within the regulatory domain of operation</w:t>
      </w:r>
      <w:r w:rsidRPr="009448FC">
        <w:t>,</w:t>
      </w:r>
    </w:p>
    <w:p w:rsidR="00A278A0" w:rsidRPr="009448FC" w:rsidRDefault="00A278A0" w:rsidP="003701DB">
      <w:pPr>
        <w:numPr>
          <w:ilvl w:val="0"/>
          <w:numId w:val="89"/>
        </w:numPr>
        <w:autoSpaceDE w:val="0"/>
        <w:autoSpaceDN w:val="0"/>
        <w:adjustRightInd w:val="0"/>
      </w:pPr>
      <w:r w:rsidRPr="009448FC">
        <w:t>Wait until the ProbeDelay time has expired or a PHYRxStart.indication has been received;</w:t>
      </w:r>
    </w:p>
    <w:p w:rsidR="00A278A0" w:rsidRPr="009448FC" w:rsidRDefault="00A278A0" w:rsidP="003701DB">
      <w:pPr>
        <w:numPr>
          <w:ilvl w:val="0"/>
          <w:numId w:val="89"/>
        </w:numPr>
        <w:autoSpaceDE w:val="0"/>
        <w:autoSpaceDN w:val="0"/>
        <w:adjustRightInd w:val="0"/>
      </w:pPr>
      <w:r w:rsidRPr="009448FC">
        <w:t xml:space="preserve">Perform the Basic Access procedure as defined in 9.2.5.1 </w:t>
      </w:r>
      <w:r w:rsidRPr="00066F65">
        <w:rPr>
          <w:u w:val="single"/>
          <w:lang w:eastAsia="ko-KR" w:bidi="ar-SA"/>
        </w:rPr>
        <w:t>when operating in the LB or HB;</w:t>
      </w:r>
    </w:p>
    <w:p w:rsidR="00A278A0" w:rsidRPr="00066F65" w:rsidRDefault="00A278A0" w:rsidP="003701DB">
      <w:pPr>
        <w:numPr>
          <w:ilvl w:val="0"/>
          <w:numId w:val="89"/>
        </w:numPr>
        <w:autoSpaceDE w:val="0"/>
        <w:autoSpaceDN w:val="0"/>
        <w:adjustRightInd w:val="0"/>
        <w:rPr>
          <w:u w:val="single"/>
          <w:lang w:eastAsia="ko-KR" w:bidi="ar-SA"/>
        </w:rPr>
      </w:pPr>
      <w:r w:rsidRPr="00066F65">
        <w:rPr>
          <w:u w:val="single"/>
          <w:lang w:eastAsia="ko-KR" w:bidi="ar-SA"/>
        </w:rPr>
        <w:t xml:space="preserve">Start generation of mmWave Beacon frames according to the rules described in </w:t>
      </w:r>
      <w:fldSimple w:instr=" REF _Ref243984409 \h  \* MERGEFORMAT ">
        <w:r w:rsidR="003E4210" w:rsidRPr="003E4210">
          <w:rPr>
            <w:u w:val="single"/>
            <w:lang w:eastAsia="ko-KR"/>
          </w:rPr>
          <w:t>11.1.2.1b</w:t>
        </w:r>
        <w:r w:rsidR="003E4210" w:rsidRPr="009448FC">
          <w:t xml:space="preserve"> Beacon ge</w:t>
        </w:r>
        <w:r w:rsidR="003E4210" w:rsidRPr="0082035A">
          <w:t>n</w:t>
        </w:r>
        <w:r w:rsidR="003E4210" w:rsidRPr="009448FC">
          <w:t>eration before network initialization</w:t>
        </w:r>
      </w:fldSimple>
      <w:r w:rsidR="004F1F26" w:rsidRPr="00066F65">
        <w:rPr>
          <w:u w:val="single"/>
          <w:lang w:eastAsia="ko-KR" w:bidi="ar-SA"/>
        </w:rPr>
        <w:t>,</w:t>
      </w:r>
      <w:r w:rsidRPr="00066F65">
        <w:rPr>
          <w:u w:val="single"/>
          <w:lang w:eastAsia="ko-KR" w:bidi="ar-SA"/>
        </w:rPr>
        <w:t xml:space="preserve"> if the STA operates in the UB and the STA intends to transmit mmWave Beacon frames with the discovery mode field is set to one;</w:t>
      </w:r>
    </w:p>
    <w:p w:rsidR="00A278A0" w:rsidRPr="009448FC" w:rsidRDefault="00A278A0" w:rsidP="003701DB">
      <w:pPr>
        <w:numPr>
          <w:ilvl w:val="0"/>
          <w:numId w:val="89"/>
        </w:numPr>
        <w:autoSpaceDE w:val="0"/>
        <w:autoSpaceDN w:val="0"/>
        <w:adjustRightInd w:val="0"/>
      </w:pPr>
      <w:r w:rsidRPr="00066F65">
        <w:rPr>
          <w:u w:val="single"/>
          <w:lang w:eastAsia="ko-KR" w:bidi="ar-SA"/>
        </w:rPr>
        <w:t xml:space="preserve">Perform beamforming as defined in </w:t>
      </w:r>
      <w:r w:rsidR="00BD151C">
        <w:rPr>
          <w:u w:val="single"/>
          <w:lang w:eastAsia="ko-KR" w:bidi="ar-SA"/>
        </w:rPr>
        <w:fldChar w:fldCharType="begin"/>
      </w:r>
      <w:r w:rsidR="001C165E">
        <w:rPr>
          <w:u w:val="single"/>
          <w:lang w:eastAsia="ko-KR" w:bidi="ar-SA"/>
        </w:rPr>
        <w:instrText xml:space="preserve"> REF _Ref243816208 \r \h </w:instrText>
      </w:r>
      <w:r w:rsidR="00BD151C">
        <w:rPr>
          <w:u w:val="single"/>
          <w:lang w:eastAsia="ko-KR" w:bidi="ar-SA"/>
        </w:rPr>
      </w:r>
      <w:r w:rsidR="00BD151C">
        <w:rPr>
          <w:u w:val="single"/>
          <w:lang w:eastAsia="ko-KR" w:bidi="ar-SA"/>
        </w:rPr>
        <w:fldChar w:fldCharType="separate"/>
      </w:r>
      <w:r w:rsidR="003E4210">
        <w:rPr>
          <w:u w:val="single"/>
          <w:lang w:eastAsia="ko-KR" w:bidi="ar-SA"/>
        </w:rPr>
        <w:t>9.25</w:t>
      </w:r>
      <w:r w:rsidR="00BD151C">
        <w:rPr>
          <w:u w:val="single"/>
          <w:lang w:eastAsia="ko-KR" w:bidi="ar-SA"/>
        </w:rPr>
        <w:fldChar w:fldCharType="end"/>
      </w:r>
      <w:r w:rsidRPr="00066F65">
        <w:rPr>
          <w:u w:val="single"/>
          <w:lang w:eastAsia="ko-KR" w:bidi="ar-SA"/>
        </w:rPr>
        <w:t xml:space="preserve"> when operating in the UB;</w:t>
      </w:r>
    </w:p>
    <w:p w:rsidR="00A278A0" w:rsidRPr="00066F65" w:rsidRDefault="00A278A0" w:rsidP="003701DB">
      <w:pPr>
        <w:numPr>
          <w:ilvl w:val="0"/>
          <w:numId w:val="89"/>
        </w:numPr>
        <w:autoSpaceDE w:val="0"/>
        <w:autoSpaceDN w:val="0"/>
        <w:adjustRightInd w:val="0"/>
        <w:rPr>
          <w:u w:val="single"/>
          <w:lang w:eastAsia="ko-KR" w:bidi="ar-SA"/>
        </w:rPr>
      </w:pPr>
      <w:r w:rsidRPr="00066F65">
        <w:rPr>
          <w:u w:val="single"/>
          <w:lang w:eastAsia="ko-KR" w:bidi="ar-SA"/>
        </w:rPr>
        <w:t>Perform the Basic Access procedure as defined in 9.2.5.1 within a CBP if the STA operates in the UB;</w:t>
      </w:r>
    </w:p>
    <w:p w:rsidR="00A278A0" w:rsidRPr="009448FC" w:rsidRDefault="00A278A0" w:rsidP="003701DB">
      <w:pPr>
        <w:numPr>
          <w:ilvl w:val="0"/>
          <w:numId w:val="89"/>
        </w:numPr>
        <w:autoSpaceDE w:val="0"/>
        <w:autoSpaceDN w:val="0"/>
        <w:adjustRightInd w:val="0"/>
      </w:pPr>
      <w:r w:rsidRPr="009448FC">
        <w:rPr>
          <w:strike/>
        </w:rPr>
        <w:t>c)</w:t>
      </w:r>
      <w:r w:rsidRPr="009448FC">
        <w:t xml:space="preserve"> Send a probe request to the broadcast destination address, with the SSID and BSSID from the MLME-SCAN.request primitive;</w:t>
      </w:r>
    </w:p>
    <w:p w:rsidR="00A278A0" w:rsidRPr="009448FC" w:rsidRDefault="00A278A0" w:rsidP="003701DB">
      <w:pPr>
        <w:numPr>
          <w:ilvl w:val="0"/>
          <w:numId w:val="89"/>
        </w:numPr>
        <w:autoSpaceDE w:val="0"/>
        <w:autoSpaceDN w:val="0"/>
        <w:adjustRightInd w:val="0"/>
      </w:pPr>
      <w:r w:rsidRPr="009448FC">
        <w:rPr>
          <w:strike/>
        </w:rPr>
        <w:t xml:space="preserve">d) </w:t>
      </w:r>
      <w:r w:rsidRPr="009448FC">
        <w:t>Clear and start a ProbeTimer;</w:t>
      </w:r>
    </w:p>
    <w:p w:rsidR="00A278A0" w:rsidRPr="009448FC" w:rsidRDefault="00A278A0" w:rsidP="003701DB">
      <w:pPr>
        <w:numPr>
          <w:ilvl w:val="0"/>
          <w:numId w:val="89"/>
        </w:numPr>
        <w:autoSpaceDE w:val="0"/>
        <w:autoSpaceDN w:val="0"/>
        <w:adjustRightInd w:val="0"/>
      </w:pPr>
      <w:r w:rsidRPr="009448FC">
        <w:rPr>
          <w:strike/>
        </w:rPr>
        <w:t xml:space="preserve">e) </w:t>
      </w:r>
      <w:r w:rsidRPr="009448FC">
        <w:t xml:space="preserve">If PHY-CCA.indication (busy) has not been detected before the ProbeTimer reaches MinChannelTime, then clear NAV and scan the next channel </w:t>
      </w:r>
      <w:r w:rsidRPr="00066F65">
        <w:rPr>
          <w:u w:val="single"/>
          <w:lang w:eastAsia="ko-KR" w:bidi="ar-SA"/>
        </w:rPr>
        <w:t>if operating in the LB or HB</w:t>
      </w:r>
      <w:r w:rsidRPr="009448FC">
        <w:t>, else when ProbeTimer reaches MaxChannelTime, process all received probe responses;</w:t>
      </w:r>
    </w:p>
    <w:p w:rsidR="00A278A0" w:rsidRPr="009448FC" w:rsidRDefault="00A278A0" w:rsidP="003701DB">
      <w:pPr>
        <w:numPr>
          <w:ilvl w:val="0"/>
          <w:numId w:val="89"/>
        </w:numPr>
        <w:autoSpaceDE w:val="0"/>
        <w:autoSpaceDN w:val="0"/>
        <w:adjustRightInd w:val="0"/>
      </w:pPr>
      <w:r w:rsidRPr="009448FC">
        <w:rPr>
          <w:strike/>
        </w:rPr>
        <w:t xml:space="preserve">f) </w:t>
      </w:r>
      <w:r w:rsidRPr="009448FC">
        <w:t>Clear NAV and scan the next channel.</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rPr>
          <w:i/>
        </w:rPr>
      </w:pPr>
      <w:r w:rsidRPr="009448FC">
        <w:rPr>
          <w:i/>
        </w:rPr>
        <w:t>.11 Editor Instruction: change the 3</w:t>
      </w:r>
      <w:r w:rsidRPr="009448FC">
        <w:rPr>
          <w:i/>
          <w:vertAlign w:val="superscript"/>
        </w:rPr>
        <w:t>rd</w:t>
      </w:r>
      <w:r w:rsidRPr="009448FC">
        <w:rPr>
          <w:i/>
        </w:rPr>
        <w:t xml:space="preserve"> paragraph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See Figure 11-3 </w:t>
      </w:r>
      <w:r w:rsidRPr="00066F65">
        <w:rPr>
          <w:u w:val="single"/>
          <w:lang w:eastAsia="ko-KR" w:bidi="ar-SA"/>
        </w:rPr>
        <w:t>when operating in the LB or HB</w:t>
      </w:r>
      <w:r w:rsidRPr="009448FC">
        <w:t>.</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rPr>
          <w:i/>
        </w:rPr>
      </w:pPr>
      <w:r w:rsidRPr="009448FC">
        <w:rPr>
          <w:i/>
        </w:rPr>
        <w:t>.11 Editor Instruction: insert the following after (Figure 11-3 Probe Response):</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See </w:t>
      </w:r>
      <w:r w:rsidR="00BD151C" w:rsidRPr="009448FC">
        <w:fldChar w:fldCharType="begin"/>
      </w:r>
      <w:r w:rsidRPr="009448FC">
        <w:instrText xml:space="preserve"> REF _Ref240358579 \h </w:instrText>
      </w:r>
      <w:r w:rsidR="00BD151C" w:rsidRPr="009448FC">
        <w:fldChar w:fldCharType="separate"/>
      </w:r>
      <w:r w:rsidR="003E4210" w:rsidRPr="00066F65">
        <w:t xml:space="preserve">Figure </w:t>
      </w:r>
      <w:r w:rsidR="003E4210">
        <w:rPr>
          <w:noProof/>
        </w:rPr>
        <w:t>116</w:t>
      </w:r>
      <w:r w:rsidR="00BD151C" w:rsidRPr="009448FC">
        <w:fldChar w:fldCharType="end"/>
      </w:r>
      <w:r w:rsidRPr="009448FC">
        <w:t xml:space="preserve"> when the STAs operate in the UB and generate mmWave Beacon frames with the discovery mode field set to one. </w:t>
      </w:r>
    </w:p>
    <w:p w:rsidR="00A278A0" w:rsidRPr="009448FC" w:rsidRDefault="00A278A0" w:rsidP="00A278A0">
      <w:pPr>
        <w:autoSpaceDE w:val="0"/>
        <w:autoSpaceDN w:val="0"/>
        <w:adjustRightInd w:val="0"/>
      </w:pPr>
    </w:p>
    <w:p w:rsidR="00A278A0" w:rsidRPr="009448FC" w:rsidRDefault="00E470A7" w:rsidP="00A278A0">
      <w:pPr>
        <w:autoSpaceDE w:val="0"/>
        <w:autoSpaceDN w:val="0"/>
        <w:adjustRightInd w:val="0"/>
        <w:jc w:val="center"/>
      </w:pPr>
      <w:r w:rsidRPr="009448FC">
        <w:object w:dxaOrig="10317" w:dyaOrig="4717">
          <v:shape id="_x0000_i1076" type="#_x0000_t75" style="width:495.85pt;height:224.15pt" o:ole="">
            <v:imagedata r:id="rId197" o:title=""/>
          </v:shape>
          <o:OLEObject Type="Embed" ProgID="Visio.Drawing.11" ShapeID="_x0000_i1076" DrawAspect="Content" ObjectID="_1334048257" r:id="rId198"/>
        </w:object>
      </w:r>
    </w:p>
    <w:p w:rsidR="00A278A0" w:rsidRPr="00066F65" w:rsidRDefault="00A278A0" w:rsidP="00BA5BC4">
      <w:pPr>
        <w:pStyle w:val="Caption"/>
      </w:pPr>
      <w:bookmarkStart w:id="2269" w:name="_Ref240358579"/>
      <w:bookmarkStart w:id="2270" w:name="_Toc259717548"/>
      <w:r w:rsidRPr="00066F65">
        <w:t xml:space="preserve">Figure </w:t>
      </w:r>
      <w:r w:rsidR="00BD151C">
        <w:fldChar w:fldCharType="begin"/>
      </w:r>
      <w:r w:rsidR="00801316">
        <w:instrText xml:space="preserve"> SEQ Figure \* ARABIC </w:instrText>
      </w:r>
      <w:r w:rsidR="00BD151C">
        <w:fldChar w:fldCharType="separate"/>
      </w:r>
      <w:r w:rsidR="003E4210">
        <w:rPr>
          <w:noProof/>
        </w:rPr>
        <w:t>116</w:t>
      </w:r>
      <w:r w:rsidR="00BD151C">
        <w:fldChar w:fldCharType="end"/>
      </w:r>
      <w:bookmarkEnd w:id="2269"/>
      <w:r w:rsidRPr="00066F65">
        <w:t xml:space="preserve"> – Probe request/response in the UB</w:t>
      </w:r>
      <w:bookmarkEnd w:id="2270"/>
    </w:p>
    <w:p w:rsidR="00A278A0" w:rsidRPr="009448FC" w:rsidRDefault="00A278A0" w:rsidP="00444738">
      <w:pPr>
        <w:jc w:val="both"/>
        <w:rPr>
          <w:b/>
        </w:rPr>
      </w:pPr>
    </w:p>
    <w:p w:rsidR="00444738" w:rsidRPr="009448FC" w:rsidRDefault="00444738" w:rsidP="003701DB">
      <w:pPr>
        <w:pStyle w:val="Heading4"/>
        <w:numPr>
          <w:ilvl w:val="3"/>
          <w:numId w:val="85"/>
        </w:numPr>
      </w:pPr>
      <w:bookmarkStart w:id="2271" w:name="_Ref243815927"/>
      <w:bookmarkStart w:id="2272" w:name="_Toc259717200"/>
      <w:r w:rsidRPr="009448FC">
        <w:t>Initializing a BSS</w:t>
      </w:r>
      <w:bookmarkEnd w:id="2271"/>
      <w:bookmarkEnd w:id="2272"/>
    </w:p>
    <w:p w:rsidR="00444738" w:rsidRPr="009448FC" w:rsidRDefault="00444738" w:rsidP="00444738">
      <w:pPr>
        <w:jc w:val="both"/>
      </w:pPr>
    </w:p>
    <w:p w:rsidR="00444738" w:rsidRPr="009448FC" w:rsidRDefault="00F056CC" w:rsidP="00F056CC">
      <w:pPr>
        <w:jc w:val="both"/>
        <w:rPr>
          <w:i/>
        </w:rPr>
      </w:pPr>
      <w:r w:rsidRPr="009448FC">
        <w:rPr>
          <w:i/>
        </w:rPr>
        <w:t xml:space="preserve">.11 </w:t>
      </w:r>
      <w:r w:rsidR="00444738" w:rsidRPr="009448FC">
        <w:rPr>
          <w:i/>
        </w:rPr>
        <w:t>Editor Note</w:t>
      </w:r>
      <w:r w:rsidRPr="009448FC">
        <w:rPr>
          <w:i/>
        </w:rPr>
        <w:t>: Add</w:t>
      </w:r>
      <w:r w:rsidR="00566EFA" w:rsidRPr="009448FC">
        <w:rPr>
          <w:i/>
        </w:rPr>
        <w:t xml:space="preserve"> the</w:t>
      </w:r>
      <w:r w:rsidRPr="009448FC">
        <w:rPr>
          <w:i/>
        </w:rPr>
        <w:t xml:space="preserve"> following subclause:</w:t>
      </w:r>
    </w:p>
    <w:p w:rsidR="00444738" w:rsidRPr="009448FC" w:rsidRDefault="00444738" w:rsidP="00444738">
      <w:pPr>
        <w:jc w:val="both"/>
        <w:rPr>
          <w:b/>
          <w:i/>
        </w:rPr>
      </w:pPr>
    </w:p>
    <w:p w:rsidR="00444738" w:rsidRPr="009448FC" w:rsidRDefault="00444738" w:rsidP="003701DB">
      <w:pPr>
        <w:pStyle w:val="Heading5"/>
        <w:numPr>
          <w:ilvl w:val="4"/>
          <w:numId w:val="138"/>
        </w:numPr>
      </w:pPr>
      <w:bookmarkStart w:id="2273" w:name="_Toc259717201"/>
      <w:r w:rsidRPr="009448FC">
        <w:t>Initializing a mmWave BSS</w:t>
      </w:r>
      <w:bookmarkEnd w:id="2273"/>
    </w:p>
    <w:p w:rsidR="005A6EA3" w:rsidRPr="009448FC" w:rsidRDefault="005A6EA3" w:rsidP="005A6EA3"/>
    <w:p w:rsidR="00C360CB" w:rsidRPr="009448FC" w:rsidRDefault="00C360CB" w:rsidP="00C360CB">
      <w:pPr>
        <w:widowControl w:val="0"/>
        <w:autoSpaceDE w:val="0"/>
        <w:autoSpaceDN w:val="0"/>
        <w:adjustRightInd w:val="0"/>
        <w:rPr>
          <w:rFonts w:eastAsia="TimesNewRoman"/>
          <w:color w:val="000000"/>
        </w:rPr>
      </w:pPr>
      <w:r w:rsidRPr="009448FC">
        <w:rPr>
          <w:color w:val="000000"/>
        </w:rPr>
        <w:t>Prior to choosing a suitable operating channel and starting a BSS, t</w:t>
      </w:r>
      <w:r w:rsidRPr="009448FC">
        <w:rPr>
          <w:rFonts w:eastAsia="TimesNewRoman"/>
          <w:color w:val="000000"/>
        </w:rPr>
        <w:t xml:space="preserve">he SME </w:t>
      </w:r>
      <w:r w:rsidRPr="009448FC">
        <w:rPr>
          <w:color w:val="000000"/>
        </w:rPr>
        <w:t>of a</w:t>
      </w:r>
      <w:r w:rsidR="002F0A96" w:rsidRPr="009448FC">
        <w:rPr>
          <w:color w:val="000000"/>
        </w:rPr>
        <w:t>n</w:t>
      </w:r>
      <w:r w:rsidRPr="009448FC">
        <w:rPr>
          <w:color w:val="000000"/>
        </w:rPr>
        <w:t xml:space="preserve"> </w:t>
      </w:r>
      <w:r w:rsidR="00B96FB9" w:rsidRPr="009448FC">
        <w:t>mSTA</w:t>
      </w:r>
      <w:r w:rsidRPr="009448FC">
        <w:rPr>
          <w:color w:val="000000"/>
        </w:rPr>
        <w:t xml:space="preserve"> or AP should perform a channel scan to ascertain the quality of each channel the STA supports. </w:t>
      </w:r>
      <w:r w:rsidRPr="009448FC">
        <w:rPr>
          <w:rFonts w:eastAsia="TimesNewRoman"/>
          <w:color w:val="000000"/>
        </w:rPr>
        <w:t xml:space="preserve">The rules for choosing a suitable operating channel </w:t>
      </w:r>
      <w:r w:rsidRPr="009448FC">
        <w:rPr>
          <w:color w:val="000000"/>
        </w:rPr>
        <w:t>are implementation specific and may be subject to regulatory requirements.</w:t>
      </w:r>
    </w:p>
    <w:p w:rsidR="00C360CB" w:rsidRPr="009448FC" w:rsidRDefault="00BF72EC" w:rsidP="00C360CB">
      <w:pPr>
        <w:widowControl w:val="0"/>
        <w:autoSpaceDE w:val="0"/>
        <w:autoSpaceDN w:val="0"/>
        <w:adjustRightInd w:val="0"/>
        <w:rPr>
          <w:rFonts w:eastAsia="TimesNewRoman"/>
        </w:rPr>
      </w:pPr>
      <w:r>
        <w:t xml:space="preserve"> </w:t>
      </w:r>
    </w:p>
    <w:p w:rsidR="00C360CB" w:rsidRPr="009448FC" w:rsidRDefault="00C360CB" w:rsidP="009F11EC">
      <w:pPr>
        <w:widowControl w:val="0"/>
        <w:autoSpaceDE w:val="0"/>
        <w:autoSpaceDN w:val="0"/>
        <w:adjustRightInd w:val="0"/>
        <w:rPr>
          <w:rFonts w:eastAsia="TimesNewRoman"/>
        </w:rPr>
      </w:pPr>
      <w:r w:rsidRPr="009448FC">
        <w:t xml:space="preserve">Upon receipt of a </w:t>
      </w:r>
      <w:r w:rsidRPr="009448FC">
        <w:rPr>
          <w:rFonts w:eastAsia="TimesNewRoman"/>
        </w:rPr>
        <w:t>MLME-START.request</w:t>
      </w:r>
      <w:r w:rsidRPr="009448FC">
        <w:t xml:space="preserve"> primitive</w:t>
      </w:r>
      <w:r w:rsidRPr="009448FC">
        <w:rPr>
          <w:rFonts w:eastAsia="TimesNewRoman"/>
        </w:rPr>
        <w:t xml:space="preserve"> </w:t>
      </w:r>
      <w:r w:rsidRPr="009448FC">
        <w:t xml:space="preserve">from the SME, </w:t>
      </w:r>
      <w:r w:rsidRPr="009448FC">
        <w:rPr>
          <w:rFonts w:eastAsia="TimesNewRoman"/>
        </w:rPr>
        <w:t xml:space="preserve">the MAC </w:t>
      </w:r>
      <w:r w:rsidRPr="009448FC">
        <w:t xml:space="preserve">entity of the </w:t>
      </w:r>
      <w:r w:rsidR="00B96FB9" w:rsidRPr="009448FC">
        <w:t>mSTA</w:t>
      </w:r>
      <w:r w:rsidRPr="009448FC">
        <w:t xml:space="preserve"> </w:t>
      </w:r>
      <w:r w:rsidRPr="009448FC">
        <w:rPr>
          <w:color w:val="000000"/>
        </w:rPr>
        <w:t xml:space="preserve">or an AP </w:t>
      </w:r>
      <w:r w:rsidRPr="009448FC">
        <w:rPr>
          <w:rFonts w:eastAsia="TimesNewRoman"/>
        </w:rPr>
        <w:t xml:space="preserve">shall try to start </w:t>
      </w:r>
      <w:r w:rsidR="00176D8F" w:rsidRPr="009448FC">
        <w:rPr>
          <w:rFonts w:eastAsia="TimesNewRoman"/>
        </w:rPr>
        <w:t>a</w:t>
      </w:r>
      <w:r w:rsidRPr="009448FC">
        <w:rPr>
          <w:rFonts w:eastAsia="TimesNewRoman"/>
        </w:rPr>
        <w:t xml:space="preserve"> BSS and shall not associate with an existing BSS.</w:t>
      </w:r>
      <w:r w:rsidRPr="009448FC">
        <w:t xml:space="preserve"> The </w:t>
      </w:r>
      <w:r w:rsidR="00B96FB9" w:rsidRPr="009448FC">
        <w:t>mSTA</w:t>
      </w:r>
      <w:r w:rsidRPr="009448FC">
        <w:t xml:space="preserve"> or AP </w:t>
      </w:r>
      <w:r w:rsidR="00CF2302">
        <w:t>may</w:t>
      </w:r>
      <w:r w:rsidRPr="009448FC">
        <w:t xml:space="preserve"> </w:t>
      </w:r>
      <w:r w:rsidRPr="009448FC">
        <w:rPr>
          <w:rFonts w:eastAsia="TimesNewRoman"/>
        </w:rPr>
        <w:t>listen for</w:t>
      </w:r>
      <w:r w:rsidR="00CF2302">
        <w:t xml:space="preserve"> a duration of a</w:t>
      </w:r>
      <w:r w:rsidRPr="009448FC">
        <w:t>MinChannelScan, the listening</w:t>
      </w:r>
      <w:r w:rsidRPr="009448FC">
        <w:rPr>
          <w:rFonts w:eastAsia="TimesNewRoman"/>
        </w:rPr>
        <w:t xml:space="preserve"> duration</w:t>
      </w:r>
      <w:r w:rsidRPr="009448FC">
        <w:t>,</w:t>
      </w:r>
      <w:r w:rsidRPr="009448FC">
        <w:rPr>
          <w:rFonts w:eastAsia="TimesNewRoman"/>
        </w:rPr>
        <w:t xml:space="preserve"> </w:t>
      </w:r>
      <w:r w:rsidRPr="009448FC">
        <w:t xml:space="preserve">in the channel specified by the SME in the request. If the </w:t>
      </w:r>
      <w:r w:rsidR="00B96FB9" w:rsidRPr="009448FC">
        <w:t>mSTA</w:t>
      </w:r>
      <w:r w:rsidRPr="009448FC">
        <w:t xml:space="preserve"> or AP </w:t>
      </w:r>
      <w:r w:rsidRPr="009448FC">
        <w:rPr>
          <w:rFonts w:eastAsia="TimesNewRoman"/>
        </w:rPr>
        <w:t>determine</w:t>
      </w:r>
      <w:r w:rsidRPr="009448FC">
        <w:t>s</w:t>
      </w:r>
      <w:r w:rsidRPr="009448FC">
        <w:rPr>
          <w:rFonts w:eastAsia="TimesNewRoman"/>
        </w:rPr>
        <w:t xml:space="preserve"> the channel is suitable for </w:t>
      </w:r>
      <w:r w:rsidRPr="009448FC">
        <w:t xml:space="preserve">BSS </w:t>
      </w:r>
      <w:r w:rsidRPr="009448FC">
        <w:rPr>
          <w:rFonts w:eastAsia="TimesNewRoman"/>
        </w:rPr>
        <w:t>operation at the end of this</w:t>
      </w:r>
      <w:r w:rsidRPr="009448FC">
        <w:t xml:space="preserve"> l</w:t>
      </w:r>
      <w:r w:rsidRPr="009448FC">
        <w:rPr>
          <w:rFonts w:eastAsia="TimesNewRoman"/>
        </w:rPr>
        <w:t xml:space="preserve">istening </w:t>
      </w:r>
      <w:r w:rsidR="00C91F71">
        <w:rPr>
          <w:rFonts w:eastAsia="TimesNewRoman"/>
        </w:rPr>
        <w:t>duration</w:t>
      </w:r>
      <w:r w:rsidRPr="009448FC">
        <w:rPr>
          <w:rFonts w:eastAsia="TimesNewRoman"/>
        </w:rPr>
        <w:t xml:space="preserve">, the AP or the </w:t>
      </w:r>
      <w:r w:rsidR="00B96FB9" w:rsidRPr="009448FC">
        <w:t>mSTA</w:t>
      </w:r>
      <w:r w:rsidRPr="009448FC">
        <w:rPr>
          <w:rFonts w:eastAsia="TimesNewRoman"/>
        </w:rPr>
        <w:t>,</w:t>
      </w:r>
      <w:r w:rsidRPr="009448FC">
        <w:t xml:space="preserve"> which in a PBSS assumes </w:t>
      </w:r>
      <w:r w:rsidRPr="009448FC">
        <w:rPr>
          <w:rFonts w:eastAsia="TimesNewRoman"/>
        </w:rPr>
        <w:t xml:space="preserve">the </w:t>
      </w:r>
      <w:r w:rsidRPr="009448FC">
        <w:t xml:space="preserve">role of a </w:t>
      </w:r>
      <w:r w:rsidRPr="009448FC">
        <w:rPr>
          <w:rFonts w:eastAsia="TimesNewRoman"/>
        </w:rPr>
        <w:t>PCP,</w:t>
      </w:r>
      <w:r w:rsidRPr="009448FC">
        <w:t xml:space="preserve"> initializes the BSS by c</w:t>
      </w:r>
      <w:r w:rsidRPr="009448FC">
        <w:rPr>
          <w:rFonts w:eastAsia="TimesNewRoman"/>
        </w:rPr>
        <w:t>ommencing</w:t>
      </w:r>
      <w:r w:rsidRPr="009448FC">
        <w:t xml:space="preserve"> transmission</w:t>
      </w:r>
      <w:r w:rsidRPr="009448FC">
        <w:rPr>
          <w:rFonts w:eastAsia="TimesNewRoman"/>
        </w:rPr>
        <w:t xml:space="preserve"> of mmWave Beacon </w:t>
      </w:r>
      <w:r w:rsidRPr="009448FC">
        <w:t xml:space="preserve">frames according to </w:t>
      </w:r>
      <w:r w:rsidR="00BD151C">
        <w:rPr>
          <w:lang w:eastAsia="zh-TW" w:bidi="ar-SA"/>
        </w:rPr>
        <w:fldChar w:fldCharType="begin"/>
      </w:r>
      <w:r w:rsidR="00D10F07">
        <w:rPr>
          <w:lang w:eastAsia="zh-TW" w:bidi="ar-SA"/>
        </w:rPr>
        <w:instrText xml:space="preserve"> REF _Ref243816264 \h </w:instrText>
      </w:r>
      <w:r w:rsidR="00BD151C">
        <w:rPr>
          <w:lang w:eastAsia="zh-TW" w:bidi="ar-SA"/>
        </w:rPr>
      </w:r>
      <w:r w:rsidR="00BD151C">
        <w:rPr>
          <w:lang w:eastAsia="zh-TW" w:bidi="ar-SA"/>
        </w:rPr>
        <w:fldChar w:fldCharType="separate"/>
      </w:r>
      <w:r w:rsidR="003E4210" w:rsidRPr="009448FC">
        <w:t>11.1.2.1a Beacon generation in infrastructure BSS and in PBSS in UB</w:t>
      </w:r>
      <w:r w:rsidR="00BD151C">
        <w:rPr>
          <w:lang w:eastAsia="zh-TW" w:bidi="ar-SA"/>
        </w:rPr>
        <w:fldChar w:fldCharType="end"/>
      </w:r>
      <w:r w:rsidRPr="009448FC">
        <w:rPr>
          <w:rFonts w:eastAsia="TimesNewRoman"/>
        </w:rPr>
        <w:t>.</w:t>
      </w:r>
    </w:p>
    <w:p w:rsidR="00C360CB" w:rsidRPr="009448FC" w:rsidRDefault="00C360CB" w:rsidP="00C360CB">
      <w:pPr>
        <w:widowControl w:val="0"/>
        <w:autoSpaceDE w:val="0"/>
        <w:autoSpaceDN w:val="0"/>
        <w:adjustRightInd w:val="0"/>
        <w:rPr>
          <w:rFonts w:eastAsia="TimesNewRoman"/>
        </w:rPr>
      </w:pPr>
    </w:p>
    <w:p w:rsidR="00C360CB" w:rsidRPr="009448FC" w:rsidRDefault="00C360CB" w:rsidP="00C360CB">
      <w:pPr>
        <w:widowControl w:val="0"/>
        <w:autoSpaceDE w:val="0"/>
        <w:autoSpaceDN w:val="0"/>
        <w:adjustRightInd w:val="0"/>
      </w:pPr>
      <w:r w:rsidRPr="009448FC">
        <w:rPr>
          <w:rFonts w:eastAsia="TimesNewRoman"/>
        </w:rPr>
        <w:t xml:space="preserve">If the </w:t>
      </w:r>
      <w:r w:rsidR="00B96FB9" w:rsidRPr="009448FC">
        <w:rPr>
          <w:rFonts w:eastAsia="TimesNewRoman"/>
        </w:rPr>
        <w:t>mSTA</w:t>
      </w:r>
      <w:r w:rsidRPr="009448FC">
        <w:rPr>
          <w:rFonts w:eastAsia="TimesNewRoman"/>
        </w:rPr>
        <w:t xml:space="preserve"> or AP determines that no channels are </w:t>
      </w:r>
      <w:r w:rsidRPr="009448FC">
        <w:t>suitable or available</w:t>
      </w:r>
      <w:r w:rsidRPr="009448FC">
        <w:rPr>
          <w:rFonts w:eastAsia="TimesNewRoman"/>
        </w:rPr>
        <w:t xml:space="preserve">, it </w:t>
      </w:r>
      <w:r w:rsidRPr="009448FC">
        <w:t>shall</w:t>
      </w:r>
      <w:r w:rsidRPr="009448FC">
        <w:rPr>
          <w:rFonts w:eastAsia="TimesNewRoman"/>
        </w:rPr>
        <w:t xml:space="preserve"> respond with an MLME-START.confirm</w:t>
      </w:r>
      <w:r w:rsidRPr="009448FC">
        <w:t xml:space="preserve"> </w:t>
      </w:r>
      <w:r w:rsidRPr="009448FC">
        <w:rPr>
          <w:rFonts w:eastAsia="TimesNewRoman"/>
        </w:rPr>
        <w:t>with a ResultCode of INVALID_PARAMETERS.</w:t>
      </w:r>
      <w:r w:rsidRPr="009448FC">
        <w:rPr>
          <w:rFonts w:hint="eastAsia"/>
        </w:rPr>
        <w:t xml:space="preserve"> Otherwise the </w:t>
      </w:r>
      <w:r w:rsidRPr="009448FC">
        <w:t>MLME</w:t>
      </w:r>
      <w:r w:rsidRPr="009448FC">
        <w:rPr>
          <w:rFonts w:hint="eastAsia"/>
        </w:rPr>
        <w:t xml:space="preserve"> shall respond with an MLME-START.confirm with a ResultCode of SUCCESS.</w:t>
      </w:r>
    </w:p>
    <w:p w:rsidR="00C360CB" w:rsidRPr="009448FC" w:rsidRDefault="00C360CB" w:rsidP="00C360CB">
      <w:pPr>
        <w:widowControl w:val="0"/>
        <w:autoSpaceDE w:val="0"/>
        <w:autoSpaceDN w:val="0"/>
        <w:adjustRightInd w:val="0"/>
      </w:pPr>
    </w:p>
    <w:p w:rsidR="008E666E" w:rsidRDefault="00C360CB" w:rsidP="008E666E">
      <w:pPr>
        <w:widowControl w:val="0"/>
        <w:autoSpaceDE w:val="0"/>
        <w:autoSpaceDN w:val="0"/>
        <w:adjustRightInd w:val="0"/>
        <w:rPr>
          <w:rFonts w:eastAsia="TimesNewRoman"/>
        </w:rPr>
      </w:pPr>
      <w:r w:rsidRPr="009448FC">
        <w:rPr>
          <w:rFonts w:eastAsia="TimesNewRoman"/>
        </w:rPr>
        <w:t>If PCP/AP clustering is in use on the selected channel, the mmWave Beacon transmission by a PCP/AP</w:t>
      </w:r>
      <w:r w:rsidRPr="009448FC">
        <w:rPr>
          <w:rFonts w:hint="eastAsia"/>
        </w:rPr>
        <w:t xml:space="preserve"> s</w:t>
      </w:r>
      <w:r w:rsidRPr="009448FC">
        <w:rPr>
          <w:rFonts w:eastAsia="TimesNewRoman"/>
        </w:rPr>
        <w:t>hall commence following the additional rules described in</w:t>
      </w:r>
      <w:r w:rsidR="002F2746" w:rsidRPr="009448FC">
        <w:rPr>
          <w:rFonts w:eastAsia="TimesNewRoman"/>
        </w:rPr>
        <w:t xml:space="preserve"> </w:t>
      </w:r>
      <w:r w:rsidR="00BD151C">
        <w:rPr>
          <w:rFonts w:eastAsia="TimesNewRoman"/>
          <w:lang w:eastAsia="zh-TW" w:bidi="ar-SA"/>
        </w:rPr>
        <w:fldChar w:fldCharType="begin"/>
      </w:r>
      <w:r w:rsidR="002F2746">
        <w:rPr>
          <w:rFonts w:eastAsia="TimesNewRoman"/>
          <w:lang w:eastAsia="zh-TW" w:bidi="ar-SA"/>
        </w:rPr>
        <w:instrText xml:space="preserve"> REF _Ref246666269 \n \h </w:instrText>
      </w:r>
      <w:r w:rsidR="00BD151C">
        <w:rPr>
          <w:rFonts w:eastAsia="TimesNewRoman"/>
          <w:lang w:eastAsia="zh-TW" w:bidi="ar-SA"/>
        </w:rPr>
      </w:r>
      <w:r w:rsidR="00BD151C">
        <w:rPr>
          <w:rFonts w:eastAsia="TimesNewRoman"/>
          <w:lang w:eastAsia="zh-TW" w:bidi="ar-SA"/>
        </w:rPr>
        <w:fldChar w:fldCharType="separate"/>
      </w:r>
      <w:r w:rsidR="003E4210">
        <w:rPr>
          <w:rFonts w:eastAsia="TimesNewRoman"/>
          <w:lang w:eastAsia="zh-TW" w:bidi="ar-SA"/>
        </w:rPr>
        <w:t>9.24</w:t>
      </w:r>
      <w:r w:rsidR="00BD151C">
        <w:rPr>
          <w:rFonts w:eastAsia="TimesNewRoman"/>
          <w:lang w:eastAsia="zh-TW" w:bidi="ar-SA"/>
        </w:rPr>
        <w:fldChar w:fldCharType="end"/>
      </w:r>
      <w:r w:rsidRPr="009448FC">
        <w:rPr>
          <w:rFonts w:eastAsia="TimesNewRoman"/>
        </w:rPr>
        <w:t>.</w:t>
      </w:r>
    </w:p>
    <w:p w:rsidR="008E666E" w:rsidRPr="008E666E" w:rsidRDefault="008E666E" w:rsidP="003701DB">
      <w:pPr>
        <w:pStyle w:val="Heading4"/>
        <w:numPr>
          <w:ilvl w:val="3"/>
          <w:numId w:val="138"/>
        </w:numPr>
      </w:pPr>
      <w:bookmarkStart w:id="2274" w:name="_Toc259717202"/>
      <w:r w:rsidRPr="008E666E">
        <w:lastRenderedPageBreak/>
        <w:t>Synchronizing with a BSS</w:t>
      </w:r>
      <w:bookmarkEnd w:id="2274"/>
      <w:r w:rsidR="005515A4">
        <w:t xml:space="preserve"> </w:t>
      </w:r>
    </w:p>
    <w:p w:rsidR="008E666E" w:rsidRPr="008E666E" w:rsidRDefault="008E666E" w:rsidP="008E666E">
      <w:pPr>
        <w:pStyle w:val="ListParagraph"/>
        <w:widowControl w:val="0"/>
        <w:autoSpaceDE w:val="0"/>
        <w:autoSpaceDN w:val="0"/>
        <w:adjustRightInd w:val="0"/>
        <w:rPr>
          <w:rFonts w:eastAsia="TimesNewRoman"/>
        </w:rPr>
      </w:pPr>
    </w:p>
    <w:p w:rsidR="008E666E" w:rsidRPr="009448FC" w:rsidRDefault="008E666E" w:rsidP="008E666E">
      <w:pPr>
        <w:rPr>
          <w:i/>
        </w:rPr>
      </w:pPr>
      <w:r w:rsidRPr="009448FC">
        <w:rPr>
          <w:i/>
        </w:rPr>
        <w:t>.11 Editor Note: Insert the following paragraph at the end of this subclause</w:t>
      </w:r>
    </w:p>
    <w:p w:rsidR="008E666E" w:rsidRPr="009448FC" w:rsidRDefault="008E666E" w:rsidP="008E666E">
      <w:pPr>
        <w:autoSpaceDE w:val="0"/>
        <w:autoSpaceDN w:val="0"/>
        <w:adjustRightInd w:val="0"/>
        <w:jc w:val="both"/>
        <w:rPr>
          <w:rFonts w:ascii="TimesNewRoman" w:hAnsi="TimesNewRoman"/>
        </w:rPr>
      </w:pPr>
    </w:p>
    <w:p w:rsidR="008E666E" w:rsidRPr="00066F65" w:rsidRDefault="008E666E" w:rsidP="008E666E">
      <w:pPr>
        <w:autoSpaceDE w:val="0"/>
        <w:autoSpaceDN w:val="0"/>
        <w:adjustRightInd w:val="0"/>
        <w:jc w:val="both"/>
        <w:rPr>
          <w:rFonts w:ascii="TimesNewRoman" w:hAnsi="TimesNewRoman" w:cs="TimesNewRoman"/>
          <w:u w:val="single"/>
          <w:lang w:eastAsia="ko-KR" w:bidi="ar-SA"/>
        </w:rPr>
      </w:pPr>
      <w:r w:rsidRPr="00066F65">
        <w:rPr>
          <w:rFonts w:ascii="TimesNewRoman" w:hAnsi="TimesNewRoman" w:cs="TimesNewRoman"/>
          <w:u w:val="single"/>
          <w:lang w:eastAsia="ko-KR" w:bidi="ar-SA"/>
        </w:rPr>
        <w:t xml:space="preserve">Every mSTA shall be capable of transmitting mmWave Beacon frames. </w:t>
      </w:r>
      <w:r w:rsidRPr="00066F65">
        <w:rPr>
          <w:u w:val="single"/>
          <w:lang w:eastAsia="ko-KR"/>
        </w:rPr>
        <w:t>A</w:t>
      </w:r>
      <w:r>
        <w:rPr>
          <w:u w:val="single"/>
          <w:lang w:eastAsia="ko-KR"/>
        </w:rPr>
        <w:t>n</w:t>
      </w:r>
      <w:r w:rsidRPr="00066F65">
        <w:rPr>
          <w:u w:val="single"/>
          <w:lang w:eastAsia="ko-KR"/>
        </w:rPr>
        <w:t xml:space="preserve"> </w:t>
      </w:r>
      <w:r>
        <w:rPr>
          <w:u w:val="single"/>
          <w:lang w:eastAsia="ko-KR"/>
        </w:rPr>
        <w:t>m</w:t>
      </w:r>
      <w:r w:rsidRPr="00066F65">
        <w:rPr>
          <w:u w:val="single"/>
          <w:lang w:eastAsia="ko-KR"/>
        </w:rPr>
        <w:t>STA shall adopt the operational parameters transmitted by its PCP/AP within the mmWave Operation Information field of the mmWave Operation element</w:t>
      </w:r>
      <w:r>
        <w:rPr>
          <w:u w:val="single"/>
          <w:lang w:eastAsia="ko-KR"/>
        </w:rPr>
        <w:t>. An m</w:t>
      </w:r>
      <w:r w:rsidRPr="00066F65">
        <w:rPr>
          <w:u w:val="single"/>
          <w:lang w:eastAsia="ko-KR"/>
        </w:rPr>
        <w:t xml:space="preserve">STA shall update the value of its local MIB variables with the </w:t>
      </w:r>
      <w:r w:rsidR="00FE17A4">
        <w:rPr>
          <w:u w:val="single"/>
          <w:lang w:eastAsia="ko-KR"/>
        </w:rPr>
        <w:t>field</w:t>
      </w:r>
      <w:r w:rsidRPr="00066F65">
        <w:rPr>
          <w:u w:val="single"/>
          <w:lang w:eastAsia="ko-KR"/>
        </w:rPr>
        <w:t xml:space="preserve"> value transmitted by its PCP/AP within the mmWave BSS Parameter Configuration field of the mmWave Operation element</w:t>
      </w:r>
      <w:r w:rsidR="00FE17A4">
        <w:rPr>
          <w:u w:val="single"/>
          <w:lang w:eastAsia="ko-KR"/>
        </w:rPr>
        <w:t xml:space="preserve"> (</w:t>
      </w:r>
      <w:r w:rsidR="00BD151C">
        <w:rPr>
          <w:u w:val="single"/>
          <w:lang w:eastAsia="ko-KR"/>
        </w:rPr>
        <w:fldChar w:fldCharType="begin"/>
      </w:r>
      <w:r w:rsidR="00FE17A4">
        <w:rPr>
          <w:u w:val="single"/>
          <w:lang w:eastAsia="ko-KR"/>
        </w:rPr>
        <w:instrText xml:space="preserve"> REF _Ref246307020 \r \h </w:instrText>
      </w:r>
      <w:r w:rsidR="00BD151C">
        <w:rPr>
          <w:u w:val="single"/>
          <w:lang w:eastAsia="ko-KR"/>
        </w:rPr>
      </w:r>
      <w:r w:rsidR="00BD151C">
        <w:rPr>
          <w:u w:val="single"/>
          <w:lang w:eastAsia="ko-KR"/>
        </w:rPr>
        <w:fldChar w:fldCharType="separate"/>
      </w:r>
      <w:r w:rsidR="003E4210">
        <w:rPr>
          <w:u w:val="single"/>
          <w:lang w:eastAsia="ko-KR"/>
        </w:rPr>
        <w:t>7.3.2.92</w:t>
      </w:r>
      <w:r w:rsidR="00BD151C">
        <w:rPr>
          <w:u w:val="single"/>
          <w:lang w:eastAsia="ko-KR"/>
        </w:rPr>
        <w:fldChar w:fldCharType="end"/>
      </w:r>
      <w:r w:rsidR="00FE17A4">
        <w:rPr>
          <w:u w:val="single"/>
          <w:lang w:eastAsia="ko-KR"/>
        </w:rPr>
        <w:t>)</w:t>
      </w:r>
      <w:r w:rsidRPr="00066F65">
        <w:rPr>
          <w:u w:val="single"/>
          <w:lang w:eastAsia="ko-KR"/>
        </w:rPr>
        <w:t>.</w:t>
      </w:r>
    </w:p>
    <w:p w:rsidR="00444738" w:rsidRPr="00FE17A4" w:rsidRDefault="00BF72EC" w:rsidP="00444738">
      <w:pPr>
        <w:jc w:val="both"/>
      </w:pPr>
      <w:r>
        <w:t xml:space="preserve"> </w:t>
      </w:r>
    </w:p>
    <w:p w:rsidR="00444738" w:rsidRPr="009448FC" w:rsidRDefault="00444738" w:rsidP="003701DB">
      <w:pPr>
        <w:pStyle w:val="Heading3"/>
        <w:numPr>
          <w:ilvl w:val="2"/>
          <w:numId w:val="87"/>
        </w:numPr>
      </w:pPr>
      <w:bookmarkStart w:id="2275" w:name="_Ref243816011"/>
      <w:bookmarkStart w:id="2276" w:name="_Toc259717203"/>
      <w:r w:rsidRPr="009448FC">
        <w:t>Adjusting STA timers</w:t>
      </w:r>
      <w:bookmarkEnd w:id="2275"/>
      <w:bookmarkEnd w:id="2276"/>
    </w:p>
    <w:p w:rsidR="00444738" w:rsidRPr="009448FC" w:rsidRDefault="00444738" w:rsidP="00444738">
      <w:pPr>
        <w:jc w:val="both"/>
        <w:rPr>
          <w:b/>
        </w:rPr>
      </w:pPr>
    </w:p>
    <w:p w:rsidR="00444738" w:rsidRPr="009448FC" w:rsidRDefault="00444738" w:rsidP="00444738">
      <w:pPr>
        <w:rPr>
          <w:i/>
        </w:rPr>
      </w:pPr>
      <w:r w:rsidRPr="009448FC">
        <w:rPr>
          <w:i/>
        </w:rPr>
        <w:t xml:space="preserve">.11 Editor Note: Modify the </w:t>
      </w:r>
      <w:r w:rsidR="00566EFA" w:rsidRPr="009448FC">
        <w:rPr>
          <w:i/>
        </w:rPr>
        <w:t>indicated</w:t>
      </w:r>
      <w:r w:rsidRPr="009448FC">
        <w:rPr>
          <w:i/>
        </w:rPr>
        <w:t xml:space="preserve"> paragraphs as follows</w:t>
      </w:r>
      <w:r w:rsidR="00566EFA" w:rsidRPr="009448FC">
        <w:rPr>
          <w:i/>
        </w:rPr>
        <w:t>:</w:t>
      </w:r>
    </w:p>
    <w:p w:rsidR="00444738" w:rsidRPr="009448FC" w:rsidRDefault="00444738" w:rsidP="00444738">
      <w:pPr>
        <w:jc w:val="both"/>
        <w:rPr>
          <w:b/>
        </w:rPr>
      </w:pPr>
    </w:p>
    <w:p w:rsidR="00444738" w:rsidRPr="009448FC" w:rsidRDefault="00444738" w:rsidP="00597CE7">
      <w:pPr>
        <w:autoSpaceDE w:val="0"/>
        <w:autoSpaceDN w:val="0"/>
        <w:adjustRightInd w:val="0"/>
        <w:jc w:val="both"/>
      </w:pPr>
      <w:r w:rsidRPr="009448FC">
        <w:t xml:space="preserve">In an infrastructure BSS </w:t>
      </w:r>
      <w:r w:rsidRPr="00066F65">
        <w:rPr>
          <w:u w:val="single"/>
          <w:lang w:eastAsia="ko-KR" w:bidi="ar-SA"/>
        </w:rPr>
        <w:t>and PBSS</w:t>
      </w:r>
      <w:r w:rsidRPr="009448FC">
        <w:t xml:space="preserve">, STAs shall always adopt the TSF timer value in a Beacon frame or probe response </w:t>
      </w:r>
      <w:r w:rsidRPr="00066F65">
        <w:rPr>
          <w:u w:val="single"/>
          <w:lang w:eastAsia="ko-KR" w:bidi="ar-SA"/>
        </w:rPr>
        <w:t>or mmWave Beacon or Announce</w:t>
      </w:r>
      <w:r w:rsidRPr="009448FC">
        <w:t xml:space="preserve"> coming from the AP</w:t>
      </w:r>
      <w:r w:rsidRPr="00066F65">
        <w:rPr>
          <w:u w:val="single"/>
          <w:lang w:eastAsia="ko-KR" w:bidi="ar-SA"/>
        </w:rPr>
        <w:t>/PCP</w:t>
      </w:r>
      <w:r w:rsidRPr="009448FC">
        <w:t xml:space="preserve"> in their BSS by using the algorithm in </w:t>
      </w:r>
      <w:r w:rsidR="00BD151C">
        <w:rPr>
          <w:lang w:eastAsia="ko-KR" w:bidi="ar-SA"/>
        </w:rPr>
        <w:fldChar w:fldCharType="begin"/>
      </w:r>
      <w:r w:rsidR="00597CE7">
        <w:rPr>
          <w:lang w:eastAsia="ko-KR" w:bidi="ar-SA"/>
        </w:rPr>
        <w:instrText xml:space="preserve"> REF _Ref243984671 \r \h </w:instrText>
      </w:r>
      <w:r w:rsidR="00BD151C">
        <w:rPr>
          <w:lang w:eastAsia="ko-KR" w:bidi="ar-SA"/>
        </w:rPr>
      </w:r>
      <w:r w:rsidR="00BD151C">
        <w:rPr>
          <w:lang w:eastAsia="ko-KR" w:bidi="ar-SA"/>
        </w:rPr>
        <w:fldChar w:fldCharType="separate"/>
      </w:r>
      <w:r w:rsidR="003E4210">
        <w:rPr>
          <w:lang w:eastAsia="ko-KR" w:bidi="ar-SA"/>
        </w:rPr>
        <w:t>11.1.2.4</w:t>
      </w:r>
      <w:r w:rsidR="00BD151C">
        <w:rPr>
          <w:lang w:eastAsia="ko-KR" w:bidi="ar-SA"/>
        </w:rPr>
        <w:fldChar w:fldCharType="end"/>
      </w:r>
      <w:r w:rsidRPr="009448FC">
        <w:t>.</w:t>
      </w:r>
    </w:p>
    <w:p w:rsidR="00444738" w:rsidRPr="009448FC" w:rsidRDefault="00444738" w:rsidP="00444738">
      <w:pPr>
        <w:autoSpaceDE w:val="0"/>
        <w:autoSpaceDN w:val="0"/>
        <w:adjustRightInd w:val="0"/>
        <w:jc w:val="both"/>
      </w:pPr>
    </w:p>
    <w:p w:rsidR="00444738" w:rsidRPr="009448FC" w:rsidRDefault="00444738" w:rsidP="00444738">
      <w:pPr>
        <w:autoSpaceDE w:val="0"/>
        <w:autoSpaceDN w:val="0"/>
        <w:adjustRightInd w:val="0"/>
        <w:jc w:val="both"/>
      </w:pPr>
      <w:r w:rsidRPr="009448FC">
        <w:t xml:space="preserve">In response to an MLME-JOIN.request, a STA joining an IBSS shall initialize its TSF timer to 0 and shall not transmit a Beacon frame or probe response </w:t>
      </w:r>
      <w:r w:rsidRPr="00066F65">
        <w:rPr>
          <w:u w:val="single"/>
          <w:lang w:eastAsia="ko-KR" w:bidi="ar-SA"/>
        </w:rPr>
        <w:t>or mmWave Beacon</w:t>
      </w:r>
      <w:r w:rsidRPr="009448FC">
        <w:t xml:space="preserve"> until it hears a Beacon frame or probe response </w:t>
      </w:r>
      <w:r w:rsidRPr="00066F65">
        <w:rPr>
          <w:u w:val="single"/>
          <w:lang w:eastAsia="ko-KR" w:bidi="ar-SA"/>
        </w:rPr>
        <w:t>or mmWave Beacon</w:t>
      </w:r>
      <w:r w:rsidRPr="009448FC">
        <w:t xml:space="preserve"> from a member of the IBSS with a matching SSID. This ensures that such a STA will adopt the timer from the next Beacon frame or probe response </w:t>
      </w:r>
      <w:r w:rsidRPr="00066F65">
        <w:rPr>
          <w:u w:val="single"/>
          <w:lang w:eastAsia="ko-KR" w:bidi="ar-SA"/>
        </w:rPr>
        <w:t>or mmWave Beacon</w:t>
      </w:r>
      <w:r w:rsidRPr="009448FC">
        <w:t xml:space="preserve"> from its IBSS.</w:t>
      </w:r>
    </w:p>
    <w:p w:rsidR="00444738" w:rsidRPr="009448FC" w:rsidRDefault="00444738" w:rsidP="00444738">
      <w:pPr>
        <w:autoSpaceDE w:val="0"/>
        <w:autoSpaceDN w:val="0"/>
        <w:adjustRightInd w:val="0"/>
        <w:jc w:val="both"/>
      </w:pPr>
    </w:p>
    <w:p w:rsidR="00444738" w:rsidRPr="009448FC" w:rsidRDefault="00444738" w:rsidP="00444738">
      <w:pPr>
        <w:autoSpaceDE w:val="0"/>
        <w:autoSpaceDN w:val="0"/>
        <w:adjustRightInd w:val="0"/>
        <w:jc w:val="both"/>
      </w:pPr>
      <w:r w:rsidRPr="009448FC">
        <w:t>All Beacon</w:t>
      </w:r>
      <w:r w:rsidRPr="00066F65">
        <w:rPr>
          <w:u w:val="single"/>
          <w:lang w:eastAsia="ko-KR" w:bidi="ar-SA"/>
        </w:rPr>
        <w:t>, mmWave Beacon, Announce,</w:t>
      </w:r>
      <w:r w:rsidRPr="009448FC">
        <w:t xml:space="preserve"> and Probe Response frames carry a Timestamp field. A STA receiving such a frame from another STA in an IBSS with the same SSID shall compare the Timestamp field with its own TSF time. If the Timestamp field of the received frame is later than its own TSF timer, the STA in the IBSS operating </w:t>
      </w:r>
      <w:r w:rsidRPr="00066F65">
        <w:rPr>
          <w:u w:val="single"/>
          <w:lang w:eastAsia="ko-KR" w:bidi="ar-SA"/>
        </w:rPr>
        <w:t>in the LB or HB</w:t>
      </w:r>
      <w:r w:rsidRPr="009448FC">
        <w:t xml:space="preserve"> shall adopt each parameter contained in the Beacon frame according to the rule for that parameter found in the column "IBSS adoption" of the matching row of the BSSDescription table found in 10.3.2.2.2</w:t>
      </w:r>
      <w:r w:rsidRPr="00066F65">
        <w:rPr>
          <w:u w:val="single"/>
          <w:lang w:eastAsia="ko-KR" w:bidi="ar-SA"/>
        </w:rPr>
        <w:t>, whereas the STA in the IBSS operating in the UB shall adopt each parameter contained in the mmWave Beacon or Announce frames</w:t>
      </w:r>
      <w:r w:rsidRPr="009448FC">
        <w:t>. Parameters adopted by a STA due to the receipt of a later timestamp shall not be changed by the STA except when adopting parameters due to a subsequently received Beacon</w:t>
      </w:r>
      <w:r w:rsidRPr="00066F65">
        <w:rPr>
          <w:u w:val="single"/>
          <w:lang w:eastAsia="ko-KR" w:bidi="ar-SA"/>
        </w:rPr>
        <w:t>, mmWave Beacon, or Announce frame</w:t>
      </w:r>
      <w:r w:rsidRPr="009448FC">
        <w:t xml:space="preserve"> with a later timestamp.</w:t>
      </w:r>
    </w:p>
    <w:p w:rsidR="00444738" w:rsidRPr="009448FC" w:rsidRDefault="00444738" w:rsidP="00444738">
      <w:pPr>
        <w:jc w:val="both"/>
        <w:rPr>
          <w:b/>
        </w:rPr>
      </w:pPr>
    </w:p>
    <w:p w:rsidR="00444738" w:rsidRPr="009448FC" w:rsidRDefault="00444738" w:rsidP="003701DB">
      <w:pPr>
        <w:pStyle w:val="Heading3"/>
        <w:numPr>
          <w:ilvl w:val="2"/>
          <w:numId w:val="88"/>
        </w:numPr>
      </w:pPr>
      <w:bookmarkStart w:id="2277" w:name="_Toc259717204"/>
      <w:r w:rsidRPr="009448FC">
        <w:t>Terminating a network</w:t>
      </w:r>
      <w:bookmarkEnd w:id="2277"/>
    </w:p>
    <w:p w:rsidR="00444738" w:rsidRPr="009448FC" w:rsidRDefault="00444738" w:rsidP="009950D2">
      <w:pPr>
        <w:autoSpaceDE w:val="0"/>
        <w:autoSpaceDN w:val="0"/>
        <w:adjustRightInd w:val="0"/>
        <w:jc w:val="both"/>
      </w:pPr>
      <w:r w:rsidRPr="009448FC">
        <w:t xml:space="preserve">An infrastructure BSS </w:t>
      </w:r>
      <w:r w:rsidRPr="00066F65">
        <w:rPr>
          <w:u w:val="single"/>
          <w:lang w:eastAsia="ko-KR" w:bidi="ar-SA"/>
        </w:rPr>
        <w:t>or a PBSS</w:t>
      </w:r>
      <w:r w:rsidRPr="009448FC">
        <w:t xml:space="preserve"> may be terminated at any time. A STA may cease support for an IBSS that it formed at any time. Upon receipt of an MLME-STOP.request, a STA shall stop transmitting Beacon, </w:t>
      </w:r>
      <w:r w:rsidRPr="00066F65">
        <w:rPr>
          <w:u w:val="single"/>
          <w:lang w:eastAsia="ko-KR" w:bidi="ar-SA"/>
        </w:rPr>
        <w:t>mmWave Beacon, Announce</w:t>
      </w:r>
      <w:r w:rsidRPr="009448FC">
        <w:t xml:space="preserve"> and Probe Response frames, and deau</w:t>
      </w:r>
      <w:r w:rsidR="009950D2" w:rsidRPr="009448FC">
        <w:t>thenticate all associated STAs.</w:t>
      </w:r>
    </w:p>
    <w:p w:rsidR="00EB6A1E" w:rsidRPr="009448FC" w:rsidRDefault="00EB6A1E" w:rsidP="009950D2">
      <w:pPr>
        <w:autoSpaceDE w:val="0"/>
        <w:autoSpaceDN w:val="0"/>
        <w:adjustRightInd w:val="0"/>
        <w:jc w:val="both"/>
      </w:pPr>
    </w:p>
    <w:p w:rsidR="00EB6A1E" w:rsidRPr="00066F65" w:rsidRDefault="00EB6A1E" w:rsidP="00EB6A1E">
      <w:pPr>
        <w:rPr>
          <w:u w:val="single"/>
        </w:rPr>
      </w:pPr>
      <w:r w:rsidRPr="00066F65">
        <w:rPr>
          <w:u w:val="single"/>
        </w:rPr>
        <w:t xml:space="preserve">If possible, </w:t>
      </w:r>
      <w:r w:rsidR="003E0914" w:rsidRPr="00066F65">
        <w:rPr>
          <w:u w:val="single"/>
        </w:rPr>
        <w:t>a PCP</w:t>
      </w:r>
      <w:r w:rsidRPr="00066F65">
        <w:rPr>
          <w:u w:val="single"/>
        </w:rPr>
        <w:t xml:space="preserve"> should announce in the </w:t>
      </w:r>
      <w:r w:rsidR="003E0914" w:rsidRPr="00066F65">
        <w:rPr>
          <w:u w:val="single"/>
        </w:rPr>
        <w:t>P</w:t>
      </w:r>
      <w:r w:rsidRPr="00066F65">
        <w:rPr>
          <w:u w:val="single"/>
        </w:rPr>
        <w:t xml:space="preserve">BSS its intention to stop the </w:t>
      </w:r>
      <w:r w:rsidR="003E0914" w:rsidRPr="00066F65">
        <w:rPr>
          <w:u w:val="single"/>
        </w:rPr>
        <w:t>P</w:t>
      </w:r>
      <w:r w:rsidRPr="00066F65">
        <w:rPr>
          <w:u w:val="single"/>
        </w:rPr>
        <w:t xml:space="preserve">BSS operation. </w:t>
      </w:r>
      <w:r w:rsidR="003E0914" w:rsidRPr="00066F65">
        <w:rPr>
          <w:u w:val="single"/>
        </w:rPr>
        <w:t>Unexpected departure of a PCP</w:t>
      </w:r>
      <w:r w:rsidRPr="00066F65">
        <w:rPr>
          <w:u w:val="single"/>
        </w:rPr>
        <w:t xml:space="preserve"> </w:t>
      </w:r>
      <w:r w:rsidR="00797D41">
        <w:rPr>
          <w:u w:val="single"/>
        </w:rPr>
        <w:t xml:space="preserve">can </w:t>
      </w:r>
      <w:r w:rsidRPr="00066F65">
        <w:rPr>
          <w:u w:val="single"/>
        </w:rPr>
        <w:t xml:space="preserve">end the </w:t>
      </w:r>
      <w:r w:rsidR="003E0914" w:rsidRPr="00066F65">
        <w:rPr>
          <w:u w:val="single"/>
        </w:rPr>
        <w:t>P</w:t>
      </w:r>
      <w:r w:rsidRPr="00066F65">
        <w:rPr>
          <w:u w:val="single"/>
        </w:rPr>
        <w:t>BSS operation.</w:t>
      </w:r>
    </w:p>
    <w:p w:rsidR="00EB6A1E" w:rsidRPr="00066F65" w:rsidRDefault="00EB6A1E" w:rsidP="00EB6A1E">
      <w:pPr>
        <w:rPr>
          <w:u w:val="single"/>
        </w:rPr>
      </w:pPr>
    </w:p>
    <w:p w:rsidR="00EB6A1E" w:rsidRPr="00066F65" w:rsidRDefault="003E0914" w:rsidP="00EB6A1E">
      <w:pPr>
        <w:rPr>
          <w:u w:val="single"/>
        </w:rPr>
      </w:pPr>
      <w:r w:rsidRPr="00066F65">
        <w:rPr>
          <w:u w:val="single"/>
        </w:rPr>
        <w:t>A PCP</w:t>
      </w:r>
      <w:r w:rsidR="00EB6A1E" w:rsidRPr="00066F65">
        <w:rPr>
          <w:u w:val="single"/>
        </w:rPr>
        <w:t xml:space="preserve"> indicating intent to terminate a </w:t>
      </w:r>
      <w:r w:rsidRPr="00066F65">
        <w:rPr>
          <w:u w:val="single"/>
        </w:rPr>
        <w:t>P</w:t>
      </w:r>
      <w:r w:rsidR="00EB6A1E" w:rsidRPr="00066F65">
        <w:rPr>
          <w:u w:val="single"/>
        </w:rPr>
        <w:t xml:space="preserve">BSS shall use the deauthentication procedure (11.3.1.3) to send a Deauthentication frame to all associated STAs. The reason code in the deauthentication frame </w:t>
      </w:r>
      <w:r w:rsidR="00EB6A1E" w:rsidRPr="00066F65">
        <w:rPr>
          <w:u w:val="single"/>
        </w:rPr>
        <w:lastRenderedPageBreak/>
        <w:t>shall be set to the value 3 (Deauthenticated because sending STA is leaving (or has left) IBSS, or ESS).</w:t>
      </w:r>
    </w:p>
    <w:p w:rsidR="00444738" w:rsidRPr="009448FC" w:rsidRDefault="00444738" w:rsidP="00444738">
      <w:pPr>
        <w:rPr>
          <w:b/>
        </w:rPr>
      </w:pPr>
    </w:p>
    <w:p w:rsidR="008C36FC" w:rsidRPr="009448FC" w:rsidRDefault="008C36FC" w:rsidP="003701DB">
      <w:pPr>
        <w:pStyle w:val="Heading2"/>
        <w:numPr>
          <w:ilvl w:val="1"/>
          <w:numId w:val="32"/>
        </w:numPr>
        <w:rPr>
          <w:u w:val="none"/>
        </w:rPr>
      </w:pPr>
      <w:bookmarkStart w:id="2278" w:name="_Toc207099033"/>
      <w:bookmarkStart w:id="2279" w:name="_Toc207099641"/>
      <w:bookmarkStart w:id="2280" w:name="_Toc207100560"/>
      <w:bookmarkStart w:id="2281" w:name="_Toc207348482"/>
      <w:bookmarkStart w:id="2282" w:name="_Toc215582861"/>
      <w:bookmarkStart w:id="2283" w:name="_Toc235400556"/>
      <w:bookmarkStart w:id="2284" w:name="_Toc259717205"/>
      <w:r w:rsidRPr="009448FC">
        <w:rPr>
          <w:u w:val="none"/>
        </w:rPr>
        <w:t>Power management</w:t>
      </w:r>
      <w:bookmarkEnd w:id="2278"/>
      <w:bookmarkEnd w:id="2279"/>
      <w:bookmarkEnd w:id="2280"/>
      <w:bookmarkEnd w:id="2281"/>
      <w:bookmarkEnd w:id="2282"/>
      <w:bookmarkEnd w:id="2283"/>
      <w:bookmarkEnd w:id="2284"/>
    </w:p>
    <w:p w:rsidR="008C36FC" w:rsidRDefault="00BF72EC" w:rsidP="0055055E">
      <w:pPr>
        <w:rPr>
          <w:color w:val="000000"/>
        </w:rPr>
      </w:pPr>
      <w:r>
        <w:rPr>
          <w:color w:val="000000"/>
        </w:rPr>
        <w:t xml:space="preserve"> </w:t>
      </w:r>
    </w:p>
    <w:p w:rsidR="00F53732" w:rsidRDefault="00F53732" w:rsidP="0055055E">
      <w:pPr>
        <w:rPr>
          <w:color w:val="000000"/>
        </w:rPr>
      </w:pPr>
    </w:p>
    <w:p w:rsidR="00F53732" w:rsidRDefault="00F53732" w:rsidP="0055055E">
      <w:pPr>
        <w:rPr>
          <w:i/>
        </w:rPr>
      </w:pPr>
      <w:r w:rsidRPr="009448FC">
        <w:rPr>
          <w:i/>
        </w:rPr>
        <w:t xml:space="preserve">.11 Editor Note: </w:t>
      </w:r>
      <w:r>
        <w:rPr>
          <w:i/>
        </w:rPr>
        <w:t xml:space="preserve">change the title of </w:t>
      </w:r>
      <w:r w:rsidR="00755841">
        <w:rPr>
          <w:i/>
        </w:rPr>
        <w:t>subclause</w:t>
      </w:r>
      <w:r>
        <w:rPr>
          <w:i/>
        </w:rPr>
        <w:t xml:space="preserve"> 11.2.1 as follows</w:t>
      </w:r>
      <w:r w:rsidRPr="009448FC">
        <w:rPr>
          <w:i/>
        </w:rPr>
        <w:t>:</w:t>
      </w:r>
    </w:p>
    <w:p w:rsidR="00F53732" w:rsidRDefault="00F53732" w:rsidP="00F53732">
      <w:pPr>
        <w:pStyle w:val="Heading3"/>
      </w:pPr>
      <w:bookmarkStart w:id="2285" w:name="_Toc259717206"/>
      <w:r>
        <w:t>11.2.1 Power management in an infrastructure network</w:t>
      </w:r>
      <w:r w:rsidRPr="00F53732">
        <w:rPr>
          <w:u w:val="single"/>
        </w:rPr>
        <w:t xml:space="preserve"> in the LB </w:t>
      </w:r>
      <w:r w:rsidR="00B90341">
        <w:rPr>
          <w:u w:val="single"/>
        </w:rPr>
        <w:t>and</w:t>
      </w:r>
      <w:r w:rsidRPr="00F53732">
        <w:rPr>
          <w:u w:val="single"/>
        </w:rPr>
        <w:t xml:space="preserve"> HB</w:t>
      </w:r>
      <w:bookmarkEnd w:id="2285"/>
    </w:p>
    <w:p w:rsidR="00F53732" w:rsidRPr="009448FC" w:rsidRDefault="00F53732" w:rsidP="0055055E">
      <w:pPr>
        <w:rPr>
          <w:color w:val="000000"/>
        </w:rPr>
      </w:pPr>
    </w:p>
    <w:p w:rsidR="004F1F26" w:rsidRPr="009448FC" w:rsidRDefault="004F1F26" w:rsidP="004F1F26">
      <w:pPr>
        <w:rPr>
          <w:i/>
        </w:rPr>
      </w:pPr>
      <w:r w:rsidRPr="009448FC">
        <w:rPr>
          <w:i/>
        </w:rPr>
        <w:t>.11 Editor Note: Insert the following subclauses:</w:t>
      </w:r>
    </w:p>
    <w:p w:rsidR="008C36FC" w:rsidRPr="009448FC" w:rsidRDefault="008C36FC" w:rsidP="0055055E">
      <w:pPr>
        <w:rPr>
          <w:color w:val="000000"/>
        </w:rPr>
      </w:pPr>
    </w:p>
    <w:p w:rsidR="008C36FC" w:rsidRPr="009448FC" w:rsidRDefault="008C36FC" w:rsidP="003701DB">
      <w:pPr>
        <w:pStyle w:val="Heading3"/>
        <w:numPr>
          <w:ilvl w:val="2"/>
          <w:numId w:val="93"/>
        </w:numPr>
      </w:pPr>
      <w:bookmarkStart w:id="2286" w:name="_Toc205016677"/>
      <w:bookmarkStart w:id="2287" w:name="_Toc205121714"/>
      <w:bookmarkStart w:id="2288" w:name="_Toc206227595"/>
      <w:bookmarkStart w:id="2289" w:name="_Toc206415542"/>
      <w:bookmarkStart w:id="2290" w:name="_Toc206418349"/>
      <w:bookmarkStart w:id="2291" w:name="_Toc207099036"/>
      <w:bookmarkStart w:id="2292" w:name="_Toc207099644"/>
      <w:bookmarkStart w:id="2293" w:name="_Toc207100563"/>
      <w:bookmarkStart w:id="2294" w:name="_Toc207348485"/>
      <w:bookmarkStart w:id="2295" w:name="_Toc215582864"/>
      <w:bookmarkStart w:id="2296" w:name="_Toc235400559"/>
      <w:bookmarkStart w:id="2297" w:name="_Toc259717207"/>
      <w:r w:rsidRPr="009448FC">
        <w:t>Power management</w:t>
      </w:r>
      <w:bookmarkEnd w:id="2286"/>
      <w:bookmarkEnd w:id="2287"/>
      <w:bookmarkEnd w:id="2288"/>
      <w:bookmarkEnd w:id="2289"/>
      <w:bookmarkEnd w:id="2290"/>
      <w:bookmarkEnd w:id="2291"/>
      <w:bookmarkEnd w:id="2292"/>
      <w:bookmarkEnd w:id="2293"/>
      <w:bookmarkEnd w:id="2294"/>
      <w:bookmarkEnd w:id="2295"/>
      <w:bookmarkEnd w:id="2296"/>
      <w:r w:rsidRPr="009448FC">
        <w:t xml:space="preserve"> </w:t>
      </w:r>
      <w:r w:rsidR="007310AC" w:rsidRPr="009448FC">
        <w:t>in a PBSS</w:t>
      </w:r>
      <w:r w:rsidR="00F53732">
        <w:t xml:space="preserve"> </w:t>
      </w:r>
      <w:r w:rsidR="00F53732" w:rsidRPr="00F53732">
        <w:t xml:space="preserve">and </w:t>
      </w:r>
      <w:r w:rsidR="00755841">
        <w:t>i</w:t>
      </w:r>
      <w:r w:rsidR="00F53732" w:rsidRPr="00F53732">
        <w:t>nfrastructure BSS in the UB</w:t>
      </w:r>
      <w:bookmarkEnd w:id="2297"/>
    </w:p>
    <w:p w:rsidR="008C36FC" w:rsidRPr="009448FC" w:rsidRDefault="008C36FC" w:rsidP="007310AC">
      <w:pPr>
        <w:autoSpaceDE w:val="0"/>
        <w:autoSpaceDN w:val="0"/>
        <w:adjustRightInd w:val="0"/>
        <w:jc w:val="both"/>
      </w:pPr>
      <w:r w:rsidRPr="009448FC">
        <w:t>To enable non-PCP</w:t>
      </w:r>
      <w:r w:rsidR="00755841">
        <w:t>/non-AP</w:t>
      </w:r>
      <w:r w:rsidRPr="009448FC">
        <w:t xml:space="preserve"> STAs and PCPs to sleep for one or more beacon intervals, a non-PCP</w:t>
      </w:r>
      <w:r w:rsidR="00755841">
        <w:t>/non-AP</w:t>
      </w:r>
      <w:r w:rsidRPr="009448FC">
        <w:t xml:space="preserve"> STA power save mechanism and a PCP power save mechanism are defined in </w:t>
      </w:r>
      <w:r w:rsidR="007310AC" w:rsidRPr="009448FC">
        <w:t>this subclause</w:t>
      </w:r>
      <w:r w:rsidRPr="009448FC">
        <w:t>.</w:t>
      </w:r>
    </w:p>
    <w:p w:rsidR="008C36FC" w:rsidRPr="009448FC" w:rsidRDefault="008C36FC" w:rsidP="0004091F">
      <w:pPr>
        <w:autoSpaceDE w:val="0"/>
        <w:autoSpaceDN w:val="0"/>
        <w:adjustRightInd w:val="0"/>
        <w:jc w:val="both"/>
      </w:pPr>
    </w:p>
    <w:p w:rsidR="008C36FC" w:rsidRPr="009448FC" w:rsidRDefault="008C36FC" w:rsidP="00305E20">
      <w:pPr>
        <w:autoSpaceDE w:val="0"/>
        <w:autoSpaceDN w:val="0"/>
        <w:adjustRightInd w:val="0"/>
        <w:jc w:val="both"/>
      </w:pPr>
      <w:r w:rsidRPr="009448FC">
        <w:t>Non-PCP</w:t>
      </w:r>
      <w:r w:rsidR="00755841">
        <w:t>/non-AP</w:t>
      </w:r>
      <w:r w:rsidRPr="009448FC">
        <w:t xml:space="preserve"> STA power save mode, as described in section </w:t>
      </w:r>
      <w:r w:rsidR="00BD151C" w:rsidRPr="009448FC">
        <w:fldChar w:fldCharType="begin"/>
      </w:r>
      <w:r w:rsidR="00305E20" w:rsidRPr="009448FC">
        <w:instrText xml:space="preserve"> REF _Ref243984733 \r \h </w:instrText>
      </w:r>
      <w:r w:rsidR="00BD151C" w:rsidRPr="009448FC">
        <w:fldChar w:fldCharType="separate"/>
      </w:r>
      <w:r w:rsidR="003E4210">
        <w:t>11.2.3.1</w:t>
      </w:r>
      <w:r w:rsidR="00BD151C" w:rsidRPr="009448FC">
        <w:fldChar w:fldCharType="end"/>
      </w:r>
      <w:r w:rsidRPr="009448FC">
        <w:t>, allows a non-PCP</w:t>
      </w:r>
      <w:r w:rsidR="00755841">
        <w:t>/non-AP</w:t>
      </w:r>
      <w:r w:rsidRPr="009448FC">
        <w:t xml:space="preserve"> STA to sleep at intervals negotiated with the PCP</w:t>
      </w:r>
      <w:r w:rsidR="00755841">
        <w:t>/AP</w:t>
      </w:r>
      <w:r w:rsidRPr="009448FC">
        <w:t>.</w:t>
      </w:r>
      <w:r w:rsidR="00281486" w:rsidRPr="009448FC">
        <w:t xml:space="preserve"> </w:t>
      </w:r>
      <w:r w:rsidRPr="009448FC">
        <w:t>Each non-PCP</w:t>
      </w:r>
      <w:r w:rsidR="00755841">
        <w:t>/non-AP</w:t>
      </w:r>
      <w:r w:rsidRPr="009448FC">
        <w:t xml:space="preserve"> STA can choose an independent wakeup interval that fits its own power consumption and traffic delivery requirements. The PCP</w:t>
      </w:r>
      <w:r w:rsidR="00755841">
        <w:t>/AP</w:t>
      </w:r>
      <w:r w:rsidRPr="009448FC">
        <w:t xml:space="preserve"> keeps track of sleep intervals of all associated non-PCP</w:t>
      </w:r>
      <w:r w:rsidR="00755841">
        <w:t>/non-AP</w:t>
      </w:r>
      <w:r w:rsidRPr="009448FC">
        <w:t xml:space="preserve"> STAs and delivers traffic to each non-PCP</w:t>
      </w:r>
      <w:r w:rsidR="00755841">
        <w:t>/non-AP</w:t>
      </w:r>
      <w:r w:rsidRPr="009448FC">
        <w:t xml:space="preserve"> STA only when it is awake.</w:t>
      </w:r>
    </w:p>
    <w:p w:rsidR="008C36FC" w:rsidRPr="009448FC" w:rsidRDefault="008C36FC" w:rsidP="0004091F">
      <w:pPr>
        <w:autoSpaceDE w:val="0"/>
        <w:autoSpaceDN w:val="0"/>
        <w:adjustRightInd w:val="0"/>
        <w:jc w:val="both"/>
      </w:pPr>
    </w:p>
    <w:p w:rsidR="008C36FC" w:rsidRDefault="008C36FC" w:rsidP="00881A0F">
      <w:pPr>
        <w:autoSpaceDE w:val="0"/>
        <w:autoSpaceDN w:val="0"/>
        <w:adjustRightInd w:val="0"/>
        <w:jc w:val="both"/>
      </w:pPr>
      <w:r w:rsidRPr="009448FC">
        <w:t xml:space="preserve">PCP Power Save (PPS) mode, as described in section </w:t>
      </w:r>
      <w:r w:rsidR="00BD151C" w:rsidRPr="009448FC">
        <w:fldChar w:fldCharType="begin"/>
      </w:r>
      <w:r w:rsidR="00881A0F" w:rsidRPr="009448FC">
        <w:instrText xml:space="preserve"> REF _Ref243984764 \r \h </w:instrText>
      </w:r>
      <w:r w:rsidR="00BD151C" w:rsidRPr="009448FC">
        <w:fldChar w:fldCharType="separate"/>
      </w:r>
      <w:r w:rsidR="003E4210">
        <w:t>11.2.3.2</w:t>
      </w:r>
      <w:r w:rsidR="00BD151C" w:rsidRPr="009448FC">
        <w:fldChar w:fldCharType="end"/>
      </w:r>
      <w:r w:rsidRPr="009448FC">
        <w:t xml:space="preserve">, allows a PCP to sleep for one or more consecutive beacon intervals to minimize the energy consumption. The PCP operating in PPS mode may sleep for one or more consecutive beacon intervals and does not transmit </w:t>
      </w:r>
      <w:r w:rsidR="007310AC" w:rsidRPr="009448FC">
        <w:t xml:space="preserve">mmWave Beacons </w:t>
      </w:r>
      <w:r w:rsidRPr="009448FC">
        <w:t>during this time.</w:t>
      </w:r>
      <w:r w:rsidR="00EE1100" w:rsidRPr="009448FC">
        <w:t xml:space="preserve"> </w:t>
      </w:r>
      <w:r w:rsidRPr="009448FC">
        <w:t xml:space="preserve">Before going into sleep, the PCP announces necessary information, such as sleep duration and scheduling information, to the non-PCP STAs in the PBSS so that they can communicate with each other while the PCP is sleeping. </w:t>
      </w:r>
    </w:p>
    <w:p w:rsidR="00B40122" w:rsidRDefault="00B40122" w:rsidP="00881A0F">
      <w:pPr>
        <w:autoSpaceDE w:val="0"/>
        <w:autoSpaceDN w:val="0"/>
        <w:adjustRightInd w:val="0"/>
        <w:jc w:val="both"/>
      </w:pPr>
    </w:p>
    <w:p w:rsidR="008C36FC" w:rsidRDefault="00B40122" w:rsidP="0004091F">
      <w:r>
        <w:rPr>
          <w:rFonts w:eastAsia="Batang"/>
          <w:lang w:eastAsia="ko-KR"/>
        </w:rPr>
        <w:t xml:space="preserve">If a PCP/AP sets the BSS Type field within a transmitted mmWave Beacon frame to PBSS or the PCP/AP includes a Non-transmitted BSSID Capability element in a transmitted mmWave Beacon, Announce, or Probe Response frames and the BSS Type field within the Non-transmitted BSSID Capability element is set to PBSS, then the PCP/AP shall follow the PCP power management rules described in </w:t>
      </w:r>
      <w:r w:rsidR="00BD151C">
        <w:rPr>
          <w:rFonts w:eastAsia="Batang"/>
          <w:lang w:eastAsia="ko-KR"/>
        </w:rPr>
        <w:fldChar w:fldCharType="begin"/>
      </w:r>
      <w:r w:rsidR="00213C21">
        <w:rPr>
          <w:rFonts w:eastAsia="Batang"/>
          <w:lang w:eastAsia="ko-KR"/>
        </w:rPr>
        <w:instrText xml:space="preserve"> REF _Ref256210085 \r \h </w:instrText>
      </w:r>
      <w:r w:rsidR="00BD151C">
        <w:rPr>
          <w:rFonts w:eastAsia="Batang"/>
          <w:lang w:eastAsia="ko-KR"/>
        </w:rPr>
      </w:r>
      <w:r w:rsidR="00BD151C">
        <w:rPr>
          <w:rFonts w:eastAsia="Batang"/>
          <w:lang w:eastAsia="ko-KR"/>
        </w:rPr>
        <w:fldChar w:fldCharType="separate"/>
      </w:r>
      <w:r w:rsidR="003E4210">
        <w:rPr>
          <w:rFonts w:eastAsia="Batang"/>
          <w:lang w:eastAsia="ko-KR"/>
        </w:rPr>
        <w:t>11.2.3.2</w:t>
      </w:r>
      <w:r w:rsidR="00BD151C">
        <w:rPr>
          <w:rFonts w:eastAsia="Batang"/>
          <w:lang w:eastAsia="ko-KR"/>
        </w:rPr>
        <w:fldChar w:fldCharType="end"/>
      </w:r>
      <w:r>
        <w:rPr>
          <w:rFonts w:eastAsia="Batang"/>
          <w:lang w:eastAsia="ko-KR"/>
        </w:rPr>
        <w:t>.</w:t>
      </w:r>
      <w:r w:rsidR="00BE1F31">
        <w:rPr>
          <w:rFonts w:eastAsia="Batang"/>
          <w:lang w:eastAsia="ko-KR"/>
        </w:rPr>
        <w:t xml:space="preserve"> </w:t>
      </w:r>
    </w:p>
    <w:p w:rsidR="00797D41" w:rsidRPr="009448FC" w:rsidRDefault="00797D41" w:rsidP="0004091F"/>
    <w:p w:rsidR="00000C5F" w:rsidRDefault="008C36FC">
      <w:pPr>
        <w:pStyle w:val="BodyText"/>
        <w:rPr>
          <w:rFonts w:ascii="Times New Roman" w:hAnsi="Times New Roman"/>
        </w:rPr>
      </w:pPr>
      <w:r w:rsidRPr="009448FC">
        <w:rPr>
          <w:rFonts w:ascii="Times New Roman" w:hAnsi="Times New Roman"/>
        </w:rPr>
        <w:t>A STA may operate in one of two power states:</w:t>
      </w:r>
    </w:p>
    <w:p w:rsidR="008C36FC" w:rsidRPr="009448FC" w:rsidRDefault="008C36FC" w:rsidP="00837260">
      <w:pPr>
        <w:autoSpaceDE w:val="0"/>
        <w:autoSpaceDN w:val="0"/>
        <w:adjustRightInd w:val="0"/>
        <w:ind w:firstLine="100"/>
        <w:rPr>
          <w:rFonts w:ascii="TimesNewRoman" w:hAnsi="TimesNewRoman"/>
        </w:rPr>
      </w:pPr>
      <w:r w:rsidRPr="009448FC">
        <w:rPr>
          <w:rFonts w:ascii="TimesNewRoman" w:hAnsi="TimesNewRoman"/>
        </w:rPr>
        <w:t xml:space="preserve">— </w:t>
      </w:r>
      <w:r w:rsidRPr="009448FC">
        <w:rPr>
          <w:rFonts w:ascii="TimesNewRoman,Italic" w:hAnsi="TimesNewRoman,Italic"/>
        </w:rPr>
        <w:t>Awake:</w:t>
      </w:r>
      <w:r w:rsidRPr="009448FC">
        <w:rPr>
          <w:rFonts w:ascii="TimesNewRoman,Italic" w:hAnsi="TimesNewRoman,Italic"/>
          <w:i/>
        </w:rPr>
        <w:t xml:space="preserve"> </w:t>
      </w:r>
      <w:r w:rsidRPr="009448FC">
        <w:rPr>
          <w:rFonts w:eastAsia="MS Mincho"/>
        </w:rPr>
        <w:t>STA is fully powered.</w:t>
      </w:r>
    </w:p>
    <w:p w:rsidR="008C36FC" w:rsidRPr="009448FC" w:rsidRDefault="008C36FC" w:rsidP="00837260">
      <w:pPr>
        <w:pStyle w:val="BodyText"/>
        <w:ind w:firstLineChars="50" w:firstLine="120"/>
        <w:rPr>
          <w:rFonts w:ascii="TimesNewRoman" w:hAnsi="TimesNewRoman"/>
        </w:rPr>
      </w:pPr>
      <w:r w:rsidRPr="009448FC">
        <w:rPr>
          <w:rFonts w:ascii="TimesNewRoman" w:hAnsi="TimesNewRoman"/>
        </w:rPr>
        <w:t xml:space="preserve">— </w:t>
      </w:r>
      <w:r w:rsidRPr="009448FC">
        <w:rPr>
          <w:rFonts w:ascii="TimesNewRoman,Italic" w:hAnsi="TimesNewRoman,Italic"/>
        </w:rPr>
        <w:t>Doze</w:t>
      </w:r>
      <w:r w:rsidRPr="009448FC">
        <w:rPr>
          <w:rFonts w:ascii="Times New Roman" w:hAnsi="Times New Roman"/>
        </w:rPr>
        <w:t>: STA is not able to transmit or receive and consumes little power.</w:t>
      </w:r>
    </w:p>
    <w:p w:rsidR="00797D41" w:rsidRDefault="00797D41" w:rsidP="007310AC">
      <w:pPr>
        <w:autoSpaceDE w:val="0"/>
        <w:autoSpaceDN w:val="0"/>
        <w:adjustRightInd w:val="0"/>
      </w:pPr>
    </w:p>
    <w:p w:rsidR="008C36FC" w:rsidRPr="009448FC" w:rsidRDefault="008C36FC" w:rsidP="007310AC">
      <w:pPr>
        <w:autoSpaceDE w:val="0"/>
        <w:autoSpaceDN w:val="0"/>
        <w:adjustRightInd w:val="0"/>
        <w:rPr>
          <w:rFonts w:ascii="TimesNewRoman" w:hAnsi="TimesNewRoman"/>
        </w:rPr>
      </w:pPr>
      <w:r w:rsidRPr="009448FC">
        <w:t>The manner in which a STA transitions between these two power states shall be determined by the STA’s Power Management mode</w:t>
      </w:r>
      <w:r w:rsidR="007310AC" w:rsidRPr="009448FC">
        <w:t>:</w:t>
      </w:r>
      <w:r w:rsidR="00BE1F31">
        <w:t xml:space="preserve"> </w:t>
      </w:r>
    </w:p>
    <w:p w:rsidR="008C36FC" w:rsidRPr="009448FC" w:rsidRDefault="008C36FC" w:rsidP="003701DB">
      <w:pPr>
        <w:pStyle w:val="BodyText"/>
        <w:numPr>
          <w:ilvl w:val="0"/>
          <w:numId w:val="60"/>
        </w:numPr>
        <w:rPr>
          <w:rFonts w:ascii="Times New Roman" w:hAnsi="Times New Roman"/>
        </w:rPr>
      </w:pPr>
      <w:r w:rsidRPr="009448FC">
        <w:rPr>
          <w:rFonts w:ascii="Times New Roman" w:hAnsi="Times New Roman"/>
        </w:rPr>
        <w:t xml:space="preserve">Active mode: </w:t>
      </w:r>
      <w:r w:rsidR="002A67DE" w:rsidRPr="009448FC">
        <w:rPr>
          <w:rFonts w:ascii="Times New Roman" w:hAnsi="Times New Roman"/>
        </w:rPr>
        <w:t xml:space="preserve">A </w:t>
      </w:r>
      <w:r w:rsidR="008847A1">
        <w:rPr>
          <w:rFonts w:ascii="Times New Roman" w:hAnsi="Times New Roman"/>
        </w:rPr>
        <w:t>STA shall be in the Awake state</w:t>
      </w:r>
      <w:r w:rsidR="008847A1" w:rsidRPr="008847A1">
        <w:rPr>
          <w:rFonts w:ascii="Times New Roman" w:hAnsi="Times New Roman"/>
        </w:rPr>
        <w:t>, except that when in Active mode the STA can switch to Doze state in an Awake BI at the BT, at the A-BFT, and in the SPs indicated in</w:t>
      </w:r>
      <w:r w:rsidR="002A67DE" w:rsidRPr="009448FC">
        <w:rPr>
          <w:rFonts w:ascii="Times New Roman" w:hAnsi="Times New Roman"/>
        </w:rPr>
        <w:t xml:space="preserve"> </w:t>
      </w:r>
      <w:fldSimple w:instr=" REF _Ref236706847 \h  \* MERGEFORMAT ">
        <w:r w:rsidR="003E4210" w:rsidRPr="003E4210">
          <w:rPr>
            <w:rFonts w:ascii="Times New Roman" w:hAnsi="Times New Roman"/>
          </w:rPr>
          <w:t xml:space="preserve">Table </w:t>
        </w:r>
        <w:r w:rsidR="003E4210" w:rsidRPr="003E4210">
          <w:rPr>
            <w:rFonts w:ascii="Times New Roman" w:hAnsi="Times New Roman"/>
            <w:noProof/>
          </w:rPr>
          <w:t>60</w:t>
        </w:r>
      </w:fldSimple>
      <w:r w:rsidR="002A67DE" w:rsidRPr="009448FC">
        <w:rPr>
          <w:rFonts w:ascii="Times New Roman" w:hAnsi="Times New Roman"/>
        </w:rPr>
        <w:t>.</w:t>
      </w:r>
      <w:r w:rsidR="00281486" w:rsidRPr="009448FC">
        <w:rPr>
          <w:rFonts w:ascii="Times New Roman" w:hAnsi="Times New Roman"/>
        </w:rPr>
        <w:t xml:space="preserve"> </w:t>
      </w:r>
    </w:p>
    <w:p w:rsidR="008C36FC" w:rsidRPr="009448FC" w:rsidRDefault="008C36FC" w:rsidP="003701DB">
      <w:pPr>
        <w:pStyle w:val="BodyText"/>
        <w:numPr>
          <w:ilvl w:val="0"/>
          <w:numId w:val="60"/>
        </w:numPr>
        <w:rPr>
          <w:rFonts w:ascii="Times New Roman" w:hAnsi="Times New Roman"/>
        </w:rPr>
      </w:pPr>
      <w:r w:rsidRPr="009448FC">
        <w:rPr>
          <w:rFonts w:ascii="Times New Roman" w:hAnsi="Times New Roman"/>
        </w:rPr>
        <w:lastRenderedPageBreak/>
        <w:t xml:space="preserve">Power Save (PS) mode: A STA alternates between </w:t>
      </w:r>
      <w:r w:rsidR="00A239D4">
        <w:rPr>
          <w:rFonts w:ascii="Times New Roman" w:hAnsi="Times New Roman"/>
        </w:rPr>
        <w:t xml:space="preserve">the </w:t>
      </w:r>
      <w:r w:rsidR="000C6959">
        <w:rPr>
          <w:rFonts w:ascii="Times New Roman" w:hAnsi="Times New Roman"/>
        </w:rPr>
        <w:t>A</w:t>
      </w:r>
      <w:r w:rsidRPr="009448FC">
        <w:rPr>
          <w:rFonts w:ascii="Times New Roman" w:hAnsi="Times New Roman"/>
        </w:rPr>
        <w:t xml:space="preserve">wake and </w:t>
      </w:r>
      <w:r w:rsidR="00A239D4">
        <w:rPr>
          <w:rFonts w:ascii="Times New Roman" w:hAnsi="Times New Roman"/>
        </w:rPr>
        <w:t xml:space="preserve">the </w:t>
      </w:r>
      <w:r w:rsidR="000C6959">
        <w:rPr>
          <w:rFonts w:ascii="Times New Roman" w:hAnsi="Times New Roman"/>
        </w:rPr>
        <w:t>D</w:t>
      </w:r>
      <w:r w:rsidRPr="009448FC">
        <w:rPr>
          <w:rFonts w:ascii="Times New Roman" w:hAnsi="Times New Roman"/>
        </w:rPr>
        <w:t xml:space="preserve">oze state, as determined by the frame transmission and reception rules defined in this </w:t>
      </w:r>
      <w:r w:rsidR="00755841">
        <w:rPr>
          <w:rFonts w:ascii="Times New Roman" w:hAnsi="Times New Roman"/>
        </w:rPr>
        <w:t>subclause</w:t>
      </w:r>
      <w:r w:rsidRPr="009448FC">
        <w:rPr>
          <w:rFonts w:ascii="Times New Roman" w:hAnsi="Times New Roman"/>
        </w:rPr>
        <w:t>.</w:t>
      </w:r>
    </w:p>
    <w:p w:rsidR="008C36FC" w:rsidRPr="009448FC" w:rsidRDefault="008C36FC" w:rsidP="0004091F">
      <w:pPr>
        <w:autoSpaceDE w:val="0"/>
        <w:autoSpaceDN w:val="0"/>
        <w:adjustRightInd w:val="0"/>
        <w:jc w:val="both"/>
      </w:pPr>
    </w:p>
    <w:p w:rsidR="008C36FC" w:rsidRPr="009448FC" w:rsidRDefault="008C36FC" w:rsidP="00107952">
      <w:pPr>
        <w:autoSpaceDE w:val="0"/>
        <w:autoSpaceDN w:val="0"/>
        <w:adjustRightInd w:val="0"/>
        <w:jc w:val="both"/>
      </w:pPr>
      <w:r w:rsidRPr="009448FC">
        <w:t>A non-PCP</w:t>
      </w:r>
      <w:r w:rsidR="00755841">
        <w:t>/non-AP</w:t>
      </w:r>
      <w:r w:rsidRPr="009448FC">
        <w:t xml:space="preserve"> STA may enter the </w:t>
      </w:r>
      <w:r w:rsidR="00A239D4">
        <w:t>A</w:t>
      </w:r>
      <w:r w:rsidRPr="009448FC">
        <w:t xml:space="preserve">wake state at any time when it is in a </w:t>
      </w:r>
      <w:r w:rsidR="00107952" w:rsidRPr="009448FC">
        <w:t>PS</w:t>
      </w:r>
      <w:r w:rsidRPr="009448FC">
        <w:t xml:space="preserve"> mode. </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rPr>
          <w:rFonts w:ascii="TimesNewRoman" w:hAnsi="TimesNewRoman"/>
        </w:rPr>
      </w:pPr>
      <w:r w:rsidRPr="009448FC">
        <w:t>The PCP</w:t>
      </w:r>
      <w:r w:rsidR="00755841">
        <w:t>/AP</w:t>
      </w:r>
      <w:r w:rsidRPr="009448FC">
        <w:t xml:space="preserve"> shall not transmit MSDUs to non-PCP</w:t>
      </w:r>
      <w:r w:rsidR="00B90341">
        <w:t>/non-AP</w:t>
      </w:r>
      <w:r w:rsidRPr="009448FC">
        <w:t xml:space="preserve"> STAs operating in a PS mode, but shall buffer MSDUs and only transmit them at designated times</w:t>
      </w:r>
      <w:r w:rsidRPr="009448FC">
        <w:rPr>
          <w:rFonts w:ascii="TimesNewRoman" w:hAnsi="TimesNewRoman"/>
        </w:rPr>
        <w:t>.</w:t>
      </w:r>
      <w:r w:rsidR="00045A4E">
        <w:rPr>
          <w:rFonts w:ascii="TimesNewRoman" w:hAnsi="TimesNewRoman"/>
        </w:rPr>
        <w:t xml:space="preserve"> </w:t>
      </w:r>
    </w:p>
    <w:p w:rsidR="008C36FC" w:rsidRPr="009448FC" w:rsidRDefault="008C36FC" w:rsidP="0004091F"/>
    <w:p w:rsidR="00053DA9" w:rsidRPr="009448FC" w:rsidRDefault="00053DA9" w:rsidP="00053DA9">
      <w:pPr>
        <w:autoSpaceDE w:val="0"/>
        <w:autoSpaceDN w:val="0"/>
        <w:adjustRightInd w:val="0"/>
        <w:jc w:val="both"/>
      </w:pPr>
      <w:r w:rsidRPr="009448FC">
        <w:t xml:space="preserve">A BI during which a STA shall be in </w:t>
      </w:r>
      <w:r w:rsidR="00A239D4">
        <w:t xml:space="preserve">the </w:t>
      </w:r>
      <w:r w:rsidRPr="009448FC">
        <w:t>Awake state for at least some period of time is called an Awake BI for that STA.</w:t>
      </w:r>
    </w:p>
    <w:p w:rsidR="00053DA9" w:rsidRPr="009448FC" w:rsidRDefault="00053DA9" w:rsidP="0004091F"/>
    <w:p w:rsidR="000940E4" w:rsidRPr="009448FC" w:rsidRDefault="00BD151C" w:rsidP="00053DA9">
      <w:pPr>
        <w:autoSpaceDE w:val="0"/>
        <w:autoSpaceDN w:val="0"/>
        <w:adjustRightInd w:val="0"/>
        <w:jc w:val="both"/>
      </w:pPr>
      <w:fldSimple w:instr=" REF _Ref236706847 \h  \* MERGEFORMAT ">
        <w:r w:rsidR="003E4210" w:rsidRPr="00066F65">
          <w:t xml:space="preserve">Table </w:t>
        </w:r>
        <w:r w:rsidR="003E4210">
          <w:rPr>
            <w:noProof/>
          </w:rPr>
          <w:t>60</w:t>
        </w:r>
      </w:fldSimple>
      <w:r w:rsidR="006D030A" w:rsidRPr="009448FC">
        <w:t xml:space="preserve"> </w:t>
      </w:r>
      <w:r w:rsidR="00053DA9" w:rsidRPr="009448FC">
        <w:rPr>
          <w:rFonts w:eastAsia="MS Mincho"/>
        </w:rPr>
        <w:t>lists the power states for a non-PCP</w:t>
      </w:r>
      <w:r w:rsidR="00755841">
        <w:rPr>
          <w:rFonts w:eastAsia="MS Mincho"/>
        </w:rPr>
        <w:t>/non-AP</w:t>
      </w:r>
      <w:r w:rsidR="00053DA9" w:rsidRPr="009448FC">
        <w:rPr>
          <w:rFonts w:eastAsia="MS Mincho"/>
        </w:rPr>
        <w:t xml:space="preserve"> STA in PS mode and a PCP in PS mode during an Awake BI. Each entry i</w:t>
      </w:r>
      <w:r w:rsidR="00A239D4">
        <w:rPr>
          <w:rFonts w:eastAsia="MS Mincho"/>
        </w:rPr>
        <w:t>ndicates the state, either Awake</w:t>
      </w:r>
      <w:r w:rsidR="00053DA9" w:rsidRPr="009448FC">
        <w:rPr>
          <w:rFonts w:eastAsia="MS Mincho"/>
        </w:rPr>
        <w:t xml:space="preserve"> or D</w:t>
      </w:r>
      <w:r w:rsidR="00A239D4">
        <w:rPr>
          <w:rFonts w:eastAsia="MS Mincho"/>
        </w:rPr>
        <w:t>oze</w:t>
      </w:r>
      <w:r w:rsidR="00053DA9" w:rsidRPr="009448FC">
        <w:rPr>
          <w:rFonts w:eastAsia="MS Mincho"/>
        </w:rPr>
        <w:t>, for the non-PCP</w:t>
      </w:r>
      <w:r w:rsidR="00755841">
        <w:rPr>
          <w:rFonts w:eastAsia="MS Mincho"/>
        </w:rPr>
        <w:t>/non-AP</w:t>
      </w:r>
      <w:r w:rsidR="00053DA9" w:rsidRPr="009448FC">
        <w:rPr>
          <w:rFonts w:eastAsia="MS Mincho"/>
        </w:rPr>
        <w:t xml:space="preserve"> STA or the PCP in PS mode at various times during the Awake BI</w:t>
      </w:r>
      <w:r w:rsidR="00EE44AA" w:rsidRPr="009448FC">
        <w:t>.</w:t>
      </w:r>
      <w:r w:rsidR="00A239D4">
        <w:t xml:space="preserve"> </w:t>
      </w:r>
    </w:p>
    <w:p w:rsidR="008C32FB" w:rsidRPr="008C32FB" w:rsidRDefault="00995D7F">
      <w:pPr>
        <w:autoSpaceDE w:val="0"/>
        <w:autoSpaceDN w:val="0"/>
        <w:adjustRightInd w:val="0"/>
        <w:jc w:val="both"/>
        <w:rPr>
          <w:rFonts w:eastAsia="MS Mincho"/>
        </w:rPr>
      </w:pPr>
      <w:r>
        <w:rPr>
          <w:rFonts w:eastAsia="MS Mincho"/>
        </w:rPr>
        <w:t xml:space="preserve"> </w:t>
      </w:r>
    </w:p>
    <w:p w:rsidR="008C36FC" w:rsidRPr="00066F65" w:rsidRDefault="000940E4" w:rsidP="00BA5BC4">
      <w:pPr>
        <w:pStyle w:val="Caption"/>
      </w:pPr>
      <w:bookmarkStart w:id="2298" w:name="_Ref236706847"/>
      <w:bookmarkStart w:id="2299" w:name="_Toc225065785"/>
      <w:bookmarkStart w:id="2300" w:name="_Toc250654444"/>
      <w:bookmarkStart w:id="2301" w:name="_Toc259717638"/>
      <w:r w:rsidRPr="00066F65">
        <w:t>Table</w:t>
      </w:r>
      <w:r w:rsidR="007310AC" w:rsidRPr="00066F65">
        <w:t xml:space="preserve"> </w:t>
      </w:r>
      <w:r w:rsidR="00BD151C">
        <w:fldChar w:fldCharType="begin"/>
      </w:r>
      <w:r w:rsidR="00801316">
        <w:instrText xml:space="preserve"> SEQ Table \* ARABIC </w:instrText>
      </w:r>
      <w:r w:rsidR="00BD151C">
        <w:fldChar w:fldCharType="separate"/>
      </w:r>
      <w:r w:rsidR="003E4210">
        <w:rPr>
          <w:noProof/>
        </w:rPr>
        <w:t>60</w:t>
      </w:r>
      <w:r w:rsidR="00BD151C">
        <w:fldChar w:fldCharType="end"/>
      </w:r>
      <w:bookmarkEnd w:id="2298"/>
      <w:r w:rsidR="007310AC" w:rsidRPr="00066F65">
        <w:t xml:space="preserve"> – </w:t>
      </w:r>
      <w:r w:rsidR="008C36FC" w:rsidRPr="00066F65">
        <w:t>Power management states for an Awake BI</w:t>
      </w:r>
      <w:bookmarkEnd w:id="2299"/>
      <w:bookmarkEnd w:id="2300"/>
      <w:bookmarkEnd w:id="23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6445"/>
        <w:gridCol w:w="973"/>
        <w:gridCol w:w="1942"/>
      </w:tblGrid>
      <w:tr w:rsidR="003B4D64" w:rsidRPr="00066F65" w:rsidTr="007A7E57">
        <w:trPr>
          <w:jc w:val="center"/>
        </w:trPr>
        <w:tc>
          <w:tcPr>
            <w:tcW w:w="0" w:type="auto"/>
            <w:gridSpan w:val="2"/>
            <w:tcBorders>
              <w:right w:val="single" w:sz="4" w:space="0" w:color="auto"/>
            </w:tcBorders>
          </w:tcPr>
          <w:p w:rsidR="00000C5F" w:rsidRDefault="003B4D64">
            <w:pPr>
              <w:autoSpaceDE w:val="0"/>
              <w:autoSpaceDN w:val="0"/>
              <w:adjustRightInd w:val="0"/>
              <w:jc w:val="center"/>
              <w:rPr>
                <w:rFonts w:eastAsia="SimSun"/>
                <w:b/>
                <w:sz w:val="22"/>
              </w:rPr>
            </w:pPr>
            <w:r w:rsidRPr="009448FC">
              <w:rPr>
                <w:rFonts w:eastAsia="SimSun"/>
                <w:b/>
                <w:sz w:val="22"/>
              </w:rPr>
              <w:t>BI portion</w:t>
            </w:r>
          </w:p>
        </w:tc>
        <w:tc>
          <w:tcPr>
            <w:tcW w:w="0" w:type="auto"/>
            <w:tcBorders>
              <w:left w:val="single" w:sz="4" w:space="0" w:color="auto"/>
            </w:tcBorders>
          </w:tcPr>
          <w:p w:rsidR="003B4D64" w:rsidRPr="009448FC" w:rsidDel="00317CA5" w:rsidRDefault="003B4D64" w:rsidP="00EA4CEA">
            <w:pPr>
              <w:autoSpaceDE w:val="0"/>
              <w:autoSpaceDN w:val="0"/>
              <w:adjustRightInd w:val="0"/>
              <w:jc w:val="both"/>
              <w:rPr>
                <w:rFonts w:eastAsia="SimSun"/>
                <w:b/>
                <w:sz w:val="22"/>
              </w:rPr>
            </w:pPr>
            <w:r w:rsidRPr="009448FC">
              <w:rPr>
                <w:rFonts w:eastAsia="SimSun"/>
                <w:b/>
                <w:sz w:val="22"/>
              </w:rPr>
              <w:t>PPS PCP</w:t>
            </w:r>
          </w:p>
        </w:tc>
        <w:tc>
          <w:tcPr>
            <w:tcW w:w="0" w:type="auto"/>
            <w:tcBorders>
              <w:left w:val="single" w:sz="4" w:space="0" w:color="auto"/>
            </w:tcBorders>
          </w:tcPr>
          <w:p w:rsidR="003B4D64" w:rsidRPr="009448FC" w:rsidRDefault="003B4D64" w:rsidP="00EA4CEA">
            <w:pPr>
              <w:autoSpaceDE w:val="0"/>
              <w:autoSpaceDN w:val="0"/>
              <w:adjustRightInd w:val="0"/>
              <w:jc w:val="both"/>
              <w:rPr>
                <w:rFonts w:eastAsia="SimSun"/>
                <w:b/>
                <w:sz w:val="22"/>
              </w:rPr>
            </w:pPr>
            <w:r w:rsidRPr="009448FC">
              <w:rPr>
                <w:rFonts w:eastAsia="SimSun"/>
                <w:b/>
                <w:sz w:val="22"/>
              </w:rPr>
              <w:t>PS non-PCP</w:t>
            </w:r>
            <w:r>
              <w:rPr>
                <w:rFonts w:eastAsia="SimSun"/>
                <w:b/>
                <w:sz w:val="22"/>
              </w:rPr>
              <w:t>/non-AP</w:t>
            </w:r>
            <w:r w:rsidRPr="009448FC">
              <w:rPr>
                <w:rFonts w:eastAsia="SimSun"/>
                <w:b/>
                <w:sz w:val="22"/>
              </w:rPr>
              <w:t xml:space="preserve"> STA</w:t>
            </w:r>
            <w:r>
              <w:rPr>
                <w:rFonts w:eastAsia="SimSun"/>
                <w:b/>
                <w:sz w:val="22"/>
              </w:rPr>
              <w:t xml:space="preserve"> </w:t>
            </w:r>
          </w:p>
        </w:tc>
      </w:tr>
      <w:tr w:rsidR="003B4D64" w:rsidRPr="00066F65" w:rsidTr="007A7E57">
        <w:trPr>
          <w:jc w:val="center"/>
        </w:trPr>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BT</w:t>
            </w:r>
          </w:p>
        </w:tc>
        <w:tc>
          <w:tcPr>
            <w:tcW w:w="0" w:type="auto"/>
          </w:tcPr>
          <w:p w:rsidR="003B4D64" w:rsidRPr="009448FC" w:rsidRDefault="003B4D64" w:rsidP="005F5D6A">
            <w:pPr>
              <w:autoSpaceDE w:val="0"/>
              <w:autoSpaceDN w:val="0"/>
              <w:adjustRightInd w:val="0"/>
              <w:jc w:val="both"/>
              <w:rPr>
                <w:rFonts w:eastAsia="SimSun"/>
                <w:sz w:val="22"/>
              </w:rPr>
            </w:pPr>
            <w:r w:rsidRPr="009448FC">
              <w:rPr>
                <w:rFonts w:eastAsia="SimSun"/>
                <w:sz w:val="22"/>
              </w:rPr>
              <w:t>BT</w:t>
            </w:r>
          </w:p>
        </w:tc>
        <w:tc>
          <w:tcPr>
            <w:tcW w:w="0" w:type="auto"/>
          </w:tcPr>
          <w:p w:rsidR="003B4D64" w:rsidRPr="009448FC" w:rsidDel="00317CA5" w:rsidRDefault="003B4D64" w:rsidP="00A239D4">
            <w:pPr>
              <w:autoSpaceDE w:val="0"/>
              <w:autoSpaceDN w:val="0"/>
              <w:adjustRightInd w:val="0"/>
              <w:jc w:val="both"/>
              <w:rPr>
                <w:rFonts w:eastAsia="SimSun"/>
                <w:sz w:val="22"/>
              </w:rPr>
            </w:pPr>
            <w:r w:rsidRPr="009448FC">
              <w:rPr>
                <w:rFonts w:eastAsia="SimSun"/>
                <w:sz w:val="22"/>
              </w:rPr>
              <w:t>A</w:t>
            </w:r>
            <w:r>
              <w:rPr>
                <w:rFonts w:eastAsia="SimSun"/>
                <w:sz w:val="22"/>
              </w:rPr>
              <w:t>wake</w:t>
            </w:r>
          </w:p>
        </w:tc>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769"/>
          <w:jc w:val="center"/>
        </w:trPr>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A-BFT</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A-BFT</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r w:rsidRPr="009448FC">
              <w:rPr>
                <w:rFonts w:eastAsia="SimSun"/>
                <w:sz w:val="22"/>
              </w:rPr>
              <w:t>Doze</w:t>
            </w:r>
          </w:p>
        </w:tc>
      </w:tr>
      <w:tr w:rsidR="003B4D64" w:rsidRPr="00066F65" w:rsidTr="007A7E57">
        <w:trPr>
          <w:jc w:val="center"/>
        </w:trPr>
        <w:tc>
          <w:tcPr>
            <w:tcW w:w="0" w:type="auto"/>
          </w:tcPr>
          <w:p w:rsidR="003B4D64" w:rsidRPr="009448FC" w:rsidRDefault="007A7E57" w:rsidP="005F5D6A">
            <w:pPr>
              <w:autoSpaceDE w:val="0"/>
              <w:autoSpaceDN w:val="0"/>
              <w:adjustRightInd w:val="0"/>
              <w:jc w:val="both"/>
              <w:rPr>
                <w:rFonts w:eastAsia="SimSun"/>
                <w:sz w:val="22"/>
              </w:rPr>
            </w:pPr>
            <w:r>
              <w:rPr>
                <w:rFonts w:eastAsia="SimSun"/>
                <w:sz w:val="22"/>
              </w:rPr>
              <w:t>AT</w:t>
            </w:r>
          </w:p>
        </w:tc>
        <w:tc>
          <w:tcPr>
            <w:tcW w:w="0" w:type="auto"/>
          </w:tcPr>
          <w:p w:rsidR="003B4D64" w:rsidRPr="009448FC" w:rsidRDefault="003B4D64" w:rsidP="005F5D6A">
            <w:pPr>
              <w:autoSpaceDE w:val="0"/>
              <w:autoSpaceDN w:val="0"/>
              <w:adjustRightInd w:val="0"/>
              <w:jc w:val="both"/>
              <w:rPr>
                <w:rFonts w:eastAsia="SimSun"/>
                <w:sz w:val="22"/>
              </w:rPr>
            </w:pPr>
            <w:r w:rsidRPr="009448FC">
              <w:rPr>
                <w:rFonts w:eastAsia="SimSun"/>
                <w:sz w:val="22"/>
              </w:rPr>
              <w:t>AT</w:t>
            </w:r>
          </w:p>
        </w:tc>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Awake</w:t>
            </w:r>
          </w:p>
        </w:tc>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516"/>
          <w:jc w:val="center"/>
        </w:trPr>
        <w:tc>
          <w:tcPr>
            <w:tcW w:w="0" w:type="auto"/>
            <w:vMerge w:val="restart"/>
            <w:vAlign w:val="center"/>
          </w:tcPr>
          <w:p w:rsidR="007A7E57" w:rsidRPr="009448FC" w:rsidRDefault="007A7E57" w:rsidP="005F5D6A">
            <w:pPr>
              <w:autoSpaceDE w:val="0"/>
              <w:autoSpaceDN w:val="0"/>
              <w:adjustRightInd w:val="0"/>
              <w:jc w:val="both"/>
              <w:rPr>
                <w:rFonts w:eastAsia="SimSun"/>
                <w:sz w:val="22"/>
              </w:rPr>
            </w:pPr>
            <w:r>
              <w:rPr>
                <w:rFonts w:eastAsia="SimSun"/>
                <w:sz w:val="22"/>
              </w:rPr>
              <w:t>DTT</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CBP marked as PCP available in the schedule</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trHeight w:val="516"/>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CBP marked as PCP unavailable in the schedule</w:t>
            </w:r>
          </w:p>
        </w:tc>
        <w:tc>
          <w:tcPr>
            <w:tcW w:w="0" w:type="auto"/>
          </w:tcPr>
          <w:p w:rsidR="007A7E57" w:rsidRPr="009448FC" w:rsidDel="00317CA5" w:rsidRDefault="007A7E57" w:rsidP="00A239D4">
            <w:pPr>
              <w:autoSpaceDE w:val="0"/>
              <w:autoSpaceDN w:val="0"/>
              <w:adjustRightInd w:val="0"/>
              <w:jc w:val="both"/>
              <w:rPr>
                <w:rFonts w:eastAsia="SimSun"/>
                <w:sz w:val="22"/>
              </w:rPr>
            </w:pPr>
            <w:r w:rsidRPr="009448FC">
              <w:rPr>
                <w:rFonts w:eastAsia="SimSun"/>
                <w:sz w:val="22"/>
              </w:rPr>
              <w:t>D</w:t>
            </w:r>
            <w:r>
              <w:rPr>
                <w:rFonts w:eastAsia="SimSun"/>
                <w:sz w:val="22"/>
              </w:rPr>
              <w:t>oze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SP with broadcast AID as Destination AID</w:t>
            </w:r>
          </w:p>
        </w:tc>
        <w:tc>
          <w:tcPr>
            <w:tcW w:w="0" w:type="auto"/>
          </w:tcPr>
          <w:p w:rsidR="007A7E57" w:rsidRPr="009448FC" w:rsidDel="00317CA5"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516"/>
          <w:jc w:val="center"/>
        </w:trPr>
        <w:tc>
          <w:tcPr>
            <w:tcW w:w="0" w:type="auto"/>
            <w:vMerge/>
          </w:tcPr>
          <w:p w:rsidR="007A7E57" w:rsidRPr="009448FC" w:rsidRDefault="007A7E57" w:rsidP="008847A1">
            <w:pPr>
              <w:autoSpaceDE w:val="0"/>
              <w:autoSpaceDN w:val="0"/>
              <w:adjustRightInd w:val="0"/>
              <w:jc w:val="both"/>
              <w:rPr>
                <w:rFonts w:eastAsia="SimSun"/>
                <w:sz w:val="22"/>
              </w:rPr>
            </w:pPr>
          </w:p>
        </w:tc>
        <w:tc>
          <w:tcPr>
            <w:tcW w:w="0" w:type="auto"/>
          </w:tcPr>
          <w:p w:rsidR="007A7E57" w:rsidRPr="009448FC" w:rsidRDefault="007A7E57" w:rsidP="008847A1">
            <w:pPr>
              <w:autoSpaceDE w:val="0"/>
              <w:autoSpaceDN w:val="0"/>
              <w:adjustRightInd w:val="0"/>
              <w:jc w:val="both"/>
              <w:rPr>
                <w:rFonts w:eastAsia="SimSun"/>
                <w:sz w:val="22"/>
              </w:rPr>
            </w:pPr>
            <w:r w:rsidRPr="009448FC">
              <w:rPr>
                <w:rFonts w:eastAsia="SimSun"/>
                <w:sz w:val="22"/>
              </w:rPr>
              <w:t>Non-truncatable or non-extensible SP with non-PCP STA as Source AID and Destination AID</w:t>
            </w:r>
          </w:p>
        </w:tc>
        <w:tc>
          <w:tcPr>
            <w:tcW w:w="0" w:type="auto"/>
            <w:shd w:val="clear" w:color="auto" w:fill="auto"/>
          </w:tcPr>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Doze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trHeight w:val="516"/>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Truncatable SP or extensible SP with non-PCP</w:t>
            </w:r>
            <w:r>
              <w:rPr>
                <w:rFonts w:eastAsia="SimSun"/>
                <w:sz w:val="22"/>
              </w:rPr>
              <w:t>/non-AP</w:t>
            </w:r>
            <w:r w:rsidRPr="009448FC">
              <w:rPr>
                <w:rFonts w:eastAsia="SimSun"/>
                <w:sz w:val="22"/>
              </w:rPr>
              <w:t xml:space="preserve"> STA (excluding the PS STA) as Source AID and Destination AID</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 xml:space="preserve">SPs allocated to itself </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516"/>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 xml:space="preserve">All other SPs </w:t>
            </w:r>
          </w:p>
        </w:tc>
        <w:tc>
          <w:tcPr>
            <w:tcW w:w="0" w:type="auto"/>
          </w:tcPr>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Doze</w:t>
            </w:r>
          </w:p>
        </w:tc>
        <w:tc>
          <w:tcPr>
            <w:tcW w:w="0" w:type="auto"/>
            <w:shd w:val="clear" w:color="auto" w:fill="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bl>
    <w:p w:rsidR="008C36FC" w:rsidRDefault="005B65CE" w:rsidP="0004091F">
      <w:pPr>
        <w:rPr>
          <w:b/>
          <w:color w:val="FF0000"/>
          <w:sz w:val="22"/>
        </w:rPr>
      </w:pPr>
      <w:r w:rsidRPr="009448FC">
        <w:rPr>
          <w:b/>
          <w:i/>
          <w:color w:val="FF0000"/>
          <w:sz w:val="22"/>
        </w:rPr>
        <w:t xml:space="preserve"> </w:t>
      </w:r>
    </w:p>
    <w:p w:rsidR="00000C5F" w:rsidRDefault="00457024">
      <w:pPr>
        <w:autoSpaceDE w:val="0"/>
        <w:autoSpaceDN w:val="0"/>
        <w:adjustRightInd w:val="0"/>
        <w:jc w:val="both"/>
      </w:pPr>
      <w:r>
        <w:t xml:space="preserve">The source STA and the destination STA of a non-truncatable SP may go to Doze state within the SP after the source STA transmitted a </w:t>
      </w:r>
      <w:r w:rsidR="009D537D" w:rsidRPr="009D537D">
        <w:t xml:space="preserve">frame to the destination STA of the SP with the EOSP field set to 1 and </w:t>
      </w:r>
      <w:r>
        <w:t>successfully received the following response frame from the destination STA of the SP.</w:t>
      </w:r>
    </w:p>
    <w:p w:rsidR="00000C5F" w:rsidRDefault="00995D7F">
      <w:pPr>
        <w:autoSpaceDE w:val="0"/>
        <w:autoSpaceDN w:val="0"/>
        <w:adjustRightInd w:val="0"/>
        <w:jc w:val="both"/>
      </w:pPr>
      <w:r>
        <w:t xml:space="preserve"> </w:t>
      </w:r>
    </w:p>
    <w:p w:rsidR="008C36FC" w:rsidRPr="009448FC" w:rsidRDefault="008C36FC" w:rsidP="003701DB">
      <w:pPr>
        <w:pStyle w:val="Heading4"/>
        <w:numPr>
          <w:ilvl w:val="3"/>
          <w:numId w:val="93"/>
        </w:numPr>
        <w:rPr>
          <w:lang w:val="fr-FR"/>
        </w:rPr>
      </w:pPr>
      <w:bookmarkStart w:id="2302" w:name="_Toc235400560"/>
      <w:bookmarkStart w:id="2303" w:name="_Ref243984733"/>
      <w:bookmarkStart w:id="2304" w:name="_Toc259717208"/>
      <w:r w:rsidRPr="009448FC">
        <w:rPr>
          <w:lang w:val="fr-FR"/>
        </w:rPr>
        <w:t>Non-PCP</w:t>
      </w:r>
      <w:r w:rsidR="005C4927">
        <w:rPr>
          <w:lang w:val="fr-FR"/>
        </w:rPr>
        <w:t>/non-AP</w:t>
      </w:r>
      <w:r w:rsidRPr="009448FC">
        <w:rPr>
          <w:lang w:val="fr-FR"/>
        </w:rPr>
        <w:t xml:space="preserve"> STA </w:t>
      </w:r>
      <w:r w:rsidR="005C4927">
        <w:rPr>
          <w:lang w:val="fr-FR"/>
        </w:rPr>
        <w:t>p</w:t>
      </w:r>
      <w:r w:rsidRPr="009448FC">
        <w:rPr>
          <w:lang w:val="fr-FR"/>
        </w:rPr>
        <w:t xml:space="preserve">ower </w:t>
      </w:r>
      <w:r w:rsidR="005C4927">
        <w:rPr>
          <w:lang w:val="fr-FR"/>
        </w:rPr>
        <w:t>m</w:t>
      </w:r>
      <w:r w:rsidRPr="009448FC">
        <w:rPr>
          <w:lang w:val="fr-FR"/>
        </w:rPr>
        <w:t xml:space="preserve">anagement </w:t>
      </w:r>
      <w:r w:rsidR="005C4927">
        <w:rPr>
          <w:lang w:val="fr-FR"/>
        </w:rPr>
        <w:t>m</w:t>
      </w:r>
      <w:r w:rsidRPr="009448FC">
        <w:rPr>
          <w:lang w:val="fr-FR"/>
        </w:rPr>
        <w:t>ode</w:t>
      </w:r>
      <w:bookmarkEnd w:id="2302"/>
      <w:bookmarkEnd w:id="2303"/>
      <w:bookmarkEnd w:id="2304"/>
    </w:p>
    <w:p w:rsidR="00CD42CE" w:rsidRPr="009448FC" w:rsidRDefault="00053DA9" w:rsidP="005B65CE">
      <w:pPr>
        <w:autoSpaceDE w:val="0"/>
        <w:autoSpaceDN w:val="0"/>
        <w:adjustRightInd w:val="0"/>
        <w:jc w:val="both"/>
      </w:pPr>
      <w:r w:rsidRPr="009448FC">
        <w:rPr>
          <w:rFonts w:eastAsia="MS Mincho"/>
        </w:rPr>
        <w:t>The Power Management mode of a non-PCP</w:t>
      </w:r>
      <w:r w:rsidR="005C4927">
        <w:rPr>
          <w:rFonts w:eastAsia="MS Mincho"/>
        </w:rPr>
        <w:t>/non-AP</w:t>
      </w:r>
      <w:r w:rsidRPr="009448FC">
        <w:rPr>
          <w:rFonts w:eastAsia="MS Mincho"/>
        </w:rPr>
        <w:t xml:space="preserve"> STA is selected by the PowerManagementMode parameter of the MLME-POWERMGT.request. Once the STA updates its Power Management mode, the MLME shall issue an MLME-POWERMGT.confirm indicati</w:t>
      </w:r>
      <w:r w:rsidR="004F1F26" w:rsidRPr="009448FC">
        <w:rPr>
          <w:rFonts w:eastAsia="MS Mincho"/>
        </w:rPr>
        <w:t>ng the success of the operation</w:t>
      </w:r>
      <w:r w:rsidR="008C36FC" w:rsidRPr="009448FC">
        <w:rPr>
          <w:rFonts w:ascii="TimesNewRoman" w:hAnsi="TimesNewRoman"/>
        </w:rPr>
        <w:t>.</w:t>
      </w:r>
      <w:r w:rsidR="00EE1100" w:rsidRPr="009448FC">
        <w:rPr>
          <w:rFonts w:ascii="TimesNewRoman" w:hAnsi="TimesNewRoman"/>
          <w:b/>
          <w:i/>
        </w:rPr>
        <w:t xml:space="preserve"> </w:t>
      </w:r>
      <w:fldSimple w:instr=" REF _Ref236395917 \h  \* MERGEFORMAT ">
        <w:r w:rsidR="003E4210" w:rsidRPr="00066F65">
          <w:t xml:space="preserve">Figure </w:t>
        </w:r>
        <w:r w:rsidR="003E4210">
          <w:rPr>
            <w:noProof/>
          </w:rPr>
          <w:t>117</w:t>
        </w:r>
      </w:fldSimple>
      <w:r w:rsidR="00CD42CE" w:rsidRPr="009448FC">
        <w:t xml:space="preserve"> </w:t>
      </w:r>
      <w:r w:rsidR="005F5D6A" w:rsidRPr="009448FC">
        <w:t xml:space="preserve">illustrates a finite state machine that shows the state transition of a STA in active and PS </w:t>
      </w:r>
      <w:r w:rsidR="005F5D6A" w:rsidRPr="009448FC">
        <w:lastRenderedPageBreak/>
        <w:t>mode</w:t>
      </w:r>
      <w:r w:rsidR="005C4927">
        <w:t>,</w:t>
      </w:r>
      <w:r w:rsidR="005F5D6A" w:rsidRPr="009448FC">
        <w:t xml:space="preserve"> and also the transition between active and Power Save Mode when the non-PCP</w:t>
      </w:r>
      <w:r w:rsidR="005C4927">
        <w:t>/non-AP</w:t>
      </w:r>
      <w:r w:rsidR="005F5D6A" w:rsidRPr="009448FC">
        <w:t xml:space="preserve"> STA has setup a wakeup schedule.</w:t>
      </w:r>
      <w:r w:rsidR="005515A4">
        <w:t xml:space="preserve"> </w:t>
      </w:r>
    </w:p>
    <w:p w:rsidR="00053DA9" w:rsidRPr="009448FC" w:rsidRDefault="005B65CE" w:rsidP="00053DA9">
      <w:pPr>
        <w:autoSpaceDE w:val="0"/>
        <w:autoSpaceDN w:val="0"/>
        <w:adjustRightInd w:val="0"/>
        <w:jc w:val="both"/>
      </w:pPr>
      <w:r w:rsidRPr="009448FC">
        <w:rPr>
          <w:b/>
          <w:i/>
          <w:color w:val="FF0000"/>
        </w:rPr>
        <w:t xml:space="preserve"> </w:t>
      </w:r>
    </w:p>
    <w:p w:rsidR="00CD42CE" w:rsidRPr="009448FC" w:rsidRDefault="00BD151C" w:rsidP="00A93F82">
      <w:pPr>
        <w:autoSpaceDE w:val="0"/>
        <w:autoSpaceDN w:val="0"/>
        <w:adjustRightInd w:val="0"/>
        <w:jc w:val="both"/>
      </w:pPr>
      <w:r>
        <w:pict>
          <v:group id="_x0000_s1144" editas="canvas" style="position:absolute;margin-left:0;margin-top:0;width:486pt;height:324pt;z-index:251655168;mso-position-horizontal-relative:char;mso-position-vertical-relative:line" coordorigin="2700,5991" coordsize="9720,6480">
            <o:lock v:ext="edit" aspectratio="t"/>
            <v:shape id="_x0000_s1145" type="#_x0000_t75" style="position:absolute;left:2700;top:5991;width:9720;height:6480" o:preferrelative="f">
              <v:fill o:detectmouseclick="t"/>
              <v:path o:extrusionok="t" o:connecttype="none"/>
              <o:lock v:ext="edit" text="t"/>
            </v:shape>
            <v:shape id="_x0000_s1146" type="#_x0000_t75" style="position:absolute;left:3301;top:6590;width:5999;height:2231" o:preferrelative="f">
              <v:fill o:detectmouseclick="t"/>
              <v:path o:extrusionok="t" o:connecttype="none"/>
            </v:shape>
            <v:shape id="_x0000_s1147" style="position:absolute;left:5103;top:7359;width:838;height:782" coordsize="1210,1209" path="m,604hdc,270,271,,605,v334,,605,270,605,604c1210,604,1210,604,1210,604v,334,-271,605,-605,605c271,1209,,938,,604e" fillcolor="#e8eef7" strokeweight="0">
              <v:path arrowok="t"/>
            </v:shape>
            <v:rect id="_x0000_s1148" style="position:absolute;left:5230;top:7562;width:530;height:529" filled="f" stroked="f">
              <v:textbox style="mso-next-textbox:#_x0000_s1148" inset="0,0,0,0">
                <w:txbxContent>
                  <w:p w:rsidR="00DB6E8E" w:rsidRDefault="00DB6E8E" w:rsidP="00FB3B6A">
                    <w:pPr>
                      <w:autoSpaceDE w:val="0"/>
                      <w:autoSpaceDN w:val="0"/>
                      <w:adjustRightInd w:val="0"/>
                      <w:rPr>
                        <w:rFonts w:ascii="Arial" w:hAnsi="Arial" w:cs="Arial"/>
                        <w:color w:val="000000"/>
                        <w:sz w:val="18"/>
                        <w:szCs w:val="18"/>
                      </w:rPr>
                    </w:pPr>
                    <w:r w:rsidRPr="0072680F">
                      <w:rPr>
                        <w:rFonts w:ascii="Arial" w:hAnsi="Arial" w:cs="Arial"/>
                        <w:color w:val="000000"/>
                        <w:sz w:val="18"/>
                        <w:szCs w:val="18"/>
                      </w:rPr>
                      <w:t>Active</w:t>
                    </w:r>
                  </w:p>
                  <w:p w:rsidR="00DB6E8E" w:rsidRPr="0072680F" w:rsidRDefault="00DB6E8E" w:rsidP="00FB3B6A">
                    <w:pPr>
                      <w:autoSpaceDE w:val="0"/>
                      <w:autoSpaceDN w:val="0"/>
                      <w:adjustRightInd w:val="0"/>
                      <w:rPr>
                        <w:rFonts w:ascii="Arial" w:hAnsi="Arial" w:cs="Arial"/>
                        <w:color w:val="000000"/>
                        <w:sz w:val="18"/>
                        <w:szCs w:val="18"/>
                      </w:rPr>
                    </w:pPr>
                    <w:r>
                      <w:rPr>
                        <w:rFonts w:ascii="Arial" w:hAnsi="Arial" w:cs="Arial"/>
                        <w:color w:val="000000"/>
                        <w:sz w:val="18"/>
                        <w:szCs w:val="18"/>
                      </w:rPr>
                      <w:t>Mode</w:t>
                    </w:r>
                  </w:p>
                </w:txbxContent>
              </v:textbox>
            </v:rect>
            <v:shape id="_x0000_s1149" style="position:absolute;left:8458;top:7251;width:1082;height:890" coordsize="1210,1209" path="m,604hdc,270,271,,605,v334,,605,270,605,604c1210,604,1210,604,1210,604v,334,-271,605,-605,605c271,1209,,938,,604e" fillcolor="#e8eef7" strokeweight="0">
              <v:path arrowok="t"/>
            </v:shape>
            <v:rect id="_x0000_s1150" style="position:absolute;left:8493;top:7524;width:1167;height:267" filled="f" stroked="f">
              <v:textbox style="mso-next-textbox:#_x0000_s1150" inset="0,0,0,0">
                <w:txbxContent>
                  <w:p w:rsidR="00DB6E8E" w:rsidRPr="0072680F" w:rsidRDefault="00DB6E8E" w:rsidP="00FB3B6A">
                    <w:pPr>
                      <w:autoSpaceDE w:val="0"/>
                      <w:autoSpaceDN w:val="0"/>
                      <w:adjustRightInd w:val="0"/>
                      <w:rPr>
                        <w:rFonts w:ascii="Arial" w:hAnsi="Arial" w:cs="Arial"/>
                        <w:color w:val="000000"/>
                        <w:sz w:val="18"/>
                        <w:szCs w:val="18"/>
                      </w:rPr>
                    </w:pPr>
                    <w:r w:rsidRPr="0072680F">
                      <w:rPr>
                        <w:rFonts w:ascii="Arial" w:hAnsi="Arial" w:cs="Arial"/>
                        <w:color w:val="000000"/>
                        <w:sz w:val="18"/>
                        <w:szCs w:val="18"/>
                      </w:rPr>
                      <w:t>Power</w:t>
                    </w:r>
                    <w:r>
                      <w:rPr>
                        <w:rFonts w:ascii="Arial" w:hAnsi="Arial" w:cs="Arial"/>
                        <w:color w:val="000000"/>
                        <w:sz w:val="18"/>
                        <w:szCs w:val="18"/>
                      </w:rPr>
                      <w:t xml:space="preserve"> </w:t>
                    </w:r>
                    <w:r w:rsidRPr="0072680F">
                      <w:rPr>
                        <w:rFonts w:ascii="Arial" w:hAnsi="Arial" w:cs="Arial"/>
                        <w:color w:val="000000"/>
                        <w:sz w:val="18"/>
                        <w:szCs w:val="18"/>
                      </w:rPr>
                      <w:t>Save</w:t>
                    </w:r>
                  </w:p>
                </w:txbxContent>
              </v:textbox>
            </v:rect>
            <v:rect id="_x0000_s1151" style="position:absolute;left:8790;top:7761;width:702;height:331" filled="f" stroked="f">
              <v:textbox style="mso-next-textbox:#_x0000_s1151" inset="0,0,0,0">
                <w:txbxContent>
                  <w:p w:rsidR="00DB6E8E" w:rsidRPr="0072680F" w:rsidRDefault="00DB6E8E" w:rsidP="00FB3B6A">
                    <w:pPr>
                      <w:autoSpaceDE w:val="0"/>
                      <w:autoSpaceDN w:val="0"/>
                      <w:adjustRightInd w:val="0"/>
                      <w:rPr>
                        <w:rFonts w:ascii="Arial" w:hAnsi="Arial" w:cs="Arial"/>
                        <w:color w:val="000000"/>
                        <w:sz w:val="16"/>
                        <w:szCs w:val="16"/>
                      </w:rPr>
                    </w:pPr>
                    <w:r w:rsidRPr="0072680F">
                      <w:rPr>
                        <w:rFonts w:ascii="Arial" w:hAnsi="Arial" w:cs="Arial"/>
                        <w:color w:val="000000"/>
                        <w:sz w:val="16"/>
                        <w:szCs w:val="16"/>
                      </w:rPr>
                      <w:t>Mode</w:t>
                    </w:r>
                  </w:p>
                </w:txbxContent>
              </v:textbox>
            </v:rect>
            <v:shape id="_x0000_s1152" style="position:absolute;left:5520;top:6336;width:3480;height:915" coordsize="1534,501" path="m,501hdc340,73,962,,1392,338v52,41,99,87,142,138e" filled="f" strokeweight=".25pt">
              <v:stroke endcap="round"/>
              <v:path arrowok="t"/>
            </v:shape>
            <v:shape id="_x0000_s1153" style="position:absolute;left:8940;top:7184;width:125;height:128" coordsize="57,62" path="m44,l57,62,,36,44,xe" fillcolor="black" stroked="f">
              <v:path arrowok="t"/>
            </v:shape>
            <v:shape id="_x0000_s1154" style="position:absolute;left:5888;top:8035;width:2705;height:665" coordsize="1236,324" path="m1236,hdc887,310,365,324,,32e" filled="f" strokeweight=".25pt">
              <v:stroke endcap="round"/>
              <v:path arrowok="t"/>
            </v:shape>
            <v:shape id="_x0000_s1155" style="position:absolute;left:5805;top:8035;width:136;height:119" coordsize="62,58" path="m25,58l,,62,15,25,58xe" fillcolor="black" stroked="f">
              <v:path arrowok="t"/>
            </v:shape>
            <v:shape id="_x0000_s1156" style="position:absolute;left:4008;top:6919;width:1555;height:1662" coordsize="711,815" path="m711,599hdc606,766,384,815,217,710,50,604,,383,106,216,212,49,433,,601,105v32,21,61,47,85,76e" filled="f" strokeweight=".25pt">
              <v:stroke endcap="round"/>
              <v:path arrowok="t"/>
            </v:shape>
            <v:shape id="_x0000_s1157" style="position:absolute;left:5440;top:7231;width:123;height:128" coordsize="178,198" path="m178,198l,105hdc63,94,116,56,146,hal146,r32,198xe" fillcolor="black" strokeweight="0">
              <v:path arrowok="t"/>
            </v:shape>
            <v:oval id="_x0000_s1158" style="position:absolute;left:7560;top:10311;width:1320;height:719;v-text-anchor:middle" filled="f" fillcolor="#bbe0e3">
              <v:textbox style="mso-next-textbox:#_x0000_s1158">
                <w:txbxContent>
                  <w:p w:rsidR="00DB6E8E" w:rsidRDefault="00DB6E8E" w:rsidP="00FB3B6A">
                    <w:pPr>
                      <w:autoSpaceDE w:val="0"/>
                      <w:autoSpaceDN w:val="0"/>
                      <w:adjustRightInd w:val="0"/>
                      <w:jc w:val="center"/>
                      <w:rPr>
                        <w:color w:val="000000"/>
                      </w:rPr>
                    </w:pPr>
                    <w:r>
                      <w:rPr>
                        <w:color w:val="000000"/>
                      </w:rPr>
                      <w:t>Awake</w:t>
                    </w:r>
                  </w:p>
                </w:txbxContent>
              </v:textbox>
            </v:oval>
            <v:oval id="_x0000_s1159" style="position:absolute;left:10140;top:10191;width:1020;height:719;v-text-anchor:middle" filled="f" fillcolor="#bbe0e3">
              <v:textbox style="mso-next-textbox:#_x0000_s1159">
                <w:txbxContent>
                  <w:p w:rsidR="00DB6E8E" w:rsidRDefault="00DB6E8E" w:rsidP="00FB3B6A">
                    <w:pPr>
                      <w:autoSpaceDE w:val="0"/>
                      <w:autoSpaceDN w:val="0"/>
                      <w:adjustRightInd w:val="0"/>
                      <w:jc w:val="center"/>
                      <w:rPr>
                        <w:color w:val="000000"/>
                      </w:rPr>
                    </w:pPr>
                    <w:r>
                      <w:rPr>
                        <w:color w:val="000000"/>
                      </w:rPr>
                      <w:t>Doze</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60" type="#_x0000_t38" style="position:absolute;left:9375;top:9036;width:120;height:2430;rotation:270" o:connectortype="curved" adj="86400,-55360,-1220400">
              <v:stroke endarrow="block"/>
            </v:shape>
            <v:shape id="_x0000_s1161" type="#_x0000_t38" style="position:absolute;left:9375;top:9755;width:120;height:2430;rotation:90" o:connectortype="curved" adj="86220,-60684,-1657800">
              <v:stroke endarrow="block"/>
            </v:shape>
            <v:shape id="_x0000_s1162" type="#_x0000_t202" style="position:absolute;left:7425;top:9186;width:4170;height:720;v-text-anchor:top-baseline" filled="f" fillcolor="#bbe0e3" stroked="f">
              <v:textbox style="mso-next-textbox:#_x0000_s1162">
                <w:txbxContent>
                  <w:p w:rsidR="00DB6E8E" w:rsidRPr="0072680F" w:rsidRDefault="00DB6E8E" w:rsidP="00FB3B6A">
                    <w:pPr>
                      <w:autoSpaceDE w:val="0"/>
                      <w:autoSpaceDN w:val="0"/>
                      <w:adjustRightInd w:val="0"/>
                      <w:rPr>
                        <w:color w:val="000000"/>
                        <w:sz w:val="20"/>
                      </w:rPr>
                    </w:pPr>
                    <w:r w:rsidRPr="0072680F">
                      <w:rPr>
                        <w:color w:val="000000"/>
                        <w:sz w:val="20"/>
                      </w:rPr>
                      <w:t xml:space="preserve">Start of the first doze BI </w:t>
                    </w:r>
                    <w:r>
                      <w:rPr>
                        <w:color w:val="000000"/>
                        <w:sz w:val="20"/>
                      </w:rPr>
                      <w:t xml:space="preserve">(or) </w:t>
                    </w:r>
                    <w:r w:rsidRPr="0072680F">
                      <w:rPr>
                        <w:color w:val="000000"/>
                        <w:sz w:val="20"/>
                      </w:rPr>
                      <w:t>as per the powe</w:t>
                    </w:r>
                    <w:r>
                      <w:rPr>
                        <w:color w:val="000000"/>
                        <w:sz w:val="20"/>
                      </w:rPr>
                      <w:t>r management state in Awake BIs</w:t>
                    </w:r>
                  </w:p>
                </w:txbxContent>
              </v:textbox>
            </v:shape>
            <v:shape id="_x0000_s1163" type="#_x0000_t202" style="position:absolute;left:7560;top:11241;width:4170;height:825;v-text-anchor:top-baseline" filled="f" fillcolor="#bbe0e3" stroked="f">
              <v:textbox style="mso-next-textbox:#_x0000_s1163">
                <w:txbxContent>
                  <w:p w:rsidR="00DB6E8E" w:rsidRPr="0072680F" w:rsidRDefault="00DB6E8E" w:rsidP="00FB3B6A">
                    <w:pPr>
                      <w:autoSpaceDE w:val="0"/>
                      <w:autoSpaceDN w:val="0"/>
                      <w:adjustRightInd w:val="0"/>
                      <w:rPr>
                        <w:color w:val="000000"/>
                        <w:sz w:val="20"/>
                      </w:rPr>
                    </w:pPr>
                    <w:r w:rsidRPr="0072680F">
                      <w:rPr>
                        <w:color w:val="000000"/>
                        <w:sz w:val="20"/>
                      </w:rPr>
                      <w:t xml:space="preserve">Beginning of the awake BI </w:t>
                    </w:r>
                    <w:r>
                      <w:rPr>
                        <w:color w:val="000000"/>
                        <w:sz w:val="20"/>
                      </w:rPr>
                      <w:t xml:space="preserve">(or) </w:t>
                    </w:r>
                    <w:r w:rsidRPr="0072680F">
                      <w:rPr>
                        <w:color w:val="000000"/>
                        <w:sz w:val="20"/>
                      </w:rPr>
                      <w:t xml:space="preserve">as per the power management state in awake BIs </w:t>
                    </w:r>
                  </w:p>
                </w:txbxContent>
              </v:textbox>
            </v:shape>
            <v:roundrect id="_x0000_s1164" style="position:absolute;left:7261;top:8991;width:4559;height:3000;v-text-anchor:middle" arcsize="19233f" filled="f" fillcolor="#bbe0e3">
              <v:stroke dashstyle="dash"/>
            </v:roundrect>
            <v:line id="_x0000_s1165" style="position:absolute;flip:x" from="7620,7971" to="8640,9111">
              <v:stroke dashstyle="dash"/>
            </v:line>
            <v:line id="_x0000_s1166" style="position:absolute" from="9300,8031" to="11460,9111">
              <v:stroke dashstyle="dash"/>
            </v:line>
            <v:shape id="_x0000_s1167" type="#_x0000_t202" style="position:absolute;left:2700;top:7431;width:2522;height:1141" filled="f" fillcolor="#bbe0e3" stroked="f">
              <v:textbox style="mso-next-textbox:#_x0000_s1167">
                <w:txbxContent>
                  <w:p w:rsidR="00DB6E8E" w:rsidRDefault="00DB6E8E" w:rsidP="00FB3B6A">
                    <w:pPr>
                      <w:autoSpaceDE w:val="0"/>
                      <w:autoSpaceDN w:val="0"/>
                      <w:adjustRightInd w:val="0"/>
                      <w:rPr>
                        <w:color w:val="000000"/>
                      </w:rPr>
                    </w:pPr>
                    <w:r>
                      <w:rPr>
                        <w:color w:val="000000"/>
                      </w:rPr>
                      <w:t>PSC-REQ(PM=1, WS) &amp; PSC-RSP(Reject, WS_new)</w:t>
                    </w:r>
                  </w:p>
                </w:txbxContent>
              </v:textbox>
            </v:shape>
            <v:shape id="_x0000_s1168" type="#_x0000_t202" style="position:absolute;left:6300;top:7971;width:2340;height:385" filled="f" fillcolor="#bbe0e3" stroked="f">
              <v:textbox style="mso-next-textbox:#_x0000_s1168">
                <w:txbxContent>
                  <w:p w:rsidR="00DB6E8E" w:rsidRDefault="00DB6E8E" w:rsidP="00FB3B6A">
                    <w:pPr>
                      <w:autoSpaceDE w:val="0"/>
                      <w:autoSpaceDN w:val="0"/>
                      <w:adjustRightInd w:val="0"/>
                      <w:rPr>
                        <w:color w:val="000000"/>
                      </w:rPr>
                    </w:pPr>
                    <w:r>
                      <w:rPr>
                        <w:color w:val="000000"/>
                      </w:rPr>
                      <w:t>PSC-REQ(PM=0)</w:t>
                    </w:r>
                  </w:p>
                </w:txbxContent>
              </v:textbox>
            </v:shape>
            <v:shape id="_x0000_s1169" type="#_x0000_t202" style="position:absolute;left:6180;top:5991;width:3000;height:720" filled="f" fillcolor="#bbe0e3" stroked="f">
              <v:textbox style="mso-next-textbox:#_x0000_s1169">
                <w:txbxContent>
                  <w:p w:rsidR="00DB6E8E" w:rsidRDefault="00DB6E8E" w:rsidP="00FB3B6A">
                    <w:pPr>
                      <w:autoSpaceDE w:val="0"/>
                      <w:autoSpaceDN w:val="0"/>
                      <w:adjustRightInd w:val="0"/>
                      <w:rPr>
                        <w:color w:val="000000"/>
                      </w:rPr>
                    </w:pPr>
                    <w:r>
                      <w:rPr>
                        <w:color w:val="000000"/>
                      </w:rPr>
                      <w:t>PSC-REQ(PM=1, WS) &amp; PSC-RSP(success)</w:t>
                    </w:r>
                  </w:p>
                </w:txbxContent>
              </v:textbox>
            </v:shape>
            <v:roundrect id="_x0000_s1170" style="position:absolute;left:2700;top:8961;width:4559;height:3000;v-text-anchor:middle" arcsize="19233f" filled="f" fillcolor="#bbe0e3">
              <v:stroke dashstyle="dash"/>
            </v:roundrect>
            <v:shape id="_x0000_s1171" type="#_x0000_t202" style="position:absolute;left:2790;top:9351;width:4260;height:360;v-text-anchor:top-baseline" filled="f" fillcolor="#bbe0e3" stroked="f">
              <v:textbox style="mso-next-textbox:#_x0000_s1171" inset="0,0,0,0">
                <w:txbxContent>
                  <w:p w:rsidR="00DB6E8E" w:rsidRPr="00100848" w:rsidRDefault="00DB6E8E" w:rsidP="00FB3B6A">
                    <w:pPr>
                      <w:autoSpaceDE w:val="0"/>
                      <w:autoSpaceDN w:val="0"/>
                      <w:adjustRightInd w:val="0"/>
                      <w:jc w:val="center"/>
                      <w:rPr>
                        <w:color w:val="000000"/>
                        <w:sz w:val="20"/>
                      </w:rPr>
                    </w:pPr>
                    <w:r>
                      <w:rPr>
                        <w:color w:val="000000"/>
                        <w:sz w:val="20"/>
                      </w:rPr>
                      <w:t>As per Power management state in an Awake BIs</w:t>
                    </w:r>
                  </w:p>
                </w:txbxContent>
              </v:textbox>
            </v:shape>
            <v:oval id="_x0000_s1172" style="position:absolute;left:2880;top:10131;width:1320;height:719;v-text-anchor:middle" filled="f" fillcolor="#bbe0e3">
              <v:textbox style="mso-next-textbox:#_x0000_s1172">
                <w:txbxContent>
                  <w:p w:rsidR="00DB6E8E" w:rsidRDefault="00DB6E8E" w:rsidP="00FB3B6A">
                    <w:pPr>
                      <w:autoSpaceDE w:val="0"/>
                      <w:autoSpaceDN w:val="0"/>
                      <w:adjustRightInd w:val="0"/>
                      <w:jc w:val="center"/>
                      <w:rPr>
                        <w:color w:val="000000"/>
                      </w:rPr>
                    </w:pPr>
                    <w:r>
                      <w:rPr>
                        <w:color w:val="000000"/>
                      </w:rPr>
                      <w:t>Awake</w:t>
                    </w:r>
                  </w:p>
                </w:txbxContent>
              </v:textbox>
            </v:oval>
            <v:oval id="_x0000_s1173" style="position:absolute;left:5460;top:10011;width:1020;height:719;v-text-anchor:middle" filled="f" fillcolor="#bbe0e3">
              <v:textbox style="mso-next-textbox:#_x0000_s1173">
                <w:txbxContent>
                  <w:p w:rsidR="00DB6E8E" w:rsidRDefault="00DB6E8E" w:rsidP="00FB3B6A">
                    <w:pPr>
                      <w:autoSpaceDE w:val="0"/>
                      <w:autoSpaceDN w:val="0"/>
                      <w:adjustRightInd w:val="0"/>
                      <w:jc w:val="center"/>
                      <w:rPr>
                        <w:color w:val="000000"/>
                      </w:rPr>
                    </w:pPr>
                    <w:r>
                      <w:rPr>
                        <w:color w:val="000000"/>
                      </w:rPr>
                      <w:t>Doze</w:t>
                    </w:r>
                  </w:p>
                </w:txbxContent>
              </v:textbox>
            </v:oval>
            <v:shape id="_x0000_s1174" type="#_x0000_t38" style="position:absolute;left:4695;top:8856;width:120;height:2430;rotation:270" o:connectortype="curved" adj="86400,-48000,-1350000">
              <v:stroke endarrow="block"/>
            </v:shape>
            <v:shape id="_x0000_s1175" type="#_x0000_t38" style="position:absolute;left:4695;top:9575;width:120;height:2430;rotation:90" o:connectortype="curved" adj="86220,-53324,-1787400">
              <v:stroke endarrow="block"/>
            </v:shape>
            <v:shape id="_x0000_s1176" type="#_x0000_t202" style="position:absolute;left:8640;top:10026;width:1620;height:360;v-text-anchor:top-baseline" stroked="f">
              <v:textbox style="mso-next-textbox:#_x0000_s1176" inset="0,0,0,0">
                <w:txbxContent>
                  <w:p w:rsidR="00DB6E8E" w:rsidRPr="0072680F" w:rsidRDefault="00DB6E8E" w:rsidP="00FB3B6A">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shape id="_x0000_s1177" type="#_x0000_t202" style="position:absolute;left:3960;top:9816;width:1620;height:360;v-text-anchor:top-baseline" stroked="f">
              <v:textbox style="mso-next-textbox:#_x0000_s1177" inset="0,0,0,0">
                <w:txbxContent>
                  <w:p w:rsidR="00DB6E8E" w:rsidRPr="0072680F" w:rsidRDefault="00DB6E8E" w:rsidP="00FB3B6A">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line id="_x0000_s1178" style="position:absolute;flip:x" from="3060,7821" to="5101,9081">
              <v:stroke dashstyle="dash"/>
            </v:line>
            <v:line id="_x0000_s1179" style="position:absolute" from="5940,7791" to="7020,9231">
              <v:stroke dashstyle="dash"/>
            </v:line>
            <v:shape id="_x0000_s1180" type="#_x0000_t202" style="position:absolute;left:2880;top:11211;width:4260;height:360;v-text-anchor:top-baseline" filled="f" fillcolor="#bbe0e3" stroked="f">
              <v:textbox style="mso-next-textbox:#_x0000_s1180" inset="0,0,0,0">
                <w:txbxContent>
                  <w:p w:rsidR="00DB6E8E" w:rsidRPr="00100848" w:rsidRDefault="00DB6E8E" w:rsidP="00FB3B6A">
                    <w:pPr>
                      <w:autoSpaceDE w:val="0"/>
                      <w:autoSpaceDN w:val="0"/>
                      <w:adjustRightInd w:val="0"/>
                      <w:jc w:val="center"/>
                      <w:rPr>
                        <w:color w:val="000000"/>
                        <w:sz w:val="20"/>
                      </w:rPr>
                    </w:pPr>
                    <w:r>
                      <w:rPr>
                        <w:color w:val="000000"/>
                        <w:sz w:val="20"/>
                      </w:rPr>
                      <w:t>As per Power management state in an Awake BIs</w:t>
                    </w:r>
                  </w:p>
                </w:txbxContent>
              </v:textbox>
            </v:shape>
          </v:group>
        </w:pict>
      </w:r>
      <w:r>
        <w:pict>
          <v:shape id="_x0000_i1077" type="#_x0000_t75" style="width:486.8pt;height:325.6pt">
            <v:imagedata croptop="-65520f" cropbottom="65520f"/>
          </v:shape>
        </w:pict>
      </w:r>
    </w:p>
    <w:p w:rsidR="00CD42CE" w:rsidRPr="00066F65" w:rsidRDefault="00E27B1B" w:rsidP="00BA5BC4">
      <w:pPr>
        <w:pStyle w:val="Caption"/>
      </w:pPr>
      <w:bookmarkStart w:id="2305" w:name="_Ref236395917"/>
      <w:bookmarkStart w:id="2306" w:name="_Toc259717549"/>
      <w:r w:rsidRPr="00066F65">
        <w:t xml:space="preserve">Figure </w:t>
      </w:r>
      <w:r w:rsidR="00BD151C">
        <w:fldChar w:fldCharType="begin"/>
      </w:r>
      <w:r w:rsidR="00801316">
        <w:instrText xml:space="preserve"> SEQ Figure \* ARABIC </w:instrText>
      </w:r>
      <w:r w:rsidR="00BD151C">
        <w:fldChar w:fldCharType="separate"/>
      </w:r>
      <w:r w:rsidR="003E4210">
        <w:rPr>
          <w:noProof/>
        </w:rPr>
        <w:t>117</w:t>
      </w:r>
      <w:r w:rsidR="00BD151C">
        <w:fldChar w:fldCharType="end"/>
      </w:r>
      <w:bookmarkEnd w:id="2305"/>
      <w:r w:rsidR="00B64377" w:rsidRPr="00066F65">
        <w:t xml:space="preserve"> – </w:t>
      </w:r>
      <w:r w:rsidR="00CD42CE" w:rsidRPr="00066F65">
        <w:t xml:space="preserve">State Transition Diagram of </w:t>
      </w:r>
      <w:r w:rsidR="00053DA9" w:rsidRPr="00066F65">
        <w:t>non-PCP</w:t>
      </w:r>
      <w:r w:rsidR="005C4927">
        <w:t>/non-AP</w:t>
      </w:r>
      <w:r w:rsidR="00053DA9" w:rsidRPr="00066F65">
        <w:t xml:space="preserve"> </w:t>
      </w:r>
      <w:r w:rsidR="00CD42CE" w:rsidRPr="00066F65">
        <w:t>STA</w:t>
      </w:r>
      <w:r w:rsidR="00D62AA6" w:rsidRPr="00066F65">
        <w:t xml:space="preserve"> in Active and</w:t>
      </w:r>
      <w:r w:rsidR="00CD42CE" w:rsidRPr="00066F65">
        <w:t xml:space="preserve"> Power Save Mode</w:t>
      </w:r>
      <w:bookmarkEnd w:id="2306"/>
    </w:p>
    <w:p w:rsidR="006D22FC" w:rsidRPr="009448FC" w:rsidRDefault="006D22FC" w:rsidP="00053DA9">
      <w:pPr>
        <w:autoSpaceDE w:val="0"/>
        <w:autoSpaceDN w:val="0"/>
        <w:adjustRightInd w:val="0"/>
        <w:jc w:val="both"/>
        <w:rPr>
          <w:rFonts w:ascii="TimesNewRoman" w:hAnsi="TimesNewRoman"/>
          <w:b/>
          <w:i/>
        </w:rPr>
      </w:pPr>
    </w:p>
    <w:p w:rsidR="00EA6A9E" w:rsidRPr="009448FC" w:rsidRDefault="000C5734" w:rsidP="000C5734">
      <w:pPr>
        <w:pStyle w:val="Heading5"/>
      </w:pPr>
      <w:bookmarkStart w:id="2307" w:name="_Toc259717209"/>
      <w:r w:rsidRPr="009448FC">
        <w:t xml:space="preserve">11.2.3.1.1 </w:t>
      </w:r>
      <w:r w:rsidR="00E04E63" w:rsidRPr="009448FC">
        <w:rPr>
          <w:lang w:val="fr-FR"/>
        </w:rPr>
        <w:t xml:space="preserve">Power </w:t>
      </w:r>
      <w:r w:rsidR="005C4927">
        <w:rPr>
          <w:lang w:val="fr-FR"/>
        </w:rPr>
        <w:t>m</w:t>
      </w:r>
      <w:r w:rsidR="00E04E63" w:rsidRPr="009448FC">
        <w:rPr>
          <w:lang w:val="fr-FR"/>
        </w:rPr>
        <w:t xml:space="preserve">anagement </w:t>
      </w:r>
      <w:r w:rsidR="005C4927">
        <w:rPr>
          <w:lang w:val="fr-FR"/>
        </w:rPr>
        <w:t>m</w:t>
      </w:r>
      <w:r w:rsidR="00E04E63" w:rsidRPr="009448FC">
        <w:rPr>
          <w:lang w:val="fr-FR"/>
        </w:rPr>
        <w:t>ode operation of a non-PCP</w:t>
      </w:r>
      <w:r w:rsidR="005C4927">
        <w:rPr>
          <w:lang w:val="fr-FR"/>
        </w:rPr>
        <w:t>/non-AP</w:t>
      </w:r>
      <w:r w:rsidR="00E04E63" w:rsidRPr="009448FC">
        <w:rPr>
          <w:lang w:val="fr-FR"/>
        </w:rPr>
        <w:t xml:space="preserve"> STA with no wakeup schedule</w:t>
      </w:r>
      <w:bookmarkEnd w:id="2307"/>
    </w:p>
    <w:p w:rsidR="009378F9" w:rsidRPr="009448FC" w:rsidRDefault="00EA6A9E" w:rsidP="00CA73B9">
      <w:pPr>
        <w:autoSpaceDE w:val="0"/>
        <w:autoSpaceDN w:val="0"/>
        <w:adjustRightInd w:val="0"/>
        <w:jc w:val="both"/>
        <w:rPr>
          <w:b/>
          <w:i/>
          <w:color w:val="FF0000"/>
        </w:rPr>
      </w:pPr>
      <w:r w:rsidRPr="009448FC">
        <w:rPr>
          <w:rFonts w:eastAsia="MS Mincho"/>
        </w:rPr>
        <w:t>A non-PCP</w:t>
      </w:r>
      <w:r w:rsidR="005C4927">
        <w:rPr>
          <w:rFonts w:eastAsia="MS Mincho"/>
        </w:rPr>
        <w:t>/non-AP</w:t>
      </w:r>
      <w:r w:rsidRPr="009448FC">
        <w:rPr>
          <w:rFonts w:eastAsia="MS Mincho"/>
        </w:rPr>
        <w:t xml:space="preserve"> STA that has not set up a wakeup schedule with the PCP</w:t>
      </w:r>
      <w:r w:rsidR="005C4927">
        <w:rPr>
          <w:rFonts w:eastAsia="MS Mincho"/>
        </w:rPr>
        <w:t>/AP</w:t>
      </w:r>
      <w:r w:rsidRPr="009448FC">
        <w:rPr>
          <w:rFonts w:eastAsia="MS Mincho"/>
        </w:rPr>
        <w:t xml:space="preserve"> shall enter PS mode only after a successful frame exchange as described in section 9.12, initiated by the non-PCP</w:t>
      </w:r>
      <w:r w:rsidR="005C4927">
        <w:rPr>
          <w:rFonts w:eastAsia="MS Mincho"/>
        </w:rPr>
        <w:t>/non-AP</w:t>
      </w:r>
      <w:r w:rsidRPr="009448FC">
        <w:rPr>
          <w:rFonts w:eastAsia="MS Mincho"/>
        </w:rPr>
        <w:t xml:space="preserve"> STA and that includes an acknowledgement from the PCP</w:t>
      </w:r>
      <w:r w:rsidR="005C4927">
        <w:rPr>
          <w:rFonts w:eastAsia="MS Mincho"/>
        </w:rPr>
        <w:t>/AP</w:t>
      </w:r>
      <w:r w:rsidRPr="009448FC">
        <w:rPr>
          <w:rFonts w:eastAsia="MS Mincho"/>
        </w:rPr>
        <w:t>. The Power Management field in the Frame Control field of the frame sent by the STA (</w:t>
      </w:r>
      <w:r w:rsidR="00CA73B9" w:rsidRPr="00CA73B9">
        <w:t>7.1.3.1.6</w:t>
      </w:r>
      <w:r w:rsidRPr="009448FC">
        <w:rPr>
          <w:rFonts w:eastAsia="MS Mincho"/>
        </w:rPr>
        <w:t>) is used to indicate such a transition. When a non-PCP</w:t>
      </w:r>
      <w:r w:rsidR="005C4927">
        <w:rPr>
          <w:rFonts w:eastAsia="MS Mincho"/>
        </w:rPr>
        <w:t>/non-AP</w:t>
      </w:r>
      <w:r w:rsidRPr="009448FC">
        <w:rPr>
          <w:rFonts w:eastAsia="MS Mincho"/>
        </w:rPr>
        <w:t xml:space="preserve"> STA that has not set up a wakeup schedule with the PCP</w:t>
      </w:r>
      <w:r w:rsidR="005C4927">
        <w:rPr>
          <w:rFonts w:eastAsia="MS Mincho"/>
        </w:rPr>
        <w:t>/AP</w:t>
      </w:r>
      <w:r w:rsidRPr="009448FC">
        <w:rPr>
          <w:rFonts w:eastAsia="MS Mincho"/>
        </w:rPr>
        <w:t xml:space="preserve"> enters PS mode, every beacon interval shall be an </w:t>
      </w:r>
      <w:r w:rsidR="009F7898">
        <w:rPr>
          <w:rFonts w:eastAsia="MS Mincho"/>
        </w:rPr>
        <w:t>A</w:t>
      </w:r>
      <w:r w:rsidRPr="009448FC">
        <w:rPr>
          <w:rFonts w:eastAsia="MS Mincho"/>
        </w:rPr>
        <w:t xml:space="preserve">wake </w:t>
      </w:r>
      <w:r w:rsidR="009F7898">
        <w:rPr>
          <w:rFonts w:eastAsia="MS Mincho"/>
        </w:rPr>
        <w:t>BI</w:t>
      </w:r>
      <w:r w:rsidRPr="009448FC">
        <w:rPr>
          <w:rFonts w:eastAsia="MS Mincho"/>
        </w:rPr>
        <w:t xml:space="preserve"> for that STA. A non-PCP</w:t>
      </w:r>
      <w:r w:rsidR="005C4927">
        <w:rPr>
          <w:rFonts w:eastAsia="MS Mincho"/>
        </w:rPr>
        <w:t>/non-AP</w:t>
      </w:r>
      <w:r w:rsidRPr="009448FC">
        <w:rPr>
          <w:rFonts w:eastAsia="MS Mincho"/>
        </w:rPr>
        <w:t xml:space="preserve"> STA that has not set up a wakeup schedule with the PCP</w:t>
      </w:r>
      <w:r w:rsidR="005C4927">
        <w:rPr>
          <w:rFonts w:eastAsia="MS Mincho"/>
        </w:rPr>
        <w:t>/AP</w:t>
      </w:r>
      <w:r w:rsidRPr="009448FC">
        <w:rPr>
          <w:rFonts w:eastAsia="MS Mincho"/>
        </w:rPr>
        <w:t xml:space="preserve"> and that is in PS mode</w:t>
      </w:r>
      <w:r w:rsidRPr="009448FC" w:rsidDel="00FA431A">
        <w:rPr>
          <w:rFonts w:eastAsia="MS Mincho"/>
        </w:rPr>
        <w:t xml:space="preserve"> </w:t>
      </w:r>
      <w:r w:rsidRPr="009448FC">
        <w:rPr>
          <w:rFonts w:eastAsia="MS Mincho"/>
        </w:rPr>
        <w:t>shall be awake during any allocated SP for which the STA is either the source STA or destination STA during Awake BI</w:t>
      </w:r>
      <w:r w:rsidR="00EA4CEA">
        <w:rPr>
          <w:rFonts w:eastAsia="MS Mincho"/>
        </w:rPr>
        <w:t xml:space="preserve">. </w:t>
      </w:r>
    </w:p>
    <w:p w:rsidR="002878E5" w:rsidRPr="009448FC" w:rsidRDefault="002878E5" w:rsidP="002878E5">
      <w:pPr>
        <w:autoSpaceDE w:val="0"/>
        <w:autoSpaceDN w:val="0"/>
        <w:adjustRightInd w:val="0"/>
        <w:jc w:val="both"/>
      </w:pPr>
    </w:p>
    <w:p w:rsidR="009378F9" w:rsidRPr="009448FC" w:rsidRDefault="000C5734" w:rsidP="000C5734">
      <w:pPr>
        <w:pStyle w:val="Heading5"/>
        <w:rPr>
          <w:lang w:val="fr-FR"/>
        </w:rPr>
      </w:pPr>
      <w:bookmarkStart w:id="2308" w:name="_Toc259717210"/>
      <w:r w:rsidRPr="009448FC">
        <w:rPr>
          <w:lang w:val="fr-FR"/>
        </w:rPr>
        <w:t xml:space="preserve">11.2.3.1.2 </w:t>
      </w:r>
      <w:r w:rsidR="009378F9" w:rsidRPr="009448FC">
        <w:rPr>
          <w:lang w:val="fr-FR"/>
        </w:rPr>
        <w:t xml:space="preserve">Power </w:t>
      </w:r>
      <w:r w:rsidR="005C4927">
        <w:rPr>
          <w:lang w:val="fr-FR"/>
        </w:rPr>
        <w:t>m</w:t>
      </w:r>
      <w:r w:rsidR="009378F9" w:rsidRPr="009448FC">
        <w:rPr>
          <w:lang w:val="fr-FR"/>
        </w:rPr>
        <w:t xml:space="preserve">anagement </w:t>
      </w:r>
      <w:r w:rsidR="005C4927">
        <w:rPr>
          <w:lang w:val="fr-FR"/>
        </w:rPr>
        <w:t>m</w:t>
      </w:r>
      <w:r w:rsidR="009378F9" w:rsidRPr="009448FC">
        <w:rPr>
          <w:lang w:val="fr-FR"/>
        </w:rPr>
        <w:t>ode operation of a non-PCP</w:t>
      </w:r>
      <w:r w:rsidR="006C1A8C">
        <w:rPr>
          <w:lang w:val="fr-FR"/>
        </w:rPr>
        <w:t>/non-AP</w:t>
      </w:r>
      <w:r w:rsidR="009378F9" w:rsidRPr="009448FC">
        <w:rPr>
          <w:lang w:val="fr-FR"/>
        </w:rPr>
        <w:t xml:space="preserve"> STA with a wakeup schedule</w:t>
      </w:r>
      <w:bookmarkEnd w:id="2308"/>
      <w:r w:rsidR="0064395F" w:rsidRPr="009448FC">
        <w:rPr>
          <w:lang w:val="fr-FR"/>
        </w:rPr>
        <w:t xml:space="preserve"> </w:t>
      </w:r>
    </w:p>
    <w:p w:rsidR="00053DA9" w:rsidRPr="009448FC" w:rsidRDefault="00053DA9" w:rsidP="00053DA9">
      <w:pPr>
        <w:autoSpaceDE w:val="0"/>
        <w:autoSpaceDN w:val="0"/>
        <w:adjustRightInd w:val="0"/>
        <w:rPr>
          <w:rFonts w:eastAsia="MS Mincho"/>
        </w:rPr>
      </w:pPr>
      <w:r w:rsidRPr="009448FC">
        <w:rPr>
          <w:rFonts w:eastAsia="MS Mincho"/>
        </w:rPr>
        <w:t>Before transitioning from Active mode to PS mode, a non-PCP</w:t>
      </w:r>
      <w:r w:rsidR="005C4927">
        <w:rPr>
          <w:rFonts w:eastAsia="MS Mincho"/>
        </w:rPr>
        <w:t>/non-AP</w:t>
      </w:r>
      <w:r w:rsidRPr="009448FC">
        <w:rPr>
          <w:rFonts w:eastAsia="MS Mincho"/>
        </w:rPr>
        <w:t xml:space="preserve"> STA that is associated with a PCP</w:t>
      </w:r>
      <w:r w:rsidR="005C4927">
        <w:rPr>
          <w:rFonts w:eastAsia="MS Mincho"/>
        </w:rPr>
        <w:t>/AP</w:t>
      </w:r>
      <w:r w:rsidRPr="009448FC">
        <w:rPr>
          <w:rFonts w:eastAsia="MS Mincho"/>
        </w:rPr>
        <w:t xml:space="preserve"> may establish a wakeup schedule with the PCP</w:t>
      </w:r>
      <w:r w:rsidR="005C4927">
        <w:rPr>
          <w:rFonts w:eastAsia="MS Mincho"/>
        </w:rPr>
        <w:t>/AP</w:t>
      </w:r>
      <w:r w:rsidRPr="009448FC">
        <w:rPr>
          <w:rFonts w:eastAsia="MS Mincho"/>
        </w:rPr>
        <w:t xml:space="preserve">. A wakeup schedule (WS) is established </w:t>
      </w:r>
      <w:r w:rsidRPr="009448FC">
        <w:rPr>
          <w:rFonts w:eastAsia="MS Mincho"/>
        </w:rPr>
        <w:lastRenderedPageBreak/>
        <w:t>with the PCP</w:t>
      </w:r>
      <w:r w:rsidR="005C4927">
        <w:rPr>
          <w:rFonts w:eastAsia="MS Mincho"/>
        </w:rPr>
        <w:t>/AP</w:t>
      </w:r>
      <w:r w:rsidRPr="009448FC">
        <w:rPr>
          <w:rFonts w:eastAsia="MS Mincho"/>
        </w:rPr>
        <w:t xml:space="preserve"> following the successful transmission of a Power Save Configuration Request (PSC-REQ) frame to the PCP</w:t>
      </w:r>
      <w:r w:rsidR="005C4927">
        <w:rPr>
          <w:rFonts w:eastAsia="MS Mincho"/>
        </w:rPr>
        <w:t>/AP</w:t>
      </w:r>
      <w:r w:rsidRPr="009448FC">
        <w:rPr>
          <w:rFonts w:eastAsia="MS Mincho"/>
        </w:rPr>
        <w:t xml:space="preserve"> with the PM field set to 1 and an acknowledged receipt of the corresponding Power Save Configuration Response (PSC-RSP) from the PCP</w:t>
      </w:r>
      <w:r w:rsidR="005C4927">
        <w:rPr>
          <w:rFonts w:eastAsia="MS Mincho"/>
        </w:rPr>
        <w:t>/AP</w:t>
      </w:r>
      <w:r w:rsidRPr="009448FC">
        <w:rPr>
          <w:rFonts w:eastAsia="MS Mincho"/>
        </w:rPr>
        <w:t xml:space="preserve"> provided that the PSC-RSP contained a status code indicating success.</w:t>
      </w:r>
      <w:r w:rsidR="00457024">
        <w:rPr>
          <w:rFonts w:eastAsia="MS Mincho"/>
        </w:rPr>
        <w:t xml:space="preserve"> A non-PCP/non-AP STA that is already in power saving mode but without a WS established with its PCP/AP may transmit a PSC-REQ frame to set up a WS with the PCP/AP. After receiving a PSC-RSP from the PCP/AP with a status code indicating success, the STA shall follow the WS established with the PCP/AP.</w:t>
      </w:r>
    </w:p>
    <w:p w:rsidR="00053DA9" w:rsidRPr="009448FC" w:rsidRDefault="00995D7F" w:rsidP="00053DA9">
      <w:pPr>
        <w:autoSpaceDE w:val="0"/>
        <w:autoSpaceDN w:val="0"/>
        <w:adjustRightInd w:val="0"/>
        <w:rPr>
          <w:rFonts w:eastAsia="MS Mincho"/>
        </w:rPr>
      </w:pPr>
      <w:r>
        <w:t xml:space="preserve"> </w:t>
      </w:r>
    </w:p>
    <w:p w:rsidR="00B726F6" w:rsidRPr="009448FC" w:rsidRDefault="00053DA9" w:rsidP="00B726F6">
      <w:pPr>
        <w:autoSpaceDE w:val="0"/>
        <w:autoSpaceDN w:val="0"/>
        <w:adjustRightInd w:val="0"/>
        <w:rPr>
          <w:rFonts w:eastAsia="MS Mincho"/>
        </w:rPr>
      </w:pPr>
      <w:r w:rsidRPr="009448FC">
        <w:rPr>
          <w:rFonts w:eastAsia="MS Mincho"/>
        </w:rPr>
        <w:t>If a non-PCP</w:t>
      </w:r>
      <w:r w:rsidR="005C4927">
        <w:rPr>
          <w:rFonts w:eastAsia="MS Mincho"/>
        </w:rPr>
        <w:t>/non-AP</w:t>
      </w:r>
      <w:r w:rsidRPr="009448FC">
        <w:rPr>
          <w:rFonts w:eastAsia="MS Mincho"/>
        </w:rPr>
        <w:t xml:space="preserve"> STA has not established a pseudo-static SP with the PCP</w:t>
      </w:r>
      <w:r w:rsidR="005C4927">
        <w:rPr>
          <w:rFonts w:eastAsia="MS Mincho"/>
        </w:rPr>
        <w:t>/AP</w:t>
      </w:r>
      <w:r w:rsidRPr="009448FC">
        <w:rPr>
          <w:rFonts w:eastAsia="MS Mincho"/>
        </w:rPr>
        <w:t>, a WS element shall be included in any PSC-REQ frame that the STA transmits to the PCP</w:t>
      </w:r>
      <w:r w:rsidR="005C4927">
        <w:rPr>
          <w:rFonts w:eastAsia="MS Mincho"/>
        </w:rPr>
        <w:t>/AP</w:t>
      </w:r>
      <w:r w:rsidR="0064395F" w:rsidRPr="009448FC">
        <w:rPr>
          <w:rFonts w:eastAsia="MS Mincho"/>
        </w:rPr>
        <w:t xml:space="preserve"> </w:t>
      </w:r>
      <w:r w:rsidR="0064395F" w:rsidRPr="009448FC">
        <w:rPr>
          <w:rFonts w:eastAsia="MS Mincho"/>
          <w:sz w:val="23"/>
        </w:rPr>
        <w:t>as an explicit request for a wake</w:t>
      </w:r>
      <w:r w:rsidR="009F7898">
        <w:rPr>
          <w:rFonts w:eastAsia="MS Mincho"/>
          <w:sz w:val="23"/>
        </w:rPr>
        <w:t>up</w:t>
      </w:r>
      <w:r w:rsidR="0064395F" w:rsidRPr="009448FC">
        <w:rPr>
          <w:rFonts w:eastAsia="MS Mincho"/>
          <w:sz w:val="23"/>
        </w:rPr>
        <w:t xml:space="preserve"> schedule</w:t>
      </w:r>
      <w:r w:rsidRPr="009448FC">
        <w:rPr>
          <w:rFonts w:eastAsia="MS Mincho"/>
        </w:rPr>
        <w:t>. If the PCP</w:t>
      </w:r>
      <w:r w:rsidR="005C4927">
        <w:rPr>
          <w:rFonts w:eastAsia="MS Mincho"/>
        </w:rPr>
        <w:t>/AP</w:t>
      </w:r>
      <w:r w:rsidRPr="009448FC">
        <w:rPr>
          <w:rFonts w:eastAsia="MS Mincho"/>
        </w:rPr>
        <w:t xml:space="preserve"> accepts the proposed WS, it shall reply with a PSC-RSP frame indicating status code 0. Otherwise it shall respond with a PSC-RSP frame with a non-zero status code indicating the reason for rejecting the request. An alternative schedule shall be included in the PSC-RSP frame when the status code is set to “Reject with a recommended schedule.” Providing recommended schedules enables the PCP</w:t>
      </w:r>
      <w:r w:rsidR="006C1A8C">
        <w:rPr>
          <w:rFonts w:eastAsia="MS Mincho"/>
        </w:rPr>
        <w:t>/AP</w:t>
      </w:r>
      <w:r w:rsidRPr="009448FC">
        <w:rPr>
          <w:rFonts w:eastAsia="MS Mincho"/>
        </w:rPr>
        <w:t xml:space="preserve"> to align sleep intervals from different non-PCP</w:t>
      </w:r>
      <w:r w:rsidR="006C1A8C">
        <w:rPr>
          <w:rFonts w:eastAsia="MS Mincho"/>
        </w:rPr>
        <w:t>/non-AP</w:t>
      </w:r>
      <w:r w:rsidRPr="009448FC">
        <w:rPr>
          <w:rFonts w:eastAsia="MS Mincho"/>
        </w:rPr>
        <w:t xml:space="preserve"> STAs. If the STA accepts the alternative schedule, it shall include this WS in a subsequently transmitted PSC-REQ frame. If the non-PCP</w:t>
      </w:r>
      <w:r w:rsidR="006C1A8C">
        <w:rPr>
          <w:rFonts w:eastAsia="MS Mincho"/>
        </w:rPr>
        <w:t>/non-AP</w:t>
      </w:r>
      <w:r w:rsidRPr="009448FC">
        <w:rPr>
          <w:rFonts w:eastAsia="MS Mincho"/>
        </w:rPr>
        <w:t xml:space="preserve"> STA does not accept the alternative schedule, it shall not send a PSC-REQ frame for </w:t>
      </w:r>
      <w:r w:rsidR="00004CB5" w:rsidRPr="009448FC">
        <w:rPr>
          <w:rFonts w:eastAsia="MS Mincho"/>
        </w:rPr>
        <w:t>dot11</w:t>
      </w:r>
      <w:r w:rsidRPr="009448FC">
        <w:rPr>
          <w:rFonts w:eastAsia="MS Mincho"/>
        </w:rPr>
        <w:t>PSRequestSuspensionInterval BIs</w:t>
      </w:r>
      <w:r w:rsidR="00B726F6" w:rsidRPr="009448FC">
        <w:rPr>
          <w:rFonts w:eastAsia="MS Mincho"/>
        </w:rPr>
        <w:t xml:space="preserve"> following the receipt of the PSC-RSP frame.</w:t>
      </w:r>
    </w:p>
    <w:p w:rsidR="00A7458C" w:rsidRPr="009448FC" w:rsidRDefault="00A7458C" w:rsidP="00053DA9">
      <w:pPr>
        <w:autoSpaceDE w:val="0"/>
        <w:autoSpaceDN w:val="0"/>
        <w:adjustRightInd w:val="0"/>
        <w:rPr>
          <w:rFonts w:eastAsia="MS Mincho"/>
        </w:rPr>
      </w:pPr>
    </w:p>
    <w:p w:rsidR="00D5279A" w:rsidRPr="009448FC" w:rsidRDefault="00D5279A" w:rsidP="00D5279A">
      <w:pPr>
        <w:autoSpaceDE w:val="0"/>
        <w:autoSpaceDN w:val="0"/>
        <w:adjustRightInd w:val="0"/>
        <w:rPr>
          <w:rFonts w:eastAsia="MS Mincho"/>
        </w:rPr>
      </w:pPr>
      <w:r w:rsidRPr="009448FC">
        <w:rPr>
          <w:rFonts w:eastAsia="MS Mincho"/>
        </w:rPr>
        <w:t>If a non-PCP</w:t>
      </w:r>
      <w:r w:rsidR="006C1A8C">
        <w:rPr>
          <w:rFonts w:eastAsia="MS Mincho"/>
        </w:rPr>
        <w:t>/non-AP</w:t>
      </w:r>
      <w:r w:rsidRPr="009448FC">
        <w:rPr>
          <w:rFonts w:eastAsia="MS Mincho"/>
        </w:rPr>
        <w:t xml:space="preserve"> STA has established a pseudo-static SP schedule with the PCP</w:t>
      </w:r>
      <w:r w:rsidR="006C1A8C">
        <w:rPr>
          <w:rFonts w:eastAsia="MS Mincho"/>
        </w:rPr>
        <w:t>/AP</w:t>
      </w:r>
      <w:r w:rsidRPr="009448FC">
        <w:rPr>
          <w:rFonts w:eastAsia="MS Mincho"/>
        </w:rPr>
        <w:t>, it may omit the WS in the PSC-REQ frames that it sends to the PCP</w:t>
      </w:r>
      <w:r w:rsidR="006C1A8C">
        <w:rPr>
          <w:rFonts w:eastAsia="MS Mincho"/>
        </w:rPr>
        <w:t>/AP</w:t>
      </w:r>
      <w:r w:rsidRPr="009448FC">
        <w:rPr>
          <w:rFonts w:eastAsia="MS Mincho"/>
        </w:rPr>
        <w:t>. In this case, all outstanding pseudo-static SPs for the non-PCP</w:t>
      </w:r>
      <w:r w:rsidR="006C1A8C">
        <w:rPr>
          <w:rFonts w:eastAsia="MS Mincho"/>
        </w:rPr>
        <w:t>/non-AP</w:t>
      </w:r>
      <w:r w:rsidRPr="009448FC">
        <w:rPr>
          <w:rFonts w:eastAsia="MS Mincho"/>
        </w:rPr>
        <w:t xml:space="preserve"> STA become an implicit WS request. When no WS </w:t>
      </w:r>
      <w:r w:rsidR="009F7898">
        <w:rPr>
          <w:rFonts w:eastAsia="MS Mincho"/>
        </w:rPr>
        <w:t xml:space="preserve">element </w:t>
      </w:r>
      <w:r w:rsidRPr="009448FC">
        <w:rPr>
          <w:rFonts w:eastAsia="MS Mincho"/>
        </w:rPr>
        <w:t>is specified in a PSC-REQ, the PCP</w:t>
      </w:r>
      <w:r w:rsidR="006C1A8C">
        <w:rPr>
          <w:rFonts w:eastAsia="MS Mincho"/>
        </w:rPr>
        <w:t>/AP</w:t>
      </w:r>
      <w:r w:rsidRPr="009448FC">
        <w:rPr>
          <w:rFonts w:eastAsia="MS Mincho"/>
        </w:rPr>
        <w:t xml:space="preserve"> shall reply with a PSC-RSP frame indicating status code 0 and shall adopt all outstanding pseudo-static service period schedules as the wake</w:t>
      </w:r>
      <w:r w:rsidR="00355B34">
        <w:rPr>
          <w:rFonts w:eastAsia="MS Mincho"/>
        </w:rPr>
        <w:t>up</w:t>
      </w:r>
      <w:r w:rsidRPr="009448FC">
        <w:rPr>
          <w:rFonts w:eastAsia="MS Mincho"/>
        </w:rPr>
        <w:t xml:space="preserve"> schedule for that STA.</w:t>
      </w:r>
      <w:r w:rsidRPr="009448FC">
        <w:rPr>
          <w:b/>
          <w:i/>
          <w:color w:val="FF0000"/>
        </w:rPr>
        <w:t xml:space="preserve"> </w:t>
      </w:r>
    </w:p>
    <w:p w:rsidR="00053DA9" w:rsidRPr="009448FC" w:rsidRDefault="00053DA9" w:rsidP="00053DA9">
      <w:pPr>
        <w:autoSpaceDE w:val="0"/>
        <w:autoSpaceDN w:val="0"/>
        <w:adjustRightInd w:val="0"/>
        <w:rPr>
          <w:rFonts w:eastAsia="MS Mincho"/>
        </w:rPr>
      </w:pPr>
    </w:p>
    <w:p w:rsidR="00053DA9" w:rsidRPr="009448FC" w:rsidRDefault="00053DA9" w:rsidP="000B4C44">
      <w:pPr>
        <w:autoSpaceDE w:val="0"/>
        <w:autoSpaceDN w:val="0"/>
        <w:adjustRightInd w:val="0"/>
        <w:rPr>
          <w:rFonts w:eastAsia="MS Mincho"/>
        </w:rPr>
      </w:pPr>
      <w:r w:rsidRPr="009448FC">
        <w:rPr>
          <w:rFonts w:eastAsia="MS Mincho"/>
        </w:rPr>
        <w:t>A non-PCP</w:t>
      </w:r>
      <w:r w:rsidR="006C1A8C">
        <w:rPr>
          <w:rFonts w:eastAsia="MS Mincho"/>
        </w:rPr>
        <w:t>/non-AP</w:t>
      </w:r>
      <w:r w:rsidRPr="009448FC">
        <w:rPr>
          <w:rFonts w:eastAsia="MS Mincho"/>
        </w:rPr>
        <w:t xml:space="preserve"> STA may transition to PS mode </w:t>
      </w:r>
      <w:r w:rsidR="00891F82" w:rsidRPr="009448FC">
        <w:rPr>
          <w:rFonts w:eastAsia="MS Mincho"/>
        </w:rPr>
        <w:t xml:space="preserve">only </w:t>
      </w:r>
      <w:r w:rsidRPr="009448FC">
        <w:rPr>
          <w:rFonts w:eastAsia="MS Mincho"/>
        </w:rPr>
        <w:t>after first receiving a PSC-RSP with a status code of 0 and then successfully transmitting a frame that includes a value of one in the PM field, and receiving an acknowledgement for that transmissio</w:t>
      </w:r>
      <w:r w:rsidR="00221C2F" w:rsidRPr="009448FC">
        <w:rPr>
          <w:rFonts w:eastAsia="MS Mincho"/>
        </w:rPr>
        <w:t xml:space="preserve">n, as described in </w:t>
      </w:r>
      <w:r w:rsidR="000B4C44" w:rsidRPr="009448FC">
        <w:rPr>
          <w:rFonts w:eastAsia="MS Mincho"/>
        </w:rPr>
        <w:t>subclause</w:t>
      </w:r>
      <w:r w:rsidR="00221C2F" w:rsidRPr="009448FC">
        <w:rPr>
          <w:rFonts w:eastAsia="MS Mincho"/>
        </w:rPr>
        <w:t xml:space="preserve"> 9.12</w:t>
      </w:r>
      <w:r w:rsidRPr="009448FC">
        <w:rPr>
          <w:rFonts w:eastAsia="MS Mincho"/>
        </w:rPr>
        <w:t>.</w:t>
      </w:r>
    </w:p>
    <w:p w:rsidR="00053DA9" w:rsidRPr="009448FC" w:rsidRDefault="00053DA9" w:rsidP="00053DA9">
      <w:pPr>
        <w:autoSpaceDE w:val="0"/>
        <w:autoSpaceDN w:val="0"/>
        <w:adjustRightInd w:val="0"/>
        <w:rPr>
          <w:rFonts w:eastAsia="MS Mincho"/>
        </w:rPr>
      </w:pPr>
    </w:p>
    <w:p w:rsidR="00FE2A78" w:rsidRPr="009448FC" w:rsidRDefault="00FE2A78" w:rsidP="00FE2A78">
      <w:pPr>
        <w:autoSpaceDE w:val="0"/>
        <w:autoSpaceDN w:val="0"/>
        <w:adjustRightInd w:val="0"/>
        <w:rPr>
          <w:rFonts w:eastAsia="MS Mincho"/>
        </w:rPr>
      </w:pPr>
      <w:r w:rsidRPr="009448FC">
        <w:rPr>
          <w:rFonts w:eastAsia="MS Mincho"/>
        </w:rPr>
        <w:t>If a non-PCP</w:t>
      </w:r>
      <w:r w:rsidR="006C1A8C">
        <w:rPr>
          <w:rFonts w:eastAsia="MS Mincho"/>
        </w:rPr>
        <w:t>/non-AP</w:t>
      </w:r>
      <w:r w:rsidRPr="009448FC">
        <w:rPr>
          <w:rFonts w:eastAsia="MS Mincho"/>
        </w:rPr>
        <w:t xml:space="preserve"> STA has explicitly established a WS with the PCP</w:t>
      </w:r>
      <w:r w:rsidR="006C1A8C">
        <w:rPr>
          <w:rFonts w:eastAsia="MS Mincho"/>
        </w:rPr>
        <w:t>/AP</w:t>
      </w:r>
      <w:r w:rsidRPr="009448FC">
        <w:rPr>
          <w:rFonts w:eastAsia="MS Mincho"/>
        </w:rPr>
        <w:t xml:space="preserve"> and the non-PCP</w:t>
      </w:r>
      <w:r w:rsidR="006C1A8C">
        <w:rPr>
          <w:rFonts w:eastAsia="MS Mincho"/>
        </w:rPr>
        <w:t>/non-AP</w:t>
      </w:r>
      <w:r w:rsidRPr="009448FC">
        <w:rPr>
          <w:rFonts w:eastAsia="MS Mincho"/>
        </w:rPr>
        <w:t xml:space="preserve"> STA is in PS mode, every n</w:t>
      </w:r>
      <w:r w:rsidR="00FC08AD" w:rsidRPr="009448FC">
        <w:rPr>
          <w:rFonts w:eastAsia="MS Mincho"/>
        </w:rPr>
        <w:t>-</w:t>
      </w:r>
      <w:r w:rsidRPr="009448FC">
        <w:rPr>
          <w:rFonts w:eastAsia="MS Mincho"/>
        </w:rPr>
        <w:t xml:space="preserve">th BI shall be an </w:t>
      </w:r>
      <w:r w:rsidR="00355B34">
        <w:rPr>
          <w:rFonts w:eastAsia="MS Mincho"/>
        </w:rPr>
        <w:t>A</w:t>
      </w:r>
      <w:r w:rsidRPr="009448FC">
        <w:rPr>
          <w:rFonts w:eastAsia="MS Mincho"/>
        </w:rPr>
        <w:t>wake BI for the non-PCP</w:t>
      </w:r>
      <w:r w:rsidR="006C1A8C">
        <w:rPr>
          <w:rFonts w:eastAsia="MS Mincho"/>
        </w:rPr>
        <w:t>/non-AP</w:t>
      </w:r>
      <w:r w:rsidRPr="009448FC">
        <w:rPr>
          <w:rFonts w:eastAsia="MS Mincho"/>
        </w:rPr>
        <w:t xml:space="preserve"> STA, where n is the value from the Sleep Interval field of the WS element contained in the PSC-RSP frame received from the PCP</w:t>
      </w:r>
      <w:r w:rsidR="006C1A8C">
        <w:rPr>
          <w:rFonts w:eastAsia="MS Mincho"/>
        </w:rPr>
        <w:t>/AP</w:t>
      </w:r>
      <w:r w:rsidRPr="009448FC">
        <w:rPr>
          <w:rFonts w:eastAsia="MS Mincho"/>
        </w:rPr>
        <w:t xml:space="preserve"> during the frame exchange that established the WS. The non-PCP</w:t>
      </w:r>
      <w:r w:rsidR="006C1A8C">
        <w:rPr>
          <w:rFonts w:eastAsia="MS Mincho"/>
        </w:rPr>
        <w:t>/non-AP</w:t>
      </w:r>
      <w:r w:rsidRPr="009448FC">
        <w:rPr>
          <w:rFonts w:eastAsia="MS Mincho"/>
        </w:rPr>
        <w:t xml:space="preserve"> STA shall be awake during allocated SPs in which it is either the source or destination STA during each </w:t>
      </w:r>
      <w:r w:rsidR="00355B34">
        <w:rPr>
          <w:rFonts w:eastAsia="MS Mincho"/>
        </w:rPr>
        <w:t>A</w:t>
      </w:r>
      <w:r w:rsidRPr="009448FC">
        <w:rPr>
          <w:rFonts w:eastAsia="MS Mincho"/>
        </w:rPr>
        <w:t xml:space="preserve">wake BI. </w:t>
      </w:r>
    </w:p>
    <w:p w:rsidR="00053DA9" w:rsidRPr="009448FC" w:rsidRDefault="00053DA9" w:rsidP="00053DA9">
      <w:pPr>
        <w:autoSpaceDE w:val="0"/>
        <w:autoSpaceDN w:val="0"/>
        <w:adjustRightInd w:val="0"/>
        <w:rPr>
          <w:rFonts w:eastAsia="MS Mincho"/>
        </w:rPr>
      </w:pPr>
    </w:p>
    <w:p w:rsidR="008001E0" w:rsidRPr="009448FC" w:rsidRDefault="008001E0" w:rsidP="008001E0">
      <w:pPr>
        <w:autoSpaceDE w:val="0"/>
        <w:autoSpaceDN w:val="0"/>
        <w:adjustRightInd w:val="0"/>
        <w:rPr>
          <w:rFonts w:eastAsia="MS Mincho"/>
        </w:rPr>
      </w:pPr>
      <w:r w:rsidRPr="009448FC">
        <w:rPr>
          <w:rFonts w:eastAsia="MS Mincho"/>
        </w:rPr>
        <w:t>If a non-PCP</w:t>
      </w:r>
      <w:r w:rsidR="006C1A8C">
        <w:rPr>
          <w:rFonts w:eastAsia="MS Mincho"/>
        </w:rPr>
        <w:t>/non-AP</w:t>
      </w:r>
      <w:r w:rsidRPr="009448FC">
        <w:rPr>
          <w:rFonts w:eastAsia="MS Mincho"/>
        </w:rPr>
        <w:t xml:space="preserve"> STA has implicitly established a WS with the PCP</w:t>
      </w:r>
      <w:r w:rsidR="006C1A8C">
        <w:rPr>
          <w:rFonts w:eastAsia="MS Mincho"/>
        </w:rPr>
        <w:t>/AP</w:t>
      </w:r>
      <w:r w:rsidRPr="009448FC">
        <w:rPr>
          <w:rFonts w:eastAsia="MS Mincho"/>
        </w:rPr>
        <w:t xml:space="preserve"> and the non-PCP</w:t>
      </w:r>
      <w:r w:rsidR="006C1A8C">
        <w:rPr>
          <w:rFonts w:eastAsia="MS Mincho"/>
        </w:rPr>
        <w:t>/non-AP</w:t>
      </w:r>
      <w:r w:rsidRPr="009448FC">
        <w:rPr>
          <w:rFonts w:eastAsia="MS Mincho"/>
        </w:rPr>
        <w:t xml:space="preserve"> STA is in PS mode, every BI that includes an SP for which the non-PCP</w:t>
      </w:r>
      <w:r w:rsidR="006C1A8C">
        <w:rPr>
          <w:rFonts w:eastAsia="MS Mincho"/>
        </w:rPr>
        <w:t>/non-AP</w:t>
      </w:r>
      <w:r w:rsidRPr="009448FC">
        <w:rPr>
          <w:rFonts w:eastAsia="MS Mincho"/>
        </w:rPr>
        <w:t xml:space="preserve"> STA is either the source or the destination shall be an </w:t>
      </w:r>
      <w:r w:rsidR="00355B34">
        <w:rPr>
          <w:rFonts w:eastAsia="MS Mincho"/>
        </w:rPr>
        <w:t>A</w:t>
      </w:r>
      <w:r w:rsidRPr="009448FC">
        <w:rPr>
          <w:rFonts w:eastAsia="MS Mincho"/>
        </w:rPr>
        <w:t>wake BI for the non-PCP</w:t>
      </w:r>
      <w:r w:rsidR="006C1A8C">
        <w:rPr>
          <w:rFonts w:eastAsia="MS Mincho"/>
        </w:rPr>
        <w:t>/non-AP</w:t>
      </w:r>
      <w:r w:rsidRPr="009448FC">
        <w:rPr>
          <w:rFonts w:eastAsia="MS Mincho"/>
        </w:rPr>
        <w:t xml:space="preserve"> STA. The non-PCP</w:t>
      </w:r>
      <w:r w:rsidR="006C1A8C">
        <w:rPr>
          <w:rFonts w:eastAsia="MS Mincho"/>
        </w:rPr>
        <w:t>/non-AP</w:t>
      </w:r>
      <w:r w:rsidRPr="009448FC">
        <w:rPr>
          <w:rFonts w:eastAsia="MS Mincho"/>
        </w:rPr>
        <w:t xml:space="preserve"> STA shall be awake during the Awake Window within the CBPs and during allocated SPs in which it is either the source or destination STA during each of its </w:t>
      </w:r>
      <w:r w:rsidR="00355B34">
        <w:rPr>
          <w:rFonts w:eastAsia="MS Mincho"/>
        </w:rPr>
        <w:t>A</w:t>
      </w:r>
      <w:r w:rsidRPr="009448FC">
        <w:rPr>
          <w:rFonts w:eastAsia="MS Mincho"/>
        </w:rPr>
        <w:t>wake BIs.</w:t>
      </w:r>
      <w:r w:rsidRPr="009448FC">
        <w:rPr>
          <w:b/>
          <w:i/>
          <w:color w:val="FF0000"/>
        </w:rPr>
        <w:t xml:space="preserve"> </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The WS established by a non-PCP</w:t>
      </w:r>
      <w:r w:rsidR="006C1A8C">
        <w:rPr>
          <w:rFonts w:eastAsia="MS Mincho"/>
        </w:rPr>
        <w:t>/non-AP</w:t>
      </w:r>
      <w:r w:rsidRPr="009448FC">
        <w:rPr>
          <w:rFonts w:eastAsia="MS Mincho"/>
        </w:rPr>
        <w:t xml:space="preserve"> STA may contain one part that is explicitly negotiated with the PCP</w:t>
      </w:r>
      <w:r w:rsidR="006C1A8C">
        <w:rPr>
          <w:rFonts w:eastAsia="MS Mincho"/>
        </w:rPr>
        <w:t>/AP</w:t>
      </w:r>
      <w:r w:rsidRPr="009448FC">
        <w:rPr>
          <w:rFonts w:eastAsia="MS Mincho"/>
        </w:rPr>
        <w:t xml:space="preserve"> and another part that is inferred from the non-PCP</w:t>
      </w:r>
      <w:r w:rsidR="006C1A8C">
        <w:rPr>
          <w:rFonts w:eastAsia="MS Mincho"/>
        </w:rPr>
        <w:t>/non-AP</w:t>
      </w:r>
      <w:r w:rsidRPr="009448FC">
        <w:rPr>
          <w:rFonts w:eastAsia="MS Mincho"/>
        </w:rPr>
        <w:t xml:space="preserve"> STA’s pseudo-static SPs. The portion of the WS that is explicitly negotiated between the </w:t>
      </w:r>
      <w:r w:rsidR="006C1A8C">
        <w:rPr>
          <w:rFonts w:eastAsia="MS Mincho"/>
        </w:rPr>
        <w:t xml:space="preserve">non-PCP/non-AP </w:t>
      </w:r>
      <w:r w:rsidRPr="009448FC">
        <w:rPr>
          <w:rFonts w:eastAsia="MS Mincho"/>
        </w:rPr>
        <w:t>STA and the PCP</w:t>
      </w:r>
      <w:r w:rsidR="006C1A8C">
        <w:rPr>
          <w:rFonts w:eastAsia="MS Mincho"/>
        </w:rPr>
        <w:t>/AP</w:t>
      </w:r>
      <w:r w:rsidRPr="009448FC">
        <w:rPr>
          <w:rFonts w:eastAsia="MS Mincho"/>
        </w:rPr>
        <w:t xml:space="preserve"> remains valid until the non-PCP</w:t>
      </w:r>
      <w:r w:rsidR="006C1A8C">
        <w:rPr>
          <w:rFonts w:eastAsia="MS Mincho"/>
        </w:rPr>
        <w:t>/non-AP</w:t>
      </w:r>
      <w:r w:rsidRPr="009448FC">
        <w:rPr>
          <w:rFonts w:eastAsia="MS Mincho"/>
        </w:rPr>
        <w:t xml:space="preserve"> STA updates or deletes the explicit portion of the WS through a successful PSC-REQ/PSC-RSP exchange or until the non-PCP</w:t>
      </w:r>
      <w:r w:rsidR="006C1A8C">
        <w:rPr>
          <w:rFonts w:eastAsia="MS Mincho"/>
        </w:rPr>
        <w:t>/non-AP</w:t>
      </w:r>
      <w:r w:rsidRPr="009448FC">
        <w:rPr>
          <w:rFonts w:eastAsia="MS Mincho"/>
        </w:rPr>
        <w:t xml:space="preserve"> STA’s association with the PCP</w:t>
      </w:r>
      <w:r w:rsidR="006C1A8C">
        <w:rPr>
          <w:rFonts w:eastAsia="MS Mincho"/>
        </w:rPr>
        <w:t>/AP</w:t>
      </w:r>
      <w:r w:rsidRPr="009448FC">
        <w:rPr>
          <w:rFonts w:eastAsia="MS Mincho"/>
        </w:rPr>
        <w:t xml:space="preserve"> times out. The portion of the WS that is inferred from the non-PCP</w:t>
      </w:r>
      <w:r w:rsidR="006C1A8C">
        <w:rPr>
          <w:rFonts w:eastAsia="MS Mincho"/>
        </w:rPr>
        <w:t>/non-AP</w:t>
      </w:r>
      <w:r w:rsidRPr="009448FC">
        <w:rPr>
          <w:rFonts w:eastAsia="MS Mincho"/>
        </w:rPr>
        <w:t xml:space="preserve"> STA’s </w:t>
      </w:r>
      <w:r w:rsidRPr="009448FC">
        <w:rPr>
          <w:rFonts w:eastAsia="MS Mincho"/>
        </w:rPr>
        <w:lastRenderedPageBreak/>
        <w:t>pseudo-static SPs changes with the changing allocation of the non-PCP</w:t>
      </w:r>
      <w:r w:rsidR="006C1A8C">
        <w:rPr>
          <w:rFonts w:eastAsia="MS Mincho"/>
        </w:rPr>
        <w:t>/non-AP</w:t>
      </w:r>
      <w:r w:rsidRPr="009448FC">
        <w:rPr>
          <w:rFonts w:eastAsia="MS Mincho"/>
        </w:rPr>
        <w:t xml:space="preserve"> STA’s pseudo-static SPs and is deleted when the association with the PCP</w:t>
      </w:r>
      <w:r w:rsidR="006C1A8C">
        <w:rPr>
          <w:rFonts w:eastAsia="MS Mincho"/>
        </w:rPr>
        <w:t>/AP</w:t>
      </w:r>
      <w:r w:rsidRPr="009448FC">
        <w:rPr>
          <w:rFonts w:eastAsia="MS Mincho"/>
        </w:rPr>
        <w:t xml:space="preserve"> times out</w:t>
      </w:r>
      <w:r w:rsidR="00C50080" w:rsidRPr="009448FC">
        <w:rPr>
          <w:rFonts w:eastAsia="MS Mincho"/>
        </w:rPr>
        <w:t xml:space="preserve"> or when an explicit deletion request for the SP is successful.</w:t>
      </w:r>
      <w:r w:rsidRPr="009448FC">
        <w:rPr>
          <w:rFonts w:eastAsia="MS Mincho"/>
        </w:rPr>
        <w:t xml:space="preserve"> A PCP</w:t>
      </w:r>
      <w:r w:rsidR="006C1A8C">
        <w:rPr>
          <w:rFonts w:eastAsia="MS Mincho"/>
        </w:rPr>
        <w:t>/AP may send an unsolicited PSC-</w:t>
      </w:r>
      <w:r w:rsidRPr="009448FC">
        <w:rPr>
          <w:rFonts w:eastAsia="MS Mincho"/>
        </w:rPr>
        <w:t>RSP frame with a new WS to a non-PCP</w:t>
      </w:r>
      <w:r w:rsidR="006C1A8C">
        <w:rPr>
          <w:rFonts w:eastAsia="MS Mincho"/>
        </w:rPr>
        <w:t>/non-AP</w:t>
      </w:r>
      <w:r w:rsidRPr="009448FC">
        <w:rPr>
          <w:rFonts w:eastAsia="MS Mincho"/>
        </w:rPr>
        <w:t xml:space="preserve"> STA in PS mode. Upon receiving the unsolicited PSC-RSP frame, the non-PCP</w:t>
      </w:r>
      <w:r w:rsidR="006C1A8C">
        <w:rPr>
          <w:rFonts w:eastAsia="MS Mincho"/>
        </w:rPr>
        <w:t>/non-AP</w:t>
      </w:r>
      <w:r w:rsidRPr="009448FC">
        <w:rPr>
          <w:rFonts w:eastAsia="MS Mincho"/>
        </w:rPr>
        <w:t xml:space="preserve"> STA should follow the new WS specified by the PCP</w:t>
      </w:r>
      <w:r w:rsidR="006C1A8C">
        <w:rPr>
          <w:rFonts w:eastAsia="MS Mincho"/>
        </w:rPr>
        <w:t>/AP</w:t>
      </w:r>
      <w:r w:rsidRPr="009448FC">
        <w:rPr>
          <w:rFonts w:eastAsia="MS Mincho"/>
        </w:rPr>
        <w:t>.</w:t>
      </w:r>
    </w:p>
    <w:p w:rsidR="00053DA9" w:rsidRPr="009448FC" w:rsidRDefault="00053DA9" w:rsidP="00053DA9">
      <w:pPr>
        <w:autoSpaceDE w:val="0"/>
        <w:autoSpaceDN w:val="0"/>
        <w:adjustRightInd w:val="0"/>
        <w:rPr>
          <w:rFonts w:eastAsia="MS Mincho"/>
        </w:rPr>
      </w:pPr>
    </w:p>
    <w:p w:rsidR="00F851EF" w:rsidRPr="009448FC" w:rsidRDefault="000C5734" w:rsidP="000C5734">
      <w:pPr>
        <w:pStyle w:val="Heading5"/>
        <w:rPr>
          <w:lang w:val="fr-FR"/>
        </w:rPr>
      </w:pPr>
      <w:bookmarkStart w:id="2309" w:name="_Toc259717211"/>
      <w:r w:rsidRPr="009448FC">
        <w:t xml:space="preserve">11.2.3.1.3 </w:t>
      </w:r>
      <w:r w:rsidR="00F851EF" w:rsidRPr="009448FC">
        <w:rPr>
          <w:lang w:val="fr-FR"/>
        </w:rPr>
        <w:t xml:space="preserve">Power </w:t>
      </w:r>
      <w:r w:rsidR="005C4927">
        <w:rPr>
          <w:lang w:val="fr-FR"/>
        </w:rPr>
        <w:t>m</w:t>
      </w:r>
      <w:r w:rsidR="00F851EF" w:rsidRPr="009448FC">
        <w:rPr>
          <w:lang w:val="fr-FR"/>
        </w:rPr>
        <w:t xml:space="preserve">anagement </w:t>
      </w:r>
      <w:r w:rsidR="005C4927">
        <w:rPr>
          <w:lang w:val="fr-FR"/>
        </w:rPr>
        <w:t>m</w:t>
      </w:r>
      <w:r w:rsidR="00F851EF" w:rsidRPr="009448FC">
        <w:rPr>
          <w:lang w:val="fr-FR"/>
        </w:rPr>
        <w:t>ode operation of a non-PCP</w:t>
      </w:r>
      <w:r w:rsidR="006C1A8C">
        <w:rPr>
          <w:lang w:val="fr-FR"/>
        </w:rPr>
        <w:t>/non-AP</w:t>
      </w:r>
      <w:r w:rsidR="00F851EF" w:rsidRPr="009448FC">
        <w:rPr>
          <w:lang w:val="fr-FR"/>
        </w:rPr>
        <w:t xml:space="preserve"> STA with or without a wakeup schedule</w:t>
      </w:r>
      <w:bookmarkEnd w:id="2309"/>
      <w:r w:rsidR="00F851EF" w:rsidRPr="009448FC">
        <w:rPr>
          <w:lang w:val="fr-FR"/>
        </w:rPr>
        <w:t xml:space="preserve"> </w:t>
      </w:r>
    </w:p>
    <w:p w:rsidR="00E62B66" w:rsidRPr="009448FC" w:rsidRDefault="00E62B66" w:rsidP="00E62B66">
      <w:pPr>
        <w:autoSpaceDE w:val="0"/>
        <w:autoSpaceDN w:val="0"/>
        <w:adjustRightInd w:val="0"/>
        <w:rPr>
          <w:rFonts w:eastAsia="MS Mincho"/>
          <w:sz w:val="23"/>
        </w:rPr>
      </w:pPr>
    </w:p>
    <w:p w:rsidR="00E62B66" w:rsidRPr="009448FC" w:rsidRDefault="00E62B66" w:rsidP="00E62B66">
      <w:pPr>
        <w:autoSpaceDE w:val="0"/>
        <w:autoSpaceDN w:val="0"/>
        <w:adjustRightInd w:val="0"/>
        <w:rPr>
          <w:rFonts w:eastAsia="MS Mincho"/>
          <w:sz w:val="23"/>
        </w:rPr>
      </w:pPr>
      <w:r w:rsidRPr="009448FC">
        <w:rPr>
          <w:rFonts w:eastAsia="MS Mincho"/>
        </w:rPr>
        <w:t>A non-PCP</w:t>
      </w:r>
      <w:r w:rsidR="00BD533E" w:rsidRPr="009448FC">
        <w:rPr>
          <w:rFonts w:eastAsia="MS Mincho"/>
        </w:rPr>
        <w:t>/non-AP</w:t>
      </w:r>
      <w:r w:rsidRPr="009448FC">
        <w:rPr>
          <w:rFonts w:eastAsia="MS Mincho"/>
        </w:rPr>
        <w:t xml:space="preserve"> STA in PS mode shall stay awake for </w:t>
      </w:r>
      <w:r w:rsidR="00004CB5" w:rsidRPr="009448FC">
        <w:rPr>
          <w:rFonts w:eastAsia="MS Mincho"/>
        </w:rPr>
        <w:t>dot11MinBIHeaderDuration</w:t>
      </w:r>
      <w:r w:rsidRPr="009448FC">
        <w:rPr>
          <w:rFonts w:eastAsia="MS Mincho"/>
        </w:rPr>
        <w:t xml:space="preserve"> starting from the beginning of </w:t>
      </w:r>
      <w:r w:rsidR="00BD533E" w:rsidRPr="009448FC">
        <w:rPr>
          <w:rFonts w:eastAsia="MS Mincho"/>
        </w:rPr>
        <w:t>each</w:t>
      </w:r>
      <w:r w:rsidRPr="009448FC">
        <w:rPr>
          <w:rFonts w:eastAsia="MS Mincho"/>
        </w:rPr>
        <w:t xml:space="preserve"> </w:t>
      </w:r>
      <w:r w:rsidR="00355B34">
        <w:rPr>
          <w:rFonts w:eastAsia="MS Mincho"/>
        </w:rPr>
        <w:t>A</w:t>
      </w:r>
      <w:r w:rsidRPr="009448FC">
        <w:rPr>
          <w:rFonts w:eastAsia="MS Mincho"/>
        </w:rPr>
        <w:t>wake BI</w:t>
      </w:r>
      <w:r w:rsidR="00BD533E" w:rsidRPr="009448FC">
        <w:rPr>
          <w:rFonts w:eastAsia="MS Mincho"/>
        </w:rPr>
        <w:t xml:space="preserve"> </w:t>
      </w:r>
      <w:r w:rsidR="00BD533E" w:rsidRPr="009448FC">
        <w:rPr>
          <w:rFonts w:eastAsia="PMingLiU"/>
        </w:rPr>
        <w:t xml:space="preserve">and may switch to </w:t>
      </w:r>
      <w:r w:rsidR="000C6959">
        <w:rPr>
          <w:rFonts w:eastAsia="PMingLiU"/>
        </w:rPr>
        <w:t>the D</w:t>
      </w:r>
      <w:r w:rsidR="00BD533E" w:rsidRPr="009448FC">
        <w:rPr>
          <w:rFonts w:eastAsia="PMingLiU"/>
        </w:rPr>
        <w:t>oze state after the expiration of this time</w:t>
      </w:r>
      <w:r w:rsidRPr="009448FC">
        <w:rPr>
          <w:rFonts w:eastAsia="MS Mincho"/>
        </w:rPr>
        <w:t>.</w:t>
      </w:r>
      <w:r w:rsidRPr="009448FC">
        <w:rPr>
          <w:b/>
          <w:i/>
          <w:color w:val="FF0000"/>
        </w:rPr>
        <w:t xml:space="preserve"> </w:t>
      </w:r>
    </w:p>
    <w:p w:rsidR="00E62B66" w:rsidRPr="00066F65" w:rsidRDefault="004B1A89" w:rsidP="00053DA9">
      <w:pPr>
        <w:autoSpaceDE w:val="0"/>
        <w:autoSpaceDN w:val="0"/>
        <w:adjustRightInd w:val="0"/>
        <w:rPr>
          <w:rFonts w:eastAsia="MS Mincho"/>
          <w:b/>
          <w:i/>
          <w:color w:val="FF0000"/>
          <w:u w:val="single"/>
        </w:rPr>
      </w:pPr>
      <w:r w:rsidRPr="00066F65">
        <w:rPr>
          <w:rFonts w:eastAsia="MS Mincho"/>
          <w:b/>
          <w:i/>
          <w:color w:val="FF0000"/>
          <w:u w:val="single"/>
        </w:rPr>
        <w:t xml:space="preserve"> </w:t>
      </w:r>
    </w:p>
    <w:p w:rsidR="00053DA9" w:rsidRPr="009448FC" w:rsidRDefault="00053DA9" w:rsidP="00053DA9">
      <w:pPr>
        <w:autoSpaceDE w:val="0"/>
        <w:autoSpaceDN w:val="0"/>
        <w:adjustRightInd w:val="0"/>
        <w:rPr>
          <w:rFonts w:eastAsia="MS Mincho"/>
        </w:rPr>
      </w:pPr>
      <w:r w:rsidRPr="009448FC">
        <w:rPr>
          <w:rFonts w:eastAsia="MS Mincho"/>
        </w:rPr>
        <w:t>If a non-PCP</w:t>
      </w:r>
      <w:r w:rsidR="006009F4">
        <w:rPr>
          <w:rFonts w:eastAsia="MS Mincho"/>
        </w:rPr>
        <w:t>/non-AP</w:t>
      </w:r>
      <w:r w:rsidRPr="009448FC">
        <w:rPr>
          <w:rFonts w:eastAsia="MS Mincho"/>
        </w:rPr>
        <w:t xml:space="preserve"> STA did not transmit all of the buffered traffic at the end of a scheduled SP, it may set the More Data bit to 1 to indicate there is more traffic. Upon receiving a frame with More Data bit set to 1, a STA should stay awake during subsequent CBPs and truncatable SPs in addition to its wakeup periods</w:t>
      </w:r>
      <w:r w:rsidRPr="009448FC">
        <w:rPr>
          <w:rFonts w:ascii="TT6134941CtCID-WinCharSetFFFF-H" w:eastAsia="MS Mincho" w:hAnsi="TT6134941CtCID-WinCharSetFFFF-H"/>
        </w:rPr>
        <w:t>.</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A PCP</w:t>
      </w:r>
      <w:r w:rsidR="006009F4">
        <w:rPr>
          <w:rFonts w:eastAsia="MS Mincho"/>
        </w:rPr>
        <w:t>/AP</w:t>
      </w:r>
      <w:r w:rsidRPr="009448FC">
        <w:rPr>
          <w:rFonts w:eastAsia="MS Mincho"/>
        </w:rPr>
        <w:t xml:space="preserve"> shall transmit SP allocation announcements for STAs in PS mode during each of the STA’s </w:t>
      </w:r>
      <w:r w:rsidR="00355B34">
        <w:rPr>
          <w:rFonts w:eastAsia="MS Mincho"/>
        </w:rPr>
        <w:t>A</w:t>
      </w:r>
      <w:r w:rsidRPr="009448FC">
        <w:rPr>
          <w:rFonts w:eastAsia="MS Mincho"/>
        </w:rPr>
        <w:t xml:space="preserve">wake BIs and may transmit those SP allocation announcements for STAs in PS mode in other BIs. New SPs shall be allocated to begin either within or after the later </w:t>
      </w:r>
      <w:r w:rsidR="00355B34">
        <w:rPr>
          <w:rFonts w:eastAsia="MS Mincho"/>
        </w:rPr>
        <w:t>A</w:t>
      </w:r>
      <w:r w:rsidRPr="009448FC">
        <w:rPr>
          <w:rFonts w:eastAsia="MS Mincho"/>
        </w:rPr>
        <w:t>wake BI of the source and destination STAs of the SP. Upon receiving the announcement of the new SP, a non-PCP</w:t>
      </w:r>
      <w:r w:rsidR="006009F4">
        <w:rPr>
          <w:rFonts w:eastAsia="MS Mincho"/>
        </w:rPr>
        <w:t>/non-AP</w:t>
      </w:r>
      <w:r w:rsidRPr="009448FC">
        <w:rPr>
          <w:rFonts w:eastAsia="MS Mincho"/>
        </w:rPr>
        <w:t xml:space="preserve"> STA stays awake for </w:t>
      </w:r>
      <w:r w:rsidR="00004CB5" w:rsidRPr="009448FC">
        <w:rPr>
          <w:rFonts w:eastAsia="MS Mincho"/>
        </w:rPr>
        <w:t>dot11MinBIHeaderDuration</w:t>
      </w:r>
      <w:r w:rsidRPr="009448FC">
        <w:rPr>
          <w:rFonts w:eastAsia="MS Mincho"/>
        </w:rPr>
        <w:t xml:space="preserve"> starting from the beginning of the BI where the new SP is allocated.</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To transition from PS mode to Active mode, a non-PCP</w:t>
      </w:r>
      <w:r w:rsidR="006009F4">
        <w:rPr>
          <w:rFonts w:eastAsia="MS Mincho"/>
        </w:rPr>
        <w:t>/non-AP</w:t>
      </w:r>
      <w:r w:rsidRPr="009448FC">
        <w:rPr>
          <w:rFonts w:eastAsia="MS Mincho"/>
        </w:rPr>
        <w:t xml:space="preserve"> STA that has an established WS with the PCP</w:t>
      </w:r>
      <w:r w:rsidR="006009F4">
        <w:rPr>
          <w:rFonts w:eastAsia="MS Mincho"/>
        </w:rPr>
        <w:t>/AP</w:t>
      </w:r>
      <w:r w:rsidRPr="009448FC">
        <w:rPr>
          <w:rFonts w:eastAsia="MS Mincho"/>
        </w:rPr>
        <w:t xml:space="preserve"> shall send a PSC-REQ frame with the PM field set to 0 to the PCP</w:t>
      </w:r>
      <w:r w:rsidR="006009F4">
        <w:rPr>
          <w:rFonts w:eastAsia="MS Mincho"/>
        </w:rPr>
        <w:t>/AP</w:t>
      </w:r>
      <w:r w:rsidRPr="009448FC">
        <w:rPr>
          <w:rFonts w:eastAsia="MS Mincho"/>
        </w:rPr>
        <w:t xml:space="preserve"> and enter Active mode following the reception of the ACK response. The PCP</w:t>
      </w:r>
      <w:r w:rsidR="006009F4">
        <w:rPr>
          <w:rFonts w:eastAsia="MS Mincho"/>
        </w:rPr>
        <w:t>/AP</w:t>
      </w:r>
      <w:r w:rsidRPr="009448FC">
        <w:rPr>
          <w:rFonts w:eastAsia="MS Mincho"/>
        </w:rPr>
        <w:t xml:space="preserve"> shall not send a PSC-RSP frame if the PM field is set to 0 in the PSC-REQ frame.</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In order for a non-PCP</w:t>
      </w:r>
      <w:r w:rsidR="006009F4">
        <w:rPr>
          <w:rFonts w:eastAsia="MS Mincho"/>
        </w:rPr>
        <w:t>/non-AP</w:t>
      </w:r>
      <w:r w:rsidRPr="009448FC">
        <w:rPr>
          <w:rFonts w:eastAsia="MS Mincho"/>
        </w:rPr>
        <w:t xml:space="preserve"> STA to learn the WS of other STAs within the BSS, the non-PCP</w:t>
      </w:r>
      <w:r w:rsidR="006009F4">
        <w:rPr>
          <w:rFonts w:eastAsia="MS Mincho"/>
        </w:rPr>
        <w:t>/non-AP</w:t>
      </w:r>
      <w:r w:rsidRPr="009448FC">
        <w:rPr>
          <w:rFonts w:eastAsia="MS Mincho"/>
        </w:rPr>
        <w:t xml:space="preserve"> STA may send an Information Request frame to the PCP</w:t>
      </w:r>
      <w:r w:rsidR="006009F4">
        <w:rPr>
          <w:rFonts w:eastAsia="MS Mincho"/>
        </w:rPr>
        <w:t>/AP</w:t>
      </w:r>
      <w:r w:rsidRPr="009448FC">
        <w:rPr>
          <w:rFonts w:eastAsia="MS Mincho"/>
        </w:rPr>
        <w:t xml:space="preserve"> that contains the other STA’s MAC address as the Target Address and a Request </w:t>
      </w:r>
      <w:r w:rsidR="00877796" w:rsidRPr="009448FC">
        <w:rPr>
          <w:rFonts w:eastAsia="MS Mincho"/>
        </w:rPr>
        <w:t>element</w:t>
      </w:r>
      <w:r w:rsidRPr="009448FC">
        <w:rPr>
          <w:rFonts w:eastAsia="MS Mincho"/>
        </w:rPr>
        <w:t xml:space="preserve"> indicating that a Wakeup Schedule </w:t>
      </w:r>
      <w:r w:rsidR="00877796" w:rsidRPr="009448FC">
        <w:rPr>
          <w:rFonts w:eastAsia="MS Mincho"/>
        </w:rPr>
        <w:t>element</w:t>
      </w:r>
      <w:r w:rsidRPr="009448FC">
        <w:rPr>
          <w:rFonts w:eastAsia="MS Mincho"/>
        </w:rPr>
        <w:t xml:space="preserve"> for that STA is requested.</w:t>
      </w:r>
    </w:p>
    <w:p w:rsidR="00053DA9" w:rsidRPr="009448FC" w:rsidRDefault="00053DA9" w:rsidP="00053DA9">
      <w:pPr>
        <w:autoSpaceDE w:val="0"/>
        <w:autoSpaceDN w:val="0"/>
        <w:adjustRightInd w:val="0"/>
        <w:rPr>
          <w:rFonts w:eastAsia="MS Mincho"/>
        </w:rPr>
      </w:pPr>
    </w:p>
    <w:p w:rsidR="007A6A29" w:rsidRPr="009448FC" w:rsidRDefault="00053DA9" w:rsidP="007A6A29">
      <w:pPr>
        <w:autoSpaceDE w:val="0"/>
        <w:autoSpaceDN w:val="0"/>
        <w:adjustRightInd w:val="0"/>
        <w:rPr>
          <w:rFonts w:eastAsia="MS Mincho"/>
        </w:rPr>
      </w:pPr>
      <w:r w:rsidRPr="009448FC">
        <w:rPr>
          <w:rFonts w:eastAsia="MS Mincho"/>
        </w:rPr>
        <w:t xml:space="preserve">After receiving an Information Request frame that contains a Request </w:t>
      </w:r>
      <w:r w:rsidR="00877796" w:rsidRPr="009448FC">
        <w:rPr>
          <w:rFonts w:eastAsia="MS Mincho"/>
        </w:rPr>
        <w:t>element</w:t>
      </w:r>
      <w:r w:rsidRPr="009448FC">
        <w:rPr>
          <w:rFonts w:eastAsia="MS Mincho"/>
        </w:rPr>
        <w:t xml:space="preserve"> indicating a request for a Wakeup Schedule </w:t>
      </w:r>
      <w:r w:rsidR="00877796" w:rsidRPr="009448FC">
        <w:rPr>
          <w:rFonts w:eastAsia="MS Mincho"/>
        </w:rPr>
        <w:t>element</w:t>
      </w:r>
      <w:r w:rsidRPr="009448FC">
        <w:rPr>
          <w:rFonts w:eastAsia="MS Mincho"/>
        </w:rPr>
        <w:t>, a PCP</w:t>
      </w:r>
      <w:r w:rsidR="006009F4">
        <w:rPr>
          <w:rFonts w:eastAsia="MS Mincho"/>
        </w:rPr>
        <w:t>/AP</w:t>
      </w:r>
      <w:r w:rsidRPr="009448FC">
        <w:rPr>
          <w:rFonts w:eastAsia="MS Mincho"/>
        </w:rPr>
        <w:t xml:space="preserve"> shall transmit an Information Response frame that contains the Wakeup Schedule </w:t>
      </w:r>
      <w:r w:rsidR="00877796" w:rsidRPr="009448FC">
        <w:rPr>
          <w:rFonts w:eastAsia="MS Mincho"/>
        </w:rPr>
        <w:t>element</w:t>
      </w:r>
      <w:r w:rsidRPr="009448FC">
        <w:rPr>
          <w:rFonts w:eastAsia="MS Mincho"/>
        </w:rPr>
        <w:t xml:space="preserve"> of the STA indicated in the Information Request’s Target Address field. </w:t>
      </w:r>
      <w:r w:rsidR="007A6A29" w:rsidRPr="009448FC">
        <w:rPr>
          <w:rFonts w:eastAsia="MS Mincho"/>
        </w:rPr>
        <w:t>If the STA indicated in the Information Request’s Target Address field</w:t>
      </w:r>
      <w:r w:rsidR="007A6A29" w:rsidRPr="009448FC" w:rsidDel="0012304F">
        <w:rPr>
          <w:rFonts w:eastAsia="MS Mincho"/>
        </w:rPr>
        <w:t xml:space="preserve"> </w:t>
      </w:r>
      <w:r w:rsidR="007A6A29" w:rsidRPr="009448FC">
        <w:rPr>
          <w:rFonts w:eastAsia="MS Mincho"/>
        </w:rPr>
        <w:t>is in Active mode, the PCP</w:t>
      </w:r>
      <w:r w:rsidR="006009F4">
        <w:rPr>
          <w:rFonts w:eastAsia="MS Mincho"/>
        </w:rPr>
        <w:t>/AP</w:t>
      </w:r>
      <w:r w:rsidR="007A6A29" w:rsidRPr="009448FC">
        <w:rPr>
          <w:rFonts w:eastAsia="MS Mincho"/>
        </w:rPr>
        <w:t xml:space="preserve"> shall set the length of the Wakeup Schedule </w:t>
      </w:r>
      <w:r w:rsidR="00877796" w:rsidRPr="009448FC">
        <w:rPr>
          <w:rFonts w:eastAsia="MS Mincho"/>
        </w:rPr>
        <w:t>element</w:t>
      </w:r>
      <w:r w:rsidR="007A6A29" w:rsidRPr="009448FC">
        <w:rPr>
          <w:rFonts w:eastAsia="MS Mincho"/>
        </w:rPr>
        <w:t xml:space="preserve"> to zero in the Information Response frame. </w:t>
      </w:r>
      <w:r w:rsidR="007A6A29" w:rsidRPr="009448FC">
        <w:rPr>
          <w:rFonts w:eastAsia="MS Mincho"/>
          <w:sz w:val="23"/>
        </w:rPr>
        <w:t>If the STA, indicated in the Information Request’s Target Address field,</w:t>
      </w:r>
      <w:r w:rsidR="007A6A29" w:rsidRPr="009448FC" w:rsidDel="0012304F">
        <w:rPr>
          <w:rFonts w:eastAsia="MS Mincho"/>
          <w:sz w:val="23"/>
        </w:rPr>
        <w:t xml:space="preserve"> </w:t>
      </w:r>
      <w:r w:rsidR="007A6A29" w:rsidRPr="009448FC">
        <w:rPr>
          <w:rFonts w:eastAsia="MS Mincho"/>
          <w:sz w:val="23"/>
        </w:rPr>
        <w:t xml:space="preserve">changes its WS or its PS mode before its original upcoming </w:t>
      </w:r>
      <w:r w:rsidR="00355B34">
        <w:rPr>
          <w:rFonts w:eastAsia="MS Mincho"/>
          <w:sz w:val="23"/>
        </w:rPr>
        <w:t>A</w:t>
      </w:r>
      <w:r w:rsidR="007A6A29" w:rsidRPr="009448FC">
        <w:rPr>
          <w:rFonts w:eastAsia="MS Mincho"/>
          <w:sz w:val="23"/>
        </w:rPr>
        <w:t xml:space="preserve">wake BI, </w:t>
      </w:r>
      <w:r w:rsidR="007A6A29" w:rsidRPr="009448FC">
        <w:rPr>
          <w:rFonts w:eastAsia="MS Mincho"/>
        </w:rPr>
        <w:t>the PCP</w:t>
      </w:r>
      <w:r w:rsidR="006009F4">
        <w:rPr>
          <w:rFonts w:eastAsia="MS Mincho"/>
        </w:rPr>
        <w:t>/AP</w:t>
      </w:r>
      <w:r w:rsidR="007A6A29" w:rsidRPr="009448FC">
        <w:rPr>
          <w:rFonts w:eastAsia="MS Mincho"/>
        </w:rPr>
        <w:t xml:space="preserve"> may inform the STA that requested the information by transmitting an unsolicited Information Response frame with the updated Wakeup Schedule </w:t>
      </w:r>
      <w:r w:rsidR="00877796" w:rsidRPr="009448FC">
        <w:rPr>
          <w:rFonts w:eastAsia="MS Mincho"/>
        </w:rPr>
        <w:t>element</w:t>
      </w:r>
      <w:r w:rsidR="007A6A29" w:rsidRPr="009448FC">
        <w:rPr>
          <w:rFonts w:eastAsia="MS Mincho"/>
        </w:rPr>
        <w:t>.</w:t>
      </w:r>
      <w:r w:rsidR="00A44FA7" w:rsidRPr="009448FC">
        <w:rPr>
          <w:b/>
          <w:i/>
          <w:color w:val="FF0000"/>
        </w:rPr>
        <w:t xml:space="preserve"> </w:t>
      </w:r>
    </w:p>
    <w:p w:rsidR="00053DA9" w:rsidRPr="009448FC" w:rsidRDefault="00053DA9" w:rsidP="007A6A29">
      <w:pPr>
        <w:autoSpaceDE w:val="0"/>
        <w:autoSpaceDN w:val="0"/>
        <w:adjustRightInd w:val="0"/>
        <w:rPr>
          <w:rFonts w:eastAsia="MS Mincho"/>
        </w:rPr>
      </w:pPr>
    </w:p>
    <w:p w:rsidR="00053DA9" w:rsidRPr="009448FC" w:rsidRDefault="00053DA9" w:rsidP="003261E8">
      <w:pPr>
        <w:autoSpaceDE w:val="0"/>
        <w:autoSpaceDN w:val="0"/>
        <w:adjustRightInd w:val="0"/>
        <w:rPr>
          <w:rFonts w:eastAsia="MS Mincho"/>
        </w:rPr>
      </w:pPr>
      <w:r w:rsidRPr="009448FC">
        <w:rPr>
          <w:rFonts w:eastAsia="MS Mincho"/>
        </w:rPr>
        <w:t xml:space="preserve">There may be one or more CBPs in a BI. An Awake window is present within the first CBP within a beacon interval if the Awake Window field in the Awake Window </w:t>
      </w:r>
      <w:r w:rsidR="00877796" w:rsidRPr="009448FC">
        <w:rPr>
          <w:rFonts w:eastAsia="MS Mincho"/>
        </w:rPr>
        <w:t>element</w:t>
      </w:r>
      <w:r w:rsidRPr="009448FC">
        <w:rPr>
          <w:rFonts w:eastAsia="MS Mincho"/>
        </w:rPr>
        <w:t xml:space="preserve"> (</w:t>
      </w:r>
      <w:r w:rsidR="00BD151C" w:rsidRPr="009448FC">
        <w:rPr>
          <w:rFonts w:eastAsia="MS Mincho"/>
        </w:rPr>
        <w:fldChar w:fldCharType="begin"/>
      </w:r>
      <w:r w:rsidR="003261E8" w:rsidRPr="009448FC">
        <w:rPr>
          <w:rFonts w:eastAsia="MS Mincho"/>
        </w:rPr>
        <w:instrText xml:space="preserve"> REF _Ref244235884 \r \h </w:instrText>
      </w:r>
      <w:r w:rsidR="00BD151C" w:rsidRPr="009448FC">
        <w:rPr>
          <w:rFonts w:eastAsia="MS Mincho"/>
        </w:rPr>
      </w:r>
      <w:r w:rsidR="00BD151C" w:rsidRPr="009448FC">
        <w:rPr>
          <w:rFonts w:eastAsia="MS Mincho"/>
        </w:rPr>
        <w:fldChar w:fldCharType="separate"/>
      </w:r>
      <w:r w:rsidR="003E4210">
        <w:rPr>
          <w:rFonts w:eastAsia="MS Mincho"/>
        </w:rPr>
        <w:t>7.3.2.100</w:t>
      </w:r>
      <w:r w:rsidR="00BD151C" w:rsidRPr="009448FC">
        <w:rPr>
          <w:rFonts w:eastAsia="MS Mincho"/>
        </w:rPr>
        <w:fldChar w:fldCharType="end"/>
      </w:r>
      <w:r w:rsidRPr="009448FC">
        <w:rPr>
          <w:rFonts w:eastAsia="MS Mincho"/>
        </w:rPr>
        <w:t>) has a value that is not zero. The PCP</w:t>
      </w:r>
      <w:r w:rsidR="006009F4">
        <w:rPr>
          <w:rFonts w:eastAsia="MS Mincho"/>
        </w:rPr>
        <w:t>/AP</w:t>
      </w:r>
      <w:r w:rsidRPr="009448FC">
        <w:rPr>
          <w:rFonts w:eastAsia="MS Mincho"/>
        </w:rPr>
        <w:t xml:space="preserve"> may set the Awake Window field in the Awake Window </w:t>
      </w:r>
      <w:r w:rsidR="00877796" w:rsidRPr="009448FC">
        <w:rPr>
          <w:rFonts w:eastAsia="MS Mincho"/>
        </w:rPr>
        <w:t>element</w:t>
      </w:r>
      <w:r w:rsidRPr="009448FC">
        <w:rPr>
          <w:rFonts w:eastAsia="MS Mincho"/>
        </w:rPr>
        <w:t xml:space="preserve"> to a value that is not zero to create an awake window within the first CBP of a beacon interval. The Awake </w:t>
      </w:r>
      <w:r w:rsidRPr="009448FC">
        <w:rPr>
          <w:rFonts w:eastAsia="MS Mincho"/>
        </w:rPr>
        <w:lastRenderedPageBreak/>
        <w:t xml:space="preserve">window starts from the beginning of the first CBP and has a duration that is defined by the value of the Awake Window field in the Awake Window </w:t>
      </w:r>
      <w:r w:rsidR="00877796" w:rsidRPr="009448FC">
        <w:rPr>
          <w:rFonts w:eastAsia="MS Mincho"/>
        </w:rPr>
        <w:t>element</w:t>
      </w:r>
      <w:r w:rsidRPr="009448FC">
        <w:rPr>
          <w:rFonts w:eastAsia="MS Mincho"/>
        </w:rPr>
        <w:t xml:space="preserve">. During the Awake window, a STA </w:t>
      </w:r>
      <w:r w:rsidR="00457024">
        <w:rPr>
          <w:rFonts w:eastAsia="MS Mincho"/>
        </w:rPr>
        <w:t>shall</w:t>
      </w:r>
      <w:r w:rsidR="00457024" w:rsidRPr="009448FC">
        <w:rPr>
          <w:rFonts w:eastAsia="MS Mincho"/>
        </w:rPr>
        <w:t xml:space="preserve"> </w:t>
      </w:r>
      <w:r w:rsidRPr="009448FC">
        <w:rPr>
          <w:rFonts w:eastAsia="MS Mincho"/>
        </w:rPr>
        <w:t>only transmit ATIM frames. A</w:t>
      </w:r>
      <w:r w:rsidR="002F0A96" w:rsidRPr="009448FC">
        <w:rPr>
          <w:rFonts w:eastAsia="MS Mincho"/>
        </w:rPr>
        <w:t>n</w:t>
      </w:r>
      <w:r w:rsidRPr="009448FC">
        <w:rPr>
          <w:rFonts w:eastAsia="MS Mincho"/>
        </w:rPr>
        <w:t xml:space="preserve"> </w:t>
      </w:r>
      <w:r w:rsidR="00B96FB9" w:rsidRPr="009448FC">
        <w:rPr>
          <w:rFonts w:eastAsia="MS Mincho"/>
        </w:rPr>
        <w:t>mSTA</w:t>
      </w:r>
      <w:r w:rsidRPr="009448FC">
        <w:rPr>
          <w:rFonts w:eastAsia="MS Mincho"/>
        </w:rPr>
        <w:t xml:space="preserve"> in PS mode shall be in </w:t>
      </w:r>
      <w:r w:rsidR="00A239D4">
        <w:rPr>
          <w:rFonts w:eastAsia="MS Mincho"/>
        </w:rPr>
        <w:t xml:space="preserve">the </w:t>
      </w:r>
      <w:r w:rsidRPr="009448FC">
        <w:rPr>
          <w:rFonts w:eastAsia="MS Mincho"/>
        </w:rPr>
        <w:t xml:space="preserve">Awake state during each Awake window that lies within each </w:t>
      </w:r>
      <w:r w:rsidR="00355B34">
        <w:rPr>
          <w:rFonts w:eastAsia="MS Mincho"/>
        </w:rPr>
        <w:t>A</w:t>
      </w:r>
      <w:r w:rsidRPr="009448FC">
        <w:rPr>
          <w:rFonts w:eastAsia="MS Mincho"/>
        </w:rPr>
        <w:t>wake BI for that STA.</w:t>
      </w:r>
    </w:p>
    <w:p w:rsidR="00053DA9" w:rsidRPr="009448FC" w:rsidRDefault="00995D7F" w:rsidP="00053DA9">
      <w:pPr>
        <w:autoSpaceDE w:val="0"/>
        <w:autoSpaceDN w:val="0"/>
        <w:adjustRightInd w:val="0"/>
        <w:rPr>
          <w:rFonts w:eastAsia="MS Mincho"/>
        </w:rPr>
      </w:pPr>
      <w:r>
        <w:t xml:space="preserve"> </w:t>
      </w:r>
    </w:p>
    <w:p w:rsidR="00494706" w:rsidRPr="009448FC" w:rsidRDefault="00053DA9" w:rsidP="005A2E05">
      <w:pPr>
        <w:autoSpaceDE w:val="0"/>
        <w:autoSpaceDN w:val="0"/>
        <w:adjustRightInd w:val="0"/>
      </w:pPr>
      <w:r w:rsidRPr="009448FC">
        <w:rPr>
          <w:rFonts w:eastAsia="MS Mincho"/>
        </w:rPr>
        <w:t xml:space="preserve">Multicast MSDUs and MSDUs and MMPDUs that are to be transmitted to a STA that is in PS mode are first announced through ATIM frames during the Awake window. A STA in PS mode that is awake during an Awake window shall listen for these announcements to determine if it needs to remain in the Awake state. If no ATIM frames are received or transmitted by a STA during an Awake window in which the </w:t>
      </w:r>
      <w:r w:rsidR="00B96FB9" w:rsidRPr="009448FC">
        <w:rPr>
          <w:rFonts w:eastAsia="MS Mincho"/>
        </w:rPr>
        <w:t>mSTA</w:t>
      </w:r>
      <w:r w:rsidRPr="009448FC">
        <w:rPr>
          <w:rFonts w:eastAsia="MS Mincho"/>
        </w:rPr>
        <w:t xml:space="preserve"> is awake and the STA participates in CBPs and is in PS mode, then it may enter </w:t>
      </w:r>
      <w:r w:rsidR="000C6959">
        <w:rPr>
          <w:rFonts w:eastAsia="MS Mincho"/>
        </w:rPr>
        <w:t xml:space="preserve">the </w:t>
      </w:r>
      <w:r w:rsidRPr="009448FC">
        <w:rPr>
          <w:rFonts w:eastAsia="MS Mincho"/>
        </w:rPr>
        <w:t xml:space="preserve">Doze state at the end of the Awake window. If a STA receives an ATIM frame during the Awake Window, it shall acknowledge the ATIM frame. Any two STAs that successfully complete an ATIM frame exchange with each other during the Awake Window are defined as peer STAs. A STA that transmits an ATIM, but which does not receive an acknowledgement, includes the STA that is the destination of the ATIM as a peer STA. If a STA receives or transmits an ATIM frame during the Awake Window, it shall be awake during the CBP(s) within the current BI to wait for the announced MSDU(s) and/or MMPDU(s) to be received and/or to transmit announced MSDU(s) and/or MMPDU(s). A STA that receives or transmits an ATIM frame during the Awake Window may enter </w:t>
      </w:r>
      <w:r w:rsidR="000C6959">
        <w:rPr>
          <w:rFonts w:eastAsia="MS Mincho"/>
        </w:rPr>
        <w:t xml:space="preserve">the </w:t>
      </w:r>
      <w:r w:rsidRPr="009448FC">
        <w:rPr>
          <w:rFonts w:eastAsia="MS Mincho"/>
        </w:rPr>
        <w:t>Doze state when it has successfully transmitted to and received from all corresponding peer STAs for this BI a frame with the EOSP subfield set to one. ATIM frame transmissions and MSDU transmissions follow the rules defined in subclause 11.2.2.4.</w:t>
      </w:r>
    </w:p>
    <w:p w:rsidR="00494706" w:rsidRPr="009448FC" w:rsidRDefault="00494706" w:rsidP="00A32291">
      <w:pPr>
        <w:autoSpaceDE w:val="0"/>
        <w:autoSpaceDN w:val="0"/>
        <w:adjustRightInd w:val="0"/>
      </w:pPr>
    </w:p>
    <w:p w:rsidR="008C36FC" w:rsidRPr="009448FC" w:rsidRDefault="008C36FC" w:rsidP="003701DB">
      <w:pPr>
        <w:pStyle w:val="Heading4"/>
        <w:numPr>
          <w:ilvl w:val="3"/>
          <w:numId w:val="93"/>
        </w:numPr>
      </w:pPr>
      <w:bookmarkStart w:id="2310" w:name="_Toc235400561"/>
      <w:bookmarkStart w:id="2311" w:name="_Ref236726428"/>
      <w:bookmarkStart w:id="2312" w:name="_Ref243984764"/>
      <w:bookmarkStart w:id="2313" w:name="_Ref256210085"/>
      <w:bookmarkStart w:id="2314" w:name="_Toc259717212"/>
      <w:r w:rsidRPr="009448FC">
        <w:t xml:space="preserve">PCP Power </w:t>
      </w:r>
      <w:r w:rsidR="005C4927">
        <w:t>m</w:t>
      </w:r>
      <w:r w:rsidRPr="009448FC">
        <w:t xml:space="preserve">anagement </w:t>
      </w:r>
      <w:r w:rsidR="005C4927">
        <w:t>m</w:t>
      </w:r>
      <w:r w:rsidRPr="009448FC">
        <w:t>ode</w:t>
      </w:r>
      <w:bookmarkEnd w:id="2310"/>
      <w:bookmarkEnd w:id="2311"/>
      <w:bookmarkEnd w:id="2312"/>
      <w:bookmarkEnd w:id="2313"/>
      <w:bookmarkEnd w:id="2314"/>
    </w:p>
    <w:p w:rsidR="008C36FC" w:rsidRPr="009448FC" w:rsidRDefault="00EE44AA" w:rsidP="00B91208">
      <w:pPr>
        <w:autoSpaceDE w:val="0"/>
        <w:autoSpaceDN w:val="0"/>
        <w:adjustRightInd w:val="0"/>
        <w:jc w:val="both"/>
      </w:pPr>
      <w:r w:rsidRPr="009448FC">
        <w:t xml:space="preserve">A PCP in PPS mode (PPS PCP) may enter the </w:t>
      </w:r>
      <w:r w:rsidR="000C6959">
        <w:t>D</w:t>
      </w:r>
      <w:r w:rsidRPr="009448FC">
        <w:t xml:space="preserve">oze state for one or more consecutive </w:t>
      </w:r>
      <w:r w:rsidR="00B91208" w:rsidRPr="009448FC">
        <w:t>BIs</w:t>
      </w:r>
      <w:r w:rsidRPr="009448FC">
        <w:t xml:space="preserve"> in order to minimize its energy consumption</w:t>
      </w:r>
      <w:r w:rsidR="008C36FC" w:rsidRPr="009448FC">
        <w:t>.</w:t>
      </w:r>
      <w:r w:rsidR="00EE1100" w:rsidRPr="009448FC">
        <w:t xml:space="preserve"> </w:t>
      </w:r>
      <w:r w:rsidR="008C36FC" w:rsidRPr="009448FC">
        <w:t xml:space="preserve">The </w:t>
      </w:r>
      <w:r w:rsidR="00B91208" w:rsidRPr="009448FC">
        <w:t>BI</w:t>
      </w:r>
      <w:r w:rsidR="008C36FC" w:rsidRPr="009448FC">
        <w:t xml:space="preserve"> when a PCP is in the </w:t>
      </w:r>
      <w:r w:rsidR="000C6959">
        <w:t>D</w:t>
      </w:r>
      <w:r w:rsidR="008C36FC" w:rsidRPr="009448FC">
        <w:t xml:space="preserve">oze state is referred to as </w:t>
      </w:r>
      <w:r w:rsidR="00B91208" w:rsidRPr="009448FC">
        <w:t xml:space="preserve">a </w:t>
      </w:r>
      <w:r w:rsidR="008C36FC" w:rsidRPr="009448FC">
        <w:t xml:space="preserve">doze </w:t>
      </w:r>
      <w:r w:rsidR="00B91208" w:rsidRPr="009448FC">
        <w:t>BI</w:t>
      </w:r>
      <w:r w:rsidR="008C36FC" w:rsidRPr="009448FC">
        <w:t>.</w:t>
      </w:r>
      <w:r w:rsidR="0089333C" w:rsidRPr="009448FC">
        <w:t xml:space="preserve"> </w:t>
      </w:r>
      <w:r w:rsidR="00BD151C" w:rsidRPr="009448FC">
        <w:fldChar w:fldCharType="begin"/>
      </w:r>
      <w:r w:rsidR="00DB4C90" w:rsidRPr="009448FC">
        <w:instrText xml:space="preserve"> REF _Ref236556498 \h </w:instrText>
      </w:r>
      <w:r w:rsidR="00BD151C" w:rsidRPr="009448FC">
        <w:fldChar w:fldCharType="separate"/>
      </w:r>
      <w:r w:rsidR="003E4210" w:rsidRPr="00066F65">
        <w:t xml:space="preserve">Figure </w:t>
      </w:r>
      <w:r w:rsidR="003E4210">
        <w:rPr>
          <w:noProof/>
        </w:rPr>
        <w:t>118</w:t>
      </w:r>
      <w:r w:rsidR="00BD151C" w:rsidRPr="009448FC">
        <w:fldChar w:fldCharType="end"/>
      </w:r>
      <w:r w:rsidR="000962D3" w:rsidRPr="009448FC">
        <w:t xml:space="preserve"> </w:t>
      </w:r>
      <w:r w:rsidR="0089333C" w:rsidRPr="009448FC">
        <w:t>illustrates a finite state machine that shows the state transition o</w:t>
      </w:r>
      <w:r w:rsidR="00170300" w:rsidRPr="009448FC">
        <w:t>f the PCP power management mode.</w:t>
      </w:r>
    </w:p>
    <w:p w:rsidR="008C36FC" w:rsidRPr="009448FC" w:rsidRDefault="008C36FC" w:rsidP="0004091F">
      <w:pPr>
        <w:autoSpaceDE w:val="0"/>
        <w:autoSpaceDN w:val="0"/>
        <w:adjustRightInd w:val="0"/>
        <w:jc w:val="both"/>
        <w:rPr>
          <w:b/>
        </w:rPr>
      </w:pPr>
    </w:p>
    <w:p w:rsidR="00722EB9" w:rsidRPr="009448FC" w:rsidRDefault="00BD151C" w:rsidP="005D3689">
      <w:pPr>
        <w:autoSpaceDE w:val="0"/>
        <w:autoSpaceDN w:val="0"/>
        <w:adjustRightInd w:val="0"/>
        <w:rPr>
          <w:rFonts w:eastAsia="MS Mincho"/>
          <w:sz w:val="23"/>
        </w:rPr>
      </w:pPr>
      <w:r>
        <w:rPr>
          <w:rFonts w:eastAsia="MS Mincho"/>
          <w:sz w:val="23"/>
        </w:rPr>
        <w:lastRenderedPageBreak/>
        <w:pict>
          <v:group id="_x0000_s1108" editas="canvas" style="position:absolute;margin-left:0;margin-top:0;width:486.1pt;height:324pt;z-index:251654144;mso-position-horizontal-relative:char;mso-position-vertical-relative:line" coordorigin="2700,5991" coordsize="9722,6480">
            <o:lock v:ext="edit" aspectratio="t"/>
            <v:shape id="_x0000_s1109" type="#_x0000_t75" style="position:absolute;left:2700;top:5991;width:9722;height:6480" o:preferrelative="f">
              <v:fill o:detectmouseclick="t"/>
              <v:path o:extrusionok="t" o:connecttype="none"/>
              <o:lock v:ext="edit" text="t"/>
            </v:shape>
            <v:shape id="_x0000_s1110" type="#_x0000_t75" style="position:absolute;left:3301;top:6590;width:5999;height:2231" o:preferrelative="f">
              <v:fill o:detectmouseclick="t"/>
              <v:path o:extrusionok="t" o:connecttype="none"/>
            </v:shape>
            <v:shape id="_x0000_s1111" style="position:absolute;left:4968;top:7284;width:838;height:782" coordsize="1210,1209" path="m,604hdc,270,271,,605,v334,,605,270,605,604c1210,604,1210,604,1210,604v,334,-271,605,-605,605c271,1209,,938,,604e" fillcolor="#e8eef7" strokeweight="0">
              <v:path arrowok="t"/>
            </v:shape>
            <v:rect id="_x0000_s1112" style="position:absolute;left:5125;top:7472;width:530;height:529" filled="f" stroked="f">
              <v:textbox style="mso-next-textbox:#_x0000_s1112" inset="0,0,0,0">
                <w:txbxContent>
                  <w:p w:rsidR="00DB6E8E" w:rsidRDefault="00DB6E8E" w:rsidP="005D3689">
                    <w:pPr>
                      <w:autoSpaceDE w:val="0"/>
                      <w:autoSpaceDN w:val="0"/>
                      <w:adjustRightInd w:val="0"/>
                      <w:rPr>
                        <w:rFonts w:ascii="Arial" w:hAnsi="Arial" w:cs="Arial"/>
                        <w:color w:val="000000"/>
                        <w:sz w:val="18"/>
                        <w:szCs w:val="18"/>
                      </w:rPr>
                    </w:pPr>
                    <w:r w:rsidRPr="0072680F">
                      <w:rPr>
                        <w:rFonts w:ascii="Arial" w:hAnsi="Arial" w:cs="Arial"/>
                        <w:color w:val="000000"/>
                        <w:sz w:val="18"/>
                        <w:szCs w:val="18"/>
                      </w:rPr>
                      <w:t>Active</w:t>
                    </w:r>
                  </w:p>
                  <w:p w:rsidR="00DB6E8E" w:rsidRPr="0072680F" w:rsidRDefault="00DB6E8E" w:rsidP="005D3689">
                    <w:pPr>
                      <w:autoSpaceDE w:val="0"/>
                      <w:autoSpaceDN w:val="0"/>
                      <w:adjustRightInd w:val="0"/>
                      <w:rPr>
                        <w:rFonts w:ascii="Arial" w:hAnsi="Arial" w:cs="Arial"/>
                        <w:color w:val="000000"/>
                        <w:sz w:val="18"/>
                        <w:szCs w:val="18"/>
                      </w:rPr>
                    </w:pPr>
                    <w:r>
                      <w:rPr>
                        <w:rFonts w:ascii="Arial" w:hAnsi="Arial" w:cs="Arial"/>
                        <w:color w:val="000000"/>
                        <w:sz w:val="18"/>
                        <w:szCs w:val="18"/>
                      </w:rPr>
                      <w:t>Mode</w:t>
                    </w:r>
                  </w:p>
                </w:txbxContent>
              </v:textbox>
            </v:rect>
            <v:shape id="_x0000_s1113" style="position:absolute;left:8458;top:7251;width:1082;height:890" coordsize="1210,1209" path="m,604hdc,270,271,,605,v334,,605,270,605,604c1210,604,1210,604,1210,604v,334,-271,605,-605,605c271,1209,,938,,604e" fillcolor="#e8eef7" strokeweight="0">
              <v:path arrowok="t"/>
            </v:shape>
            <v:rect id="_x0000_s1114" style="position:absolute;left:8493;top:7524;width:1167;height:267" filled="f" stroked="f">
              <v:textbox style="mso-next-textbox:#_x0000_s1114" inset="0,0,0,0">
                <w:txbxContent>
                  <w:p w:rsidR="00DB6E8E" w:rsidRPr="0072680F" w:rsidRDefault="00DB6E8E" w:rsidP="005D3689">
                    <w:pPr>
                      <w:autoSpaceDE w:val="0"/>
                      <w:autoSpaceDN w:val="0"/>
                      <w:adjustRightInd w:val="0"/>
                      <w:rPr>
                        <w:rFonts w:ascii="Arial" w:hAnsi="Arial" w:cs="Arial"/>
                        <w:color w:val="000000"/>
                        <w:sz w:val="18"/>
                        <w:szCs w:val="18"/>
                      </w:rPr>
                    </w:pPr>
                    <w:r>
                      <w:rPr>
                        <w:rFonts w:ascii="Arial" w:hAnsi="Arial" w:cs="Arial"/>
                        <w:color w:val="000000"/>
                        <w:sz w:val="18"/>
                        <w:szCs w:val="18"/>
                      </w:rPr>
                      <w:t>PPS Mode</w:t>
                    </w:r>
                  </w:p>
                </w:txbxContent>
              </v:textbox>
            </v:rect>
            <v:shape id="_x0000_s1115" style="position:absolute;left:5400;top:6276;width:3600;height:975" coordsize="1534,501" path="m,501hdc340,73,962,,1392,338v52,41,99,87,142,138e" filled="f" strokeweight=".25pt">
              <v:stroke endcap="round"/>
              <v:path arrowok="t"/>
            </v:shape>
            <v:shape id="_x0000_s1116" style="position:absolute;left:8940;top:7184;width:125;height:128" coordsize="57,62" path="m44,l57,62,,36,44,xe" fillcolor="black" stroked="f">
              <v:path arrowok="t"/>
            </v:shape>
            <v:shape id="_x0000_s1117" style="position:absolute;left:5580;top:8035;width:3013;height:665" coordsize="1236,324" path="m1236,hdc887,310,365,324,,32e" filled="f" strokeweight=".25pt">
              <v:stroke endcap="round"/>
              <v:path arrowok="t"/>
            </v:shape>
            <v:shape id="_x0000_s1118" style="position:absolute;left:5505;top:8035;width:136;height:119" coordsize="62,58" path="m25,58l,,62,15,25,58xe" fillcolor="black" stroked="f">
              <v:path arrowok="t"/>
            </v:shape>
            <v:shape id="_x0000_s1119" style="position:absolute;left:9180;top:6891;width:1145;height:1662;flip:x" coordsize="711,815" path="m711,599hdc606,766,384,815,217,710,50,604,,383,106,216,212,49,433,,601,105v32,21,61,47,85,76e" filled="f" strokeweight=".25pt">
              <v:stroke endcap="round"/>
              <v:path arrowok="t"/>
            </v:shape>
            <v:shape id="_x0000_s1120" style="position:absolute;left:9180;top:7101;width:180;height:180;flip:x" coordsize="178,198" path="m178,198l,105hdc63,94,116,56,146,hal146,r32,198xe" fillcolor="black" strokeweight="0">
              <v:path arrowok="t"/>
            </v:shape>
            <v:oval id="_x0000_s1121" style="position:absolute;left:7560;top:10311;width:1320;height:719;v-text-anchor:middle" filled="f" fillcolor="#bbe0e3">
              <v:textbox style="mso-next-textbox:#_x0000_s1121">
                <w:txbxContent>
                  <w:p w:rsidR="00DB6E8E" w:rsidRDefault="00DB6E8E" w:rsidP="005D3689">
                    <w:pPr>
                      <w:autoSpaceDE w:val="0"/>
                      <w:autoSpaceDN w:val="0"/>
                      <w:adjustRightInd w:val="0"/>
                      <w:jc w:val="center"/>
                      <w:rPr>
                        <w:color w:val="000000"/>
                      </w:rPr>
                    </w:pPr>
                    <w:r>
                      <w:rPr>
                        <w:color w:val="000000"/>
                      </w:rPr>
                      <w:t>Awake</w:t>
                    </w:r>
                  </w:p>
                </w:txbxContent>
              </v:textbox>
            </v:oval>
            <v:oval id="_x0000_s1122" style="position:absolute;left:10140;top:10191;width:1020;height:719;v-text-anchor:middle" filled="f" fillcolor="#bbe0e3">
              <v:textbox style="mso-next-textbox:#_x0000_s1122">
                <w:txbxContent>
                  <w:p w:rsidR="00DB6E8E" w:rsidRDefault="00DB6E8E" w:rsidP="005D3689">
                    <w:pPr>
                      <w:autoSpaceDE w:val="0"/>
                      <w:autoSpaceDN w:val="0"/>
                      <w:adjustRightInd w:val="0"/>
                      <w:jc w:val="center"/>
                      <w:rPr>
                        <w:color w:val="000000"/>
                      </w:rPr>
                    </w:pPr>
                    <w:r>
                      <w:rPr>
                        <w:color w:val="000000"/>
                      </w:rPr>
                      <w:t>Doze</w:t>
                    </w:r>
                  </w:p>
                </w:txbxContent>
              </v:textbox>
            </v:oval>
            <v:shape id="_x0000_s1123" type="#_x0000_t38" style="position:absolute;left:9375;top:9036;width:120;height:2430;rotation:270" o:connectortype="curved" adj="86400,-48000,-1220400">
              <v:stroke endarrow="block"/>
            </v:shape>
            <v:shape id="_x0000_s1124" type="#_x0000_t38" style="position:absolute;left:9375;top:9755;width:120;height:2430;rotation:90" o:connectortype="curved" adj="86220,-53324,-1657800">
              <v:stroke endarrow="block"/>
            </v:shape>
            <v:shape id="_x0000_s1125" type="#_x0000_t202" style="position:absolute;left:7380;top:9246;width:4140;height:690;v-text-anchor:top-baseline" filled="f" fillcolor="#bbe0e3" stroked="f">
              <v:textbox style="mso-next-textbox:#_x0000_s1125">
                <w:txbxContent>
                  <w:p w:rsidR="00DB6E8E" w:rsidRPr="0072680F" w:rsidRDefault="00DB6E8E" w:rsidP="005D3689">
                    <w:pPr>
                      <w:autoSpaceDE w:val="0"/>
                      <w:autoSpaceDN w:val="0"/>
                      <w:adjustRightInd w:val="0"/>
                      <w:rPr>
                        <w:color w:val="000000"/>
                        <w:sz w:val="20"/>
                      </w:rPr>
                    </w:pPr>
                    <w:r w:rsidRPr="0072680F">
                      <w:rPr>
                        <w:color w:val="000000"/>
                        <w:sz w:val="20"/>
                      </w:rPr>
                      <w:t xml:space="preserve">Start of the first doze BI </w:t>
                    </w:r>
                    <w:r>
                      <w:rPr>
                        <w:color w:val="000000"/>
                        <w:sz w:val="20"/>
                      </w:rPr>
                      <w:t xml:space="preserve">(or) </w:t>
                    </w:r>
                    <w:r w:rsidRPr="0072680F">
                      <w:rPr>
                        <w:color w:val="000000"/>
                        <w:sz w:val="20"/>
                      </w:rPr>
                      <w:t xml:space="preserve">as per the power management state in </w:t>
                    </w:r>
                    <w:r>
                      <w:rPr>
                        <w:color w:val="000000"/>
                        <w:sz w:val="20"/>
                      </w:rPr>
                      <w:t xml:space="preserve">an </w:t>
                    </w:r>
                    <w:r w:rsidRPr="0072680F">
                      <w:rPr>
                        <w:color w:val="000000"/>
                        <w:sz w:val="20"/>
                      </w:rPr>
                      <w:t>awake BI</w:t>
                    </w:r>
                    <w:r>
                      <w:rPr>
                        <w:color w:val="000000"/>
                        <w:sz w:val="20"/>
                      </w:rPr>
                      <w:t>s</w:t>
                    </w:r>
                  </w:p>
                </w:txbxContent>
              </v:textbox>
            </v:shape>
            <v:shape id="_x0000_s1126" type="#_x0000_t202" style="position:absolute;left:7455;top:11301;width:4320;height:630;v-text-anchor:top-baseline" filled="f" fillcolor="#bbe0e3" stroked="f">
              <v:textbox style="mso-next-textbox:#_x0000_s1126">
                <w:txbxContent>
                  <w:p w:rsidR="00DB6E8E" w:rsidRPr="0072680F" w:rsidRDefault="00DB6E8E" w:rsidP="005D3689">
                    <w:pPr>
                      <w:autoSpaceDE w:val="0"/>
                      <w:autoSpaceDN w:val="0"/>
                      <w:adjustRightInd w:val="0"/>
                      <w:rPr>
                        <w:color w:val="000000"/>
                        <w:sz w:val="20"/>
                      </w:rPr>
                    </w:pPr>
                    <w:r w:rsidRPr="0072680F">
                      <w:rPr>
                        <w:color w:val="000000"/>
                        <w:sz w:val="20"/>
                      </w:rPr>
                      <w:t xml:space="preserve">Beginning of the awake BI </w:t>
                    </w:r>
                    <w:r>
                      <w:rPr>
                        <w:color w:val="000000"/>
                        <w:sz w:val="20"/>
                      </w:rPr>
                      <w:t xml:space="preserve">(or) </w:t>
                    </w:r>
                    <w:r w:rsidRPr="0072680F">
                      <w:rPr>
                        <w:color w:val="000000"/>
                        <w:sz w:val="20"/>
                      </w:rPr>
                      <w:t>as per the power management state in awake BI</w:t>
                    </w:r>
                    <w:r>
                      <w:rPr>
                        <w:color w:val="000000"/>
                        <w:sz w:val="20"/>
                      </w:rPr>
                      <w:t>s</w:t>
                    </w:r>
                  </w:p>
                </w:txbxContent>
              </v:textbox>
            </v:shape>
            <v:roundrect id="_x0000_s1127" style="position:absolute;left:7261;top:8991;width:4559;height:3000;v-text-anchor:middle" arcsize="19233f" filled="f" fillcolor="#bbe0e3">
              <v:stroke dashstyle="dash"/>
            </v:roundrect>
            <v:line id="_x0000_s1128" style="position:absolute;flip:x" from="7620,8151" to="8581,9111">
              <v:stroke dashstyle="dash"/>
            </v:line>
            <v:line id="_x0000_s1129" style="position:absolute" from="9300,8031" to="11460,9111">
              <v:stroke dashstyle="dash"/>
            </v:line>
            <v:shape id="_x0000_s1130" type="#_x0000_t202" style="position:absolute;left:10080;top:7071;width:2160;height:1141" filled="f" fillcolor="#bbe0e3" stroked="f">
              <v:textbox style="mso-next-textbox:#_x0000_s1130">
                <w:txbxContent>
                  <w:p w:rsidR="00DB6E8E" w:rsidRPr="002D0A96" w:rsidRDefault="00DB6E8E" w:rsidP="005D3689">
                    <w:pPr>
                      <w:rPr>
                        <w:sz w:val="20"/>
                      </w:rPr>
                    </w:pPr>
                    <w:r w:rsidRPr="002D0A96">
                      <w:rPr>
                        <w:sz w:val="20"/>
                      </w:rPr>
                      <w:t>Wakeup Schedule IE in mmWave Beacon or Announce frames</w:t>
                    </w:r>
                  </w:p>
                </w:txbxContent>
              </v:textbox>
            </v:shape>
            <v:shape id="_x0000_s1131" type="#_x0000_t202" style="position:absolute;left:5730;top:7776;width:2730;height:900" filled="f" fillcolor="#bbe0e3" stroked="f">
              <v:textbox style="mso-next-textbox:#_x0000_s1131">
                <w:txbxContent>
                  <w:p w:rsidR="00DB6E8E" w:rsidRPr="00062CFA" w:rsidRDefault="00DB6E8E" w:rsidP="005D3689">
                    <w:pPr>
                      <w:jc w:val="center"/>
                      <w:rPr>
                        <w:sz w:val="20"/>
                      </w:rPr>
                    </w:pPr>
                    <w:r w:rsidRPr="00062CFA">
                      <w:rPr>
                        <w:sz w:val="20"/>
                      </w:rPr>
                      <w:t>No Wake</w:t>
                    </w:r>
                    <w:r>
                      <w:rPr>
                        <w:sz w:val="20"/>
                      </w:rPr>
                      <w:t>up Schedule IE in mmWave Beacon or Announce frames</w:t>
                    </w:r>
                  </w:p>
                </w:txbxContent>
              </v:textbox>
            </v:shape>
            <v:shape id="_x0000_s1132" type="#_x0000_t202" style="position:absolute;left:5325;top:6006;width:4440;height:720" filled="f" fillcolor="#bbe0e3" stroked="f">
              <v:textbox style="mso-next-textbox:#_x0000_s1132">
                <w:txbxContent>
                  <w:p w:rsidR="00DB6E8E" w:rsidRPr="00062CFA" w:rsidRDefault="00DB6E8E" w:rsidP="005D3689">
                    <w:pPr>
                      <w:rPr>
                        <w:sz w:val="20"/>
                      </w:rPr>
                    </w:pPr>
                    <w:r w:rsidRPr="00062CFA">
                      <w:rPr>
                        <w:sz w:val="20"/>
                      </w:rPr>
                      <w:t>Wakeup Schedule IE i</w:t>
                    </w:r>
                    <w:r>
                      <w:rPr>
                        <w:sz w:val="20"/>
                      </w:rPr>
                      <w:t>n mmWave Beacon or Announce frames &amp; Start of the first doze BI</w:t>
                    </w:r>
                  </w:p>
                </w:txbxContent>
              </v:textbox>
            </v:shape>
            <v:roundrect id="_x0000_s1133" style="position:absolute;left:2700;top:8961;width:4559;height:3000;v-text-anchor:middle" arcsize="19233f" filled="f" fillcolor="#bbe0e3">
              <v:stroke dashstyle="dash"/>
            </v:roundrect>
            <v:shape id="_x0000_s1134" type="#_x0000_t202" style="position:absolute;left:2865;top:9291;width:4155;height:300;v-text-anchor:top-baseline" filled="f" fillcolor="#bbe0e3" stroked="f">
              <v:textbox style="mso-next-textbox:#_x0000_s1134" inset="0,0,0,0">
                <w:txbxContent>
                  <w:p w:rsidR="00DB6E8E" w:rsidRPr="00100848" w:rsidRDefault="00DB6E8E" w:rsidP="005D3689">
                    <w:pPr>
                      <w:autoSpaceDE w:val="0"/>
                      <w:autoSpaceDN w:val="0"/>
                      <w:adjustRightInd w:val="0"/>
                      <w:jc w:val="center"/>
                      <w:rPr>
                        <w:color w:val="000000"/>
                        <w:sz w:val="20"/>
                      </w:rPr>
                    </w:pPr>
                    <w:r>
                      <w:rPr>
                        <w:color w:val="000000"/>
                        <w:sz w:val="20"/>
                      </w:rPr>
                      <w:t xml:space="preserve">As per power management state in an Awake BIs </w:t>
                    </w:r>
                  </w:p>
                </w:txbxContent>
              </v:textbox>
            </v:shape>
            <v:oval id="_x0000_s1135" style="position:absolute;left:2880;top:10131;width:1320;height:719;v-text-anchor:middle" filled="f" fillcolor="#bbe0e3">
              <v:textbox style="mso-next-textbox:#_x0000_s1135">
                <w:txbxContent>
                  <w:p w:rsidR="00DB6E8E" w:rsidRDefault="00DB6E8E" w:rsidP="005D3689">
                    <w:pPr>
                      <w:autoSpaceDE w:val="0"/>
                      <w:autoSpaceDN w:val="0"/>
                      <w:adjustRightInd w:val="0"/>
                      <w:jc w:val="center"/>
                      <w:rPr>
                        <w:color w:val="000000"/>
                      </w:rPr>
                    </w:pPr>
                    <w:r>
                      <w:rPr>
                        <w:color w:val="000000"/>
                      </w:rPr>
                      <w:t>Awake</w:t>
                    </w:r>
                  </w:p>
                </w:txbxContent>
              </v:textbox>
            </v:oval>
            <v:oval id="_x0000_s1136" style="position:absolute;left:5460;top:10011;width:1020;height:719;v-text-anchor:middle" filled="f" fillcolor="#bbe0e3">
              <v:textbox style="mso-next-textbox:#_x0000_s1136">
                <w:txbxContent>
                  <w:p w:rsidR="00DB6E8E" w:rsidRDefault="00DB6E8E" w:rsidP="005D3689">
                    <w:pPr>
                      <w:autoSpaceDE w:val="0"/>
                      <w:autoSpaceDN w:val="0"/>
                      <w:adjustRightInd w:val="0"/>
                      <w:jc w:val="center"/>
                      <w:rPr>
                        <w:color w:val="000000"/>
                      </w:rPr>
                    </w:pPr>
                    <w:r>
                      <w:rPr>
                        <w:color w:val="000000"/>
                      </w:rPr>
                      <w:t>Doze</w:t>
                    </w:r>
                  </w:p>
                </w:txbxContent>
              </v:textbox>
            </v:oval>
            <v:shape id="_x0000_s1137" type="#_x0000_t38" style="position:absolute;left:4695;top:8856;width:120;height:2430;rotation:270" o:connectortype="curved" adj="86400,-48000,-1350000">
              <v:stroke endarrow="block"/>
            </v:shape>
            <v:shape id="_x0000_s1138" type="#_x0000_t38" style="position:absolute;left:4695;top:9575;width:120;height:2430;rotation:90" o:connectortype="curved" adj="86220,-53324,-1787400">
              <v:stroke endarrow="block"/>
            </v:shape>
            <v:shape id="_x0000_s1139" type="#_x0000_t202" style="position:absolute;left:8640;top:9951;width:1620;height:360;v-text-anchor:top-baseline" stroked="f">
              <v:textbox style="mso-next-textbox:#_x0000_s1139" inset="0,0,0,0">
                <w:txbxContent>
                  <w:p w:rsidR="00DB6E8E" w:rsidRPr="0072680F" w:rsidRDefault="00DB6E8E" w:rsidP="005D3689">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shape id="_x0000_s1140" type="#_x0000_t202" style="position:absolute;left:3960;top:9771;width:1620;height:360;v-text-anchor:top-baseline" stroked="f">
              <v:textbox style="mso-next-textbox:#_x0000_s1140" inset="0,0,0,0">
                <w:txbxContent>
                  <w:p w:rsidR="00DB6E8E" w:rsidRPr="0072680F" w:rsidRDefault="00DB6E8E" w:rsidP="005D3689">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line id="_x0000_s1141" style="position:absolute;flip:x" from="2880,7611" to="4921,9231">
              <v:stroke dashstyle="dash"/>
            </v:line>
            <v:line id="_x0000_s1142" style="position:absolute" from="5760,7791" to="7020,9231">
              <v:stroke dashstyle="dash"/>
            </v:line>
            <v:shape id="_x0000_s1143" type="#_x0000_t202" style="position:absolute;left:2880;top:11211;width:4155;height:300;v-text-anchor:top-baseline" filled="f" fillcolor="#bbe0e3" stroked="f">
              <v:textbox style="mso-next-textbox:#_x0000_s1143" inset="0,0,0,0">
                <w:txbxContent>
                  <w:p w:rsidR="00DB6E8E" w:rsidRPr="00100848" w:rsidRDefault="00DB6E8E" w:rsidP="005D3689">
                    <w:pPr>
                      <w:autoSpaceDE w:val="0"/>
                      <w:autoSpaceDN w:val="0"/>
                      <w:adjustRightInd w:val="0"/>
                      <w:jc w:val="center"/>
                      <w:rPr>
                        <w:color w:val="000000"/>
                        <w:sz w:val="20"/>
                      </w:rPr>
                    </w:pPr>
                    <w:r>
                      <w:rPr>
                        <w:color w:val="000000"/>
                        <w:sz w:val="20"/>
                      </w:rPr>
                      <w:t xml:space="preserve">As per power management state in an Awake BIs </w:t>
                    </w:r>
                  </w:p>
                </w:txbxContent>
              </v:textbox>
            </v:shape>
          </v:group>
        </w:pict>
      </w:r>
      <w:r w:rsidRPr="00BD151C">
        <w:rPr>
          <w:rFonts w:eastAsia="MS Mincho"/>
          <w:sz w:val="23"/>
        </w:rPr>
        <w:pict>
          <v:shape id="_x0000_i1078" type="#_x0000_t75" style="width:486.8pt;height:325.6pt">
            <v:imagedata croptop="-65520f" cropbottom="65520f"/>
          </v:shape>
        </w:pict>
      </w:r>
    </w:p>
    <w:p w:rsidR="00722EB9" w:rsidRPr="00066F65" w:rsidRDefault="00D80A3C" w:rsidP="00BA5BC4">
      <w:pPr>
        <w:pStyle w:val="Caption"/>
      </w:pPr>
      <w:bookmarkStart w:id="2315" w:name="_Ref236556498"/>
      <w:bookmarkStart w:id="2316" w:name="_Toc259717550"/>
      <w:r w:rsidRPr="00066F65">
        <w:t xml:space="preserve">Figure </w:t>
      </w:r>
      <w:r w:rsidR="00BD151C">
        <w:fldChar w:fldCharType="begin"/>
      </w:r>
      <w:r w:rsidR="00801316">
        <w:instrText xml:space="preserve"> SEQ Figure \* ARABIC </w:instrText>
      </w:r>
      <w:r w:rsidR="00BD151C">
        <w:fldChar w:fldCharType="separate"/>
      </w:r>
      <w:r w:rsidR="003E4210">
        <w:rPr>
          <w:noProof/>
        </w:rPr>
        <w:t>118</w:t>
      </w:r>
      <w:r w:rsidR="00BD151C">
        <w:fldChar w:fldCharType="end"/>
      </w:r>
      <w:bookmarkEnd w:id="2315"/>
      <w:r w:rsidR="00B64377" w:rsidRPr="00066F65">
        <w:t xml:space="preserve"> – </w:t>
      </w:r>
      <w:r w:rsidR="00722EB9" w:rsidRPr="00066F65">
        <w:t>State Transition Diagram of PCP Power Management Mode</w:t>
      </w:r>
      <w:bookmarkEnd w:id="2316"/>
    </w:p>
    <w:p w:rsidR="00E86923" w:rsidRPr="009448FC" w:rsidRDefault="00E86923" w:rsidP="0004091F">
      <w:pPr>
        <w:autoSpaceDE w:val="0"/>
        <w:autoSpaceDN w:val="0"/>
        <w:adjustRightInd w:val="0"/>
        <w:jc w:val="both"/>
      </w:pPr>
    </w:p>
    <w:p w:rsidR="008C36FC" w:rsidRPr="009448FC" w:rsidRDefault="00823A4D" w:rsidP="00E97199">
      <w:pPr>
        <w:autoSpaceDE w:val="0"/>
        <w:autoSpaceDN w:val="0"/>
        <w:adjustRightInd w:val="0"/>
      </w:pPr>
      <w:r w:rsidRPr="009448FC">
        <w:t xml:space="preserve">To enter PS mode, the </w:t>
      </w:r>
      <w:r w:rsidR="008C36FC" w:rsidRPr="009448FC">
        <w:t xml:space="preserve">PCP shall announce the start of the first PCP doze </w:t>
      </w:r>
      <w:r w:rsidR="002D58EB" w:rsidRPr="009448FC">
        <w:t>BI</w:t>
      </w:r>
      <w:r w:rsidR="008C36FC" w:rsidRPr="009448FC">
        <w:t xml:space="preserve"> and the length of the PCP sleep interval </w:t>
      </w:r>
      <w:r w:rsidRPr="009448FC">
        <w:t xml:space="preserve">through the </w:t>
      </w:r>
      <w:r w:rsidR="00E97199" w:rsidRPr="009448FC">
        <w:t xml:space="preserve">Wakeup schedule element </w:t>
      </w:r>
      <w:r w:rsidR="005476C3">
        <w:t>(</w:t>
      </w:r>
      <w:r w:rsidR="00BD151C" w:rsidRPr="009448FC">
        <w:fldChar w:fldCharType="begin"/>
      </w:r>
      <w:r w:rsidR="00E97199" w:rsidRPr="009448FC">
        <w:instrText xml:space="preserve"> REF _Ref244244883 \r \h </w:instrText>
      </w:r>
      <w:r w:rsidR="00BD151C" w:rsidRPr="009448FC">
        <w:fldChar w:fldCharType="separate"/>
      </w:r>
      <w:r w:rsidR="003E4210">
        <w:t>7.3.2.94</w:t>
      </w:r>
      <w:r w:rsidR="00BD151C" w:rsidRPr="009448FC">
        <w:fldChar w:fldCharType="end"/>
      </w:r>
      <w:r w:rsidR="00A86ED3" w:rsidRPr="009448FC">
        <w:t>)</w:t>
      </w:r>
      <w:r w:rsidR="00E97199" w:rsidRPr="009448FC">
        <w:t xml:space="preserve"> </w:t>
      </w:r>
      <w:r w:rsidRPr="009448FC">
        <w:t>and include this element within</w:t>
      </w:r>
      <w:r w:rsidR="008C36FC" w:rsidRPr="009448FC">
        <w:t xml:space="preserve"> </w:t>
      </w:r>
      <w:r w:rsidR="002D58EB" w:rsidRPr="009448FC">
        <w:t xml:space="preserve">mmWave Beacon </w:t>
      </w:r>
      <w:r w:rsidR="008C36FC" w:rsidRPr="009448FC">
        <w:t xml:space="preserve">or </w:t>
      </w:r>
      <w:r w:rsidR="002D58EB" w:rsidRPr="009448FC">
        <w:t>A</w:t>
      </w:r>
      <w:r w:rsidR="008C36FC" w:rsidRPr="009448FC">
        <w:t>nnounce frame</w:t>
      </w:r>
      <w:r w:rsidR="002D58EB" w:rsidRPr="009448FC">
        <w:t>s</w:t>
      </w:r>
      <w:r w:rsidR="008C36FC" w:rsidRPr="009448FC">
        <w:t>.</w:t>
      </w:r>
      <w:r w:rsidR="00BE1F31">
        <w:t xml:space="preserve"> </w:t>
      </w:r>
      <w:r w:rsidR="00713F5E">
        <w:t>I</w:t>
      </w:r>
      <w:r w:rsidR="008C36FC" w:rsidRPr="009448FC">
        <w:t xml:space="preserve">t shall be transmitted at least </w:t>
      </w:r>
      <w:r w:rsidR="004D1A1B">
        <w:t>dot11MaxLostBeacons</w:t>
      </w:r>
      <w:r w:rsidR="00475A8C" w:rsidRPr="009448FC">
        <w:t xml:space="preserve"> </w:t>
      </w:r>
      <w:r w:rsidR="008C36FC" w:rsidRPr="009448FC">
        <w:t xml:space="preserve">times before the PCP goes into </w:t>
      </w:r>
      <w:r w:rsidR="002D58EB" w:rsidRPr="009448FC">
        <w:t>PS</w:t>
      </w:r>
      <w:r w:rsidR="008C36FC" w:rsidRPr="009448FC">
        <w:t xml:space="preserve"> mode.</w:t>
      </w:r>
      <w:r w:rsidR="00475A8C" w:rsidRPr="009448FC">
        <w:t xml:space="preserve"> </w:t>
      </w:r>
      <w:r w:rsidR="008C36FC" w:rsidRPr="009448FC">
        <w:t xml:space="preserve">The PCP enters </w:t>
      </w:r>
      <w:r w:rsidR="002D58EB" w:rsidRPr="009448FC">
        <w:t>PS</w:t>
      </w:r>
      <w:r w:rsidR="008C36FC" w:rsidRPr="009448FC">
        <w:t xml:space="preserve"> mode at the start of the first PCP doze </w:t>
      </w:r>
      <w:r w:rsidRPr="009448FC">
        <w:t>BI</w:t>
      </w:r>
      <w:r w:rsidR="008C36FC" w:rsidRPr="009448FC">
        <w:t>.</w:t>
      </w:r>
      <w:r w:rsidR="00F366E1" w:rsidRPr="009448FC">
        <w:t xml:space="preserve"> </w:t>
      </w:r>
      <w:r w:rsidR="002A375C" w:rsidRPr="009448FC">
        <w:t>Following the transition from PS</w:t>
      </w:r>
      <w:r w:rsidR="008C36FC" w:rsidRPr="009448FC">
        <w:t xml:space="preserve"> mode to active mode, the PCP shall </w:t>
      </w:r>
      <w:r w:rsidR="002A375C" w:rsidRPr="009448FC">
        <w:t xml:space="preserve">stop including </w:t>
      </w:r>
      <w:r w:rsidR="006D22FC" w:rsidRPr="009448FC">
        <w:t xml:space="preserve">Wakeup schedule </w:t>
      </w:r>
      <w:r w:rsidR="00877796" w:rsidRPr="009448FC">
        <w:t>element</w:t>
      </w:r>
      <w:r w:rsidR="002A375C" w:rsidRPr="009448FC">
        <w:t>s</w:t>
      </w:r>
      <w:r w:rsidR="008C36FC" w:rsidRPr="009448FC">
        <w:t xml:space="preserve"> in </w:t>
      </w:r>
      <w:r w:rsidR="002A375C" w:rsidRPr="009448FC">
        <w:t>mmWave Beacon and A</w:t>
      </w:r>
      <w:r w:rsidR="008C36FC" w:rsidRPr="009448FC">
        <w:t>nnounce frame</w:t>
      </w:r>
      <w:r w:rsidR="00281486" w:rsidRPr="009448FC">
        <w:t>s</w:t>
      </w:r>
      <w:r w:rsidR="008C36FC" w:rsidRPr="009448FC">
        <w:t>.</w:t>
      </w:r>
    </w:p>
    <w:p w:rsidR="008C36FC" w:rsidRPr="009448FC" w:rsidRDefault="008C36FC" w:rsidP="000579CA">
      <w:pPr>
        <w:autoSpaceDE w:val="0"/>
        <w:autoSpaceDN w:val="0"/>
        <w:adjustRightInd w:val="0"/>
      </w:pPr>
    </w:p>
    <w:p w:rsidR="008C36FC" w:rsidRPr="009448FC" w:rsidRDefault="003A4193" w:rsidP="003A4193">
      <w:pPr>
        <w:autoSpaceDE w:val="0"/>
        <w:autoSpaceDN w:val="0"/>
        <w:adjustRightInd w:val="0"/>
      </w:pPr>
      <w:r w:rsidRPr="009448FC">
        <w:t xml:space="preserve">The PCP may include in the Extended Schedule </w:t>
      </w:r>
      <w:r w:rsidR="00877796" w:rsidRPr="009448FC">
        <w:t>element</w:t>
      </w:r>
      <w:r w:rsidRPr="009448FC">
        <w:t xml:space="preserve"> the schedule for the BIs during the PCP doze BIs, which is done through the Allocation Start field in the Extended Schedule </w:t>
      </w:r>
      <w:r w:rsidR="00877796" w:rsidRPr="009448FC">
        <w:t>element</w:t>
      </w:r>
      <w:r w:rsidR="008C36FC" w:rsidRPr="009448FC">
        <w:t xml:space="preserve">. If the </w:t>
      </w:r>
      <w:r w:rsidR="006A2966" w:rsidRPr="009448FC">
        <w:t>Extended Schedule</w:t>
      </w:r>
      <w:r w:rsidR="00F366E1" w:rsidRPr="009448FC">
        <w:t xml:space="preserve"> </w:t>
      </w:r>
      <w:r w:rsidR="00877796" w:rsidRPr="009448FC">
        <w:t>element</w:t>
      </w:r>
      <w:r w:rsidR="00230685">
        <w:t xml:space="preserve"> is transmitted</w:t>
      </w:r>
      <w:r w:rsidR="008C36FC" w:rsidRPr="009448FC">
        <w:t xml:space="preserve">, the PCP shall transmit it at least </w:t>
      </w:r>
      <w:r w:rsidR="004D1A1B">
        <w:t>dot11MaxLostBeacons</w:t>
      </w:r>
      <w:r w:rsidR="00475A8C" w:rsidRPr="009448FC">
        <w:t xml:space="preserve"> </w:t>
      </w:r>
      <w:r w:rsidR="008C36FC" w:rsidRPr="009448FC">
        <w:t>times</w:t>
      </w:r>
      <w:r w:rsidR="008C36FC" w:rsidRPr="009448FC" w:rsidDel="00D15704">
        <w:t xml:space="preserve"> </w:t>
      </w:r>
      <w:r w:rsidR="008C36FC" w:rsidRPr="009448FC">
        <w:t xml:space="preserve">before the PPS PCP enters the </w:t>
      </w:r>
      <w:r w:rsidR="000C6959">
        <w:t>D</w:t>
      </w:r>
      <w:r w:rsidR="008C36FC" w:rsidRPr="009448FC">
        <w:t>oze state.</w:t>
      </w:r>
    </w:p>
    <w:p w:rsidR="008C36FC" w:rsidRPr="009448FC" w:rsidRDefault="008C36FC" w:rsidP="000579CA">
      <w:pPr>
        <w:autoSpaceDE w:val="0"/>
        <w:autoSpaceDN w:val="0"/>
        <w:adjustRightInd w:val="0"/>
      </w:pPr>
    </w:p>
    <w:p w:rsidR="008C36FC" w:rsidRPr="009448FC" w:rsidRDefault="003A4193" w:rsidP="000579CA">
      <w:pPr>
        <w:autoSpaceDE w:val="0"/>
        <w:autoSpaceDN w:val="0"/>
        <w:adjustRightInd w:val="0"/>
      </w:pPr>
      <w:r w:rsidRPr="009448FC">
        <w:t xml:space="preserve">The PCP shall ensure that the schedule of pseudo-static allocations transmitted in the last Extended Schedule </w:t>
      </w:r>
      <w:r w:rsidR="00877796" w:rsidRPr="009448FC">
        <w:t>element</w:t>
      </w:r>
      <w:r w:rsidRPr="009448FC">
        <w:t xml:space="preserve"> before the PCP entered PS mode is valid during the PCP doze BIs. Thus, a STA participating in such pseudo-static allocation shall assume that the allocation is present during PCP doze BIs. </w:t>
      </w:r>
    </w:p>
    <w:p w:rsidR="008C36FC" w:rsidRPr="009448FC" w:rsidRDefault="008C36FC" w:rsidP="000579CA">
      <w:pPr>
        <w:autoSpaceDE w:val="0"/>
        <w:autoSpaceDN w:val="0"/>
        <w:adjustRightInd w:val="0"/>
      </w:pPr>
    </w:p>
    <w:p w:rsidR="008C36FC" w:rsidRPr="009448FC" w:rsidRDefault="008C36FC" w:rsidP="007B65D0">
      <w:pPr>
        <w:autoSpaceDE w:val="0"/>
        <w:autoSpaceDN w:val="0"/>
        <w:adjustRightInd w:val="0"/>
      </w:pPr>
      <w:r w:rsidRPr="009448FC">
        <w:t xml:space="preserve">The PCP </w:t>
      </w:r>
      <w:r w:rsidR="003A4193" w:rsidRPr="009448FC">
        <w:t xml:space="preserve">may enter and remain in the </w:t>
      </w:r>
      <w:r w:rsidR="000C6959">
        <w:t>D</w:t>
      </w:r>
      <w:r w:rsidR="003A4193" w:rsidRPr="009448FC">
        <w:t>oze state for any portion of an SP</w:t>
      </w:r>
      <w:r w:rsidRPr="009448FC">
        <w:t xml:space="preserve"> if it is not a source or a destination of the SP. The PCP </w:t>
      </w:r>
      <w:r w:rsidR="007B64CA" w:rsidRPr="009448FC">
        <w:t xml:space="preserve">should </w:t>
      </w:r>
      <w:r w:rsidR="003A4193" w:rsidRPr="009448FC">
        <w:t xml:space="preserve">enter and remain in the </w:t>
      </w:r>
      <w:r w:rsidR="00A239D4">
        <w:t>A</w:t>
      </w:r>
      <w:r w:rsidR="003A4193" w:rsidRPr="009448FC">
        <w:t xml:space="preserve">wake state for any portion of a </w:t>
      </w:r>
      <w:r w:rsidR="00A86ED3" w:rsidRPr="009448FC">
        <w:t xml:space="preserve">truncatable </w:t>
      </w:r>
      <w:r w:rsidR="007B65D0" w:rsidRPr="009448FC">
        <w:t xml:space="preserve">or extendable SP </w:t>
      </w:r>
      <w:r w:rsidR="00A86ED3" w:rsidRPr="009448FC">
        <w:t>(</w:t>
      </w:r>
      <w:r w:rsidR="00BD151C" w:rsidRPr="009448FC">
        <w:fldChar w:fldCharType="begin"/>
      </w:r>
      <w:r w:rsidR="00A86ED3" w:rsidRPr="009448FC">
        <w:instrText xml:space="preserve"> REF _Ref244245043 \r \h </w:instrText>
      </w:r>
      <w:r w:rsidR="00BD151C" w:rsidRPr="009448FC">
        <w:fldChar w:fldCharType="separate"/>
      </w:r>
      <w:r w:rsidR="003E4210">
        <w:t>7.3.2.95</w:t>
      </w:r>
      <w:r w:rsidR="00BD151C" w:rsidRPr="009448FC">
        <w:fldChar w:fldCharType="end"/>
      </w:r>
      <w:r w:rsidR="00A86ED3" w:rsidRPr="009448FC">
        <w:t>)</w:t>
      </w:r>
      <w:r w:rsidR="00D513AF" w:rsidRPr="009448FC">
        <w:t xml:space="preserve">. </w:t>
      </w:r>
      <w:r w:rsidRPr="009448FC">
        <w:t xml:space="preserve">The availability of the PCP during a CBP in the </w:t>
      </w:r>
      <w:r w:rsidR="00355B34">
        <w:t>A</w:t>
      </w:r>
      <w:r w:rsidRPr="009448FC">
        <w:t xml:space="preserve">wake BI shall be announced </w:t>
      </w:r>
      <w:r w:rsidR="002D58EB" w:rsidRPr="009448FC">
        <w:t>by setting the PCP Active subfield within the Allocation Control field to one for a CBP allocation made t</w:t>
      </w:r>
      <w:r w:rsidR="00F366E1" w:rsidRPr="009448FC">
        <w:t xml:space="preserve">hrough the Extended Schedule </w:t>
      </w:r>
      <w:r w:rsidR="00877796" w:rsidRPr="009448FC">
        <w:t>element</w:t>
      </w:r>
      <w:r w:rsidRPr="009448FC">
        <w:t xml:space="preserve">. </w:t>
      </w:r>
    </w:p>
    <w:p w:rsidR="008C36FC" w:rsidRPr="009448FC" w:rsidRDefault="008C36FC" w:rsidP="0004091F">
      <w:pPr>
        <w:autoSpaceDE w:val="0"/>
        <w:autoSpaceDN w:val="0"/>
        <w:adjustRightInd w:val="0"/>
        <w:jc w:val="both"/>
      </w:pPr>
    </w:p>
    <w:p w:rsidR="008C36FC" w:rsidRPr="009448FC" w:rsidRDefault="00BD151C" w:rsidP="007B64CA">
      <w:pPr>
        <w:autoSpaceDE w:val="0"/>
        <w:autoSpaceDN w:val="0"/>
        <w:adjustRightInd w:val="0"/>
        <w:jc w:val="both"/>
      </w:pPr>
      <w:r w:rsidRPr="009448FC">
        <w:fldChar w:fldCharType="begin"/>
      </w:r>
      <w:r w:rsidR="00551FD9" w:rsidRPr="009448FC">
        <w:instrText xml:space="preserve"> REF _Ref236478372 \h </w:instrText>
      </w:r>
      <w:r w:rsidRPr="009448FC">
        <w:fldChar w:fldCharType="separate"/>
      </w:r>
      <w:r w:rsidR="003E4210" w:rsidRPr="009448FC">
        <w:t xml:space="preserve">Figure </w:t>
      </w:r>
      <w:r w:rsidR="003E4210">
        <w:rPr>
          <w:noProof/>
        </w:rPr>
        <w:t>119</w:t>
      </w:r>
      <w:r w:rsidRPr="009448FC">
        <w:fldChar w:fldCharType="end"/>
      </w:r>
      <w:r w:rsidR="008C36FC" w:rsidRPr="009448FC">
        <w:t xml:space="preserve"> shows an example of the basic operation of a PCP in PPS mode when the PCP sleep interval equals one BI </w:t>
      </w:r>
      <w:r w:rsidR="00363A28" w:rsidRPr="009448FC">
        <w:t>(i.e., PCP sleeps every other BI)</w:t>
      </w:r>
      <w:r w:rsidR="00475A8C" w:rsidRPr="009448FC">
        <w:t xml:space="preserve"> </w:t>
      </w:r>
      <w:r w:rsidR="008C36FC" w:rsidRPr="009448FC">
        <w:t xml:space="preserve">and the PCP sleep interval starts right after the first BI. </w:t>
      </w:r>
      <w:r w:rsidR="00C60BC1" w:rsidRPr="009448FC">
        <w:t xml:space="preserve">In this example, the first BI and the second BI have the same schedule, but the third BI and the fourth BI have different schedules. </w:t>
      </w:r>
      <w:r w:rsidR="008C36FC" w:rsidRPr="009448FC">
        <w:t xml:space="preserve">The first BI is the </w:t>
      </w:r>
      <w:r w:rsidR="00355B34">
        <w:t>A</w:t>
      </w:r>
      <w:r w:rsidR="008C36FC" w:rsidRPr="009448FC">
        <w:t>wake BI in which the PPS PCP is in the A</w:t>
      </w:r>
      <w:r w:rsidR="00A239D4">
        <w:t>wake</w:t>
      </w:r>
      <w:r w:rsidR="008C36FC" w:rsidRPr="009448FC">
        <w:t xml:space="preserve"> state to serve non-PCP STAs. In the first BI, the PCP transmits the </w:t>
      </w:r>
      <w:r w:rsidR="006A2966" w:rsidRPr="009448FC">
        <w:t>Extended Schedule</w:t>
      </w:r>
      <w:r w:rsidR="00475A8C" w:rsidRPr="009448FC">
        <w:t xml:space="preserve"> </w:t>
      </w:r>
      <w:r w:rsidR="00877796" w:rsidRPr="009448FC">
        <w:t>element</w:t>
      </w:r>
      <w:r w:rsidR="008C36FC" w:rsidRPr="009448FC">
        <w:t xml:space="preserve"> for the current BI</w:t>
      </w:r>
      <w:r w:rsidR="00C60BC1" w:rsidRPr="009448FC">
        <w:t xml:space="preserve"> with the pseudo-static subfield set to 1 for all allocations within the Extended Schedule </w:t>
      </w:r>
      <w:r w:rsidR="00877796" w:rsidRPr="009448FC">
        <w:t>element</w:t>
      </w:r>
      <w:r w:rsidR="00C60BC1" w:rsidRPr="009448FC">
        <w:t xml:space="preserve"> to indicate that the schedule of the first BI also applies to the second BI</w:t>
      </w:r>
      <w:r w:rsidR="008C36FC" w:rsidRPr="009448FC">
        <w:t xml:space="preserve">, the </w:t>
      </w:r>
      <w:r w:rsidR="006D22FC" w:rsidRPr="009448FC">
        <w:t xml:space="preserve">Wakeup </w:t>
      </w:r>
      <w:r w:rsidR="00C60BC1" w:rsidRPr="009448FC">
        <w:t>S</w:t>
      </w:r>
      <w:r w:rsidR="006D22FC" w:rsidRPr="009448FC">
        <w:t xml:space="preserve">chedule </w:t>
      </w:r>
      <w:r w:rsidR="00877796" w:rsidRPr="009448FC">
        <w:t>element</w:t>
      </w:r>
      <w:r w:rsidR="008C36FC" w:rsidRPr="009448FC">
        <w:t xml:space="preserve"> with the information of the start time and the length of the PCP sleep interval, and the </w:t>
      </w:r>
      <w:r w:rsidR="00C60BC1" w:rsidRPr="009448FC">
        <w:t xml:space="preserve">STA Availability </w:t>
      </w:r>
      <w:r w:rsidR="00877796" w:rsidRPr="009448FC">
        <w:t>element</w:t>
      </w:r>
      <w:r w:rsidR="00C60BC1" w:rsidRPr="009448FC">
        <w:t xml:space="preserve"> to indicate the </w:t>
      </w:r>
      <w:r w:rsidR="008C36FC" w:rsidRPr="009448FC">
        <w:t xml:space="preserve">availability of the PCP for the CBP of the </w:t>
      </w:r>
      <w:r w:rsidR="00355B34">
        <w:t>A</w:t>
      </w:r>
      <w:r w:rsidR="008C36FC" w:rsidRPr="009448FC">
        <w:t xml:space="preserve">wake BI. </w:t>
      </w:r>
      <w:r w:rsidR="00363A28" w:rsidRPr="009448FC">
        <w:t>Following</w:t>
      </w:r>
      <w:r w:rsidR="00475A8C" w:rsidRPr="009448FC">
        <w:t xml:space="preserve"> </w:t>
      </w:r>
      <w:r w:rsidR="008C36FC" w:rsidRPr="009448FC">
        <w:t xml:space="preserve">the CBP of the first BI, the PCP enters the </w:t>
      </w:r>
      <w:r w:rsidR="000C6959">
        <w:t>D</w:t>
      </w:r>
      <w:r w:rsidR="008C36FC" w:rsidRPr="009448FC">
        <w:t xml:space="preserve">oze state and </w:t>
      </w:r>
      <w:r w:rsidR="00363A28" w:rsidRPr="009448FC">
        <w:t>sleep</w:t>
      </w:r>
      <w:r w:rsidR="007B64CA" w:rsidRPr="009448FC">
        <w:t>s</w:t>
      </w:r>
      <w:r w:rsidR="00363A28" w:rsidRPr="009448FC">
        <w:t xml:space="preserve"> for </w:t>
      </w:r>
      <w:r w:rsidR="007B64CA" w:rsidRPr="009448FC">
        <w:t xml:space="preserve">more than </w:t>
      </w:r>
      <w:r w:rsidR="00363A28" w:rsidRPr="009448FC">
        <w:t>one BI</w:t>
      </w:r>
      <w:r w:rsidR="00655EA4" w:rsidRPr="009448FC">
        <w:t>.</w:t>
      </w:r>
      <w:r w:rsidR="008C36FC" w:rsidRPr="009448FC">
        <w:t xml:space="preserve"> The PCP switches from the </w:t>
      </w:r>
      <w:r w:rsidR="000C6959">
        <w:t>D</w:t>
      </w:r>
      <w:r w:rsidR="008C36FC" w:rsidRPr="009448FC">
        <w:t xml:space="preserve">oze state to the </w:t>
      </w:r>
      <w:r w:rsidR="00A239D4">
        <w:t>A</w:t>
      </w:r>
      <w:r w:rsidR="008C36FC" w:rsidRPr="009448FC">
        <w:t xml:space="preserve">wake state </w:t>
      </w:r>
      <w:r w:rsidR="007B64CA" w:rsidRPr="009448FC">
        <w:t>after sleeping through the remainder of the first BI and through the entire second BI</w:t>
      </w:r>
      <w:r w:rsidR="008C36FC" w:rsidRPr="009448FC">
        <w:t xml:space="preserve">, which is the start of the third BI in </w:t>
      </w:r>
      <w:r w:rsidRPr="009448FC">
        <w:fldChar w:fldCharType="begin"/>
      </w:r>
      <w:r w:rsidR="003F5BB0" w:rsidRPr="009448FC">
        <w:instrText xml:space="preserve"> REF _Ref236478372 \h </w:instrText>
      </w:r>
      <w:r w:rsidRPr="009448FC">
        <w:fldChar w:fldCharType="separate"/>
      </w:r>
      <w:r w:rsidR="003E4210" w:rsidRPr="009448FC">
        <w:t xml:space="preserve">Figure </w:t>
      </w:r>
      <w:r w:rsidR="003E4210">
        <w:rPr>
          <w:noProof/>
        </w:rPr>
        <w:t>119</w:t>
      </w:r>
      <w:r w:rsidRPr="009448FC">
        <w:fldChar w:fldCharType="end"/>
      </w:r>
      <w:r w:rsidR="00655EA4" w:rsidRPr="009448FC">
        <w:t>.</w:t>
      </w:r>
      <w:r w:rsidR="008C36FC" w:rsidRPr="009448FC">
        <w:t xml:space="preserve"> </w:t>
      </w:r>
      <w:r w:rsidR="00C60BC1" w:rsidRPr="009448FC">
        <w:t xml:space="preserve">Since </w:t>
      </w:r>
      <w:r w:rsidR="007B64CA" w:rsidRPr="009448FC">
        <w:t xml:space="preserve">in this example </w:t>
      </w:r>
      <w:r w:rsidR="00C60BC1" w:rsidRPr="009448FC">
        <w:t xml:space="preserve">the schedule of the third BI and the fourth BI are different, </w:t>
      </w:r>
      <w:r w:rsidR="008C36FC" w:rsidRPr="009448FC">
        <w:t xml:space="preserve">the PCP transmits the </w:t>
      </w:r>
      <w:r w:rsidR="006A2966" w:rsidRPr="009448FC">
        <w:t>Extended Schedule</w:t>
      </w:r>
      <w:r w:rsidR="00475A8C" w:rsidRPr="009448FC">
        <w:t xml:space="preserve"> </w:t>
      </w:r>
      <w:r w:rsidR="00877796" w:rsidRPr="009448FC">
        <w:t>element</w:t>
      </w:r>
      <w:r w:rsidR="008C36FC" w:rsidRPr="009448FC">
        <w:t xml:space="preserve"> </w:t>
      </w:r>
      <w:r w:rsidR="00C60BC1" w:rsidRPr="009448FC">
        <w:t xml:space="preserve">containing the individual allocations </w:t>
      </w:r>
      <w:r w:rsidR="008C36FC" w:rsidRPr="009448FC">
        <w:t>for the third BI and fourth BI. The PCP enters the D</w:t>
      </w:r>
      <w:r w:rsidR="000C6959">
        <w:t>oze</w:t>
      </w:r>
      <w:r w:rsidR="008C36FC" w:rsidRPr="009448FC">
        <w:t xml:space="preserve"> state</w:t>
      </w:r>
      <w:r w:rsidR="00475A8C" w:rsidRPr="009448FC">
        <w:t xml:space="preserve"> </w:t>
      </w:r>
      <w:r w:rsidR="008C36FC" w:rsidRPr="009448FC">
        <w:t>after it completes all exchanges in the third BI and wakes up at the start of the fifth BI.</w:t>
      </w:r>
    </w:p>
    <w:p w:rsidR="00C60BC1" w:rsidRPr="009448FC" w:rsidRDefault="00C60BC1" w:rsidP="00C60BC1">
      <w:pPr>
        <w:autoSpaceDE w:val="0"/>
        <w:autoSpaceDN w:val="0"/>
        <w:adjustRightInd w:val="0"/>
        <w:jc w:val="both"/>
      </w:pPr>
    </w:p>
    <w:bookmarkStart w:id="2317" w:name="_Ref203546784"/>
    <w:p w:rsidR="008C36FC" w:rsidRPr="009448FC" w:rsidRDefault="00C60BC1" w:rsidP="004E3BF8">
      <w:pPr>
        <w:autoSpaceDE w:val="0"/>
        <w:autoSpaceDN w:val="0"/>
        <w:adjustRightInd w:val="0"/>
        <w:jc w:val="center"/>
        <w:rPr>
          <w:b/>
          <w:sz w:val="20"/>
        </w:rPr>
      </w:pPr>
      <w:r w:rsidRPr="009448FC">
        <w:object w:dxaOrig="11732" w:dyaOrig="3327">
          <v:shape id="_x0000_i1079" type="#_x0000_t75" style="width:421.15pt;height:118.65pt" o:ole="">
            <v:imagedata r:id="rId199" o:title=""/>
          </v:shape>
          <o:OLEObject Type="Embed" ProgID="Visio.Drawing.11" ShapeID="_x0000_i1079" DrawAspect="Content" ObjectID="_1334048258" r:id="rId200"/>
        </w:object>
      </w:r>
    </w:p>
    <w:p w:rsidR="008C36FC" w:rsidRPr="009448FC" w:rsidRDefault="00FD5FE9" w:rsidP="00BA5BC4">
      <w:pPr>
        <w:pStyle w:val="Caption"/>
        <w:rPr>
          <w:rFonts w:ascii="Times New Roman" w:hAnsi="Times New Roman"/>
        </w:rPr>
      </w:pPr>
      <w:bookmarkStart w:id="2318" w:name="_Ref236478372"/>
      <w:bookmarkStart w:id="2319" w:name="_Toc206748185"/>
      <w:bookmarkStart w:id="2320" w:name="_Toc207100809"/>
      <w:bookmarkStart w:id="2321" w:name="_Toc259717551"/>
      <w:bookmarkEnd w:id="2317"/>
      <w:r w:rsidRPr="009448FC">
        <w:rPr>
          <w:rFonts w:ascii="Times New Roman" w:hAnsi="Times New Roman"/>
        </w:rPr>
        <w:t xml:space="preserve">Figure </w:t>
      </w:r>
      <w:r w:rsidR="00BD151C" w:rsidRPr="009448FC">
        <w:rPr>
          <w:rFonts w:ascii="Times New Roman" w:hAnsi="Times New Roman"/>
        </w:rPr>
        <w:fldChar w:fldCharType="begin"/>
      </w:r>
      <w:r w:rsidRPr="009448FC">
        <w:rPr>
          <w:rFonts w:ascii="Times New Roman" w:hAnsi="Times New Roman"/>
        </w:rPr>
        <w:instrText xml:space="preserve"> SEQ Figure \* ARABIC </w:instrText>
      </w:r>
      <w:r w:rsidR="00BD151C" w:rsidRPr="009448FC">
        <w:rPr>
          <w:rFonts w:ascii="Times New Roman" w:hAnsi="Times New Roman"/>
        </w:rPr>
        <w:fldChar w:fldCharType="separate"/>
      </w:r>
      <w:r w:rsidR="003E4210">
        <w:rPr>
          <w:rFonts w:ascii="Times New Roman" w:hAnsi="Times New Roman"/>
          <w:noProof/>
        </w:rPr>
        <w:t>119</w:t>
      </w:r>
      <w:r w:rsidR="00BD151C" w:rsidRPr="009448FC">
        <w:rPr>
          <w:rFonts w:ascii="Times New Roman" w:hAnsi="Times New Roman"/>
        </w:rPr>
        <w:fldChar w:fldCharType="end"/>
      </w:r>
      <w:bookmarkEnd w:id="2318"/>
      <w:r w:rsidR="00FB4EB4" w:rsidRPr="009448FC">
        <w:rPr>
          <w:rFonts w:ascii="Times New Roman" w:hAnsi="Times New Roman"/>
        </w:rPr>
        <w:t xml:space="preserve"> </w:t>
      </w:r>
      <w:r w:rsidR="008C36FC" w:rsidRPr="009448FC">
        <w:rPr>
          <w:rFonts w:ascii="Times New Roman" w:hAnsi="Times New Roman"/>
        </w:rPr>
        <w:t>– Example operation of PPS mode</w:t>
      </w:r>
      <w:bookmarkEnd w:id="2319"/>
      <w:bookmarkEnd w:id="2320"/>
      <w:bookmarkEnd w:id="2321"/>
    </w:p>
    <w:p w:rsidR="008C36FC" w:rsidRPr="009448FC" w:rsidRDefault="008C36FC" w:rsidP="0091073E">
      <w:pPr>
        <w:outlineLvl w:val="0"/>
      </w:pPr>
    </w:p>
    <w:p w:rsidR="008C36FC" w:rsidRPr="009448FC" w:rsidRDefault="00A42BE8" w:rsidP="003701DB">
      <w:pPr>
        <w:pStyle w:val="Heading2"/>
        <w:numPr>
          <w:ilvl w:val="1"/>
          <w:numId w:val="50"/>
        </w:numPr>
        <w:rPr>
          <w:rFonts w:ascii="Times New Roman" w:hAnsi="Times New Roman"/>
          <w:u w:val="none"/>
        </w:rPr>
      </w:pPr>
      <w:r w:rsidRPr="009448FC">
        <w:rPr>
          <w:rFonts w:ascii="Times New Roman" w:hAnsi="Times New Roman"/>
          <w:u w:val="none"/>
        </w:rPr>
        <w:t xml:space="preserve"> </w:t>
      </w:r>
      <w:bookmarkStart w:id="2322" w:name="_Toc207099047"/>
      <w:bookmarkStart w:id="2323" w:name="_Toc207099655"/>
      <w:bookmarkStart w:id="2324" w:name="_Toc207100574"/>
      <w:bookmarkStart w:id="2325" w:name="_Toc207348496"/>
      <w:bookmarkStart w:id="2326" w:name="_Toc215582866"/>
      <w:bookmarkStart w:id="2327" w:name="_Toc235400562"/>
      <w:bookmarkStart w:id="2328" w:name="_Ref246414916"/>
      <w:bookmarkStart w:id="2329" w:name="_Toc259717213"/>
      <w:r w:rsidR="008C36FC" w:rsidRPr="009448FC">
        <w:rPr>
          <w:rFonts w:ascii="Times New Roman" w:hAnsi="Times New Roman"/>
          <w:u w:val="none"/>
        </w:rPr>
        <w:t>STA Authentication and Association</w:t>
      </w:r>
      <w:bookmarkEnd w:id="2322"/>
      <w:bookmarkEnd w:id="2323"/>
      <w:bookmarkEnd w:id="2324"/>
      <w:bookmarkEnd w:id="2325"/>
      <w:bookmarkEnd w:id="2326"/>
      <w:bookmarkEnd w:id="2327"/>
      <w:bookmarkEnd w:id="2328"/>
      <w:bookmarkEnd w:id="2329"/>
    </w:p>
    <w:p w:rsidR="008C36FC" w:rsidRPr="009448FC" w:rsidRDefault="008C36FC" w:rsidP="004D1E99"/>
    <w:p w:rsidR="004F1F26" w:rsidRPr="009448FC" w:rsidRDefault="004F1F26" w:rsidP="004F1F26">
      <w:pPr>
        <w:rPr>
          <w:i/>
        </w:rPr>
      </w:pPr>
      <w:r w:rsidRPr="009448FC">
        <w:rPr>
          <w:i/>
        </w:rPr>
        <w:t>.11 Editor Note: Insert the following subclauses:</w:t>
      </w:r>
    </w:p>
    <w:p w:rsidR="004F1F26" w:rsidRPr="009448FC" w:rsidRDefault="004F1F26" w:rsidP="004D1E99"/>
    <w:p w:rsidR="008C36FC" w:rsidRPr="009448FC" w:rsidRDefault="005A6037" w:rsidP="003701DB">
      <w:pPr>
        <w:pStyle w:val="Heading3"/>
        <w:numPr>
          <w:ilvl w:val="2"/>
          <w:numId w:val="33"/>
        </w:numPr>
      </w:pPr>
      <w:bookmarkStart w:id="2330" w:name="_Toc207099050"/>
      <w:bookmarkStart w:id="2331" w:name="_Toc207099658"/>
      <w:bookmarkStart w:id="2332" w:name="_Toc207100577"/>
      <w:bookmarkStart w:id="2333" w:name="_Toc207348499"/>
      <w:bookmarkStart w:id="2334" w:name="_Toc215582869"/>
      <w:bookmarkStart w:id="2335" w:name="_Toc235400565"/>
      <w:bookmarkStart w:id="2336" w:name="_Ref236727794"/>
      <w:bookmarkStart w:id="2337" w:name="_Ref253733467"/>
      <w:bookmarkStart w:id="2338" w:name="_Ref256320595"/>
      <w:bookmarkStart w:id="2339" w:name="_Toc259717214"/>
      <w:r w:rsidRPr="009448FC">
        <w:t xml:space="preserve">mmWave BSS </w:t>
      </w:r>
      <w:r w:rsidR="008C36FC" w:rsidRPr="009448FC">
        <w:t>Association, reassociation, and disassociation</w:t>
      </w:r>
      <w:bookmarkEnd w:id="2330"/>
      <w:bookmarkEnd w:id="2331"/>
      <w:bookmarkEnd w:id="2332"/>
      <w:bookmarkEnd w:id="2333"/>
      <w:bookmarkEnd w:id="2334"/>
      <w:bookmarkEnd w:id="2335"/>
      <w:bookmarkEnd w:id="2336"/>
      <w:bookmarkEnd w:id="2337"/>
      <w:bookmarkEnd w:id="2338"/>
      <w:bookmarkEnd w:id="2339"/>
    </w:p>
    <w:p w:rsidR="004F1F26" w:rsidRPr="009448FC" w:rsidRDefault="004F1F26" w:rsidP="004D1E99">
      <w:pPr>
        <w:autoSpaceDE w:val="0"/>
        <w:autoSpaceDN w:val="0"/>
        <w:adjustRightInd w:val="0"/>
        <w:jc w:val="both"/>
        <w:rPr>
          <w:color w:val="000000"/>
        </w:rPr>
      </w:pPr>
    </w:p>
    <w:p w:rsidR="008C36FC" w:rsidRPr="009448FC" w:rsidRDefault="008C36FC" w:rsidP="004D1E99">
      <w:pPr>
        <w:autoSpaceDE w:val="0"/>
        <w:autoSpaceDN w:val="0"/>
        <w:adjustRightInd w:val="0"/>
        <w:jc w:val="both"/>
        <w:rPr>
          <w:color w:val="000000"/>
        </w:rPr>
      </w:pPr>
      <w:r w:rsidRPr="009448FC">
        <w:rPr>
          <w:color w:val="000000"/>
        </w:rPr>
        <w:t>A STA keeps two state variables for each STA</w:t>
      </w:r>
      <w:r w:rsidR="002F25A2" w:rsidRPr="009448FC">
        <w:rPr>
          <w:color w:val="000000"/>
        </w:rPr>
        <w:t xml:space="preserve"> with which direct communication via the WM is needed</w:t>
      </w:r>
      <w:r w:rsidRPr="009448FC">
        <w:rPr>
          <w:color w:val="000000"/>
        </w:rPr>
        <w:t>:</w:t>
      </w:r>
    </w:p>
    <w:p w:rsidR="008C36FC" w:rsidRPr="009448FC" w:rsidRDefault="008C36FC" w:rsidP="004D1E99">
      <w:pPr>
        <w:autoSpaceDE w:val="0"/>
        <w:autoSpaceDN w:val="0"/>
        <w:adjustRightInd w:val="0"/>
        <w:jc w:val="both"/>
        <w:rPr>
          <w:color w:val="000000"/>
        </w:rPr>
      </w:pPr>
      <w:r w:rsidRPr="009448FC">
        <w:rPr>
          <w:color w:val="000000"/>
        </w:rPr>
        <w:t xml:space="preserve">— </w:t>
      </w:r>
      <w:r w:rsidRPr="009448FC">
        <w:rPr>
          <w:i/>
          <w:color w:val="000000"/>
        </w:rPr>
        <w:t>Association state</w:t>
      </w:r>
      <w:r w:rsidRPr="009448FC">
        <w:rPr>
          <w:color w:val="000000"/>
        </w:rPr>
        <w:t>: The values are unassociated and associated</w:t>
      </w:r>
    </w:p>
    <w:p w:rsidR="008C36FC" w:rsidRPr="009448FC" w:rsidRDefault="008C36FC" w:rsidP="004D1E99">
      <w:pPr>
        <w:autoSpaceDE w:val="0"/>
        <w:autoSpaceDN w:val="0"/>
        <w:adjustRightInd w:val="0"/>
        <w:jc w:val="both"/>
        <w:rPr>
          <w:color w:val="000000"/>
        </w:rPr>
      </w:pPr>
      <w:r w:rsidRPr="009448FC">
        <w:rPr>
          <w:color w:val="000000"/>
        </w:rPr>
        <w:t xml:space="preserve">— </w:t>
      </w:r>
      <w:r w:rsidRPr="009448FC">
        <w:rPr>
          <w:i/>
          <w:color w:val="000000"/>
        </w:rPr>
        <w:t>RSNA state</w:t>
      </w:r>
      <w:r w:rsidRPr="009448FC">
        <w:rPr>
          <w:color w:val="000000"/>
        </w:rPr>
        <w:t>: The values are un-established and established</w:t>
      </w:r>
    </w:p>
    <w:p w:rsidR="008C36FC" w:rsidRPr="009448FC" w:rsidRDefault="008C36FC" w:rsidP="004D1E99">
      <w:pPr>
        <w:autoSpaceDE w:val="0"/>
        <w:autoSpaceDN w:val="0"/>
        <w:adjustRightInd w:val="0"/>
        <w:jc w:val="both"/>
        <w:rPr>
          <w:color w:val="000000"/>
        </w:rPr>
      </w:pPr>
    </w:p>
    <w:p w:rsidR="008C36FC" w:rsidRPr="009448FC" w:rsidRDefault="008C36FC" w:rsidP="002F25A2">
      <w:pPr>
        <w:autoSpaceDE w:val="0"/>
        <w:autoSpaceDN w:val="0"/>
        <w:adjustRightInd w:val="0"/>
        <w:jc w:val="both"/>
        <w:rPr>
          <w:color w:val="000000"/>
        </w:rPr>
      </w:pPr>
      <w:r w:rsidRPr="009448FC">
        <w:rPr>
          <w:color w:val="000000"/>
        </w:rPr>
        <w:t xml:space="preserve">These two variables </w:t>
      </w:r>
      <w:r w:rsidR="002F25A2" w:rsidRPr="009448FC">
        <w:rPr>
          <w:color w:val="000000"/>
        </w:rPr>
        <w:t>define</w:t>
      </w:r>
      <w:r w:rsidR="008D5466" w:rsidRPr="009448FC">
        <w:rPr>
          <w:color w:val="000000"/>
        </w:rPr>
        <w:t xml:space="preserve"> </w:t>
      </w:r>
      <w:r w:rsidRPr="009448FC">
        <w:rPr>
          <w:color w:val="000000"/>
        </w:rPr>
        <w:t>three local states for each remote STA:</w:t>
      </w:r>
    </w:p>
    <w:p w:rsidR="008C36FC" w:rsidRPr="009448FC" w:rsidRDefault="008C36FC" w:rsidP="004D1E99">
      <w:pPr>
        <w:autoSpaceDE w:val="0"/>
        <w:autoSpaceDN w:val="0"/>
        <w:adjustRightInd w:val="0"/>
        <w:jc w:val="both"/>
        <w:rPr>
          <w:color w:val="000000"/>
        </w:rPr>
      </w:pPr>
      <w:r w:rsidRPr="009448FC">
        <w:rPr>
          <w:color w:val="000000"/>
        </w:rPr>
        <w:t>— State 1: Initial start state, unassociated, RSNA un-established</w:t>
      </w:r>
    </w:p>
    <w:p w:rsidR="008C36FC" w:rsidRPr="009448FC" w:rsidRDefault="008C36FC" w:rsidP="004D1E99">
      <w:pPr>
        <w:autoSpaceDE w:val="0"/>
        <w:autoSpaceDN w:val="0"/>
        <w:adjustRightInd w:val="0"/>
        <w:jc w:val="both"/>
        <w:rPr>
          <w:color w:val="000000"/>
        </w:rPr>
      </w:pPr>
      <w:r w:rsidRPr="009448FC">
        <w:rPr>
          <w:color w:val="000000"/>
        </w:rPr>
        <w:t>— State 2: Associated, RSNA un-established</w:t>
      </w:r>
      <w:r w:rsidRPr="009448FC" w:rsidDel="004115D3">
        <w:rPr>
          <w:color w:val="000000"/>
        </w:rPr>
        <w:t xml:space="preserve"> </w:t>
      </w:r>
    </w:p>
    <w:p w:rsidR="008C36FC" w:rsidRPr="009448FC" w:rsidRDefault="008C36FC" w:rsidP="00746EA0">
      <w:pPr>
        <w:autoSpaceDE w:val="0"/>
        <w:autoSpaceDN w:val="0"/>
        <w:adjustRightInd w:val="0"/>
        <w:jc w:val="both"/>
        <w:rPr>
          <w:color w:val="000000"/>
        </w:rPr>
      </w:pPr>
      <w:r w:rsidRPr="009448FC">
        <w:rPr>
          <w:color w:val="000000"/>
        </w:rPr>
        <w:t xml:space="preserve">— State 3: RSNA established </w:t>
      </w:r>
    </w:p>
    <w:p w:rsidR="008C36FC" w:rsidRPr="009448FC" w:rsidRDefault="008C36FC" w:rsidP="004D1E99">
      <w:pPr>
        <w:jc w:val="both"/>
      </w:pPr>
    </w:p>
    <w:p w:rsidR="008C36FC" w:rsidRPr="009448FC" w:rsidRDefault="008C36FC" w:rsidP="00A12A8B">
      <w:pPr>
        <w:jc w:val="both"/>
      </w:pPr>
      <w:r w:rsidRPr="009448FC">
        <w:t>The relationship between the STA state variables and the services are given in</w:t>
      </w:r>
      <w:r w:rsidR="00A12A8B" w:rsidRPr="009448FC">
        <w:t xml:space="preserve"> </w:t>
      </w:r>
      <w:r w:rsidR="00BD151C">
        <w:fldChar w:fldCharType="begin"/>
      </w:r>
      <w:r w:rsidR="00A12A8B">
        <w:instrText xml:space="preserve"> REF _Ref236395978 \h </w:instrText>
      </w:r>
      <w:r w:rsidR="00BD151C">
        <w:fldChar w:fldCharType="separate"/>
      </w:r>
      <w:r w:rsidR="003E4210" w:rsidRPr="00066F65">
        <w:t xml:space="preserve">Figure </w:t>
      </w:r>
      <w:r w:rsidR="003E4210">
        <w:rPr>
          <w:noProof/>
        </w:rPr>
        <w:t>120</w:t>
      </w:r>
      <w:r w:rsidR="00BD151C">
        <w:fldChar w:fldCharType="end"/>
      </w:r>
      <w:r w:rsidRPr="009448FC">
        <w:t>.</w:t>
      </w:r>
    </w:p>
    <w:p w:rsidR="008C36FC" w:rsidRPr="009448FC" w:rsidRDefault="008C36FC" w:rsidP="004D1E99">
      <w:pPr>
        <w:jc w:val="both"/>
      </w:pPr>
    </w:p>
    <w:p w:rsidR="008C36FC" w:rsidRPr="009448FC" w:rsidRDefault="00AA4929" w:rsidP="004D1E99">
      <w:pPr>
        <w:jc w:val="center"/>
      </w:pPr>
      <w:r w:rsidRPr="009448FC">
        <w:object w:dxaOrig="8047" w:dyaOrig="6065">
          <v:shape id="_x0000_i1080" type="#_x0000_t75" style="width:437.9pt;height:329.2pt" o:ole="">
            <v:imagedata r:id="rId201" o:title=""/>
          </v:shape>
          <o:OLEObject Type="Embed" ProgID="Visio.Drawing.11" ShapeID="_x0000_i1080" DrawAspect="Content" ObjectID="_1334048259" r:id="rId202"/>
        </w:object>
      </w:r>
    </w:p>
    <w:p w:rsidR="008C36FC" w:rsidRPr="006A2BCD" w:rsidRDefault="00426EFC" w:rsidP="00BA5BC4">
      <w:pPr>
        <w:pStyle w:val="Caption"/>
        <w:rPr>
          <w:rFonts w:cs="Arial"/>
        </w:rPr>
      </w:pPr>
      <w:bookmarkStart w:id="2340" w:name="_Ref236395978"/>
      <w:bookmarkStart w:id="2341" w:name="_Toc205121752"/>
      <w:bookmarkStart w:id="2342" w:name="_Toc206227772"/>
      <w:bookmarkStart w:id="2343" w:name="_Toc206748176"/>
      <w:bookmarkStart w:id="2344" w:name="_Toc207100810"/>
      <w:bookmarkStart w:id="2345" w:name="_Toc259717552"/>
      <w:r w:rsidRPr="00066F65">
        <w:t xml:space="preserve">Figure </w:t>
      </w:r>
      <w:r w:rsidR="00BD151C">
        <w:fldChar w:fldCharType="begin"/>
      </w:r>
      <w:r w:rsidR="00801316">
        <w:instrText xml:space="preserve"> SEQ Figure \* ARABIC </w:instrText>
      </w:r>
      <w:r w:rsidR="00BD151C">
        <w:fldChar w:fldCharType="separate"/>
      </w:r>
      <w:r w:rsidR="003E4210">
        <w:rPr>
          <w:noProof/>
        </w:rPr>
        <w:t>120</w:t>
      </w:r>
      <w:r w:rsidR="00BD151C">
        <w:fldChar w:fldCharType="end"/>
      </w:r>
      <w:bookmarkEnd w:id="2340"/>
      <w:r w:rsidR="008C36FC" w:rsidRPr="009448FC">
        <w:rPr>
          <w:rFonts w:ascii="Times New Roman" w:hAnsi="Times New Roman"/>
        </w:rPr>
        <w:t xml:space="preserve"> </w:t>
      </w:r>
      <w:r w:rsidR="008C36FC" w:rsidRPr="006A2BCD">
        <w:rPr>
          <w:rFonts w:cs="Arial"/>
        </w:rPr>
        <w:t>– Relationship between state variables and services</w:t>
      </w:r>
      <w:bookmarkEnd w:id="2341"/>
      <w:bookmarkEnd w:id="2342"/>
      <w:bookmarkEnd w:id="2343"/>
      <w:bookmarkEnd w:id="2344"/>
      <w:bookmarkEnd w:id="2345"/>
    </w:p>
    <w:p w:rsidR="008C36FC" w:rsidRPr="009448FC" w:rsidRDefault="008C36FC" w:rsidP="000F5629">
      <w:pPr>
        <w:rPr>
          <w:b/>
          <w:i/>
        </w:rPr>
      </w:pPr>
    </w:p>
    <w:p w:rsidR="000F5629" w:rsidRPr="009448FC" w:rsidRDefault="000F5629" w:rsidP="000F5629">
      <w:pPr>
        <w:autoSpaceDE w:val="0"/>
        <w:autoSpaceDN w:val="0"/>
        <w:adjustRightInd w:val="0"/>
      </w:pPr>
      <w:r w:rsidRPr="009448FC">
        <w:t>A STA determines which frame transmissions and receptions are permitted between itself and another STA by examining the state between itself and the other STA. If the state that exists between the two STAs is state 1, then only class 1 frames shall be permitted to be transmitted and received. If the state between the two STAs is state 2, then only class 1 and class 2 frames shall be permitted to be transmitted and received. If the state between the two STAs is state 3, then class 1, 2 and 3 frames shall be permitted to be transmitted and received.</w:t>
      </w:r>
    </w:p>
    <w:p w:rsidR="000F5629" w:rsidRPr="009448FC" w:rsidRDefault="000F5629" w:rsidP="000F5629"/>
    <w:p w:rsidR="000F5629" w:rsidRPr="009448FC" w:rsidRDefault="000F5629" w:rsidP="000F5629">
      <w:r w:rsidRPr="009448FC">
        <w:t>In the frame classes definition, the following terms are used:</w:t>
      </w:r>
    </w:p>
    <w:p w:rsidR="000F5629" w:rsidRPr="009448FC" w:rsidRDefault="000F5629" w:rsidP="003701DB">
      <w:pPr>
        <w:numPr>
          <w:ilvl w:val="0"/>
          <w:numId w:val="62"/>
        </w:numPr>
      </w:pPr>
      <w:r w:rsidRPr="009448FC">
        <w:t>“within an infrastructure BSS” means that both the transmitting STA and the recipient STA participate in the same infrastructure BSS</w:t>
      </w:r>
    </w:p>
    <w:p w:rsidR="000F5629" w:rsidRPr="009448FC" w:rsidRDefault="000F5629" w:rsidP="003701DB">
      <w:pPr>
        <w:numPr>
          <w:ilvl w:val="0"/>
          <w:numId w:val="62"/>
        </w:numPr>
      </w:pPr>
      <w:r w:rsidRPr="009448FC">
        <w:t xml:space="preserve"> “within a PBSS” means that both the transmitting STA and the recipient STA participate in the same PBSS</w:t>
      </w:r>
    </w:p>
    <w:p w:rsidR="000F5629" w:rsidRPr="009448FC" w:rsidRDefault="000F5629" w:rsidP="003701DB">
      <w:pPr>
        <w:numPr>
          <w:ilvl w:val="0"/>
          <w:numId w:val="62"/>
        </w:numPr>
      </w:pPr>
      <w:r w:rsidRPr="009448FC">
        <w:t xml:space="preserve"> “within an IBSS” means that both the transmitting STA and the recipient STA participate in the same IBSS</w:t>
      </w:r>
    </w:p>
    <w:p w:rsidR="000F5629" w:rsidRPr="009448FC" w:rsidRDefault="000F5629" w:rsidP="003701DB">
      <w:pPr>
        <w:numPr>
          <w:ilvl w:val="0"/>
          <w:numId w:val="62"/>
        </w:numPr>
      </w:pPr>
      <w:r w:rsidRPr="009448FC">
        <w:t xml:space="preserve"> “dot11RSNAEnabled” refers to the setting of</w:t>
      </w:r>
      <w:r w:rsidR="00EE1100" w:rsidRPr="009448FC">
        <w:t xml:space="preserve"> </w:t>
      </w:r>
      <w:r w:rsidRPr="009448FC">
        <w:t>the dot11RSNAEnabled MIB variable of the STA determining whether a transmission or reception is permitted.</w:t>
      </w:r>
    </w:p>
    <w:p w:rsidR="000F5629" w:rsidRPr="009448FC" w:rsidRDefault="000F5629" w:rsidP="000F5629"/>
    <w:p w:rsidR="000F5629" w:rsidRPr="009448FC" w:rsidRDefault="000F5629" w:rsidP="000F5629">
      <w:pPr>
        <w:rPr>
          <w:sz w:val="20"/>
        </w:rPr>
      </w:pPr>
      <w:r w:rsidRPr="009448FC">
        <w:rPr>
          <w:sz w:val="20"/>
        </w:rPr>
        <w:t>NOTE – “within a BSS” comprises “within a PBSS”, “within an IBSS”, and “within an infrastructure BSS”</w:t>
      </w:r>
    </w:p>
    <w:p w:rsidR="000F5629" w:rsidRPr="009448FC" w:rsidRDefault="000F5629" w:rsidP="000F5629"/>
    <w:p w:rsidR="000F5629" w:rsidRPr="009448FC" w:rsidRDefault="000F5629" w:rsidP="000F5629">
      <w:r w:rsidRPr="009448FC">
        <w:t>STA A participates in the same infrastructure BSS as STA B if at least one of the following conditions is met:</w:t>
      </w:r>
    </w:p>
    <w:p w:rsidR="000F5629" w:rsidRPr="009448FC" w:rsidRDefault="000F5629" w:rsidP="003701DB">
      <w:pPr>
        <w:numPr>
          <w:ilvl w:val="0"/>
          <w:numId w:val="63"/>
        </w:numPr>
      </w:pPr>
      <w:r w:rsidRPr="009448FC">
        <w:lastRenderedPageBreak/>
        <w:t>STA A is associated with STA B and either STA A or STA B is an AP</w:t>
      </w:r>
    </w:p>
    <w:p w:rsidR="000F5629" w:rsidRPr="009448FC" w:rsidRDefault="000F5629" w:rsidP="003701DB">
      <w:pPr>
        <w:numPr>
          <w:ilvl w:val="0"/>
          <w:numId w:val="63"/>
        </w:numPr>
      </w:pPr>
      <w:r w:rsidRPr="009448FC">
        <w:t>STA A receives a frame with the value of its TA field equal to the MAC address of STA B and with the value of its BSSID field equal to the BSSID of the BSS with which STA A is associated.</w:t>
      </w:r>
    </w:p>
    <w:p w:rsidR="000F5629" w:rsidRPr="009448FC" w:rsidRDefault="000F5629" w:rsidP="003701DB">
      <w:pPr>
        <w:numPr>
          <w:ilvl w:val="0"/>
          <w:numId w:val="63"/>
        </w:numPr>
      </w:pPr>
      <w:r w:rsidRPr="009448FC">
        <w:t>STA A receives a frame from the AP with which it is associated containing an explicit indication that STA B is a member of the BSS with which STA A is associated</w:t>
      </w:r>
    </w:p>
    <w:p w:rsidR="000F5629" w:rsidRPr="009448FC" w:rsidRDefault="000F5629" w:rsidP="000F5629"/>
    <w:p w:rsidR="000F5629" w:rsidRPr="009448FC" w:rsidRDefault="000F5629" w:rsidP="000F5629">
      <w:r w:rsidRPr="009448FC">
        <w:t>STA A participates in the same PBSS as STA B if at least one of the following conditions is met:</w:t>
      </w:r>
    </w:p>
    <w:p w:rsidR="000F5629" w:rsidRPr="009448FC" w:rsidRDefault="000F5629" w:rsidP="003701DB">
      <w:pPr>
        <w:numPr>
          <w:ilvl w:val="0"/>
          <w:numId w:val="64"/>
        </w:numPr>
      </w:pPr>
      <w:r w:rsidRPr="009448FC">
        <w:t>STA A is associated with STA B and either STA A or STA B is a PCP.</w:t>
      </w:r>
    </w:p>
    <w:p w:rsidR="000F5629" w:rsidRPr="009448FC" w:rsidRDefault="000F5629" w:rsidP="003701DB">
      <w:pPr>
        <w:numPr>
          <w:ilvl w:val="0"/>
          <w:numId w:val="64"/>
        </w:numPr>
      </w:pPr>
      <w:r w:rsidRPr="009448FC">
        <w:t>STA A receives a frame with the value of its TA field equal to the MAC address of STA B and with the value of its BSSID field equal to the BSSID of the PBSS that STA A has joined or started.</w:t>
      </w:r>
    </w:p>
    <w:p w:rsidR="000F5629" w:rsidRPr="009448FC" w:rsidRDefault="000F5629" w:rsidP="003701DB">
      <w:pPr>
        <w:numPr>
          <w:ilvl w:val="0"/>
          <w:numId w:val="64"/>
        </w:numPr>
      </w:pPr>
      <w:r w:rsidRPr="009448FC">
        <w:t>STA A receives a frame from its PCP containing an explicit indication that STA B is a member of the PBSS that STA A has joined.</w:t>
      </w:r>
    </w:p>
    <w:p w:rsidR="000F5629" w:rsidRPr="009448FC" w:rsidRDefault="000F5629" w:rsidP="000F5629"/>
    <w:p w:rsidR="000F5629" w:rsidRPr="009448FC" w:rsidRDefault="000F5629" w:rsidP="000F5629">
      <w:r w:rsidRPr="009448FC">
        <w:t>STA A participates in the same IBSS as STA B if at least one of the following conditions is met:</w:t>
      </w:r>
    </w:p>
    <w:p w:rsidR="000F5629" w:rsidRPr="009448FC" w:rsidRDefault="000F5629" w:rsidP="003701DB">
      <w:pPr>
        <w:numPr>
          <w:ilvl w:val="0"/>
          <w:numId w:val="64"/>
        </w:numPr>
      </w:pPr>
      <w:r w:rsidRPr="009448FC">
        <w:t>STA A receives a frame with the value of its TA field equal to the MAC address of STA B and with the value of its BSSID field equal to the BSSID of the IBSS that STA A has joined or started.</w:t>
      </w:r>
    </w:p>
    <w:p w:rsidR="000F5629" w:rsidRPr="009448FC" w:rsidRDefault="000F5629" w:rsidP="000F5629"/>
    <w:p w:rsidR="000F5629" w:rsidRPr="009448FC" w:rsidRDefault="000F5629" w:rsidP="000F5629">
      <w:r w:rsidRPr="009448FC">
        <w:rPr>
          <w:sz w:val="23"/>
        </w:rPr>
        <w:t>The frame classes are defined as follows:</w:t>
      </w:r>
    </w:p>
    <w:p w:rsidR="000F5629" w:rsidRPr="009448FC" w:rsidRDefault="000F5629" w:rsidP="000F5629"/>
    <w:p w:rsidR="000F5629" w:rsidRPr="009448FC" w:rsidRDefault="000F5629" w:rsidP="003701DB">
      <w:pPr>
        <w:numPr>
          <w:ilvl w:val="0"/>
          <w:numId w:val="61"/>
        </w:numPr>
      </w:pPr>
      <w:r w:rsidRPr="009448FC">
        <w:rPr>
          <w:rFonts w:ascii="TimesNewRoman" w:hAnsi="TimesNewRoman"/>
        </w:rPr>
        <w:t xml:space="preserve">Class 1 </w:t>
      </w:r>
      <w:r w:rsidRPr="009448FC">
        <w:t>frames (permitted from within States 1, 2, and 3)</w:t>
      </w:r>
    </w:p>
    <w:p w:rsidR="000F5629" w:rsidRPr="009448FC" w:rsidRDefault="000F5629" w:rsidP="003701DB">
      <w:pPr>
        <w:numPr>
          <w:ilvl w:val="1"/>
          <w:numId w:val="61"/>
        </w:numPr>
      </w:pPr>
      <w:r w:rsidRPr="009448FC">
        <w:t>Control frames</w:t>
      </w:r>
    </w:p>
    <w:p w:rsidR="000F5629" w:rsidRPr="009448FC" w:rsidRDefault="000F5629" w:rsidP="003701DB">
      <w:pPr>
        <w:numPr>
          <w:ilvl w:val="2"/>
          <w:numId w:val="61"/>
        </w:numPr>
      </w:pPr>
      <w:r w:rsidRPr="009448FC">
        <w:t>Request to send (RTS)</w:t>
      </w:r>
    </w:p>
    <w:p w:rsidR="000F5629" w:rsidRPr="009448FC" w:rsidRDefault="009B6108" w:rsidP="003701DB">
      <w:pPr>
        <w:numPr>
          <w:ilvl w:val="2"/>
          <w:numId w:val="61"/>
        </w:numPr>
      </w:pPr>
      <w:r w:rsidRPr="009448FC">
        <w:t xml:space="preserve">mmWave </w:t>
      </w:r>
      <w:r w:rsidR="000F5629" w:rsidRPr="009448FC">
        <w:t>Clear to send (</w:t>
      </w:r>
      <w:r w:rsidRPr="009448FC">
        <w:t>mmWave</w:t>
      </w:r>
      <w:r w:rsidR="000F5629" w:rsidRPr="009448FC">
        <w:t>CTS</w:t>
      </w:r>
      <w:r w:rsidR="005B4FC2" w:rsidRPr="009448FC">
        <w:t>)</w:t>
      </w:r>
      <w:r w:rsidRPr="009448FC">
        <w:t xml:space="preserve"> </w:t>
      </w:r>
    </w:p>
    <w:p w:rsidR="000F5629" w:rsidRPr="009448FC" w:rsidRDefault="000F5629" w:rsidP="003701DB">
      <w:pPr>
        <w:numPr>
          <w:ilvl w:val="2"/>
          <w:numId w:val="61"/>
        </w:numPr>
      </w:pPr>
      <w:r w:rsidRPr="009448FC">
        <w:t>Acknowledgment (ACK)</w:t>
      </w:r>
    </w:p>
    <w:p w:rsidR="000F5629" w:rsidRPr="009448FC" w:rsidRDefault="000F5629" w:rsidP="003701DB">
      <w:pPr>
        <w:numPr>
          <w:ilvl w:val="2"/>
          <w:numId w:val="61"/>
        </w:numPr>
      </w:pPr>
      <w:r w:rsidRPr="009448FC">
        <w:t>Grant</w:t>
      </w:r>
    </w:p>
    <w:p w:rsidR="000F5629" w:rsidRPr="009448FC" w:rsidRDefault="000F5629" w:rsidP="003701DB">
      <w:pPr>
        <w:numPr>
          <w:ilvl w:val="2"/>
          <w:numId w:val="61"/>
        </w:numPr>
      </w:pPr>
      <w:r w:rsidRPr="009448FC">
        <w:t>SS</w:t>
      </w:r>
    </w:p>
    <w:p w:rsidR="000F5629" w:rsidRPr="009448FC" w:rsidRDefault="000F5629" w:rsidP="003701DB">
      <w:pPr>
        <w:numPr>
          <w:ilvl w:val="2"/>
          <w:numId w:val="61"/>
        </w:numPr>
      </w:pPr>
      <w:r w:rsidRPr="009448FC">
        <w:t>SS-Feedback</w:t>
      </w:r>
    </w:p>
    <w:p w:rsidR="000F5629" w:rsidRPr="009448FC" w:rsidRDefault="000F5629" w:rsidP="003701DB">
      <w:pPr>
        <w:numPr>
          <w:ilvl w:val="2"/>
          <w:numId w:val="61"/>
        </w:numPr>
      </w:pPr>
      <w:r w:rsidRPr="009448FC">
        <w:t>SS-ACK</w:t>
      </w:r>
    </w:p>
    <w:p w:rsidR="000F5629" w:rsidRPr="009448FC" w:rsidRDefault="000F5629" w:rsidP="003701DB">
      <w:pPr>
        <w:numPr>
          <w:ilvl w:val="2"/>
          <w:numId w:val="61"/>
        </w:numPr>
      </w:pPr>
      <w:r w:rsidRPr="009448FC">
        <w:rPr>
          <w:rFonts w:ascii="TimesNewRoman" w:hAnsi="TimesNewRoman"/>
        </w:rPr>
        <w:t>Block Ack (BlockAck) within a PBSS/IBSS when dot11RSNAEnabled is set to FALSE</w:t>
      </w:r>
    </w:p>
    <w:p w:rsidR="000F5629" w:rsidRPr="00066F65" w:rsidRDefault="000F5629" w:rsidP="003701DB">
      <w:pPr>
        <w:numPr>
          <w:ilvl w:val="2"/>
          <w:numId w:val="61"/>
        </w:numPr>
        <w:rPr>
          <w:u w:val="single"/>
        </w:rPr>
      </w:pPr>
      <w:r w:rsidRPr="009448FC">
        <w:rPr>
          <w:rFonts w:ascii="TimesNewRoman" w:hAnsi="TimesNewRoman"/>
        </w:rPr>
        <w:t>Block Ack Request (BlockAckReq) within a PBSS/IBSS when dot11RSNAEnabled is set to FALSE</w:t>
      </w:r>
    </w:p>
    <w:p w:rsidR="000F5629" w:rsidRPr="009448FC" w:rsidRDefault="000F5629" w:rsidP="003701DB">
      <w:pPr>
        <w:numPr>
          <w:ilvl w:val="1"/>
          <w:numId w:val="61"/>
        </w:numPr>
      </w:pPr>
      <w:r w:rsidRPr="009448FC">
        <w:t>Management frames</w:t>
      </w:r>
    </w:p>
    <w:p w:rsidR="000F5629" w:rsidRPr="009448FC" w:rsidRDefault="000F5629" w:rsidP="003701DB">
      <w:pPr>
        <w:numPr>
          <w:ilvl w:val="2"/>
          <w:numId w:val="61"/>
        </w:numPr>
      </w:pPr>
      <w:r w:rsidRPr="009448FC">
        <w:t>Probe request/response</w:t>
      </w:r>
    </w:p>
    <w:p w:rsidR="000F5629" w:rsidRPr="009448FC" w:rsidRDefault="000F5629" w:rsidP="003701DB">
      <w:pPr>
        <w:numPr>
          <w:ilvl w:val="2"/>
          <w:numId w:val="61"/>
        </w:numPr>
      </w:pPr>
      <w:r w:rsidRPr="009448FC">
        <w:t>Announcement traffic indication message (ATIM)</w:t>
      </w:r>
    </w:p>
    <w:p w:rsidR="000F5629" w:rsidRPr="009448FC" w:rsidRDefault="000F5629" w:rsidP="003701DB">
      <w:pPr>
        <w:numPr>
          <w:ilvl w:val="2"/>
          <w:numId w:val="61"/>
        </w:numPr>
      </w:pPr>
      <w:r w:rsidRPr="009448FC">
        <w:t>Spectrum Management Action: Within an IBSS, action frames are Class 1</w:t>
      </w:r>
    </w:p>
    <w:p w:rsidR="000F5629" w:rsidRPr="009448FC" w:rsidRDefault="000F5629" w:rsidP="003701DB">
      <w:pPr>
        <w:numPr>
          <w:ilvl w:val="2"/>
          <w:numId w:val="61"/>
        </w:numPr>
      </w:pPr>
      <w:r w:rsidRPr="009448FC">
        <w:t>Public Action</w:t>
      </w:r>
    </w:p>
    <w:p w:rsidR="000F5629" w:rsidRPr="009448FC" w:rsidRDefault="000F5629" w:rsidP="003701DB">
      <w:pPr>
        <w:numPr>
          <w:ilvl w:val="2"/>
          <w:numId w:val="61"/>
        </w:numPr>
      </w:pPr>
      <w:r w:rsidRPr="009448FC">
        <w:t>Within an IBSS, all Action frames and all Action No Ack frames</w:t>
      </w:r>
    </w:p>
    <w:p w:rsidR="000F5629" w:rsidRPr="009448FC" w:rsidRDefault="000F5629" w:rsidP="003701DB">
      <w:pPr>
        <w:numPr>
          <w:ilvl w:val="2"/>
          <w:numId w:val="61"/>
        </w:numPr>
      </w:pPr>
      <w:r w:rsidRPr="009448FC">
        <w:t>Announce</w:t>
      </w:r>
    </w:p>
    <w:p w:rsidR="000F5629" w:rsidRPr="009448FC" w:rsidRDefault="000F5629" w:rsidP="003701DB">
      <w:pPr>
        <w:numPr>
          <w:ilvl w:val="2"/>
          <w:numId w:val="61"/>
        </w:numPr>
      </w:pPr>
      <w:r w:rsidRPr="009448FC">
        <w:t>Association request/response: successful association with an AP/PCP enables a STA to change to State 2 thus allowing the STA to exchange Class 2 frames. Unsuccessful association leaves the STA in State 1.</w:t>
      </w:r>
    </w:p>
    <w:p w:rsidR="000F5629" w:rsidRPr="009448FC" w:rsidRDefault="000F5629" w:rsidP="003701DB">
      <w:pPr>
        <w:numPr>
          <w:ilvl w:val="2"/>
          <w:numId w:val="61"/>
        </w:numPr>
      </w:pPr>
      <w:r w:rsidRPr="009448FC">
        <w:rPr>
          <w:rFonts w:ascii="TimesNewRoman" w:hAnsi="TimesNewRoman"/>
        </w:rPr>
        <w:t>Reassociation request/response: Successful reassociation</w:t>
      </w:r>
      <w:r w:rsidRPr="009448FC">
        <w:t xml:space="preserve"> with an AP/PCP</w:t>
      </w:r>
      <w:r w:rsidRPr="009448FC">
        <w:rPr>
          <w:rFonts w:ascii="TimesNewRoman" w:hAnsi="TimesNewRoman"/>
        </w:rPr>
        <w:t xml:space="preserve"> enables a STA to change to State 2 thus allowing the STA to exchange Class 2 frames. Unsuccessful reassociation leaves the STA in State 1 (with respect to the STA that was sent the </w:t>
      </w:r>
      <w:r w:rsidRPr="009448FC">
        <w:rPr>
          <w:rFonts w:ascii="TimesNewRoman" w:hAnsi="TimesNewRoman"/>
        </w:rPr>
        <w:lastRenderedPageBreak/>
        <w:t>reassociation message). Reassociation frames shall only be sent if the sending STA is already associated in the same ESS.</w:t>
      </w:r>
    </w:p>
    <w:p w:rsidR="000F5629" w:rsidRPr="009448FC" w:rsidRDefault="000F5629" w:rsidP="003701DB">
      <w:pPr>
        <w:numPr>
          <w:ilvl w:val="2"/>
          <w:numId w:val="61"/>
        </w:numPr>
      </w:pPr>
      <w:r w:rsidRPr="009448FC">
        <w:rPr>
          <w:rFonts w:ascii="TimesNewRoman" w:hAnsi="TimesNewRoman"/>
        </w:rPr>
        <w:t xml:space="preserve">Disassociation: </w:t>
      </w:r>
      <w:r w:rsidRPr="009448FC">
        <w:t>D</w:t>
      </w:r>
      <w:r w:rsidRPr="009448FC">
        <w:rPr>
          <w:rFonts w:ascii="TimesNewRoman" w:hAnsi="TimesNewRoman"/>
        </w:rPr>
        <w:t xml:space="preserve">isassociation notification when in State 2 or 3 changes a STA’s state to State 1. </w:t>
      </w:r>
    </w:p>
    <w:p w:rsidR="000F5629" w:rsidRPr="009448FC" w:rsidRDefault="000F5629" w:rsidP="003701DB">
      <w:pPr>
        <w:numPr>
          <w:ilvl w:val="2"/>
          <w:numId w:val="61"/>
        </w:numPr>
      </w:pPr>
      <w:r w:rsidRPr="009448FC">
        <w:t>Within a PBSS when dot11RSNAEnabled is set to FALSE, all Action and Action No Ack frames except the following frames:</w:t>
      </w:r>
    </w:p>
    <w:p w:rsidR="000F5629" w:rsidRPr="009448FC" w:rsidRDefault="000F5629" w:rsidP="003701DB">
      <w:pPr>
        <w:numPr>
          <w:ilvl w:val="3"/>
          <w:numId w:val="61"/>
        </w:numPr>
      </w:pPr>
      <w:r w:rsidRPr="009448FC">
        <w:t>ADDTS Request and ADDTS Response frames</w:t>
      </w:r>
    </w:p>
    <w:p w:rsidR="000F5629" w:rsidRPr="009448FC" w:rsidRDefault="000F5629" w:rsidP="003701DB">
      <w:pPr>
        <w:numPr>
          <w:ilvl w:val="1"/>
          <w:numId w:val="61"/>
        </w:numPr>
        <w:rPr>
          <w:rFonts w:ascii="TimesNewRoman" w:hAnsi="TimesNewRoman"/>
          <w:sz w:val="20"/>
        </w:rPr>
      </w:pPr>
      <w:r w:rsidRPr="009448FC">
        <w:t>Data frames</w:t>
      </w:r>
    </w:p>
    <w:p w:rsidR="000F5629" w:rsidRPr="009448FC" w:rsidRDefault="000F5629" w:rsidP="003701DB">
      <w:pPr>
        <w:numPr>
          <w:ilvl w:val="2"/>
          <w:numId w:val="61"/>
        </w:numPr>
      </w:pPr>
      <w:r w:rsidRPr="009448FC">
        <w:t>Data frames within an IBSS with frame control (FC) bits “To DS” and “From DS” both false when dot11RSNA</w:t>
      </w:r>
      <w:r w:rsidRPr="009448FC">
        <w:rPr>
          <w:rFonts w:ascii="TimesNewRoman" w:hAnsi="TimesNewRoman"/>
        </w:rPr>
        <w:t>Enabled is set to FALSE</w:t>
      </w:r>
      <w:r w:rsidRPr="009448FC">
        <w:t>.</w:t>
      </w:r>
    </w:p>
    <w:p w:rsidR="000F5629" w:rsidRPr="009448FC" w:rsidRDefault="000F5629" w:rsidP="003701DB">
      <w:pPr>
        <w:numPr>
          <w:ilvl w:val="2"/>
          <w:numId w:val="61"/>
        </w:numPr>
      </w:pPr>
      <w:r w:rsidRPr="009448FC">
        <w:t>Data frames within a PBSS when dot11RSNA</w:t>
      </w:r>
      <w:r w:rsidRPr="009448FC">
        <w:rPr>
          <w:rFonts w:ascii="TimesNewRoman" w:hAnsi="TimesNewRoman"/>
        </w:rPr>
        <w:t>Enabled is set to FALSE.</w:t>
      </w:r>
    </w:p>
    <w:p w:rsidR="000F5629" w:rsidRPr="009448FC" w:rsidRDefault="000F5629" w:rsidP="003701DB">
      <w:pPr>
        <w:numPr>
          <w:ilvl w:val="2"/>
          <w:numId w:val="61"/>
        </w:numPr>
      </w:pPr>
      <w:r w:rsidRPr="009448FC">
        <w:rPr>
          <w:rFonts w:ascii="TimesNewRoman" w:hAnsi="TimesNewRoman"/>
        </w:rPr>
        <w:t>RSNA establishment frames within a PBSS when dot11RSNAEnabled is set to TRUE. Successful RSNA establishment enables a STA to change to State 3. Unsuccessful RSNA establishment leaves the STA in State 1.</w:t>
      </w:r>
    </w:p>
    <w:p w:rsidR="000F5629" w:rsidRPr="009448FC" w:rsidRDefault="000F5629" w:rsidP="003701DB">
      <w:pPr>
        <w:numPr>
          <w:ilvl w:val="2"/>
          <w:numId w:val="61"/>
        </w:numPr>
      </w:pPr>
      <w:r w:rsidRPr="009448FC">
        <w:t>Data frames that are not sent within a BSS and that have the wildcard BSSID value in the BSSID field.</w:t>
      </w:r>
    </w:p>
    <w:p w:rsidR="000F5629" w:rsidRPr="009448FC" w:rsidRDefault="000F5629" w:rsidP="003701DB">
      <w:pPr>
        <w:numPr>
          <w:ilvl w:val="1"/>
          <w:numId w:val="61"/>
        </w:numPr>
      </w:pPr>
      <w:r w:rsidRPr="009448FC">
        <w:t>Extension frames</w:t>
      </w:r>
    </w:p>
    <w:p w:rsidR="000F5629" w:rsidRPr="009448FC" w:rsidRDefault="000F5629" w:rsidP="003701DB">
      <w:pPr>
        <w:numPr>
          <w:ilvl w:val="2"/>
          <w:numId w:val="61"/>
        </w:numPr>
      </w:pPr>
      <w:r w:rsidRPr="009448FC">
        <w:t>mmWave Beacon</w:t>
      </w:r>
    </w:p>
    <w:p w:rsidR="000F5629" w:rsidRPr="009448FC" w:rsidRDefault="000F5629" w:rsidP="000F5629"/>
    <w:p w:rsidR="000F5629" w:rsidRPr="00066F65" w:rsidRDefault="000F5629" w:rsidP="003701DB">
      <w:pPr>
        <w:numPr>
          <w:ilvl w:val="0"/>
          <w:numId w:val="61"/>
        </w:numPr>
        <w:rPr>
          <w:u w:val="single"/>
        </w:rPr>
      </w:pPr>
      <w:r w:rsidRPr="009448FC">
        <w:t>Class 2 frames (if and only if associated and RSNA not established; allowed from within States 2 and 3 only)</w:t>
      </w:r>
    </w:p>
    <w:p w:rsidR="000F5629" w:rsidRPr="009448FC" w:rsidRDefault="000F5629" w:rsidP="003701DB">
      <w:pPr>
        <w:numPr>
          <w:ilvl w:val="1"/>
          <w:numId w:val="61"/>
        </w:numPr>
        <w:rPr>
          <w:rFonts w:ascii="TimesNewRoman" w:hAnsi="TimesNewRoman"/>
        </w:rPr>
      </w:pPr>
      <w:r w:rsidRPr="009448FC">
        <w:t>Management frames</w:t>
      </w:r>
    </w:p>
    <w:p w:rsidR="000F5629" w:rsidRPr="009448FC" w:rsidRDefault="000F5629" w:rsidP="003701DB">
      <w:pPr>
        <w:numPr>
          <w:ilvl w:val="2"/>
          <w:numId w:val="61"/>
        </w:numPr>
      </w:pPr>
      <w:r w:rsidRPr="009448FC">
        <w:t>Within an infrastructure BSS when dot11RSNAEnabled is set to FALSE, all Action and Action No Ack frames</w:t>
      </w:r>
    </w:p>
    <w:p w:rsidR="000F5629" w:rsidRPr="009448FC" w:rsidRDefault="000F5629" w:rsidP="003701DB">
      <w:pPr>
        <w:numPr>
          <w:ilvl w:val="1"/>
          <w:numId w:val="61"/>
        </w:numPr>
      </w:pPr>
      <w:r w:rsidRPr="009448FC">
        <w:t>Control frames</w:t>
      </w:r>
    </w:p>
    <w:p w:rsidR="000F5629" w:rsidRPr="009448FC" w:rsidRDefault="000F5629" w:rsidP="003701DB">
      <w:pPr>
        <w:numPr>
          <w:ilvl w:val="2"/>
          <w:numId w:val="61"/>
        </w:numPr>
      </w:pPr>
      <w:r w:rsidRPr="009448FC">
        <w:t>Poll</w:t>
      </w:r>
    </w:p>
    <w:p w:rsidR="000F5629" w:rsidRPr="009448FC" w:rsidRDefault="000F5629" w:rsidP="003701DB">
      <w:pPr>
        <w:numPr>
          <w:ilvl w:val="2"/>
          <w:numId w:val="61"/>
        </w:numPr>
      </w:pPr>
      <w:r w:rsidRPr="009448FC">
        <w:t>SPR</w:t>
      </w:r>
    </w:p>
    <w:p w:rsidR="000F5629" w:rsidRPr="009448FC" w:rsidRDefault="000F5629" w:rsidP="003701DB">
      <w:pPr>
        <w:numPr>
          <w:ilvl w:val="2"/>
          <w:numId w:val="61"/>
        </w:numPr>
      </w:pPr>
      <w:r w:rsidRPr="009448FC">
        <w:t>mmWaveDTS</w:t>
      </w:r>
    </w:p>
    <w:p w:rsidR="000F5629" w:rsidRPr="009448FC" w:rsidRDefault="000F5629" w:rsidP="003701DB">
      <w:pPr>
        <w:numPr>
          <w:ilvl w:val="2"/>
          <w:numId w:val="61"/>
        </w:numPr>
      </w:pPr>
      <w:r w:rsidRPr="009448FC">
        <w:t>mmWaveCF-End</w:t>
      </w:r>
    </w:p>
    <w:p w:rsidR="000F5629" w:rsidRPr="009448FC" w:rsidRDefault="000F5629" w:rsidP="003701DB">
      <w:pPr>
        <w:numPr>
          <w:ilvl w:val="2"/>
          <w:numId w:val="61"/>
        </w:numPr>
      </w:pPr>
      <w:r w:rsidRPr="009448FC">
        <w:rPr>
          <w:rFonts w:ascii="TimesNewRoman" w:hAnsi="TimesNewRoman"/>
        </w:rPr>
        <w:t>Block Ack (BlockAck) within an infrastructure BSS when dot11RSNAEnabled is set to FALSE</w:t>
      </w:r>
    </w:p>
    <w:p w:rsidR="000F5629" w:rsidRPr="00066F65" w:rsidRDefault="000F5629" w:rsidP="003701DB">
      <w:pPr>
        <w:numPr>
          <w:ilvl w:val="2"/>
          <w:numId w:val="61"/>
        </w:numPr>
        <w:rPr>
          <w:u w:val="single"/>
        </w:rPr>
      </w:pPr>
      <w:r w:rsidRPr="009448FC">
        <w:rPr>
          <w:rFonts w:ascii="TimesNewRoman" w:hAnsi="TimesNewRoman"/>
        </w:rPr>
        <w:t>Block Ack Request (BlockAckReq) within an infrastructure BSS when dot11RSNAEnabled is set to FALSE</w:t>
      </w:r>
    </w:p>
    <w:p w:rsidR="000F5629" w:rsidRPr="009448FC" w:rsidRDefault="000F5629" w:rsidP="003701DB">
      <w:pPr>
        <w:numPr>
          <w:ilvl w:val="1"/>
          <w:numId w:val="61"/>
        </w:numPr>
      </w:pPr>
      <w:r w:rsidRPr="009448FC">
        <w:rPr>
          <w:rFonts w:ascii="TimesNewRoman" w:hAnsi="TimesNewRoman"/>
        </w:rPr>
        <w:t>Data frames</w:t>
      </w:r>
    </w:p>
    <w:p w:rsidR="000F5629" w:rsidRPr="009448FC" w:rsidRDefault="000F5629" w:rsidP="003701DB">
      <w:pPr>
        <w:numPr>
          <w:ilvl w:val="2"/>
          <w:numId w:val="61"/>
        </w:numPr>
        <w:rPr>
          <w:rFonts w:ascii="TimesNewRoman" w:hAnsi="TimesNewRoman"/>
          <w:sz w:val="20"/>
        </w:rPr>
      </w:pPr>
      <w:r w:rsidRPr="009448FC">
        <w:rPr>
          <w:rFonts w:ascii="TimesNewRoman" w:hAnsi="TimesNewRoman"/>
        </w:rPr>
        <w:t>RSNA establishment frames within a BSS when dot11RSNAEnabled is set to TRUE. Successful RSNA establishment enables a STA to change to State 3. Unsuccessful RSNA establishment leaves the STA in State 2.</w:t>
      </w:r>
    </w:p>
    <w:p w:rsidR="000F5629" w:rsidRPr="009448FC" w:rsidRDefault="000F5629" w:rsidP="003701DB">
      <w:pPr>
        <w:numPr>
          <w:ilvl w:val="2"/>
          <w:numId w:val="61"/>
        </w:numPr>
        <w:rPr>
          <w:rFonts w:ascii="TimesNewRoman" w:hAnsi="TimesNewRoman"/>
        </w:rPr>
      </w:pPr>
      <w:r w:rsidRPr="009448FC">
        <w:rPr>
          <w:rFonts w:ascii="TimesNewRoman" w:hAnsi="TimesNewRoman"/>
        </w:rPr>
        <w:t>Data frames within a BSS when dot11RSNAEnabled is set to FALSE.</w:t>
      </w:r>
    </w:p>
    <w:p w:rsidR="000F5629" w:rsidRPr="009448FC" w:rsidRDefault="000F5629" w:rsidP="000F5629">
      <w:pPr>
        <w:autoSpaceDE w:val="0"/>
        <w:autoSpaceDN w:val="0"/>
        <w:adjustRightInd w:val="0"/>
        <w:rPr>
          <w:rFonts w:ascii="TimesNewRoman" w:hAnsi="TimesNewRoman"/>
        </w:rPr>
      </w:pPr>
    </w:p>
    <w:p w:rsidR="000F5629" w:rsidRPr="009448FC" w:rsidRDefault="000F5629" w:rsidP="003701DB">
      <w:pPr>
        <w:numPr>
          <w:ilvl w:val="0"/>
          <w:numId w:val="61"/>
        </w:numPr>
      </w:pPr>
      <w:r w:rsidRPr="009448FC">
        <w:t>Class 3 frames (if and only if associated and RSNA established or RSNA established; allowed only from within State 3)</w:t>
      </w:r>
    </w:p>
    <w:p w:rsidR="000F5629" w:rsidRPr="009448FC" w:rsidRDefault="000F5629" w:rsidP="003701DB">
      <w:pPr>
        <w:numPr>
          <w:ilvl w:val="1"/>
          <w:numId w:val="61"/>
        </w:numPr>
        <w:rPr>
          <w:rFonts w:ascii="TimesNewRoman" w:hAnsi="TimesNewRoman"/>
        </w:rPr>
      </w:pPr>
      <w:r w:rsidRPr="009448FC">
        <w:t>Data frames</w:t>
      </w:r>
    </w:p>
    <w:p w:rsidR="000F5629" w:rsidRPr="009448FC" w:rsidRDefault="000F5629" w:rsidP="003701DB">
      <w:pPr>
        <w:numPr>
          <w:ilvl w:val="2"/>
          <w:numId w:val="61"/>
        </w:numPr>
      </w:pPr>
      <w:r w:rsidRPr="009448FC">
        <w:t>Data subtypes: Within a BSS that is not an IBSS, Data frames allowed, i.e., either the “To DS” or “From DS” FC bits, but not both, may be set to true to utilize the DSS.</w:t>
      </w:r>
    </w:p>
    <w:p w:rsidR="000F5629" w:rsidRPr="009448FC" w:rsidRDefault="000F5629" w:rsidP="003701DB">
      <w:pPr>
        <w:numPr>
          <w:ilvl w:val="2"/>
          <w:numId w:val="61"/>
        </w:numPr>
      </w:pPr>
      <w:r w:rsidRPr="009448FC">
        <w:t>QoS data subtypes allowed to/from non-AP STA(s) that are associated with AP(s), and among STAs within a PBSS.</w:t>
      </w:r>
    </w:p>
    <w:p w:rsidR="000F5629" w:rsidRPr="009448FC" w:rsidRDefault="000F5629" w:rsidP="003701DB">
      <w:pPr>
        <w:numPr>
          <w:ilvl w:val="2"/>
          <w:numId w:val="61"/>
        </w:numPr>
      </w:pPr>
      <w:r w:rsidRPr="009448FC">
        <w:t>Data frames within a BSS with FC bits “To DS” and “From DS” both FALSE</w:t>
      </w:r>
      <w:r w:rsidR="00AE6507" w:rsidRPr="009448FC">
        <w:t>.</w:t>
      </w:r>
    </w:p>
    <w:p w:rsidR="000F5629" w:rsidRPr="009448FC" w:rsidRDefault="000F5629" w:rsidP="003701DB">
      <w:pPr>
        <w:numPr>
          <w:ilvl w:val="1"/>
          <w:numId w:val="61"/>
        </w:numPr>
      </w:pPr>
      <w:r w:rsidRPr="009448FC">
        <w:t>Management frames</w:t>
      </w:r>
    </w:p>
    <w:p w:rsidR="000F5629" w:rsidRPr="009448FC" w:rsidRDefault="000F5629" w:rsidP="003701DB">
      <w:pPr>
        <w:numPr>
          <w:ilvl w:val="2"/>
          <w:numId w:val="61"/>
        </w:numPr>
      </w:pPr>
      <w:r w:rsidRPr="009448FC">
        <w:lastRenderedPageBreak/>
        <w:t>Within a PBSS or an infrastructure BSS, all Action and Action No Ack frames except the following frames:</w:t>
      </w:r>
    </w:p>
    <w:p w:rsidR="000F5629" w:rsidRPr="009448FC" w:rsidRDefault="000F5629" w:rsidP="003701DB">
      <w:pPr>
        <w:numPr>
          <w:ilvl w:val="3"/>
          <w:numId w:val="61"/>
        </w:numPr>
      </w:pPr>
      <w:r w:rsidRPr="009448FC">
        <w:t>Public Action</w:t>
      </w:r>
    </w:p>
    <w:p w:rsidR="000F5629" w:rsidRPr="009448FC" w:rsidRDefault="000F5629" w:rsidP="003701DB">
      <w:pPr>
        <w:numPr>
          <w:ilvl w:val="1"/>
          <w:numId w:val="61"/>
        </w:numPr>
        <w:rPr>
          <w:rFonts w:ascii="TimesNewRoman" w:hAnsi="TimesNewRoman"/>
        </w:rPr>
      </w:pPr>
      <w:r w:rsidRPr="009448FC">
        <w:t>Control frames</w:t>
      </w:r>
    </w:p>
    <w:p w:rsidR="000F5629" w:rsidRPr="009448FC" w:rsidRDefault="000F5629" w:rsidP="003701DB">
      <w:pPr>
        <w:numPr>
          <w:ilvl w:val="2"/>
          <w:numId w:val="61"/>
        </w:numPr>
      </w:pPr>
      <w:r w:rsidRPr="009448FC">
        <w:rPr>
          <w:rFonts w:ascii="TimesNewRoman" w:hAnsi="TimesNewRoman"/>
        </w:rPr>
        <w:t>Block Ack (BlockAck)</w:t>
      </w:r>
    </w:p>
    <w:p w:rsidR="000F5629" w:rsidRPr="009448FC" w:rsidRDefault="000F5629" w:rsidP="003701DB">
      <w:pPr>
        <w:numPr>
          <w:ilvl w:val="2"/>
          <w:numId w:val="61"/>
        </w:numPr>
      </w:pPr>
      <w:r w:rsidRPr="009448FC">
        <w:rPr>
          <w:rFonts w:ascii="TimesNewRoman" w:hAnsi="TimesNewRoman"/>
        </w:rPr>
        <w:t>Block Ack Request (BlockAckReq)</w:t>
      </w:r>
    </w:p>
    <w:p w:rsidR="000F5629" w:rsidRPr="009448FC" w:rsidRDefault="000F5629" w:rsidP="000F5629">
      <w:pPr>
        <w:autoSpaceDE w:val="0"/>
        <w:autoSpaceDN w:val="0"/>
        <w:adjustRightInd w:val="0"/>
        <w:rPr>
          <w:rFonts w:ascii="TimesNewRoman" w:hAnsi="TimesNewRoman"/>
        </w:rPr>
      </w:pPr>
    </w:p>
    <w:p w:rsidR="000F5629" w:rsidRPr="009448FC" w:rsidRDefault="000F5629" w:rsidP="000F5629">
      <w:pPr>
        <w:autoSpaceDE w:val="0"/>
        <w:autoSpaceDN w:val="0"/>
        <w:adjustRightInd w:val="0"/>
        <w:rPr>
          <w:rFonts w:ascii="TimesNewRoman" w:hAnsi="TimesNewRoman"/>
        </w:rPr>
      </w:pPr>
      <w:r w:rsidRPr="009448FC">
        <w:rPr>
          <w:rFonts w:ascii="TimesNewRoman" w:hAnsi="TimesNewRoman"/>
        </w:rPr>
        <w:t>If STA A that participates in a PBSS and has dot11RSNAEnabled set to TRUE receives a Class 3 frame with a unicast address in the Address 1 field from STA B that does not have an established RSNA with STA A, STA A shall disallow the received Class 3 frame and send a disassociation frame to STA B.</w:t>
      </w:r>
    </w:p>
    <w:p w:rsidR="008C36FC" w:rsidRPr="009448FC" w:rsidRDefault="008C36FC" w:rsidP="004D1E99">
      <w:pPr>
        <w:ind w:right="-720"/>
        <w:rPr>
          <w:b/>
          <w:i/>
        </w:rPr>
      </w:pPr>
    </w:p>
    <w:p w:rsidR="008C36FC" w:rsidRPr="009448FC" w:rsidRDefault="008C36FC" w:rsidP="003701DB">
      <w:pPr>
        <w:pStyle w:val="Heading4"/>
        <w:numPr>
          <w:ilvl w:val="3"/>
          <w:numId w:val="33"/>
        </w:numPr>
        <w:rPr>
          <w:rFonts w:ascii="Arial" w:hAnsi="Arial"/>
          <w:lang w:val="fr-FR"/>
        </w:rPr>
      </w:pPr>
      <w:bookmarkStart w:id="2346" w:name="_Toc205016596"/>
      <w:bookmarkStart w:id="2347" w:name="_Toc205121602"/>
      <w:bookmarkStart w:id="2348" w:name="_Toc206227485"/>
      <w:bookmarkStart w:id="2349" w:name="_Toc206415432"/>
      <w:bookmarkStart w:id="2350" w:name="_Toc206418239"/>
      <w:bookmarkStart w:id="2351" w:name="_Toc207099051"/>
      <w:bookmarkStart w:id="2352" w:name="_Toc207099659"/>
      <w:bookmarkStart w:id="2353" w:name="_Toc207100578"/>
      <w:bookmarkStart w:id="2354" w:name="_Toc207348500"/>
      <w:bookmarkStart w:id="2355" w:name="_Toc215582870"/>
      <w:bookmarkStart w:id="2356" w:name="_Toc235400566"/>
      <w:bookmarkStart w:id="2357" w:name="_Toc259717215"/>
      <w:r w:rsidRPr="009448FC">
        <w:t>Non-PCP</w:t>
      </w:r>
      <w:r w:rsidR="00F14013" w:rsidRPr="009448FC">
        <w:t>/non-</w:t>
      </w:r>
      <w:r w:rsidR="00655EA4" w:rsidRPr="009448FC">
        <w:t xml:space="preserve">AP </w:t>
      </w:r>
      <w:r w:rsidRPr="009448FC">
        <w:t xml:space="preserve">STA Association </w:t>
      </w:r>
      <w:r w:rsidR="000F5629" w:rsidRPr="009448FC">
        <w:t xml:space="preserve">and RSNA </w:t>
      </w:r>
      <w:r w:rsidRPr="009448FC">
        <w:t>procedures</w:t>
      </w:r>
      <w:bookmarkEnd w:id="2346"/>
      <w:bookmarkEnd w:id="2347"/>
      <w:bookmarkEnd w:id="2348"/>
      <w:bookmarkEnd w:id="2349"/>
      <w:bookmarkEnd w:id="2350"/>
      <w:bookmarkEnd w:id="2351"/>
      <w:bookmarkEnd w:id="2352"/>
      <w:bookmarkEnd w:id="2353"/>
      <w:bookmarkEnd w:id="2354"/>
      <w:bookmarkEnd w:id="2355"/>
      <w:bookmarkEnd w:id="2356"/>
      <w:bookmarkEnd w:id="2357"/>
    </w:p>
    <w:p w:rsidR="008C36FC" w:rsidRPr="009448FC" w:rsidRDefault="008C36FC" w:rsidP="004D1E99">
      <w:r w:rsidRPr="009448FC">
        <w:t>Upon receipt of an MLME-ASSOCIATE.request primitive, a STA shall associate with a PCP</w:t>
      </w:r>
      <w:r w:rsidR="000F5629" w:rsidRPr="009448FC">
        <w:t>/AP</w:t>
      </w:r>
      <w:r w:rsidRPr="009448FC">
        <w:t xml:space="preserve"> via the following procedure:</w:t>
      </w:r>
    </w:p>
    <w:p w:rsidR="008C36FC" w:rsidRPr="009448FC" w:rsidRDefault="008C36FC" w:rsidP="00AA3F40">
      <w:pPr>
        <w:numPr>
          <w:ilvl w:val="0"/>
          <w:numId w:val="1"/>
        </w:numPr>
      </w:pPr>
      <w:r w:rsidRPr="009448FC">
        <w:t xml:space="preserve">The STA shall transmit an Association Request frame to a </w:t>
      </w:r>
      <w:r w:rsidR="005C24D3" w:rsidRPr="009448FC">
        <w:t>PCP/</w:t>
      </w:r>
      <w:r w:rsidR="00655EA4" w:rsidRPr="009448FC">
        <w:t>AP.</w:t>
      </w:r>
      <w:r w:rsidRPr="009448FC">
        <w:t xml:space="preserve"> If the MLME-ASSOCIATE.request primitive contained an RSN information element with only one pairwise cipher suite and only one authenticated key suite, this RSN information element shall be included in the Association Request frame.</w:t>
      </w:r>
    </w:p>
    <w:p w:rsidR="008C36FC" w:rsidRPr="009448FC" w:rsidRDefault="008C36FC" w:rsidP="004D1E99">
      <w:pPr>
        <w:numPr>
          <w:ilvl w:val="0"/>
          <w:numId w:val="1"/>
        </w:numPr>
      </w:pPr>
      <w:r w:rsidRPr="009448FC">
        <w:t xml:space="preserve">If an Association Response frame is received with a status value of “successful,” the STA is now associated with the </w:t>
      </w:r>
      <w:r w:rsidR="005C24D3" w:rsidRPr="009448FC">
        <w:t>PCP/</w:t>
      </w:r>
      <w:r w:rsidR="00655EA4" w:rsidRPr="009448FC">
        <w:t>AP.</w:t>
      </w:r>
      <w:r w:rsidRPr="009448FC">
        <w:t xml:space="preserve"> The state variable shall be set to State 2, and the MLME shall issue an MLME-ASSOCIATE.confirm primitive indicating the successful completion of the operation.</w:t>
      </w:r>
    </w:p>
    <w:p w:rsidR="008C36FC" w:rsidRPr="009448FC" w:rsidRDefault="008C36FC" w:rsidP="000F5629">
      <w:pPr>
        <w:numPr>
          <w:ilvl w:val="0"/>
          <w:numId w:val="1"/>
        </w:numPr>
      </w:pPr>
      <w:r w:rsidRPr="009448FC">
        <w:t xml:space="preserve">If an Association Response frame is received with a status value other than “successful” or the AssociateFailureTimeout expires, the STA is not associated with the </w:t>
      </w:r>
      <w:r w:rsidR="005C24D3" w:rsidRPr="009448FC">
        <w:t>PCP/</w:t>
      </w:r>
      <w:r w:rsidR="00655EA4" w:rsidRPr="009448FC">
        <w:t>AP.</w:t>
      </w:r>
      <w:r w:rsidRPr="009448FC">
        <w:t xml:space="preserve"> The MLME shall issue an MLME-ASSOCIATE.confirm primitive indicating the failure of the operation. The status code returned in the Association Response frame indicates the cause of the failed association attempt. Any misconfiguration or parameter mismatch, e.g., data rates required as basic rates that the STA did not indicate as supported in the STA’s Supported Rates information element, shall be corrected before the SME issues an MLME-ASSOCIATE.request for the same </w:t>
      </w:r>
      <w:r w:rsidR="005C24D3" w:rsidRPr="009448FC">
        <w:t>PCP/</w:t>
      </w:r>
      <w:r w:rsidR="00655EA4" w:rsidRPr="009448FC">
        <w:t>AP.</w:t>
      </w:r>
      <w:r w:rsidRPr="009448FC">
        <w:t xml:space="preserve"> If the status code indicates the association failed because of a reason that is not related to configuration, e.g., the </w:t>
      </w:r>
      <w:r w:rsidR="005C24D3" w:rsidRPr="009448FC">
        <w:t>PCP/</w:t>
      </w:r>
      <w:r w:rsidR="00655EA4" w:rsidRPr="009448FC">
        <w:t xml:space="preserve">AP </w:t>
      </w:r>
      <w:r w:rsidRPr="009448FC">
        <w:t xml:space="preserve">is unable to support additional associations, the SME shall not issue an MLME-ASSOCIATE.request for the same </w:t>
      </w:r>
      <w:r w:rsidR="005C24D3" w:rsidRPr="009448FC">
        <w:t>PCP/</w:t>
      </w:r>
      <w:r w:rsidR="00655EA4" w:rsidRPr="009448FC">
        <w:t xml:space="preserve">AP </w:t>
      </w:r>
      <w:r w:rsidRPr="009448FC">
        <w:t xml:space="preserve">until a period of at least </w:t>
      </w:r>
      <w:r w:rsidR="000F5629" w:rsidRPr="009448FC">
        <w:t xml:space="preserve">2 seconds </w:t>
      </w:r>
      <w:r w:rsidRPr="009448FC">
        <w:t>has elapsed.</w:t>
      </w:r>
    </w:p>
    <w:p w:rsidR="008C36FC" w:rsidRPr="009448FC" w:rsidRDefault="008C36FC" w:rsidP="004D1E99"/>
    <w:p w:rsidR="000F5629" w:rsidRPr="009448FC" w:rsidRDefault="000F5629" w:rsidP="004D1E99">
      <w:r w:rsidRPr="009448FC">
        <w:t>Upon receipt of an MLME-SETPROTECTION.request primitive with ProtectType set to “Rx_Tx,” a STA shall establish RSNA. The state variable shall be set to State 3 if the STA successfully establishes RSNA. The State variable shall remain unchanged if the STA does not successfully establish RSNA.</w:t>
      </w:r>
    </w:p>
    <w:p w:rsidR="000F5629" w:rsidRPr="009448FC" w:rsidRDefault="000F5629" w:rsidP="004D1E99"/>
    <w:p w:rsidR="008C36FC" w:rsidRPr="009448FC" w:rsidRDefault="008C36FC" w:rsidP="00F3627E">
      <w:r w:rsidRPr="009448FC">
        <w:t>The STA’s SME shall delete any PTKSA and temporal keys held for communication with the indicated STA by using MLME-DELETEKEYS.request primitive (</w:t>
      </w:r>
      <w:r w:rsidR="00BD151C" w:rsidRPr="009448FC">
        <w:fldChar w:fldCharType="begin"/>
      </w:r>
      <w:r w:rsidR="00F3627E" w:rsidRPr="009448FC">
        <w:instrText xml:space="preserve"> REF _Ref243985733 \r \h </w:instrText>
      </w:r>
      <w:r w:rsidR="00BD151C" w:rsidRPr="009448FC">
        <w:fldChar w:fldCharType="separate"/>
      </w:r>
      <w:r w:rsidR="003E4210">
        <w:t>8.4.10</w:t>
      </w:r>
      <w:r w:rsidR="00BD151C" w:rsidRPr="009448FC">
        <w:fldChar w:fldCharType="end"/>
      </w:r>
      <w:r w:rsidRPr="009448FC">
        <w:t>) before invoking MLME-ASSOCIATE.request primitive.</w:t>
      </w:r>
    </w:p>
    <w:p w:rsidR="008C36FC" w:rsidRPr="009448FC" w:rsidRDefault="008C36FC" w:rsidP="004D1E99">
      <w:pPr>
        <w:rPr>
          <w:b/>
          <w:i/>
        </w:rPr>
      </w:pPr>
    </w:p>
    <w:p w:rsidR="008C36FC" w:rsidRPr="009448FC" w:rsidRDefault="005C24D3" w:rsidP="003701DB">
      <w:pPr>
        <w:pStyle w:val="Heading4"/>
        <w:numPr>
          <w:ilvl w:val="3"/>
          <w:numId w:val="33"/>
        </w:numPr>
      </w:pPr>
      <w:bookmarkStart w:id="2358" w:name="_Toc205016597"/>
      <w:bookmarkStart w:id="2359" w:name="_Toc205121603"/>
      <w:bookmarkStart w:id="2360" w:name="_Toc206227486"/>
      <w:bookmarkStart w:id="2361" w:name="_Toc206415433"/>
      <w:bookmarkStart w:id="2362" w:name="_Toc206418240"/>
      <w:bookmarkStart w:id="2363" w:name="_Toc207099052"/>
      <w:bookmarkStart w:id="2364" w:name="_Toc207099660"/>
      <w:bookmarkStart w:id="2365" w:name="_Toc207100579"/>
      <w:bookmarkStart w:id="2366" w:name="_Toc207348501"/>
      <w:bookmarkStart w:id="2367" w:name="_Toc215582871"/>
      <w:bookmarkStart w:id="2368" w:name="_Toc235400567"/>
      <w:bookmarkStart w:id="2369" w:name="_Toc259717216"/>
      <w:r w:rsidRPr="009448FC">
        <w:t>PCP/</w:t>
      </w:r>
      <w:r w:rsidR="00655EA4" w:rsidRPr="009448FC">
        <w:t xml:space="preserve">AP </w:t>
      </w:r>
      <w:r w:rsidR="008C36FC" w:rsidRPr="009448FC">
        <w:t xml:space="preserve">Association </w:t>
      </w:r>
      <w:r w:rsidR="000F5629" w:rsidRPr="009448FC">
        <w:t xml:space="preserve">and RSNA </w:t>
      </w:r>
      <w:r w:rsidR="008C36FC" w:rsidRPr="009448FC">
        <w:t>procedures</w:t>
      </w:r>
      <w:bookmarkEnd w:id="2358"/>
      <w:bookmarkEnd w:id="2359"/>
      <w:bookmarkEnd w:id="2360"/>
      <w:bookmarkEnd w:id="2361"/>
      <w:bookmarkEnd w:id="2362"/>
      <w:bookmarkEnd w:id="2363"/>
      <w:bookmarkEnd w:id="2364"/>
      <w:bookmarkEnd w:id="2365"/>
      <w:bookmarkEnd w:id="2366"/>
      <w:bookmarkEnd w:id="2367"/>
      <w:bookmarkEnd w:id="2368"/>
      <w:bookmarkEnd w:id="2369"/>
    </w:p>
    <w:p w:rsidR="008C36FC" w:rsidRPr="009448FC" w:rsidRDefault="008C36FC" w:rsidP="004D1E99">
      <w:r w:rsidRPr="009448FC">
        <w:t xml:space="preserve">When an Association Request frame is received from a STA, the </w:t>
      </w:r>
      <w:r w:rsidR="005C24D3" w:rsidRPr="009448FC">
        <w:t>PCP/</w:t>
      </w:r>
      <w:r w:rsidR="00655EA4" w:rsidRPr="009448FC">
        <w:t xml:space="preserve">AP </w:t>
      </w:r>
      <w:r w:rsidRPr="009448FC">
        <w:t>shall associate with the STA using the following procedure:</w:t>
      </w:r>
    </w:p>
    <w:p w:rsidR="008C36FC" w:rsidRPr="009448FC" w:rsidRDefault="008C36FC" w:rsidP="004D1E99">
      <w:pPr>
        <w:numPr>
          <w:ilvl w:val="0"/>
          <w:numId w:val="2"/>
        </w:numPr>
      </w:pPr>
      <w:r w:rsidRPr="009448FC">
        <w:lastRenderedPageBreak/>
        <w:t xml:space="preserve">In an RSNA, the </w:t>
      </w:r>
      <w:r w:rsidR="005C24D3" w:rsidRPr="009448FC">
        <w:t>PCP/</w:t>
      </w:r>
      <w:r w:rsidR="00655EA4" w:rsidRPr="009448FC">
        <w:t xml:space="preserve">AP </w:t>
      </w:r>
      <w:r w:rsidRPr="009448FC">
        <w:t xml:space="preserve">shall check the values received in the RSN information element to see whether the values received match the </w:t>
      </w:r>
      <w:r w:rsidR="005C24D3" w:rsidRPr="009448FC">
        <w:t>PCP/</w:t>
      </w:r>
      <w:r w:rsidR="00655EA4" w:rsidRPr="009448FC">
        <w:t xml:space="preserve">AP </w:t>
      </w:r>
      <w:r w:rsidRPr="009448FC">
        <w:t>’s security policy. If not, the association shall not be accepted.</w:t>
      </w:r>
      <w:r w:rsidR="000F5629" w:rsidRPr="009448FC">
        <w:t xml:space="preserve"> Otherwise, the PCP/AP shall transmit </w:t>
      </w:r>
      <w:r w:rsidR="000F5629" w:rsidRPr="009448FC">
        <w:rPr>
          <w:rFonts w:eastAsia="MS Mincho"/>
          <w:sz w:val="23"/>
        </w:rPr>
        <w:t xml:space="preserve">an Association Response frame addressed to the STA before </w:t>
      </w:r>
      <w:r w:rsidR="007155B3" w:rsidRPr="009448FC">
        <w:rPr>
          <w:rFonts w:eastAsia="MS Mincho"/>
          <w:sz w:val="23"/>
        </w:rPr>
        <w:t>dot11</w:t>
      </w:r>
      <w:r w:rsidR="000F5629" w:rsidRPr="009448FC">
        <w:rPr>
          <w:rFonts w:eastAsia="MS Mincho"/>
          <w:sz w:val="23"/>
        </w:rPr>
        <w:t>AssocRespConfirmTime expires.</w:t>
      </w:r>
    </w:p>
    <w:p w:rsidR="008C36FC" w:rsidRPr="009448FC" w:rsidRDefault="008C36FC" w:rsidP="000E19E5">
      <w:pPr>
        <w:numPr>
          <w:ilvl w:val="0"/>
          <w:numId w:val="2"/>
        </w:numPr>
      </w:pPr>
      <w:r w:rsidRPr="009448FC">
        <w:t xml:space="preserve">Upon receipt of an MLME-Associate.response service primitive, the </w:t>
      </w:r>
      <w:r w:rsidR="005C24D3" w:rsidRPr="009448FC">
        <w:t>PCP/</w:t>
      </w:r>
      <w:r w:rsidR="00655EA4" w:rsidRPr="009448FC">
        <w:t xml:space="preserve">AP </w:t>
      </w:r>
      <w:r w:rsidRPr="009448FC">
        <w:t xml:space="preserve">shall transmit an Association Response with a status code as defined in </w:t>
      </w:r>
      <w:r w:rsidR="00BD151C" w:rsidRPr="009448FC">
        <w:fldChar w:fldCharType="begin"/>
      </w:r>
      <w:r w:rsidR="000E19E5" w:rsidRPr="009448FC">
        <w:instrText xml:space="preserve"> REF _Ref243985794 \r \h </w:instrText>
      </w:r>
      <w:r w:rsidR="00BD151C" w:rsidRPr="009448FC">
        <w:fldChar w:fldCharType="separate"/>
      </w:r>
      <w:r w:rsidR="003E4210">
        <w:t>7.3.1.9</w:t>
      </w:r>
      <w:r w:rsidR="00BD151C" w:rsidRPr="009448FC">
        <w:fldChar w:fldCharType="end"/>
      </w:r>
      <w:r w:rsidR="000E19E5" w:rsidRPr="009448FC">
        <w:t xml:space="preserve"> </w:t>
      </w:r>
      <w:r w:rsidR="00084976" w:rsidRPr="009448FC">
        <w:t>and with AID field in the range 1-254</w:t>
      </w:r>
      <w:r w:rsidR="00655EA4" w:rsidRPr="009448FC">
        <w:t>.</w:t>
      </w:r>
      <w:r w:rsidRPr="009448FC">
        <w:t xml:space="preserve"> If the status value is “successful,” the association identifier assigned to the STA shall be included in the response. </w:t>
      </w:r>
    </w:p>
    <w:p w:rsidR="008C36FC" w:rsidRPr="009448FC" w:rsidRDefault="008C36FC" w:rsidP="0024076A">
      <w:pPr>
        <w:numPr>
          <w:ilvl w:val="0"/>
          <w:numId w:val="2"/>
        </w:numPr>
      </w:pPr>
      <w:r w:rsidRPr="009448FC">
        <w:t xml:space="preserve">When the status value of the association is not successful, the </w:t>
      </w:r>
      <w:r w:rsidR="005C24D3" w:rsidRPr="009448FC">
        <w:t>PCP/</w:t>
      </w:r>
      <w:r w:rsidR="00655EA4" w:rsidRPr="009448FC">
        <w:t xml:space="preserve">AP </w:t>
      </w:r>
      <w:r w:rsidRPr="009448FC">
        <w:t xml:space="preserve">shall indicate a specific reason for the failure to associate in the status code of the Association Response frame. If any status code value from Table 7-23 in </w:t>
      </w:r>
      <w:r w:rsidR="00BD151C" w:rsidRPr="009448FC">
        <w:fldChar w:fldCharType="begin"/>
      </w:r>
      <w:r w:rsidR="0024076A" w:rsidRPr="009448FC">
        <w:instrText xml:space="preserve"> REF _Ref243985794 \r \h </w:instrText>
      </w:r>
      <w:r w:rsidR="00BD151C" w:rsidRPr="009448FC">
        <w:fldChar w:fldCharType="separate"/>
      </w:r>
      <w:r w:rsidR="003E4210">
        <w:t>7.3.1.9</w:t>
      </w:r>
      <w:r w:rsidR="00BD151C" w:rsidRPr="009448FC">
        <w:fldChar w:fldCharType="end"/>
      </w:r>
      <w:r w:rsidR="0024076A" w:rsidRPr="009448FC">
        <w:t xml:space="preserve"> </w:t>
      </w:r>
      <w:r w:rsidRPr="009448FC">
        <w:t xml:space="preserve">is an appropriate reason for the failure to associate, the </w:t>
      </w:r>
      <w:r w:rsidR="005C24D3" w:rsidRPr="009448FC">
        <w:t>PCP/</w:t>
      </w:r>
      <w:r w:rsidR="00655EA4" w:rsidRPr="009448FC">
        <w:t xml:space="preserve">AP </w:t>
      </w:r>
      <w:r w:rsidRPr="009448FC">
        <w:t>shall indicate that status code value. The use of the unspecified reason value of the status code shall indicate the association failed for a reason that is unrelated to every other defined status code value in Table 7-23.</w:t>
      </w:r>
    </w:p>
    <w:p w:rsidR="008C36FC" w:rsidRPr="009448FC" w:rsidRDefault="008C36FC" w:rsidP="004D1E99">
      <w:pPr>
        <w:numPr>
          <w:ilvl w:val="0"/>
          <w:numId w:val="2"/>
        </w:numPr>
        <w:autoSpaceDE w:val="0"/>
        <w:autoSpaceDN w:val="0"/>
        <w:adjustRightInd w:val="0"/>
      </w:pPr>
      <w:r w:rsidRPr="009448FC">
        <w:t xml:space="preserve">When the Association Response frame with a status value of “successful” is acknowledged by the STA, the STA is considered to be associated with this </w:t>
      </w:r>
      <w:r w:rsidR="005C24D3" w:rsidRPr="009448FC">
        <w:t>PCP/</w:t>
      </w:r>
      <w:r w:rsidR="00655EA4" w:rsidRPr="009448FC">
        <w:t>AP.</w:t>
      </w:r>
      <w:r w:rsidRPr="009448FC">
        <w:t xml:space="preserve"> The state variable for the STA shall be set to State 2.</w:t>
      </w:r>
    </w:p>
    <w:p w:rsidR="008C36FC" w:rsidRPr="009448FC" w:rsidRDefault="008C36FC" w:rsidP="004D1E99">
      <w:pPr>
        <w:autoSpaceDE w:val="0"/>
        <w:autoSpaceDN w:val="0"/>
        <w:adjustRightInd w:val="0"/>
      </w:pPr>
    </w:p>
    <w:p w:rsidR="000F5629" w:rsidRPr="009448FC" w:rsidRDefault="000F5629" w:rsidP="000F5629">
      <w:r w:rsidRPr="009448FC">
        <w:t>Upon receipt of an MLME-SETPROTECTION.request primitive with ProtectType set to “Rx_Tx,” a PCP/AP shall establish RSNA. The state variable shall be set to State 3 if the PCP/STA successfully establishes RSNA. The State variable shall remain unchanged if the PCP/STA does not successfully establish RSNA.</w:t>
      </w:r>
    </w:p>
    <w:p w:rsidR="000F5629" w:rsidRPr="009448FC" w:rsidRDefault="000F5629" w:rsidP="004D1E99">
      <w:pPr>
        <w:autoSpaceDE w:val="0"/>
        <w:autoSpaceDN w:val="0"/>
        <w:adjustRightInd w:val="0"/>
      </w:pPr>
    </w:p>
    <w:p w:rsidR="008C36FC" w:rsidRPr="009448FC" w:rsidRDefault="008C36FC" w:rsidP="00671AEC">
      <w:pPr>
        <w:autoSpaceDE w:val="0"/>
        <w:autoSpaceDN w:val="0"/>
        <w:adjustRightInd w:val="0"/>
      </w:pPr>
      <w:r w:rsidRPr="009448FC">
        <w:t xml:space="preserve">The STA’s SME shall delete any PTKSA and temporal keys held for communication with the indicated STA by using MLME-DELETEKEYS.request primitive (see </w:t>
      </w:r>
      <w:r w:rsidR="00BD151C" w:rsidRPr="009448FC">
        <w:fldChar w:fldCharType="begin"/>
      </w:r>
      <w:r w:rsidR="00671AEC" w:rsidRPr="009448FC">
        <w:instrText xml:space="preserve"> REF _Ref243985733 \r \h </w:instrText>
      </w:r>
      <w:r w:rsidR="00BD151C" w:rsidRPr="009448FC">
        <w:fldChar w:fldCharType="separate"/>
      </w:r>
      <w:r w:rsidR="003E4210">
        <w:t>8.4.10</w:t>
      </w:r>
      <w:r w:rsidR="00BD151C" w:rsidRPr="009448FC">
        <w:fldChar w:fldCharType="end"/>
      </w:r>
      <w:r w:rsidRPr="009448FC">
        <w:t>) upon receiving a MLME-ASSOCIATE.indication primitive.</w:t>
      </w:r>
    </w:p>
    <w:p w:rsidR="008C36FC" w:rsidRPr="009448FC" w:rsidRDefault="008C36FC" w:rsidP="004D1E99">
      <w:pPr>
        <w:autoSpaceDE w:val="0"/>
        <w:autoSpaceDN w:val="0"/>
        <w:adjustRightInd w:val="0"/>
      </w:pPr>
    </w:p>
    <w:p w:rsidR="008C36FC" w:rsidRPr="009448FC" w:rsidRDefault="008C36FC" w:rsidP="003701DB">
      <w:pPr>
        <w:pStyle w:val="Heading4"/>
        <w:numPr>
          <w:ilvl w:val="3"/>
          <w:numId w:val="33"/>
        </w:numPr>
        <w:rPr>
          <w:lang w:val="fr-FR"/>
        </w:rPr>
      </w:pPr>
      <w:bookmarkStart w:id="2370" w:name="_Toc205016600"/>
      <w:bookmarkStart w:id="2371" w:name="_Toc205121606"/>
      <w:bookmarkStart w:id="2372" w:name="_Toc206227489"/>
      <w:bookmarkStart w:id="2373" w:name="_Toc206415436"/>
      <w:bookmarkStart w:id="2374" w:name="_Toc206418243"/>
      <w:bookmarkStart w:id="2375" w:name="_Toc207099055"/>
      <w:bookmarkStart w:id="2376" w:name="_Toc207099663"/>
      <w:bookmarkStart w:id="2377" w:name="_Toc207100582"/>
      <w:bookmarkStart w:id="2378" w:name="_Toc207348504"/>
      <w:bookmarkStart w:id="2379" w:name="_Toc215582874"/>
      <w:bookmarkStart w:id="2380" w:name="_Toc235400568"/>
      <w:bookmarkStart w:id="2381" w:name="_Toc259717217"/>
      <w:r w:rsidRPr="009448FC">
        <w:rPr>
          <w:lang w:val="fr-FR"/>
        </w:rPr>
        <w:t>Non-PCP</w:t>
      </w:r>
      <w:r w:rsidR="005C24D3" w:rsidRPr="009448FC">
        <w:rPr>
          <w:lang w:val="fr-FR"/>
        </w:rPr>
        <w:t>/non-</w:t>
      </w:r>
      <w:r w:rsidR="00655EA4" w:rsidRPr="009448FC">
        <w:rPr>
          <w:lang w:val="fr-FR"/>
        </w:rPr>
        <w:t xml:space="preserve">AP </w:t>
      </w:r>
      <w:r w:rsidRPr="009448FC">
        <w:rPr>
          <w:lang w:val="fr-FR"/>
        </w:rPr>
        <w:t>STA Disassociation procedures</w:t>
      </w:r>
      <w:bookmarkEnd w:id="2370"/>
      <w:bookmarkEnd w:id="2371"/>
      <w:bookmarkEnd w:id="2372"/>
      <w:bookmarkEnd w:id="2373"/>
      <w:bookmarkEnd w:id="2374"/>
      <w:bookmarkEnd w:id="2375"/>
      <w:bookmarkEnd w:id="2376"/>
      <w:bookmarkEnd w:id="2377"/>
      <w:bookmarkEnd w:id="2378"/>
      <w:bookmarkEnd w:id="2379"/>
      <w:bookmarkEnd w:id="2380"/>
      <w:bookmarkEnd w:id="2381"/>
    </w:p>
    <w:p w:rsidR="008C36FC" w:rsidRPr="009448FC" w:rsidRDefault="008C36FC" w:rsidP="004D1E99">
      <w:r w:rsidRPr="009448FC">
        <w:t xml:space="preserve">Upon receipt of an MLME-DISASSOCIATE.request primitive, an associated STA shall disassociate from a </w:t>
      </w:r>
      <w:r w:rsidR="005C24D3" w:rsidRPr="009448FC">
        <w:t>PCP/</w:t>
      </w:r>
      <w:r w:rsidR="00655EA4" w:rsidRPr="009448FC">
        <w:t xml:space="preserve">AP </w:t>
      </w:r>
      <w:r w:rsidRPr="009448FC">
        <w:t>using the following procedure:</w:t>
      </w:r>
    </w:p>
    <w:p w:rsidR="008C36FC" w:rsidRPr="009448FC" w:rsidRDefault="008C36FC" w:rsidP="004D1E99">
      <w:pPr>
        <w:numPr>
          <w:ilvl w:val="0"/>
          <w:numId w:val="3"/>
        </w:numPr>
      </w:pPr>
      <w:r w:rsidRPr="009448FC">
        <w:t xml:space="preserve">The STA shall transmit a Disassociation frame to the </w:t>
      </w:r>
      <w:r w:rsidR="005C24D3" w:rsidRPr="009448FC">
        <w:t>PCP/</w:t>
      </w:r>
      <w:r w:rsidR="00655EA4" w:rsidRPr="009448FC">
        <w:t xml:space="preserve">AP </w:t>
      </w:r>
      <w:r w:rsidRPr="009448FC">
        <w:t>with which that STA is associated.</w:t>
      </w:r>
    </w:p>
    <w:p w:rsidR="008C36FC" w:rsidRPr="009448FC" w:rsidRDefault="008C36FC" w:rsidP="004D1E99">
      <w:pPr>
        <w:numPr>
          <w:ilvl w:val="0"/>
          <w:numId w:val="3"/>
        </w:numPr>
      </w:pPr>
      <w:r w:rsidRPr="009448FC">
        <w:t xml:space="preserve">The state variable for the </w:t>
      </w:r>
      <w:r w:rsidR="005C24D3" w:rsidRPr="009448FC">
        <w:t>PCP/</w:t>
      </w:r>
      <w:r w:rsidR="00655EA4" w:rsidRPr="009448FC">
        <w:t xml:space="preserve">AP </w:t>
      </w:r>
      <w:r w:rsidRPr="009448FC">
        <w:t>shall be set to State 1.</w:t>
      </w:r>
    </w:p>
    <w:p w:rsidR="008C36FC" w:rsidRPr="009448FC" w:rsidRDefault="008C36FC" w:rsidP="004D1E99">
      <w:pPr>
        <w:numPr>
          <w:ilvl w:val="0"/>
          <w:numId w:val="3"/>
        </w:numPr>
      </w:pPr>
      <w:r w:rsidRPr="009448FC">
        <w:t>The MLME shall issue an MLME-DISASSOCIATE.confirm primitive indicating the successful completion of the operation.</w:t>
      </w:r>
    </w:p>
    <w:p w:rsidR="008C36FC" w:rsidRPr="009448FC" w:rsidRDefault="008C36FC" w:rsidP="004D1E99"/>
    <w:p w:rsidR="008C36FC" w:rsidRPr="009448FC" w:rsidRDefault="008C36FC" w:rsidP="00055AF0">
      <w:r w:rsidRPr="009448FC">
        <w:t xml:space="preserve">The STA’s SME shall delete any PTKSA and temporal keys held for communication with the indicated STA by using the MLME-DELETEKEYS.request primitive (see </w:t>
      </w:r>
      <w:r w:rsidR="00BD151C" w:rsidRPr="009448FC">
        <w:fldChar w:fldCharType="begin"/>
      </w:r>
      <w:r w:rsidR="00055AF0" w:rsidRPr="009448FC">
        <w:instrText xml:space="preserve"> REF _Ref243985733 \r \h </w:instrText>
      </w:r>
      <w:r w:rsidR="00BD151C" w:rsidRPr="009448FC">
        <w:fldChar w:fldCharType="separate"/>
      </w:r>
      <w:r w:rsidR="003E4210">
        <w:t>8.4.10</w:t>
      </w:r>
      <w:r w:rsidR="00BD151C" w:rsidRPr="009448FC">
        <w:fldChar w:fldCharType="end"/>
      </w:r>
      <w:r w:rsidRPr="009448FC">
        <w:t>) and</w:t>
      </w:r>
      <w:r w:rsidR="00281486" w:rsidRPr="009448FC">
        <w:t xml:space="preserve"> </w:t>
      </w:r>
      <w:r w:rsidRPr="009448FC">
        <w:t xml:space="preserve">by invoking MLME-SETPROTECTION.request(None) before invoking the MLME-DISASSOCIATE.request primitive. </w:t>
      </w:r>
    </w:p>
    <w:p w:rsidR="008C36FC" w:rsidRPr="009448FC" w:rsidRDefault="008C36FC" w:rsidP="004D1E99"/>
    <w:p w:rsidR="008C36FC" w:rsidRPr="009448FC" w:rsidRDefault="00A42BE8" w:rsidP="003701DB">
      <w:pPr>
        <w:pStyle w:val="Heading4"/>
        <w:numPr>
          <w:ilvl w:val="3"/>
          <w:numId w:val="33"/>
        </w:numPr>
        <w:rPr>
          <w:lang w:val="fr-FR"/>
        </w:rPr>
      </w:pPr>
      <w:bookmarkStart w:id="2382" w:name="_Toc205016601"/>
      <w:bookmarkStart w:id="2383" w:name="_Toc205121607"/>
      <w:bookmarkStart w:id="2384" w:name="_Toc206227490"/>
      <w:bookmarkStart w:id="2385" w:name="_Toc206415437"/>
      <w:bookmarkStart w:id="2386" w:name="_Toc206418244"/>
      <w:bookmarkStart w:id="2387" w:name="_Toc207099056"/>
      <w:bookmarkStart w:id="2388" w:name="_Toc207099664"/>
      <w:bookmarkStart w:id="2389" w:name="_Toc207100583"/>
      <w:bookmarkStart w:id="2390" w:name="_Toc207348505"/>
      <w:bookmarkStart w:id="2391" w:name="_Toc215582875"/>
      <w:r w:rsidRPr="009448FC">
        <w:t xml:space="preserve"> </w:t>
      </w:r>
      <w:bookmarkStart w:id="2392" w:name="_Toc235400569"/>
      <w:bookmarkStart w:id="2393" w:name="_Toc259717218"/>
      <w:r w:rsidR="008C36FC" w:rsidRPr="009448FC">
        <w:rPr>
          <w:lang w:val="fr-FR"/>
        </w:rPr>
        <w:t>Non-PCP</w:t>
      </w:r>
      <w:r w:rsidR="005C24D3" w:rsidRPr="009448FC">
        <w:rPr>
          <w:lang w:val="fr-FR"/>
        </w:rPr>
        <w:t>/non-</w:t>
      </w:r>
      <w:r w:rsidR="00655EA4" w:rsidRPr="009448FC">
        <w:rPr>
          <w:lang w:val="fr-FR"/>
        </w:rPr>
        <w:t xml:space="preserve">AP </w:t>
      </w:r>
      <w:r w:rsidR="008C36FC" w:rsidRPr="009448FC">
        <w:rPr>
          <w:lang w:val="fr-FR"/>
        </w:rPr>
        <w:t>STA disassociation receipt procedure</w:t>
      </w:r>
      <w:bookmarkEnd w:id="2382"/>
      <w:bookmarkEnd w:id="2383"/>
      <w:bookmarkEnd w:id="2384"/>
      <w:bookmarkEnd w:id="2385"/>
      <w:bookmarkEnd w:id="2386"/>
      <w:bookmarkEnd w:id="2387"/>
      <w:bookmarkEnd w:id="2388"/>
      <w:bookmarkEnd w:id="2389"/>
      <w:bookmarkEnd w:id="2390"/>
      <w:bookmarkEnd w:id="2391"/>
      <w:bookmarkEnd w:id="2392"/>
      <w:bookmarkEnd w:id="2393"/>
    </w:p>
    <w:p w:rsidR="008C36FC" w:rsidRPr="009448FC" w:rsidRDefault="008C36FC" w:rsidP="004D1E99">
      <w:r w:rsidRPr="009448FC">
        <w:t>Upon receipt of a Disassociation frame, a STA shall operate as follows:</w:t>
      </w:r>
    </w:p>
    <w:p w:rsidR="008C36FC" w:rsidRPr="009448FC" w:rsidRDefault="008C36FC" w:rsidP="004D1E99">
      <w:pPr>
        <w:numPr>
          <w:ilvl w:val="0"/>
          <w:numId w:val="4"/>
        </w:numPr>
      </w:pPr>
      <w:r w:rsidRPr="009448FC">
        <w:t>The MLME shall issue an MLME-DISASSOCIATE.indication with the ReasonCode parameter set to the value of the reason code received in the Disassociation frame.</w:t>
      </w:r>
    </w:p>
    <w:p w:rsidR="008C36FC" w:rsidRPr="009448FC" w:rsidRDefault="008C36FC" w:rsidP="004D1E99">
      <w:pPr>
        <w:numPr>
          <w:ilvl w:val="0"/>
          <w:numId w:val="4"/>
        </w:numPr>
      </w:pPr>
      <w:r w:rsidRPr="009448FC">
        <w:t xml:space="preserve">The state variable for the </w:t>
      </w:r>
      <w:r w:rsidR="005C24D3" w:rsidRPr="009448FC">
        <w:t>PCP/</w:t>
      </w:r>
      <w:r w:rsidR="00655EA4" w:rsidRPr="009448FC">
        <w:t xml:space="preserve">AP </w:t>
      </w:r>
      <w:r w:rsidRPr="009448FC">
        <w:t>shall be set to State 1.</w:t>
      </w:r>
    </w:p>
    <w:p w:rsidR="008C36FC" w:rsidRPr="009448FC" w:rsidRDefault="008C36FC" w:rsidP="004D1E99">
      <w:pPr>
        <w:numPr>
          <w:ilvl w:val="0"/>
          <w:numId w:val="4"/>
        </w:numPr>
      </w:pPr>
      <w:r w:rsidRPr="009448FC">
        <w:lastRenderedPageBreak/>
        <w:t xml:space="preserve">If the reason code indicates a configuration or parameter mismatch as the cause of the disassociation, the STA shall not attempt to associate or reassociate with the </w:t>
      </w:r>
      <w:r w:rsidR="005C24D3" w:rsidRPr="009448FC">
        <w:t>PCP/</w:t>
      </w:r>
      <w:r w:rsidR="00655EA4" w:rsidRPr="009448FC">
        <w:t xml:space="preserve">AP </w:t>
      </w:r>
      <w:r w:rsidRPr="009448FC">
        <w:t>sending the Disassociation frame until the configuration or parameter mismatch has been corrected.</w:t>
      </w:r>
    </w:p>
    <w:p w:rsidR="008C36FC" w:rsidRPr="009448FC" w:rsidRDefault="008C36FC" w:rsidP="000F5629">
      <w:pPr>
        <w:numPr>
          <w:ilvl w:val="0"/>
          <w:numId w:val="4"/>
        </w:numPr>
      </w:pPr>
      <w:r w:rsidRPr="009448FC">
        <w:t xml:space="preserve">If the reason code indicates the STA was disassociated for a reason other than configuration or parameter mismatch, the STA shall not attempt to associate the </w:t>
      </w:r>
      <w:r w:rsidR="005C24D3" w:rsidRPr="009448FC">
        <w:t>PCP/</w:t>
      </w:r>
      <w:r w:rsidR="00655EA4" w:rsidRPr="009448FC">
        <w:t xml:space="preserve">AP </w:t>
      </w:r>
      <w:r w:rsidRPr="009448FC">
        <w:t xml:space="preserve">sending the Disassociation frame until a period of </w:t>
      </w:r>
      <w:r w:rsidR="000F5629" w:rsidRPr="009448FC">
        <w:t xml:space="preserve">2 seconds </w:t>
      </w:r>
      <w:r w:rsidRPr="009448FC">
        <w:t>has elapsed.</w:t>
      </w:r>
    </w:p>
    <w:p w:rsidR="008C36FC" w:rsidRPr="009448FC" w:rsidRDefault="008C36FC" w:rsidP="004D1E99"/>
    <w:p w:rsidR="008C36FC" w:rsidRPr="009448FC" w:rsidRDefault="008C36FC" w:rsidP="004C4745">
      <w:r w:rsidRPr="009448FC">
        <w:t xml:space="preserve">The STA’s SME shall delete any PTKSA and temporal keys held for communication with the indicated STA by using the MLME-DELETEKEYS.request primitive (see </w:t>
      </w:r>
      <w:r w:rsidR="00BD151C">
        <w:fldChar w:fldCharType="begin"/>
      </w:r>
      <w:r w:rsidR="004C4745">
        <w:instrText xml:space="preserve"> REF _Ref243985733 \r \h </w:instrText>
      </w:r>
      <w:r w:rsidR="00BD151C">
        <w:fldChar w:fldCharType="separate"/>
      </w:r>
      <w:r w:rsidR="003E4210">
        <w:t>8.4.10</w:t>
      </w:r>
      <w:r w:rsidR="00BD151C">
        <w:fldChar w:fldCharType="end"/>
      </w:r>
      <w:r w:rsidRPr="009448FC">
        <w:t>) and by invoking MLME-SETPROTECTION.request(None) before invoking the MLME-DISASSOCIATE.request primitive.</w:t>
      </w:r>
    </w:p>
    <w:p w:rsidR="008C36FC" w:rsidRPr="009448FC" w:rsidRDefault="008C36FC" w:rsidP="004D1E99"/>
    <w:p w:rsidR="008C36FC" w:rsidRPr="009448FC" w:rsidRDefault="005C24D3" w:rsidP="003701DB">
      <w:pPr>
        <w:pStyle w:val="Heading4"/>
        <w:numPr>
          <w:ilvl w:val="3"/>
          <w:numId w:val="33"/>
        </w:numPr>
      </w:pPr>
      <w:bookmarkStart w:id="2394" w:name="_Toc205016602"/>
      <w:bookmarkStart w:id="2395" w:name="_Toc205121608"/>
      <w:bookmarkStart w:id="2396" w:name="_Toc206227491"/>
      <w:bookmarkStart w:id="2397" w:name="_Toc206415438"/>
      <w:bookmarkStart w:id="2398" w:name="_Toc206418245"/>
      <w:bookmarkStart w:id="2399" w:name="_Toc207099057"/>
      <w:bookmarkStart w:id="2400" w:name="_Toc207099665"/>
      <w:bookmarkStart w:id="2401" w:name="_Toc207100584"/>
      <w:bookmarkStart w:id="2402" w:name="_Toc207348506"/>
      <w:bookmarkStart w:id="2403" w:name="_Toc215582876"/>
      <w:bookmarkStart w:id="2404" w:name="_Toc235400570"/>
      <w:bookmarkStart w:id="2405" w:name="_Toc259717219"/>
      <w:r w:rsidRPr="009448FC">
        <w:t>PCP/</w:t>
      </w:r>
      <w:r w:rsidR="00655EA4" w:rsidRPr="009448FC">
        <w:t xml:space="preserve">AP </w:t>
      </w:r>
      <w:r w:rsidR="008C36FC" w:rsidRPr="009448FC">
        <w:t>disassociation initiation procedure</w:t>
      </w:r>
      <w:bookmarkEnd w:id="2394"/>
      <w:bookmarkEnd w:id="2395"/>
      <w:bookmarkEnd w:id="2396"/>
      <w:bookmarkEnd w:id="2397"/>
      <w:bookmarkEnd w:id="2398"/>
      <w:bookmarkEnd w:id="2399"/>
      <w:bookmarkEnd w:id="2400"/>
      <w:bookmarkEnd w:id="2401"/>
      <w:bookmarkEnd w:id="2402"/>
      <w:bookmarkEnd w:id="2403"/>
      <w:bookmarkEnd w:id="2404"/>
      <w:bookmarkEnd w:id="2405"/>
    </w:p>
    <w:p w:rsidR="008C36FC" w:rsidRPr="009448FC" w:rsidRDefault="008C36FC" w:rsidP="004D1E99">
      <w:r w:rsidRPr="009448FC">
        <w:t xml:space="preserve">Upon receipt of an MLME-DISASSOCIATE.request, a </w:t>
      </w:r>
      <w:r w:rsidR="005C24D3" w:rsidRPr="009448FC">
        <w:t>PCP/</w:t>
      </w:r>
      <w:r w:rsidR="00655EA4" w:rsidRPr="009448FC">
        <w:t xml:space="preserve">AP </w:t>
      </w:r>
      <w:r w:rsidRPr="009448FC">
        <w:t>shall use the following procedure when disassociating a STA:</w:t>
      </w:r>
    </w:p>
    <w:p w:rsidR="008C36FC" w:rsidRPr="009448FC" w:rsidRDefault="008C36FC" w:rsidP="004D1E99">
      <w:pPr>
        <w:numPr>
          <w:ilvl w:val="0"/>
          <w:numId w:val="5"/>
        </w:numPr>
      </w:pPr>
      <w:r w:rsidRPr="009448FC">
        <w:t xml:space="preserve">The </w:t>
      </w:r>
      <w:r w:rsidR="005C24D3" w:rsidRPr="009448FC">
        <w:t>PCP/</w:t>
      </w:r>
      <w:r w:rsidR="00655EA4" w:rsidRPr="009448FC">
        <w:t xml:space="preserve">AP </w:t>
      </w:r>
      <w:r w:rsidRPr="009448FC">
        <w:t>shall send a Disassociation frame to the STA being disassociated.</w:t>
      </w:r>
    </w:p>
    <w:p w:rsidR="008C36FC" w:rsidRPr="009448FC" w:rsidRDefault="008C36FC" w:rsidP="00B930A1">
      <w:pPr>
        <w:numPr>
          <w:ilvl w:val="0"/>
          <w:numId w:val="5"/>
        </w:numPr>
      </w:pPr>
      <w:r w:rsidRPr="009448FC">
        <w:t xml:space="preserve">The </w:t>
      </w:r>
      <w:r w:rsidR="005C24D3" w:rsidRPr="009448FC">
        <w:t>PCP/</w:t>
      </w:r>
      <w:r w:rsidR="00655EA4" w:rsidRPr="009448FC">
        <w:t xml:space="preserve">AP </w:t>
      </w:r>
      <w:r w:rsidRPr="009448FC">
        <w:t>shall indicate a specific reason for the disassociation in the Reason Code field of the Disassociation frame. If any reason code value other than the unspecified reason code from Table 7-22 of</w:t>
      </w:r>
      <w:r w:rsidR="005515A4">
        <w:t xml:space="preserve"> </w:t>
      </w:r>
      <w:r w:rsidR="00B930A1" w:rsidRPr="00B930A1">
        <w:t>7.3.1.7</w:t>
      </w:r>
      <w:r w:rsidR="00B930A1">
        <w:rPr>
          <w:rFonts w:ascii="Arial,Bold" w:hAnsi="Arial,Bold" w:cs="Arial,Bold"/>
          <w:b/>
          <w:bCs/>
          <w:sz w:val="20"/>
          <w:szCs w:val="20"/>
        </w:rPr>
        <w:t xml:space="preserve"> </w:t>
      </w:r>
      <w:r w:rsidRPr="009448FC">
        <w:t xml:space="preserve">is appropriate for indicating the reason for the disassociation, the </w:t>
      </w:r>
      <w:r w:rsidR="005C24D3" w:rsidRPr="009448FC">
        <w:t>PCP/</w:t>
      </w:r>
      <w:r w:rsidR="00655EA4" w:rsidRPr="009448FC">
        <w:t xml:space="preserve">AP </w:t>
      </w:r>
      <w:r w:rsidRPr="009448FC">
        <w:t>shall indicate that reason code value. The use of the unspecified reason value shall indicate the STA was disassociated for a reason unrelated to all defined reason code values defined in Table 7-22.</w:t>
      </w:r>
    </w:p>
    <w:p w:rsidR="008C36FC" w:rsidRPr="009448FC" w:rsidRDefault="008C36FC" w:rsidP="004D1E99">
      <w:pPr>
        <w:numPr>
          <w:ilvl w:val="0"/>
          <w:numId w:val="5"/>
        </w:numPr>
      </w:pPr>
      <w:r w:rsidRPr="009448FC">
        <w:t>The state variable for the STA shall be set to State 1.</w:t>
      </w:r>
    </w:p>
    <w:p w:rsidR="008C36FC" w:rsidRPr="009448FC" w:rsidRDefault="008C36FC" w:rsidP="004D1E99"/>
    <w:p w:rsidR="008C36FC" w:rsidRPr="009448FC" w:rsidRDefault="008C36FC" w:rsidP="00000FF9">
      <w:r w:rsidRPr="009448FC">
        <w:t xml:space="preserve">The STA’s SME shall delete any PTKSA and temporal keys held for communication with the indicated STA by using the MLME-DELETEKEYS.request primitive (see </w:t>
      </w:r>
      <w:r w:rsidR="00BD151C">
        <w:fldChar w:fldCharType="begin"/>
      </w:r>
      <w:r w:rsidR="00000FF9">
        <w:instrText xml:space="preserve"> REF _Ref243985733 \r \h </w:instrText>
      </w:r>
      <w:r w:rsidR="00BD151C">
        <w:fldChar w:fldCharType="separate"/>
      </w:r>
      <w:r w:rsidR="003E4210">
        <w:t>8.4.10</w:t>
      </w:r>
      <w:r w:rsidR="00BD151C">
        <w:fldChar w:fldCharType="end"/>
      </w:r>
      <w:r w:rsidRPr="009448FC">
        <w:t>) and by invoking MLME-SETPROTECTION.request(None) upon receiving a MLME-DISASSOCIATE.indication primitive.</w:t>
      </w:r>
    </w:p>
    <w:p w:rsidR="008C36FC" w:rsidRPr="009448FC" w:rsidRDefault="008C36FC" w:rsidP="004D1E99"/>
    <w:p w:rsidR="008C36FC" w:rsidRPr="009448FC" w:rsidRDefault="005C24D3" w:rsidP="003701DB">
      <w:pPr>
        <w:pStyle w:val="Heading4"/>
        <w:numPr>
          <w:ilvl w:val="3"/>
          <w:numId w:val="33"/>
        </w:numPr>
      </w:pPr>
      <w:bookmarkStart w:id="2406" w:name="_Toc205016603"/>
      <w:bookmarkStart w:id="2407" w:name="_Toc205121609"/>
      <w:bookmarkStart w:id="2408" w:name="_Toc206227492"/>
      <w:bookmarkStart w:id="2409" w:name="_Toc206415439"/>
      <w:bookmarkStart w:id="2410" w:name="_Toc206418246"/>
      <w:bookmarkStart w:id="2411" w:name="_Toc207099058"/>
      <w:bookmarkStart w:id="2412" w:name="_Toc207099666"/>
      <w:bookmarkStart w:id="2413" w:name="_Toc207100585"/>
      <w:bookmarkStart w:id="2414" w:name="_Toc207348507"/>
      <w:bookmarkStart w:id="2415" w:name="_Toc215582877"/>
      <w:bookmarkStart w:id="2416" w:name="_Toc235400571"/>
      <w:bookmarkStart w:id="2417" w:name="_Toc259717220"/>
      <w:r w:rsidRPr="009448FC">
        <w:t>PCP/</w:t>
      </w:r>
      <w:r w:rsidR="00655EA4" w:rsidRPr="009448FC">
        <w:t xml:space="preserve">AP </w:t>
      </w:r>
      <w:r w:rsidR="008C36FC" w:rsidRPr="009448FC">
        <w:t>disassociation receipt procedure</w:t>
      </w:r>
      <w:bookmarkEnd w:id="2406"/>
      <w:bookmarkEnd w:id="2407"/>
      <w:bookmarkEnd w:id="2408"/>
      <w:bookmarkEnd w:id="2409"/>
      <w:bookmarkEnd w:id="2410"/>
      <w:bookmarkEnd w:id="2411"/>
      <w:bookmarkEnd w:id="2412"/>
      <w:bookmarkEnd w:id="2413"/>
      <w:bookmarkEnd w:id="2414"/>
      <w:bookmarkEnd w:id="2415"/>
      <w:bookmarkEnd w:id="2416"/>
      <w:bookmarkEnd w:id="2417"/>
    </w:p>
    <w:p w:rsidR="008C36FC" w:rsidRPr="009448FC" w:rsidRDefault="008C36FC" w:rsidP="004D1E99">
      <w:r w:rsidRPr="009448FC">
        <w:t xml:space="preserve">Upon receipt of a Disassociation frame from an associated STA, the </w:t>
      </w:r>
      <w:r w:rsidR="005C24D3" w:rsidRPr="009448FC">
        <w:t>PCP/</w:t>
      </w:r>
      <w:r w:rsidR="00655EA4" w:rsidRPr="009448FC">
        <w:t xml:space="preserve">AP </w:t>
      </w:r>
      <w:r w:rsidRPr="009448FC">
        <w:t>shall disassociate the STA via the following procedure:</w:t>
      </w:r>
    </w:p>
    <w:p w:rsidR="008C36FC" w:rsidRPr="009448FC" w:rsidRDefault="008C36FC" w:rsidP="004D1E99">
      <w:pPr>
        <w:numPr>
          <w:ilvl w:val="0"/>
          <w:numId w:val="6"/>
        </w:numPr>
      </w:pPr>
      <w:r w:rsidRPr="009448FC">
        <w:t>The state variable for the STA shall be set to State 1.</w:t>
      </w:r>
    </w:p>
    <w:p w:rsidR="008C36FC" w:rsidRPr="009448FC" w:rsidRDefault="008C36FC" w:rsidP="004D1E99">
      <w:pPr>
        <w:numPr>
          <w:ilvl w:val="0"/>
          <w:numId w:val="6"/>
        </w:numPr>
      </w:pPr>
      <w:r w:rsidRPr="009448FC">
        <w:t>The MLME shall issue an MLME-DISASSOCIATE.indication primitive to inform the SME of the disassociation.</w:t>
      </w:r>
    </w:p>
    <w:p w:rsidR="008C36FC" w:rsidRPr="009448FC" w:rsidRDefault="008C36FC" w:rsidP="004D1E99"/>
    <w:p w:rsidR="008C36FC" w:rsidRPr="009448FC" w:rsidRDefault="008C36FC" w:rsidP="002E4EB2">
      <w:r w:rsidRPr="009448FC">
        <w:t xml:space="preserve">The STA’s SME shall delete any PTKSA and temporal keys held for communication with the indicated STA by using the MLME-DELETEKEYS.request primitive (see </w:t>
      </w:r>
      <w:r w:rsidR="00BD151C" w:rsidRPr="009448FC">
        <w:fldChar w:fldCharType="begin"/>
      </w:r>
      <w:r w:rsidR="002E4EB2" w:rsidRPr="009448FC">
        <w:instrText xml:space="preserve"> REF _Ref243985733 \r \h </w:instrText>
      </w:r>
      <w:r w:rsidR="00BD151C" w:rsidRPr="009448FC">
        <w:fldChar w:fldCharType="separate"/>
      </w:r>
      <w:r w:rsidR="003E4210">
        <w:t>8.4.10</w:t>
      </w:r>
      <w:r w:rsidR="00BD151C" w:rsidRPr="009448FC">
        <w:fldChar w:fldCharType="end"/>
      </w:r>
      <w:r w:rsidRPr="009448FC">
        <w:t>) and by invoking MLME-SETPROTECTION.request(None) upon receiving a MLME-DISASSOCIATE.indication primitive.</w:t>
      </w:r>
    </w:p>
    <w:p w:rsidR="006C766E" w:rsidRPr="009448FC" w:rsidRDefault="006C766E" w:rsidP="006C766E">
      <w:pPr>
        <w:rPr>
          <w:b/>
          <w:i/>
        </w:rPr>
      </w:pPr>
    </w:p>
    <w:p w:rsidR="006C766E" w:rsidRPr="009448FC" w:rsidRDefault="006C766E" w:rsidP="003701DB">
      <w:pPr>
        <w:pStyle w:val="Heading3"/>
        <w:numPr>
          <w:ilvl w:val="2"/>
          <w:numId w:val="129"/>
        </w:numPr>
      </w:pPr>
      <w:bookmarkStart w:id="2418" w:name="_Toc205016599"/>
      <w:bookmarkStart w:id="2419" w:name="_Toc205121605"/>
      <w:bookmarkStart w:id="2420" w:name="_Toc206227488"/>
      <w:bookmarkStart w:id="2421" w:name="_Toc206415435"/>
      <w:bookmarkStart w:id="2422" w:name="_Toc206418242"/>
      <w:bookmarkStart w:id="2423" w:name="_Toc207099054"/>
      <w:bookmarkStart w:id="2424" w:name="_Toc207099662"/>
      <w:bookmarkStart w:id="2425" w:name="_Toc207100581"/>
      <w:bookmarkStart w:id="2426" w:name="_Toc207348503"/>
      <w:bookmarkStart w:id="2427" w:name="_Toc215582873"/>
      <w:bookmarkStart w:id="2428" w:name="_Toc235400573"/>
      <w:bookmarkStart w:id="2429" w:name="_Toc259717221"/>
      <w:r w:rsidRPr="009448FC">
        <w:t>Communicating PBSS</w:t>
      </w:r>
      <w:r w:rsidR="0034580E" w:rsidRPr="009448FC">
        <w:t xml:space="preserve"> </w:t>
      </w:r>
      <w:r w:rsidRPr="009448FC">
        <w:t>information</w:t>
      </w:r>
      <w:bookmarkEnd w:id="2418"/>
      <w:bookmarkEnd w:id="2419"/>
      <w:bookmarkEnd w:id="2420"/>
      <w:bookmarkEnd w:id="2421"/>
      <w:bookmarkEnd w:id="2422"/>
      <w:bookmarkEnd w:id="2423"/>
      <w:bookmarkEnd w:id="2424"/>
      <w:bookmarkEnd w:id="2425"/>
      <w:bookmarkEnd w:id="2426"/>
      <w:bookmarkEnd w:id="2427"/>
      <w:bookmarkEnd w:id="2428"/>
      <w:bookmarkEnd w:id="2429"/>
    </w:p>
    <w:p w:rsidR="0034580E" w:rsidRPr="009448FC" w:rsidRDefault="00281C88" w:rsidP="004D3BA9">
      <w:r w:rsidRPr="009448FC">
        <w:t>Following the association or security association of a STA with a PCP</w:t>
      </w:r>
      <w:r w:rsidR="0034580E" w:rsidRPr="009448FC">
        <w:t>, the PCP shall distribute the PBSS information using an unsolicited Information Response frame (</w:t>
      </w:r>
      <w:r w:rsidR="00BD151C" w:rsidRPr="009448FC">
        <w:fldChar w:fldCharType="begin"/>
      </w:r>
      <w:r w:rsidR="004D3BA9" w:rsidRPr="009448FC">
        <w:instrText xml:space="preserve"> REF _Ref243986079 \r \h </w:instrText>
      </w:r>
      <w:r w:rsidR="00BD151C" w:rsidRPr="009448FC">
        <w:fldChar w:fldCharType="separate"/>
      </w:r>
      <w:r w:rsidR="003E4210">
        <w:t>7.4.13.6</w:t>
      </w:r>
      <w:r w:rsidR="00BD151C" w:rsidRPr="009448FC">
        <w:fldChar w:fldCharType="end"/>
      </w:r>
      <w:r w:rsidR="0034580E" w:rsidRPr="009448FC">
        <w:t xml:space="preserve">). The PCP shall set the </w:t>
      </w:r>
      <w:r w:rsidR="0034580E" w:rsidRPr="009448FC">
        <w:lastRenderedPageBreak/>
        <w:t>target address field of the Information Response frame to the broadcast address and shall include in the Information Response frame an entry for each STA associated with the PBSS including the PCP.</w:t>
      </w:r>
    </w:p>
    <w:p w:rsidR="0034580E" w:rsidRPr="009448FC" w:rsidRDefault="0034580E" w:rsidP="003A5238"/>
    <w:p w:rsidR="006C766E" w:rsidRPr="009448FC" w:rsidRDefault="0034580E" w:rsidP="00107952">
      <w:r w:rsidRPr="009448FC">
        <w:t xml:space="preserve">The PCP shall distribute the PBSS information for each of the STAs that are associated with the PBSS, including the PCP, at least once every </w:t>
      </w:r>
      <w:r w:rsidR="007155B3" w:rsidRPr="009448FC">
        <w:t>dot11</w:t>
      </w:r>
      <w:r w:rsidRPr="009448FC">
        <w:t>BroadcastSTAInfoDuration</w:t>
      </w:r>
      <w:r w:rsidR="009D5B56" w:rsidRPr="009448FC">
        <w:t xml:space="preserve"> BIs</w:t>
      </w:r>
      <w:r w:rsidRPr="009448FC">
        <w:t>.</w:t>
      </w:r>
    </w:p>
    <w:p w:rsidR="008C36FC" w:rsidRPr="009448FC" w:rsidRDefault="008C36FC" w:rsidP="003701DB">
      <w:pPr>
        <w:pStyle w:val="Heading2"/>
        <w:numPr>
          <w:ilvl w:val="1"/>
          <w:numId w:val="33"/>
        </w:numPr>
        <w:rPr>
          <w:rFonts w:ascii="Times New Roman" w:hAnsi="Times New Roman"/>
          <w:u w:val="none"/>
        </w:rPr>
      </w:pPr>
      <w:bookmarkStart w:id="2430" w:name="_Toc236396991"/>
      <w:bookmarkStart w:id="2431" w:name="_Toc207099059"/>
      <w:bookmarkStart w:id="2432" w:name="_Toc207099667"/>
      <w:bookmarkStart w:id="2433" w:name="_Toc207100586"/>
      <w:bookmarkStart w:id="2434" w:name="_Toc207348508"/>
      <w:bookmarkStart w:id="2435" w:name="_Toc215582878"/>
      <w:bookmarkStart w:id="2436" w:name="_Toc235400574"/>
      <w:bookmarkStart w:id="2437" w:name="_Ref243799199"/>
      <w:bookmarkStart w:id="2438" w:name="_Ref256198407"/>
      <w:bookmarkStart w:id="2439" w:name="_Ref257123468"/>
      <w:bookmarkStart w:id="2440" w:name="_Ref259715715"/>
      <w:bookmarkStart w:id="2441" w:name="_Ref259716443"/>
      <w:bookmarkStart w:id="2442" w:name="_Toc259717222"/>
      <w:bookmarkEnd w:id="2430"/>
      <w:r w:rsidRPr="009448FC">
        <w:rPr>
          <w:rFonts w:ascii="Times New Roman" w:hAnsi="Times New Roman"/>
          <w:u w:val="none"/>
        </w:rPr>
        <w:t>TS operation</w:t>
      </w:r>
      <w:bookmarkEnd w:id="2431"/>
      <w:bookmarkEnd w:id="2432"/>
      <w:bookmarkEnd w:id="2433"/>
      <w:bookmarkEnd w:id="2434"/>
      <w:bookmarkEnd w:id="2435"/>
      <w:bookmarkEnd w:id="2436"/>
      <w:bookmarkEnd w:id="2437"/>
      <w:bookmarkEnd w:id="2438"/>
      <w:bookmarkEnd w:id="2439"/>
      <w:bookmarkEnd w:id="2440"/>
      <w:bookmarkEnd w:id="2441"/>
      <w:bookmarkEnd w:id="2442"/>
    </w:p>
    <w:p w:rsidR="00A90795" w:rsidRPr="009448FC" w:rsidRDefault="00D926D0" w:rsidP="00A90795">
      <w:pPr>
        <w:rPr>
          <w:b/>
          <w:i/>
        </w:rPr>
      </w:pPr>
      <w:r w:rsidRPr="009448FC">
        <w:rPr>
          <w:b/>
          <w:i/>
        </w:rPr>
        <w:t xml:space="preserve"> </w:t>
      </w:r>
    </w:p>
    <w:p w:rsidR="00E71322" w:rsidRPr="009448FC" w:rsidRDefault="00DD1164" w:rsidP="00895517">
      <w:pPr>
        <w:rPr>
          <w:i/>
        </w:rPr>
      </w:pPr>
      <w:r w:rsidRPr="009448FC">
        <w:rPr>
          <w:i/>
        </w:rPr>
        <w:t xml:space="preserve">.11 Editor Notes: </w:t>
      </w:r>
      <w:r w:rsidR="00BE592C" w:rsidRPr="009448FC">
        <w:rPr>
          <w:i/>
        </w:rPr>
        <w:t>Edit the contents of 11.4.1 through 11.4.10 of IEEE 802.11-2007 as follows:</w:t>
      </w:r>
    </w:p>
    <w:p w:rsidR="008731D1" w:rsidRPr="009448FC" w:rsidRDefault="008731D1" w:rsidP="003701DB">
      <w:pPr>
        <w:pStyle w:val="Heading3"/>
        <w:numPr>
          <w:ilvl w:val="2"/>
          <w:numId w:val="94"/>
        </w:numPr>
      </w:pPr>
      <w:bookmarkStart w:id="2443" w:name="_Toc225756968"/>
      <w:bookmarkStart w:id="2444" w:name="_Toc235400575"/>
      <w:bookmarkStart w:id="2445" w:name="_Ref246653194"/>
      <w:bookmarkStart w:id="2446" w:name="_Toc259717223"/>
      <w:r w:rsidRPr="009448FC">
        <w:t>Introduction</w:t>
      </w:r>
      <w:bookmarkEnd w:id="2443"/>
      <w:bookmarkEnd w:id="2444"/>
      <w:bookmarkEnd w:id="2445"/>
      <w:bookmarkEnd w:id="2446"/>
    </w:p>
    <w:p w:rsidR="008731D1" w:rsidRDefault="008731D1" w:rsidP="008731D1"/>
    <w:p w:rsidR="00BF4728" w:rsidRPr="00505143" w:rsidRDefault="00BF4728" w:rsidP="00BF4728">
      <w:pPr>
        <w:rPr>
          <w:i/>
          <w:iCs/>
          <w:lang w:eastAsia="ko-KR"/>
        </w:rPr>
      </w:pPr>
      <w:r>
        <w:rPr>
          <w:i/>
          <w:iCs/>
        </w:rPr>
        <w:t>.11</w:t>
      </w:r>
      <w:r w:rsidRPr="00286D90">
        <w:rPr>
          <w:i/>
          <w:iCs/>
        </w:rPr>
        <w:t xml:space="preserve"> editor note: modify </w:t>
      </w:r>
      <w:r>
        <w:rPr>
          <w:i/>
          <w:iCs/>
        </w:rPr>
        <w:t>the subclause 11.4.1 as follows</w:t>
      </w:r>
    </w:p>
    <w:p w:rsidR="00BF4728" w:rsidRDefault="00BF4728" w:rsidP="008731D1"/>
    <w:p w:rsidR="00BF4728" w:rsidRPr="0088088B" w:rsidRDefault="00BF4728" w:rsidP="00BF4728">
      <w:r w:rsidRPr="002E5760">
        <w:rPr>
          <w:u w:val="single"/>
        </w:rPr>
        <w:t>There are three types of traffic specifications: The TSPEC, The Extended mmWave TSPEC and the PTP TSPEC</w:t>
      </w:r>
      <w:r w:rsidRPr="0088088B">
        <w:t xml:space="preserve">. </w:t>
      </w:r>
    </w:p>
    <w:p w:rsidR="00BF4728" w:rsidRDefault="00BF4728" w:rsidP="00BF4728"/>
    <w:p w:rsidR="00BF4728" w:rsidRDefault="00BF4728" w:rsidP="00BF4728">
      <w:r w:rsidRPr="00C46CD4">
        <w:t>A TSPEC describes the traffic characteristics and the QoS requirements of TS</w:t>
      </w:r>
      <w:r>
        <w:t xml:space="preserve"> (7.3.2.30)</w:t>
      </w:r>
      <w:r w:rsidRPr="00C46CD4">
        <w:t>. The main purpose of the TSPEC is to reserve resources within the HC</w:t>
      </w:r>
      <w:r>
        <w:t xml:space="preserve"> </w:t>
      </w:r>
      <w:r w:rsidRPr="00C46CD4">
        <w:t>and modify the HC’s</w:t>
      </w:r>
      <w:r w:rsidR="00BE1F31">
        <w:t xml:space="preserve"> </w:t>
      </w:r>
      <w:r w:rsidRPr="00C46CD4">
        <w:t>scheduling behavior. It also allows other parameters to be specified that are associated with the TS, such as a traffic classifier</w:t>
      </w:r>
      <w:r>
        <w:t xml:space="preserve"> and acknowledgment policy.</w:t>
      </w:r>
    </w:p>
    <w:p w:rsidR="00BF4728" w:rsidRDefault="00BF4728" w:rsidP="00BF4728">
      <w:r w:rsidRPr="00C46CD4">
        <w:t xml:space="preserve"> </w:t>
      </w:r>
    </w:p>
    <w:p w:rsidR="00BF4728" w:rsidRDefault="00BF4728" w:rsidP="00B3473E">
      <w:r w:rsidRPr="002E5760">
        <w:rPr>
          <w:u w:val="single"/>
        </w:rPr>
        <w:t xml:space="preserve">The Extended mmWave TSPEC </w:t>
      </w:r>
      <w:r>
        <w:rPr>
          <w:u w:val="single"/>
        </w:rPr>
        <w:t xml:space="preserve">(7.3.2.97) </w:t>
      </w:r>
      <w:r w:rsidRPr="002E5760">
        <w:rPr>
          <w:u w:val="single"/>
        </w:rPr>
        <w:t xml:space="preserve">describes the timing and the traffic requirements of </w:t>
      </w:r>
      <w:r>
        <w:rPr>
          <w:u w:val="single"/>
        </w:rPr>
        <w:t xml:space="preserve">a </w:t>
      </w:r>
      <w:r w:rsidRPr="002E5760">
        <w:rPr>
          <w:u w:val="single"/>
        </w:rPr>
        <w:t>TS</w:t>
      </w:r>
      <w:r>
        <w:rPr>
          <w:u w:val="single"/>
        </w:rPr>
        <w:t xml:space="preserve"> that exists within either a PBSS or within a</w:t>
      </w:r>
      <w:r w:rsidR="00125EAD">
        <w:rPr>
          <w:u w:val="single"/>
        </w:rPr>
        <w:t>n</w:t>
      </w:r>
      <w:r>
        <w:rPr>
          <w:u w:val="single"/>
        </w:rPr>
        <w:t xml:space="preserve"> </w:t>
      </w:r>
      <w:r w:rsidR="00125EAD">
        <w:rPr>
          <w:u w:val="single"/>
        </w:rPr>
        <w:t xml:space="preserve">infrastructure </w:t>
      </w:r>
      <w:r>
        <w:rPr>
          <w:u w:val="single"/>
        </w:rPr>
        <w:t>BSS operating in the UB</w:t>
      </w:r>
      <w:r w:rsidRPr="002E5760">
        <w:rPr>
          <w:u w:val="single"/>
        </w:rPr>
        <w:t xml:space="preserve">. The purpose of the Extended mmWave TSPEC is </w:t>
      </w:r>
      <w:r>
        <w:rPr>
          <w:u w:val="single"/>
        </w:rPr>
        <w:t xml:space="preserve">for the initial creation and modification of </w:t>
      </w:r>
      <w:r w:rsidRPr="002E5760">
        <w:rPr>
          <w:u w:val="single"/>
        </w:rPr>
        <w:t>service period</w:t>
      </w:r>
      <w:r>
        <w:rPr>
          <w:u w:val="single"/>
        </w:rPr>
        <w:t>s and their allocation</w:t>
      </w:r>
      <w:r w:rsidRPr="002E5760">
        <w:rPr>
          <w:u w:val="single"/>
        </w:rPr>
        <w:t xml:space="preserve"> </w:t>
      </w:r>
      <w:r>
        <w:rPr>
          <w:u w:val="single"/>
        </w:rPr>
        <w:t>for the</w:t>
      </w:r>
      <w:r w:rsidRPr="002E5760">
        <w:rPr>
          <w:u w:val="single"/>
        </w:rPr>
        <w:t xml:space="preserve"> transmi</w:t>
      </w:r>
      <w:r>
        <w:rPr>
          <w:u w:val="single"/>
        </w:rPr>
        <w:t>ssion of</w:t>
      </w:r>
      <w:r w:rsidRPr="002E5760">
        <w:rPr>
          <w:u w:val="single"/>
        </w:rPr>
        <w:t xml:space="preserve"> frames between </w:t>
      </w:r>
      <w:r>
        <w:rPr>
          <w:u w:val="single"/>
        </w:rPr>
        <w:t>m</w:t>
      </w:r>
      <w:r w:rsidRPr="002E5760">
        <w:rPr>
          <w:u w:val="single"/>
        </w:rPr>
        <w:t xml:space="preserve">STAs that are members of a PBSS </w:t>
      </w:r>
      <w:r>
        <w:rPr>
          <w:u w:val="single"/>
        </w:rPr>
        <w:t>or that are members of a</w:t>
      </w:r>
      <w:r w:rsidRPr="002E5760">
        <w:rPr>
          <w:u w:val="single"/>
        </w:rPr>
        <w:t xml:space="preserve"> mmWave infrastructure BSS (</w:t>
      </w:r>
      <w:r w:rsidR="00BD151C">
        <w:rPr>
          <w:u w:val="single"/>
        </w:rPr>
        <w:fldChar w:fldCharType="begin"/>
      </w:r>
      <w:r w:rsidR="00B3473E">
        <w:rPr>
          <w:u w:val="single"/>
        </w:rPr>
        <w:instrText xml:space="preserve"> REF _Ref252008885 \r \h </w:instrText>
      </w:r>
      <w:r w:rsidR="00BD151C">
        <w:rPr>
          <w:u w:val="single"/>
        </w:rPr>
      </w:r>
      <w:r w:rsidR="00BD151C">
        <w:rPr>
          <w:u w:val="single"/>
        </w:rPr>
        <w:fldChar w:fldCharType="separate"/>
      </w:r>
      <w:r w:rsidR="003E4210">
        <w:rPr>
          <w:u w:val="single"/>
        </w:rPr>
        <w:t>9.23.6</w:t>
      </w:r>
      <w:r w:rsidR="00BD151C">
        <w:rPr>
          <w:u w:val="single"/>
        </w:rPr>
        <w:fldChar w:fldCharType="end"/>
      </w:r>
      <w:r w:rsidRPr="002E5760">
        <w:rPr>
          <w:u w:val="single"/>
        </w:rPr>
        <w:t xml:space="preserve">). </w:t>
      </w:r>
    </w:p>
    <w:p w:rsidR="00BF4728" w:rsidRDefault="00BF4728" w:rsidP="00BF4728"/>
    <w:p w:rsidR="00BF4728" w:rsidRDefault="00BF4728" w:rsidP="00BF4728">
      <w:r>
        <w:rPr>
          <w:u w:val="single"/>
        </w:rPr>
        <w:t>When transmitted between members of a PBSS or members of a</w:t>
      </w:r>
      <w:r w:rsidR="00125EAD">
        <w:rPr>
          <w:u w:val="single"/>
        </w:rPr>
        <w:t>n infrastructure</w:t>
      </w:r>
      <w:r>
        <w:rPr>
          <w:u w:val="single"/>
        </w:rPr>
        <w:t xml:space="preserve"> BSS operating in the UB, t</w:t>
      </w:r>
      <w:r w:rsidRPr="002E5760">
        <w:rPr>
          <w:u w:val="single"/>
        </w:rPr>
        <w:t>he TSPEC defined in 7.3.2.30 is used to modify</w:t>
      </w:r>
      <w:r>
        <w:rPr>
          <w:u w:val="single"/>
        </w:rPr>
        <w:t xml:space="preserve"> the</w:t>
      </w:r>
      <w:r w:rsidRPr="002E5760">
        <w:rPr>
          <w:u w:val="single"/>
        </w:rPr>
        <w:t xml:space="preserve"> traffic parameters </w:t>
      </w:r>
      <w:r>
        <w:rPr>
          <w:u w:val="single"/>
        </w:rPr>
        <w:t xml:space="preserve">of a previously-established TS </w:t>
      </w:r>
      <w:r w:rsidRPr="002E5760">
        <w:rPr>
          <w:u w:val="single"/>
        </w:rPr>
        <w:t>between non-AP</w:t>
      </w:r>
      <w:r>
        <w:rPr>
          <w:u w:val="single"/>
        </w:rPr>
        <w:t>/</w:t>
      </w:r>
      <w:r w:rsidRPr="002E5760">
        <w:rPr>
          <w:u w:val="single"/>
        </w:rPr>
        <w:t xml:space="preserve">non-PCP </w:t>
      </w:r>
      <w:r>
        <w:rPr>
          <w:u w:val="single"/>
        </w:rPr>
        <w:t>m</w:t>
      </w:r>
      <w:r w:rsidRPr="002E5760">
        <w:rPr>
          <w:u w:val="single"/>
        </w:rPr>
        <w:t xml:space="preserve">STAs in </w:t>
      </w:r>
      <w:r>
        <w:rPr>
          <w:u w:val="single"/>
        </w:rPr>
        <w:t xml:space="preserve">a </w:t>
      </w:r>
      <w:r w:rsidRPr="002E5760">
        <w:rPr>
          <w:u w:val="single"/>
        </w:rPr>
        <w:t xml:space="preserve">mmWave </w:t>
      </w:r>
      <w:r w:rsidR="00534D0B">
        <w:rPr>
          <w:u w:val="single"/>
        </w:rPr>
        <w:t xml:space="preserve">infrastructure </w:t>
      </w:r>
      <w:r w:rsidRPr="002E5760">
        <w:rPr>
          <w:u w:val="single"/>
        </w:rPr>
        <w:t>BSS</w:t>
      </w:r>
      <w:r>
        <w:rPr>
          <w:u w:val="single"/>
        </w:rPr>
        <w:t>/</w:t>
      </w:r>
      <w:r w:rsidRPr="002E5760">
        <w:rPr>
          <w:u w:val="single"/>
        </w:rPr>
        <w:t xml:space="preserve">PBSS and between </w:t>
      </w:r>
      <w:r>
        <w:rPr>
          <w:u w:val="single"/>
        </w:rPr>
        <w:t xml:space="preserve">a </w:t>
      </w:r>
      <w:r w:rsidRPr="002E5760">
        <w:rPr>
          <w:u w:val="single"/>
        </w:rPr>
        <w:t>non-AP</w:t>
      </w:r>
      <w:r>
        <w:rPr>
          <w:u w:val="single"/>
        </w:rPr>
        <w:t>/</w:t>
      </w:r>
      <w:r w:rsidRPr="002E5760">
        <w:rPr>
          <w:u w:val="single"/>
        </w:rPr>
        <w:t xml:space="preserve">non-PCP STA and </w:t>
      </w:r>
      <w:r>
        <w:rPr>
          <w:u w:val="single"/>
        </w:rPr>
        <w:t xml:space="preserve">a </w:t>
      </w:r>
      <w:r w:rsidRPr="002E5760">
        <w:rPr>
          <w:u w:val="single"/>
        </w:rPr>
        <w:t xml:space="preserve">PCP in </w:t>
      </w:r>
      <w:r>
        <w:rPr>
          <w:u w:val="single"/>
        </w:rPr>
        <w:t xml:space="preserve">a </w:t>
      </w:r>
      <w:r w:rsidRPr="002E5760">
        <w:rPr>
          <w:u w:val="single"/>
        </w:rPr>
        <w:t>PBSS. In this case</w:t>
      </w:r>
      <w:r>
        <w:rPr>
          <w:u w:val="single"/>
        </w:rPr>
        <w:t>, the TSPEC</w:t>
      </w:r>
      <w:r w:rsidRPr="002E5760">
        <w:rPr>
          <w:u w:val="single"/>
        </w:rPr>
        <w:t xml:space="preserve"> is referred </w:t>
      </w:r>
      <w:r>
        <w:rPr>
          <w:u w:val="single"/>
        </w:rPr>
        <w:t xml:space="preserve">to </w:t>
      </w:r>
      <w:r w:rsidRPr="002E5760">
        <w:rPr>
          <w:u w:val="single"/>
        </w:rPr>
        <w:t xml:space="preserve">as </w:t>
      </w:r>
      <w:r>
        <w:rPr>
          <w:u w:val="single"/>
        </w:rPr>
        <w:t xml:space="preserve">a </w:t>
      </w:r>
      <w:r w:rsidRPr="002E5760">
        <w:rPr>
          <w:u w:val="single"/>
        </w:rPr>
        <w:t>P</w:t>
      </w:r>
      <w:r>
        <w:rPr>
          <w:u w:val="single"/>
        </w:rPr>
        <w:t>T</w:t>
      </w:r>
      <w:r w:rsidRPr="002E5760">
        <w:rPr>
          <w:u w:val="single"/>
        </w:rPr>
        <w:t>P TSPEC</w:t>
      </w:r>
      <w:r>
        <w:t>.</w:t>
      </w:r>
    </w:p>
    <w:p w:rsidR="00BF4728" w:rsidRPr="009F34BF" w:rsidRDefault="00BF4728" w:rsidP="00BF4728"/>
    <w:p w:rsidR="00BF4728" w:rsidRPr="00895517" w:rsidRDefault="00BF4728" w:rsidP="00BF4728">
      <w:pPr>
        <w:rPr>
          <w:u w:val="single"/>
        </w:rPr>
      </w:pPr>
      <w:r w:rsidRPr="00895517">
        <w:rPr>
          <w:u w:val="single"/>
        </w:rPr>
        <w:t>The PTP TSPEC</w:t>
      </w:r>
      <w:r>
        <w:rPr>
          <w:u w:val="single"/>
        </w:rPr>
        <w:t xml:space="preserve"> is a TSPEC that is exchanged between two non-AP mSTAs. A PTP TSPEC</w:t>
      </w:r>
      <w:r w:rsidRPr="00895517">
        <w:rPr>
          <w:u w:val="single"/>
        </w:rPr>
        <w:t xml:space="preserve"> </w:t>
      </w:r>
      <w:r>
        <w:rPr>
          <w:u w:val="single"/>
        </w:rPr>
        <w:t>includes</w:t>
      </w:r>
      <w:r w:rsidRPr="00895517">
        <w:rPr>
          <w:u w:val="single"/>
        </w:rPr>
        <w:t xml:space="preserve"> parameters that are associated with the TS</w:t>
      </w:r>
      <w:r>
        <w:rPr>
          <w:u w:val="single"/>
        </w:rPr>
        <w:t xml:space="preserve"> </w:t>
      </w:r>
      <w:r w:rsidRPr="00895517">
        <w:rPr>
          <w:u w:val="single"/>
        </w:rPr>
        <w:t>such as max MSDU size and Delay Bound</w:t>
      </w:r>
      <w:r w:rsidR="00534D0B">
        <w:rPr>
          <w:u w:val="single"/>
        </w:rPr>
        <w:t>,</w:t>
      </w:r>
      <w:r>
        <w:rPr>
          <w:u w:val="single"/>
        </w:rPr>
        <w:t xml:space="preserve"> and identifies different TSs that can use the same SP for data transfer </w:t>
      </w:r>
      <w:r w:rsidRPr="00895517">
        <w:rPr>
          <w:u w:val="single"/>
        </w:rPr>
        <w:t xml:space="preserve">between non-AP </w:t>
      </w:r>
      <w:r>
        <w:rPr>
          <w:u w:val="single"/>
        </w:rPr>
        <w:t>m</w:t>
      </w:r>
      <w:r w:rsidRPr="00895517">
        <w:rPr>
          <w:u w:val="single"/>
        </w:rPr>
        <w:t xml:space="preserve">STAs. </w:t>
      </w:r>
      <w:r>
        <w:rPr>
          <w:u w:val="single"/>
        </w:rPr>
        <w:t>In the case the PTP TSPEC contains the SP and the additional TS to be transferred during the identified SP</w:t>
      </w:r>
      <w:r w:rsidR="00534D0B">
        <w:rPr>
          <w:u w:val="single"/>
        </w:rPr>
        <w:t>,</w:t>
      </w:r>
      <w:r>
        <w:rPr>
          <w:u w:val="single"/>
        </w:rPr>
        <w:t xml:space="preserve"> the non-AP/non-PCP mSTA should forward ADDTS </w:t>
      </w:r>
      <w:r w:rsidR="00534D0B">
        <w:rPr>
          <w:u w:val="single"/>
        </w:rPr>
        <w:t>R</w:t>
      </w:r>
      <w:r>
        <w:rPr>
          <w:u w:val="single"/>
        </w:rPr>
        <w:t xml:space="preserve">equest frame to the peer non-AP/non-PCP mSTA through the AP/PCP mSTA. </w:t>
      </w:r>
    </w:p>
    <w:p w:rsidR="00BF4728" w:rsidRDefault="00BF4728" w:rsidP="00BF4728">
      <w:r w:rsidRPr="00730BB3">
        <w:rPr>
          <w:sz w:val="18"/>
          <w:szCs w:val="18"/>
        </w:rPr>
        <w:t xml:space="preserve"> </w:t>
      </w:r>
    </w:p>
    <w:p w:rsidR="00BF4728" w:rsidRPr="00475BC2" w:rsidRDefault="00BF4728" w:rsidP="00BF4728">
      <w:r w:rsidRPr="00475BC2">
        <w:t xml:space="preserve">A TS </w:t>
      </w:r>
      <w:r>
        <w:t>can</w:t>
      </w:r>
      <w:r w:rsidRPr="00475BC2">
        <w:t xml:space="preserve"> have one or more TCLAS associated with it. The AP uses the parameters in the TCLAS elements to </w:t>
      </w:r>
      <w:r>
        <w:t>identify</w:t>
      </w:r>
      <w:r w:rsidRPr="00475BC2">
        <w:t xml:space="preserve"> the MSDUs belonging to </w:t>
      </w:r>
      <w:r>
        <w:t>a</w:t>
      </w:r>
      <w:r w:rsidRPr="00475BC2">
        <w:t xml:space="preserve"> TS so that they can be delivered with the QoS parameters that have been set up for th</w:t>
      </w:r>
      <w:r>
        <w:t>at</w:t>
      </w:r>
      <w:r w:rsidRPr="00475BC2">
        <w:t xml:space="preserve"> TS.</w:t>
      </w:r>
    </w:p>
    <w:p w:rsidR="00BF4728" w:rsidRPr="00475BC2" w:rsidRDefault="00BF4728" w:rsidP="00BF4728"/>
    <w:p w:rsidR="00BF4728" w:rsidRDefault="00BF4728" w:rsidP="00BF4728">
      <w:r w:rsidRPr="00475BC2">
        <w:t>TSPEC</w:t>
      </w:r>
      <w:r>
        <w:t xml:space="preserve">, </w:t>
      </w:r>
      <w:r w:rsidRPr="00396D37">
        <w:rPr>
          <w:u w:val="single"/>
        </w:rPr>
        <w:t>PTP TSPEC</w:t>
      </w:r>
      <w:r w:rsidRPr="00475BC2">
        <w:t xml:space="preserve"> and the optional TCLAS elements are transported o</w:t>
      </w:r>
      <w:r>
        <w:t>ver</w:t>
      </w:r>
      <w:r w:rsidRPr="00475BC2">
        <w:t xml:space="preserve"> the air </w:t>
      </w:r>
      <w:r>
        <w:t>within</w:t>
      </w:r>
      <w:r w:rsidRPr="00475BC2">
        <w:t xml:space="preserve"> ADDTS</w:t>
      </w:r>
      <w:r>
        <w:t xml:space="preserve"> frames</w:t>
      </w:r>
      <w:r w:rsidRPr="00475BC2">
        <w:t xml:space="preserve"> and across the MLME SAP by the MLME-ADDTS primitives.</w:t>
      </w:r>
    </w:p>
    <w:p w:rsidR="00BF4728" w:rsidRDefault="00BF4728" w:rsidP="00BF4728"/>
    <w:p w:rsidR="00BF4728" w:rsidRPr="00475BC2" w:rsidRDefault="00BF4728" w:rsidP="00BF4728">
      <w:r w:rsidRPr="00396D37">
        <w:rPr>
          <w:u w:val="single"/>
        </w:rPr>
        <w:lastRenderedPageBreak/>
        <w:t xml:space="preserve">Extended mmWave TSPEC is transported </w:t>
      </w:r>
      <w:r>
        <w:rPr>
          <w:u w:val="single"/>
        </w:rPr>
        <w:t>over</w:t>
      </w:r>
      <w:r w:rsidRPr="00396D37">
        <w:rPr>
          <w:u w:val="single"/>
        </w:rPr>
        <w:t xml:space="preserve"> the air </w:t>
      </w:r>
      <w:r>
        <w:rPr>
          <w:u w:val="single"/>
        </w:rPr>
        <w:t>within</w:t>
      </w:r>
      <w:r w:rsidRPr="00396D37">
        <w:rPr>
          <w:u w:val="single"/>
        </w:rPr>
        <w:t xml:space="preserve"> the Extended mmWave ADDTS and across the MLME SAP by the MLME-ExtADDTS primitives.</w:t>
      </w:r>
    </w:p>
    <w:p w:rsidR="00BF4728" w:rsidRPr="00475BC2" w:rsidRDefault="00BF4728" w:rsidP="00BF4728"/>
    <w:p w:rsidR="00BF4728" w:rsidRDefault="00BF4728" w:rsidP="00BF4728">
      <w:r w:rsidRPr="00475BC2">
        <w:t>Following a successful negotiation</w:t>
      </w:r>
      <w:r>
        <w:t xml:space="preserve"> of a TSPEC, a</w:t>
      </w:r>
      <w:r w:rsidRPr="00475BC2">
        <w:t xml:space="preserve"> TS is created,</w:t>
      </w:r>
      <w:r>
        <w:t xml:space="preserve"> and is </w:t>
      </w:r>
      <w:r w:rsidRPr="00475BC2">
        <w:t>identified within the non-AP STA by its TSID and direction, and identified within the HC by a combination of TSID, direction, and non-AP STA address.</w:t>
      </w:r>
      <w:r>
        <w:t xml:space="preserve"> </w:t>
      </w:r>
    </w:p>
    <w:p w:rsidR="00BF4728" w:rsidRDefault="00BF4728" w:rsidP="00BF4728">
      <w:pPr>
        <w:rPr>
          <w:u w:val="single"/>
        </w:rPr>
      </w:pPr>
    </w:p>
    <w:p w:rsidR="00BF4728" w:rsidRDefault="00BF4728" w:rsidP="00BF4728">
      <w:pPr>
        <w:rPr>
          <w:u w:val="single"/>
          <w:lang w:eastAsia="ko-KR"/>
        </w:rPr>
      </w:pPr>
      <w:r>
        <w:rPr>
          <w:u w:val="single"/>
        </w:rPr>
        <w:t>Following a successful negotiation of an E</w:t>
      </w:r>
      <w:r w:rsidRPr="00401CDB">
        <w:rPr>
          <w:u w:val="single"/>
        </w:rPr>
        <w:t>xtended mmWave TSPEC</w:t>
      </w:r>
      <w:r>
        <w:rPr>
          <w:u w:val="single"/>
        </w:rPr>
        <w:t xml:space="preserve"> in </w:t>
      </w:r>
      <w:r w:rsidR="00534D0B">
        <w:rPr>
          <w:u w:val="single"/>
        </w:rPr>
        <w:t xml:space="preserve">a </w:t>
      </w:r>
      <w:r>
        <w:rPr>
          <w:u w:val="single"/>
        </w:rPr>
        <w:t xml:space="preserve">PBSS or in </w:t>
      </w:r>
      <w:r w:rsidR="00534D0B">
        <w:rPr>
          <w:u w:val="single"/>
        </w:rPr>
        <w:t xml:space="preserve">a </w:t>
      </w:r>
      <w:r>
        <w:rPr>
          <w:u w:val="single"/>
        </w:rPr>
        <w:t xml:space="preserve">mmWave </w:t>
      </w:r>
      <w:r w:rsidR="00534D0B">
        <w:rPr>
          <w:u w:val="single"/>
        </w:rPr>
        <w:t>i</w:t>
      </w:r>
      <w:r>
        <w:rPr>
          <w:u w:val="single"/>
        </w:rPr>
        <w:t xml:space="preserve">nfrastructure BSS </w:t>
      </w:r>
      <w:r w:rsidRPr="00475BC2">
        <w:rPr>
          <w:u w:val="single"/>
        </w:rPr>
        <w:t xml:space="preserve">a </w:t>
      </w:r>
      <w:r>
        <w:rPr>
          <w:u w:val="single"/>
        </w:rPr>
        <w:t xml:space="preserve">TS is created and is identified within non-AP/non-PCP mSTA </w:t>
      </w:r>
      <w:r w:rsidRPr="00475BC2">
        <w:rPr>
          <w:u w:val="single"/>
          <w:lang w:eastAsia="ko-KR"/>
        </w:rPr>
        <w:t xml:space="preserve">by a combination of TSID, </w:t>
      </w:r>
      <w:r>
        <w:rPr>
          <w:u w:val="single"/>
          <w:lang w:eastAsia="ko-KR"/>
        </w:rPr>
        <w:t>BSSID,</w:t>
      </w:r>
      <w:r w:rsidRPr="00475BC2">
        <w:rPr>
          <w:u w:val="single"/>
          <w:lang w:eastAsia="ko-KR"/>
        </w:rPr>
        <w:t xml:space="preserve"> and destination AID</w:t>
      </w:r>
      <w:r>
        <w:rPr>
          <w:u w:val="single"/>
          <w:lang w:eastAsia="ko-KR"/>
        </w:rPr>
        <w:t>, and is identified within the PCP mSTA and AP mSTA by a combination of TSID, source mSTA address and destination AID</w:t>
      </w:r>
      <w:r w:rsidRPr="00475BC2">
        <w:rPr>
          <w:u w:val="single"/>
          <w:lang w:eastAsia="ko-KR"/>
        </w:rPr>
        <w:t>.</w:t>
      </w:r>
      <w:r>
        <w:rPr>
          <w:u w:val="single"/>
          <w:lang w:eastAsia="ko-KR"/>
        </w:rPr>
        <w:t xml:space="preserve"> </w:t>
      </w:r>
    </w:p>
    <w:p w:rsidR="00BF4728" w:rsidRDefault="00BF4728" w:rsidP="00BF4728">
      <w:pPr>
        <w:rPr>
          <w:u w:val="single"/>
        </w:rPr>
      </w:pPr>
    </w:p>
    <w:p w:rsidR="00BF4728" w:rsidRPr="00475BC2" w:rsidRDefault="00BF4728" w:rsidP="00BF4728">
      <w:r>
        <w:rPr>
          <w:u w:val="single"/>
        </w:rPr>
        <w:t>Following</w:t>
      </w:r>
      <w:r>
        <w:rPr>
          <w:u w:val="single"/>
          <w:lang w:eastAsia="ko-KR"/>
        </w:rPr>
        <w:t xml:space="preserve"> </w:t>
      </w:r>
      <w:r>
        <w:rPr>
          <w:u w:val="single"/>
        </w:rPr>
        <w:t>successful negotiation of a PTP TSPEC, the frames corresponding to the PTP TSPEC are indentified within the mSTA by the combination of TSID, requesting non-AP mSTA address, responding non-AP mSTA address, direction, and SP TSID (7.3.2.30).</w:t>
      </w:r>
      <w:r w:rsidRPr="000B4AE2">
        <w:rPr>
          <w:b/>
          <w:bCs/>
          <w:i/>
          <w:iCs/>
        </w:rPr>
        <w:t xml:space="preserve"> </w:t>
      </w:r>
    </w:p>
    <w:p w:rsidR="00BF4728" w:rsidRDefault="00BF4728" w:rsidP="00BF4728">
      <w:pPr>
        <w:rPr>
          <w:highlight w:val="yellow"/>
        </w:rPr>
      </w:pPr>
    </w:p>
    <w:p w:rsidR="00BF4728" w:rsidRDefault="00BF4728" w:rsidP="00BF4728">
      <w:pPr>
        <w:rPr>
          <w:b/>
          <w:bCs/>
          <w:i/>
          <w:iCs/>
        </w:rPr>
      </w:pPr>
      <w:r w:rsidRPr="00C00679">
        <w:t>It is always the responsibility of the non-AP STA to initiate the creation of a TS regardless of its direction</w:t>
      </w:r>
      <w:r>
        <w:t xml:space="preserve">. </w:t>
      </w:r>
      <w:r>
        <w:rPr>
          <w:u w:val="single"/>
        </w:rPr>
        <w:t>A</w:t>
      </w:r>
      <w:r w:rsidRPr="00396D37">
        <w:rPr>
          <w:u w:val="single"/>
        </w:rPr>
        <w:t xml:space="preserve"> STA </w:t>
      </w:r>
      <w:r>
        <w:rPr>
          <w:u w:val="single"/>
        </w:rPr>
        <w:t xml:space="preserve">that </w:t>
      </w:r>
      <w:r w:rsidRPr="00396D37">
        <w:rPr>
          <w:u w:val="single"/>
        </w:rPr>
        <w:t xml:space="preserve">is not </w:t>
      </w:r>
      <w:r>
        <w:rPr>
          <w:u w:val="single"/>
        </w:rPr>
        <w:t>an</w:t>
      </w:r>
      <w:r w:rsidRPr="00396D37">
        <w:rPr>
          <w:u w:val="single"/>
        </w:rPr>
        <w:t xml:space="preserve"> mSTA </w:t>
      </w:r>
      <w:r>
        <w:rPr>
          <w:u w:val="single"/>
        </w:rPr>
        <w:t>shall not transmit a PTP TSPEC or an Extended mWave TSPEC</w:t>
      </w:r>
      <w:r w:rsidRPr="00396D37">
        <w:rPr>
          <w:u w:val="single"/>
        </w:rPr>
        <w:t xml:space="preserve">. The non-AP </w:t>
      </w:r>
      <w:r>
        <w:rPr>
          <w:u w:val="single"/>
        </w:rPr>
        <w:t xml:space="preserve">mSTA that is not the </w:t>
      </w:r>
      <w:r w:rsidRPr="00396D37">
        <w:rPr>
          <w:u w:val="single"/>
        </w:rPr>
        <w:t>source STA</w:t>
      </w:r>
      <w:r>
        <w:rPr>
          <w:u w:val="single"/>
        </w:rPr>
        <w:t xml:space="preserve"> of a specific TS</w:t>
      </w:r>
      <w:r w:rsidRPr="00396D37">
        <w:rPr>
          <w:u w:val="single"/>
        </w:rPr>
        <w:t xml:space="preserve"> </w:t>
      </w:r>
      <w:r>
        <w:rPr>
          <w:u w:val="single"/>
        </w:rPr>
        <w:t>shall not initiate</w:t>
      </w:r>
      <w:r w:rsidRPr="00396D37">
        <w:rPr>
          <w:u w:val="single"/>
        </w:rPr>
        <w:t xml:space="preserve"> the </w:t>
      </w:r>
      <w:r>
        <w:rPr>
          <w:u w:val="single"/>
        </w:rPr>
        <w:t xml:space="preserve">exchange of an </w:t>
      </w:r>
      <w:r w:rsidRPr="00396D37">
        <w:rPr>
          <w:u w:val="single"/>
        </w:rPr>
        <w:t xml:space="preserve">Extended mmWave TSPEC to the AP mSTA or PCP mSTA to create </w:t>
      </w:r>
      <w:r>
        <w:rPr>
          <w:u w:val="single"/>
        </w:rPr>
        <w:t xml:space="preserve">that </w:t>
      </w:r>
      <w:r w:rsidRPr="00396D37">
        <w:rPr>
          <w:u w:val="single"/>
        </w:rPr>
        <w:t xml:space="preserve">TS. Any non-AP mSTA can issue </w:t>
      </w:r>
      <w:r>
        <w:rPr>
          <w:u w:val="single"/>
        </w:rPr>
        <w:t>a</w:t>
      </w:r>
      <w:r w:rsidRPr="00396D37">
        <w:rPr>
          <w:u w:val="single"/>
        </w:rPr>
        <w:t xml:space="preserve"> PTP TSPEC to </w:t>
      </w:r>
      <w:r>
        <w:rPr>
          <w:u w:val="single"/>
        </w:rPr>
        <w:t xml:space="preserve">any </w:t>
      </w:r>
      <w:r w:rsidRPr="00396D37">
        <w:rPr>
          <w:u w:val="single"/>
        </w:rPr>
        <w:t xml:space="preserve">other non-AP mSTA to create </w:t>
      </w:r>
      <w:r>
        <w:rPr>
          <w:u w:val="single"/>
        </w:rPr>
        <w:t xml:space="preserve">a </w:t>
      </w:r>
      <w:r w:rsidRPr="00396D37">
        <w:rPr>
          <w:u w:val="single"/>
        </w:rPr>
        <w:t>TS.</w:t>
      </w:r>
      <w:r>
        <w:t xml:space="preserve"> </w:t>
      </w:r>
    </w:p>
    <w:p w:rsidR="00BF4728" w:rsidRDefault="00BF4728" w:rsidP="00BF4728">
      <w:pPr>
        <w:rPr>
          <w:b/>
          <w:bCs/>
          <w:i/>
          <w:iCs/>
        </w:rPr>
      </w:pPr>
    </w:p>
    <w:p w:rsidR="00BF4728" w:rsidRDefault="00BF4728" w:rsidP="00BF4728">
      <w:pPr>
        <w:rPr>
          <w:strike/>
        </w:rPr>
      </w:pPr>
      <w:r w:rsidRPr="00D52FDC">
        <w:t>In the direct-link case, it is the responsibility of the non-AP STA that is going to send the data to create the TS</w:t>
      </w:r>
      <w:r>
        <w:t xml:space="preserve"> using a TSPEC</w:t>
      </w:r>
      <w:r w:rsidRPr="00D52FDC">
        <w:t>. In this case, the non-AP STA negotiates with the HC to gain TXOPs that it uses to send the data. There is no negotiation between the originator and recipient non-AP STAs concerning the TS: the originator can discover the capabilities of the recipient (rates, BlockAck) using the DLS</w:t>
      </w:r>
      <w:r>
        <w:t>.</w:t>
      </w:r>
      <w:r w:rsidRPr="002F6194">
        <w:rPr>
          <w:b/>
          <w:bCs/>
          <w:i/>
          <w:iCs/>
        </w:rPr>
        <w:t xml:space="preserve"> </w:t>
      </w:r>
    </w:p>
    <w:p w:rsidR="00BF4728" w:rsidRDefault="00BF4728" w:rsidP="00BF4728">
      <w:r w:rsidRPr="00E7690C">
        <w:rPr>
          <w:b/>
          <w:bCs/>
          <w:i/>
          <w:iCs/>
        </w:rPr>
        <w:t xml:space="preserve"> </w:t>
      </w:r>
    </w:p>
    <w:p w:rsidR="00BF4728" w:rsidRPr="00A63946" w:rsidRDefault="00BF4728" w:rsidP="00BF4728">
      <w:r w:rsidRPr="00A63946">
        <w:t>In the case of traffic relayed by an AP</w:t>
      </w:r>
      <w:r w:rsidRPr="00A63946">
        <w:rPr>
          <w:u w:val="single"/>
        </w:rPr>
        <w:t>/PCP</w:t>
      </w:r>
      <w:r w:rsidRPr="00A63946">
        <w:t>, the sending and receiving non-AP</w:t>
      </w:r>
      <w:r w:rsidRPr="00A63946">
        <w:rPr>
          <w:u w:val="single"/>
        </w:rPr>
        <w:t>/</w:t>
      </w:r>
      <w:r>
        <w:rPr>
          <w:u w:val="single"/>
        </w:rPr>
        <w:t>non-</w:t>
      </w:r>
      <w:r w:rsidRPr="00A63946">
        <w:rPr>
          <w:u w:val="single"/>
        </w:rPr>
        <w:t>PCP</w:t>
      </w:r>
      <w:r w:rsidRPr="00A63946">
        <w:t xml:space="preserve"> STAs may both create individual TS</w:t>
      </w:r>
      <w:r>
        <w:t>s</w:t>
      </w:r>
      <w:r w:rsidRPr="00A63946">
        <w:t xml:space="preserve"> for the traffic. </w:t>
      </w:r>
      <w:r w:rsidRPr="00A63946">
        <w:rPr>
          <w:u w:val="single"/>
        </w:rPr>
        <w:t>In a</w:t>
      </w:r>
      <w:r>
        <w:rPr>
          <w:u w:val="single"/>
        </w:rPr>
        <w:t>n infrastructure</w:t>
      </w:r>
      <w:r w:rsidRPr="00A63946">
        <w:rPr>
          <w:u w:val="single"/>
        </w:rPr>
        <w:t xml:space="preserve"> BSS,</w:t>
      </w:r>
      <w:r>
        <w:t xml:space="preserve"> a</w:t>
      </w:r>
      <w:r w:rsidRPr="00A63946">
        <w:t>ny traffic classifier created for the downlink TS applies equally regardless of whether the source is in the same BSS or reached through the DS.</w:t>
      </w:r>
    </w:p>
    <w:p w:rsidR="00BF4728" w:rsidRPr="00A63946" w:rsidRDefault="00BF4728" w:rsidP="00BF4728"/>
    <w:p w:rsidR="00BF4728" w:rsidRPr="00A63946" w:rsidRDefault="00BF4728" w:rsidP="00BF4728">
      <w:r w:rsidRPr="00A63946">
        <w:rPr>
          <w:u w:val="single"/>
        </w:rPr>
        <w:t xml:space="preserve">In an </w:t>
      </w:r>
      <w:r>
        <w:rPr>
          <w:u w:val="single"/>
        </w:rPr>
        <w:t xml:space="preserve">infrastructure </w:t>
      </w:r>
      <w:r w:rsidRPr="00A63946">
        <w:rPr>
          <w:u w:val="single"/>
        </w:rPr>
        <w:t>BSS,</w:t>
      </w:r>
      <w:r>
        <w:t xml:space="preserve"> a</w:t>
      </w:r>
      <w:r w:rsidRPr="00A63946">
        <w:t xml:space="preserve"> non-AP STA may simultaneously support up to eight TSs from the HC to itself and up to eight TSs from itself to other STAs, including the HC. The actual number it supports may be less due to implementation restrictions.</w:t>
      </w:r>
    </w:p>
    <w:p w:rsidR="00BF4728" w:rsidRPr="00A63946" w:rsidRDefault="00BF4728" w:rsidP="00BF4728"/>
    <w:p w:rsidR="00BF4728" w:rsidRPr="00A779D6" w:rsidRDefault="00BF4728" w:rsidP="00BF4728">
      <w:pPr>
        <w:rPr>
          <w:u w:val="single"/>
        </w:rPr>
      </w:pPr>
      <w:r w:rsidRPr="00A779D6">
        <w:rPr>
          <w:u w:val="single"/>
        </w:rPr>
        <w:t xml:space="preserve">Within a </w:t>
      </w:r>
      <w:r>
        <w:rPr>
          <w:u w:val="single"/>
        </w:rPr>
        <w:t xml:space="preserve">mmWave </w:t>
      </w:r>
      <w:r w:rsidRPr="00A779D6">
        <w:rPr>
          <w:u w:val="single"/>
        </w:rPr>
        <w:t>BSS</w:t>
      </w:r>
      <w:r>
        <w:rPr>
          <w:u w:val="single"/>
        </w:rPr>
        <w:t xml:space="preserve"> </w:t>
      </w:r>
      <w:r w:rsidRPr="00A779D6">
        <w:rPr>
          <w:u w:val="single"/>
        </w:rPr>
        <w:t xml:space="preserve">may be up to sixteen TSs from a source </w:t>
      </w:r>
      <w:r>
        <w:rPr>
          <w:u w:val="single"/>
        </w:rPr>
        <w:t>m</w:t>
      </w:r>
      <w:r w:rsidRPr="00A779D6">
        <w:rPr>
          <w:u w:val="single"/>
        </w:rPr>
        <w:t xml:space="preserve">STA to a destination </w:t>
      </w:r>
      <w:r>
        <w:rPr>
          <w:u w:val="single"/>
        </w:rPr>
        <w:t>m</w:t>
      </w:r>
      <w:r w:rsidRPr="00A779D6">
        <w:rPr>
          <w:u w:val="single"/>
        </w:rPr>
        <w:t xml:space="preserve">STA. An additional sixteen TSs may be created between the two </w:t>
      </w:r>
      <w:r>
        <w:rPr>
          <w:u w:val="single"/>
        </w:rPr>
        <w:t>m</w:t>
      </w:r>
      <w:r w:rsidRPr="00A779D6">
        <w:rPr>
          <w:u w:val="single"/>
        </w:rPr>
        <w:t xml:space="preserve">STAs by reversing the roles of source and destination. The actual number supported in any direction may be less due to implementation restrictions in either the source or destination </w:t>
      </w:r>
      <w:r>
        <w:rPr>
          <w:u w:val="single"/>
        </w:rPr>
        <w:t>m</w:t>
      </w:r>
      <w:r w:rsidRPr="00A779D6">
        <w:rPr>
          <w:u w:val="single"/>
        </w:rPr>
        <w:t>STA.</w:t>
      </w:r>
    </w:p>
    <w:p w:rsidR="00BF4728" w:rsidRPr="00A63946" w:rsidRDefault="00BF4728" w:rsidP="00BF4728"/>
    <w:p w:rsidR="00BF4728" w:rsidRDefault="00BF4728" w:rsidP="00BF4728">
      <w:r w:rsidRPr="00A63946">
        <w:t>The traffic admitted in context of a TSPEC can be sent using EDCA or HCCA or HEMM. This depends on the access policy set in the TS Info field in the TSPEC. A TSPEC request may be set so that both HCCA and EDCA mechanisms (i.e., HEMM) are used.</w:t>
      </w:r>
      <w:r>
        <w:t xml:space="preserve"> </w:t>
      </w:r>
      <w:r w:rsidRPr="00083D1E">
        <w:rPr>
          <w:u w:val="single"/>
        </w:rPr>
        <w:t xml:space="preserve">The traffic admitted as a result of an Extended mmWave TSPEC negotiation </w:t>
      </w:r>
      <w:r>
        <w:rPr>
          <w:u w:val="single"/>
        </w:rPr>
        <w:t>is</w:t>
      </w:r>
      <w:r w:rsidRPr="00083D1E">
        <w:rPr>
          <w:u w:val="single"/>
        </w:rPr>
        <w:t xml:space="preserve"> sent during a CBP or an SP</w:t>
      </w:r>
      <w:r>
        <w:rPr>
          <w:u w:val="single"/>
        </w:rPr>
        <w:t xml:space="preserve">. </w:t>
      </w:r>
    </w:p>
    <w:p w:rsidR="00BF4728" w:rsidRPr="009448FC" w:rsidRDefault="00BF4728" w:rsidP="008731D1"/>
    <w:p w:rsidR="008731D1" w:rsidRPr="009448FC" w:rsidRDefault="008731D1" w:rsidP="003701DB">
      <w:pPr>
        <w:pStyle w:val="Heading3"/>
        <w:numPr>
          <w:ilvl w:val="2"/>
          <w:numId w:val="94"/>
        </w:numPr>
      </w:pPr>
      <w:bookmarkStart w:id="2447" w:name="_Toc225756969"/>
      <w:bookmarkStart w:id="2448" w:name="_Toc235400576"/>
      <w:bookmarkStart w:id="2449" w:name="_Toc259717224"/>
      <w:r w:rsidRPr="009448FC">
        <w:lastRenderedPageBreak/>
        <w:t>TSPEC Construction</w:t>
      </w:r>
      <w:bookmarkEnd w:id="2447"/>
      <w:bookmarkEnd w:id="2448"/>
      <w:bookmarkEnd w:id="2449"/>
    </w:p>
    <w:p w:rsidR="008731D1" w:rsidRPr="00066F65" w:rsidRDefault="008731D1" w:rsidP="008731D1">
      <w:pPr>
        <w:rPr>
          <w:u w:val="single"/>
        </w:rPr>
      </w:pPr>
    </w:p>
    <w:p w:rsidR="008731D1" w:rsidRPr="009448FC" w:rsidRDefault="00401CDB" w:rsidP="008731D1">
      <w:r w:rsidRPr="00066F65">
        <w:rPr>
          <w:u w:val="single"/>
        </w:rPr>
        <w:t>Extended mmWave TSPEC</w:t>
      </w:r>
      <w:r w:rsidR="00D7328D" w:rsidRPr="00066F65">
        <w:rPr>
          <w:u w:val="single"/>
        </w:rPr>
        <w:t>s</w:t>
      </w:r>
      <w:r w:rsidR="00281486" w:rsidRPr="00066F65">
        <w:rPr>
          <w:u w:val="single"/>
        </w:rPr>
        <w:t xml:space="preserve"> </w:t>
      </w:r>
      <w:r w:rsidR="008731D1" w:rsidRPr="00066F65">
        <w:rPr>
          <w:u w:val="single"/>
        </w:rPr>
        <w:t>and</w:t>
      </w:r>
      <w:r w:rsidR="008731D1" w:rsidRPr="009448FC">
        <w:t xml:space="preserve"> TSPECs are constructed at the SME, from application requirements supplied via the SME, and with information specific to the MAC layer. There are no normative requirements on how any </w:t>
      </w:r>
      <w:r w:rsidRPr="00066F65">
        <w:rPr>
          <w:u w:val="single"/>
        </w:rPr>
        <w:t>Extended mmWave TSPEC</w:t>
      </w:r>
      <w:r w:rsidR="00281486" w:rsidRPr="00066F65">
        <w:rPr>
          <w:u w:val="single"/>
        </w:rPr>
        <w:t xml:space="preserve"> </w:t>
      </w:r>
      <w:r w:rsidR="008731D1" w:rsidRPr="00066F65">
        <w:rPr>
          <w:u w:val="single"/>
        </w:rPr>
        <w:t>or</w:t>
      </w:r>
      <w:r w:rsidR="008731D1" w:rsidRPr="009448FC">
        <w:t xml:space="preserve"> TSPEC is to be generated. However, in K.3.2, a description is given on how and where certain parameters may be chosen </w:t>
      </w:r>
      <w:r w:rsidR="008731D1" w:rsidRPr="00066F65">
        <w:rPr>
          <w:u w:val="single"/>
        </w:rPr>
        <w:t>for the TSPEC</w:t>
      </w:r>
      <w:r w:rsidR="008731D1" w:rsidRPr="009448FC">
        <w:t>.</w:t>
      </w:r>
    </w:p>
    <w:p w:rsidR="008731D1" w:rsidRPr="009448FC" w:rsidRDefault="008731D1" w:rsidP="008731D1"/>
    <w:p w:rsidR="008731D1" w:rsidRPr="009448FC" w:rsidRDefault="008731D1" w:rsidP="003701DB">
      <w:pPr>
        <w:pStyle w:val="Heading3"/>
        <w:numPr>
          <w:ilvl w:val="2"/>
          <w:numId w:val="94"/>
        </w:numPr>
      </w:pPr>
      <w:bookmarkStart w:id="2450" w:name="_Toc225756970"/>
      <w:bookmarkStart w:id="2451" w:name="_Toc235400577"/>
      <w:bookmarkStart w:id="2452" w:name="_Toc259717225"/>
      <w:r w:rsidRPr="009448FC">
        <w:t>TS Lifecycle</w:t>
      </w:r>
      <w:bookmarkEnd w:id="2450"/>
      <w:bookmarkEnd w:id="2451"/>
      <w:bookmarkEnd w:id="2452"/>
    </w:p>
    <w:p w:rsidR="008731D1" w:rsidRPr="009448FC" w:rsidRDefault="008731D1" w:rsidP="008731D1"/>
    <w:p w:rsidR="009D45FB" w:rsidRPr="00066F65" w:rsidRDefault="009D45FB" w:rsidP="00B3473E">
      <w:pPr>
        <w:rPr>
          <w:u w:val="single"/>
        </w:rPr>
      </w:pPr>
      <w:r w:rsidRPr="00066F65">
        <w:rPr>
          <w:u w:val="single"/>
        </w:rPr>
        <w:t>Unless stated otherwise, the owner of a</w:t>
      </w:r>
      <w:r w:rsidR="00DC565E" w:rsidRPr="00066F65">
        <w:rPr>
          <w:u w:val="single"/>
        </w:rPr>
        <w:t>n</w:t>
      </w:r>
      <w:r w:rsidRPr="00066F65">
        <w:rPr>
          <w:u w:val="single"/>
        </w:rPr>
        <w:t xml:space="preserve"> SP is the STA </w:t>
      </w:r>
      <w:r w:rsidR="00F64B93" w:rsidRPr="00066F65">
        <w:rPr>
          <w:u w:val="single"/>
        </w:rPr>
        <w:t xml:space="preserve">identified by the source AID field contained in a Grant frame </w:t>
      </w:r>
      <w:r w:rsidR="00DC565E" w:rsidRPr="00066F65">
        <w:rPr>
          <w:u w:val="single"/>
        </w:rPr>
        <w:t xml:space="preserve">or Extended Schedule </w:t>
      </w:r>
      <w:r w:rsidR="00877796" w:rsidRPr="00066F65">
        <w:rPr>
          <w:u w:val="single"/>
        </w:rPr>
        <w:t>element</w:t>
      </w:r>
      <w:r w:rsidR="00DC565E" w:rsidRPr="00066F65">
        <w:rPr>
          <w:u w:val="single"/>
        </w:rPr>
        <w:t xml:space="preserve"> </w:t>
      </w:r>
      <w:r w:rsidR="00F64B93" w:rsidRPr="00066F65">
        <w:rPr>
          <w:u w:val="single"/>
        </w:rPr>
        <w:t>transmitted by the PCP/AP</w:t>
      </w:r>
      <w:r w:rsidR="00DC565E" w:rsidRPr="00066F65">
        <w:rPr>
          <w:u w:val="single"/>
        </w:rPr>
        <w:t xml:space="preserve"> for that SP</w:t>
      </w:r>
      <w:r w:rsidR="00F64B93" w:rsidRPr="00066F65">
        <w:rPr>
          <w:u w:val="single"/>
        </w:rPr>
        <w:t xml:space="preserve">, </w:t>
      </w:r>
      <w:r w:rsidRPr="00066F65">
        <w:rPr>
          <w:u w:val="single"/>
        </w:rPr>
        <w:t>and the owner of a TXOP is the TXOP holder. A STA that owns a</w:t>
      </w:r>
      <w:r w:rsidR="00DC565E" w:rsidRPr="00066F65">
        <w:rPr>
          <w:u w:val="single"/>
        </w:rPr>
        <w:t>n</w:t>
      </w:r>
      <w:r w:rsidRPr="00066F65">
        <w:rPr>
          <w:u w:val="single"/>
        </w:rPr>
        <w:t xml:space="preserve"> SP or a TXOP is said to have the ownership of the SP or the TXOP, respectively. The rules applicable to a SP or TXOP owner are defined in </w:t>
      </w:r>
      <w:r w:rsidR="00BD151C">
        <w:rPr>
          <w:u w:val="single"/>
        </w:rPr>
        <w:fldChar w:fldCharType="begin"/>
      </w:r>
      <w:r w:rsidR="00B3473E">
        <w:rPr>
          <w:u w:val="single"/>
        </w:rPr>
        <w:instrText xml:space="preserve"> REF _Ref252008929 \r \h </w:instrText>
      </w:r>
      <w:r w:rsidR="00BD151C">
        <w:rPr>
          <w:u w:val="single"/>
        </w:rPr>
      </w:r>
      <w:r w:rsidR="00BD151C">
        <w:rPr>
          <w:u w:val="single"/>
        </w:rPr>
        <w:fldChar w:fldCharType="separate"/>
      </w:r>
      <w:r w:rsidR="003E4210">
        <w:rPr>
          <w:u w:val="single"/>
        </w:rPr>
        <w:t>9.23</w:t>
      </w:r>
      <w:r w:rsidR="00BD151C">
        <w:rPr>
          <w:u w:val="single"/>
        </w:rPr>
        <w:fldChar w:fldCharType="end"/>
      </w:r>
      <w:r w:rsidR="00B3473E">
        <w:rPr>
          <w:u w:val="single"/>
        </w:rPr>
        <w:t xml:space="preserve"> </w:t>
      </w:r>
      <w:r w:rsidRPr="00066F65">
        <w:rPr>
          <w:u w:val="single"/>
        </w:rPr>
        <w:t>and 11.4.</w:t>
      </w:r>
    </w:p>
    <w:p w:rsidR="009D45FB" w:rsidRPr="009448FC" w:rsidRDefault="009D45FB" w:rsidP="008731D1"/>
    <w:p w:rsidR="008731D1" w:rsidRPr="00066F65" w:rsidRDefault="008731D1" w:rsidP="008D3090">
      <w:pPr>
        <w:rPr>
          <w:u w:val="single"/>
        </w:rPr>
      </w:pPr>
      <w:r w:rsidRPr="009448FC">
        <w:t xml:space="preserve">Following a successful TS setup initiated by the non-AP STA </w:t>
      </w:r>
      <w:r w:rsidRPr="00066F65">
        <w:rPr>
          <w:u w:val="single"/>
        </w:rPr>
        <w:t>in a BSS</w:t>
      </w:r>
      <w:r w:rsidR="00DC565E" w:rsidRPr="00066F65">
        <w:rPr>
          <w:u w:val="single"/>
        </w:rPr>
        <w:t xml:space="preserve"> in the LB/HB</w:t>
      </w:r>
      <w:r w:rsidRPr="009448FC">
        <w:t xml:space="preserve">, the TS becomes active, and either the non-AP STA or the HC may transmit QoS data frames using this TSID (according to the Direction field). </w:t>
      </w:r>
      <w:r w:rsidRPr="00066F65">
        <w:rPr>
          <w:u w:val="single"/>
        </w:rPr>
        <w:t xml:space="preserve">Following a successful TS setup initiated by a STA in a </w:t>
      </w:r>
      <w:r w:rsidR="00BF4301" w:rsidRPr="00066F65">
        <w:rPr>
          <w:u w:val="single"/>
        </w:rPr>
        <w:t>BSS</w:t>
      </w:r>
      <w:r w:rsidR="008D3090" w:rsidRPr="00066F65">
        <w:rPr>
          <w:u w:val="single"/>
        </w:rPr>
        <w:t xml:space="preserve"> in the UB</w:t>
      </w:r>
      <w:r w:rsidR="00655EA4" w:rsidRPr="00066F65">
        <w:rPr>
          <w:u w:val="single"/>
        </w:rPr>
        <w:t>,</w:t>
      </w:r>
      <w:r w:rsidRPr="00066F65">
        <w:rPr>
          <w:u w:val="single"/>
        </w:rPr>
        <w:t xml:space="preserve"> the TS becomes active, and source STA takes ownership of the SP.</w:t>
      </w:r>
    </w:p>
    <w:p w:rsidR="008731D1" w:rsidRPr="009448FC" w:rsidRDefault="008731D1" w:rsidP="008731D1"/>
    <w:p w:rsidR="008731D1" w:rsidRPr="009448FC" w:rsidRDefault="008731D1" w:rsidP="00A07BD3">
      <w:r w:rsidRPr="009448FC">
        <w:t xml:space="preserve">While the TS is active, the parameters of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 xml:space="preserve">characterizing the TS can be renegotiated, when the renegotiation is initiated by the non-AP STA. This negotiation can succeed, resulting in a change to the TSPEC </w:t>
      </w:r>
      <w:r w:rsidRPr="00066F65">
        <w:rPr>
          <w:u w:val="single"/>
        </w:rPr>
        <w:t xml:space="preserve">or </w:t>
      </w:r>
      <w:r w:rsidR="00401CDB" w:rsidRPr="00066F65">
        <w:rPr>
          <w:u w:val="single"/>
        </w:rPr>
        <w:t>Extended mmWave TSPEC</w:t>
      </w:r>
      <w:r w:rsidR="00655EA4" w:rsidRPr="00066F65">
        <w:rPr>
          <w:u w:val="single"/>
        </w:rPr>
        <w:t>,</w:t>
      </w:r>
      <w:r w:rsidRPr="009448FC">
        <w:t xml:space="preserve"> or can fail, resulting in no change to the TSPEC </w:t>
      </w:r>
      <w:r w:rsidRPr="00066F65">
        <w:rPr>
          <w:u w:val="single"/>
        </w:rPr>
        <w:t xml:space="preserve">or </w:t>
      </w:r>
      <w:r w:rsidR="00401CDB" w:rsidRPr="00066F65">
        <w:rPr>
          <w:u w:val="single"/>
        </w:rPr>
        <w:t>Extended mmWave TSPEC</w:t>
      </w:r>
      <w:r w:rsidR="00655EA4" w:rsidRPr="00066F65">
        <w:rPr>
          <w:u w:val="single"/>
        </w:rPr>
        <w:t>.</w:t>
      </w:r>
    </w:p>
    <w:p w:rsidR="008731D1" w:rsidRPr="009448FC" w:rsidRDefault="008731D1" w:rsidP="008731D1"/>
    <w:p w:rsidR="008731D1" w:rsidRPr="009448FC" w:rsidRDefault="008731D1" w:rsidP="00A07BD3">
      <w:r w:rsidRPr="009448FC">
        <w:t xml:space="preserve">An active TS becomes inactive following a TS deletion process initiated at either non-AP STA or HC It also becomes inactive following a TS timeout detected at the HC. </w:t>
      </w:r>
      <w:r w:rsidRPr="00066F65">
        <w:rPr>
          <w:u w:val="single"/>
        </w:rPr>
        <w:t>When using the mmWave PHY, a TS timeout is detected at a non-AP STA and causes the TS deletion process to be initiated at the non-AP STA</w:t>
      </w:r>
      <w:r w:rsidRPr="009448FC">
        <w:t>. When an active TS becomes inactive, all the resources allocated for the TS are released.</w:t>
      </w:r>
    </w:p>
    <w:p w:rsidR="008731D1" w:rsidRPr="009448FC" w:rsidRDefault="008731D1" w:rsidP="008731D1"/>
    <w:p w:rsidR="008731D1" w:rsidRPr="009448FC" w:rsidRDefault="008731D1" w:rsidP="003A60F0">
      <w:r w:rsidRPr="009448FC">
        <w:t xml:space="preserve">An active TS may become suspended if no activity is detected for a duration of a suspension interval. Upon detection of activity, the TS may be reinstated. While the TS is in the suspended state, the HC shall not reclaim the resources assigned to the TS. </w:t>
      </w:r>
      <w:r w:rsidRPr="00066F65">
        <w:rPr>
          <w:u w:val="single"/>
        </w:rPr>
        <w:t xml:space="preserve">When using the mmWave PHY (clause </w:t>
      </w:r>
      <w:r w:rsidR="00BD151C" w:rsidRPr="00066F65">
        <w:rPr>
          <w:u w:val="single"/>
        </w:rPr>
        <w:fldChar w:fldCharType="begin"/>
      </w:r>
      <w:r w:rsidR="003A60F0" w:rsidRPr="00066F65">
        <w:rPr>
          <w:u w:val="single"/>
        </w:rPr>
        <w:instrText xml:space="preserve"> REF _Ref243724056 \r \h </w:instrText>
      </w:r>
      <w:r w:rsidR="00BD151C" w:rsidRPr="00066F65">
        <w:rPr>
          <w:u w:val="single"/>
        </w:rPr>
      </w:r>
      <w:r w:rsidR="00BD151C" w:rsidRPr="00066F65">
        <w:rPr>
          <w:u w:val="single"/>
        </w:rPr>
        <w:fldChar w:fldCharType="separate"/>
      </w:r>
      <w:r w:rsidR="003E4210">
        <w:rPr>
          <w:u w:val="single"/>
        </w:rPr>
        <w:t>21</w:t>
      </w:r>
      <w:r w:rsidR="00BD151C" w:rsidRPr="00066F65">
        <w:rPr>
          <w:u w:val="single"/>
        </w:rPr>
        <w:fldChar w:fldCharType="end"/>
      </w:r>
      <w:r w:rsidRPr="00066F65">
        <w:rPr>
          <w:u w:val="single"/>
        </w:rPr>
        <w:t>), a TS in which both the source and destination are non-AP/non-PCP STAs shall not be suspended.</w:t>
      </w:r>
    </w:p>
    <w:p w:rsidR="008731D1" w:rsidRPr="009448FC" w:rsidRDefault="008731D1" w:rsidP="008731D1"/>
    <w:p w:rsidR="008731D1" w:rsidRPr="009448FC" w:rsidRDefault="008731D1" w:rsidP="003701DB">
      <w:pPr>
        <w:pStyle w:val="Heading3"/>
        <w:numPr>
          <w:ilvl w:val="2"/>
          <w:numId w:val="94"/>
        </w:numPr>
      </w:pPr>
      <w:bookmarkStart w:id="2453" w:name="_Toc225756971"/>
      <w:bookmarkStart w:id="2454" w:name="_Toc235400578"/>
      <w:bookmarkStart w:id="2455" w:name="_Toc259717226"/>
      <w:r w:rsidRPr="009448FC">
        <w:t>TS Setup</w:t>
      </w:r>
      <w:bookmarkEnd w:id="2453"/>
      <w:bookmarkEnd w:id="2454"/>
      <w:bookmarkEnd w:id="2455"/>
    </w:p>
    <w:p w:rsidR="008731D1" w:rsidRPr="009448FC" w:rsidRDefault="008731D1" w:rsidP="008731D1">
      <w:pPr>
        <w:rPr>
          <w:b/>
          <w:i/>
          <w:strike/>
        </w:rPr>
      </w:pPr>
    </w:p>
    <w:p w:rsidR="008731D1" w:rsidRPr="009448FC" w:rsidRDefault="008731D1" w:rsidP="008731D1">
      <w:pPr>
        <w:rPr>
          <w:sz w:val="22"/>
        </w:rPr>
      </w:pPr>
      <w:r w:rsidRPr="009448FC">
        <w:rPr>
          <w:i/>
        </w:rPr>
        <w:t xml:space="preserve">.11 Editor’s instructions: in Figure11-8, replace </w:t>
      </w:r>
      <w:r w:rsidR="00566EFA" w:rsidRPr="009448FC">
        <w:rPr>
          <w:i/>
        </w:rPr>
        <w:t>“</w:t>
      </w:r>
      <w:r w:rsidRPr="009448FC">
        <w:t>HC</w:t>
      </w:r>
      <w:r w:rsidR="00566EFA" w:rsidRPr="009448FC">
        <w:rPr>
          <w:i/>
        </w:rPr>
        <w:t>”</w:t>
      </w:r>
      <w:r w:rsidRPr="009448FC">
        <w:rPr>
          <w:i/>
        </w:rPr>
        <w:t xml:space="preserve"> by </w:t>
      </w:r>
      <w:r w:rsidR="00566EFA" w:rsidRPr="009448FC">
        <w:rPr>
          <w:i/>
        </w:rPr>
        <w:t>“</w:t>
      </w:r>
      <w:r w:rsidRPr="009448FC">
        <w:t>HC/non-AP STA</w:t>
      </w:r>
      <w:r w:rsidR="00566EFA" w:rsidRPr="009448FC">
        <w:rPr>
          <w:i/>
        </w:rPr>
        <w:t>”</w:t>
      </w:r>
    </w:p>
    <w:p w:rsidR="008731D1" w:rsidRPr="009448FC" w:rsidRDefault="008731D1" w:rsidP="008731D1"/>
    <w:p w:rsidR="00067402" w:rsidRDefault="00067402" w:rsidP="00067402">
      <w:pPr>
        <w:rPr>
          <w:i/>
          <w:iCs/>
        </w:rPr>
      </w:pPr>
      <w:r>
        <w:rPr>
          <w:i/>
          <w:iCs/>
        </w:rPr>
        <w:t>.11</w:t>
      </w:r>
      <w:r w:rsidRPr="00286D90">
        <w:rPr>
          <w:i/>
          <w:iCs/>
        </w:rPr>
        <w:t xml:space="preserve"> editor note: modify </w:t>
      </w:r>
      <w:r>
        <w:rPr>
          <w:i/>
          <w:iCs/>
        </w:rPr>
        <w:t>the first two paragraphs in the subclause 11.4.4 as follows</w:t>
      </w:r>
    </w:p>
    <w:p w:rsidR="00067402" w:rsidRDefault="00067402" w:rsidP="00067402">
      <w:pPr>
        <w:rPr>
          <w:i/>
          <w:iCs/>
        </w:rPr>
      </w:pPr>
    </w:p>
    <w:p w:rsidR="00067402" w:rsidRPr="00B30B14" w:rsidRDefault="00067402" w:rsidP="00067402">
      <w:r w:rsidRPr="00B30B14">
        <w:t xml:space="preserve">The non-AP STA SME decides that a TS needs to be created. How it does this, and how it selects the TSPEC </w:t>
      </w:r>
      <w:r w:rsidRPr="00B30B14">
        <w:rPr>
          <w:u w:val="single"/>
        </w:rPr>
        <w:t xml:space="preserve">or </w:t>
      </w:r>
      <w:r w:rsidRPr="00401CDB">
        <w:rPr>
          <w:u w:val="single"/>
        </w:rPr>
        <w:t>Extended mmWave TSPEC</w:t>
      </w:r>
      <w:r>
        <w:rPr>
          <w:u w:val="single"/>
        </w:rPr>
        <w:t xml:space="preserve"> </w:t>
      </w:r>
      <w:r w:rsidRPr="00B30B14">
        <w:t xml:space="preserve">parameters, is beyond the scope of this </w:t>
      </w:r>
      <w:r>
        <w:t>specification</w:t>
      </w:r>
      <w:r w:rsidRPr="00B30B14">
        <w:t>. The SME generates an MLME-ADDTS.request primitive containing a TSPEC</w:t>
      </w:r>
      <w:r>
        <w:t xml:space="preserve"> </w:t>
      </w:r>
      <w:r w:rsidRPr="00B30B14">
        <w:rPr>
          <w:u w:val="single"/>
        </w:rPr>
        <w:t xml:space="preserve">or </w:t>
      </w:r>
      <w:r w:rsidRPr="00401CDB">
        <w:rPr>
          <w:u w:val="single"/>
        </w:rPr>
        <w:t>Extended mmWave TSPEC</w:t>
      </w:r>
      <w:r>
        <w:rPr>
          <w:u w:val="single"/>
        </w:rPr>
        <w:t>.</w:t>
      </w:r>
      <w:r w:rsidRPr="00B30B14">
        <w:t xml:space="preserve"> A TSPEC </w:t>
      </w:r>
      <w:r w:rsidRPr="004D233C">
        <w:rPr>
          <w:u w:val="single"/>
        </w:rPr>
        <w:t xml:space="preserve">or </w:t>
      </w:r>
      <w:r w:rsidRPr="00401CDB">
        <w:rPr>
          <w:u w:val="single"/>
        </w:rPr>
        <w:t>Extended mmWave TSPEC</w:t>
      </w:r>
      <w:r>
        <w:rPr>
          <w:u w:val="single"/>
        </w:rPr>
        <w:t xml:space="preserve"> </w:t>
      </w:r>
      <w:r w:rsidRPr="00B30B14">
        <w:t xml:space="preserve">may also be generated autonomously by the MAC without any initiation by the SME. However, if a TSPEC </w:t>
      </w:r>
      <w:r w:rsidRPr="00B30B14">
        <w:rPr>
          <w:u w:val="single"/>
        </w:rPr>
        <w:t xml:space="preserve">or </w:t>
      </w:r>
      <w:r w:rsidRPr="00401CDB">
        <w:rPr>
          <w:u w:val="single"/>
        </w:rPr>
        <w:t>Extended mmWave TSPEC</w:t>
      </w:r>
      <w:r>
        <w:rPr>
          <w:u w:val="single"/>
        </w:rPr>
        <w:t xml:space="preserve"> </w:t>
      </w:r>
      <w:r w:rsidRPr="00B30B14">
        <w:t xml:space="preserve">is generated subsequently </w:t>
      </w:r>
      <w:r w:rsidRPr="00B30B14">
        <w:lastRenderedPageBreak/>
        <w:t>by the SME</w:t>
      </w:r>
      <w:r>
        <w:t xml:space="preserve"> </w:t>
      </w:r>
      <w:r w:rsidRPr="0093531C">
        <w:rPr>
          <w:u w:val="single"/>
        </w:rPr>
        <w:t>and the responding MLME-ADDTS.confirm primitive contains ResultCode=SUCCESS</w:t>
      </w:r>
      <w:r w:rsidRPr="00367E7F">
        <w:t xml:space="preserve">, the TSPEC </w:t>
      </w:r>
      <w:r w:rsidRPr="00367E7F">
        <w:rPr>
          <w:u w:val="single"/>
        </w:rPr>
        <w:t>or E</w:t>
      </w:r>
      <w:r w:rsidRPr="00401CDB">
        <w:rPr>
          <w:u w:val="single"/>
        </w:rPr>
        <w:t>xtended mmWave TSPEC</w:t>
      </w:r>
      <w:r>
        <w:rPr>
          <w:u w:val="single"/>
        </w:rPr>
        <w:t xml:space="preserve"> </w:t>
      </w:r>
      <w:r w:rsidRPr="00B30B14">
        <w:t xml:space="preserve">containing the same TSID generated autonomously by the MAC shall be overridden. If one or more TSPECs </w:t>
      </w:r>
      <w:r w:rsidRPr="00B30B14">
        <w:rPr>
          <w:u w:val="single"/>
        </w:rPr>
        <w:t xml:space="preserve">or </w:t>
      </w:r>
      <w:r w:rsidRPr="00401CDB">
        <w:rPr>
          <w:u w:val="single"/>
        </w:rPr>
        <w:t>Extended mmWave TSPEC</w:t>
      </w:r>
      <w:r w:rsidRPr="00D7328D">
        <w:rPr>
          <w:u w:val="single"/>
        </w:rPr>
        <w:t xml:space="preserve"> </w:t>
      </w:r>
      <w:r w:rsidRPr="00B30B14">
        <w:rPr>
          <w:u w:val="single"/>
        </w:rPr>
        <w:t>s</w:t>
      </w:r>
      <w:r>
        <w:t xml:space="preserve"> </w:t>
      </w:r>
      <w:r w:rsidRPr="00B30B14">
        <w:t xml:space="preserve">are initiated by the SME, the autonomous TSPEC </w:t>
      </w:r>
      <w:r w:rsidRPr="00B30B14">
        <w:rPr>
          <w:u w:val="single"/>
        </w:rPr>
        <w:t xml:space="preserve">or </w:t>
      </w:r>
      <w:r w:rsidRPr="00401CDB">
        <w:rPr>
          <w:u w:val="single"/>
        </w:rPr>
        <w:t>Extended mmWave TSPEC</w:t>
      </w:r>
      <w:r>
        <w:rPr>
          <w:u w:val="single"/>
        </w:rPr>
        <w:t xml:space="preserve"> </w:t>
      </w:r>
      <w:r w:rsidRPr="00B30B14">
        <w:t>shall be terminated.</w:t>
      </w:r>
    </w:p>
    <w:p w:rsidR="00067402" w:rsidRPr="00B30B14" w:rsidRDefault="00067402" w:rsidP="00067402"/>
    <w:p w:rsidR="00067402" w:rsidRPr="00B30B14" w:rsidRDefault="00067402" w:rsidP="00067402">
      <w:r w:rsidRPr="00B30B14">
        <w:t xml:space="preserve">The non-AP STA MAC transmits the TSPEC </w:t>
      </w:r>
      <w:r w:rsidRPr="00B30B14">
        <w:rPr>
          <w:u w:val="single"/>
        </w:rPr>
        <w:t xml:space="preserve">or </w:t>
      </w:r>
      <w:r w:rsidRPr="00401CDB">
        <w:rPr>
          <w:u w:val="single"/>
        </w:rPr>
        <w:t>Extended mmWave TSPEC</w:t>
      </w:r>
      <w:r>
        <w:rPr>
          <w:u w:val="single"/>
        </w:rPr>
        <w:t xml:space="preserve"> </w:t>
      </w:r>
      <w:r w:rsidRPr="00B30B14">
        <w:t xml:space="preserve">in an ADDTS Request frame to the </w:t>
      </w:r>
      <w:r w:rsidRPr="00683889">
        <w:t>HC/non</w:t>
      </w:r>
      <w:r>
        <w:t xml:space="preserve">-AP STA </w:t>
      </w:r>
      <w:r w:rsidRPr="00B30B14">
        <w:t>and starts a response timer called ADDTS timer of duration dot11ADDTSResponseTimout.</w:t>
      </w:r>
      <w:r w:rsidR="00586B31">
        <w:t xml:space="preserve"> </w:t>
      </w:r>
      <w:r w:rsidRPr="00226497">
        <w:rPr>
          <w:u w:val="single"/>
        </w:rPr>
        <w:t>If the non-AP</w:t>
      </w:r>
      <w:r>
        <w:rPr>
          <w:u w:val="single"/>
        </w:rPr>
        <w:t xml:space="preserve"> </w:t>
      </w:r>
      <w:r w:rsidRPr="00226497">
        <w:rPr>
          <w:u w:val="single"/>
        </w:rPr>
        <w:t>STA expects to enter power save mode, it shall include its Wakeup Schedule IE in the ADDTS Request frame</w:t>
      </w:r>
      <w:r>
        <w:rPr>
          <w:u w:val="single"/>
        </w:rPr>
        <w:t xml:space="preserve"> variant and in the Extended mmWave ADDTS frame variant</w:t>
      </w:r>
      <w:r w:rsidRPr="00226497">
        <w:rPr>
          <w:u w:val="single"/>
        </w:rPr>
        <w:t>.</w:t>
      </w:r>
    </w:p>
    <w:p w:rsidR="008731D1" w:rsidRPr="009448FC" w:rsidRDefault="008731D1" w:rsidP="008731D1"/>
    <w:p w:rsidR="008731D1" w:rsidRPr="009448FC" w:rsidRDefault="008731D1" w:rsidP="008731D1">
      <w:r w:rsidRPr="009448FC">
        <w:t>The HC</w:t>
      </w:r>
      <w:r w:rsidR="00EF071E" w:rsidRPr="009448FC">
        <w:t>/</w:t>
      </w:r>
      <w:r w:rsidRPr="009448FC">
        <w:t xml:space="preserve">non-AP STA MAC receives this management frame and generates an MLME-ADDTS.indication primitive to its SME containing the TSPEC </w:t>
      </w:r>
      <w:r w:rsidRPr="00066F65">
        <w:rPr>
          <w:u w:val="single"/>
        </w:rPr>
        <w:t xml:space="preserve">or </w:t>
      </w:r>
      <w:r w:rsidR="00401CDB" w:rsidRPr="00066F65">
        <w:rPr>
          <w:u w:val="single"/>
        </w:rPr>
        <w:t>Extended mmWave TSPEC</w:t>
      </w:r>
      <w:r w:rsidR="00655EA4" w:rsidRPr="00066F65">
        <w:rPr>
          <w:u w:val="single"/>
        </w:rPr>
        <w:t>.</w:t>
      </w:r>
    </w:p>
    <w:p w:rsidR="008731D1" w:rsidRPr="009448FC" w:rsidRDefault="008731D1" w:rsidP="008731D1"/>
    <w:p w:rsidR="008731D1" w:rsidRPr="009448FC" w:rsidRDefault="008731D1" w:rsidP="008731D1">
      <w:r w:rsidRPr="009448FC">
        <w:t xml:space="preserve">The SME in the HC/non-AP STA decides whether to admit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 xml:space="preserve">as specified, refuse the TSPEC </w:t>
      </w:r>
      <w:r w:rsidRPr="00066F65">
        <w:rPr>
          <w:u w:val="single"/>
        </w:rPr>
        <w:t xml:space="preserve">or </w:t>
      </w:r>
      <w:r w:rsidR="00401CDB" w:rsidRPr="00066F65">
        <w:rPr>
          <w:u w:val="single"/>
        </w:rPr>
        <w:t>Extended mmWave TSPEC</w:t>
      </w:r>
      <w:r w:rsidR="00655EA4" w:rsidRPr="00066F65">
        <w:rPr>
          <w:u w:val="single"/>
        </w:rPr>
        <w:t>,</w:t>
      </w:r>
      <w:r w:rsidRPr="009448FC">
        <w:t xml:space="preserve"> or not admit but suggest an alternative TSPEC </w:t>
      </w:r>
      <w:r w:rsidRPr="00066F65">
        <w:rPr>
          <w:u w:val="single"/>
        </w:rPr>
        <w:t xml:space="preserve">or </w:t>
      </w:r>
      <w:r w:rsidR="00401CDB" w:rsidRPr="00066F65">
        <w:rPr>
          <w:u w:val="single"/>
        </w:rPr>
        <w:t>Extended mmWave TSPEC</w:t>
      </w:r>
      <w:r w:rsidR="00655EA4" w:rsidRPr="00066F65">
        <w:rPr>
          <w:u w:val="single"/>
        </w:rPr>
        <w:t>.</w:t>
      </w:r>
      <w:r w:rsidRPr="00066F65">
        <w:rPr>
          <w:u w:val="single"/>
        </w:rPr>
        <w:t xml:space="preserve"> </w:t>
      </w:r>
      <w:r w:rsidRPr="009448FC">
        <w:t xml:space="preserve">The SME then generates an MLME-ADDTS.response primitive containing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 xml:space="preserve">and a ResultCode value. The contents of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and Status fields contain values specified in 10.3.24.4.2.</w:t>
      </w:r>
    </w:p>
    <w:p w:rsidR="008731D1" w:rsidRPr="009448FC" w:rsidRDefault="008731D1" w:rsidP="008731D1"/>
    <w:p w:rsidR="008731D1" w:rsidRPr="009448FC" w:rsidRDefault="008731D1" w:rsidP="008731D1">
      <w:r w:rsidRPr="00066F65">
        <w:rPr>
          <w:u w:val="single"/>
        </w:rPr>
        <w:t xml:space="preserve">If the </w:t>
      </w:r>
      <w:r w:rsidR="00401CDB" w:rsidRPr="00066F65">
        <w:rPr>
          <w:u w:val="single"/>
        </w:rPr>
        <w:t>Extended mmWave TSPEC</w:t>
      </w:r>
      <w:r w:rsidR="00281486" w:rsidRPr="00066F65">
        <w:rPr>
          <w:u w:val="single"/>
        </w:rPr>
        <w:t xml:space="preserve"> </w:t>
      </w:r>
      <w:r w:rsidRPr="00066F65">
        <w:rPr>
          <w:u w:val="single"/>
        </w:rPr>
        <w:t xml:space="preserve">is admitted, the </w:t>
      </w:r>
      <w:r w:rsidR="002D13EB" w:rsidRPr="00066F65">
        <w:rPr>
          <w:u w:val="single"/>
        </w:rPr>
        <w:t>PCP/</w:t>
      </w:r>
      <w:r w:rsidR="00655EA4" w:rsidRPr="00066F65">
        <w:rPr>
          <w:u w:val="single"/>
        </w:rPr>
        <w:t xml:space="preserve">AP </w:t>
      </w:r>
      <w:r w:rsidRPr="00066F65">
        <w:rPr>
          <w:u w:val="single"/>
        </w:rPr>
        <w:t xml:space="preserve">shall set the ResultCode to SUCCESS_STA_IN_DOZE_MODE if the STA identified by destination AID is in power save mode, and shall include in the ADDTS Response frame the Wakeup Schedule </w:t>
      </w:r>
      <w:r w:rsidR="00877796" w:rsidRPr="00066F65">
        <w:rPr>
          <w:u w:val="single"/>
        </w:rPr>
        <w:t>element</w:t>
      </w:r>
      <w:r w:rsidRPr="00066F65">
        <w:rPr>
          <w:u w:val="single"/>
        </w:rPr>
        <w:t xml:space="preserve"> of the destination STA. In this case, the </w:t>
      </w:r>
      <w:r w:rsidR="002D13EB" w:rsidRPr="00066F65">
        <w:rPr>
          <w:u w:val="single"/>
        </w:rPr>
        <w:t>PCP/</w:t>
      </w:r>
      <w:r w:rsidR="00655EA4" w:rsidRPr="00066F65">
        <w:rPr>
          <w:u w:val="single"/>
        </w:rPr>
        <w:t xml:space="preserve">AP </w:t>
      </w:r>
      <w:r w:rsidRPr="00066F65">
        <w:rPr>
          <w:u w:val="single"/>
        </w:rPr>
        <w:t xml:space="preserve">should defer including the TS schedule in the </w:t>
      </w:r>
      <w:r w:rsidR="006A2966" w:rsidRPr="00066F65">
        <w:rPr>
          <w:u w:val="single"/>
        </w:rPr>
        <w:t>Extended Schedule</w:t>
      </w:r>
      <w:r w:rsidR="00F366E1" w:rsidRPr="00066F65">
        <w:rPr>
          <w:u w:val="single"/>
        </w:rPr>
        <w:t xml:space="preserve"> </w:t>
      </w:r>
      <w:r w:rsidR="00877796" w:rsidRPr="00066F65">
        <w:rPr>
          <w:u w:val="single"/>
        </w:rPr>
        <w:t>element</w:t>
      </w:r>
      <w:r w:rsidRPr="00066F65">
        <w:rPr>
          <w:u w:val="single"/>
        </w:rPr>
        <w:t xml:space="preserve"> until both source and destination STAs are in active mode. </w:t>
      </w:r>
    </w:p>
    <w:p w:rsidR="008731D1" w:rsidRPr="009448FC" w:rsidRDefault="008731D1" w:rsidP="008731D1"/>
    <w:p w:rsidR="008731D1" w:rsidRPr="00066F65" w:rsidRDefault="008731D1" w:rsidP="00973BD1">
      <w:pPr>
        <w:rPr>
          <w:u w:val="single"/>
        </w:rPr>
      </w:pPr>
      <w:r w:rsidRPr="009448FC">
        <w:t>The HC/non-AP STA MAC transmits an ADDTS Response frame containing this TSPEC and status. The encoding of the ResultCode values to Status Code field values is defined in Table 11-2</w:t>
      </w:r>
      <w:r w:rsidRPr="00066F65">
        <w:rPr>
          <w:u w:val="single"/>
        </w:rPr>
        <w:t xml:space="preserve">. The </w:t>
      </w:r>
      <w:r w:rsidR="002D13EB" w:rsidRPr="00066F65">
        <w:rPr>
          <w:u w:val="single"/>
        </w:rPr>
        <w:t>PCP/</w:t>
      </w:r>
      <w:r w:rsidR="00655EA4" w:rsidRPr="00066F65">
        <w:rPr>
          <w:u w:val="single"/>
        </w:rPr>
        <w:t xml:space="preserve">AP </w:t>
      </w:r>
      <w:r w:rsidRPr="00066F65">
        <w:rPr>
          <w:u w:val="single"/>
        </w:rPr>
        <w:t xml:space="preserve">shall transmit the ADDTS Response frame to the STAs identified as source and destination AID of the </w:t>
      </w:r>
      <w:r w:rsidR="00401CDB" w:rsidRPr="00066F65">
        <w:rPr>
          <w:u w:val="single"/>
        </w:rPr>
        <w:t>Extended mmWave TSPEC</w:t>
      </w:r>
      <w:r w:rsidR="00281486" w:rsidRPr="00066F65">
        <w:rPr>
          <w:u w:val="single"/>
        </w:rPr>
        <w:t xml:space="preserve"> </w:t>
      </w:r>
      <w:r w:rsidRPr="00066F65">
        <w:rPr>
          <w:u w:val="single"/>
        </w:rPr>
        <w:t>contained in the ADDTS request frame, if the ADDTS request it is sent by a non-</w:t>
      </w:r>
      <w:r w:rsidR="002D13EB" w:rsidRPr="00066F65">
        <w:rPr>
          <w:u w:val="single"/>
        </w:rPr>
        <w:t>PCP/</w:t>
      </w:r>
      <w:r w:rsidR="00655EA4" w:rsidRPr="00066F65">
        <w:rPr>
          <w:u w:val="single"/>
        </w:rPr>
        <w:t xml:space="preserve">AP </w:t>
      </w:r>
      <w:r w:rsidRPr="00066F65">
        <w:rPr>
          <w:u w:val="single"/>
        </w:rPr>
        <w:t xml:space="preserve">STA. If the ResultCode is SUCCESS, the </w:t>
      </w:r>
      <w:r w:rsidR="002D13EB" w:rsidRPr="00066F65">
        <w:rPr>
          <w:u w:val="single"/>
        </w:rPr>
        <w:t>PCP/</w:t>
      </w:r>
      <w:r w:rsidR="00655EA4" w:rsidRPr="00066F65">
        <w:rPr>
          <w:u w:val="single"/>
        </w:rPr>
        <w:t xml:space="preserve">AP </w:t>
      </w:r>
      <w:r w:rsidRPr="00066F65">
        <w:rPr>
          <w:u w:val="single"/>
        </w:rPr>
        <w:t xml:space="preserve">shall announce the creation of the TS by including the TS schedule in the </w:t>
      </w:r>
      <w:r w:rsidR="006A2966" w:rsidRPr="00066F65">
        <w:rPr>
          <w:u w:val="single"/>
        </w:rPr>
        <w:t>Extended Schedule</w:t>
      </w:r>
      <w:r w:rsidR="00EE1100" w:rsidRPr="00066F65">
        <w:rPr>
          <w:u w:val="single"/>
        </w:rPr>
        <w:t xml:space="preserve"> </w:t>
      </w:r>
      <w:r w:rsidR="00877796" w:rsidRPr="00066F65">
        <w:rPr>
          <w:u w:val="single"/>
        </w:rPr>
        <w:t>element</w:t>
      </w:r>
      <w:r w:rsidRPr="00066F65">
        <w:rPr>
          <w:u w:val="single"/>
        </w:rPr>
        <w:t xml:space="preserve"> transmitted in the</w:t>
      </w:r>
      <w:r w:rsidR="00A6457B" w:rsidRPr="00066F65">
        <w:rPr>
          <w:u w:val="single"/>
        </w:rPr>
        <w:t xml:space="preserve"> </w:t>
      </w:r>
      <w:r w:rsidR="00DC565E" w:rsidRPr="00066F65">
        <w:rPr>
          <w:u w:val="single"/>
        </w:rPr>
        <w:t xml:space="preserve">mmWave </w:t>
      </w:r>
      <w:r w:rsidR="00A6457B" w:rsidRPr="00066F65">
        <w:rPr>
          <w:u w:val="single"/>
        </w:rPr>
        <w:t>Beacon frame or Announce frame.</w:t>
      </w:r>
    </w:p>
    <w:p w:rsidR="00A6457B" w:rsidRPr="00066F65" w:rsidRDefault="00A6457B" w:rsidP="00973BD1">
      <w:pPr>
        <w:rPr>
          <w:u w:val="single"/>
        </w:rPr>
      </w:pPr>
    </w:p>
    <w:p w:rsidR="008731D1" w:rsidRPr="009448FC" w:rsidRDefault="008731D1" w:rsidP="008731D1">
      <w:pPr>
        <w:rPr>
          <w:i/>
        </w:rPr>
      </w:pPr>
      <w:r w:rsidRPr="009448FC">
        <w:rPr>
          <w:i/>
        </w:rPr>
        <w:t xml:space="preserve">.11 Editor note: In Table 11-2, insert the following </w:t>
      </w:r>
      <w:r w:rsidR="00574B97" w:rsidRPr="009448FC">
        <w:rPr>
          <w:i/>
        </w:rPr>
        <w:t>row:</w:t>
      </w:r>
    </w:p>
    <w:p w:rsidR="008731D1" w:rsidRPr="009448FC" w:rsidRDefault="008731D1" w:rsidP="008731D1"/>
    <w:p w:rsidR="008731D1" w:rsidRPr="009448FC" w:rsidRDefault="008731D1" w:rsidP="008731D1">
      <w:pPr>
        <w:jc w:val="center"/>
      </w:pPr>
      <w:r w:rsidRPr="009448FC">
        <w:t>Table 11-2 – Encoding of ResultCode to Status Code field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5058"/>
      </w:tblGrid>
      <w:tr w:rsidR="008731D1" w:rsidRPr="00066F65" w:rsidTr="00D0037C">
        <w:tc>
          <w:tcPr>
            <w:tcW w:w="5058" w:type="dxa"/>
          </w:tcPr>
          <w:p w:rsidR="008731D1" w:rsidRPr="009448FC" w:rsidRDefault="008731D1" w:rsidP="00D0037C">
            <w:pPr>
              <w:jc w:val="center"/>
              <w:rPr>
                <w:rFonts w:eastAsia="SimSun"/>
                <w:b/>
              </w:rPr>
            </w:pPr>
            <w:r w:rsidRPr="009448FC">
              <w:rPr>
                <w:rFonts w:eastAsia="SimSun"/>
                <w:b/>
              </w:rPr>
              <w:t>ResultCode</w:t>
            </w:r>
          </w:p>
        </w:tc>
        <w:tc>
          <w:tcPr>
            <w:tcW w:w="5058" w:type="dxa"/>
          </w:tcPr>
          <w:p w:rsidR="008731D1" w:rsidRPr="009448FC" w:rsidRDefault="008731D1" w:rsidP="00D0037C">
            <w:pPr>
              <w:jc w:val="center"/>
              <w:rPr>
                <w:rFonts w:eastAsia="SimSun"/>
                <w:b/>
              </w:rPr>
            </w:pPr>
            <w:r w:rsidRPr="009448FC">
              <w:rPr>
                <w:rFonts w:eastAsia="SimSun"/>
                <w:b/>
              </w:rPr>
              <w:t>Status code</w:t>
            </w:r>
          </w:p>
        </w:tc>
      </w:tr>
      <w:tr w:rsidR="008731D1" w:rsidRPr="00066F65" w:rsidTr="00D0037C">
        <w:tc>
          <w:tcPr>
            <w:tcW w:w="5058" w:type="dxa"/>
          </w:tcPr>
          <w:p w:rsidR="008731D1" w:rsidRPr="00066F65" w:rsidRDefault="008731D1" w:rsidP="00D0037C">
            <w:pPr>
              <w:jc w:val="both"/>
              <w:rPr>
                <w:rFonts w:eastAsia="SimSun"/>
                <w:u w:val="single"/>
              </w:rPr>
            </w:pPr>
            <w:r w:rsidRPr="00066F65">
              <w:rPr>
                <w:rFonts w:eastAsia="SimSun"/>
                <w:u w:val="single"/>
              </w:rPr>
              <w:t>SUCCESS_STA_IN_DOZE_MODE</w:t>
            </w:r>
          </w:p>
        </w:tc>
        <w:tc>
          <w:tcPr>
            <w:tcW w:w="5058" w:type="dxa"/>
          </w:tcPr>
          <w:p w:rsidR="008731D1" w:rsidRPr="00066F65" w:rsidRDefault="00F46160" w:rsidP="00B5419A">
            <w:pPr>
              <w:jc w:val="center"/>
              <w:rPr>
                <w:rFonts w:eastAsia="SimSun"/>
                <w:u w:val="single"/>
              </w:rPr>
            </w:pPr>
            <w:r w:rsidRPr="00066F65">
              <w:rPr>
                <w:rFonts w:eastAsia="SimSun"/>
                <w:u w:val="single"/>
              </w:rPr>
              <w:t>54</w:t>
            </w:r>
          </w:p>
        </w:tc>
      </w:tr>
    </w:tbl>
    <w:p w:rsidR="008731D1" w:rsidRPr="009448FC" w:rsidRDefault="008731D1" w:rsidP="008731D1"/>
    <w:p w:rsidR="008731D1" w:rsidRPr="009448FC" w:rsidRDefault="008731D1" w:rsidP="008731D1">
      <w:r w:rsidRPr="009448FC">
        <w:t>The non-AP</w:t>
      </w:r>
      <w:r w:rsidR="00B56C2F" w:rsidRPr="009448FC">
        <w:t xml:space="preserve"> </w:t>
      </w:r>
      <w:r w:rsidRPr="009448FC">
        <w:t xml:space="preserve">STA MAC receives this management frame and cancels its ADDTS timer. It generates an MLME-ADDTS.confirm primitive to its SME containing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and status.</w:t>
      </w:r>
    </w:p>
    <w:p w:rsidR="008731D1" w:rsidRPr="009448FC" w:rsidRDefault="008731D1" w:rsidP="008731D1"/>
    <w:p w:rsidR="008731D1" w:rsidRDefault="00793592" w:rsidP="008731D1">
      <w:pPr>
        <w:rPr>
          <w:b/>
          <w:bCs/>
          <w:i/>
          <w:iCs/>
          <w:color w:val="FF0000"/>
          <w:u w:val="single"/>
        </w:rPr>
      </w:pPr>
      <w:r w:rsidRPr="00DC32B5">
        <w:t xml:space="preserve">The non-AP STA SME decides whether the response meets its needs. How it does this is beyond the scope of this </w:t>
      </w:r>
      <w:r>
        <w:t>specification</w:t>
      </w:r>
      <w:r w:rsidRPr="00DC32B5">
        <w:t>. If the result code is SUCCESS, the TS enters into an active state. Otherwise, the whole process can be repeated using the same TSID and</w:t>
      </w:r>
      <w:r>
        <w:t xml:space="preserve"> </w:t>
      </w:r>
      <w:r w:rsidRPr="00DC32B5">
        <w:t xml:space="preserve">direction </w:t>
      </w:r>
      <w:r>
        <w:t xml:space="preserve">and a modified TSPEC until the non-AP STA SME decides that the granted TXOP is adequate or inadequate and </w:t>
      </w:r>
      <w:r>
        <w:lastRenderedPageBreak/>
        <w:t xml:space="preserve">cannot be improved. </w:t>
      </w:r>
      <w:r>
        <w:rPr>
          <w:u w:val="single"/>
        </w:rPr>
        <w:t>The same rule applies to the negotiation of the P2P TSPEC and to negotiation of the Extended mmWave TSPEC.</w:t>
      </w:r>
    </w:p>
    <w:p w:rsidR="00793592" w:rsidRPr="009448FC" w:rsidRDefault="00793592" w:rsidP="008731D1"/>
    <w:p w:rsidR="008731D1" w:rsidRPr="009448FC" w:rsidRDefault="008731D1" w:rsidP="008731D1">
      <w:r w:rsidRPr="009448FC">
        <w:t>The parameters that are set for a TS can be renegotiated in a similar manner, when such a request is generated by the SME through ADDTS.request primitive. When a request for the modification of the TS parameters is accepted by the HC it shall reset both the suspension interval and the inactivity interval timers.</w:t>
      </w:r>
    </w:p>
    <w:p w:rsidR="008731D1" w:rsidRPr="009448FC" w:rsidRDefault="008731D1" w:rsidP="008731D1"/>
    <w:p w:rsidR="008731D1" w:rsidRPr="00066F65" w:rsidRDefault="008731D1" w:rsidP="008731D1">
      <w:pPr>
        <w:rPr>
          <w:u w:val="single"/>
        </w:rPr>
      </w:pPr>
      <w:r w:rsidRPr="00066F65">
        <w:rPr>
          <w:u w:val="single"/>
        </w:rPr>
        <w:t>When a request for the modification of the TS parameters is accepted by the non-AP STA, it shall reset the inactivity interval timers</w:t>
      </w:r>
      <w:r w:rsidR="00B5419A" w:rsidRPr="00066F65">
        <w:rPr>
          <w:u w:val="single"/>
        </w:rPr>
        <w:t>.</w:t>
      </w:r>
    </w:p>
    <w:p w:rsidR="008731D1" w:rsidRPr="009448FC" w:rsidRDefault="008731D1" w:rsidP="008731D1"/>
    <w:p w:rsidR="008731D1" w:rsidRPr="009448FC" w:rsidRDefault="008731D1" w:rsidP="008731D1">
      <w:r w:rsidRPr="009448FC">
        <w:t xml:space="preserve">If the AP/HC grants a TXOP for an ADDTS Request frame with the Ack Policy subfield set to Block Ack and the Direction field set to either downlink or bidirectional, then it shall initiate a Block Ack negotiation by sending an ADDBA Request frame to the non-AP STA that originated the ADDTS Request frame. If a non-AP STA </w:t>
      </w:r>
      <w:r w:rsidRPr="00066F65">
        <w:rPr>
          <w:u w:val="single"/>
        </w:rPr>
        <w:t>in a BSS</w:t>
      </w:r>
      <w:r w:rsidR="008D3090" w:rsidRPr="00066F65">
        <w:rPr>
          <w:u w:val="single"/>
        </w:rPr>
        <w:t xml:space="preserve"> in the LB/HB</w:t>
      </w:r>
      <w:r w:rsidRPr="009448FC">
        <w:t xml:space="preserve"> is granted a TXOP for an ADDTS Request frame with the Ack Policy subfield set to Block Ack and the Direction field set to other than downlink, then it shall initiate a Block Ack negotiation by sending an ADDBA Request frame to the recipient of the TS.</w:t>
      </w:r>
    </w:p>
    <w:p w:rsidR="008731D1" w:rsidRPr="009448FC" w:rsidRDefault="008731D1" w:rsidP="008731D1"/>
    <w:p w:rsidR="008731D1" w:rsidRPr="009448FC" w:rsidRDefault="008731D1" w:rsidP="008731D1">
      <w:pPr>
        <w:rPr>
          <w:i/>
        </w:rPr>
      </w:pPr>
      <w:r w:rsidRPr="009448FC">
        <w:rPr>
          <w:i/>
        </w:rPr>
        <w:t xml:space="preserve">.11 Editor note: Add after </w:t>
      </w:r>
      <w:r w:rsidR="00574B97" w:rsidRPr="009448FC">
        <w:rPr>
          <w:i/>
        </w:rPr>
        <w:t xml:space="preserve">the </w:t>
      </w:r>
      <w:r w:rsidRPr="009448FC">
        <w:rPr>
          <w:i/>
        </w:rPr>
        <w:t>last paragraph</w:t>
      </w:r>
      <w:r w:rsidR="00574B97" w:rsidRPr="009448FC">
        <w:rPr>
          <w:i/>
        </w:rPr>
        <w:t>:</w:t>
      </w:r>
    </w:p>
    <w:p w:rsidR="008731D1" w:rsidRPr="009448FC" w:rsidRDefault="008731D1" w:rsidP="008731D1">
      <w:pPr>
        <w:rPr>
          <w:b/>
          <w:i/>
        </w:rPr>
      </w:pPr>
    </w:p>
    <w:p w:rsidR="00793592" w:rsidRPr="001657A4" w:rsidRDefault="00793592" w:rsidP="00793592">
      <w:pPr>
        <w:rPr>
          <w:u w:val="single"/>
        </w:rPr>
      </w:pPr>
      <w:r>
        <w:rPr>
          <w:u w:val="single"/>
        </w:rPr>
        <w:t>T</w:t>
      </w:r>
      <w:r w:rsidRPr="00AC63C2">
        <w:rPr>
          <w:u w:val="single"/>
        </w:rPr>
        <w:t xml:space="preserve">he </w:t>
      </w:r>
      <w:r>
        <w:rPr>
          <w:u w:val="single"/>
        </w:rPr>
        <w:t xml:space="preserve">MAC or SME </w:t>
      </w:r>
      <w:r w:rsidRPr="00AC63C2">
        <w:rPr>
          <w:u w:val="single"/>
        </w:rPr>
        <w:t xml:space="preserve">of </w:t>
      </w:r>
      <w:r>
        <w:rPr>
          <w:u w:val="single"/>
        </w:rPr>
        <w:t xml:space="preserve">a mmWave STA </w:t>
      </w:r>
      <w:r w:rsidRPr="00AC63C2">
        <w:rPr>
          <w:u w:val="single"/>
        </w:rPr>
        <w:t xml:space="preserve">may allocate </w:t>
      </w:r>
      <w:r>
        <w:rPr>
          <w:u w:val="single"/>
        </w:rPr>
        <w:t>a TSID and use it to identify the frames</w:t>
      </w:r>
      <w:r w:rsidR="00D17123">
        <w:rPr>
          <w:u w:val="single"/>
        </w:rPr>
        <w:t xml:space="preserve"> </w:t>
      </w:r>
      <w:r>
        <w:rPr>
          <w:u w:val="single"/>
        </w:rPr>
        <w:t>comprising a flow with a peer STA without</w:t>
      </w:r>
      <w:r w:rsidRPr="00AC63C2">
        <w:rPr>
          <w:u w:val="single"/>
        </w:rPr>
        <w:t xml:space="preserve"> using ADDTS Reques</w:t>
      </w:r>
      <w:r>
        <w:rPr>
          <w:u w:val="single"/>
        </w:rPr>
        <w:t xml:space="preserve">t and Response frames. </w:t>
      </w:r>
    </w:p>
    <w:p w:rsidR="008731D1" w:rsidRPr="009448FC" w:rsidRDefault="008731D1" w:rsidP="003701DB">
      <w:pPr>
        <w:pStyle w:val="Heading3"/>
        <w:numPr>
          <w:ilvl w:val="2"/>
          <w:numId w:val="94"/>
        </w:numPr>
      </w:pPr>
      <w:bookmarkStart w:id="2456" w:name="_Toc225756972"/>
      <w:bookmarkStart w:id="2457" w:name="_Toc235400579"/>
      <w:bookmarkStart w:id="2458" w:name="_Toc259717227"/>
      <w:r w:rsidRPr="009448FC">
        <w:t>Failed TS Setup</w:t>
      </w:r>
      <w:bookmarkEnd w:id="2456"/>
      <w:bookmarkEnd w:id="2457"/>
      <w:bookmarkEnd w:id="2458"/>
    </w:p>
    <w:p w:rsidR="008731D1" w:rsidRPr="009448FC" w:rsidRDefault="008731D1" w:rsidP="008731D1">
      <w:r w:rsidRPr="009448FC">
        <w:t>There are two possible types of failed TS setup:</w:t>
      </w:r>
    </w:p>
    <w:p w:rsidR="008731D1" w:rsidRPr="009448FC" w:rsidRDefault="008731D1" w:rsidP="008731D1">
      <w:pPr>
        <w:ind w:left="720"/>
      </w:pPr>
      <w:r w:rsidRPr="009448FC">
        <w:t>a) The transmission of ADDTS Request frame failed.</w:t>
      </w:r>
    </w:p>
    <w:p w:rsidR="008731D1" w:rsidRPr="009448FC" w:rsidRDefault="008731D1" w:rsidP="008731D1">
      <w:pPr>
        <w:ind w:left="720"/>
      </w:pPr>
      <w:r w:rsidRPr="009448FC">
        <w:t>b) No ADDTS Response frame is received from the HC</w:t>
      </w:r>
      <w:r w:rsidRPr="00066F65">
        <w:rPr>
          <w:u w:val="single"/>
        </w:rPr>
        <w:t>/non-AP STA</w:t>
      </w:r>
      <w:r w:rsidRPr="009448FC">
        <w:t xml:space="preserve"> (e.g., because of delay due to congestion or because the response frame cannot be transmitted).</w:t>
      </w:r>
    </w:p>
    <w:p w:rsidR="008731D1" w:rsidRPr="009448FC" w:rsidRDefault="008731D1" w:rsidP="008731D1"/>
    <w:p w:rsidR="008731D1" w:rsidRPr="009448FC" w:rsidRDefault="008731D1" w:rsidP="008D3090">
      <w:r w:rsidRPr="009448FC">
        <w:t xml:space="preserve">Figure 11-9 summarizes the remaining two cases. The MLME shall issue an MLME-ADDTS.confirm primitive, with a result code of TRANSMISSION_FAILURE in the former case and TIMEOUT in the latter case. In both cases </w:t>
      </w:r>
      <w:r w:rsidRPr="00066F65">
        <w:rPr>
          <w:u w:val="single"/>
        </w:rPr>
        <w:t xml:space="preserve">and for </w:t>
      </w:r>
      <w:r w:rsidR="008D3090" w:rsidRPr="00066F65">
        <w:rPr>
          <w:u w:val="single"/>
        </w:rPr>
        <w:t xml:space="preserve">a </w:t>
      </w:r>
      <w:r w:rsidRPr="00066F65">
        <w:rPr>
          <w:u w:val="single"/>
        </w:rPr>
        <w:t>BSS</w:t>
      </w:r>
      <w:r w:rsidR="008D3090" w:rsidRPr="00066F65">
        <w:rPr>
          <w:u w:val="single"/>
        </w:rPr>
        <w:t xml:space="preserve"> in the LB/HB</w:t>
      </w:r>
      <w:r w:rsidRPr="009448FC">
        <w:t xml:space="preserve">, if the request is not for an existing TS, the non-AP STA MAC shall send a DELTS to the HC specifying the TSID and direction of the failed request just in case the HC had received the request and it was the response that was lost. </w:t>
      </w:r>
      <w:r w:rsidRPr="00066F65">
        <w:rPr>
          <w:u w:val="single"/>
        </w:rPr>
        <w:t xml:space="preserve">In both cases and for </w:t>
      </w:r>
      <w:r w:rsidR="008D3090" w:rsidRPr="00066F65">
        <w:rPr>
          <w:u w:val="single"/>
        </w:rPr>
        <w:t xml:space="preserve">a </w:t>
      </w:r>
      <w:r w:rsidR="00BF4301" w:rsidRPr="00066F65">
        <w:rPr>
          <w:u w:val="single"/>
        </w:rPr>
        <w:t>BSS</w:t>
      </w:r>
      <w:r w:rsidR="008D3090" w:rsidRPr="00066F65">
        <w:rPr>
          <w:u w:val="single"/>
        </w:rPr>
        <w:t xml:space="preserve"> in the UB</w:t>
      </w:r>
      <w:r w:rsidR="00655EA4" w:rsidRPr="00066F65">
        <w:rPr>
          <w:u w:val="single"/>
        </w:rPr>
        <w:t>,</w:t>
      </w:r>
      <w:r w:rsidRPr="00066F65">
        <w:rPr>
          <w:u w:val="single"/>
        </w:rPr>
        <w:t xml:space="preserve"> if the request is not for an existing TS, the non-PCP</w:t>
      </w:r>
      <w:r w:rsidR="002D13EB" w:rsidRPr="009448FC">
        <w:t>/non-</w:t>
      </w:r>
      <w:r w:rsidR="00655EA4" w:rsidRPr="009448FC">
        <w:t xml:space="preserve">AP </w:t>
      </w:r>
      <w:r w:rsidRPr="00066F65">
        <w:rPr>
          <w:u w:val="single"/>
        </w:rPr>
        <w:t xml:space="preserve">STA MAC shall send a DELTS to the non-AP STA specifying the TSID and destination STA of the failed request just in case the </w:t>
      </w:r>
      <w:r w:rsidR="00921C49" w:rsidRPr="00066F65">
        <w:rPr>
          <w:u w:val="single"/>
        </w:rPr>
        <w:t>PCP/</w:t>
      </w:r>
      <w:r w:rsidR="00655EA4" w:rsidRPr="00066F65">
        <w:rPr>
          <w:u w:val="single"/>
        </w:rPr>
        <w:t xml:space="preserve">AP </w:t>
      </w:r>
      <w:r w:rsidRPr="00066F65">
        <w:rPr>
          <w:u w:val="single"/>
        </w:rPr>
        <w:t>had received the request and it was the response that was lost.</w:t>
      </w:r>
    </w:p>
    <w:p w:rsidR="008731D1" w:rsidRPr="009448FC" w:rsidRDefault="008731D1" w:rsidP="008731D1"/>
    <w:p w:rsidR="008731D1" w:rsidRDefault="008731D1" w:rsidP="002D5192">
      <w:pPr>
        <w:rPr>
          <w:i/>
        </w:rPr>
      </w:pPr>
      <w:r w:rsidRPr="009448FC">
        <w:rPr>
          <w:i/>
        </w:rPr>
        <w:t>.11 Editor note: In Figure 11-9, replace “</w:t>
      </w:r>
      <w:r w:rsidRPr="009448FC">
        <w:t>HC</w:t>
      </w:r>
      <w:r w:rsidRPr="009448FC">
        <w:rPr>
          <w:i/>
        </w:rPr>
        <w:t>” by “</w:t>
      </w:r>
      <w:r w:rsidRPr="009448FC">
        <w:t>HC/</w:t>
      </w:r>
      <w:r w:rsidRPr="00066F65">
        <w:rPr>
          <w:iCs/>
          <w:szCs w:val="28"/>
          <w:u w:val="single"/>
        </w:rPr>
        <w:t>non-AP STA</w:t>
      </w:r>
      <w:r w:rsidRPr="009448FC">
        <w:rPr>
          <w:i/>
        </w:rPr>
        <w:t>”</w:t>
      </w:r>
    </w:p>
    <w:p w:rsidR="00793592" w:rsidRDefault="00793592" w:rsidP="002D5192">
      <w:pPr>
        <w:rPr>
          <w:i/>
        </w:rPr>
      </w:pPr>
    </w:p>
    <w:p w:rsidR="008731D1" w:rsidRPr="00793592" w:rsidRDefault="00793592" w:rsidP="00793592">
      <w:pPr>
        <w:rPr>
          <w:i/>
          <w:iCs/>
        </w:rPr>
      </w:pPr>
      <w:r>
        <w:rPr>
          <w:i/>
          <w:iCs/>
        </w:rPr>
        <w:t>.11 editor note: modify the sub</w:t>
      </w:r>
      <w:r w:rsidR="00F66054">
        <w:rPr>
          <w:i/>
          <w:iCs/>
        </w:rPr>
        <w:t xml:space="preserve"> </w:t>
      </w:r>
      <w:r>
        <w:rPr>
          <w:i/>
          <w:iCs/>
        </w:rPr>
        <w:t>clause</w:t>
      </w:r>
      <w:r w:rsidR="00F66054">
        <w:rPr>
          <w:i/>
          <w:iCs/>
        </w:rPr>
        <w:t>s</w:t>
      </w:r>
      <w:r>
        <w:rPr>
          <w:i/>
          <w:iCs/>
        </w:rPr>
        <w:t xml:space="preserve"> 11.4.6 </w:t>
      </w:r>
      <w:r w:rsidR="00F66054">
        <w:rPr>
          <w:i/>
          <w:iCs/>
        </w:rPr>
        <w:t xml:space="preserve">-11.4.8 </w:t>
      </w:r>
      <w:r>
        <w:rPr>
          <w:i/>
          <w:iCs/>
        </w:rPr>
        <w:t>as follows</w:t>
      </w:r>
    </w:p>
    <w:p w:rsidR="008731D1" w:rsidRPr="009448FC" w:rsidRDefault="008731D1" w:rsidP="003701DB">
      <w:pPr>
        <w:pStyle w:val="Heading3"/>
        <w:numPr>
          <w:ilvl w:val="2"/>
          <w:numId w:val="94"/>
        </w:numPr>
      </w:pPr>
      <w:bookmarkStart w:id="2459" w:name="_Toc225756973"/>
      <w:bookmarkStart w:id="2460" w:name="_Toc235400580"/>
      <w:bookmarkStart w:id="2461" w:name="_Toc259717228"/>
      <w:r w:rsidRPr="009448FC">
        <w:t>Data Transfer</w:t>
      </w:r>
      <w:bookmarkEnd w:id="2459"/>
      <w:bookmarkEnd w:id="2460"/>
      <w:bookmarkEnd w:id="2461"/>
    </w:p>
    <w:p w:rsidR="008731D1" w:rsidRDefault="008731D1" w:rsidP="008731D1"/>
    <w:p w:rsidR="00793592" w:rsidRDefault="00793592" w:rsidP="00793592">
      <w:pPr>
        <w:rPr>
          <w:u w:val="single"/>
        </w:rPr>
      </w:pPr>
      <w:r w:rsidRPr="00F502D2">
        <w:t>After the setup of a TSPEC</w:t>
      </w:r>
      <w:r>
        <w:t xml:space="preserve">, MSDUs are classified above the </w:t>
      </w:r>
      <w:r w:rsidRPr="00F502D2">
        <w:t xml:space="preserve">MAC and are sent to the MAC through the MAC_SAP using the service primitive MA-UNITDATA.request with the priority parameter encoded to the TSID. The MAC delivers the MSDUs based on a schedule using QoS data frames. In </w:t>
      </w:r>
      <w:r w:rsidRPr="00F502D2">
        <w:lastRenderedPageBreak/>
        <w:t>the case of a non-AP STA, the MSDUs are transmitted using QoS data frames, when the non-AP STA is polled by the HC.</w:t>
      </w:r>
      <w:r w:rsidR="005515A4">
        <w:t xml:space="preserve"> </w:t>
      </w:r>
    </w:p>
    <w:p w:rsidR="00793592" w:rsidRDefault="00793592" w:rsidP="00793592"/>
    <w:p w:rsidR="00793592" w:rsidRPr="004D3EAE" w:rsidRDefault="00793592" w:rsidP="00793592">
      <w:pPr>
        <w:rPr>
          <w:u w:val="single"/>
        </w:rPr>
      </w:pPr>
      <w:r w:rsidRPr="004D3EAE">
        <w:rPr>
          <w:u w:val="single"/>
        </w:rPr>
        <w:t>After the setup of a P2P TSPEC, MSDUs are classified above the MAC and are sent to the MAC through the MAC_SAP using the service primitive MA-UNITDATA.request with the priority parameter encoded to the TSID. During the CBP the MAC delivers the MSDUs based on a priority of the transmitted QoS data frames. During SP allocated as defined in 11.4.11.1 and 11.4.11.2.the MSDUs are transmitted using QoS data frames,</w:t>
      </w:r>
      <w:r w:rsidRPr="004D3EAE">
        <w:rPr>
          <w:b/>
          <w:bCs/>
          <w:i/>
          <w:iCs/>
          <w:u w:val="single"/>
        </w:rPr>
        <w:t xml:space="preserve"> </w:t>
      </w:r>
    </w:p>
    <w:p w:rsidR="00793592" w:rsidRDefault="00793592" w:rsidP="00793592">
      <w:pPr>
        <w:rPr>
          <w:u w:val="single"/>
        </w:rPr>
      </w:pPr>
    </w:p>
    <w:p w:rsidR="00793592" w:rsidRPr="00627A05" w:rsidRDefault="00793592" w:rsidP="00793592">
      <w:pPr>
        <w:autoSpaceDE w:val="0"/>
        <w:autoSpaceDN w:val="0"/>
        <w:adjustRightInd w:val="0"/>
        <w:rPr>
          <w:u w:val="single"/>
        </w:rPr>
      </w:pPr>
      <w:r w:rsidRPr="00627A05">
        <w:rPr>
          <w:u w:val="single"/>
        </w:rPr>
        <w:t>After the setup of an Extended mmWave TSPEC, MSDUs are classified above the MAC and are sent to the MAC through the MAC_SAP using the service primitive MA-UNITDATA.request with the priority parameter encoded to the TSID. The MSDUs are transmitted using QoS data frames, during the SP allocated as defined in 11.4.11.1 and 11.4.11.2.</w:t>
      </w:r>
    </w:p>
    <w:p w:rsidR="00793592" w:rsidRDefault="00793592" w:rsidP="00793592">
      <w:pPr>
        <w:rPr>
          <w:u w:val="single"/>
        </w:rPr>
      </w:pPr>
    </w:p>
    <w:p w:rsidR="00793592" w:rsidRPr="0016156F" w:rsidRDefault="00793592" w:rsidP="00793592">
      <w:r w:rsidRPr="0016156F">
        <w:t>When an MSDU arrives from the MAC_SAP with a TSID for which there is no associated TSPEC</w:t>
      </w:r>
      <w:r>
        <w:t xml:space="preserve"> </w:t>
      </w:r>
      <w:r w:rsidRPr="0016156F">
        <w:rPr>
          <w:u w:val="single"/>
        </w:rPr>
        <w:t xml:space="preserve">or </w:t>
      </w:r>
      <w:r w:rsidRPr="00401CDB">
        <w:rPr>
          <w:u w:val="single"/>
        </w:rPr>
        <w:t>Extended mmWave TSPEC</w:t>
      </w:r>
      <w:r>
        <w:rPr>
          <w:u w:val="single"/>
        </w:rPr>
        <w:t>,</w:t>
      </w:r>
      <w:r w:rsidRPr="0016156F">
        <w:t xml:space="preserve"> then the MSDUs shall be sent using EDCA using the access category AC_BE.</w:t>
      </w:r>
      <w:r w:rsidR="005515A4">
        <w:t xml:space="preserve"> </w:t>
      </w:r>
    </w:p>
    <w:p w:rsidR="00793592" w:rsidRPr="009448FC" w:rsidRDefault="00793592" w:rsidP="008731D1"/>
    <w:p w:rsidR="008731D1" w:rsidRPr="009448FC" w:rsidRDefault="008731D1" w:rsidP="003701DB">
      <w:pPr>
        <w:pStyle w:val="Heading3"/>
        <w:numPr>
          <w:ilvl w:val="2"/>
          <w:numId w:val="94"/>
        </w:numPr>
      </w:pPr>
      <w:bookmarkStart w:id="2462" w:name="_Toc225756974"/>
      <w:bookmarkStart w:id="2463" w:name="_Toc235400581"/>
      <w:bookmarkStart w:id="2464" w:name="_Toc259717229"/>
      <w:r w:rsidRPr="009448FC">
        <w:t>TS Deletion</w:t>
      </w:r>
      <w:bookmarkEnd w:id="2462"/>
      <w:bookmarkEnd w:id="2463"/>
      <w:bookmarkEnd w:id="2464"/>
    </w:p>
    <w:p w:rsidR="008731D1" w:rsidRPr="009448FC" w:rsidRDefault="008731D1" w:rsidP="00C41F39">
      <w:r w:rsidRPr="009448FC">
        <w:t>There are two types of TS deletion: non-AP</w:t>
      </w:r>
      <w:r w:rsidRPr="00066F65">
        <w:rPr>
          <w:u w:val="single"/>
        </w:rPr>
        <w:t>/non-PCP</w:t>
      </w:r>
      <w:r w:rsidRPr="009448FC">
        <w:t xml:space="preserve"> STA-initiated and HC</w:t>
      </w:r>
      <w:r w:rsidRPr="00066F65">
        <w:rPr>
          <w:u w:val="single"/>
        </w:rPr>
        <w:t>/PCP</w:t>
      </w:r>
      <w:r w:rsidRPr="009448FC">
        <w:t xml:space="preserve">-initiated. In both cases </w:t>
      </w:r>
      <w:r w:rsidRPr="00066F65">
        <w:rPr>
          <w:u w:val="single"/>
        </w:rPr>
        <w:t>and when the TS Info is used</w:t>
      </w:r>
      <w:r w:rsidRPr="009448FC">
        <w:t xml:space="preserve">, the SME entity above the MAC generates an MLME-DELTS.request primitive specifying the TSID and direction of the TS to be deleted and the reason for deleting the TS. </w:t>
      </w:r>
      <w:r w:rsidRPr="00066F65">
        <w:rPr>
          <w:u w:val="single"/>
        </w:rPr>
        <w:t xml:space="preserve">In both cases and when the </w:t>
      </w:r>
      <w:r w:rsidR="00401CDB" w:rsidRPr="00066F65">
        <w:rPr>
          <w:u w:val="single"/>
        </w:rPr>
        <w:t>Extended mmWave TS Info</w:t>
      </w:r>
      <w:r w:rsidR="004D78C9" w:rsidRPr="00066F65">
        <w:rPr>
          <w:u w:val="single"/>
        </w:rPr>
        <w:t xml:space="preserve"> </w:t>
      </w:r>
      <w:r w:rsidRPr="00066F65">
        <w:rPr>
          <w:u w:val="single"/>
        </w:rPr>
        <w:t xml:space="preserve">is used, the SME entity above the MAC generates an MLME-DELTS.request primitive specifying the TSID and destination STA of the TS to be deleted and the reason for deleting the TS. </w:t>
      </w:r>
      <w:r w:rsidRPr="009448FC">
        <w:t>This causes the MAC to send a DELTS Action frame. The encoding of ReasonCode values to Reason Code field (</w:t>
      </w:r>
      <w:r w:rsidR="00C41F39" w:rsidRPr="00C41F39">
        <w:t>see 7.3.1.7)</w:t>
      </w:r>
      <w:r w:rsidRPr="009448FC">
        <w:t xml:space="preserve"> values is defined in Table 11-3.</w:t>
      </w:r>
    </w:p>
    <w:p w:rsidR="008731D1" w:rsidRPr="009448FC" w:rsidRDefault="008731D1" w:rsidP="008731D1"/>
    <w:p w:rsidR="008731D1" w:rsidRPr="009448FC" w:rsidRDefault="008731D1" w:rsidP="008731D1">
      <w:r w:rsidRPr="009448FC">
        <w:t>Figure 11-10 shows the case of TS deletion initiated by the non-AP</w:t>
      </w:r>
      <w:r w:rsidRPr="00066F65">
        <w:rPr>
          <w:u w:val="single"/>
        </w:rPr>
        <w:t>/non-PCP</w:t>
      </w:r>
      <w:r w:rsidRPr="009448FC">
        <w:t xml:space="preserve"> STA and the case of TS deletion initiated by the HC</w:t>
      </w:r>
      <w:r w:rsidRPr="00066F65">
        <w:rPr>
          <w:u w:val="single"/>
        </w:rPr>
        <w:t>/PCP</w:t>
      </w:r>
      <w:r w:rsidRPr="009448FC">
        <w:t>.</w:t>
      </w:r>
    </w:p>
    <w:p w:rsidR="008731D1" w:rsidRPr="009448FC" w:rsidRDefault="008731D1" w:rsidP="008731D1"/>
    <w:p w:rsidR="008731D1" w:rsidRPr="009448FC" w:rsidRDefault="008731D1" w:rsidP="00E669AC">
      <w:r w:rsidRPr="009448FC">
        <w:t>An HC</w:t>
      </w:r>
      <w:r w:rsidR="00B915D1" w:rsidRPr="00B915D1">
        <w:t xml:space="preserve"> </w:t>
      </w:r>
      <w:r w:rsidRPr="009448FC">
        <w:t xml:space="preserve">should not delete a TSPEC without a request from the SME except due to inactivity (see </w:t>
      </w:r>
      <w:r w:rsidR="00BD151C">
        <w:fldChar w:fldCharType="begin"/>
      </w:r>
      <w:r w:rsidR="00E669AC">
        <w:instrText xml:space="preserve"> REF _Ref243986269 \r \h </w:instrText>
      </w:r>
      <w:r w:rsidR="00BD151C">
        <w:fldChar w:fldCharType="separate"/>
      </w:r>
      <w:r w:rsidR="003E4210">
        <w:t>11.4.8</w:t>
      </w:r>
      <w:r w:rsidR="00BD151C">
        <w:fldChar w:fldCharType="end"/>
      </w:r>
      <w:r w:rsidRPr="009448FC">
        <w:t>).</w:t>
      </w:r>
    </w:p>
    <w:p w:rsidR="008731D1" w:rsidRPr="009448FC" w:rsidRDefault="008731D1" w:rsidP="008731D1"/>
    <w:p w:rsidR="008731D1" w:rsidRPr="009448FC" w:rsidRDefault="008731D1" w:rsidP="008731D1">
      <w:r w:rsidRPr="009448FC">
        <w:t xml:space="preserve">All TSPECs </w:t>
      </w:r>
      <w:r w:rsidRPr="00066F65">
        <w:rPr>
          <w:u w:val="single"/>
        </w:rPr>
        <w:t xml:space="preserve">or </w:t>
      </w:r>
      <w:r w:rsidR="00401CDB" w:rsidRPr="00066F65">
        <w:rPr>
          <w:u w:val="single"/>
        </w:rPr>
        <w:t>Extended mmWave TSPEC</w:t>
      </w:r>
      <w:r w:rsidR="00D7328D" w:rsidRPr="00066F65">
        <w:rPr>
          <w:u w:val="single"/>
        </w:rPr>
        <w:t xml:space="preserve"> </w:t>
      </w:r>
      <w:r w:rsidRPr="00066F65">
        <w:rPr>
          <w:u w:val="single"/>
        </w:rPr>
        <w:t>s</w:t>
      </w:r>
      <w:r w:rsidRPr="009448FC">
        <w:t xml:space="preserve"> that have been set up shall be deleted upon disassociation and reassociation. Reassociation causes the non-AP</w:t>
      </w:r>
      <w:r w:rsidRPr="00066F65">
        <w:rPr>
          <w:u w:val="single"/>
        </w:rPr>
        <w:t>/non-PCP</w:t>
      </w:r>
      <w:r w:rsidRPr="009448FC">
        <w:t xml:space="preserve"> STA and AP</w:t>
      </w:r>
      <w:r w:rsidRPr="00066F65">
        <w:rPr>
          <w:u w:val="single"/>
        </w:rPr>
        <w:t>/PCP</w:t>
      </w:r>
      <w:r w:rsidRPr="009448FC">
        <w:t xml:space="preserve"> to clear their state, and the non-AP</w:t>
      </w:r>
      <w:r w:rsidRPr="00066F65">
        <w:rPr>
          <w:u w:val="single"/>
        </w:rPr>
        <w:t>/non-PCP</w:t>
      </w:r>
      <w:r w:rsidRPr="009448FC">
        <w:t xml:space="preserve"> STA will have to reinitiate the setup.</w:t>
      </w:r>
    </w:p>
    <w:p w:rsidR="008731D1" w:rsidRPr="009448FC" w:rsidRDefault="008731D1" w:rsidP="008731D1"/>
    <w:p w:rsidR="008731D1" w:rsidRPr="00066F65" w:rsidRDefault="008731D1" w:rsidP="008731D1">
      <w:pPr>
        <w:rPr>
          <w:u w:val="single"/>
        </w:rPr>
      </w:pPr>
      <w:r w:rsidRPr="00066F65">
        <w:rPr>
          <w:u w:val="single"/>
        </w:rPr>
        <w:t xml:space="preserve">A </w:t>
      </w:r>
      <w:r w:rsidR="00921C49" w:rsidRPr="00066F65">
        <w:rPr>
          <w:u w:val="single"/>
        </w:rPr>
        <w:t>PCP/</w:t>
      </w:r>
      <w:r w:rsidR="00655EA4" w:rsidRPr="00066F65">
        <w:rPr>
          <w:u w:val="single"/>
        </w:rPr>
        <w:t xml:space="preserve">AP </w:t>
      </w:r>
      <w:r w:rsidRPr="00066F65">
        <w:rPr>
          <w:u w:val="single"/>
        </w:rPr>
        <w:t xml:space="preserve">shall remove the scheduling information contained in the </w:t>
      </w:r>
      <w:r w:rsidR="006A2966" w:rsidRPr="00066F65">
        <w:rPr>
          <w:u w:val="single"/>
        </w:rPr>
        <w:t>Extended Schedule</w:t>
      </w:r>
      <w:r w:rsidR="00281486" w:rsidRPr="00066F65">
        <w:rPr>
          <w:u w:val="single"/>
        </w:rPr>
        <w:t xml:space="preserve"> </w:t>
      </w:r>
      <w:r w:rsidR="00877796" w:rsidRPr="00066F65">
        <w:rPr>
          <w:u w:val="single"/>
        </w:rPr>
        <w:t>element</w:t>
      </w:r>
      <w:r w:rsidRPr="00066F65">
        <w:rPr>
          <w:u w:val="single"/>
        </w:rPr>
        <w:t xml:space="preserve"> corresponding to a deleted </w:t>
      </w:r>
      <w:r w:rsidR="00401CDB" w:rsidRPr="00066F65">
        <w:rPr>
          <w:u w:val="single"/>
        </w:rPr>
        <w:t>Extended mmWave TSPEC</w:t>
      </w:r>
      <w:r w:rsidR="00281486" w:rsidRPr="00066F65">
        <w:rPr>
          <w:u w:val="single"/>
        </w:rPr>
        <w:t xml:space="preserve"> </w:t>
      </w:r>
      <w:r w:rsidRPr="00066F65">
        <w:rPr>
          <w:u w:val="single"/>
        </w:rPr>
        <w:t>identified by the TSID and destination STA.</w:t>
      </w:r>
    </w:p>
    <w:p w:rsidR="008731D1" w:rsidRPr="009448FC" w:rsidRDefault="008731D1" w:rsidP="008731D1"/>
    <w:p w:rsidR="008731D1" w:rsidRPr="009448FC" w:rsidRDefault="008731D1" w:rsidP="00AA7423">
      <w:pPr>
        <w:rPr>
          <w:i/>
        </w:rPr>
      </w:pPr>
      <w:r w:rsidRPr="009448FC">
        <w:rPr>
          <w:i/>
        </w:rPr>
        <w:t>.11 Editor note: In Figure 11-10, replace</w:t>
      </w:r>
      <w:r w:rsidRPr="009448FC">
        <w:rPr>
          <w:i/>
          <w:strike/>
        </w:rPr>
        <w:t xml:space="preserve"> </w:t>
      </w:r>
      <w:r w:rsidRPr="009448FC">
        <w:rPr>
          <w:i/>
        </w:rPr>
        <w:t>“</w:t>
      </w:r>
      <w:r w:rsidRPr="009448FC">
        <w:t>HC</w:t>
      </w:r>
      <w:r w:rsidRPr="009448FC">
        <w:rPr>
          <w:i/>
        </w:rPr>
        <w:t>” by “</w:t>
      </w:r>
      <w:r w:rsidRPr="009448FC">
        <w:t>HC/non-AP STA</w:t>
      </w:r>
      <w:r w:rsidRPr="009448FC">
        <w:rPr>
          <w:i/>
        </w:rPr>
        <w:t>”</w:t>
      </w:r>
    </w:p>
    <w:p w:rsidR="008731D1" w:rsidRPr="009448FC" w:rsidRDefault="008731D1" w:rsidP="008731D1">
      <w:pPr>
        <w:rPr>
          <w:sz w:val="28"/>
        </w:rPr>
      </w:pPr>
    </w:p>
    <w:p w:rsidR="008731D1" w:rsidRPr="009448FC" w:rsidRDefault="008731D1" w:rsidP="003701DB">
      <w:pPr>
        <w:pStyle w:val="Heading3"/>
        <w:numPr>
          <w:ilvl w:val="2"/>
          <w:numId w:val="94"/>
        </w:numPr>
      </w:pPr>
      <w:bookmarkStart w:id="2465" w:name="_Toc225756975"/>
      <w:bookmarkStart w:id="2466" w:name="_Toc235400582"/>
      <w:bookmarkStart w:id="2467" w:name="_Ref243986269"/>
      <w:bookmarkStart w:id="2468" w:name="_Toc259717230"/>
      <w:r w:rsidRPr="009448FC">
        <w:t>TS Timeout</w:t>
      </w:r>
      <w:bookmarkEnd w:id="2465"/>
      <w:bookmarkEnd w:id="2466"/>
      <w:bookmarkEnd w:id="2467"/>
      <w:bookmarkEnd w:id="2468"/>
    </w:p>
    <w:p w:rsidR="008731D1" w:rsidRPr="009448FC" w:rsidRDefault="008731D1" w:rsidP="008731D1">
      <w:r w:rsidRPr="009448FC">
        <w:t>TS timeout is detected within the HC</w:t>
      </w:r>
      <w:r w:rsidRPr="00066F65">
        <w:rPr>
          <w:u w:val="single"/>
        </w:rPr>
        <w:t>/non-AP STA</w:t>
      </w:r>
      <w:r w:rsidR="0027792A" w:rsidRPr="00066F65">
        <w:rPr>
          <w:strike/>
          <w:u w:val="single"/>
        </w:rPr>
        <w:t xml:space="preserve"> </w:t>
      </w:r>
      <w:r w:rsidRPr="00066F65">
        <w:rPr>
          <w:u w:val="single"/>
        </w:rPr>
        <w:t>STA</w:t>
      </w:r>
      <w:r w:rsidRPr="009448FC">
        <w:t xml:space="preserve"> MAC when no traffic is detected on the TS within the inactivity timeout specified when the TS was created.</w:t>
      </w:r>
    </w:p>
    <w:p w:rsidR="008731D1" w:rsidRPr="009448FC" w:rsidRDefault="008731D1" w:rsidP="008731D1"/>
    <w:p w:rsidR="008731D1" w:rsidRPr="009448FC" w:rsidRDefault="008731D1" w:rsidP="008D3090">
      <w:r w:rsidRPr="009448FC">
        <w:t xml:space="preserve">For an uplink TS </w:t>
      </w:r>
      <w:r w:rsidRPr="00066F65">
        <w:rPr>
          <w:u w:val="single"/>
        </w:rPr>
        <w:t xml:space="preserve">in a BSS </w:t>
      </w:r>
      <w:r w:rsidR="008D3090" w:rsidRPr="00066F65">
        <w:rPr>
          <w:u w:val="single"/>
        </w:rPr>
        <w:t xml:space="preserve">in the LB/HB </w:t>
      </w:r>
      <w:r w:rsidRPr="00066F65">
        <w:rPr>
          <w:u w:val="single"/>
        </w:rPr>
        <w:t xml:space="preserve">or for a TS that has the </w:t>
      </w:r>
      <w:r w:rsidR="00921C49" w:rsidRPr="00066F65">
        <w:rPr>
          <w:u w:val="single"/>
        </w:rPr>
        <w:t>PCP/</w:t>
      </w:r>
      <w:r w:rsidR="00655EA4" w:rsidRPr="00066F65">
        <w:rPr>
          <w:u w:val="single"/>
        </w:rPr>
        <w:t xml:space="preserve">AP </w:t>
      </w:r>
      <w:r w:rsidRPr="00066F65">
        <w:rPr>
          <w:u w:val="single"/>
        </w:rPr>
        <w:t xml:space="preserve">as the destination STA in a </w:t>
      </w:r>
      <w:r w:rsidR="00BF4301" w:rsidRPr="00066F65">
        <w:rPr>
          <w:u w:val="single"/>
        </w:rPr>
        <w:t>BSS</w:t>
      </w:r>
      <w:r w:rsidR="008D3090" w:rsidRPr="00066F65">
        <w:rPr>
          <w:u w:val="single"/>
        </w:rPr>
        <w:t xml:space="preserve"> in the UB</w:t>
      </w:r>
      <w:r w:rsidR="00655EA4" w:rsidRPr="00066F65">
        <w:rPr>
          <w:u w:val="single"/>
        </w:rPr>
        <w:t>,</w:t>
      </w:r>
      <w:r w:rsidRPr="009448FC">
        <w:t xml:space="preserve"> the timeout is based on the arrival of correctly received MSDUs that belong to the TS within the MAC after any decryption and reassembly. </w:t>
      </w:r>
    </w:p>
    <w:p w:rsidR="008731D1" w:rsidRPr="009448FC" w:rsidRDefault="008731D1" w:rsidP="008731D1"/>
    <w:p w:rsidR="008731D1" w:rsidRPr="009448FC" w:rsidRDefault="008731D1" w:rsidP="008D3090">
      <w:r w:rsidRPr="009448FC">
        <w:t xml:space="preserve">For a downlink TS </w:t>
      </w:r>
      <w:r w:rsidRPr="00066F65">
        <w:rPr>
          <w:u w:val="single"/>
        </w:rPr>
        <w:t xml:space="preserve">in a BSS </w:t>
      </w:r>
      <w:r w:rsidR="008D3090" w:rsidRPr="00066F65">
        <w:rPr>
          <w:u w:val="single"/>
        </w:rPr>
        <w:t xml:space="preserve">in the LB/HB </w:t>
      </w:r>
      <w:r w:rsidRPr="00066F65">
        <w:rPr>
          <w:u w:val="single"/>
        </w:rPr>
        <w:t xml:space="preserve">or for a TS that has the </w:t>
      </w:r>
      <w:r w:rsidR="00921C49" w:rsidRPr="00066F65">
        <w:rPr>
          <w:u w:val="single"/>
        </w:rPr>
        <w:t>PCP/</w:t>
      </w:r>
      <w:r w:rsidR="00655EA4" w:rsidRPr="00066F65">
        <w:rPr>
          <w:u w:val="single"/>
        </w:rPr>
        <w:t xml:space="preserve">AP </w:t>
      </w:r>
      <w:r w:rsidRPr="00066F65">
        <w:rPr>
          <w:u w:val="single"/>
        </w:rPr>
        <w:t xml:space="preserve">as the source STA in a </w:t>
      </w:r>
      <w:r w:rsidR="00BF4301" w:rsidRPr="00066F65">
        <w:rPr>
          <w:u w:val="single"/>
        </w:rPr>
        <w:t>BSS</w:t>
      </w:r>
      <w:r w:rsidR="008D3090" w:rsidRPr="00066F65">
        <w:rPr>
          <w:u w:val="single"/>
        </w:rPr>
        <w:t xml:space="preserve"> in the UB</w:t>
      </w:r>
      <w:r w:rsidR="00655EA4" w:rsidRPr="00066F65">
        <w:rPr>
          <w:u w:val="single"/>
        </w:rPr>
        <w:t>,</w:t>
      </w:r>
      <w:r w:rsidRPr="009448FC">
        <w:t xml:space="preserve"> the timeout is based on the following:</w:t>
      </w:r>
    </w:p>
    <w:p w:rsidR="008731D1" w:rsidRPr="009448FC" w:rsidRDefault="008731D1" w:rsidP="008731D1">
      <w:r w:rsidRPr="009448FC">
        <w:t>— Arrival of valid MA-UNITDATA.request primitives using this TS at the MAC_SAP when the QoS data frames are sent with the Ack Policy subfield set to No Ack.</w:t>
      </w:r>
    </w:p>
    <w:p w:rsidR="008731D1" w:rsidRPr="009448FC" w:rsidRDefault="008731D1" w:rsidP="008731D1">
      <w:r w:rsidRPr="009448FC">
        <w:t>— Confirmation of correctly sent MSDUs that belong to the TS within the MAC when the QoS data frames are sent with the Ack Policy subfield set other than to No Ack.</w:t>
      </w:r>
    </w:p>
    <w:p w:rsidR="008731D1" w:rsidRPr="009448FC" w:rsidRDefault="008731D1" w:rsidP="008731D1"/>
    <w:p w:rsidR="008731D1" w:rsidRPr="00066F65" w:rsidRDefault="008731D1" w:rsidP="00FF387D">
      <w:pPr>
        <w:rPr>
          <w:u w:val="single"/>
        </w:rPr>
      </w:pPr>
      <w:r w:rsidRPr="00066F65">
        <w:rPr>
          <w:u w:val="single"/>
        </w:rPr>
        <w:t xml:space="preserve">When using the mmWave PHY </w:t>
      </w:r>
      <w:r w:rsidRPr="006853F8">
        <w:rPr>
          <w:u w:val="single"/>
        </w:rPr>
        <w:t>(</w:t>
      </w:r>
      <w:r w:rsidR="00FF387D" w:rsidRPr="006853F8">
        <w:rPr>
          <w:u w:val="single"/>
        </w:rPr>
        <w:t xml:space="preserve">clause </w:t>
      </w:r>
      <w:fldSimple w:instr=" REF _Ref243724299 \r \h  \* MERGEFORMAT ">
        <w:r w:rsidR="003E4210" w:rsidRPr="003E4210">
          <w:rPr>
            <w:u w:val="single"/>
          </w:rPr>
          <w:t>21</w:t>
        </w:r>
      </w:fldSimple>
      <w:r w:rsidR="00861C41" w:rsidRPr="006853F8">
        <w:rPr>
          <w:u w:val="single"/>
        </w:rPr>
        <w:t>)</w:t>
      </w:r>
      <w:r w:rsidR="00861C41" w:rsidRPr="00066F65">
        <w:rPr>
          <w:u w:val="single"/>
        </w:rPr>
        <w:t xml:space="preserve"> </w:t>
      </w:r>
      <w:r w:rsidRPr="00066F65">
        <w:rPr>
          <w:u w:val="single"/>
        </w:rPr>
        <w:t xml:space="preserve">and the TS is established between non-AP STA </w:t>
      </w:r>
      <w:r w:rsidR="00861C41" w:rsidRPr="00066F65">
        <w:rPr>
          <w:u w:val="single"/>
        </w:rPr>
        <w:t>(PTP TPSEC)</w:t>
      </w:r>
      <w:r w:rsidRPr="00066F65">
        <w:rPr>
          <w:u w:val="single"/>
        </w:rPr>
        <w:t xml:space="preserve"> the timeout of the recipient is based on the arrival of correctly received MSDUs that belong to the TS within the MAC after any decryption and reassembly.</w:t>
      </w:r>
    </w:p>
    <w:p w:rsidR="008731D1" w:rsidRPr="009448FC" w:rsidRDefault="008731D1" w:rsidP="008731D1"/>
    <w:p w:rsidR="008731D1" w:rsidRPr="00066F65" w:rsidRDefault="008731D1" w:rsidP="008731D1">
      <w:pPr>
        <w:rPr>
          <w:u w:val="single"/>
        </w:rPr>
      </w:pPr>
      <w:r w:rsidRPr="00066F65">
        <w:rPr>
          <w:u w:val="single"/>
        </w:rPr>
        <w:t>For TS established between non-AP STA</w:t>
      </w:r>
      <w:r w:rsidR="00E560E3">
        <w:rPr>
          <w:u w:val="single"/>
        </w:rPr>
        <w:t>s</w:t>
      </w:r>
      <w:r w:rsidRPr="00066F65">
        <w:rPr>
          <w:u w:val="single"/>
        </w:rPr>
        <w:t xml:space="preserve"> (PTP TSPEC) the timeout of the originator is based on the following:</w:t>
      </w:r>
    </w:p>
    <w:p w:rsidR="008731D1" w:rsidRPr="00066F65" w:rsidRDefault="008731D1" w:rsidP="008731D1">
      <w:pPr>
        <w:rPr>
          <w:u w:val="single"/>
        </w:rPr>
      </w:pPr>
      <w:r w:rsidRPr="00066F65">
        <w:rPr>
          <w:u w:val="single"/>
        </w:rPr>
        <w:t>— Arrival of valid MA-UNITDATA.request primitives using this TS at the MAC_SAP when the QoS data frames are sent with the Ack Policy subfield set to No Ack.</w:t>
      </w:r>
    </w:p>
    <w:p w:rsidR="008731D1" w:rsidRPr="00066F65" w:rsidRDefault="008731D1" w:rsidP="008731D1">
      <w:pPr>
        <w:rPr>
          <w:u w:val="single"/>
        </w:rPr>
      </w:pPr>
      <w:r w:rsidRPr="00066F65">
        <w:rPr>
          <w:u w:val="single"/>
        </w:rPr>
        <w:t>— Confirmation of correctly sent MSDUs that belong to the TS within the MAC when the QoS data frames are sent with the Ack Policy subfield set other than to No Ack.</w:t>
      </w:r>
    </w:p>
    <w:p w:rsidR="008731D1" w:rsidRPr="009448FC" w:rsidRDefault="008731D1" w:rsidP="008731D1"/>
    <w:p w:rsidR="008731D1" w:rsidRPr="009448FC" w:rsidRDefault="008731D1" w:rsidP="00F0755A">
      <w:r w:rsidRPr="009448FC">
        <w:t xml:space="preserve">For a direct-link TS </w:t>
      </w:r>
      <w:r w:rsidRPr="00066F65">
        <w:rPr>
          <w:u w:val="single"/>
        </w:rPr>
        <w:t>not employing the mmWave PHY (</w:t>
      </w:r>
      <w:r w:rsidR="00F0755A" w:rsidRPr="00066F65">
        <w:rPr>
          <w:bCs/>
          <w:u w:val="single"/>
        </w:rPr>
        <w:t xml:space="preserve">clause </w:t>
      </w:r>
      <w:fldSimple w:instr=" REF _Ref243724299 \r \h  \* MERGEFORMAT ">
        <w:r w:rsidR="003E4210" w:rsidRPr="003E4210">
          <w:rPr>
            <w:bCs/>
            <w:u w:val="single"/>
          </w:rPr>
          <w:t>21</w:t>
        </w:r>
      </w:fldSimple>
      <w:r w:rsidRPr="00066F65">
        <w:rPr>
          <w:u w:val="single"/>
        </w:rPr>
        <w:t>)</w:t>
      </w:r>
      <w:r w:rsidRPr="009448FC">
        <w:t>, inactivity is considered to have happened if one of the two following happens:</w:t>
      </w:r>
    </w:p>
    <w:p w:rsidR="008731D1" w:rsidRPr="009448FC" w:rsidRDefault="008731D1" w:rsidP="008731D1">
      <w:r w:rsidRPr="009448FC">
        <w:t>— Returning QoS Null immediately after SIFS interval that contains a zero Queue Size subfield in the QoS Control field in response to a QoS CF-Poll frame.</w:t>
      </w:r>
    </w:p>
    <w:p w:rsidR="008731D1" w:rsidRPr="009448FC" w:rsidRDefault="008731D1" w:rsidP="008731D1">
      <w:r w:rsidRPr="009448FC">
        <w:t>— No QoS Null frame indicating the queue size for related TSID within a TXOP. This is to ensure that the non-AP STA is actually using the assigned TXOP for the given TSID.</w:t>
      </w:r>
    </w:p>
    <w:p w:rsidR="008731D1" w:rsidRPr="009448FC" w:rsidRDefault="008731D1" w:rsidP="008731D1"/>
    <w:p w:rsidR="008731D1" w:rsidRPr="009448FC" w:rsidRDefault="008731D1" w:rsidP="007F14C2">
      <w:r w:rsidRPr="00066F65">
        <w:rPr>
          <w:u w:val="single"/>
        </w:rPr>
        <w:t>When not using the mmWave PHY (</w:t>
      </w:r>
      <w:r w:rsidR="007F14C2" w:rsidRPr="00066F65">
        <w:rPr>
          <w:bCs/>
          <w:u w:val="single"/>
        </w:rPr>
        <w:t xml:space="preserve">clause </w:t>
      </w:r>
      <w:fldSimple w:instr=" REF _Ref243724299 \r \h  \* MERGEFORMAT ">
        <w:r w:rsidR="003E4210" w:rsidRPr="003E4210">
          <w:rPr>
            <w:bCs/>
            <w:u w:val="single"/>
          </w:rPr>
          <w:t>21</w:t>
        </w:r>
      </w:fldSimple>
      <w:r w:rsidRPr="00066F65">
        <w:rPr>
          <w:u w:val="single"/>
        </w:rPr>
        <w:t xml:space="preserve">), </w:t>
      </w:r>
      <w:r w:rsidRPr="009448FC">
        <w:t>any other use of a polled TXOP delivered to the non-AP STA is considered to be activity on all direct-link TS associated with that non-AP STA. Detection of inactivity of this type is optional.</w:t>
      </w:r>
    </w:p>
    <w:p w:rsidR="008731D1" w:rsidRPr="009448FC" w:rsidRDefault="008731D1" w:rsidP="008731D1"/>
    <w:p w:rsidR="008731D1" w:rsidRPr="009448FC" w:rsidRDefault="008731D1" w:rsidP="00DC565E">
      <w:r w:rsidRPr="009448FC">
        <w:t>In response to an inactivity timeout, the HC</w:t>
      </w:r>
      <w:r w:rsidR="005B606F" w:rsidRPr="009448FC">
        <w:t>/</w:t>
      </w:r>
      <w:r w:rsidR="005B606F" w:rsidRPr="00066F65">
        <w:rPr>
          <w:u w:val="single"/>
        </w:rPr>
        <w:t>AP</w:t>
      </w:r>
      <w:r w:rsidR="00DC565E" w:rsidRPr="00066F65">
        <w:rPr>
          <w:u w:val="single"/>
        </w:rPr>
        <w:t>/</w:t>
      </w:r>
      <w:r w:rsidRPr="00066F65">
        <w:rPr>
          <w:u w:val="single"/>
        </w:rPr>
        <w:t xml:space="preserve">PCP </w:t>
      </w:r>
      <w:r w:rsidRPr="009448FC">
        <w:t xml:space="preserve">shall send a DELTS frame to the non-AP STA </w:t>
      </w:r>
      <w:r w:rsidRPr="00066F65">
        <w:rPr>
          <w:u w:val="single"/>
        </w:rPr>
        <w:t>or non-PCP source STA, respectively,</w:t>
      </w:r>
      <w:r w:rsidRPr="009448FC">
        <w:t xml:space="preserve"> with the result code set to TIMEOUT and inform its SME using the MLME-DELTS.indication primitive.</w:t>
      </w:r>
    </w:p>
    <w:p w:rsidR="008731D1" w:rsidRPr="009448FC" w:rsidRDefault="008731D1" w:rsidP="008731D1"/>
    <w:p w:rsidR="008731D1" w:rsidRPr="00066F65" w:rsidRDefault="008731D1" w:rsidP="008731D1">
      <w:pPr>
        <w:rPr>
          <w:u w:val="single"/>
        </w:rPr>
      </w:pPr>
      <w:r w:rsidRPr="00066F65">
        <w:rPr>
          <w:u w:val="single"/>
        </w:rPr>
        <w:t xml:space="preserve">When using the mmWave PHY </w:t>
      </w:r>
      <w:r w:rsidRPr="006853F8">
        <w:rPr>
          <w:u w:val="single"/>
        </w:rPr>
        <w:t>(</w:t>
      </w:r>
      <w:r w:rsidR="007F14C2" w:rsidRPr="006853F8">
        <w:rPr>
          <w:u w:val="single"/>
        </w:rPr>
        <w:t xml:space="preserve">clause </w:t>
      </w:r>
      <w:fldSimple w:instr=" REF _Ref243724299 \r \h  \* MERGEFORMAT ">
        <w:r w:rsidR="003E4210" w:rsidRPr="003E4210">
          <w:rPr>
            <w:u w:val="single"/>
          </w:rPr>
          <w:t>21</w:t>
        </w:r>
      </w:fldSimple>
      <w:r w:rsidRPr="006853F8">
        <w:rPr>
          <w:u w:val="single"/>
        </w:rPr>
        <w:t>)</w:t>
      </w:r>
      <w:r w:rsidRPr="00066F65">
        <w:rPr>
          <w:u w:val="single"/>
        </w:rPr>
        <w:t xml:space="preserve"> and the TS is established between non-AP STA (</w:t>
      </w:r>
      <w:r w:rsidR="005B606F" w:rsidRPr="00066F65">
        <w:rPr>
          <w:u w:val="single"/>
        </w:rPr>
        <w:t>PTP</w:t>
      </w:r>
      <w:r w:rsidR="00281486" w:rsidRPr="00066F65">
        <w:rPr>
          <w:u w:val="single"/>
        </w:rPr>
        <w:t xml:space="preserve"> </w:t>
      </w:r>
      <w:r w:rsidRPr="00066F65">
        <w:rPr>
          <w:u w:val="single"/>
        </w:rPr>
        <w:t>TSPEC) then</w:t>
      </w:r>
      <w:r w:rsidR="00281486" w:rsidRPr="00066F65">
        <w:rPr>
          <w:u w:val="single"/>
        </w:rPr>
        <w:t xml:space="preserve"> </w:t>
      </w:r>
      <w:r w:rsidRPr="00066F65">
        <w:rPr>
          <w:u w:val="single"/>
        </w:rPr>
        <w:t>in response to an inactivity timeout, the non-AP STA shall send a DELTS frame to the non-AP STA with the result code set to TIMEOUT and inform its SME using the MLME-DELTS.indication primitive.</w:t>
      </w:r>
    </w:p>
    <w:p w:rsidR="008731D1" w:rsidRPr="009448FC" w:rsidRDefault="008731D1" w:rsidP="008731D1"/>
    <w:p w:rsidR="008731D1" w:rsidRPr="009448FC" w:rsidRDefault="008731D1" w:rsidP="008731D1">
      <w:r w:rsidRPr="009448FC">
        <w:t xml:space="preserve">The case of uplink TS timeout </w:t>
      </w:r>
      <w:r w:rsidRPr="00066F65">
        <w:rPr>
          <w:u w:val="single"/>
        </w:rPr>
        <w:t xml:space="preserve">in a BSS or TS timeout in a PBSS in which the </w:t>
      </w:r>
      <w:r w:rsidR="00921C49" w:rsidRPr="00066F65">
        <w:rPr>
          <w:u w:val="single"/>
        </w:rPr>
        <w:t>PCP/</w:t>
      </w:r>
      <w:r w:rsidR="00655EA4" w:rsidRPr="00066F65">
        <w:rPr>
          <w:u w:val="single"/>
        </w:rPr>
        <w:t xml:space="preserve">AP </w:t>
      </w:r>
      <w:r w:rsidRPr="00066F65">
        <w:rPr>
          <w:u w:val="single"/>
        </w:rPr>
        <w:t>is the destination STA of the TS</w:t>
      </w:r>
      <w:r w:rsidRPr="009448FC">
        <w:t xml:space="preserve"> is shown in Figure 11-11.</w:t>
      </w:r>
    </w:p>
    <w:p w:rsidR="008731D1" w:rsidRPr="009448FC" w:rsidRDefault="008731D1" w:rsidP="008731D1">
      <w:pPr>
        <w:rPr>
          <w:sz w:val="28"/>
        </w:rPr>
      </w:pPr>
    </w:p>
    <w:p w:rsidR="008731D1" w:rsidRPr="009448FC" w:rsidRDefault="008731D1" w:rsidP="005B606F">
      <w:pPr>
        <w:rPr>
          <w:i/>
        </w:rPr>
      </w:pPr>
      <w:r w:rsidRPr="009448FC">
        <w:rPr>
          <w:i/>
        </w:rPr>
        <w:t>.11 Editor note: In Figure 11-11, replace “</w:t>
      </w:r>
      <w:r w:rsidRPr="009448FC">
        <w:t>HC</w:t>
      </w:r>
      <w:r w:rsidRPr="009448FC">
        <w:rPr>
          <w:i/>
        </w:rPr>
        <w:t>” by “</w:t>
      </w:r>
      <w:r w:rsidRPr="009448FC">
        <w:t>HC/</w:t>
      </w:r>
      <w:r w:rsidRPr="00066F65">
        <w:rPr>
          <w:iCs/>
          <w:szCs w:val="28"/>
          <w:u w:val="single"/>
        </w:rPr>
        <w:t>non-AP STA</w:t>
      </w:r>
      <w:r w:rsidRPr="009448FC">
        <w:rPr>
          <w:i/>
        </w:rPr>
        <w:t>”</w:t>
      </w:r>
    </w:p>
    <w:p w:rsidR="008731D1" w:rsidRDefault="008731D1" w:rsidP="008731D1">
      <w:pPr>
        <w:rPr>
          <w:sz w:val="28"/>
        </w:rPr>
      </w:pPr>
    </w:p>
    <w:p w:rsidR="00423451" w:rsidRPr="009448FC" w:rsidRDefault="00423451" w:rsidP="008731D1">
      <w:pPr>
        <w:rPr>
          <w:sz w:val="28"/>
        </w:rPr>
      </w:pPr>
      <w:r>
        <w:rPr>
          <w:i/>
          <w:iCs/>
        </w:rPr>
        <w:lastRenderedPageBreak/>
        <w:t>.11 editor note: add following sub-clauses</w:t>
      </w:r>
      <w:r w:rsidR="00380517">
        <w:rPr>
          <w:i/>
          <w:iCs/>
        </w:rPr>
        <w:t xml:space="preserve"> 11.4.11, 11.4.11.1, 1.4.11.2, 11.4.12</w:t>
      </w:r>
      <w:r w:rsidR="005515A4">
        <w:rPr>
          <w:i/>
          <w:iCs/>
        </w:rPr>
        <w:t xml:space="preserve"> </w:t>
      </w:r>
      <w:r>
        <w:rPr>
          <w:i/>
          <w:iCs/>
        </w:rPr>
        <w:t xml:space="preserve">after </w:t>
      </w:r>
      <w:r w:rsidR="00380517">
        <w:rPr>
          <w:i/>
          <w:iCs/>
        </w:rPr>
        <w:t>11.4.10</w:t>
      </w:r>
    </w:p>
    <w:p w:rsidR="008C36FC" w:rsidRPr="00CA2BAB" w:rsidRDefault="008C36FC" w:rsidP="003701DB">
      <w:pPr>
        <w:pStyle w:val="Heading3"/>
        <w:numPr>
          <w:ilvl w:val="2"/>
          <w:numId w:val="205"/>
        </w:numPr>
        <w:rPr>
          <w:rFonts w:cs="Arial"/>
          <w:color w:val="000000"/>
        </w:rPr>
      </w:pPr>
      <w:bookmarkStart w:id="2469" w:name="_Toc207099061"/>
      <w:bookmarkStart w:id="2470" w:name="_Toc207099669"/>
      <w:bookmarkStart w:id="2471" w:name="_Toc207100588"/>
      <w:bookmarkStart w:id="2472" w:name="_Toc207348510"/>
      <w:bookmarkStart w:id="2473" w:name="_Toc215582880"/>
      <w:bookmarkStart w:id="2474" w:name="_Toc235400585"/>
      <w:bookmarkStart w:id="2475" w:name="_Ref246653248"/>
      <w:bookmarkStart w:id="2476" w:name="_Toc259717231"/>
      <w:r w:rsidRPr="00CA2BAB">
        <w:rPr>
          <w:rFonts w:cs="Arial"/>
          <w:color w:val="000000"/>
        </w:rPr>
        <w:t xml:space="preserve">mmWave </w:t>
      </w:r>
      <w:r w:rsidR="00D020AF" w:rsidRPr="00CA2BAB">
        <w:rPr>
          <w:rFonts w:cs="Arial"/>
          <w:color w:val="000000"/>
        </w:rPr>
        <w:t xml:space="preserve">TS </w:t>
      </w:r>
      <w:bookmarkEnd w:id="2469"/>
      <w:bookmarkEnd w:id="2470"/>
      <w:bookmarkEnd w:id="2471"/>
      <w:bookmarkEnd w:id="2472"/>
      <w:bookmarkEnd w:id="2473"/>
      <w:bookmarkEnd w:id="2474"/>
      <w:bookmarkEnd w:id="2475"/>
      <w:r w:rsidR="00DA2BCA" w:rsidRPr="00CA2BAB">
        <w:rPr>
          <w:rFonts w:cs="Arial"/>
          <w:color w:val="000000"/>
        </w:rPr>
        <w:t>Traffic Types</w:t>
      </w:r>
      <w:bookmarkEnd w:id="2476"/>
    </w:p>
    <w:p w:rsidR="00DA2BCA" w:rsidRDefault="00DA2BCA" w:rsidP="00D0425C">
      <w:pPr>
        <w:rPr>
          <w:u w:val="single"/>
        </w:rPr>
      </w:pPr>
      <w:bookmarkStart w:id="2477" w:name="_Toc205121651"/>
      <w:bookmarkStart w:id="2478" w:name="_Toc206227532"/>
      <w:bookmarkStart w:id="2479" w:name="_Toc206415479"/>
      <w:bookmarkStart w:id="2480" w:name="_Toc206418286"/>
    </w:p>
    <w:p w:rsidR="00DA2BCA" w:rsidRPr="004D3EAE" w:rsidRDefault="00DA2BCA" w:rsidP="00DA2BCA">
      <w:pPr>
        <w:rPr>
          <w:u w:val="single"/>
        </w:rPr>
      </w:pPr>
      <w:r w:rsidRPr="00AA175F">
        <w:t>A</w:t>
      </w:r>
      <w:r w:rsidR="00701D4A">
        <w:t>n</w:t>
      </w:r>
      <w:r w:rsidRPr="00AA175F">
        <w:t xml:space="preserve"> mSTA supports TS operation as described in sub clauses </w:t>
      </w:r>
      <w:r w:rsidR="00BD151C" w:rsidRPr="00AA175F">
        <w:fldChar w:fldCharType="begin"/>
      </w:r>
      <w:r w:rsidRPr="00AA175F">
        <w:instrText xml:space="preserve"> REF _Ref246653194 \n \h </w:instrText>
      </w:r>
      <w:r w:rsidR="00BD151C" w:rsidRPr="00AA175F">
        <w:fldChar w:fldCharType="separate"/>
      </w:r>
      <w:r w:rsidR="003E4210">
        <w:t>11.4.1</w:t>
      </w:r>
      <w:r w:rsidR="00BD151C" w:rsidRPr="00AA175F">
        <w:fldChar w:fldCharType="end"/>
      </w:r>
      <w:r w:rsidRPr="00AA175F">
        <w:t xml:space="preserve"> through 11.4.11. Using the Extended mmWave TSPEC the mSTA may schedule </w:t>
      </w:r>
      <w:r>
        <w:t>two types of TS</w:t>
      </w:r>
      <w:r w:rsidRPr="00AA175F">
        <w:t>: isochronous and asynchronous. It should establish an isochronous TS if it needs periodic access to the channel and does not expect to change the amount of time allocated frequently. It should establish an asynchronous TS if it expects to make requests for channel time and wishes to reserve a minimum amount of channel time to satisfy for those requests when they occur.</w:t>
      </w:r>
      <w:r w:rsidRPr="00AA175F">
        <w:rPr>
          <w:b/>
          <w:bCs/>
          <w:i/>
          <w:iCs/>
        </w:rPr>
        <w:t xml:space="preserve"> </w:t>
      </w:r>
    </w:p>
    <w:bookmarkEnd w:id="2477"/>
    <w:bookmarkEnd w:id="2478"/>
    <w:bookmarkEnd w:id="2479"/>
    <w:bookmarkEnd w:id="2480"/>
    <w:p w:rsidR="00B76070" w:rsidRPr="00066F65" w:rsidRDefault="00B76070" w:rsidP="00D506A8">
      <w:pPr>
        <w:rPr>
          <w:b/>
          <w:bCs/>
          <w:i/>
          <w:iCs/>
          <w:u w:val="single"/>
        </w:rPr>
      </w:pPr>
    </w:p>
    <w:p w:rsidR="00171E16" w:rsidRPr="009448FC" w:rsidRDefault="00171E16" w:rsidP="003701DB">
      <w:pPr>
        <w:pStyle w:val="Heading4"/>
        <w:numPr>
          <w:ilvl w:val="3"/>
          <w:numId w:val="205"/>
        </w:numPr>
      </w:pPr>
      <w:bookmarkStart w:id="2481" w:name="_Toc235400586"/>
      <w:bookmarkStart w:id="2482" w:name="_Toc259717232"/>
      <w:r w:rsidRPr="009448FC">
        <w:t>Isochronous TS support</w:t>
      </w:r>
      <w:bookmarkEnd w:id="2481"/>
      <w:bookmarkEnd w:id="2482"/>
    </w:p>
    <w:p w:rsidR="00C10F42" w:rsidRPr="00693817" w:rsidRDefault="00C10F42" w:rsidP="00CB2392">
      <w:r w:rsidRPr="00693817">
        <w:t xml:space="preserve">A STA shall set the Traffic Type field in the </w:t>
      </w:r>
      <w:r w:rsidR="00401CDB" w:rsidRPr="00693817">
        <w:t>Extended mmWave TSPEC</w:t>
      </w:r>
      <w:r w:rsidR="00CB2392" w:rsidRPr="00693817">
        <w:t xml:space="preserve"> </w:t>
      </w:r>
      <w:r w:rsidR="00877796" w:rsidRPr="00693817">
        <w:t>element</w:t>
      </w:r>
      <w:r w:rsidRPr="00693817">
        <w:t xml:space="preserve"> to zero to request the setup of an isochronous TS.</w:t>
      </w:r>
    </w:p>
    <w:p w:rsidR="00C10F42" w:rsidRPr="00693817" w:rsidRDefault="00C10F42" w:rsidP="00C10F42"/>
    <w:p w:rsidR="00C10F42" w:rsidRPr="00693817" w:rsidRDefault="00C10F42" w:rsidP="00C10F42">
      <w:r w:rsidRPr="00693817">
        <w:t xml:space="preserve">Following the successful admittance of a isochronous TS, the </w:t>
      </w:r>
      <w:r w:rsidR="00921C49" w:rsidRPr="00693817">
        <w:t>PCP/</w:t>
      </w:r>
      <w:r w:rsidR="00655EA4" w:rsidRPr="00693817">
        <w:t xml:space="preserve">AP </w:t>
      </w:r>
      <w:r w:rsidRPr="00693817">
        <w:t xml:space="preserve">should allocate time in the BI to meet the periodicity and minimum allocation requirements specified in the </w:t>
      </w:r>
      <w:r w:rsidR="00401CDB" w:rsidRPr="00693817">
        <w:t>Extended mmWave TSPEC</w:t>
      </w:r>
      <w:r w:rsidR="00655EA4" w:rsidRPr="00693817">
        <w:t>.</w:t>
      </w:r>
    </w:p>
    <w:p w:rsidR="00C10F42" w:rsidRPr="00693817" w:rsidRDefault="00C10F42" w:rsidP="00C10F42"/>
    <w:p w:rsidR="00ED49BA" w:rsidRPr="00693817" w:rsidRDefault="00ED49BA" w:rsidP="00B3473E">
      <w:r w:rsidRPr="00693817">
        <w:t>The PCP/AP should ensure that over each Allocation Period, the sum of the time allocations is at least the Minimum Allocation. In addition, the PCP/AP should ensure that each individual SP allocation has a minimum duration of at lea</w:t>
      </w:r>
      <w:r w:rsidR="00B94161" w:rsidRPr="00693817">
        <w:t>st Minimum SP Duration. See sub</w:t>
      </w:r>
      <w:r w:rsidRPr="00693817">
        <w:t xml:space="preserve">clauses 7.3.2.97, </w:t>
      </w:r>
      <w:r w:rsidR="00BD151C" w:rsidRPr="00693817">
        <w:fldChar w:fldCharType="begin"/>
      </w:r>
      <w:r w:rsidR="00B3473E" w:rsidRPr="00693817">
        <w:instrText xml:space="preserve"> REF _Ref252009007 \r \h </w:instrText>
      </w:r>
      <w:r w:rsidR="00BD151C" w:rsidRPr="00693817">
        <w:fldChar w:fldCharType="separate"/>
      </w:r>
      <w:r w:rsidR="003E4210">
        <w:t>9.23.6</w:t>
      </w:r>
      <w:r w:rsidR="00BD151C" w:rsidRPr="00693817">
        <w:fldChar w:fldCharType="end"/>
      </w:r>
      <w:r w:rsidRPr="00693817">
        <w:t>,</w:t>
      </w:r>
      <w:r w:rsidR="005515A4">
        <w:t xml:space="preserve"> </w:t>
      </w:r>
      <w:r w:rsidR="00BD151C" w:rsidRPr="00693817">
        <w:fldChar w:fldCharType="begin"/>
      </w:r>
      <w:r w:rsidR="00B3473E" w:rsidRPr="00693817">
        <w:instrText xml:space="preserve"> REF _Ref244252374 \h </w:instrText>
      </w:r>
      <w:r w:rsidR="00BD151C" w:rsidRPr="00693817">
        <w:fldChar w:fldCharType="separate"/>
      </w:r>
      <w:r w:rsidR="003E4210">
        <w:t xml:space="preserve">9.23.6.3 </w:t>
      </w:r>
      <w:r w:rsidR="003E4210" w:rsidRPr="009448FC">
        <w:t>Pseudo-static allocations</w:t>
      </w:r>
      <w:r w:rsidR="00BD151C" w:rsidRPr="00693817">
        <w:fldChar w:fldCharType="end"/>
      </w:r>
      <w:r w:rsidRPr="00693817">
        <w:t>.</w:t>
      </w:r>
      <w:r w:rsidRPr="00693817">
        <w:rPr>
          <w:b/>
          <w:bCs/>
          <w:i/>
          <w:iCs/>
        </w:rPr>
        <w:t xml:space="preserve"> </w:t>
      </w:r>
    </w:p>
    <w:p w:rsidR="00C10F42" w:rsidRPr="00ED49BA" w:rsidRDefault="00CE30B6" w:rsidP="00ED49BA">
      <w:pPr>
        <w:rPr>
          <w:u w:val="single"/>
        </w:rPr>
      </w:pPr>
      <w:r>
        <w:rPr>
          <w:u w:val="single"/>
        </w:rPr>
        <w:t xml:space="preserve"> </w:t>
      </w:r>
    </w:p>
    <w:p w:rsidR="008C36FC" w:rsidRPr="009448FC" w:rsidRDefault="00F66054" w:rsidP="003701DB">
      <w:pPr>
        <w:pStyle w:val="Heading4"/>
        <w:numPr>
          <w:ilvl w:val="3"/>
          <w:numId w:val="205"/>
        </w:numPr>
        <w:rPr>
          <w:rFonts w:ascii="Times New Roman" w:hAnsi="Times New Roman"/>
        </w:rPr>
      </w:pPr>
      <w:bookmarkStart w:id="2483" w:name="_Toc205121656"/>
      <w:bookmarkStart w:id="2484" w:name="_Toc206227537"/>
      <w:bookmarkStart w:id="2485" w:name="_Toc206415484"/>
      <w:bookmarkStart w:id="2486" w:name="_Toc206418291"/>
      <w:bookmarkStart w:id="2487" w:name="_Toc207099066"/>
      <w:bookmarkStart w:id="2488" w:name="_Toc207099674"/>
      <w:bookmarkStart w:id="2489" w:name="_Toc207100593"/>
      <w:bookmarkStart w:id="2490" w:name="_Toc207348515"/>
      <w:bookmarkStart w:id="2491" w:name="_Toc215582885"/>
      <w:bookmarkStart w:id="2492" w:name="_Toc235400587"/>
      <w:r>
        <w:t xml:space="preserve"> </w:t>
      </w:r>
      <w:bookmarkStart w:id="2493" w:name="_Toc259717233"/>
      <w:r w:rsidR="008C36FC" w:rsidRPr="009448FC">
        <w:t xml:space="preserve">Asynchronous </w:t>
      </w:r>
      <w:bookmarkEnd w:id="2483"/>
      <w:bookmarkEnd w:id="2484"/>
      <w:bookmarkEnd w:id="2485"/>
      <w:bookmarkEnd w:id="2486"/>
      <w:bookmarkEnd w:id="2487"/>
      <w:bookmarkEnd w:id="2488"/>
      <w:bookmarkEnd w:id="2489"/>
      <w:bookmarkEnd w:id="2490"/>
      <w:bookmarkEnd w:id="2491"/>
      <w:r w:rsidR="00FA1FB0" w:rsidRPr="009448FC">
        <w:t>TS support</w:t>
      </w:r>
      <w:bookmarkEnd w:id="2492"/>
      <w:bookmarkEnd w:id="2493"/>
    </w:p>
    <w:p w:rsidR="006242D7" w:rsidRPr="00693817" w:rsidRDefault="006242D7" w:rsidP="006242D7">
      <w:r w:rsidRPr="00693817">
        <w:t>The STA uses the SPR frame to request channel time for asynchronous traffic.</w:t>
      </w:r>
    </w:p>
    <w:p w:rsidR="006242D7" w:rsidRPr="00693817" w:rsidRDefault="00BF72EC" w:rsidP="006242D7">
      <w:r>
        <w:t xml:space="preserve"> </w:t>
      </w:r>
    </w:p>
    <w:p w:rsidR="00ED49BA" w:rsidRPr="00693817" w:rsidRDefault="00ED49BA" w:rsidP="00ED49BA">
      <w:r w:rsidRPr="00693817">
        <w:t xml:space="preserve">For each TID, source STA and destination STA tuple, the PCP/AP </w:t>
      </w:r>
      <w:r w:rsidR="00A6426E">
        <w:t>can maintain</w:t>
      </w:r>
      <w:r w:rsidRPr="00693817">
        <w:t xml:space="preserve"> the amount of outstanding channel time that needs to be allocated. Each time it receives the SPR frame the amount of outstanding channel time is set to the value received in the SPR frame from the source STA for the identified TID and destination STA. The amount of outstanding channel time is decreased by the amount allocated when channel time is schedule for that TID, source</w:t>
      </w:r>
      <w:r w:rsidR="00AE1308">
        <w:t xml:space="preserve"> STA and destination STA tuple.</w:t>
      </w:r>
    </w:p>
    <w:p w:rsidR="006242D7" w:rsidRPr="00693817" w:rsidRDefault="006242D7" w:rsidP="006242D7"/>
    <w:p w:rsidR="006242D7" w:rsidRPr="00693817" w:rsidRDefault="006242D7" w:rsidP="00CB2392">
      <w:r w:rsidRPr="00693817">
        <w:t xml:space="preserve">A STA may use the </w:t>
      </w:r>
      <w:r w:rsidR="00401CDB" w:rsidRPr="00693817">
        <w:t>Extended mmWave TSPEC</w:t>
      </w:r>
      <w:r w:rsidR="00281486" w:rsidRPr="00693817">
        <w:t xml:space="preserve"> </w:t>
      </w:r>
      <w:r w:rsidRPr="00693817">
        <w:t xml:space="preserve">to reserve resources for asynchronous traffic. In this case, the STA shall set the Traffic Type field in the </w:t>
      </w:r>
      <w:r w:rsidR="00401CDB" w:rsidRPr="00693817">
        <w:t>Extended mmWave TSPEC</w:t>
      </w:r>
      <w:r w:rsidR="00CB2392" w:rsidRPr="00693817">
        <w:t xml:space="preserve"> </w:t>
      </w:r>
      <w:r w:rsidR="00877796" w:rsidRPr="00693817">
        <w:t>element</w:t>
      </w:r>
      <w:r w:rsidRPr="00693817">
        <w:t xml:space="preserve"> to one. The </w:t>
      </w:r>
      <w:r w:rsidR="00921C49" w:rsidRPr="00693817">
        <w:t>PCP/</w:t>
      </w:r>
      <w:r w:rsidR="00655EA4" w:rsidRPr="00693817">
        <w:t xml:space="preserve">AP </w:t>
      </w:r>
      <w:r w:rsidRPr="00693817">
        <w:t xml:space="preserve">should only admit an asynchronous TS if it is able to meet the minimum allocation requirements specified in the </w:t>
      </w:r>
      <w:r w:rsidR="00401CDB" w:rsidRPr="00693817">
        <w:t>Extended mmWave TSPEC</w:t>
      </w:r>
      <w:r w:rsidR="00655EA4" w:rsidRPr="00693817">
        <w:t>.</w:t>
      </w:r>
    </w:p>
    <w:p w:rsidR="008C36FC" w:rsidRPr="00693817" w:rsidRDefault="00281486" w:rsidP="00297C35">
      <w:pPr>
        <w:outlineLvl w:val="0"/>
        <w:rPr>
          <w:strike/>
        </w:rPr>
      </w:pPr>
      <w:r w:rsidRPr="00693817">
        <w:rPr>
          <w:strike/>
        </w:rPr>
        <w:t xml:space="preserve"> </w:t>
      </w:r>
    </w:p>
    <w:p w:rsidR="00616F07" w:rsidRPr="00344DB2" w:rsidRDefault="00616F07" w:rsidP="003701DB">
      <w:pPr>
        <w:pStyle w:val="Heading3"/>
        <w:numPr>
          <w:ilvl w:val="2"/>
          <w:numId w:val="205"/>
        </w:numPr>
        <w:rPr>
          <w:rFonts w:cs="Arial"/>
        </w:rPr>
      </w:pPr>
      <w:bookmarkStart w:id="2494" w:name="_Toc259717234"/>
      <w:r w:rsidRPr="00344DB2">
        <w:rPr>
          <w:rFonts w:cs="Arial"/>
        </w:rPr>
        <w:t>PTP TS Operation</w:t>
      </w:r>
      <w:bookmarkEnd w:id="2494"/>
      <w:r w:rsidRPr="00344DB2">
        <w:rPr>
          <w:rFonts w:cs="Arial"/>
        </w:rPr>
        <w:t xml:space="preserve"> </w:t>
      </w:r>
    </w:p>
    <w:p w:rsidR="00616F07" w:rsidRDefault="00616F07" w:rsidP="00297C35">
      <w:pPr>
        <w:outlineLvl w:val="0"/>
      </w:pPr>
    </w:p>
    <w:p w:rsidR="008913A7" w:rsidRDefault="008913A7" w:rsidP="008913A7">
      <w:pPr>
        <w:autoSpaceDE w:val="0"/>
        <w:autoSpaceDN w:val="0"/>
        <w:adjustRightInd w:val="0"/>
      </w:pPr>
      <w:r w:rsidRPr="003A3C34">
        <w:t xml:space="preserve">The ADDTS Request frame containing the PTP TSPEC </w:t>
      </w:r>
      <w:r>
        <w:t>may</w:t>
      </w:r>
      <w:r w:rsidRPr="003A3C34">
        <w:t xml:space="preserve"> be sent to the peer non-AP mSTA directly or through AP/PCP mSTA.</w:t>
      </w:r>
    </w:p>
    <w:p w:rsidR="008913A7" w:rsidRDefault="008913A7" w:rsidP="008913A7">
      <w:pPr>
        <w:autoSpaceDE w:val="0"/>
        <w:autoSpaceDN w:val="0"/>
        <w:adjustRightInd w:val="0"/>
        <w:rPr>
          <w:b/>
          <w:bCs/>
          <w:i/>
          <w:iCs/>
        </w:rPr>
      </w:pPr>
    </w:p>
    <w:p w:rsidR="008913A7" w:rsidRDefault="008913A7" w:rsidP="008913A7">
      <w:pPr>
        <w:autoSpaceDE w:val="0"/>
        <w:autoSpaceDN w:val="0"/>
        <w:adjustRightInd w:val="0"/>
        <w:rPr>
          <w:rFonts w:ascii="TimesNewRomanPSMT" w:hAnsi="TimesNewRomanPSMT" w:cs="TimesNewRomanPSMT"/>
        </w:rPr>
      </w:pPr>
      <w:r w:rsidRPr="003A3C34">
        <w:t>A non-AP mSTA may add TS</w:t>
      </w:r>
      <w:r>
        <w:t>s</w:t>
      </w:r>
      <w:r w:rsidRPr="003A3C34">
        <w:t xml:space="preserve"> to an existing SP. To do this, the non-AP mSTA transmits an ADDTS Request frame to peer non-PCP/non-AP mSTA to include the additional TS. The ADDTS request </w:t>
      </w:r>
      <w:r w:rsidRPr="003A3C34">
        <w:lastRenderedPageBreak/>
        <w:t xml:space="preserve">frame shall contain a PTP TSPEC with aggregation field set to 1, and the </w:t>
      </w:r>
      <w:r w:rsidRPr="003A3C34">
        <w:rPr>
          <w:rFonts w:ascii="TimesNewRomanPSMT" w:hAnsi="TimesNewRomanPSMT" w:cs="TimesNewRomanPSMT"/>
        </w:rPr>
        <w:t xml:space="preserve">SP TSID set to the TSID of the SP to which the mSTA wishes to add the additional TS. </w:t>
      </w:r>
    </w:p>
    <w:p w:rsidR="008913A7"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rPr>
          <w:rFonts w:ascii="TimesNewRomanPSMT" w:hAnsi="TimesNewRomanPSMT" w:cs="TimesNewRomanPSMT"/>
        </w:rPr>
      </w:pPr>
      <w:r w:rsidRPr="003A3C34">
        <w:rPr>
          <w:rFonts w:ascii="TimesNewRomanPSMT" w:hAnsi="TimesNewRomanPSMT" w:cs="TimesNewRomanPSMT"/>
        </w:rPr>
        <w:t xml:space="preserve">The ADDTS request frame </w:t>
      </w:r>
      <w:r>
        <w:rPr>
          <w:rFonts w:ascii="TimesNewRomanPSMT" w:hAnsi="TimesNewRomanPSMT" w:cs="TimesNewRomanPSMT"/>
        </w:rPr>
        <w:t xml:space="preserve">that adds TS to the existing SP </w:t>
      </w:r>
      <w:r w:rsidRPr="003A3C34">
        <w:rPr>
          <w:rFonts w:ascii="TimesNewRomanPSMT" w:hAnsi="TimesNewRomanPSMT" w:cs="TimesNewRomanPSMT"/>
        </w:rPr>
        <w:t>should be forwarded to the peer mSTA through the AP/PCP mSTA to provide the in</w:t>
      </w:r>
      <w:r w:rsidR="006853F8">
        <w:rPr>
          <w:rFonts w:ascii="TimesNewRomanPSMT" w:hAnsi="TimesNewRomanPSMT" w:cs="TimesNewRomanPSMT"/>
        </w:rPr>
        <w:t xml:space="preserve">formation to the SP scheduler. </w:t>
      </w:r>
      <w:r w:rsidRPr="003A3C34">
        <w:rPr>
          <w:rFonts w:ascii="TimesNewRomanPSMT" w:hAnsi="TimesNewRomanPSMT" w:cs="TimesNewRomanPSMT"/>
        </w:rPr>
        <w:t xml:space="preserve">The ADDTS Request frame forwarded through AP/PCP mSTA shall contain a TCLAS element with the classifier type set to Ethernet parameters and the Source Address field shall contain the address of the mSTA that sends the ADDTS Request frame and the Destination Address field shall contain the address of the peer mSTA in the allocated SP. </w:t>
      </w:r>
    </w:p>
    <w:p w:rsidR="008913A7" w:rsidRPr="003A3C34" w:rsidRDefault="008913A7" w:rsidP="008913A7">
      <w:pPr>
        <w:autoSpaceDE w:val="0"/>
        <w:autoSpaceDN w:val="0"/>
        <w:adjustRightInd w:val="0"/>
      </w:pPr>
    </w:p>
    <w:p w:rsidR="008913A7" w:rsidRPr="003A3C34" w:rsidRDefault="008913A7" w:rsidP="008913A7">
      <w:pPr>
        <w:autoSpaceDE w:val="0"/>
        <w:autoSpaceDN w:val="0"/>
        <w:adjustRightInd w:val="0"/>
      </w:pPr>
      <w:r w:rsidRPr="003A3C34">
        <w:t>The non-AP mSTA and the non-PCP mSTA shall not request the inclusion of an additional TS to an SP in which the source mSTA and the destination mSTA differs from the source mSTA and destination mSTA indicated in the ADDTS request frame.</w:t>
      </w:r>
    </w:p>
    <w:p w:rsidR="008913A7" w:rsidRPr="003A3C34"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rPr>
          <w:rFonts w:ascii="TimesNewRomanPSMT" w:hAnsi="TimesNewRomanPSMT" w:cs="TimesNewRomanPSMT"/>
        </w:rPr>
      </w:pPr>
      <w:r w:rsidRPr="003A3C34">
        <w:rPr>
          <w:rFonts w:ascii="TimesNewRomanPSMT" w:hAnsi="TimesNewRomanPSMT" w:cs="TimesNewRomanPSMT"/>
        </w:rPr>
        <w:t>The AP mSTA or PCP mSTA shall forward the received ADDTS Request frame to the mSTA with Address equa</w:t>
      </w:r>
      <w:r w:rsidR="00B6275E">
        <w:rPr>
          <w:rFonts w:ascii="TimesNewRomanPSMT" w:hAnsi="TimesNewRomanPSMT" w:cs="TimesNewRomanPSMT"/>
        </w:rPr>
        <w:t>l to the Destination Address fi</w:t>
      </w:r>
      <w:r w:rsidRPr="003A3C34">
        <w:rPr>
          <w:rFonts w:ascii="TimesNewRomanPSMT" w:hAnsi="TimesNewRomanPSMT" w:cs="TimesNewRomanPSMT"/>
        </w:rPr>
        <w:t>e</w:t>
      </w:r>
      <w:r w:rsidR="00B6275E">
        <w:rPr>
          <w:rFonts w:ascii="TimesNewRomanPSMT" w:hAnsi="TimesNewRomanPSMT" w:cs="TimesNewRomanPSMT"/>
        </w:rPr>
        <w:t>l</w:t>
      </w:r>
      <w:r w:rsidRPr="003A3C34">
        <w:rPr>
          <w:rFonts w:ascii="TimesNewRomanPSMT" w:hAnsi="TimesNewRomanPSMT" w:cs="TimesNewRomanPSMT"/>
        </w:rPr>
        <w:t>d of the Classifier. If an ADDTS Response frame is received by the AP mSTA or PCP mSTA in response to the forwarded ADDTS Request frame, then the AP mSTA or PCP mSTA shall forward the ADDTS Response frame to the mSTA with Address equal to the Source Address field of the Classifier.</w:t>
      </w:r>
      <w:r w:rsidR="005515A4">
        <w:rPr>
          <w:rFonts w:ascii="TimesNewRomanPSMT" w:hAnsi="TimesNewRomanPSMT" w:cs="TimesNewRomanPSMT"/>
        </w:rPr>
        <w:t xml:space="preserve"> </w:t>
      </w:r>
    </w:p>
    <w:p w:rsidR="008913A7" w:rsidRPr="003A3C34"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pPr>
      <w:r w:rsidRPr="003A3C34">
        <w:t xml:space="preserve">A non-AP mSTA may deliver traffic-specific parameters like A-MSDU subframe and Maximum MSDU Size to other non-AP mSTA with which it is directly communicating. To do this, the non-AP mSTA </w:t>
      </w:r>
      <w:r>
        <w:t xml:space="preserve">should directly </w:t>
      </w:r>
      <w:r w:rsidRPr="003A3C34">
        <w:t xml:space="preserve">transmit an ADDTS Request frame to </w:t>
      </w:r>
      <w:r>
        <w:t xml:space="preserve">peer </w:t>
      </w:r>
      <w:r w:rsidRPr="003A3C34">
        <w:t xml:space="preserve">non-AP mSTA. The PTP TSPEC </w:t>
      </w:r>
      <w:r>
        <w:t>shall</w:t>
      </w:r>
      <w:r w:rsidRPr="003A3C34">
        <w:t xml:space="preserve"> be used to convey traffic parameters of the TS; the parameters are applicable for SP</w:t>
      </w:r>
      <w:r w:rsidR="00125EAD">
        <w:t>s</w:t>
      </w:r>
      <w:r w:rsidRPr="003A3C34">
        <w:t xml:space="preserve"> and for CBP</w:t>
      </w:r>
      <w:r w:rsidR="00125EAD">
        <w:t>s</w:t>
      </w:r>
      <w:r w:rsidRPr="003A3C34">
        <w:t xml:space="preserve"> the mSTAs that established the TS communicate. </w:t>
      </w:r>
    </w:p>
    <w:p w:rsidR="008913A7" w:rsidRDefault="008913A7" w:rsidP="008913A7">
      <w:pPr>
        <w:autoSpaceDE w:val="0"/>
        <w:autoSpaceDN w:val="0"/>
        <w:adjustRightInd w:val="0"/>
      </w:pPr>
    </w:p>
    <w:p w:rsidR="008913A7" w:rsidRPr="003A3C34" w:rsidRDefault="008913A7" w:rsidP="008913A7">
      <w:pPr>
        <w:autoSpaceDE w:val="0"/>
        <w:autoSpaceDN w:val="0"/>
        <w:adjustRightInd w:val="0"/>
      </w:pPr>
      <w:r w:rsidRPr="003A3C34">
        <w:t xml:space="preserve">If the mSTA asserts the direction field to the Downlink in the PTP TSPEC included in the ADDTS Request frame, the parameters apply to the mSTA as the receiving station. For example, the Maximum MSDU Size field indicates that the mSTA is not able to receive MSDUs longer then the value presented in the MSDU Size field. If the direction field indicates uplink, the mSTA that issued the ADDTS Request frame will never send MSDUs longer than the value </w:t>
      </w:r>
      <w:r w:rsidR="003246C3">
        <w:t>of</w:t>
      </w:r>
      <w:r w:rsidRPr="003A3C34">
        <w:t xml:space="preserve"> the Maximum MSDU Size field.</w:t>
      </w:r>
    </w:p>
    <w:p w:rsidR="008913A7" w:rsidRPr="008913A7" w:rsidRDefault="008913A7" w:rsidP="008913A7">
      <w:pPr>
        <w:autoSpaceDE w:val="0"/>
        <w:autoSpaceDN w:val="0"/>
        <w:adjustRightInd w:val="0"/>
        <w:rPr>
          <w:b/>
          <w:bCs/>
          <w:i/>
          <w:iCs/>
        </w:rPr>
      </w:pPr>
    </w:p>
    <w:p w:rsidR="008C36FC" w:rsidRPr="009448FC" w:rsidRDefault="008C36FC" w:rsidP="003701DB">
      <w:pPr>
        <w:pStyle w:val="Heading2"/>
        <w:numPr>
          <w:ilvl w:val="1"/>
          <w:numId w:val="205"/>
        </w:numPr>
        <w:rPr>
          <w:rFonts w:ascii="Times New Roman" w:hAnsi="Times New Roman"/>
          <w:u w:val="none"/>
        </w:rPr>
      </w:pPr>
      <w:bookmarkStart w:id="2495" w:name="_Toc207099073"/>
      <w:bookmarkStart w:id="2496" w:name="_Toc207099681"/>
      <w:bookmarkStart w:id="2497" w:name="_Toc207100600"/>
      <w:bookmarkStart w:id="2498" w:name="_Toc207348522"/>
      <w:bookmarkStart w:id="2499" w:name="_Toc215582890"/>
      <w:bookmarkStart w:id="2500" w:name="_Toc235400588"/>
      <w:bookmarkStart w:id="2501" w:name="_Toc259717235"/>
      <w:r w:rsidRPr="009448FC">
        <w:rPr>
          <w:rFonts w:ascii="Times New Roman" w:hAnsi="Times New Roman"/>
          <w:u w:val="none"/>
        </w:rPr>
        <w:t>Block Ack operation</w:t>
      </w:r>
      <w:bookmarkEnd w:id="2495"/>
      <w:bookmarkEnd w:id="2496"/>
      <w:bookmarkEnd w:id="2497"/>
      <w:bookmarkEnd w:id="2498"/>
      <w:bookmarkEnd w:id="2499"/>
      <w:bookmarkEnd w:id="2500"/>
      <w:bookmarkEnd w:id="2501"/>
    </w:p>
    <w:p w:rsidR="008D5466" w:rsidRPr="009448FC" w:rsidRDefault="008D5466" w:rsidP="00574B97">
      <w:pPr>
        <w:rPr>
          <w:i/>
        </w:rPr>
      </w:pPr>
    </w:p>
    <w:p w:rsidR="006C3447" w:rsidRPr="009448FC" w:rsidRDefault="006E52C9" w:rsidP="00574B97">
      <w:pPr>
        <w:rPr>
          <w:i/>
        </w:rPr>
      </w:pPr>
      <w:r w:rsidRPr="009448FC">
        <w:rPr>
          <w:i/>
        </w:rPr>
        <w:t xml:space="preserve">.11 Editor Notes: </w:t>
      </w:r>
      <w:r w:rsidR="00574B97" w:rsidRPr="009448FC">
        <w:rPr>
          <w:i/>
        </w:rPr>
        <w:t>Insert the following to (</w:t>
      </w:r>
      <w:r w:rsidR="006C3447" w:rsidRPr="009448FC">
        <w:rPr>
          <w:i/>
        </w:rPr>
        <w:t>Table 11-5a—Types of Block Ack agreement based on capabilities and ADDBA conditions</w:t>
      </w:r>
      <w:r w:rsidR="00574B97" w:rsidRPr="009448FC">
        <w:rPr>
          <w:i/>
        </w:rPr>
        <w:t>)</w:t>
      </w:r>
      <w:r w:rsidR="006C3447" w:rsidRPr="009448FC">
        <w:rPr>
          <w:i/>
        </w:rPr>
        <w:t>:</w:t>
      </w:r>
    </w:p>
    <w:p w:rsidR="00A43BDA" w:rsidRPr="009448FC" w:rsidRDefault="00A43BDA" w:rsidP="00D364F1">
      <w:pPr>
        <w:rPr>
          <w:b/>
          <w:i/>
        </w:rPr>
      </w:pPr>
    </w:p>
    <w:p w:rsidR="00960D4E" w:rsidRPr="00066F65" w:rsidRDefault="003246C3" w:rsidP="00BA5BC4">
      <w:pPr>
        <w:pStyle w:val="Caption"/>
      </w:pPr>
      <w:r>
        <w:t xml:space="preserve">Table 11-5a – </w:t>
      </w:r>
      <w:r w:rsidR="00960D4E" w:rsidRPr="00066F65">
        <w:t>Types of Block Ack agreement based on capabilities and ADDBA conditions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3600"/>
        <w:gridCol w:w="3420"/>
      </w:tblGrid>
      <w:tr w:rsidR="00960D4E" w:rsidRPr="00066F65" w:rsidTr="00D0037C">
        <w:trPr>
          <w:trHeight w:val="332"/>
        </w:trPr>
        <w:tc>
          <w:tcPr>
            <w:tcW w:w="2988" w:type="dxa"/>
            <w:vAlign w:val="center"/>
          </w:tcPr>
          <w:p w:rsidR="00960D4E" w:rsidRPr="009448FC" w:rsidRDefault="00960D4E" w:rsidP="00E4401F">
            <w:pPr>
              <w:rPr>
                <w:rFonts w:eastAsia="SimSun"/>
                <w:b/>
              </w:rPr>
            </w:pPr>
            <w:r w:rsidRPr="009448FC">
              <w:rPr>
                <w:rFonts w:eastAsia="SimSun"/>
                <w:b/>
              </w:rPr>
              <w:t>Capabilities Condition</w:t>
            </w:r>
          </w:p>
        </w:tc>
        <w:tc>
          <w:tcPr>
            <w:tcW w:w="3600" w:type="dxa"/>
            <w:vAlign w:val="center"/>
          </w:tcPr>
          <w:p w:rsidR="00960D4E" w:rsidRPr="009448FC" w:rsidRDefault="00960D4E" w:rsidP="00E4401F">
            <w:pPr>
              <w:rPr>
                <w:rFonts w:eastAsia="SimSun"/>
                <w:b/>
              </w:rPr>
            </w:pPr>
            <w:r w:rsidRPr="009448FC">
              <w:rPr>
                <w:rFonts w:eastAsia="SimSun"/>
                <w:b/>
              </w:rPr>
              <w:t>ADDBA condition</w:t>
            </w:r>
          </w:p>
        </w:tc>
        <w:tc>
          <w:tcPr>
            <w:tcW w:w="3420" w:type="dxa"/>
            <w:vAlign w:val="center"/>
          </w:tcPr>
          <w:p w:rsidR="00960D4E" w:rsidRPr="009448FC" w:rsidRDefault="00960D4E" w:rsidP="00E4401F">
            <w:pPr>
              <w:rPr>
                <w:rFonts w:eastAsia="SimSun"/>
                <w:b/>
              </w:rPr>
            </w:pPr>
            <w:r w:rsidRPr="009448FC">
              <w:rPr>
                <w:rFonts w:eastAsia="SimSun"/>
                <w:b/>
              </w:rPr>
              <w:t>Type of Block Ack agreement</w:t>
            </w:r>
          </w:p>
        </w:tc>
      </w:tr>
      <w:tr w:rsidR="00960D4E" w:rsidRPr="00066F65" w:rsidTr="00D0037C">
        <w:tc>
          <w:tcPr>
            <w:tcW w:w="2988" w:type="dxa"/>
            <w:vAlign w:val="center"/>
          </w:tcPr>
          <w:p w:rsidR="00960D4E" w:rsidRPr="00066F65" w:rsidRDefault="00960D4E" w:rsidP="00E22629">
            <w:pPr>
              <w:rPr>
                <w:rFonts w:eastAsia="SimSun"/>
                <w:u w:val="single"/>
              </w:rPr>
            </w:pPr>
            <w:r w:rsidRPr="00066F65">
              <w:rPr>
                <w:rFonts w:eastAsia="SimSun"/>
                <w:u w:val="single"/>
              </w:rPr>
              <w:t xml:space="preserve">Both STA supports </w:t>
            </w:r>
            <w:r w:rsidR="00C414F2" w:rsidRPr="00066F65">
              <w:rPr>
                <w:rFonts w:eastAsia="SimSun"/>
                <w:u w:val="single"/>
              </w:rPr>
              <w:t xml:space="preserve">mmWave </w:t>
            </w:r>
            <w:r w:rsidRPr="00066F65">
              <w:rPr>
                <w:rFonts w:eastAsia="SimSun"/>
                <w:u w:val="single"/>
              </w:rPr>
              <w:t>PHY</w:t>
            </w:r>
          </w:p>
        </w:tc>
        <w:tc>
          <w:tcPr>
            <w:tcW w:w="3600" w:type="dxa"/>
            <w:vAlign w:val="center"/>
          </w:tcPr>
          <w:p w:rsidR="00960D4E" w:rsidRPr="00066F65" w:rsidRDefault="00960D4E" w:rsidP="00D0037C">
            <w:pPr>
              <w:jc w:val="both"/>
              <w:rPr>
                <w:rFonts w:eastAsia="SimSun"/>
                <w:u w:val="single"/>
              </w:rPr>
            </w:pPr>
            <w:r w:rsidRPr="00066F65">
              <w:rPr>
                <w:rFonts w:eastAsia="SimSun"/>
                <w:u w:val="single"/>
              </w:rPr>
              <w:t>Block Ack Policy subfield set to 0</w:t>
            </w:r>
          </w:p>
        </w:tc>
        <w:tc>
          <w:tcPr>
            <w:tcW w:w="3420" w:type="dxa"/>
            <w:vAlign w:val="center"/>
          </w:tcPr>
          <w:p w:rsidR="00960D4E" w:rsidRPr="00066F65" w:rsidRDefault="00960D4E" w:rsidP="00D0037C">
            <w:pPr>
              <w:jc w:val="both"/>
              <w:rPr>
                <w:rFonts w:eastAsia="SimSun"/>
                <w:u w:val="single"/>
              </w:rPr>
            </w:pPr>
            <w:r w:rsidRPr="00066F65">
              <w:rPr>
                <w:rFonts w:eastAsia="SimSun"/>
                <w:u w:val="single"/>
              </w:rPr>
              <w:t>HT-Immediate</w:t>
            </w:r>
          </w:p>
        </w:tc>
      </w:tr>
      <w:tr w:rsidR="00960D4E" w:rsidRPr="00066F65" w:rsidTr="00D0037C">
        <w:tc>
          <w:tcPr>
            <w:tcW w:w="2988" w:type="dxa"/>
            <w:vAlign w:val="center"/>
          </w:tcPr>
          <w:p w:rsidR="00960D4E" w:rsidRPr="00066F65" w:rsidRDefault="00960D4E" w:rsidP="00E22629">
            <w:pPr>
              <w:rPr>
                <w:rFonts w:eastAsia="SimSun"/>
                <w:u w:val="single"/>
              </w:rPr>
            </w:pPr>
            <w:r w:rsidRPr="00066F65">
              <w:rPr>
                <w:rFonts w:eastAsia="SimSun"/>
                <w:u w:val="single"/>
              </w:rPr>
              <w:t xml:space="preserve">Both STA supports </w:t>
            </w:r>
            <w:r w:rsidR="008A2761" w:rsidRPr="00066F65">
              <w:rPr>
                <w:rFonts w:eastAsia="SimSun"/>
                <w:u w:val="single"/>
              </w:rPr>
              <w:t>mmWave</w:t>
            </w:r>
            <w:r w:rsidR="00C414F2" w:rsidRPr="00066F65">
              <w:rPr>
                <w:rFonts w:eastAsia="SimSun"/>
                <w:u w:val="single"/>
              </w:rPr>
              <w:t xml:space="preserve"> </w:t>
            </w:r>
            <w:r w:rsidRPr="00066F65">
              <w:rPr>
                <w:rFonts w:eastAsia="SimSun"/>
                <w:u w:val="single"/>
              </w:rPr>
              <w:t>PHY</w:t>
            </w:r>
          </w:p>
        </w:tc>
        <w:tc>
          <w:tcPr>
            <w:tcW w:w="3600" w:type="dxa"/>
            <w:vAlign w:val="center"/>
          </w:tcPr>
          <w:p w:rsidR="00960D4E" w:rsidRPr="00066F65" w:rsidRDefault="00960D4E" w:rsidP="00D0037C">
            <w:pPr>
              <w:jc w:val="both"/>
              <w:rPr>
                <w:rFonts w:eastAsia="SimSun"/>
                <w:u w:val="single"/>
              </w:rPr>
            </w:pPr>
            <w:r w:rsidRPr="00066F65">
              <w:rPr>
                <w:rFonts w:eastAsia="SimSun"/>
                <w:u w:val="single"/>
              </w:rPr>
              <w:t>Block Ack Policy subfield set to 1</w:t>
            </w:r>
          </w:p>
        </w:tc>
        <w:tc>
          <w:tcPr>
            <w:tcW w:w="3420" w:type="dxa"/>
            <w:vAlign w:val="center"/>
          </w:tcPr>
          <w:p w:rsidR="00960D4E" w:rsidRPr="00066F65" w:rsidRDefault="00960D4E" w:rsidP="00960D4E">
            <w:pPr>
              <w:rPr>
                <w:rFonts w:eastAsia="SimSun"/>
                <w:u w:val="single"/>
              </w:rPr>
            </w:pPr>
            <w:r w:rsidRPr="00066F65">
              <w:rPr>
                <w:rFonts w:eastAsia="SimSun"/>
                <w:u w:val="single"/>
              </w:rPr>
              <w:t>HT-Immediate + Flow Control</w:t>
            </w:r>
          </w:p>
        </w:tc>
      </w:tr>
    </w:tbl>
    <w:p w:rsidR="00962155" w:rsidRPr="009448FC" w:rsidRDefault="00962155" w:rsidP="00323574">
      <w:pPr>
        <w:rPr>
          <w:b/>
          <w:i/>
        </w:rPr>
      </w:pPr>
    </w:p>
    <w:p w:rsidR="008C36FC" w:rsidRPr="009448FC" w:rsidRDefault="00193751" w:rsidP="003701DB">
      <w:pPr>
        <w:pStyle w:val="Heading2"/>
        <w:numPr>
          <w:ilvl w:val="1"/>
          <w:numId w:val="20"/>
        </w:numPr>
        <w:rPr>
          <w:rFonts w:ascii="Times New Roman" w:hAnsi="Times New Roman"/>
          <w:u w:val="none"/>
        </w:rPr>
      </w:pPr>
      <w:bookmarkStart w:id="2502" w:name="_Toc207099076"/>
      <w:bookmarkStart w:id="2503" w:name="_Toc207099684"/>
      <w:bookmarkStart w:id="2504" w:name="_Toc207100603"/>
      <w:bookmarkStart w:id="2505" w:name="_Toc207348525"/>
      <w:bookmarkStart w:id="2506" w:name="_Toc215582893"/>
      <w:r w:rsidRPr="009448FC">
        <w:rPr>
          <w:rFonts w:ascii="Times New Roman" w:hAnsi="Times New Roman"/>
          <w:u w:val="none"/>
        </w:rPr>
        <w:lastRenderedPageBreak/>
        <w:t xml:space="preserve"> </w:t>
      </w:r>
      <w:bookmarkStart w:id="2507" w:name="_Toc235400590"/>
      <w:bookmarkStart w:id="2508" w:name="_Ref243798001"/>
      <w:bookmarkStart w:id="2509" w:name="_Ref253494727"/>
      <w:bookmarkStart w:id="2510" w:name="_Toc259717236"/>
      <w:r w:rsidR="00AB6D8D" w:rsidRPr="009448FC">
        <w:rPr>
          <w:rFonts w:ascii="Times New Roman" w:hAnsi="Times New Roman"/>
          <w:u w:val="none"/>
        </w:rPr>
        <w:t>TPC procedures</w:t>
      </w:r>
      <w:bookmarkEnd w:id="2502"/>
      <w:bookmarkEnd w:id="2503"/>
      <w:bookmarkEnd w:id="2504"/>
      <w:bookmarkEnd w:id="2505"/>
      <w:bookmarkEnd w:id="2506"/>
      <w:bookmarkEnd w:id="2507"/>
      <w:bookmarkEnd w:id="2508"/>
      <w:bookmarkEnd w:id="2509"/>
      <w:bookmarkEnd w:id="2510"/>
    </w:p>
    <w:p w:rsidR="00B57326" w:rsidRPr="009448FC" w:rsidRDefault="00B57326" w:rsidP="00B57326">
      <w:pPr>
        <w:autoSpaceDE w:val="0"/>
        <w:autoSpaceDN w:val="0"/>
        <w:adjustRightInd w:val="0"/>
      </w:pPr>
    </w:p>
    <w:p w:rsidR="00B57326" w:rsidRPr="009448FC" w:rsidRDefault="00B57326" w:rsidP="00B57326">
      <w:pPr>
        <w:autoSpaceDE w:val="0"/>
        <w:autoSpaceDN w:val="0"/>
        <w:adjustRightInd w:val="0"/>
        <w:rPr>
          <w:i/>
        </w:rPr>
      </w:pPr>
      <w:r w:rsidRPr="009448FC">
        <w:rPr>
          <w:i/>
        </w:rPr>
        <w:t xml:space="preserve">.11 Editor’s instructions: through the subclause 11.8 including 11.8.1, 11.8.2, 11.8.3, and 11.8.4 replace any appearance of </w:t>
      </w:r>
      <w:r w:rsidR="008A2761" w:rsidRPr="009448FC">
        <w:rPr>
          <w:i/>
        </w:rPr>
        <w:t>“</w:t>
      </w:r>
      <w:r w:rsidRPr="009448FC">
        <w:t>BSS</w:t>
      </w:r>
      <w:r w:rsidR="008A2761" w:rsidRPr="009448FC">
        <w:rPr>
          <w:i/>
        </w:rPr>
        <w:t>”</w:t>
      </w:r>
      <w:r w:rsidRPr="009448FC">
        <w:rPr>
          <w:i/>
        </w:rPr>
        <w:t xml:space="preserve"> by “</w:t>
      </w:r>
      <w:r w:rsidRPr="009448FC">
        <w:t>Infrastructure BSS, PBSS</w:t>
      </w:r>
      <w:r w:rsidRPr="009448FC">
        <w:rPr>
          <w:i/>
        </w:rPr>
        <w:t>”</w:t>
      </w:r>
    </w:p>
    <w:p w:rsidR="00B57326" w:rsidRPr="009448FC" w:rsidRDefault="00B57326" w:rsidP="00B57326">
      <w:pPr>
        <w:autoSpaceDE w:val="0"/>
        <w:autoSpaceDN w:val="0"/>
        <w:adjustRightInd w:val="0"/>
        <w:rPr>
          <w:i/>
        </w:rPr>
      </w:pPr>
    </w:p>
    <w:p w:rsidR="00B57326" w:rsidRPr="009448FC" w:rsidRDefault="00B57326" w:rsidP="00B57326">
      <w:pPr>
        <w:autoSpaceDE w:val="0"/>
        <w:autoSpaceDN w:val="0"/>
        <w:adjustRightInd w:val="0"/>
        <w:rPr>
          <w:i/>
        </w:rPr>
      </w:pPr>
      <w:r w:rsidRPr="009448FC">
        <w:rPr>
          <w:i/>
        </w:rPr>
        <w:t xml:space="preserve">.11 Editor’s instructions: through the subclause 11.8 including 11.8.1, 11.8.2, 11.8.3, and 11.8.4 replace any appearance of </w:t>
      </w:r>
      <w:r w:rsidR="008A2761" w:rsidRPr="009448FC">
        <w:rPr>
          <w:i/>
        </w:rPr>
        <w:t>“</w:t>
      </w:r>
      <w:r w:rsidRPr="009448FC">
        <w:t>AP</w:t>
      </w:r>
      <w:r w:rsidR="008A2761" w:rsidRPr="009448FC">
        <w:rPr>
          <w:i/>
        </w:rPr>
        <w:t>”</w:t>
      </w:r>
      <w:r w:rsidRPr="009448FC">
        <w:rPr>
          <w:i/>
        </w:rPr>
        <w:t xml:space="preserve"> by </w:t>
      </w:r>
      <w:r w:rsidR="008A2761" w:rsidRPr="009448FC">
        <w:rPr>
          <w:i/>
        </w:rPr>
        <w:t>“</w:t>
      </w:r>
      <w:r w:rsidRPr="009448FC">
        <w:t>AP/PCP</w:t>
      </w:r>
      <w:r w:rsidR="008A2761" w:rsidRPr="009448FC">
        <w:rPr>
          <w:i/>
        </w:rPr>
        <w:t>”</w:t>
      </w:r>
    </w:p>
    <w:p w:rsidR="00B57326" w:rsidRPr="009448FC" w:rsidRDefault="00B57326" w:rsidP="00B57326">
      <w:pPr>
        <w:autoSpaceDE w:val="0"/>
        <w:autoSpaceDN w:val="0"/>
        <w:adjustRightInd w:val="0"/>
        <w:rPr>
          <w:i/>
        </w:rPr>
      </w:pPr>
    </w:p>
    <w:p w:rsidR="00B57326" w:rsidRPr="009448FC" w:rsidRDefault="00B57326" w:rsidP="000A2A2B">
      <w:pPr>
        <w:autoSpaceDE w:val="0"/>
        <w:autoSpaceDN w:val="0"/>
        <w:adjustRightInd w:val="0"/>
        <w:rPr>
          <w:i/>
        </w:rPr>
      </w:pPr>
      <w:r w:rsidRPr="009448FC">
        <w:rPr>
          <w:i/>
        </w:rPr>
        <w:t>.11 Editor’s instructions: through the subclause 11.8 including 11.8.1, 11.8.2, 11.8.3, and 11.8.4 replace any appearance of word “</w:t>
      </w:r>
      <w:r w:rsidRPr="009448FC">
        <w:t>beacon</w:t>
      </w:r>
      <w:r w:rsidRPr="009448FC">
        <w:rPr>
          <w:i/>
        </w:rPr>
        <w:t>” by “</w:t>
      </w:r>
      <w:r w:rsidRPr="009448FC">
        <w:t xml:space="preserve">beacon, mmWave </w:t>
      </w:r>
      <w:r w:rsidR="008A2761" w:rsidRPr="009448FC">
        <w:t>B</w:t>
      </w:r>
      <w:r w:rsidRPr="009448FC">
        <w:t>eacon and Announce</w:t>
      </w:r>
      <w:r w:rsidRPr="009448FC">
        <w:rPr>
          <w:i/>
        </w:rPr>
        <w:t>”</w:t>
      </w:r>
      <w:r w:rsidR="00132E77" w:rsidRPr="009448FC">
        <w:rPr>
          <w:i/>
        </w:rPr>
        <w:t xml:space="preserve"> </w:t>
      </w:r>
    </w:p>
    <w:p w:rsidR="008C36FC" w:rsidRPr="009448FC" w:rsidRDefault="00193751" w:rsidP="003701DB">
      <w:pPr>
        <w:pStyle w:val="Heading2"/>
        <w:numPr>
          <w:ilvl w:val="1"/>
          <w:numId w:val="20"/>
        </w:numPr>
        <w:rPr>
          <w:rFonts w:ascii="Times New Roman" w:hAnsi="Times New Roman"/>
          <w:u w:val="none"/>
        </w:rPr>
      </w:pPr>
      <w:r w:rsidRPr="009448FC">
        <w:rPr>
          <w:rFonts w:ascii="Times New Roman" w:hAnsi="Times New Roman"/>
          <w:u w:val="none"/>
        </w:rPr>
        <w:t xml:space="preserve"> </w:t>
      </w:r>
      <w:bookmarkStart w:id="2511" w:name="_Toc235400591"/>
      <w:bookmarkStart w:id="2512" w:name="_Ref253494723"/>
      <w:bookmarkStart w:id="2513" w:name="_Toc259717237"/>
      <w:r w:rsidR="00AB6D8D" w:rsidRPr="009448FC">
        <w:rPr>
          <w:rFonts w:ascii="Times New Roman" w:hAnsi="Times New Roman"/>
          <w:u w:val="none"/>
        </w:rPr>
        <w:t>DFS procedures</w:t>
      </w:r>
      <w:bookmarkEnd w:id="2511"/>
      <w:bookmarkEnd w:id="2512"/>
      <w:bookmarkEnd w:id="2513"/>
    </w:p>
    <w:p w:rsidR="00D92A1D" w:rsidRPr="009448FC" w:rsidRDefault="00D92A1D" w:rsidP="00193751"/>
    <w:p w:rsidR="00193751" w:rsidRPr="009448FC" w:rsidRDefault="003D1C6B" w:rsidP="00193751">
      <w:pPr>
        <w:autoSpaceDE w:val="0"/>
        <w:autoSpaceDN w:val="0"/>
        <w:adjustRightInd w:val="0"/>
        <w:rPr>
          <w:i/>
        </w:rPr>
      </w:pPr>
      <w:r w:rsidRPr="009448FC">
        <w:rPr>
          <w:i/>
        </w:rPr>
        <w:t xml:space="preserve">.11 </w:t>
      </w:r>
      <w:r w:rsidR="00193751" w:rsidRPr="009448FC">
        <w:rPr>
          <w:i/>
        </w:rPr>
        <w:t>Editor Note: Insert the following sentence after “</w:t>
      </w:r>
      <w:r w:rsidR="00193751" w:rsidRPr="009448FC">
        <w:t>The procedures may also satisfy comparable needs in other frequency bands and may be useful for other purposes.</w:t>
      </w:r>
      <w:r w:rsidR="00193751" w:rsidRPr="009448FC">
        <w:rPr>
          <w:i/>
        </w:rPr>
        <w:t>”</w:t>
      </w:r>
    </w:p>
    <w:p w:rsidR="00193751" w:rsidRPr="009448FC" w:rsidRDefault="00193751" w:rsidP="00193751">
      <w:pPr>
        <w:autoSpaceDE w:val="0"/>
        <w:autoSpaceDN w:val="0"/>
        <w:adjustRightInd w:val="0"/>
        <w:rPr>
          <w:sz w:val="22"/>
        </w:rPr>
      </w:pPr>
    </w:p>
    <w:p w:rsidR="00193751" w:rsidRPr="009448FC" w:rsidRDefault="00193751" w:rsidP="00911722">
      <w:pPr>
        <w:autoSpaceDE w:val="0"/>
        <w:autoSpaceDN w:val="0"/>
        <w:adjustRightInd w:val="0"/>
      </w:pPr>
      <w:r w:rsidRPr="009448FC">
        <w:t>For example, some of the procedures described in this section may be used for channel selection</w:t>
      </w:r>
      <w:r w:rsidR="00911722" w:rsidRPr="009448FC">
        <w:t xml:space="preserve"> in the UB</w:t>
      </w:r>
      <w:r w:rsidRPr="009448FC">
        <w:t>.</w:t>
      </w:r>
    </w:p>
    <w:p w:rsidR="00193751" w:rsidRPr="009448FC" w:rsidRDefault="00193751" w:rsidP="00193751">
      <w:pPr>
        <w:autoSpaceDE w:val="0"/>
        <w:autoSpaceDN w:val="0"/>
        <w:adjustRightInd w:val="0"/>
        <w:rPr>
          <w:sz w:val="22"/>
        </w:rPr>
      </w:pPr>
    </w:p>
    <w:p w:rsidR="00193751" w:rsidRPr="009448FC" w:rsidRDefault="003D1C6B" w:rsidP="00193751">
      <w:pPr>
        <w:rPr>
          <w:i/>
        </w:rPr>
      </w:pPr>
      <w:r w:rsidRPr="009448FC">
        <w:rPr>
          <w:i/>
        </w:rPr>
        <w:t xml:space="preserve">.11 </w:t>
      </w:r>
      <w:r w:rsidR="00193751" w:rsidRPr="009448FC">
        <w:rPr>
          <w:i/>
        </w:rPr>
        <w:t>Editor Note: Insert the following paragraphs before the sentence “</w:t>
      </w:r>
      <w:r w:rsidR="00193751" w:rsidRPr="009448FC">
        <w:t>For the purposes of DFS, the following statements apply</w:t>
      </w:r>
      <w:r w:rsidR="00193751" w:rsidRPr="009448FC">
        <w:rPr>
          <w:i/>
        </w:rPr>
        <w:t>:”</w:t>
      </w:r>
    </w:p>
    <w:p w:rsidR="00193751" w:rsidRPr="009448FC" w:rsidRDefault="00193751" w:rsidP="00193751">
      <w:pPr>
        <w:rPr>
          <w:rFonts w:ascii="TimesNewRoman" w:hAnsi="TimesNewRoman"/>
        </w:rPr>
      </w:pPr>
    </w:p>
    <w:p w:rsidR="00193751" w:rsidRPr="009448FC" w:rsidRDefault="00193751" w:rsidP="00911722">
      <w:r w:rsidRPr="009448FC">
        <w:t xml:space="preserve">In </w:t>
      </w:r>
      <w:r w:rsidR="00911722" w:rsidRPr="009448FC">
        <w:t>the UB</w:t>
      </w:r>
      <w:r w:rsidRPr="009448FC">
        <w:t>, the following DFS procedures apply:</w:t>
      </w:r>
    </w:p>
    <w:p w:rsidR="00193751" w:rsidRPr="009448FC" w:rsidRDefault="00193751" w:rsidP="00193751"/>
    <w:p w:rsidR="00193751" w:rsidRPr="009448FC" w:rsidRDefault="00193751" w:rsidP="00D712AD">
      <w:pPr>
        <w:autoSpaceDE w:val="0"/>
        <w:autoSpaceDN w:val="0"/>
        <w:adjustRightInd w:val="0"/>
      </w:pPr>
      <w:r w:rsidRPr="009448FC">
        <w:t xml:space="preserve">— Associating STAs with an AP or a PCP based on the STAs’ supported channels (see </w:t>
      </w:r>
      <w:r w:rsidR="00BD151C">
        <w:fldChar w:fldCharType="begin"/>
      </w:r>
      <w:r w:rsidR="00D712AD">
        <w:instrText xml:space="preserve"> REF _Ref243986374 \r \h </w:instrText>
      </w:r>
      <w:r w:rsidR="00BD151C">
        <w:fldChar w:fldCharType="separate"/>
      </w:r>
      <w:r w:rsidR="003E4210">
        <w:t>11.9.1</w:t>
      </w:r>
      <w:r w:rsidR="00BD151C">
        <w:fldChar w:fldCharType="end"/>
      </w:r>
      <w:r w:rsidRPr="009448FC">
        <w:t>).</w:t>
      </w:r>
    </w:p>
    <w:p w:rsidR="00193751" w:rsidRPr="009448FC" w:rsidRDefault="00193751" w:rsidP="00193751">
      <w:pPr>
        <w:autoSpaceDE w:val="0"/>
        <w:autoSpaceDN w:val="0"/>
        <w:adjustRightInd w:val="0"/>
      </w:pPr>
      <w:r w:rsidRPr="009448FC">
        <w:t>— Quieting the current channel so it can be tested for interference with less interference from</w:t>
      </w:r>
    </w:p>
    <w:p w:rsidR="00193751" w:rsidRPr="009448FC" w:rsidRDefault="00193751" w:rsidP="006702C1">
      <w:pPr>
        <w:autoSpaceDE w:val="0"/>
        <w:autoSpaceDN w:val="0"/>
        <w:adjustRightInd w:val="0"/>
      </w:pPr>
      <w:r w:rsidRPr="009448FC">
        <w:t xml:space="preserve">associated STAs (see </w:t>
      </w:r>
      <w:r w:rsidR="00BD151C">
        <w:fldChar w:fldCharType="begin"/>
      </w:r>
      <w:r w:rsidR="006702C1">
        <w:instrText xml:space="preserve"> REF _Ref243986421 \r \h </w:instrText>
      </w:r>
      <w:r w:rsidR="00BD151C">
        <w:fldChar w:fldCharType="separate"/>
      </w:r>
      <w:r w:rsidR="003E4210">
        <w:t>11.9.2</w:t>
      </w:r>
      <w:r w:rsidR="00BD151C">
        <w:fldChar w:fldCharType="end"/>
      </w:r>
      <w:r w:rsidRPr="009448FC">
        <w:t>).</w:t>
      </w:r>
    </w:p>
    <w:p w:rsidR="00F0108A" w:rsidRPr="009448FC" w:rsidRDefault="00193751" w:rsidP="003701DB">
      <w:pPr>
        <w:numPr>
          <w:ilvl w:val="0"/>
          <w:numId w:val="21"/>
        </w:numPr>
        <w:autoSpaceDE w:val="0"/>
        <w:autoSpaceDN w:val="0"/>
        <w:adjustRightInd w:val="0"/>
        <w:jc w:val="both"/>
      </w:pPr>
      <w:r w:rsidRPr="009448FC">
        <w:t xml:space="preserve">Requesting and reporting measurements in the current and other channels (see </w:t>
      </w:r>
      <w:r w:rsidR="00BD151C">
        <w:fldChar w:fldCharType="begin"/>
      </w:r>
      <w:r w:rsidR="00896610">
        <w:instrText xml:space="preserve"> REF _Ref243986471 \r \h </w:instrText>
      </w:r>
      <w:r w:rsidR="00BD151C">
        <w:fldChar w:fldCharType="separate"/>
      </w:r>
      <w:r w:rsidR="003E4210">
        <w:t>11.9.6</w:t>
      </w:r>
      <w:r w:rsidR="00BD151C">
        <w:fldChar w:fldCharType="end"/>
      </w:r>
      <w:r w:rsidRPr="009448FC">
        <w:t>).</w:t>
      </w:r>
    </w:p>
    <w:p w:rsidR="00193751" w:rsidRPr="009448FC" w:rsidRDefault="00193751" w:rsidP="003701DB">
      <w:pPr>
        <w:numPr>
          <w:ilvl w:val="0"/>
          <w:numId w:val="21"/>
        </w:numPr>
        <w:autoSpaceDE w:val="0"/>
        <w:autoSpaceDN w:val="0"/>
        <w:adjustRightInd w:val="0"/>
        <w:jc w:val="both"/>
      </w:pPr>
      <w:r w:rsidRPr="009448FC">
        <w:t>Selecting and advertising a new channel to assist the migration of a</w:t>
      </w:r>
      <w:r w:rsidR="00D17123">
        <w:t>n infrastructure</w:t>
      </w:r>
      <w:r w:rsidRPr="009448FC">
        <w:t xml:space="preserve"> BSS, IBSS or PBSS (see </w:t>
      </w:r>
      <w:r w:rsidR="00BD151C">
        <w:fldChar w:fldCharType="begin"/>
      </w:r>
      <w:r w:rsidR="00764970">
        <w:instrText xml:space="preserve"> REF _Ref243986501 \r \h </w:instrText>
      </w:r>
      <w:r w:rsidR="00BD151C">
        <w:fldChar w:fldCharType="separate"/>
      </w:r>
      <w:r w:rsidR="003E4210">
        <w:t>11.9.7</w:t>
      </w:r>
      <w:r w:rsidR="00BD151C">
        <w:fldChar w:fldCharType="end"/>
      </w:r>
      <w:r w:rsidRPr="009448FC">
        <w:t>).</w:t>
      </w:r>
    </w:p>
    <w:p w:rsidR="00193751" w:rsidRPr="009448FC" w:rsidRDefault="00193751" w:rsidP="00193751">
      <w:pPr>
        <w:autoSpaceDE w:val="0"/>
        <w:autoSpaceDN w:val="0"/>
        <w:adjustRightInd w:val="0"/>
      </w:pPr>
    </w:p>
    <w:p w:rsidR="00193751" w:rsidRPr="009448FC" w:rsidRDefault="003D1C6B" w:rsidP="00193751">
      <w:pPr>
        <w:autoSpaceDE w:val="0"/>
        <w:autoSpaceDN w:val="0"/>
        <w:adjustRightInd w:val="0"/>
        <w:rPr>
          <w:i/>
        </w:rPr>
      </w:pPr>
      <w:r w:rsidRPr="009448FC">
        <w:rPr>
          <w:i/>
        </w:rPr>
        <w:t xml:space="preserve">.11 </w:t>
      </w:r>
      <w:r w:rsidR="00193751" w:rsidRPr="009448FC">
        <w:rPr>
          <w:i/>
        </w:rPr>
        <w:t xml:space="preserve">Editor Note: </w:t>
      </w:r>
      <w:r w:rsidR="001A4C14" w:rsidRPr="009448FC">
        <w:rPr>
          <w:i/>
        </w:rPr>
        <w:t xml:space="preserve">Throughout this subclause, replace </w:t>
      </w:r>
      <w:r w:rsidR="00193751" w:rsidRPr="009448FC">
        <w:rPr>
          <w:i/>
        </w:rPr>
        <w:t>all occurrences of “</w:t>
      </w:r>
      <w:r w:rsidR="00193751" w:rsidRPr="009448FC">
        <w:t>BSS or IBSS</w:t>
      </w:r>
      <w:r w:rsidR="00193751" w:rsidRPr="009448FC">
        <w:rPr>
          <w:i/>
        </w:rPr>
        <w:t>” with “</w:t>
      </w:r>
      <w:r w:rsidR="00D17123">
        <w:t xml:space="preserve">infrastructure </w:t>
      </w:r>
      <w:r w:rsidR="00193751" w:rsidRPr="009448FC">
        <w:t>BSS, IBSS, or PBSS</w:t>
      </w:r>
      <w:r w:rsidR="00193751" w:rsidRPr="009448FC">
        <w:rPr>
          <w:i/>
        </w:rPr>
        <w:t>”</w:t>
      </w:r>
    </w:p>
    <w:p w:rsidR="00193751" w:rsidRPr="009448FC" w:rsidRDefault="00193751" w:rsidP="00193751">
      <w:pPr>
        <w:autoSpaceDE w:val="0"/>
        <w:autoSpaceDN w:val="0"/>
        <w:adjustRightInd w:val="0"/>
      </w:pPr>
    </w:p>
    <w:p w:rsidR="001A4C14" w:rsidRPr="009448FC" w:rsidRDefault="00326764" w:rsidP="003701DB">
      <w:pPr>
        <w:pStyle w:val="Heading3"/>
        <w:numPr>
          <w:ilvl w:val="2"/>
          <w:numId w:val="20"/>
        </w:numPr>
      </w:pPr>
      <w:bookmarkStart w:id="2514" w:name="_Ref243816527"/>
      <w:r w:rsidRPr="009448FC">
        <w:t xml:space="preserve"> </w:t>
      </w:r>
      <w:bookmarkStart w:id="2515" w:name="_Ref243986374"/>
      <w:bookmarkStart w:id="2516" w:name="_Toc259717238"/>
      <w:r w:rsidR="001A4C14" w:rsidRPr="009448FC">
        <w:t>Association based on supported channels</w:t>
      </w:r>
      <w:bookmarkEnd w:id="2514"/>
      <w:bookmarkEnd w:id="2515"/>
      <w:bookmarkEnd w:id="2516"/>
    </w:p>
    <w:p w:rsidR="001A4C14" w:rsidRPr="009448FC" w:rsidRDefault="001A4C14" w:rsidP="00193751">
      <w:pPr>
        <w:autoSpaceDE w:val="0"/>
        <w:autoSpaceDN w:val="0"/>
        <w:adjustRightInd w:val="0"/>
      </w:pPr>
    </w:p>
    <w:p w:rsidR="00193751" w:rsidRPr="009448FC" w:rsidRDefault="003D1C6B" w:rsidP="00193751">
      <w:pPr>
        <w:autoSpaceDE w:val="0"/>
        <w:autoSpaceDN w:val="0"/>
        <w:adjustRightInd w:val="0"/>
        <w:rPr>
          <w:i/>
        </w:rPr>
      </w:pPr>
      <w:r w:rsidRPr="009448FC">
        <w:rPr>
          <w:i/>
        </w:rPr>
        <w:t xml:space="preserve">.11 </w:t>
      </w:r>
      <w:r w:rsidR="00193751" w:rsidRPr="009448FC">
        <w:rPr>
          <w:i/>
        </w:rPr>
        <w:t>Editor Note: Insert the following sub-section</w:t>
      </w:r>
    </w:p>
    <w:p w:rsidR="00193751" w:rsidRPr="009448FC" w:rsidRDefault="00193751" w:rsidP="00193751"/>
    <w:p w:rsidR="006815C5" w:rsidRPr="009448FC" w:rsidRDefault="006815C5" w:rsidP="003701DB">
      <w:pPr>
        <w:pStyle w:val="Heading4"/>
        <w:numPr>
          <w:ilvl w:val="3"/>
          <w:numId w:val="34"/>
        </w:numPr>
        <w:rPr>
          <w:rFonts w:ascii="Times New Roman" w:hAnsi="Times New Roman"/>
        </w:rPr>
      </w:pPr>
      <w:bookmarkStart w:id="2517" w:name="_Toc235400592"/>
      <w:bookmarkStart w:id="2518" w:name="_Toc259717239"/>
      <w:r w:rsidRPr="009448FC">
        <w:rPr>
          <w:rFonts w:ascii="Times New Roman" w:hAnsi="Times New Roman"/>
        </w:rPr>
        <w:t xml:space="preserve">Providing supported channels upon association in a </w:t>
      </w:r>
      <w:bookmarkEnd w:id="2517"/>
      <w:r w:rsidR="00911722" w:rsidRPr="009448FC">
        <w:rPr>
          <w:rFonts w:ascii="Times New Roman" w:hAnsi="Times New Roman"/>
        </w:rPr>
        <w:t xml:space="preserve">mmWave </w:t>
      </w:r>
      <w:r w:rsidR="00BF4301" w:rsidRPr="009448FC">
        <w:rPr>
          <w:rFonts w:ascii="Times New Roman" w:hAnsi="Times New Roman"/>
        </w:rPr>
        <w:t>BSS</w:t>
      </w:r>
      <w:bookmarkEnd w:id="2518"/>
    </w:p>
    <w:p w:rsidR="00C32EE1" w:rsidRPr="009448FC" w:rsidRDefault="00C32EE1" w:rsidP="00911722">
      <w:pPr>
        <w:autoSpaceDE w:val="0"/>
        <w:autoSpaceDN w:val="0"/>
        <w:adjustRightInd w:val="0"/>
        <w:jc w:val="both"/>
      </w:pPr>
      <w:r w:rsidRPr="009448FC">
        <w:t xml:space="preserve">A </w:t>
      </w:r>
      <w:r w:rsidR="00921C49" w:rsidRPr="009448FC">
        <w:t>PCP/</w:t>
      </w:r>
      <w:r w:rsidR="00655EA4" w:rsidRPr="009448FC">
        <w:t xml:space="preserve">AP </w:t>
      </w:r>
      <w:r w:rsidRPr="009448FC">
        <w:t xml:space="preserve">may advertise regulatory domain in which it is located via a Country </w:t>
      </w:r>
      <w:r w:rsidR="002827C0" w:rsidRPr="009448FC">
        <w:t>element</w:t>
      </w:r>
      <w:r w:rsidRPr="009448FC">
        <w:t xml:space="preserve"> in the </w:t>
      </w:r>
      <w:r w:rsidR="00911722" w:rsidRPr="009448FC">
        <w:t xml:space="preserve">mmWave Beacon or Announce </w:t>
      </w:r>
      <w:r w:rsidRPr="009448FC">
        <w:t>or Information Response frame if dot11MultiDomainCapabilityEnabled is true.</w:t>
      </w:r>
    </w:p>
    <w:p w:rsidR="00C32EE1" w:rsidRPr="009448FC" w:rsidRDefault="00C32EE1" w:rsidP="00C32EE1">
      <w:pPr>
        <w:autoSpaceDE w:val="0"/>
        <w:autoSpaceDN w:val="0"/>
        <w:adjustRightInd w:val="0"/>
        <w:jc w:val="both"/>
      </w:pPr>
    </w:p>
    <w:p w:rsidR="00C32EE1" w:rsidRPr="009448FC" w:rsidRDefault="00C32EE1" w:rsidP="00911722">
      <w:pPr>
        <w:autoSpaceDE w:val="0"/>
        <w:autoSpaceDN w:val="0"/>
        <w:adjustRightInd w:val="0"/>
        <w:jc w:val="both"/>
      </w:pPr>
      <w:r w:rsidRPr="009448FC">
        <w:t xml:space="preserve">A STA shall provide a </w:t>
      </w:r>
      <w:r w:rsidR="00921C49" w:rsidRPr="009448FC">
        <w:t>PCP/</w:t>
      </w:r>
      <w:r w:rsidR="00655EA4" w:rsidRPr="009448FC">
        <w:t xml:space="preserve">AP </w:t>
      </w:r>
      <w:r w:rsidRPr="009448FC">
        <w:t>with a list of the channels in which it can operate when associating or</w:t>
      </w:r>
      <w:r w:rsidR="00924F52" w:rsidRPr="009448FC">
        <w:t xml:space="preserve"> </w:t>
      </w:r>
      <w:r w:rsidRPr="009448FC">
        <w:t>reassociating using a Supported Channels element in Information Request, Association Request frames or Reassociation Request frames.</w:t>
      </w:r>
      <w:r w:rsidR="00FF0730" w:rsidRPr="009448FC">
        <w:t xml:space="preserve"> </w:t>
      </w:r>
      <w:r w:rsidRPr="009448FC">
        <w:t xml:space="preserve">A </w:t>
      </w:r>
      <w:r w:rsidR="00921C49" w:rsidRPr="009448FC">
        <w:t>PCP/</w:t>
      </w:r>
      <w:r w:rsidR="00655EA4" w:rsidRPr="009448FC">
        <w:t xml:space="preserve">AP </w:t>
      </w:r>
      <w:r w:rsidRPr="009448FC">
        <w:t xml:space="preserve">may use the supported channels list for associated </w:t>
      </w:r>
      <w:r w:rsidRPr="009448FC">
        <w:lastRenderedPageBreak/>
        <w:t xml:space="preserve">STAs as an input into an algorithm used to select a new channel for the </w:t>
      </w:r>
      <w:r w:rsidR="00BF4301" w:rsidRPr="009448FC">
        <w:t>BSS</w:t>
      </w:r>
      <w:r w:rsidR="00655EA4" w:rsidRPr="009448FC">
        <w:t>.</w:t>
      </w:r>
      <w:r w:rsidRPr="009448FC">
        <w:t xml:space="preserve"> The specification of the algorithm is beyond the scope of this </w:t>
      </w:r>
      <w:r w:rsidR="00281486" w:rsidRPr="009448FC">
        <w:t>specification</w:t>
      </w:r>
      <w:r w:rsidRPr="009448FC">
        <w:t>.</w:t>
      </w:r>
    </w:p>
    <w:p w:rsidR="00C32EE1" w:rsidRPr="009448FC" w:rsidRDefault="00C32EE1" w:rsidP="00C32EE1">
      <w:pPr>
        <w:autoSpaceDE w:val="0"/>
        <w:autoSpaceDN w:val="0"/>
        <w:adjustRightInd w:val="0"/>
        <w:jc w:val="both"/>
      </w:pPr>
    </w:p>
    <w:p w:rsidR="00C32EE1" w:rsidRPr="009448FC" w:rsidRDefault="00921C49" w:rsidP="001B1E6E">
      <w:pPr>
        <w:autoSpaceDE w:val="0"/>
        <w:autoSpaceDN w:val="0"/>
        <w:adjustRightInd w:val="0"/>
        <w:jc w:val="both"/>
      </w:pPr>
      <w:r w:rsidRPr="009448FC">
        <w:t>PCP/</w:t>
      </w:r>
      <w:r w:rsidR="00655EA4" w:rsidRPr="009448FC">
        <w:t xml:space="preserve">AP </w:t>
      </w:r>
      <w:r w:rsidR="00C32EE1" w:rsidRPr="009448FC">
        <w:t xml:space="preserve">may advertise the supported channels of associated STAs via </w:t>
      </w:r>
      <w:r w:rsidR="001B1E6E" w:rsidRPr="009448FC">
        <w:t>an Information Response frame with Target Address set to the broadcast address and a Supported Channels element with a list of all channels supported in the BSS</w:t>
      </w:r>
      <w:r w:rsidR="00655EA4" w:rsidRPr="009448FC">
        <w:t>.</w:t>
      </w:r>
      <w:r w:rsidR="001B1E6E" w:rsidRPr="009448FC">
        <w:t xml:space="preserve"> </w:t>
      </w:r>
    </w:p>
    <w:p w:rsidR="00C32EE1" w:rsidRPr="009448FC" w:rsidRDefault="00C32EE1" w:rsidP="00C32EE1">
      <w:pPr>
        <w:autoSpaceDE w:val="0"/>
        <w:autoSpaceDN w:val="0"/>
        <w:adjustRightInd w:val="0"/>
        <w:jc w:val="both"/>
        <w:rPr>
          <w:rFonts w:ascii="TimesNewRoman" w:hAnsi="TimesNewRoman"/>
          <w:sz w:val="22"/>
        </w:rPr>
      </w:pPr>
    </w:p>
    <w:p w:rsidR="00C32EE1" w:rsidRPr="009448FC" w:rsidRDefault="00C32EE1" w:rsidP="003701DB">
      <w:pPr>
        <w:pStyle w:val="Heading3"/>
        <w:numPr>
          <w:ilvl w:val="2"/>
          <w:numId w:val="34"/>
        </w:numPr>
        <w:rPr>
          <w:rFonts w:ascii="Times New Roman" w:hAnsi="Times New Roman"/>
        </w:rPr>
      </w:pPr>
      <w:bookmarkStart w:id="2519" w:name="_Toc235400593"/>
      <w:bookmarkStart w:id="2520" w:name="_Ref243986421"/>
      <w:bookmarkStart w:id="2521" w:name="_Toc259717240"/>
      <w:r w:rsidRPr="009448FC">
        <w:rPr>
          <w:rFonts w:ascii="Times New Roman" w:hAnsi="Times New Roman"/>
        </w:rPr>
        <w:t>Quieting channels for testing</w:t>
      </w:r>
      <w:bookmarkEnd w:id="2519"/>
      <w:bookmarkEnd w:id="2520"/>
      <w:bookmarkEnd w:id="2521"/>
      <w:r w:rsidRPr="009448FC">
        <w:rPr>
          <w:rFonts w:ascii="Times New Roman" w:hAnsi="Times New Roman"/>
        </w:rPr>
        <w:t xml:space="preserve"> </w:t>
      </w:r>
    </w:p>
    <w:p w:rsidR="00C32EE1" w:rsidRPr="009448FC" w:rsidRDefault="00C32EE1" w:rsidP="00C32EE1">
      <w:pPr>
        <w:autoSpaceDE w:val="0"/>
        <w:autoSpaceDN w:val="0"/>
        <w:adjustRightInd w:val="0"/>
        <w:jc w:val="both"/>
        <w:rPr>
          <w:rFonts w:ascii="Arial,Bold" w:hAnsi="Arial,Bold"/>
          <w:b/>
          <w:sz w:val="22"/>
        </w:rPr>
      </w:pPr>
    </w:p>
    <w:p w:rsidR="00C32EE1" w:rsidRPr="009448FC" w:rsidRDefault="00FB4EB4" w:rsidP="00C32EE1">
      <w:pPr>
        <w:autoSpaceDE w:val="0"/>
        <w:autoSpaceDN w:val="0"/>
        <w:adjustRightInd w:val="0"/>
        <w:jc w:val="both"/>
        <w:rPr>
          <w:i/>
        </w:rPr>
      </w:pPr>
      <w:r w:rsidRPr="009448FC">
        <w:rPr>
          <w:i/>
        </w:rPr>
        <w:t xml:space="preserve">.11 </w:t>
      </w:r>
      <w:r w:rsidR="00C32EE1" w:rsidRPr="009448FC">
        <w:rPr>
          <w:i/>
        </w:rPr>
        <w:t>Editor Note:</w:t>
      </w:r>
      <w:r w:rsidR="008A2761" w:rsidRPr="009448FC">
        <w:rPr>
          <w:i/>
        </w:rPr>
        <w:t xml:space="preserve"> Insert the following paragraph</w:t>
      </w:r>
      <w:r w:rsidR="00C32EE1" w:rsidRPr="009448FC">
        <w:rPr>
          <w:i/>
        </w:rPr>
        <w:t xml:space="preserve"> after the subsection title</w:t>
      </w:r>
    </w:p>
    <w:p w:rsidR="00C32EE1" w:rsidRPr="009448FC" w:rsidRDefault="00C32EE1" w:rsidP="00C32EE1">
      <w:pPr>
        <w:autoSpaceDE w:val="0"/>
        <w:autoSpaceDN w:val="0"/>
        <w:adjustRightInd w:val="0"/>
        <w:jc w:val="both"/>
        <w:rPr>
          <w:rFonts w:ascii="TimesNewRoman" w:hAnsi="TimesNewRoman"/>
          <w:sz w:val="22"/>
        </w:rPr>
      </w:pPr>
    </w:p>
    <w:p w:rsidR="00C32EE1" w:rsidRPr="009448FC" w:rsidRDefault="00C32EE1" w:rsidP="00911722">
      <w:pPr>
        <w:autoSpaceDE w:val="0"/>
        <w:autoSpaceDN w:val="0"/>
        <w:adjustRightInd w:val="0"/>
        <w:jc w:val="both"/>
      </w:pPr>
      <w:r w:rsidRPr="009448FC">
        <w:t xml:space="preserve">A </w:t>
      </w:r>
      <w:r w:rsidR="00921C49" w:rsidRPr="009448FC">
        <w:t>PCP/</w:t>
      </w:r>
      <w:r w:rsidR="00655EA4" w:rsidRPr="009448FC">
        <w:t xml:space="preserve">AP </w:t>
      </w:r>
      <w:r w:rsidRPr="009448FC">
        <w:t xml:space="preserve">in a </w:t>
      </w:r>
      <w:r w:rsidR="00921C49" w:rsidRPr="009448FC">
        <w:t>BSS</w:t>
      </w:r>
      <w:r w:rsidRPr="009448FC">
        <w:t xml:space="preserve"> may measure one or more channels itself or a </w:t>
      </w:r>
      <w:r w:rsidR="00921C49" w:rsidRPr="009448FC">
        <w:t>PCP/</w:t>
      </w:r>
      <w:r w:rsidR="00655EA4" w:rsidRPr="009448FC">
        <w:t xml:space="preserve">AP </w:t>
      </w:r>
      <w:r w:rsidRPr="009448FC">
        <w:t>may request associated non-PCP</w:t>
      </w:r>
      <w:r w:rsidR="00921C49" w:rsidRPr="009448FC">
        <w:t>/non-</w:t>
      </w:r>
      <w:r w:rsidR="00655EA4" w:rsidRPr="009448FC">
        <w:t xml:space="preserve">AP </w:t>
      </w:r>
      <w:r w:rsidRPr="009448FC">
        <w:t xml:space="preserve">STAs in the same </w:t>
      </w:r>
      <w:r w:rsidR="00921C49" w:rsidRPr="009448FC">
        <w:t>BSS</w:t>
      </w:r>
      <w:r w:rsidRPr="009448FC">
        <w:t xml:space="preserve"> to measure one or more channels, either in a dedicated measurement interval or during normal operation.</w:t>
      </w:r>
      <w:r w:rsidR="00281486" w:rsidRPr="009448FC">
        <w:t xml:space="preserve"> </w:t>
      </w:r>
      <w:r w:rsidRPr="009448FC">
        <w:t xml:space="preserve">A </w:t>
      </w:r>
      <w:r w:rsidR="00921C49" w:rsidRPr="009448FC">
        <w:t>PCP/</w:t>
      </w:r>
      <w:r w:rsidR="00655EA4" w:rsidRPr="009448FC">
        <w:t xml:space="preserve">AP </w:t>
      </w:r>
      <w:r w:rsidRPr="009448FC">
        <w:t>may schedule a service period allocated to itself to quite the associated STAs and use the self-allocated SP for measurement.</w:t>
      </w:r>
    </w:p>
    <w:p w:rsidR="00C32EE1" w:rsidRPr="009448FC" w:rsidRDefault="00C32EE1" w:rsidP="00C32EE1">
      <w:pPr>
        <w:autoSpaceDE w:val="0"/>
        <w:autoSpaceDN w:val="0"/>
        <w:adjustRightInd w:val="0"/>
        <w:jc w:val="both"/>
        <w:rPr>
          <w:rFonts w:ascii="Arial,Bold" w:hAnsi="Arial,Bold"/>
          <w:sz w:val="22"/>
        </w:rPr>
      </w:pPr>
    </w:p>
    <w:p w:rsidR="006815C5" w:rsidRPr="009448FC" w:rsidRDefault="006815C5" w:rsidP="003701DB">
      <w:pPr>
        <w:pStyle w:val="Heading3"/>
        <w:numPr>
          <w:ilvl w:val="2"/>
          <w:numId w:val="35"/>
        </w:numPr>
        <w:rPr>
          <w:rFonts w:ascii="Times New Roman" w:hAnsi="Times New Roman"/>
        </w:rPr>
      </w:pPr>
      <w:bookmarkStart w:id="2522" w:name="_Toc235400594"/>
      <w:bookmarkStart w:id="2523" w:name="_Ref243986471"/>
      <w:bookmarkStart w:id="2524" w:name="_Toc259717241"/>
      <w:r w:rsidRPr="009448FC">
        <w:rPr>
          <w:rFonts w:ascii="Times New Roman" w:hAnsi="Times New Roman"/>
        </w:rPr>
        <w:t>Requesting and reporting of measurements</w:t>
      </w:r>
      <w:bookmarkEnd w:id="2522"/>
      <w:bookmarkEnd w:id="2523"/>
      <w:bookmarkEnd w:id="2524"/>
      <w:r w:rsidRPr="009448FC">
        <w:rPr>
          <w:rFonts w:ascii="Times New Roman" w:hAnsi="Times New Roman"/>
        </w:rPr>
        <w:t xml:space="preserve"> </w:t>
      </w:r>
    </w:p>
    <w:p w:rsidR="00C32EE1" w:rsidRPr="009448FC" w:rsidRDefault="00C32EE1" w:rsidP="00C32EE1">
      <w:pPr>
        <w:autoSpaceDE w:val="0"/>
        <w:autoSpaceDN w:val="0"/>
        <w:adjustRightInd w:val="0"/>
        <w:jc w:val="both"/>
        <w:rPr>
          <w:rFonts w:ascii="Arial,Bold" w:hAnsi="Arial,Bold"/>
          <w:sz w:val="22"/>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Editor Note: Replace all occurrences of “</w:t>
      </w:r>
      <w:r w:rsidR="00C32EE1" w:rsidRPr="009448FC">
        <w:t>BSS or IBSS</w:t>
      </w:r>
      <w:r w:rsidR="00C32EE1" w:rsidRPr="009448FC">
        <w:rPr>
          <w:i/>
        </w:rPr>
        <w:t>” with “</w:t>
      </w:r>
      <w:r w:rsidR="00D17123">
        <w:t xml:space="preserve">infrastructure </w:t>
      </w:r>
      <w:r w:rsidR="00C32EE1" w:rsidRPr="009448FC">
        <w:t>BSS, IBSS, or PBSS</w:t>
      </w:r>
      <w:r w:rsidR="00C32EE1" w:rsidRPr="009448FC">
        <w:rPr>
          <w:i/>
        </w:rPr>
        <w:t>” in this sub- section.</w:t>
      </w:r>
    </w:p>
    <w:p w:rsidR="00C32EE1" w:rsidRPr="009448FC" w:rsidRDefault="00C32EE1" w:rsidP="00C32EE1">
      <w:pPr>
        <w:autoSpaceDE w:val="0"/>
        <w:autoSpaceDN w:val="0"/>
        <w:adjustRightInd w:val="0"/>
        <w:jc w:val="both"/>
        <w:rPr>
          <w:rFonts w:ascii="Arial,Bold" w:hAnsi="Arial,Bold"/>
          <w:sz w:val="26"/>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Editor Note: Replace all occurrences of “</w:t>
      </w:r>
      <w:r w:rsidR="00C32EE1" w:rsidRPr="009448FC">
        <w:t>AP</w:t>
      </w:r>
      <w:r w:rsidR="00C32EE1" w:rsidRPr="009448FC">
        <w:rPr>
          <w:i/>
        </w:rPr>
        <w:t>” with “</w:t>
      </w:r>
      <w:r w:rsidR="00C32EE1" w:rsidRPr="009448FC">
        <w:t>AP or PCP</w:t>
      </w:r>
      <w:r w:rsidR="00C32EE1" w:rsidRPr="009448FC">
        <w:rPr>
          <w:i/>
        </w:rPr>
        <w:t>” in this sub- section.</w:t>
      </w:r>
    </w:p>
    <w:p w:rsidR="00C32EE1" w:rsidRPr="009448FC" w:rsidRDefault="00C32EE1" w:rsidP="00C32EE1">
      <w:pPr>
        <w:autoSpaceDE w:val="0"/>
        <w:autoSpaceDN w:val="0"/>
        <w:adjustRightInd w:val="0"/>
        <w:rPr>
          <w:i/>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 xml:space="preserve">Editor Note: Append the following </w:t>
      </w:r>
      <w:r w:rsidR="00F0108A" w:rsidRPr="009448FC">
        <w:rPr>
          <w:i/>
        </w:rPr>
        <w:t xml:space="preserve">rows </w:t>
      </w:r>
      <w:r w:rsidR="00C32EE1" w:rsidRPr="009448FC">
        <w:rPr>
          <w:i/>
        </w:rPr>
        <w:t>to Table 11-8—Allowed Measurement Requests.</w:t>
      </w:r>
    </w:p>
    <w:p w:rsidR="00C32EE1" w:rsidRPr="009448FC" w:rsidRDefault="00C32EE1" w:rsidP="00C32EE1">
      <w:pPr>
        <w:autoSpaceDE w:val="0"/>
        <w:autoSpaceDN w:val="0"/>
        <w:adjustRightInd w:val="0"/>
        <w:jc w:val="both"/>
        <w:rPr>
          <w:rFonts w:ascii="Arial,Bold" w:hAnsi="Arial,Bold"/>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2529"/>
        <w:gridCol w:w="2529"/>
        <w:gridCol w:w="2529"/>
      </w:tblGrid>
      <w:tr w:rsidR="00D0037C" w:rsidRPr="00066F65" w:rsidTr="00D0037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Service set</w:t>
            </w:r>
          </w:p>
        </w:t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Source of request</w:t>
            </w:r>
          </w:p>
        </w:t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Destination of request</w:t>
            </w:r>
          </w:p>
        </w:t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Type of measurement request allowed</w:t>
            </w:r>
          </w:p>
        </w:tc>
      </w:tr>
      <w:tr w:rsidR="00D0037C" w:rsidRPr="00066F65" w:rsidTr="00D0037C">
        <w:tc>
          <w:tcPr>
            <w:tcW w:w="2529" w:type="dxa"/>
            <w:vMerge w:val="restart"/>
          </w:tcPr>
          <w:p w:rsidR="00C32EE1" w:rsidRPr="009448FC" w:rsidRDefault="00C32EE1" w:rsidP="00D0037C">
            <w:pPr>
              <w:autoSpaceDE w:val="0"/>
              <w:autoSpaceDN w:val="0"/>
              <w:adjustRightInd w:val="0"/>
              <w:jc w:val="both"/>
              <w:rPr>
                <w:rFonts w:eastAsia="SimSun"/>
                <w:sz w:val="22"/>
              </w:rPr>
            </w:pPr>
            <w:r w:rsidRPr="009448FC">
              <w:rPr>
                <w:rFonts w:eastAsia="SimSun"/>
                <w:sz w:val="22"/>
              </w:rPr>
              <w:t>PBSS</w:t>
            </w:r>
            <w:r w:rsidR="00921C49" w:rsidRPr="009448FC">
              <w:rPr>
                <w:rFonts w:eastAsia="SimSun"/>
                <w:sz w:val="22"/>
              </w:rPr>
              <w:t>/BSS</w:t>
            </w:r>
          </w:p>
        </w:tc>
        <w:tc>
          <w:tcPr>
            <w:tcW w:w="2529" w:type="dxa"/>
          </w:tcPr>
          <w:p w:rsidR="00C32EE1" w:rsidRPr="009448FC" w:rsidRDefault="00921C49" w:rsidP="00D0037C">
            <w:pPr>
              <w:autoSpaceDE w:val="0"/>
              <w:autoSpaceDN w:val="0"/>
              <w:adjustRightInd w:val="0"/>
              <w:jc w:val="center"/>
              <w:rPr>
                <w:rFonts w:eastAsia="SimSun"/>
                <w:sz w:val="22"/>
              </w:rPr>
            </w:pPr>
            <w:r w:rsidRPr="009448FC">
              <w:rPr>
                <w:rFonts w:eastAsia="SimSun"/>
                <w:sz w:val="22"/>
              </w:rPr>
              <w:t>PCP/</w:t>
            </w:r>
            <w:r w:rsidR="00655EA4" w:rsidRPr="009448FC">
              <w:rPr>
                <w:rFonts w:eastAsia="SimSun"/>
                <w:sz w:val="22"/>
              </w:rPr>
              <w:t xml:space="preserve">AP </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Individual or group</w:t>
            </w:r>
          </w:p>
        </w:tc>
      </w:tr>
      <w:tr w:rsidR="00D0037C" w:rsidRPr="00066F65" w:rsidTr="00D0037C">
        <w:tc>
          <w:tcPr>
            <w:tcW w:w="2529" w:type="dxa"/>
            <w:vMerge/>
          </w:tcPr>
          <w:p w:rsidR="00C32EE1" w:rsidRPr="009448FC" w:rsidRDefault="00C32EE1" w:rsidP="00D0037C">
            <w:pPr>
              <w:autoSpaceDE w:val="0"/>
              <w:autoSpaceDN w:val="0"/>
              <w:adjustRightInd w:val="0"/>
              <w:jc w:val="both"/>
              <w:rPr>
                <w:rFonts w:eastAsia="SimSun"/>
                <w:sz w:val="22"/>
              </w:rPr>
            </w:pP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921C49" w:rsidP="00D0037C">
            <w:pPr>
              <w:autoSpaceDE w:val="0"/>
              <w:autoSpaceDN w:val="0"/>
              <w:adjustRightInd w:val="0"/>
              <w:jc w:val="center"/>
              <w:rPr>
                <w:rFonts w:eastAsia="SimSun"/>
                <w:sz w:val="22"/>
              </w:rPr>
            </w:pPr>
            <w:r w:rsidRPr="009448FC">
              <w:rPr>
                <w:rFonts w:eastAsia="SimSun"/>
                <w:sz w:val="22"/>
              </w:rPr>
              <w:t>PCP/</w:t>
            </w:r>
            <w:r w:rsidR="00655EA4" w:rsidRPr="009448FC">
              <w:rPr>
                <w:rFonts w:eastAsia="SimSun"/>
                <w:sz w:val="22"/>
              </w:rPr>
              <w:t xml:space="preserve">AP </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Individual</w:t>
            </w:r>
          </w:p>
        </w:tc>
      </w:tr>
      <w:tr w:rsidR="00D0037C" w:rsidRPr="00066F65" w:rsidTr="00D0037C">
        <w:tc>
          <w:tcPr>
            <w:tcW w:w="2529" w:type="dxa"/>
            <w:vMerge/>
          </w:tcPr>
          <w:p w:rsidR="00C32EE1" w:rsidRPr="009448FC" w:rsidRDefault="00C32EE1" w:rsidP="00D0037C">
            <w:pPr>
              <w:autoSpaceDE w:val="0"/>
              <w:autoSpaceDN w:val="0"/>
              <w:adjustRightInd w:val="0"/>
              <w:jc w:val="both"/>
              <w:rPr>
                <w:rFonts w:eastAsia="SimSun"/>
                <w:sz w:val="22"/>
              </w:rPr>
            </w:pP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None</w:t>
            </w:r>
          </w:p>
        </w:tc>
      </w:tr>
    </w:tbl>
    <w:p w:rsidR="00C32EE1" w:rsidRPr="009448FC" w:rsidRDefault="00C32EE1" w:rsidP="00C32EE1">
      <w:pPr>
        <w:autoSpaceDE w:val="0"/>
        <w:autoSpaceDN w:val="0"/>
        <w:adjustRightInd w:val="0"/>
        <w:jc w:val="both"/>
        <w:rPr>
          <w:sz w:val="22"/>
        </w:rPr>
      </w:pPr>
    </w:p>
    <w:p w:rsidR="00C32EE1" w:rsidRPr="009448FC" w:rsidRDefault="00FB4EB4" w:rsidP="00C32EE1">
      <w:pPr>
        <w:autoSpaceDE w:val="0"/>
        <w:autoSpaceDN w:val="0"/>
        <w:adjustRightInd w:val="0"/>
        <w:jc w:val="both"/>
        <w:rPr>
          <w:i/>
        </w:rPr>
      </w:pPr>
      <w:r w:rsidRPr="009448FC">
        <w:rPr>
          <w:i/>
        </w:rPr>
        <w:t xml:space="preserve">.11 </w:t>
      </w:r>
      <w:r w:rsidR="00C32EE1" w:rsidRPr="009448FC">
        <w:rPr>
          <w:i/>
        </w:rPr>
        <w:t>Editor Note: Insert the following sentence at the end of the section 11.9.6</w:t>
      </w:r>
    </w:p>
    <w:p w:rsidR="00C32EE1" w:rsidRPr="009448FC" w:rsidRDefault="00D9128A" w:rsidP="00D9128A">
      <w:pPr>
        <w:tabs>
          <w:tab w:val="left" w:pos="3015"/>
        </w:tabs>
        <w:autoSpaceDE w:val="0"/>
        <w:autoSpaceDN w:val="0"/>
        <w:adjustRightInd w:val="0"/>
        <w:jc w:val="both"/>
        <w:rPr>
          <w:sz w:val="22"/>
        </w:rPr>
      </w:pPr>
      <w:r w:rsidRPr="009448FC">
        <w:rPr>
          <w:sz w:val="22"/>
        </w:rPr>
        <w:tab/>
      </w:r>
    </w:p>
    <w:p w:rsidR="00C32EE1" w:rsidRPr="009448FC" w:rsidRDefault="00C32EE1" w:rsidP="00BF5AEF">
      <w:pPr>
        <w:autoSpaceDE w:val="0"/>
        <w:autoSpaceDN w:val="0"/>
        <w:adjustRightInd w:val="0"/>
        <w:jc w:val="both"/>
        <w:rPr>
          <w:sz w:val="22"/>
        </w:rPr>
      </w:pPr>
      <w:r w:rsidRPr="009448FC">
        <w:t xml:space="preserve">The measurement request and report procedures can follow relevant procedures defined in section </w:t>
      </w:r>
      <w:r w:rsidR="00BD151C">
        <w:fldChar w:fldCharType="begin"/>
      </w:r>
      <w:r w:rsidR="00BF5AEF">
        <w:instrText xml:space="preserve"> REF _Ref243986543 \r \h </w:instrText>
      </w:r>
      <w:r w:rsidR="00BD151C">
        <w:fldChar w:fldCharType="separate"/>
      </w:r>
      <w:r w:rsidR="003E4210">
        <w:t>11.10</w:t>
      </w:r>
      <w:r w:rsidR="00BD151C">
        <w:fldChar w:fldCharType="end"/>
      </w:r>
      <w:r w:rsidRPr="009448FC">
        <w:rPr>
          <w:sz w:val="22"/>
        </w:rPr>
        <w:t>.</w:t>
      </w:r>
    </w:p>
    <w:p w:rsidR="00C32EE1" w:rsidRPr="009448FC" w:rsidRDefault="00C32EE1" w:rsidP="00C32EE1">
      <w:pPr>
        <w:autoSpaceDE w:val="0"/>
        <w:autoSpaceDN w:val="0"/>
        <w:adjustRightInd w:val="0"/>
        <w:jc w:val="both"/>
        <w:rPr>
          <w:rFonts w:ascii="TimesNewRoman" w:hAnsi="TimesNewRoman"/>
          <w:sz w:val="22"/>
        </w:rPr>
      </w:pPr>
    </w:p>
    <w:p w:rsidR="00015D53" w:rsidRPr="009448FC" w:rsidRDefault="00015D53" w:rsidP="003701DB">
      <w:pPr>
        <w:pStyle w:val="Heading3"/>
        <w:numPr>
          <w:ilvl w:val="2"/>
          <w:numId w:val="35"/>
        </w:numPr>
      </w:pPr>
      <w:bookmarkStart w:id="2525" w:name="_Ref243986501"/>
      <w:bookmarkStart w:id="2526" w:name="_Toc259717242"/>
      <w:r w:rsidRPr="009448FC">
        <w:t>Selecting and advertising a new channel in an infrastructure BSS</w:t>
      </w:r>
      <w:bookmarkEnd w:id="2525"/>
      <w:bookmarkEnd w:id="2526"/>
    </w:p>
    <w:p w:rsidR="00015D53" w:rsidRPr="009448FC" w:rsidRDefault="00015D53" w:rsidP="00C32EE1">
      <w:pPr>
        <w:autoSpaceDE w:val="0"/>
        <w:autoSpaceDN w:val="0"/>
        <w:adjustRightInd w:val="0"/>
        <w:jc w:val="both"/>
        <w:rPr>
          <w:rFonts w:ascii="TimesNewRoman" w:hAnsi="TimesNewRoman"/>
          <w:sz w:val="22"/>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Editor Note: Insert the following sub</w:t>
      </w:r>
      <w:r w:rsidR="008D5466" w:rsidRPr="009448FC">
        <w:rPr>
          <w:i/>
        </w:rPr>
        <w:t>clause</w:t>
      </w:r>
      <w:r w:rsidR="00C32EE1" w:rsidRPr="009448FC">
        <w:rPr>
          <w:i/>
        </w:rPr>
        <w:t xml:space="preserve"> after section 11.9.7.2</w:t>
      </w:r>
    </w:p>
    <w:p w:rsidR="00C32EE1" w:rsidRPr="009448FC" w:rsidRDefault="00C32EE1" w:rsidP="00C32EE1">
      <w:pPr>
        <w:autoSpaceDE w:val="0"/>
        <w:autoSpaceDN w:val="0"/>
        <w:adjustRightInd w:val="0"/>
        <w:jc w:val="both"/>
        <w:rPr>
          <w:rFonts w:ascii="TimesNewRoman" w:hAnsi="TimesNewRoman"/>
          <w:sz w:val="22"/>
        </w:rPr>
      </w:pPr>
    </w:p>
    <w:p w:rsidR="006048E2" w:rsidRPr="009448FC" w:rsidRDefault="006048E2" w:rsidP="003701DB">
      <w:pPr>
        <w:pStyle w:val="Heading4"/>
        <w:numPr>
          <w:ilvl w:val="3"/>
          <w:numId w:val="36"/>
        </w:numPr>
        <w:rPr>
          <w:rFonts w:ascii="Times New Roman" w:hAnsi="Times New Roman"/>
        </w:rPr>
      </w:pPr>
      <w:bookmarkStart w:id="2527" w:name="_Toc235400595"/>
      <w:bookmarkStart w:id="2528" w:name="_Toc259717243"/>
      <w:r w:rsidRPr="009448FC">
        <w:rPr>
          <w:rFonts w:ascii="Times New Roman" w:hAnsi="Times New Roman"/>
        </w:rPr>
        <w:t xml:space="preserve">Selecting and advertising a new channel in a </w:t>
      </w:r>
      <w:bookmarkEnd w:id="2527"/>
      <w:r w:rsidR="00911722" w:rsidRPr="009448FC">
        <w:rPr>
          <w:rFonts w:ascii="Times New Roman" w:hAnsi="Times New Roman"/>
        </w:rPr>
        <w:t xml:space="preserve">mmWave </w:t>
      </w:r>
      <w:r w:rsidR="00BF4301" w:rsidRPr="009448FC">
        <w:rPr>
          <w:rFonts w:ascii="Times New Roman" w:hAnsi="Times New Roman"/>
        </w:rPr>
        <w:t>BSS</w:t>
      </w:r>
      <w:bookmarkEnd w:id="2528"/>
    </w:p>
    <w:p w:rsidR="00C32EE1" w:rsidRPr="009448FC" w:rsidRDefault="00C32EE1" w:rsidP="00911722">
      <w:pPr>
        <w:autoSpaceDE w:val="0"/>
        <w:autoSpaceDN w:val="0"/>
        <w:adjustRightInd w:val="0"/>
      </w:pPr>
      <w:r w:rsidRPr="009448FC">
        <w:t xml:space="preserve">The decision to switch to a new operating channel in a </w:t>
      </w:r>
      <w:r w:rsidR="007B21D7" w:rsidRPr="009448FC">
        <w:t xml:space="preserve">BSS </w:t>
      </w:r>
      <w:r w:rsidRPr="009448FC">
        <w:t xml:space="preserve">shall be made only by the </w:t>
      </w:r>
      <w:r w:rsidR="00921C49" w:rsidRPr="009448FC">
        <w:t>PCP/</w:t>
      </w:r>
      <w:r w:rsidR="00655EA4" w:rsidRPr="009448FC">
        <w:t>AP.</w:t>
      </w:r>
      <w:r w:rsidRPr="009448FC">
        <w:t xml:space="preserve"> A</w:t>
      </w:r>
      <w:r w:rsidR="00442843" w:rsidRPr="009448FC">
        <w:t xml:space="preserve"> </w:t>
      </w:r>
      <w:r w:rsidR="00921C49" w:rsidRPr="009448FC">
        <w:t>PCP/</w:t>
      </w:r>
      <w:r w:rsidR="00655EA4" w:rsidRPr="009448FC">
        <w:t xml:space="preserve">AP </w:t>
      </w:r>
      <w:r w:rsidRPr="009448FC">
        <w:t xml:space="preserve">may make use of the information in Supported Channel elements and the results of measurements undertaken by the </w:t>
      </w:r>
      <w:r w:rsidR="00921C49" w:rsidRPr="009448FC">
        <w:t>PCP/</w:t>
      </w:r>
      <w:r w:rsidR="00655EA4" w:rsidRPr="009448FC">
        <w:t xml:space="preserve">AP </w:t>
      </w:r>
      <w:r w:rsidRPr="009448FC">
        <w:t xml:space="preserve">and other STAs in the </w:t>
      </w:r>
      <w:r w:rsidR="009C490F" w:rsidRPr="009448FC">
        <w:t xml:space="preserve">BSS </w:t>
      </w:r>
      <w:r w:rsidRPr="009448FC">
        <w:t xml:space="preserve">to assist the selection of the new </w:t>
      </w:r>
      <w:r w:rsidRPr="009448FC">
        <w:lastRenderedPageBreak/>
        <w:t xml:space="preserve">channel. The algorithm to choose a new channel is beyond the scope of this </w:t>
      </w:r>
      <w:r w:rsidR="00FF0730" w:rsidRPr="009448FC">
        <w:t>specification</w:t>
      </w:r>
      <w:r w:rsidRPr="009448FC">
        <w:t>, but shall satisfy applicable regulatory requirements.</w:t>
      </w:r>
    </w:p>
    <w:p w:rsidR="00C32EE1" w:rsidRPr="009448FC" w:rsidRDefault="00C32EE1" w:rsidP="00E45209">
      <w:pPr>
        <w:autoSpaceDE w:val="0"/>
        <w:autoSpaceDN w:val="0"/>
        <w:adjustRightInd w:val="0"/>
      </w:pPr>
    </w:p>
    <w:p w:rsidR="00C32EE1" w:rsidRPr="009448FC" w:rsidRDefault="00C32EE1" w:rsidP="00946647">
      <w:pPr>
        <w:autoSpaceDE w:val="0"/>
        <w:autoSpaceDN w:val="0"/>
        <w:adjustRightInd w:val="0"/>
      </w:pPr>
      <w:r w:rsidRPr="009448FC">
        <w:t xml:space="preserve">A </w:t>
      </w:r>
      <w:r w:rsidR="00921C49" w:rsidRPr="009448FC">
        <w:t>PCP/</w:t>
      </w:r>
      <w:r w:rsidR="00655EA4" w:rsidRPr="009448FC">
        <w:t xml:space="preserve">AP </w:t>
      </w:r>
      <w:r w:rsidRPr="009448FC">
        <w:t xml:space="preserve">shall inform associated STAs that the </w:t>
      </w:r>
      <w:r w:rsidR="00921C49" w:rsidRPr="009448FC">
        <w:t>PCP/</w:t>
      </w:r>
      <w:r w:rsidR="00655EA4" w:rsidRPr="009448FC">
        <w:t xml:space="preserve">AP </w:t>
      </w:r>
      <w:r w:rsidRPr="009448FC">
        <w:t xml:space="preserve">is moving to a new channel and maintain the association by advertising the switch using </w:t>
      </w:r>
      <w:r w:rsidR="00436C23" w:rsidRPr="009448FC">
        <w:t xml:space="preserve">the </w:t>
      </w:r>
      <w:r w:rsidRPr="009448FC">
        <w:t>Extended Chan</w:t>
      </w:r>
      <w:r w:rsidR="00436C23" w:rsidRPr="009448FC">
        <w:t>nel Switch Announcement element</w:t>
      </w:r>
      <w:r w:rsidRPr="009448FC">
        <w:t xml:space="preserve"> in </w:t>
      </w:r>
      <w:r w:rsidR="00946647" w:rsidRPr="009448FC">
        <w:t xml:space="preserve">mmWave </w:t>
      </w:r>
      <w:r w:rsidRPr="009448FC">
        <w:t>Beacon frames, Announce frames, Information Response frames, and Channel Switch Announcement frames until the intended channel switch time.</w:t>
      </w:r>
      <w:r w:rsidR="00281486" w:rsidRPr="009448FC">
        <w:t xml:space="preserve"> </w:t>
      </w:r>
      <w:r w:rsidRPr="009448FC">
        <w:t>The channel switch should be scheduled so that all non-PCP</w:t>
      </w:r>
      <w:r w:rsidR="00921C49" w:rsidRPr="009448FC">
        <w:t>/non-</w:t>
      </w:r>
      <w:r w:rsidR="00655EA4" w:rsidRPr="009448FC">
        <w:t xml:space="preserve">AP </w:t>
      </w:r>
      <w:r w:rsidRPr="009448FC">
        <w:t xml:space="preserve">STAs in the </w:t>
      </w:r>
      <w:r w:rsidR="00BF4301" w:rsidRPr="009448FC">
        <w:t>BSS</w:t>
      </w:r>
      <w:r w:rsidR="00655EA4" w:rsidRPr="009448FC">
        <w:t>,</w:t>
      </w:r>
      <w:r w:rsidRPr="009448FC">
        <w:t xml:space="preserve"> including STAs in power save mode, have the opportunity to receive at least one Extended Channel Switch Announcement element before the switch.</w:t>
      </w:r>
      <w:r w:rsidR="00281486" w:rsidRPr="009448FC">
        <w:t xml:space="preserve"> </w:t>
      </w:r>
      <w:r w:rsidRPr="009448FC">
        <w:t xml:space="preserve">In a </w:t>
      </w:r>
      <w:r w:rsidR="00BF4301" w:rsidRPr="009448FC">
        <w:t>BSS</w:t>
      </w:r>
      <w:r w:rsidR="00655EA4" w:rsidRPr="009448FC">
        <w:t>,</w:t>
      </w:r>
      <w:r w:rsidRPr="009448FC">
        <w:t xml:space="preserve"> a STA may ignore the Channel Switch Mode field.</w:t>
      </w:r>
    </w:p>
    <w:p w:rsidR="00C32EE1" w:rsidRPr="009448FC" w:rsidRDefault="00C32EE1" w:rsidP="00E45209">
      <w:pPr>
        <w:autoSpaceDE w:val="0"/>
        <w:autoSpaceDN w:val="0"/>
        <w:adjustRightInd w:val="0"/>
      </w:pPr>
    </w:p>
    <w:p w:rsidR="00D92A1D" w:rsidRPr="009448FC" w:rsidRDefault="00C32EE1" w:rsidP="00946647">
      <w:pPr>
        <w:autoSpaceDE w:val="0"/>
        <w:autoSpaceDN w:val="0"/>
        <w:adjustRightInd w:val="0"/>
      </w:pPr>
      <w:r w:rsidRPr="009448FC">
        <w:t xml:space="preserve">A STA that receives an Extended Channel Switch Announcement element may choose not to perform the specified switch, but to take alternative action. For example, it may choose to move to a different </w:t>
      </w:r>
      <w:r w:rsidR="00BF4301" w:rsidRPr="009448FC">
        <w:t>BSS</w:t>
      </w:r>
      <w:r w:rsidR="00655EA4" w:rsidRPr="009448FC">
        <w:t>.</w:t>
      </w:r>
      <w:r w:rsidR="00EE1100" w:rsidRPr="009448FC">
        <w:t xml:space="preserve"> </w:t>
      </w:r>
      <w:r w:rsidRPr="009448FC">
        <w:t>A non-PCP</w:t>
      </w:r>
      <w:r w:rsidR="00921C49" w:rsidRPr="009448FC">
        <w:t>/non-</w:t>
      </w:r>
      <w:r w:rsidR="00655EA4" w:rsidRPr="009448FC">
        <w:t xml:space="preserve">AP </w:t>
      </w:r>
      <w:r w:rsidRPr="009448FC">
        <w:t xml:space="preserve">STA in a </w:t>
      </w:r>
      <w:r w:rsidR="00E45209" w:rsidRPr="009448FC">
        <w:t xml:space="preserve">BSS </w:t>
      </w:r>
      <w:r w:rsidRPr="009448FC">
        <w:t>shall not transmit the Extended Channel Switch Announcement element.</w:t>
      </w:r>
    </w:p>
    <w:p w:rsidR="00D92A1D" w:rsidRPr="009448FC" w:rsidRDefault="00D92A1D" w:rsidP="00E45209">
      <w:pPr>
        <w:rPr>
          <w:b/>
          <w:i/>
        </w:rPr>
      </w:pPr>
    </w:p>
    <w:p w:rsidR="002A2EC2" w:rsidRPr="009448FC" w:rsidRDefault="002A2EC2" w:rsidP="003701DB">
      <w:pPr>
        <w:pStyle w:val="Heading2"/>
        <w:numPr>
          <w:ilvl w:val="1"/>
          <w:numId w:val="20"/>
        </w:numPr>
        <w:rPr>
          <w:rFonts w:ascii="Times New Roman" w:hAnsi="Times New Roman"/>
          <w:u w:val="none"/>
        </w:rPr>
      </w:pPr>
      <w:bookmarkStart w:id="2529" w:name="_Ref243986543"/>
      <w:bookmarkStart w:id="2530" w:name="_Ref243987780"/>
      <w:bookmarkStart w:id="2531" w:name="_Toc259717244"/>
      <w:r w:rsidRPr="009448FC">
        <w:rPr>
          <w:rFonts w:ascii="Times New Roman" w:hAnsi="Times New Roman"/>
          <w:u w:val="none"/>
        </w:rPr>
        <w:t>Radio measurement procedures</w:t>
      </w:r>
      <w:bookmarkEnd w:id="2529"/>
      <w:bookmarkEnd w:id="2530"/>
      <w:bookmarkEnd w:id="2531"/>
    </w:p>
    <w:p w:rsidR="002A2EC2" w:rsidRPr="009448FC" w:rsidRDefault="002A2EC2" w:rsidP="00E45209"/>
    <w:p w:rsidR="002A2EC2" w:rsidRPr="009448FC" w:rsidRDefault="00EE13DB" w:rsidP="003701DB">
      <w:pPr>
        <w:pStyle w:val="Heading3"/>
        <w:numPr>
          <w:ilvl w:val="2"/>
          <w:numId w:val="90"/>
        </w:numPr>
        <w:rPr>
          <w:rFonts w:ascii="Times New Roman" w:hAnsi="Times New Roman"/>
        </w:rPr>
      </w:pPr>
      <w:bookmarkStart w:id="2532" w:name="_Ref243797559"/>
      <w:bookmarkStart w:id="2533" w:name="_Toc259717245"/>
      <w:r w:rsidRPr="009448FC">
        <w:rPr>
          <w:rFonts w:ascii="Times New Roman" w:hAnsi="Times New Roman"/>
        </w:rPr>
        <w:t>Multiple BSSID set</w:t>
      </w:r>
      <w:bookmarkEnd w:id="2532"/>
      <w:bookmarkEnd w:id="2533"/>
      <w:r w:rsidR="002A2EC2" w:rsidRPr="009448FC">
        <w:rPr>
          <w:rFonts w:ascii="Times New Roman" w:hAnsi="Times New Roman"/>
        </w:rPr>
        <w:t xml:space="preserve"> </w:t>
      </w:r>
    </w:p>
    <w:p w:rsidR="002A2EC2" w:rsidRPr="009448FC" w:rsidRDefault="002A2EC2" w:rsidP="00E45209"/>
    <w:p w:rsidR="00EE13DB" w:rsidRPr="009448FC" w:rsidRDefault="00EE13DB" w:rsidP="00EE13DB">
      <w:pPr>
        <w:jc w:val="both"/>
        <w:outlineLvl w:val="0"/>
        <w:rPr>
          <w:i/>
        </w:rPr>
      </w:pPr>
      <w:r w:rsidRPr="009448FC">
        <w:rPr>
          <w:i/>
        </w:rPr>
        <w:t>.11 Editor Instruction: throughout this subclause in 802.11-2007+amendments, change all occurrences of “</w:t>
      </w:r>
      <w:r w:rsidRPr="009448FC">
        <w:t>Beacon</w:t>
      </w:r>
      <w:r w:rsidRPr="009448FC">
        <w:rPr>
          <w:i/>
        </w:rPr>
        <w:t>” to “</w:t>
      </w:r>
      <w:r w:rsidRPr="009448FC">
        <w:t>Beacon/mmWave Beacon</w:t>
      </w:r>
      <w:r w:rsidRPr="009448FC">
        <w:rPr>
          <w:i/>
        </w:rPr>
        <w:t>”</w:t>
      </w:r>
    </w:p>
    <w:p w:rsidR="00EE13DB" w:rsidRPr="009448FC" w:rsidRDefault="00EE13DB" w:rsidP="00E45209"/>
    <w:p w:rsidR="004B0F55" w:rsidRPr="009448FC" w:rsidRDefault="004B0F55" w:rsidP="003701DB">
      <w:pPr>
        <w:pStyle w:val="Heading2"/>
        <w:numPr>
          <w:ilvl w:val="1"/>
          <w:numId w:val="106"/>
        </w:numPr>
        <w:rPr>
          <w:rFonts w:ascii="Times New Roman" w:hAnsi="Times New Roman"/>
          <w:u w:val="none"/>
        </w:rPr>
      </w:pPr>
      <w:bookmarkStart w:id="2534" w:name="_Toc259717246"/>
      <w:r w:rsidRPr="009448FC">
        <w:rPr>
          <w:rFonts w:ascii="Times New Roman" w:hAnsi="Times New Roman"/>
          <w:u w:val="none"/>
        </w:rPr>
        <w:t>Wireless network management procedures</w:t>
      </w:r>
      <w:bookmarkEnd w:id="2534"/>
    </w:p>
    <w:p w:rsidR="004B0F55" w:rsidRPr="009448FC" w:rsidRDefault="004B0F55" w:rsidP="00E45209"/>
    <w:p w:rsidR="0015604B" w:rsidRPr="009448FC" w:rsidRDefault="008E37F6" w:rsidP="003701DB">
      <w:pPr>
        <w:pStyle w:val="Heading3"/>
        <w:numPr>
          <w:ilvl w:val="2"/>
          <w:numId w:val="103"/>
        </w:numPr>
      </w:pPr>
      <w:bookmarkStart w:id="2535" w:name="_Toc259717247"/>
      <w:r w:rsidRPr="009448FC">
        <w:t>DMS Procedures</w:t>
      </w:r>
      <w:bookmarkEnd w:id="2535"/>
    </w:p>
    <w:p w:rsidR="0015604B" w:rsidRPr="009448FC" w:rsidRDefault="0015604B" w:rsidP="0015604B"/>
    <w:p w:rsidR="0015604B" w:rsidRPr="009448FC" w:rsidRDefault="0015604B" w:rsidP="00746D1D">
      <w:pPr>
        <w:rPr>
          <w:i/>
        </w:rPr>
      </w:pPr>
      <w:r w:rsidRPr="009448FC">
        <w:rPr>
          <w:i/>
        </w:rPr>
        <w:t xml:space="preserve">.11 Editor Note: replace all </w:t>
      </w:r>
      <w:r w:rsidR="00746D1D" w:rsidRPr="009448FC">
        <w:rPr>
          <w:i/>
        </w:rPr>
        <w:t>occurrences</w:t>
      </w:r>
      <w:r w:rsidRPr="009448FC">
        <w:rPr>
          <w:i/>
        </w:rPr>
        <w:t xml:space="preserve"> of the word “</w:t>
      </w:r>
      <w:r w:rsidRPr="009448FC">
        <w:t>AP</w:t>
      </w:r>
      <w:r w:rsidRPr="009448FC">
        <w:rPr>
          <w:i/>
        </w:rPr>
        <w:t>” by “</w:t>
      </w:r>
      <w:r w:rsidRPr="009448FC">
        <w:t xml:space="preserve">AP or non-AP </w:t>
      </w:r>
      <w:r w:rsidR="00B96FB9" w:rsidRPr="009448FC">
        <w:t>mSTA</w:t>
      </w:r>
      <w:r w:rsidRPr="009448FC">
        <w:rPr>
          <w:i/>
        </w:rPr>
        <w:t>”.</w:t>
      </w:r>
    </w:p>
    <w:p w:rsidR="0015604B" w:rsidRPr="009448FC" w:rsidRDefault="0015604B" w:rsidP="0015604B">
      <w:pPr>
        <w:outlineLvl w:val="0"/>
        <w:rPr>
          <w:i/>
        </w:rPr>
      </w:pPr>
    </w:p>
    <w:p w:rsidR="0015604B" w:rsidRPr="009448FC" w:rsidRDefault="00746D1D" w:rsidP="0015604B">
      <w:pPr>
        <w:outlineLvl w:val="0"/>
        <w:rPr>
          <w:i/>
        </w:rPr>
      </w:pPr>
      <w:r w:rsidRPr="009448FC">
        <w:rPr>
          <w:i/>
        </w:rPr>
        <w:t xml:space="preserve">.11 Editor Note: </w:t>
      </w:r>
      <w:r w:rsidR="0015604B" w:rsidRPr="009448FC">
        <w:rPr>
          <w:i/>
        </w:rPr>
        <w:t>Add new paragraph after first paragraph in th</w:t>
      </w:r>
      <w:r w:rsidRPr="009448FC">
        <w:rPr>
          <w:i/>
        </w:rPr>
        <w:t>is</w:t>
      </w:r>
      <w:r w:rsidR="0015604B" w:rsidRPr="009448FC">
        <w:rPr>
          <w:i/>
        </w:rPr>
        <w:t xml:space="preserve"> subclause as follows: </w:t>
      </w:r>
    </w:p>
    <w:p w:rsidR="0015604B" w:rsidRPr="009448FC" w:rsidRDefault="0015604B" w:rsidP="0015604B">
      <w:pPr>
        <w:rPr>
          <w:b/>
          <w:i/>
        </w:rPr>
      </w:pPr>
    </w:p>
    <w:p w:rsidR="0015604B" w:rsidRPr="009448FC" w:rsidRDefault="0015604B" w:rsidP="0015604B">
      <w:r w:rsidRPr="009448FC">
        <w:t>In the mmWave PBSS operation the Directed Multicast Service (DMS) is a service that may be provided by any STA to other STAs associated in the same PBSS that support the DMS service, where the STA transmits group addressed MSDUs as individually addressed A-MSDUs.</w:t>
      </w:r>
    </w:p>
    <w:p w:rsidR="008C36FC" w:rsidRPr="009448FC" w:rsidRDefault="008C36FC" w:rsidP="004D1E99"/>
    <w:p w:rsidR="008C36FC" w:rsidRPr="009448FC" w:rsidRDefault="008C36FC" w:rsidP="003701DB">
      <w:pPr>
        <w:pStyle w:val="Heading2"/>
        <w:numPr>
          <w:ilvl w:val="1"/>
          <w:numId w:val="95"/>
        </w:numPr>
        <w:rPr>
          <w:rFonts w:ascii="Times New Roman" w:hAnsi="Times New Roman"/>
          <w:color w:val="000000"/>
          <w:u w:val="none"/>
        </w:rPr>
      </w:pPr>
      <w:bookmarkStart w:id="2536" w:name="_Toc215582897"/>
      <w:bookmarkStart w:id="2537" w:name="_Toc235400598"/>
      <w:bookmarkStart w:id="2538" w:name="_Toc202073917"/>
      <w:bookmarkStart w:id="2539" w:name="_Toc205016572"/>
      <w:bookmarkStart w:id="2540" w:name="_Toc205121578"/>
      <w:bookmarkStart w:id="2541" w:name="_Toc206227461"/>
      <w:bookmarkStart w:id="2542" w:name="_Toc206415408"/>
      <w:bookmarkStart w:id="2543" w:name="_Toc206418215"/>
      <w:bookmarkStart w:id="2544" w:name="_Toc207099081"/>
      <w:bookmarkStart w:id="2545" w:name="_Toc207099689"/>
      <w:bookmarkStart w:id="2546" w:name="_Toc207100608"/>
      <w:bookmarkStart w:id="2547" w:name="_Toc207348530"/>
      <w:bookmarkStart w:id="2548" w:name="_Toc259717248"/>
      <w:r w:rsidRPr="009448FC">
        <w:rPr>
          <w:rFonts w:ascii="Times New Roman" w:hAnsi="Times New Roman"/>
          <w:color w:val="000000"/>
          <w:u w:val="none"/>
        </w:rPr>
        <w:t xml:space="preserve">mmWave </w:t>
      </w:r>
      <w:r w:rsidR="001A09A5" w:rsidRPr="009448FC">
        <w:rPr>
          <w:rFonts w:ascii="Times New Roman" w:hAnsi="Times New Roman"/>
          <w:color w:val="000000"/>
          <w:u w:val="none"/>
        </w:rPr>
        <w:t xml:space="preserve">Beamformed Link and </w:t>
      </w:r>
      <w:r w:rsidR="00BF4301" w:rsidRPr="009448FC">
        <w:rPr>
          <w:rFonts w:ascii="Times New Roman" w:hAnsi="Times New Roman"/>
          <w:color w:val="000000"/>
          <w:u w:val="none"/>
        </w:rPr>
        <w:t>BSS</w:t>
      </w:r>
      <w:r w:rsidR="00946647" w:rsidRPr="009448FC">
        <w:rPr>
          <w:rFonts w:ascii="Times New Roman" w:hAnsi="Times New Roman"/>
          <w:color w:val="000000"/>
          <w:u w:val="none"/>
        </w:rPr>
        <w:t xml:space="preserve"> </w:t>
      </w:r>
      <w:bookmarkEnd w:id="2536"/>
      <w:bookmarkEnd w:id="2537"/>
      <w:r w:rsidR="002A2EC2" w:rsidRPr="009448FC">
        <w:rPr>
          <w:rFonts w:ascii="Times New Roman" w:hAnsi="Times New Roman"/>
          <w:color w:val="000000"/>
          <w:u w:val="none"/>
        </w:rPr>
        <w:t>Maintenance</w:t>
      </w:r>
      <w:bookmarkEnd w:id="2538"/>
      <w:bookmarkEnd w:id="2539"/>
      <w:bookmarkEnd w:id="2540"/>
      <w:bookmarkEnd w:id="2541"/>
      <w:bookmarkEnd w:id="2542"/>
      <w:bookmarkEnd w:id="2543"/>
      <w:bookmarkEnd w:id="2544"/>
      <w:bookmarkEnd w:id="2545"/>
      <w:bookmarkEnd w:id="2546"/>
      <w:bookmarkEnd w:id="2547"/>
      <w:bookmarkEnd w:id="2548"/>
    </w:p>
    <w:p w:rsidR="008C36FC" w:rsidRPr="009448FC" w:rsidRDefault="008C36FC" w:rsidP="00506284"/>
    <w:p w:rsidR="008C36FC" w:rsidRPr="009448FC" w:rsidRDefault="002A2EC2" w:rsidP="003701DB">
      <w:pPr>
        <w:pStyle w:val="Heading3"/>
        <w:numPr>
          <w:ilvl w:val="2"/>
          <w:numId w:val="96"/>
        </w:numPr>
        <w:rPr>
          <w:rFonts w:ascii="Times New Roman" w:hAnsi="Times New Roman"/>
        </w:rPr>
      </w:pPr>
      <w:bookmarkStart w:id="2549" w:name="_Toc243399874"/>
      <w:bookmarkStart w:id="2550" w:name="_Toc243455868"/>
      <w:bookmarkStart w:id="2551" w:name="_Toc243461735"/>
      <w:bookmarkStart w:id="2552" w:name="_Toc243471866"/>
      <w:bookmarkStart w:id="2553" w:name="_Toc243795138"/>
      <w:bookmarkStart w:id="2554" w:name="_Toc243399876"/>
      <w:bookmarkStart w:id="2555" w:name="_Toc243455870"/>
      <w:bookmarkStart w:id="2556" w:name="_Toc243461737"/>
      <w:bookmarkStart w:id="2557" w:name="_Toc243471868"/>
      <w:bookmarkStart w:id="2558" w:name="_Toc243795140"/>
      <w:bookmarkStart w:id="2559" w:name="_Toc243399877"/>
      <w:bookmarkStart w:id="2560" w:name="_Toc243455871"/>
      <w:bookmarkStart w:id="2561" w:name="_Toc243461738"/>
      <w:bookmarkStart w:id="2562" w:name="_Toc243471869"/>
      <w:bookmarkStart w:id="2563" w:name="_Toc243795141"/>
      <w:bookmarkStart w:id="2564" w:name="_Toc243399878"/>
      <w:bookmarkStart w:id="2565" w:name="_Toc243455872"/>
      <w:bookmarkStart w:id="2566" w:name="_Toc243461739"/>
      <w:bookmarkStart w:id="2567" w:name="_Toc243471870"/>
      <w:bookmarkStart w:id="2568" w:name="_Toc243795142"/>
      <w:bookmarkStart w:id="2569" w:name="_Toc243399880"/>
      <w:bookmarkStart w:id="2570" w:name="_Toc243455874"/>
      <w:bookmarkStart w:id="2571" w:name="_Toc243461741"/>
      <w:bookmarkStart w:id="2572" w:name="_Toc243471872"/>
      <w:bookmarkStart w:id="2573" w:name="_Toc243795144"/>
      <w:bookmarkStart w:id="2574" w:name="_Toc243399881"/>
      <w:bookmarkStart w:id="2575" w:name="_Toc243455875"/>
      <w:bookmarkStart w:id="2576" w:name="_Toc243461742"/>
      <w:bookmarkStart w:id="2577" w:name="_Toc243471873"/>
      <w:bookmarkStart w:id="2578" w:name="_Toc243795145"/>
      <w:bookmarkStart w:id="2579" w:name="_Toc243399882"/>
      <w:bookmarkStart w:id="2580" w:name="_Toc243455876"/>
      <w:bookmarkStart w:id="2581" w:name="_Toc243461743"/>
      <w:bookmarkStart w:id="2582" w:name="_Toc243471874"/>
      <w:bookmarkStart w:id="2583" w:name="_Toc243795146"/>
      <w:bookmarkStart w:id="2584" w:name="_Toc243399884"/>
      <w:bookmarkStart w:id="2585" w:name="_Toc243455878"/>
      <w:bookmarkStart w:id="2586" w:name="_Toc243461745"/>
      <w:bookmarkStart w:id="2587" w:name="_Toc243471876"/>
      <w:bookmarkStart w:id="2588" w:name="_Toc243795148"/>
      <w:bookmarkStart w:id="2589" w:name="_Toc243399885"/>
      <w:bookmarkStart w:id="2590" w:name="_Toc243455879"/>
      <w:bookmarkStart w:id="2591" w:name="_Toc243461746"/>
      <w:bookmarkStart w:id="2592" w:name="_Toc243471877"/>
      <w:bookmarkStart w:id="2593" w:name="_Toc243795149"/>
      <w:bookmarkStart w:id="2594" w:name="_Toc243399886"/>
      <w:bookmarkStart w:id="2595" w:name="_Toc243455880"/>
      <w:bookmarkStart w:id="2596" w:name="_Toc243456943"/>
      <w:bookmarkStart w:id="2597" w:name="_Toc243461747"/>
      <w:bookmarkStart w:id="2598" w:name="_Toc243471878"/>
      <w:bookmarkStart w:id="2599" w:name="_Toc243472141"/>
      <w:bookmarkStart w:id="2600" w:name="_Toc243795150"/>
      <w:bookmarkStart w:id="2601" w:name="_Toc243399887"/>
      <w:bookmarkStart w:id="2602" w:name="_Toc243455881"/>
      <w:bookmarkStart w:id="2603" w:name="_Toc243461748"/>
      <w:bookmarkStart w:id="2604" w:name="_Toc243471879"/>
      <w:bookmarkStart w:id="2605" w:name="_Toc243795151"/>
      <w:bookmarkStart w:id="2606" w:name="_Toc243399888"/>
      <w:bookmarkStart w:id="2607" w:name="_Toc243455882"/>
      <w:bookmarkStart w:id="2608" w:name="_Toc243461749"/>
      <w:bookmarkStart w:id="2609" w:name="_Toc243471880"/>
      <w:bookmarkStart w:id="2610" w:name="_Toc243795152"/>
      <w:bookmarkStart w:id="2611" w:name="_Toc243399889"/>
      <w:bookmarkStart w:id="2612" w:name="_Toc243455883"/>
      <w:bookmarkStart w:id="2613" w:name="_Toc243461750"/>
      <w:bookmarkStart w:id="2614" w:name="_Toc243471881"/>
      <w:bookmarkStart w:id="2615" w:name="_Toc243795153"/>
      <w:bookmarkStart w:id="2616" w:name="_Toc243399890"/>
      <w:bookmarkStart w:id="2617" w:name="_Toc243455884"/>
      <w:bookmarkStart w:id="2618" w:name="_Toc243461751"/>
      <w:bookmarkStart w:id="2619" w:name="_Toc243471882"/>
      <w:bookmarkStart w:id="2620" w:name="_Toc243795154"/>
      <w:bookmarkStart w:id="2621" w:name="_Toc243399891"/>
      <w:bookmarkStart w:id="2622" w:name="_Toc243455885"/>
      <w:bookmarkStart w:id="2623" w:name="_Toc243461752"/>
      <w:bookmarkStart w:id="2624" w:name="_Toc243471883"/>
      <w:bookmarkStart w:id="2625" w:name="_Toc243795155"/>
      <w:bookmarkStart w:id="2626" w:name="_Toc243399892"/>
      <w:bookmarkStart w:id="2627" w:name="_Toc243455886"/>
      <w:bookmarkStart w:id="2628" w:name="_Toc243461753"/>
      <w:bookmarkStart w:id="2629" w:name="_Toc243471884"/>
      <w:bookmarkStart w:id="2630" w:name="_Toc243795156"/>
      <w:bookmarkStart w:id="2631" w:name="_Toc243399893"/>
      <w:bookmarkStart w:id="2632" w:name="_Toc243455887"/>
      <w:bookmarkStart w:id="2633" w:name="_Toc243461754"/>
      <w:bookmarkStart w:id="2634" w:name="_Toc243471885"/>
      <w:bookmarkStart w:id="2635" w:name="_Toc243795157"/>
      <w:bookmarkStart w:id="2636" w:name="_Toc243399894"/>
      <w:bookmarkStart w:id="2637" w:name="_Toc243455888"/>
      <w:bookmarkStart w:id="2638" w:name="_Toc243461755"/>
      <w:bookmarkStart w:id="2639" w:name="_Toc243471886"/>
      <w:bookmarkStart w:id="2640" w:name="_Toc243795158"/>
      <w:bookmarkStart w:id="2641" w:name="_Toc243399895"/>
      <w:bookmarkStart w:id="2642" w:name="_Toc243455889"/>
      <w:bookmarkStart w:id="2643" w:name="_Toc243461756"/>
      <w:bookmarkStart w:id="2644" w:name="_Toc243471887"/>
      <w:bookmarkStart w:id="2645" w:name="_Toc243795159"/>
      <w:bookmarkStart w:id="2646" w:name="_Toc243399896"/>
      <w:bookmarkStart w:id="2647" w:name="_Toc243455890"/>
      <w:bookmarkStart w:id="2648" w:name="_Toc243461757"/>
      <w:bookmarkStart w:id="2649" w:name="_Toc243471888"/>
      <w:bookmarkStart w:id="2650" w:name="_Toc243795160"/>
      <w:bookmarkStart w:id="2651" w:name="_Toc243399897"/>
      <w:bookmarkStart w:id="2652" w:name="_Toc243455891"/>
      <w:bookmarkStart w:id="2653" w:name="_Toc243461758"/>
      <w:bookmarkStart w:id="2654" w:name="_Toc243471889"/>
      <w:bookmarkStart w:id="2655" w:name="_Toc243795161"/>
      <w:bookmarkStart w:id="2656" w:name="_Toc243399898"/>
      <w:bookmarkStart w:id="2657" w:name="_Toc243455892"/>
      <w:bookmarkStart w:id="2658" w:name="_Toc243461759"/>
      <w:bookmarkStart w:id="2659" w:name="_Toc243471890"/>
      <w:bookmarkStart w:id="2660" w:name="_Toc243795162"/>
      <w:bookmarkStart w:id="2661" w:name="_Toc243399900"/>
      <w:bookmarkStart w:id="2662" w:name="_Toc243455894"/>
      <w:bookmarkStart w:id="2663" w:name="_Toc243461761"/>
      <w:bookmarkStart w:id="2664" w:name="_Toc243471892"/>
      <w:bookmarkStart w:id="2665" w:name="_Toc243795164"/>
      <w:bookmarkStart w:id="2666" w:name="_Toc243399902"/>
      <w:bookmarkStart w:id="2667" w:name="_Toc243455896"/>
      <w:bookmarkStart w:id="2668" w:name="_Toc243461763"/>
      <w:bookmarkStart w:id="2669" w:name="_Toc243471894"/>
      <w:bookmarkStart w:id="2670" w:name="_Toc243795166"/>
      <w:bookmarkStart w:id="2671" w:name="_Toc243399903"/>
      <w:bookmarkStart w:id="2672" w:name="_Toc243455897"/>
      <w:bookmarkStart w:id="2673" w:name="_Toc243461764"/>
      <w:bookmarkStart w:id="2674" w:name="_Toc243471895"/>
      <w:bookmarkStart w:id="2675" w:name="_Toc243795167"/>
      <w:bookmarkStart w:id="2676" w:name="_Toc243399904"/>
      <w:bookmarkStart w:id="2677" w:name="_Toc243455898"/>
      <w:bookmarkStart w:id="2678" w:name="_Toc243461765"/>
      <w:bookmarkStart w:id="2679" w:name="_Toc243471896"/>
      <w:bookmarkStart w:id="2680" w:name="_Toc243795168"/>
      <w:bookmarkStart w:id="2681" w:name="_Toc243399905"/>
      <w:bookmarkStart w:id="2682" w:name="_Toc243455899"/>
      <w:bookmarkStart w:id="2683" w:name="_Toc243461766"/>
      <w:bookmarkStart w:id="2684" w:name="_Toc243471897"/>
      <w:bookmarkStart w:id="2685" w:name="_Toc243795169"/>
      <w:bookmarkStart w:id="2686" w:name="_Toc205016575"/>
      <w:bookmarkStart w:id="2687" w:name="_Toc205121581"/>
      <w:bookmarkStart w:id="2688" w:name="_Toc206227464"/>
      <w:bookmarkStart w:id="2689" w:name="_Toc206415411"/>
      <w:bookmarkStart w:id="2690" w:name="_Toc206418218"/>
      <w:bookmarkStart w:id="2691" w:name="_Toc207099084"/>
      <w:bookmarkStart w:id="2692" w:name="_Toc207099692"/>
      <w:bookmarkStart w:id="2693" w:name="_Toc207100611"/>
      <w:bookmarkStart w:id="2694" w:name="_Toc207348533"/>
      <w:bookmarkStart w:id="2695" w:name="_Toc215582900"/>
      <w:bookmarkStart w:id="2696" w:name="_Toc235400601"/>
      <w:bookmarkStart w:id="2697" w:name="_Ref244079323"/>
      <w:bookmarkStart w:id="2698" w:name="_Toc259717249"/>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r w:rsidRPr="009448FC">
        <w:rPr>
          <w:rFonts w:ascii="Times New Roman" w:hAnsi="Times New Roman"/>
        </w:rPr>
        <w:t>Beamformed Link Maintenance</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rsidR="00D14B25" w:rsidRDefault="00D14B25" w:rsidP="00D14B25">
      <w:pPr>
        <w:autoSpaceDE w:val="0"/>
        <w:autoSpaceDN w:val="0"/>
        <w:adjustRightInd w:val="0"/>
      </w:pPr>
      <w:r>
        <w:t>A</w:t>
      </w:r>
      <w:r w:rsidRPr="0013322C">
        <w:t xml:space="preserve"> </w:t>
      </w:r>
      <w:r>
        <w:t xml:space="preserve">pair of STAs </w:t>
      </w:r>
      <w:r w:rsidRPr="0013322C">
        <w:t xml:space="preserve">that </w:t>
      </w:r>
      <w:r>
        <w:t xml:space="preserve">have </w:t>
      </w:r>
      <w:r w:rsidRPr="0013322C">
        <w:t>established a beamformed link may maintain this link</w:t>
      </w:r>
      <w:r>
        <w:t>. This subclause describes procedures that allow a pair of STAs to maintain a beamformed link that was established between them.</w:t>
      </w:r>
    </w:p>
    <w:p w:rsidR="00D14B25" w:rsidRDefault="00BF72EC" w:rsidP="00D14B25">
      <w:pPr>
        <w:autoSpaceDE w:val="0"/>
        <w:autoSpaceDN w:val="0"/>
        <w:adjustRightInd w:val="0"/>
      </w:pPr>
      <w:r>
        <w:t xml:space="preserve"> </w:t>
      </w:r>
    </w:p>
    <w:p w:rsidR="00FE200A" w:rsidRDefault="00E03056" w:rsidP="0079070E">
      <w:pPr>
        <w:autoSpaceDE w:val="0"/>
        <w:autoSpaceDN w:val="0"/>
        <w:adjustRightInd w:val="0"/>
        <w:rPr>
          <w:lang w:eastAsia="ko-KR" w:bidi="ar-SA"/>
        </w:rPr>
      </w:pPr>
      <w:r>
        <w:lastRenderedPageBreak/>
        <w:t xml:space="preserve">The destination STA of an SP </w:t>
      </w:r>
      <w:r w:rsidR="0079070E">
        <w:rPr>
          <w:lang w:eastAsia="ko-KR" w:bidi="ar-SA"/>
        </w:rPr>
        <w:t xml:space="preserve">waits for </w:t>
      </w:r>
      <w:r w:rsidR="0079070E" w:rsidRPr="0079070E">
        <w:rPr>
          <w:lang w:eastAsia="ko-KR" w:bidi="ar-SA"/>
        </w:rPr>
        <w:t>aSlotTime + aPHY-RX-START-Delay</w:t>
      </w:r>
      <w:r w:rsidR="0079070E">
        <w:rPr>
          <w:lang w:eastAsia="ko-KR" w:bidi="ar-SA"/>
        </w:rPr>
        <w:t xml:space="preserve"> from the start of the SP for a </w:t>
      </w:r>
      <w:r w:rsidR="0079070E" w:rsidRPr="0079070E">
        <w:rPr>
          <w:lang w:eastAsia="ko-KR" w:bidi="ar-SA"/>
        </w:rPr>
        <w:t>PHY-RXSTART.indication to occur.</w:t>
      </w:r>
      <w:r w:rsidR="0079070E">
        <w:rPr>
          <w:lang w:eastAsia="ko-KR" w:bidi="ar-SA"/>
        </w:rPr>
        <w:t xml:space="preserve"> If a </w:t>
      </w:r>
      <w:r w:rsidR="0079070E" w:rsidRPr="0079070E">
        <w:rPr>
          <w:lang w:eastAsia="ko-KR" w:bidi="ar-SA"/>
        </w:rPr>
        <w:t>PHY-RXSTART.indication</w:t>
      </w:r>
      <w:r w:rsidR="0079070E">
        <w:rPr>
          <w:lang w:eastAsia="ko-KR" w:bidi="ar-SA"/>
        </w:rPr>
        <w:t xml:space="preserve"> does not occur during this time, the </w:t>
      </w:r>
      <w:r w:rsidR="00D14B25">
        <w:rPr>
          <w:lang w:eastAsia="ko-KR" w:bidi="ar-SA"/>
        </w:rPr>
        <w:t xml:space="preserve">destination STA of </w:t>
      </w:r>
      <w:r w:rsidR="0079070E">
        <w:rPr>
          <w:lang w:eastAsia="ko-KR" w:bidi="ar-SA"/>
        </w:rPr>
        <w:t>the</w:t>
      </w:r>
      <w:r w:rsidR="00D14B25">
        <w:rPr>
          <w:lang w:eastAsia="ko-KR" w:bidi="ar-SA"/>
        </w:rPr>
        <w:t xml:space="preserve"> SP should configure its receive antenna to a quasi-omni antenna pattern</w:t>
      </w:r>
      <w:r w:rsidR="00D14B25" w:rsidRPr="009F3412">
        <w:rPr>
          <w:lang w:eastAsia="ko-KR" w:bidi="ar-SA"/>
        </w:rPr>
        <w:t xml:space="preserve"> </w:t>
      </w:r>
      <w:r w:rsidR="0079070E">
        <w:rPr>
          <w:lang w:eastAsia="ko-KR" w:bidi="ar-SA"/>
        </w:rPr>
        <w:t>following the expiration of this time</w:t>
      </w:r>
      <w:r w:rsidR="00D14B25" w:rsidRPr="009F3412">
        <w:rPr>
          <w:lang w:eastAsia="ko-KR" w:bidi="ar-SA"/>
        </w:rPr>
        <w:t>.</w:t>
      </w:r>
      <w:r w:rsidR="00FE200A">
        <w:rPr>
          <w:lang w:eastAsia="ko-KR" w:bidi="ar-SA"/>
        </w:rPr>
        <w:t xml:space="preserve"> </w:t>
      </w:r>
      <w:r w:rsidR="0079070E" w:rsidRPr="009F3412">
        <w:rPr>
          <w:lang w:eastAsia="ko-KR" w:bidi="ar-SA"/>
        </w:rPr>
        <w:t xml:space="preserve">If a PHY-RXSTART.indication does occur during this time, the STA </w:t>
      </w:r>
      <w:r w:rsidR="009F3412">
        <w:rPr>
          <w:lang w:eastAsia="ko-KR" w:bidi="ar-SA"/>
        </w:rPr>
        <w:t>should</w:t>
      </w:r>
      <w:r w:rsidR="0079070E" w:rsidRPr="009F3412">
        <w:rPr>
          <w:lang w:eastAsia="ko-KR" w:bidi="ar-SA"/>
        </w:rPr>
        <w:t xml:space="preserve"> wait for the corresponding PHY-RXEND.indication to determine whether the MPDU transmission was successful. </w:t>
      </w:r>
      <w:r w:rsidR="004F3F8F" w:rsidRPr="009F3412">
        <w:rPr>
          <w:lang w:eastAsia="ko-KR" w:bidi="ar-SA"/>
        </w:rPr>
        <w:t xml:space="preserve">The </w:t>
      </w:r>
      <w:r w:rsidR="0079070E" w:rsidRPr="009F3412">
        <w:rPr>
          <w:lang w:eastAsia="ko-KR" w:bidi="ar-SA"/>
        </w:rPr>
        <w:t xml:space="preserve">recognition </w:t>
      </w:r>
      <w:r w:rsidR="004F3F8F" w:rsidRPr="009F3412">
        <w:rPr>
          <w:lang w:eastAsia="ko-KR" w:bidi="ar-SA"/>
        </w:rPr>
        <w:t xml:space="preserve">of anything else other than a valid </w:t>
      </w:r>
      <w:r w:rsidR="0079070E" w:rsidRPr="009F3412">
        <w:rPr>
          <w:lang w:eastAsia="ko-KR" w:bidi="ar-SA"/>
        </w:rPr>
        <w:t xml:space="preserve">frame sent by the </w:t>
      </w:r>
      <w:r w:rsidR="004F3F8F" w:rsidRPr="009F3412">
        <w:rPr>
          <w:lang w:eastAsia="ko-KR" w:bidi="ar-SA"/>
        </w:rPr>
        <w:t xml:space="preserve">source </w:t>
      </w:r>
      <w:r w:rsidR="009F3412" w:rsidRPr="009F3412">
        <w:rPr>
          <w:lang w:eastAsia="ko-KR" w:bidi="ar-SA"/>
        </w:rPr>
        <w:t xml:space="preserve">STA </w:t>
      </w:r>
      <w:r w:rsidR="004F3F8F" w:rsidRPr="009F3412">
        <w:rPr>
          <w:lang w:eastAsia="ko-KR" w:bidi="ar-SA"/>
        </w:rPr>
        <w:t xml:space="preserve">of the SP and addressed to the destination STA </w:t>
      </w:r>
      <w:r w:rsidR="009F3412">
        <w:rPr>
          <w:lang w:eastAsia="ko-KR" w:bidi="ar-SA"/>
        </w:rPr>
        <w:t xml:space="preserve">of the SP </w:t>
      </w:r>
      <w:r w:rsidR="009F3412" w:rsidRPr="009F3412">
        <w:rPr>
          <w:lang w:eastAsia="ko-KR" w:bidi="ar-SA"/>
        </w:rPr>
        <w:t>should</w:t>
      </w:r>
      <w:r w:rsidR="0079070E" w:rsidRPr="009F3412">
        <w:rPr>
          <w:lang w:eastAsia="ko-KR" w:bidi="ar-SA"/>
        </w:rPr>
        <w:t xml:space="preserve"> be interpreted as</w:t>
      </w:r>
      <w:r w:rsidR="004F3F8F" w:rsidRPr="009F3412">
        <w:rPr>
          <w:lang w:eastAsia="ko-KR" w:bidi="ar-SA"/>
        </w:rPr>
        <w:t xml:space="preserve"> </w:t>
      </w:r>
      <w:r w:rsidR="009F3412" w:rsidRPr="009F3412">
        <w:rPr>
          <w:lang w:eastAsia="ko-KR" w:bidi="ar-SA"/>
        </w:rPr>
        <w:t xml:space="preserve">beamformed link breakage </w:t>
      </w:r>
      <w:r w:rsidR="009F3412">
        <w:rPr>
          <w:lang w:eastAsia="ko-KR" w:bidi="ar-SA"/>
        </w:rPr>
        <w:t>by the destination STA</w:t>
      </w:r>
      <w:r w:rsidR="00FE200A">
        <w:rPr>
          <w:lang w:eastAsia="ko-KR" w:bidi="ar-SA"/>
        </w:rPr>
        <w:t>. Following the determination of the beamformed link, the destination STA of the SP should configure its receive antenna to a quasi-omni antenna pattern.</w:t>
      </w:r>
    </w:p>
    <w:p w:rsidR="00FE200A" w:rsidRDefault="00FE200A" w:rsidP="0079070E">
      <w:pPr>
        <w:autoSpaceDE w:val="0"/>
        <w:autoSpaceDN w:val="0"/>
        <w:adjustRightInd w:val="0"/>
        <w:rPr>
          <w:lang w:eastAsia="ko-KR" w:bidi="ar-SA"/>
        </w:rPr>
      </w:pPr>
    </w:p>
    <w:p w:rsidR="00563C81" w:rsidRDefault="00224EDD" w:rsidP="0079070E">
      <w:pPr>
        <w:autoSpaceDE w:val="0"/>
        <w:autoSpaceDN w:val="0"/>
        <w:adjustRightInd w:val="0"/>
        <w:rPr>
          <w:rFonts w:eastAsia="MS Mincho"/>
        </w:rPr>
      </w:pPr>
      <w:r>
        <w:rPr>
          <w:lang w:eastAsia="ko-KR" w:bidi="ar-SA"/>
        </w:rPr>
        <w:t xml:space="preserve">The </w:t>
      </w:r>
      <w:r w:rsidR="009D4BF9">
        <w:rPr>
          <w:lang w:eastAsia="ko-KR" w:bidi="ar-SA"/>
        </w:rPr>
        <w:t>destination</w:t>
      </w:r>
      <w:r>
        <w:rPr>
          <w:lang w:eastAsia="ko-KR" w:bidi="ar-SA"/>
        </w:rPr>
        <w:t xml:space="preserve"> STA of an SP </w:t>
      </w:r>
      <w:r>
        <w:rPr>
          <w:rFonts w:eastAsia="MS Mincho"/>
        </w:rPr>
        <w:t xml:space="preserve">may transmit a </w:t>
      </w:r>
      <w:r w:rsidR="009D4BF9">
        <w:rPr>
          <w:rFonts w:eastAsia="MS Mincho"/>
        </w:rPr>
        <w:t>mmWaveDTS</w:t>
      </w:r>
      <w:r>
        <w:rPr>
          <w:rFonts w:eastAsia="MS Mincho"/>
        </w:rPr>
        <w:t xml:space="preserve"> frame to the </w:t>
      </w:r>
      <w:r w:rsidR="009D4BF9">
        <w:rPr>
          <w:rFonts w:eastAsia="MS Mincho"/>
        </w:rPr>
        <w:t>source</w:t>
      </w:r>
      <w:r>
        <w:rPr>
          <w:rFonts w:eastAsia="MS Mincho"/>
        </w:rPr>
        <w:t xml:space="preserve"> STA of the SP </w:t>
      </w:r>
      <w:r w:rsidR="009D4BF9">
        <w:rPr>
          <w:rFonts w:eastAsia="MS Mincho"/>
        </w:rPr>
        <w:t xml:space="preserve">following the rules in </w:t>
      </w:r>
      <w:r w:rsidR="00BD151C">
        <w:rPr>
          <w:rFonts w:eastAsia="MS Mincho"/>
        </w:rPr>
        <w:fldChar w:fldCharType="begin"/>
      </w:r>
      <w:r>
        <w:rPr>
          <w:rFonts w:eastAsia="MS Mincho"/>
        </w:rPr>
        <w:instrText xml:space="preserve"> REF _Ref244252698 \h </w:instrText>
      </w:r>
      <w:r w:rsidR="00BD151C">
        <w:rPr>
          <w:rFonts w:eastAsia="MS Mincho"/>
        </w:rPr>
      </w:r>
      <w:r w:rsidR="00BD151C">
        <w:rPr>
          <w:rFonts w:eastAsia="MS Mincho"/>
        </w:rPr>
        <w:fldChar w:fldCharType="separate"/>
      </w:r>
      <w:r w:rsidR="003E4210">
        <w:t xml:space="preserve">9.23.6.5 </w:t>
      </w:r>
      <w:r w:rsidR="003E4210" w:rsidRPr="009448FC">
        <w:t>mmWave Protected Period</w:t>
      </w:r>
      <w:r w:rsidR="00BD151C">
        <w:rPr>
          <w:rFonts w:eastAsia="MS Mincho"/>
        </w:rPr>
        <w:fldChar w:fldCharType="end"/>
      </w:r>
      <w:r w:rsidR="009D4BF9">
        <w:rPr>
          <w:rFonts w:eastAsia="MS Mincho"/>
        </w:rPr>
        <w:t>,</w:t>
      </w:r>
      <w:r>
        <w:rPr>
          <w:rFonts w:eastAsia="MS Mincho"/>
        </w:rPr>
        <w:t xml:space="preserve"> if </w:t>
      </w:r>
      <w:r w:rsidR="00563C81">
        <w:rPr>
          <w:rFonts w:eastAsia="MS Mincho"/>
        </w:rPr>
        <w:t xml:space="preserve">the NAV timer at the destination STA has a non-zero value and </w:t>
      </w:r>
      <w:r>
        <w:rPr>
          <w:rFonts w:eastAsia="MS Mincho"/>
        </w:rPr>
        <w:t xml:space="preserve">the </w:t>
      </w:r>
      <w:r w:rsidR="009D4BF9">
        <w:rPr>
          <w:rFonts w:eastAsia="MS Mincho"/>
        </w:rPr>
        <w:t>destination</w:t>
      </w:r>
      <w:r>
        <w:rPr>
          <w:rFonts w:eastAsia="MS Mincho"/>
        </w:rPr>
        <w:t xml:space="preserve"> STA wants to prevent the </w:t>
      </w:r>
      <w:r w:rsidR="009D4BF9">
        <w:rPr>
          <w:rFonts w:eastAsia="MS Mincho"/>
        </w:rPr>
        <w:t>source</w:t>
      </w:r>
      <w:r>
        <w:rPr>
          <w:rFonts w:eastAsia="MS Mincho"/>
        </w:rPr>
        <w:t xml:space="preserve"> STA of the SP to </w:t>
      </w:r>
      <w:r w:rsidR="009D4BF9">
        <w:rPr>
          <w:rFonts w:eastAsia="MS Mincho"/>
        </w:rPr>
        <w:t>re-start beamforming</w:t>
      </w:r>
      <w:r w:rsidR="00563C81">
        <w:rPr>
          <w:rFonts w:eastAsia="MS Mincho"/>
        </w:rPr>
        <w:t xml:space="preserve"> with the destination STA</w:t>
      </w:r>
      <w:r>
        <w:rPr>
          <w:rFonts w:eastAsia="MS Mincho"/>
        </w:rPr>
        <w:t>.</w:t>
      </w:r>
    </w:p>
    <w:p w:rsidR="00563C81" w:rsidRDefault="00563C81" w:rsidP="0079070E">
      <w:pPr>
        <w:autoSpaceDE w:val="0"/>
        <w:autoSpaceDN w:val="0"/>
        <w:adjustRightInd w:val="0"/>
        <w:rPr>
          <w:rFonts w:eastAsia="MS Mincho"/>
        </w:rPr>
      </w:pPr>
    </w:p>
    <w:p w:rsidR="00D14B25" w:rsidRPr="00AB73AD" w:rsidRDefault="00D14B25" w:rsidP="0079070E">
      <w:pPr>
        <w:autoSpaceDE w:val="0"/>
        <w:autoSpaceDN w:val="0"/>
        <w:adjustRightInd w:val="0"/>
        <w:rPr>
          <w:lang w:eastAsia="ko-KR" w:bidi="ar-SA"/>
        </w:rPr>
      </w:pPr>
      <w:r w:rsidRPr="009F3412">
        <w:rPr>
          <w:lang w:eastAsia="ko-KR" w:bidi="ar-SA"/>
        </w:rPr>
        <w:t>Any time after aSlotTime + aPHY-RX-START-Delay has elapsed</w:t>
      </w:r>
      <w:r w:rsidR="009F3412">
        <w:rPr>
          <w:lang w:eastAsia="ko-KR" w:bidi="ar-SA"/>
        </w:rPr>
        <w:t xml:space="preserve"> from the start of the SP</w:t>
      </w:r>
      <w:r w:rsidRPr="009F3412">
        <w:rPr>
          <w:lang w:eastAsia="ko-KR" w:bidi="ar-SA"/>
        </w:rPr>
        <w:t xml:space="preserve">, the source STA of the SP may transmit an RTS frame to restore the beamformed link with the destination STA </w:t>
      </w:r>
      <w:r>
        <w:rPr>
          <w:rFonts w:eastAsia="MS Mincho"/>
        </w:rPr>
        <w:t>of the SP and, in this case, the RTS shall be transmitted at MCS 0. The source STA of the SP should restart beamforming with the destination STA after no more than dot11ShortRetryLimit RTS retransmission attempts without a response CTS.</w:t>
      </w:r>
      <w:r w:rsidR="00224EDD">
        <w:rPr>
          <w:rFonts w:eastAsia="MS Mincho"/>
        </w:rPr>
        <w:t xml:space="preserve"> </w:t>
      </w:r>
    </w:p>
    <w:p w:rsidR="00D14B25" w:rsidRDefault="00D14B25" w:rsidP="00D14B25">
      <w:pPr>
        <w:autoSpaceDE w:val="0"/>
        <w:autoSpaceDN w:val="0"/>
        <w:adjustRightInd w:val="0"/>
      </w:pPr>
    </w:p>
    <w:p w:rsidR="00D14B25" w:rsidRDefault="00D14B25" w:rsidP="00D14B25">
      <w:pPr>
        <w:autoSpaceDE w:val="0"/>
        <w:autoSpaceDN w:val="0"/>
        <w:adjustRightInd w:val="0"/>
      </w:pPr>
      <w:r w:rsidRPr="0013322C">
        <w:t xml:space="preserve">To </w:t>
      </w:r>
      <w:r>
        <w:t>maintain a beamformed link between a PCP/AP and a non-PCP/non-AP STA</w:t>
      </w:r>
      <w:r w:rsidRPr="0013322C">
        <w:t xml:space="preserve">, the </w:t>
      </w:r>
      <w:r>
        <w:t>PCP/AP should</w:t>
      </w:r>
      <w:r w:rsidRPr="0013322C">
        <w:t xml:space="preserve"> send a frame </w:t>
      </w:r>
      <w:r>
        <w:t xml:space="preserve">with its antenna pattern directed </w:t>
      </w:r>
      <w:r w:rsidRPr="0013322C">
        <w:t xml:space="preserve">to the STA at least once every </w:t>
      </w:r>
      <w:r>
        <w:t xml:space="preserve">aMinBTPeriod </w:t>
      </w:r>
      <w:r w:rsidRPr="0013322C">
        <w:t xml:space="preserve">beacon intervals and the STA </w:t>
      </w:r>
      <w:r>
        <w:t>should</w:t>
      </w:r>
      <w:r w:rsidRPr="0013322C">
        <w:t xml:space="preserve"> send a frame </w:t>
      </w:r>
      <w:r>
        <w:t xml:space="preserve">with its antenna pattern directed </w:t>
      </w:r>
      <w:r w:rsidRPr="0013322C">
        <w:t xml:space="preserve">to the </w:t>
      </w:r>
      <w:r>
        <w:t xml:space="preserve">PCP/AP </w:t>
      </w:r>
      <w:r w:rsidRPr="0013322C">
        <w:t xml:space="preserve">at least once every </w:t>
      </w:r>
      <w:r>
        <w:t xml:space="preserve">aMinBTPeriod </w:t>
      </w:r>
      <w:r w:rsidRPr="0013322C">
        <w:t xml:space="preserve">beacon intervals. If the </w:t>
      </w:r>
      <w:r>
        <w:t xml:space="preserve">PCP/AP </w:t>
      </w:r>
      <w:r w:rsidRPr="0013322C">
        <w:t xml:space="preserve">does not receive a </w:t>
      </w:r>
      <w:r w:rsidRPr="00D4682D">
        <w:t>frame with a MCS other than MCS</w:t>
      </w:r>
      <w:r>
        <w:t xml:space="preserve"> </w:t>
      </w:r>
      <w:r w:rsidRPr="00D4682D">
        <w:t>0</w:t>
      </w:r>
      <w:r>
        <w:t xml:space="preserve"> </w:t>
      </w:r>
      <w:r w:rsidRPr="0013322C">
        <w:t xml:space="preserve">from the STA </w:t>
      </w:r>
      <w:r w:rsidRPr="00374FE6">
        <w:t>after dot11ShortRetryLimit transmission attempts</w:t>
      </w:r>
      <w:r w:rsidRPr="0013322C">
        <w:t xml:space="preserve">, it assumes that the </w:t>
      </w:r>
      <w:r>
        <w:t xml:space="preserve">beamformed </w:t>
      </w:r>
      <w:r w:rsidRPr="0013322C">
        <w:t xml:space="preserve">link with the STA is </w:t>
      </w:r>
      <w:r>
        <w:t xml:space="preserve">invalid </w:t>
      </w:r>
      <w:r w:rsidRPr="0013322C">
        <w:t xml:space="preserve">and </w:t>
      </w:r>
      <w:r>
        <w:t xml:space="preserve">should </w:t>
      </w:r>
      <w:r w:rsidRPr="0013322C">
        <w:t xml:space="preserve">schedule time in the beacon interval for the </w:t>
      </w:r>
      <w:r>
        <w:t xml:space="preserve">PCP/AP </w:t>
      </w:r>
      <w:r w:rsidRPr="0013322C">
        <w:t xml:space="preserve">to initiate beamforming training with the STA </w:t>
      </w:r>
      <w:r w:rsidRPr="004045DB">
        <w:t>whose beamformed link became invalid</w:t>
      </w:r>
      <w:r w:rsidRPr="0013322C">
        <w:t>.</w:t>
      </w:r>
      <w:r>
        <w:t xml:space="preserve"> </w:t>
      </w:r>
    </w:p>
    <w:p w:rsidR="00D14B25" w:rsidRDefault="00D14B25" w:rsidP="00D14B25">
      <w:pPr>
        <w:autoSpaceDE w:val="0"/>
        <w:autoSpaceDN w:val="0"/>
        <w:adjustRightInd w:val="0"/>
      </w:pPr>
    </w:p>
    <w:p w:rsidR="00D14B25" w:rsidRDefault="00D14B25" w:rsidP="00D14B25">
      <w:r w:rsidRPr="009E6D17">
        <w:t xml:space="preserve">If </w:t>
      </w:r>
      <w:r>
        <w:t xml:space="preserve">a STA detects </w:t>
      </w:r>
      <w:r w:rsidR="003938BA">
        <w:t xml:space="preserve">degradation in </w:t>
      </w:r>
      <w:r w:rsidRPr="009E6D17">
        <w:t xml:space="preserve">the link quality between </w:t>
      </w:r>
      <w:r>
        <w:t>itself</w:t>
      </w:r>
      <w:r w:rsidRPr="009E6D17">
        <w:t xml:space="preserve"> and </w:t>
      </w:r>
      <w:r>
        <w:t xml:space="preserve">another </w:t>
      </w:r>
      <w:r w:rsidRPr="009E6D17">
        <w:t>STA</w:t>
      </w:r>
      <w:r>
        <w:t xml:space="preserve">, the </w:t>
      </w:r>
      <w:r w:rsidRPr="009E6D17">
        <w:t xml:space="preserve">STA can use beam tracking or beam refinement </w:t>
      </w:r>
      <w:r>
        <w:t xml:space="preserve">to improve the link quality. </w:t>
      </w:r>
      <w:r w:rsidR="003938BA">
        <w:t xml:space="preserve">The </w:t>
      </w:r>
      <w:r>
        <w:t xml:space="preserve">STA can request the PCP/AP to schedule an SP to perform BF with the other STA or use </w:t>
      </w:r>
      <w:r w:rsidR="003938BA">
        <w:t xml:space="preserve">a </w:t>
      </w:r>
      <w:r>
        <w:t xml:space="preserve">CBP to perform BF. The STA can use the A-BFT to perform BF if the other STA is its PCP/AP. A PCP/AP can perform BF with a non-PCP/non-AP STA </w:t>
      </w:r>
      <w:r w:rsidR="003938BA">
        <w:t xml:space="preserve">during a CBP or </w:t>
      </w:r>
      <w:r>
        <w:t>by scheduling an SP between the PCP/AP and the non-PCP/non-AP STA through an Extended Schedule element transmitted in a mmWave Beacon or Announce frames.</w:t>
      </w:r>
    </w:p>
    <w:p w:rsidR="002609DE" w:rsidRPr="009448FC" w:rsidRDefault="002609DE" w:rsidP="002609DE"/>
    <w:p w:rsidR="002609DE" w:rsidRPr="009448FC" w:rsidRDefault="002609DE" w:rsidP="00CD5185">
      <w:r w:rsidRPr="009448FC">
        <w:t xml:space="preserve">If the link quality </w:t>
      </w:r>
      <w:r w:rsidR="00AA60E7">
        <w:t xml:space="preserve">between </w:t>
      </w:r>
      <w:r w:rsidRPr="009448FC">
        <w:t>a PCP/AP and a STA degrade</w:t>
      </w:r>
      <w:r w:rsidR="00030B67" w:rsidRPr="009448FC">
        <w:t>s</w:t>
      </w:r>
      <w:r w:rsidR="003938BA">
        <w:t xml:space="preserve">, </w:t>
      </w:r>
      <w:r w:rsidRPr="009448FC">
        <w:t xml:space="preserve">but the STA can still receive </w:t>
      </w:r>
      <w:r w:rsidR="00CD5185" w:rsidRPr="009448FC">
        <w:t>mmWave B</w:t>
      </w:r>
      <w:r w:rsidRPr="009448FC">
        <w:t xml:space="preserve">eacon frames </w:t>
      </w:r>
      <w:r w:rsidR="003938BA">
        <w:t>and</w:t>
      </w:r>
      <w:r w:rsidR="003938BA" w:rsidRPr="009448FC">
        <w:t xml:space="preserve"> </w:t>
      </w:r>
      <w:r w:rsidRPr="009448FC">
        <w:t xml:space="preserve">the A-BFT present field set to 1, the STA should </w:t>
      </w:r>
      <w:r w:rsidR="007F3432">
        <w:t>improve the link quality by performing beamforming during</w:t>
      </w:r>
      <w:r w:rsidR="007F3432" w:rsidRPr="009448FC">
        <w:t xml:space="preserve"> </w:t>
      </w:r>
      <w:r w:rsidR="00CD5185" w:rsidRPr="009448FC">
        <w:t xml:space="preserve">the A-BFT period as described in </w:t>
      </w:r>
      <w:r w:rsidR="00BD151C" w:rsidRPr="009448FC">
        <w:fldChar w:fldCharType="begin"/>
      </w:r>
      <w:r w:rsidR="00D520E3" w:rsidRPr="009448FC">
        <w:instrText xml:space="preserve"> REF _Ref243816630 \r \h </w:instrText>
      </w:r>
      <w:r w:rsidR="00BD151C" w:rsidRPr="009448FC">
        <w:fldChar w:fldCharType="separate"/>
      </w:r>
      <w:r w:rsidR="003E4210">
        <w:t>9.25.4</w:t>
      </w:r>
      <w:r w:rsidR="00BD151C" w:rsidRPr="009448FC">
        <w:fldChar w:fldCharType="end"/>
      </w:r>
      <w:r w:rsidR="00CD5185" w:rsidRPr="009448FC">
        <w:t>.</w:t>
      </w:r>
      <w:r w:rsidRPr="009448FC">
        <w:t xml:space="preserve"> </w:t>
      </w:r>
    </w:p>
    <w:p w:rsidR="004B5A14" w:rsidRPr="007F3432" w:rsidRDefault="001A6F77" w:rsidP="00506284">
      <w:r>
        <w:t xml:space="preserve"> </w:t>
      </w:r>
    </w:p>
    <w:p w:rsidR="00DE0047" w:rsidRPr="009448FC" w:rsidRDefault="00DE0047" w:rsidP="003701DB">
      <w:pPr>
        <w:pStyle w:val="Heading3"/>
        <w:numPr>
          <w:ilvl w:val="2"/>
          <w:numId w:val="97"/>
        </w:numPr>
        <w:rPr>
          <w:rFonts w:ascii="Times New Roman" w:hAnsi="Times New Roman"/>
        </w:rPr>
      </w:pPr>
      <w:bookmarkStart w:id="2699" w:name="_Toc259717250"/>
      <w:bookmarkStart w:id="2700" w:name="_Toc202073920"/>
      <w:bookmarkStart w:id="2701" w:name="_Toc205016580"/>
      <w:bookmarkStart w:id="2702" w:name="_Toc205121586"/>
      <w:bookmarkStart w:id="2703" w:name="_Toc206227469"/>
      <w:bookmarkStart w:id="2704" w:name="_Toc206415416"/>
      <w:bookmarkStart w:id="2705" w:name="_Toc206418223"/>
      <w:bookmarkStart w:id="2706" w:name="_Toc207099087"/>
      <w:bookmarkStart w:id="2707" w:name="_Toc207099695"/>
      <w:bookmarkStart w:id="2708" w:name="_Toc207100614"/>
      <w:bookmarkStart w:id="2709" w:name="_Toc207348536"/>
      <w:bookmarkStart w:id="2710" w:name="_Toc215582903"/>
      <w:bookmarkStart w:id="2711" w:name="_Toc235400604"/>
      <w:bookmarkStart w:id="2712" w:name="_Ref236724398"/>
      <w:bookmarkStart w:id="2713" w:name="_Ref236724457"/>
      <w:r w:rsidRPr="009448FC">
        <w:rPr>
          <w:rFonts w:ascii="Times New Roman" w:hAnsi="Times New Roman"/>
        </w:rPr>
        <w:t xml:space="preserve">PCP </w:t>
      </w:r>
      <w:r w:rsidR="001A09A5" w:rsidRPr="009448FC">
        <w:rPr>
          <w:rFonts w:ascii="Times New Roman" w:hAnsi="Times New Roman"/>
        </w:rPr>
        <w:t>H</w:t>
      </w:r>
      <w:r w:rsidRPr="009448FC">
        <w:rPr>
          <w:rFonts w:ascii="Times New Roman" w:hAnsi="Times New Roman"/>
        </w:rPr>
        <w:t>andover</w:t>
      </w:r>
      <w:bookmarkEnd w:id="2699"/>
    </w:p>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rsidR="00F5486A" w:rsidRPr="009448FC" w:rsidRDefault="00F5486A" w:rsidP="007B6AF1">
      <w:pPr>
        <w:autoSpaceDE w:val="0"/>
        <w:autoSpaceDN w:val="0"/>
        <w:adjustRightInd w:val="0"/>
      </w:pPr>
    </w:p>
    <w:p w:rsidR="007B6AF1" w:rsidRPr="009448FC" w:rsidRDefault="007B6AF1" w:rsidP="007B6AF1">
      <w:pPr>
        <w:autoSpaceDE w:val="0"/>
        <w:autoSpaceDN w:val="0"/>
        <w:adjustRightInd w:val="0"/>
      </w:pPr>
      <w:r w:rsidRPr="009448FC">
        <w:t>A STA is PCP handover capable if the PCP Handover field wi</w:t>
      </w:r>
      <w:r w:rsidR="00B910DA" w:rsidRPr="009448FC">
        <w:t>thin the STA’s mmWave Capabilities</w:t>
      </w:r>
      <w:r w:rsidRPr="009448FC">
        <w:t xml:space="preserve"> element </w:t>
      </w:r>
      <w:r w:rsidR="007F3432">
        <w:t>(</w:t>
      </w:r>
      <w:r w:rsidR="00BD151C">
        <w:fldChar w:fldCharType="begin"/>
      </w:r>
      <w:r w:rsidR="007F3432">
        <w:instrText xml:space="preserve"> REF _Ref244244226 \r \h </w:instrText>
      </w:r>
      <w:r w:rsidR="00BD151C">
        <w:fldChar w:fldCharType="separate"/>
      </w:r>
      <w:r w:rsidR="003E4210">
        <w:t>7.3.2.91</w:t>
      </w:r>
      <w:r w:rsidR="00BD151C">
        <w:fldChar w:fldCharType="end"/>
      </w:r>
      <w:r w:rsidR="007F3432">
        <w:t xml:space="preserve">) </w:t>
      </w:r>
      <w:r w:rsidRPr="009448FC">
        <w:t xml:space="preserve">is set to one. The STA is PCP </w:t>
      </w:r>
      <w:r w:rsidR="0050463A">
        <w:t>h</w:t>
      </w:r>
      <w:r w:rsidR="0050463A" w:rsidRPr="009448FC">
        <w:t xml:space="preserve">andover </w:t>
      </w:r>
      <w:r w:rsidRPr="009448FC">
        <w:t>incapable otherwise.</w:t>
      </w:r>
    </w:p>
    <w:p w:rsidR="007B6AF1" w:rsidRPr="009448FC" w:rsidRDefault="007B6AF1" w:rsidP="007B6AF1">
      <w:pPr>
        <w:autoSpaceDE w:val="0"/>
        <w:autoSpaceDN w:val="0"/>
        <w:adjustRightInd w:val="0"/>
        <w:rPr>
          <w:strike/>
        </w:rPr>
      </w:pPr>
    </w:p>
    <w:p w:rsidR="007B6AF1" w:rsidRPr="009448FC" w:rsidRDefault="007B6AF1" w:rsidP="007B6AF1">
      <w:pPr>
        <w:autoSpaceDE w:val="0"/>
        <w:autoSpaceDN w:val="0"/>
        <w:adjustRightInd w:val="0"/>
      </w:pPr>
      <w:r w:rsidRPr="009448FC">
        <w:lastRenderedPageBreak/>
        <w:t xml:space="preserve">The PCP handover process </w:t>
      </w:r>
      <w:r w:rsidRPr="009448FC">
        <w:rPr>
          <w:rFonts w:hint="eastAsia"/>
        </w:rPr>
        <w:t>allows</w:t>
      </w:r>
      <w:r w:rsidRPr="009448FC">
        <w:t xml:space="preserve"> the information pertinent to the</w:t>
      </w:r>
      <w:r w:rsidRPr="009448FC">
        <w:rPr>
          <w:rFonts w:hint="eastAsia"/>
        </w:rPr>
        <w:t xml:space="preserve"> operation</w:t>
      </w:r>
      <w:r w:rsidRPr="009448FC">
        <w:t xml:space="preserve"> of the PBSS </w:t>
      </w:r>
      <w:r w:rsidRPr="009448FC">
        <w:rPr>
          <w:rFonts w:hint="eastAsia"/>
        </w:rPr>
        <w:t>to be</w:t>
      </w:r>
      <w:r w:rsidRPr="009448FC">
        <w:t xml:space="preserve"> distributed to </w:t>
      </w:r>
      <w:r w:rsidRPr="009448FC">
        <w:rPr>
          <w:rFonts w:hint="eastAsia"/>
        </w:rPr>
        <w:t xml:space="preserve">suitable </w:t>
      </w:r>
      <w:r w:rsidRPr="009448FC">
        <w:t>PCP handover capable STA</w:t>
      </w:r>
      <w:r w:rsidRPr="009448FC">
        <w:rPr>
          <w:rFonts w:hint="eastAsia"/>
        </w:rPr>
        <w:t>(</w:t>
      </w:r>
      <w:r w:rsidRPr="009448FC">
        <w:t>s</w:t>
      </w:r>
      <w:r w:rsidRPr="009448FC">
        <w:rPr>
          <w:rFonts w:hint="eastAsia"/>
        </w:rPr>
        <w:t>)</w:t>
      </w:r>
      <w:r w:rsidRPr="009448FC">
        <w:t xml:space="preserve"> and </w:t>
      </w:r>
      <w:r w:rsidRPr="009448FC">
        <w:rPr>
          <w:rFonts w:hint="eastAsia"/>
        </w:rPr>
        <w:t xml:space="preserve">for </w:t>
      </w:r>
      <w:r w:rsidRPr="009448FC">
        <w:t xml:space="preserve">a PCP handover capable STA </w:t>
      </w:r>
      <w:r w:rsidRPr="009448FC">
        <w:rPr>
          <w:rFonts w:hint="eastAsia"/>
        </w:rPr>
        <w:t xml:space="preserve">to </w:t>
      </w:r>
      <w:r w:rsidRPr="009448FC">
        <w:t>take over the PCP responsibilit</w:t>
      </w:r>
      <w:r w:rsidRPr="009448FC">
        <w:rPr>
          <w:rFonts w:hint="eastAsia"/>
        </w:rPr>
        <w:t>ies</w:t>
      </w:r>
      <w:r w:rsidRPr="009448FC">
        <w:t xml:space="preserve"> from the PCP explicitly or implicitly. </w:t>
      </w:r>
    </w:p>
    <w:p w:rsidR="007B6AF1" w:rsidRPr="009448FC" w:rsidRDefault="007B6AF1" w:rsidP="007B6AF1">
      <w:pPr>
        <w:autoSpaceDE w:val="0"/>
        <w:autoSpaceDN w:val="0"/>
        <w:adjustRightInd w:val="0"/>
      </w:pPr>
    </w:p>
    <w:p w:rsidR="007B6AF1" w:rsidRPr="009448FC" w:rsidRDefault="007B6AF1" w:rsidP="007B6AF1">
      <w:pPr>
        <w:autoSpaceDE w:val="0"/>
        <w:autoSpaceDN w:val="0"/>
        <w:adjustRightInd w:val="0"/>
      </w:pPr>
      <w:r w:rsidRPr="009448FC">
        <w:t xml:space="preserve">The information pertinent to the </w:t>
      </w:r>
      <w:r w:rsidRPr="009448FC">
        <w:rPr>
          <w:rFonts w:hint="eastAsia"/>
        </w:rPr>
        <w:t>operation</w:t>
      </w:r>
      <w:r w:rsidRPr="009448FC">
        <w:t xml:space="preserve"> of a PBSS </w:t>
      </w:r>
      <w:r w:rsidRPr="009448FC">
        <w:rPr>
          <w:rFonts w:hint="eastAsia"/>
        </w:rPr>
        <w:t>include</w:t>
      </w:r>
      <w:r w:rsidR="007F3432">
        <w:t>s</w:t>
      </w:r>
      <w:r w:rsidRPr="009448FC">
        <w:rPr>
          <w:rFonts w:hint="eastAsia"/>
        </w:rPr>
        <w:t xml:space="preserve"> </w:t>
      </w:r>
      <w:r w:rsidRPr="009448FC">
        <w:t>STA information</w:t>
      </w:r>
      <w:r w:rsidR="00454187">
        <w:t xml:space="preserve"> </w:t>
      </w:r>
      <w:r w:rsidRPr="009448FC">
        <w:t xml:space="preserve">and </w:t>
      </w:r>
      <w:r w:rsidR="007F3432">
        <w:t>pseudo-static scheduling</w:t>
      </w:r>
      <w:r w:rsidR="007F3432" w:rsidRPr="009448FC">
        <w:t xml:space="preserve"> </w:t>
      </w:r>
      <w:r w:rsidRPr="009448FC">
        <w:t xml:space="preserve">information. </w:t>
      </w:r>
    </w:p>
    <w:p w:rsidR="007B6AF1" w:rsidRPr="009448FC" w:rsidRDefault="007B6AF1" w:rsidP="007B6AF1">
      <w:pPr>
        <w:autoSpaceDE w:val="0"/>
        <w:autoSpaceDN w:val="0"/>
        <w:adjustRightInd w:val="0"/>
      </w:pPr>
    </w:p>
    <w:p w:rsidR="007B6AF1" w:rsidRPr="009448FC" w:rsidRDefault="007B6AF1" w:rsidP="004B5A14">
      <w:pPr>
        <w:autoSpaceDE w:val="0"/>
        <w:autoSpaceDN w:val="0"/>
        <w:adjustRightInd w:val="0"/>
      </w:pPr>
      <w:r w:rsidRPr="009448FC">
        <w:t xml:space="preserve">The </w:t>
      </w:r>
      <w:r w:rsidRPr="009448FC">
        <w:rPr>
          <w:rFonts w:hint="eastAsia"/>
        </w:rPr>
        <w:t xml:space="preserve">STA </w:t>
      </w:r>
      <w:r w:rsidRPr="009448FC">
        <w:t>information</w:t>
      </w:r>
      <w:r w:rsidRPr="009448FC">
        <w:rPr>
          <w:rFonts w:hint="eastAsia"/>
        </w:rPr>
        <w:t xml:space="preserve"> </w:t>
      </w:r>
      <w:r w:rsidRPr="009448FC">
        <w:t xml:space="preserve">comprise </w:t>
      </w:r>
      <w:r w:rsidRPr="009448FC">
        <w:rPr>
          <w:rFonts w:hint="eastAsia"/>
        </w:rPr>
        <w:t xml:space="preserve">of </w:t>
      </w:r>
      <w:r w:rsidRPr="009448FC">
        <w:t>AID, MAC address and capability. The PCP may relay the information to all STAs in the PBSS by using th</w:t>
      </w:r>
      <w:r w:rsidR="00924F52" w:rsidRPr="009448FC">
        <w:t>e Information Response frame.</w:t>
      </w:r>
    </w:p>
    <w:p w:rsidR="007B6AF1" w:rsidRPr="009448FC" w:rsidRDefault="007B6AF1" w:rsidP="007B6AF1">
      <w:pPr>
        <w:autoSpaceDE w:val="0"/>
        <w:autoSpaceDN w:val="0"/>
        <w:adjustRightInd w:val="0"/>
      </w:pPr>
    </w:p>
    <w:p w:rsidR="008C32FB" w:rsidRDefault="007B6AF1">
      <w:pPr>
        <w:autoSpaceDE w:val="0"/>
        <w:autoSpaceDN w:val="0"/>
        <w:adjustRightInd w:val="0"/>
      </w:pPr>
      <w:r w:rsidRPr="009448FC">
        <w:t xml:space="preserve">The </w:t>
      </w:r>
      <w:r w:rsidR="004B5A14" w:rsidRPr="009448FC">
        <w:t xml:space="preserve">pseudo-static </w:t>
      </w:r>
      <w:r w:rsidR="00924F52" w:rsidRPr="009448FC">
        <w:t>scheduling information</w:t>
      </w:r>
      <w:r w:rsidRPr="009448FC">
        <w:t xml:space="preserve"> include </w:t>
      </w:r>
      <w:r w:rsidR="004E186E" w:rsidRPr="009448FC">
        <w:t>pseudo</w:t>
      </w:r>
      <w:r w:rsidR="004E186E">
        <w:t>-</w:t>
      </w:r>
      <w:r w:rsidRPr="009448FC">
        <w:t xml:space="preserve">static </w:t>
      </w:r>
      <w:r w:rsidR="004E186E">
        <w:t xml:space="preserve">SP and CBP </w:t>
      </w:r>
      <w:r w:rsidRPr="009448FC">
        <w:t>allocations</w:t>
      </w:r>
      <w:r w:rsidR="004E186E">
        <w:t xml:space="preserve"> carried in the </w:t>
      </w:r>
      <w:r w:rsidR="004E186E">
        <w:rPr>
          <w:rFonts w:hint="eastAsia"/>
          <w:lang w:eastAsia="zh-TW"/>
        </w:rPr>
        <w:t>Extended Schedule element (</w:t>
      </w:r>
      <w:r w:rsidR="00BD151C">
        <w:rPr>
          <w:lang w:eastAsia="zh-TW"/>
        </w:rPr>
        <w:fldChar w:fldCharType="begin"/>
      </w:r>
      <w:r w:rsidR="004E186E">
        <w:rPr>
          <w:lang w:eastAsia="zh-TW"/>
        </w:rPr>
        <w:instrText xml:space="preserve"> </w:instrText>
      </w:r>
      <w:r w:rsidR="004E186E">
        <w:rPr>
          <w:rFonts w:hint="eastAsia"/>
          <w:lang w:eastAsia="zh-TW"/>
        </w:rPr>
        <w:instrText>REF _Ref244244225 \r \h</w:instrText>
      </w:r>
      <w:r w:rsidR="004E186E">
        <w:rPr>
          <w:lang w:eastAsia="zh-TW"/>
        </w:rPr>
        <w:instrText xml:space="preserve"> </w:instrText>
      </w:r>
      <w:r w:rsidR="00BD151C">
        <w:rPr>
          <w:lang w:eastAsia="zh-TW"/>
        </w:rPr>
      </w:r>
      <w:r w:rsidR="00BD151C">
        <w:rPr>
          <w:lang w:eastAsia="zh-TW"/>
        </w:rPr>
        <w:fldChar w:fldCharType="separate"/>
      </w:r>
      <w:r w:rsidR="003E4210">
        <w:rPr>
          <w:lang w:eastAsia="zh-TW"/>
        </w:rPr>
        <w:t>7.3.2.95</w:t>
      </w:r>
      <w:r w:rsidR="00BD151C">
        <w:rPr>
          <w:lang w:eastAsia="zh-TW"/>
        </w:rPr>
        <w:fldChar w:fldCharType="end"/>
      </w:r>
      <w:r w:rsidR="004E186E">
        <w:rPr>
          <w:rFonts w:hint="eastAsia"/>
          <w:lang w:eastAsia="zh-TW"/>
        </w:rPr>
        <w:t>)</w:t>
      </w:r>
      <w:r w:rsidRPr="009448FC">
        <w:t xml:space="preserve">. </w:t>
      </w:r>
    </w:p>
    <w:p w:rsidR="007B6AF1" w:rsidRPr="009448FC" w:rsidRDefault="007B6AF1" w:rsidP="007B6AF1">
      <w:pPr>
        <w:autoSpaceDE w:val="0"/>
        <w:autoSpaceDN w:val="0"/>
        <w:adjustRightInd w:val="0"/>
      </w:pPr>
    </w:p>
    <w:p w:rsidR="007B6AF1" w:rsidRPr="004E186E" w:rsidRDefault="007B6AF1" w:rsidP="00CD40C7">
      <w:pPr>
        <w:widowControl w:val="0"/>
        <w:autoSpaceDE w:val="0"/>
        <w:autoSpaceDN w:val="0"/>
        <w:adjustRightInd w:val="0"/>
      </w:pPr>
      <w:r w:rsidRPr="009448FC">
        <w:rPr>
          <w:rFonts w:hint="eastAsia"/>
        </w:rPr>
        <w:t>Two types of PCP Handover may be supported, explicit and implicit. In Explicit PCP Handover, the PCP explicitly selects and schedules the transfer of PCP responsibilities to another PCP</w:t>
      </w:r>
      <w:r w:rsidRPr="009448FC">
        <w:t xml:space="preserve"> handover </w:t>
      </w:r>
      <w:r w:rsidRPr="009448FC">
        <w:rPr>
          <w:rFonts w:hint="eastAsia"/>
        </w:rPr>
        <w:t xml:space="preserve">capable STA as described in </w:t>
      </w:r>
      <w:r w:rsidR="00BD151C" w:rsidRPr="009448FC">
        <w:fldChar w:fldCharType="begin"/>
      </w:r>
      <w:r w:rsidR="00167001" w:rsidRPr="009448FC">
        <w:instrText xml:space="preserve"> </w:instrText>
      </w:r>
      <w:r w:rsidR="00167001" w:rsidRPr="009448FC">
        <w:rPr>
          <w:rFonts w:hint="eastAsia"/>
        </w:rPr>
        <w:instrText>REF _Ref243986746 \r \h</w:instrText>
      </w:r>
      <w:r w:rsidR="00167001" w:rsidRPr="009448FC">
        <w:instrText xml:space="preserve"> </w:instrText>
      </w:r>
      <w:r w:rsidR="00BD151C" w:rsidRPr="009448FC">
        <w:fldChar w:fldCharType="separate"/>
      </w:r>
      <w:r w:rsidR="003E4210">
        <w:t>11.30.2.1</w:t>
      </w:r>
      <w:r w:rsidR="00BD151C" w:rsidRPr="009448FC">
        <w:fldChar w:fldCharType="end"/>
      </w:r>
      <w:r w:rsidRPr="009448FC">
        <w:rPr>
          <w:rFonts w:hint="eastAsia"/>
        </w:rPr>
        <w:t xml:space="preserve">. In Implicit PCP Handover the PCP distributes the </w:t>
      </w:r>
      <w:r w:rsidRPr="009448FC">
        <w:t>Next</w:t>
      </w:r>
      <w:r w:rsidR="0057337E" w:rsidRPr="009448FC">
        <w:t xml:space="preserve"> </w:t>
      </w:r>
      <w:r w:rsidRPr="009448FC">
        <w:t xml:space="preserve">PCP List </w:t>
      </w:r>
      <w:r w:rsidR="00036588">
        <w:t>e</w:t>
      </w:r>
      <w:r w:rsidR="00036588" w:rsidRPr="009448FC">
        <w:t xml:space="preserve">lement </w:t>
      </w:r>
      <w:r w:rsidRPr="009448FC">
        <w:rPr>
          <w:rFonts w:hint="eastAsia"/>
        </w:rPr>
        <w:t>(</w:t>
      </w:r>
      <w:r w:rsidR="00BD151C" w:rsidRPr="009448FC">
        <w:fldChar w:fldCharType="begin"/>
      </w:r>
      <w:r w:rsidR="0057337E" w:rsidRPr="009448FC">
        <w:instrText xml:space="preserve"> </w:instrText>
      </w:r>
      <w:r w:rsidR="0057337E" w:rsidRPr="009448FC">
        <w:rPr>
          <w:rFonts w:hint="eastAsia"/>
        </w:rPr>
        <w:instrText>REF _Ref244236138 \r \h</w:instrText>
      </w:r>
      <w:r w:rsidR="0057337E" w:rsidRPr="009448FC">
        <w:instrText xml:space="preserve"> </w:instrText>
      </w:r>
      <w:r w:rsidR="00BD151C" w:rsidRPr="009448FC">
        <w:fldChar w:fldCharType="separate"/>
      </w:r>
      <w:r w:rsidR="003E4210">
        <w:t>7.3.2.103</w:t>
      </w:r>
      <w:r w:rsidR="00BD151C" w:rsidRPr="009448FC">
        <w:fldChar w:fldCharType="end"/>
      </w:r>
      <w:r w:rsidRPr="009448FC">
        <w:rPr>
          <w:rFonts w:hint="eastAsia"/>
        </w:rPr>
        <w:t>) in its mmWave Beacon or Announce frame</w:t>
      </w:r>
      <w:r w:rsidR="00036588">
        <w:t>s</w:t>
      </w:r>
      <w:r w:rsidRPr="009448FC">
        <w:rPr>
          <w:rFonts w:hint="eastAsia"/>
        </w:rPr>
        <w:t xml:space="preserve"> and maintains the content of the NextPCP List </w:t>
      </w:r>
      <w:r w:rsidR="002827C0" w:rsidRPr="009448FC">
        <w:rPr>
          <w:rFonts w:hint="eastAsia"/>
        </w:rPr>
        <w:t>element</w:t>
      </w:r>
      <w:r w:rsidRPr="009448FC">
        <w:rPr>
          <w:rFonts w:hint="eastAsia"/>
        </w:rPr>
        <w:t xml:space="preserve"> to facilitate the implicit handover process described in </w:t>
      </w:r>
      <w:r w:rsidR="00BD151C">
        <w:rPr>
          <w:lang w:eastAsia="zh-TW"/>
        </w:rPr>
        <w:fldChar w:fldCharType="begin"/>
      </w:r>
      <w:r w:rsidR="00D2292E">
        <w:rPr>
          <w:lang w:eastAsia="zh-TW"/>
        </w:rPr>
        <w:instrText xml:space="preserve"> </w:instrText>
      </w:r>
      <w:r w:rsidR="00D2292E">
        <w:rPr>
          <w:rFonts w:hint="eastAsia"/>
          <w:lang w:eastAsia="zh-TW"/>
        </w:rPr>
        <w:instrText>REF _Ref243986791 \r \h</w:instrText>
      </w:r>
      <w:r w:rsidR="00D2292E">
        <w:rPr>
          <w:lang w:eastAsia="zh-TW"/>
        </w:rPr>
        <w:instrText xml:space="preserve"> </w:instrText>
      </w:r>
      <w:r w:rsidR="00BD151C">
        <w:rPr>
          <w:lang w:eastAsia="zh-TW"/>
        </w:rPr>
      </w:r>
      <w:r w:rsidR="00BD151C">
        <w:rPr>
          <w:lang w:eastAsia="zh-TW"/>
        </w:rPr>
        <w:fldChar w:fldCharType="separate"/>
      </w:r>
      <w:r w:rsidR="003E4210">
        <w:rPr>
          <w:lang w:eastAsia="zh-TW"/>
        </w:rPr>
        <w:t>11.30.2.2</w:t>
      </w:r>
      <w:r w:rsidR="00BD151C">
        <w:rPr>
          <w:lang w:eastAsia="zh-TW"/>
        </w:rPr>
        <w:fldChar w:fldCharType="end"/>
      </w:r>
      <w:r w:rsidRPr="009448FC">
        <w:rPr>
          <w:rFonts w:hint="eastAsia"/>
        </w:rPr>
        <w:t>.</w:t>
      </w:r>
      <w:r w:rsidR="007870D7">
        <w:t xml:space="preserve"> </w:t>
      </w:r>
      <w:r w:rsidR="00166456">
        <w:t xml:space="preserve">The </w:t>
      </w:r>
      <w:r w:rsidR="009D537D" w:rsidRPr="009D537D">
        <w:rPr>
          <w:iCs/>
          <w:lang w:eastAsia="ko-KR"/>
        </w:rPr>
        <w:t>PCP may decide the priority of Next PCPs and update the Next PCP List based on information contained within a STA’s mmWave PCP/AP Capability element.</w:t>
      </w:r>
    </w:p>
    <w:p w:rsidR="007B6AF1" w:rsidRPr="004E186E" w:rsidRDefault="00631D14" w:rsidP="007B6AF1">
      <w:pPr>
        <w:widowControl w:val="0"/>
        <w:autoSpaceDE w:val="0"/>
        <w:autoSpaceDN w:val="0"/>
        <w:adjustRightInd w:val="0"/>
      </w:pPr>
      <w:r>
        <w:t xml:space="preserve"> </w:t>
      </w:r>
    </w:p>
    <w:p w:rsidR="007B6AF1" w:rsidRPr="009448FC" w:rsidRDefault="007B6AF1" w:rsidP="004B5A14">
      <w:pPr>
        <w:widowControl w:val="0"/>
        <w:autoSpaceDE w:val="0"/>
        <w:autoSpaceDN w:val="0"/>
        <w:adjustRightInd w:val="0"/>
      </w:pPr>
      <w:r w:rsidRPr="009448FC">
        <w:rPr>
          <w:rFonts w:hint="eastAsia"/>
        </w:rPr>
        <w:t>The</w:t>
      </w:r>
      <w:r w:rsidRPr="009448FC">
        <w:t xml:space="preserve"> NextPCP List</w:t>
      </w:r>
      <w:r w:rsidRPr="009448FC">
        <w:rPr>
          <w:rFonts w:hint="eastAsia"/>
        </w:rPr>
        <w:t xml:space="preserve"> </w:t>
      </w:r>
      <w:r w:rsidR="002827C0" w:rsidRPr="009448FC">
        <w:rPr>
          <w:rFonts w:hint="eastAsia"/>
        </w:rPr>
        <w:t>element</w:t>
      </w:r>
      <w:r w:rsidRPr="009448FC">
        <w:rPr>
          <w:rFonts w:hint="eastAsia"/>
        </w:rPr>
        <w:t xml:space="preserve"> </w:t>
      </w:r>
      <w:r w:rsidRPr="009448FC">
        <w:t xml:space="preserve">contains an ordered list of </w:t>
      </w:r>
      <w:r w:rsidRPr="009448FC">
        <w:rPr>
          <w:rFonts w:hint="eastAsia"/>
        </w:rPr>
        <w:t>zero or more PCP</w:t>
      </w:r>
      <w:r w:rsidRPr="009448FC">
        <w:t xml:space="preserve"> handover </w:t>
      </w:r>
      <w:r w:rsidRPr="009448FC">
        <w:rPr>
          <w:rFonts w:hint="eastAsia"/>
        </w:rPr>
        <w:t xml:space="preserve">capable </w:t>
      </w:r>
      <w:r w:rsidRPr="009448FC">
        <w:t xml:space="preserve">STAs that can take over the role of the PCP during implicit handover. The ordering of STAs in the NextPCP List </w:t>
      </w:r>
      <w:r w:rsidRPr="009448FC">
        <w:rPr>
          <w:rFonts w:hint="eastAsia"/>
        </w:rPr>
        <w:t>and the criteria for updating the NextPCP List are</w:t>
      </w:r>
      <w:r w:rsidRPr="009448FC">
        <w:t xml:space="preserve"> implementation specific</w:t>
      </w:r>
      <w:r w:rsidRPr="009448FC">
        <w:rPr>
          <w:rFonts w:hint="eastAsia"/>
        </w:rPr>
        <w:t xml:space="preserve">. </w:t>
      </w:r>
      <w:r w:rsidRPr="009448FC">
        <w:t xml:space="preserve">The PCP shall </w:t>
      </w:r>
      <w:r w:rsidRPr="009448FC">
        <w:rPr>
          <w:rFonts w:hint="eastAsia"/>
        </w:rPr>
        <w:t>increment the Token field of</w:t>
      </w:r>
      <w:r w:rsidRPr="009448FC">
        <w:t xml:space="preserve"> the NextPCP List </w:t>
      </w:r>
      <w:r w:rsidRPr="009448FC">
        <w:rPr>
          <w:rFonts w:hint="eastAsia"/>
        </w:rPr>
        <w:t xml:space="preserve">by 1 </w:t>
      </w:r>
      <w:r w:rsidRPr="009448FC">
        <w:t>every time the list is changed</w:t>
      </w:r>
      <w:r w:rsidR="004E186E">
        <w:t xml:space="preserve"> </w:t>
      </w:r>
      <w:r w:rsidR="004E186E">
        <w:rPr>
          <w:rFonts w:hint="eastAsia"/>
          <w:lang w:eastAsia="zh-TW"/>
        </w:rPr>
        <w:t>or if information pertinent to the operation of the PBSS is changed</w:t>
      </w:r>
      <w:r w:rsidRPr="009448FC">
        <w:rPr>
          <w:rFonts w:hint="eastAsia"/>
        </w:rPr>
        <w:t>.</w:t>
      </w:r>
    </w:p>
    <w:p w:rsidR="007B6AF1" w:rsidRPr="009448FC" w:rsidRDefault="007B6AF1" w:rsidP="007B6AF1">
      <w:pPr>
        <w:autoSpaceDE w:val="0"/>
        <w:autoSpaceDN w:val="0"/>
        <w:adjustRightInd w:val="0"/>
      </w:pPr>
    </w:p>
    <w:p w:rsidR="007B6AF1" w:rsidRPr="009448FC" w:rsidRDefault="007B6AF1" w:rsidP="007B6AF1">
      <w:pPr>
        <w:autoSpaceDE w:val="0"/>
        <w:autoSpaceDN w:val="0"/>
        <w:adjustRightInd w:val="0"/>
      </w:pPr>
      <w:r w:rsidRPr="009448FC">
        <w:t xml:space="preserve">When a PCP handover capable STA takes over the </w:t>
      </w:r>
      <w:r w:rsidRPr="009448FC">
        <w:rPr>
          <w:rFonts w:hint="eastAsia"/>
        </w:rPr>
        <w:t xml:space="preserve">PCP </w:t>
      </w:r>
      <w:r w:rsidRPr="009448FC">
        <w:t>responsibilit</w:t>
      </w:r>
      <w:r w:rsidRPr="009448FC">
        <w:rPr>
          <w:rFonts w:hint="eastAsia"/>
        </w:rPr>
        <w:t>ies</w:t>
      </w:r>
      <w:r w:rsidRPr="009448FC">
        <w:t xml:space="preserve"> of a PBSS, the </w:t>
      </w:r>
      <w:r w:rsidR="004E186E">
        <w:t xml:space="preserve">pseudo-static scheduling </w:t>
      </w:r>
      <w:r w:rsidRPr="009448FC">
        <w:t>information shall remain unchanged.</w:t>
      </w:r>
      <w:r w:rsidR="00281486" w:rsidRPr="009448FC">
        <w:t xml:space="preserve"> </w:t>
      </w:r>
      <w:r w:rsidRPr="009448FC">
        <w:rPr>
          <w:rFonts w:hint="eastAsia"/>
        </w:rPr>
        <w:t xml:space="preserve">Any </w:t>
      </w:r>
      <w:r w:rsidRPr="009448FC">
        <w:t xml:space="preserve">outstanding request for resource allocation is lost and STAs </w:t>
      </w:r>
      <w:r w:rsidRPr="009448FC">
        <w:rPr>
          <w:rFonts w:hint="eastAsia"/>
        </w:rPr>
        <w:t xml:space="preserve">that </w:t>
      </w:r>
      <w:r w:rsidRPr="009448FC">
        <w:t xml:space="preserve">have outstanding requests for allocation </w:t>
      </w:r>
      <w:r w:rsidRPr="009448FC">
        <w:rPr>
          <w:rFonts w:hint="eastAsia"/>
        </w:rPr>
        <w:t>may</w:t>
      </w:r>
      <w:r w:rsidRPr="009448FC">
        <w:t xml:space="preserve"> re-request th</w:t>
      </w:r>
      <w:r w:rsidR="008A2761" w:rsidRPr="009448FC">
        <w:t>e resource allocation.</w:t>
      </w:r>
    </w:p>
    <w:p w:rsidR="007B6AF1" w:rsidRPr="009448FC" w:rsidRDefault="007B6AF1" w:rsidP="007B6AF1">
      <w:pPr>
        <w:autoSpaceDE w:val="0"/>
        <w:autoSpaceDN w:val="0"/>
        <w:adjustRightInd w:val="0"/>
        <w:rPr>
          <w:strike/>
        </w:rPr>
      </w:pPr>
    </w:p>
    <w:p w:rsidR="007B6AF1" w:rsidRPr="009448FC" w:rsidRDefault="007B6AF1" w:rsidP="007B6AF1">
      <w:r w:rsidRPr="009448FC">
        <w:rPr>
          <w:rFonts w:hint="eastAsia"/>
        </w:rPr>
        <w:t>In explicit PCP handover, t</w:t>
      </w:r>
      <w:r w:rsidRPr="009448FC">
        <w:rPr>
          <w:rFonts w:eastAsia="MS Mincho"/>
        </w:rPr>
        <w:t xml:space="preserve">he PCP may use several types of information when selecting the </w:t>
      </w:r>
      <w:r w:rsidRPr="009448FC">
        <w:rPr>
          <w:rFonts w:hint="eastAsia"/>
        </w:rPr>
        <w:t>candidate</w:t>
      </w:r>
      <w:r w:rsidRPr="009448FC">
        <w:rPr>
          <w:rFonts w:eastAsia="MS Mincho"/>
        </w:rPr>
        <w:t xml:space="preserve"> PCP, such as the value of the MAX Associated STA Number field </w:t>
      </w:r>
      <w:r w:rsidR="00B910DA" w:rsidRPr="009448FC">
        <w:rPr>
          <w:rFonts w:eastAsia="MS Mincho"/>
        </w:rPr>
        <w:t xml:space="preserve">within </w:t>
      </w:r>
      <w:r w:rsidR="00ED5C27">
        <w:rPr>
          <w:rFonts w:eastAsia="MS Mincho"/>
        </w:rPr>
        <w:t>the</w:t>
      </w:r>
      <w:r w:rsidR="00ED5C27" w:rsidRPr="009448FC">
        <w:rPr>
          <w:rFonts w:eastAsia="MS Mincho"/>
        </w:rPr>
        <w:t xml:space="preserve"> </w:t>
      </w:r>
      <w:r w:rsidR="00B910DA" w:rsidRPr="009448FC">
        <w:rPr>
          <w:rFonts w:eastAsia="MS Mincho"/>
        </w:rPr>
        <w:t>STA’s mmWave Capabilities</w:t>
      </w:r>
      <w:r w:rsidRPr="009448FC">
        <w:rPr>
          <w:rFonts w:eastAsia="MS Mincho"/>
        </w:rPr>
        <w:t xml:space="preserve"> </w:t>
      </w:r>
      <w:r w:rsidR="002827C0" w:rsidRPr="009448FC">
        <w:rPr>
          <w:rFonts w:eastAsia="MS Mincho"/>
        </w:rPr>
        <w:t>element</w:t>
      </w:r>
      <w:r w:rsidR="00ED5C27">
        <w:rPr>
          <w:rFonts w:eastAsia="MS Mincho"/>
        </w:rPr>
        <w:t xml:space="preserve"> advertised by candidate PCPs</w:t>
      </w:r>
      <w:r w:rsidRPr="009448FC">
        <w:rPr>
          <w:rFonts w:eastAsia="MS Mincho"/>
        </w:rPr>
        <w:t>.</w:t>
      </w:r>
    </w:p>
    <w:p w:rsidR="007B6AF1" w:rsidRPr="009448FC" w:rsidRDefault="007B6AF1" w:rsidP="007B6AF1"/>
    <w:p w:rsidR="007B6AF1" w:rsidRPr="009448FC" w:rsidRDefault="007B6AF1" w:rsidP="007B6AF1">
      <w:r w:rsidRPr="009448FC">
        <w:rPr>
          <w:rFonts w:eastAsia="MS Mincho"/>
        </w:rPr>
        <w:t xml:space="preserve">Following a PCP handover, non-PCP STAs should </w:t>
      </w:r>
      <w:r w:rsidRPr="009448FC">
        <w:rPr>
          <w:rFonts w:hint="eastAsia"/>
        </w:rPr>
        <w:t>transmit a frame to the</w:t>
      </w:r>
      <w:r w:rsidRPr="009448FC">
        <w:rPr>
          <w:rFonts w:eastAsia="MS Mincho"/>
        </w:rPr>
        <w:t xml:space="preserve"> new PCP </w:t>
      </w:r>
      <w:r w:rsidRPr="009448FC">
        <w:rPr>
          <w:rFonts w:hint="eastAsia"/>
        </w:rPr>
        <w:t>within</w:t>
      </w:r>
      <w:r w:rsidRPr="009448FC">
        <w:rPr>
          <w:rFonts w:eastAsia="MS Mincho"/>
        </w:rPr>
        <w:t xml:space="preserve"> </w:t>
      </w:r>
      <w:r w:rsidR="004D1A1B">
        <w:rPr>
          <w:rFonts w:eastAsia="MS Mincho"/>
        </w:rPr>
        <w:t>dot11MaxLostBeacons</w:t>
      </w:r>
      <w:r w:rsidRPr="009448FC">
        <w:rPr>
          <w:rFonts w:eastAsia="MS Mincho"/>
        </w:rPr>
        <w:t xml:space="preserve"> BIs. If the new PCP does not receive at least one frame from an associated non-PCP STA for </w:t>
      </w:r>
      <w:r w:rsidR="004D1A1B">
        <w:rPr>
          <w:rFonts w:eastAsia="MS Mincho"/>
        </w:rPr>
        <w:t>dot11MaxLostBeacons</w:t>
      </w:r>
      <w:r w:rsidRPr="009448FC">
        <w:rPr>
          <w:rFonts w:eastAsia="MS Mincho"/>
        </w:rPr>
        <w:t xml:space="preserve"> BIs following a PCP handover, it should remove the STA from the PBSS.</w:t>
      </w:r>
    </w:p>
    <w:p w:rsidR="007B6AF1" w:rsidRPr="009448FC" w:rsidRDefault="007B6AF1" w:rsidP="004B5A14">
      <w:pPr>
        <w:autoSpaceDE w:val="0"/>
        <w:autoSpaceDN w:val="0"/>
        <w:adjustRightInd w:val="0"/>
        <w:rPr>
          <w:i/>
        </w:rPr>
      </w:pPr>
    </w:p>
    <w:p w:rsidR="008C36FC" w:rsidRPr="009448FC" w:rsidRDefault="004659EF" w:rsidP="003701DB">
      <w:pPr>
        <w:pStyle w:val="Heading4"/>
        <w:numPr>
          <w:ilvl w:val="3"/>
          <w:numId w:val="155"/>
        </w:numPr>
      </w:pPr>
      <w:bookmarkStart w:id="2714" w:name="_Toc235400605"/>
      <w:bookmarkStart w:id="2715" w:name="_Ref243986746"/>
      <w:bookmarkStart w:id="2716" w:name="_Ref244236969"/>
      <w:bookmarkStart w:id="2717" w:name="_Toc259717251"/>
      <w:r w:rsidRPr="009448FC">
        <w:t xml:space="preserve">Explicit </w:t>
      </w:r>
      <w:r w:rsidR="008C36FC" w:rsidRPr="009448FC">
        <w:t>Handover procedure</w:t>
      </w:r>
      <w:bookmarkEnd w:id="2714"/>
      <w:bookmarkEnd w:id="2715"/>
      <w:bookmarkEnd w:id="2716"/>
      <w:bookmarkEnd w:id="2717"/>
    </w:p>
    <w:p w:rsidR="004659EF" w:rsidRPr="009448FC" w:rsidRDefault="004659EF" w:rsidP="004659EF">
      <w:pPr>
        <w:autoSpaceDE w:val="0"/>
        <w:autoSpaceDN w:val="0"/>
        <w:adjustRightInd w:val="0"/>
      </w:pPr>
      <w:r w:rsidRPr="009448FC">
        <w:rPr>
          <w:rFonts w:eastAsia="MS Mincho"/>
        </w:rPr>
        <w:t xml:space="preserve">The PCP </w:t>
      </w:r>
      <w:r w:rsidR="008E7774">
        <w:rPr>
          <w:rFonts w:eastAsia="MS Mincho"/>
        </w:rPr>
        <w:t>may</w:t>
      </w:r>
      <w:r w:rsidRPr="009448FC">
        <w:rPr>
          <w:rFonts w:eastAsia="MS Mincho"/>
        </w:rPr>
        <w:t xml:space="preserve"> transmit a Handover Request frame to a non-PCP STA that is handover capable. </w:t>
      </w:r>
      <w:r w:rsidRPr="009448FC">
        <w:rPr>
          <w:rFonts w:hint="eastAsia"/>
        </w:rPr>
        <w:t>Upon receiving</w:t>
      </w:r>
      <w:r w:rsidRPr="009448FC">
        <w:rPr>
          <w:rFonts w:eastAsia="MS Mincho"/>
        </w:rPr>
        <w:t xml:space="preserve"> a Handover Request, </w:t>
      </w:r>
      <w:r w:rsidRPr="009448FC">
        <w:rPr>
          <w:rFonts w:hint="eastAsia"/>
        </w:rPr>
        <w:t>a</w:t>
      </w:r>
      <w:r w:rsidRPr="009448FC">
        <w:rPr>
          <w:rFonts w:eastAsia="MS Mincho"/>
        </w:rPr>
        <w:t xml:space="preserve"> non-PCP STA becomes the candidate PCP. If the Handover Request is accepted, the candidate PCP shall transmit a Handover Response frame to the PCP with the </w:t>
      </w:r>
      <w:r w:rsidRPr="009448FC">
        <w:t>Handover Result field set to 0</w:t>
      </w:r>
      <w:r w:rsidRPr="009448FC">
        <w:rPr>
          <w:rFonts w:eastAsia="MS Mincho"/>
        </w:rPr>
        <w:t xml:space="preserve">. If the Handover Request is rejected, the candidate PCP shall transmit a Handover Response frame to the PCP with the </w:t>
      </w:r>
      <w:r w:rsidRPr="009448FC">
        <w:t>Handover Result field set to 1</w:t>
      </w:r>
      <w:r w:rsidRPr="009448FC">
        <w:rPr>
          <w:rFonts w:hint="eastAsia"/>
        </w:rPr>
        <w:t xml:space="preserve"> </w:t>
      </w:r>
      <w:r w:rsidR="00FA110D">
        <w:t xml:space="preserve">or 2 </w:t>
      </w:r>
      <w:r w:rsidRPr="009448FC">
        <w:rPr>
          <w:rFonts w:hint="eastAsia"/>
        </w:rPr>
        <w:t>and cease to be the candidate PCP.</w:t>
      </w:r>
    </w:p>
    <w:p w:rsidR="004659EF" w:rsidRDefault="004659EF" w:rsidP="004659EF">
      <w:pPr>
        <w:autoSpaceDE w:val="0"/>
        <w:autoSpaceDN w:val="0"/>
        <w:adjustRightInd w:val="0"/>
        <w:rPr>
          <w:rFonts w:eastAsia="MS Mincho"/>
        </w:rPr>
      </w:pPr>
    </w:p>
    <w:p w:rsidR="0050463A" w:rsidRDefault="0050463A" w:rsidP="004659EF">
      <w:pPr>
        <w:autoSpaceDE w:val="0"/>
        <w:autoSpaceDN w:val="0"/>
        <w:adjustRightInd w:val="0"/>
        <w:rPr>
          <w:lang w:eastAsia="ko-KR"/>
        </w:rPr>
      </w:pPr>
      <w:r>
        <w:rPr>
          <w:lang w:eastAsia="ko-KR"/>
        </w:rPr>
        <w:t>A</w:t>
      </w:r>
      <w:r>
        <w:rPr>
          <w:rFonts w:hint="eastAsia"/>
          <w:lang w:eastAsia="ko-KR"/>
        </w:rPr>
        <w:t xml:space="preserve"> non-PCP STA that is handover capable </w:t>
      </w:r>
      <w:r w:rsidR="008E7774">
        <w:rPr>
          <w:lang w:eastAsia="ko-KR"/>
        </w:rPr>
        <w:t>may</w:t>
      </w:r>
      <w:r>
        <w:rPr>
          <w:rFonts w:hint="eastAsia"/>
          <w:lang w:eastAsia="ko-KR"/>
        </w:rPr>
        <w:t xml:space="preserve"> transmit a Handover Request frame to </w:t>
      </w:r>
      <w:r>
        <w:rPr>
          <w:lang w:eastAsia="ko-KR"/>
        </w:rPr>
        <w:t xml:space="preserve">a handover capable </w:t>
      </w:r>
      <w:r>
        <w:rPr>
          <w:rFonts w:hint="eastAsia"/>
          <w:lang w:eastAsia="ko-KR"/>
        </w:rPr>
        <w:t xml:space="preserve">PCP. Upon </w:t>
      </w:r>
      <w:r>
        <w:rPr>
          <w:lang w:eastAsia="ko-KR"/>
        </w:rPr>
        <w:t>transmission of</w:t>
      </w:r>
      <w:r>
        <w:rPr>
          <w:rFonts w:hint="eastAsia"/>
          <w:lang w:eastAsia="ko-KR"/>
        </w:rPr>
        <w:t xml:space="preserve"> </w:t>
      </w:r>
      <w:r>
        <w:rPr>
          <w:lang w:eastAsia="ko-KR"/>
        </w:rPr>
        <w:t>the</w:t>
      </w:r>
      <w:r>
        <w:rPr>
          <w:rFonts w:hint="eastAsia"/>
          <w:lang w:eastAsia="ko-KR"/>
        </w:rPr>
        <w:t xml:space="preserve"> Handover Request</w:t>
      </w:r>
      <w:r>
        <w:rPr>
          <w:lang w:eastAsia="ko-KR"/>
        </w:rPr>
        <w:t xml:space="preserve"> frame</w:t>
      </w:r>
      <w:r>
        <w:rPr>
          <w:rFonts w:hint="eastAsia"/>
          <w:lang w:eastAsia="ko-KR"/>
        </w:rPr>
        <w:t xml:space="preserve">, </w:t>
      </w:r>
      <w:r>
        <w:rPr>
          <w:lang w:eastAsia="ko-KR"/>
        </w:rPr>
        <w:t>the</w:t>
      </w:r>
      <w:r>
        <w:rPr>
          <w:rFonts w:hint="eastAsia"/>
          <w:lang w:eastAsia="ko-KR"/>
        </w:rPr>
        <w:t xml:space="preserve"> non-PCP STA becomes the candidate PCP. If the Handover Request is accepted, </w:t>
      </w:r>
      <w:r>
        <w:rPr>
          <w:lang w:eastAsia="ko-KR"/>
        </w:rPr>
        <w:t xml:space="preserve">the </w:t>
      </w:r>
      <w:r>
        <w:rPr>
          <w:rFonts w:hint="eastAsia"/>
          <w:lang w:eastAsia="ko-KR"/>
        </w:rPr>
        <w:t xml:space="preserve">PCP shall transmit a Handover Response frame to the candidate PCP with the Handover Result field set to 0. If the Handover Request is rejected, the PCP shall transmit a Handover Response frame to the candidate PCP with the Handover Result field set to 1 </w:t>
      </w:r>
      <w:r w:rsidR="008E463B">
        <w:rPr>
          <w:lang w:eastAsia="ko-KR"/>
        </w:rPr>
        <w:t xml:space="preserve">or 2 </w:t>
      </w:r>
      <w:r>
        <w:rPr>
          <w:rFonts w:hint="eastAsia"/>
          <w:lang w:eastAsia="ko-KR"/>
        </w:rPr>
        <w:t xml:space="preserve">and the candidate PCP shall cease to be </w:t>
      </w:r>
      <w:r w:rsidR="008E463B">
        <w:rPr>
          <w:lang w:eastAsia="ko-KR"/>
        </w:rPr>
        <w:t>a</w:t>
      </w:r>
      <w:r>
        <w:rPr>
          <w:rFonts w:hint="eastAsia"/>
          <w:lang w:eastAsia="ko-KR"/>
        </w:rPr>
        <w:t xml:space="preserve"> candidate PCP.</w:t>
      </w:r>
    </w:p>
    <w:p w:rsidR="0050463A" w:rsidRPr="009448FC" w:rsidRDefault="00631D14" w:rsidP="004659EF">
      <w:pPr>
        <w:autoSpaceDE w:val="0"/>
        <w:autoSpaceDN w:val="0"/>
        <w:adjustRightInd w:val="0"/>
        <w:rPr>
          <w:rFonts w:eastAsia="MS Mincho"/>
        </w:rPr>
      </w:pPr>
      <w:r>
        <w:rPr>
          <w:rFonts w:eastAsia="MS Mincho"/>
        </w:rPr>
        <w:t xml:space="preserve"> </w:t>
      </w:r>
    </w:p>
    <w:p w:rsidR="004659EF" w:rsidRPr="009448FC" w:rsidRDefault="00ED5C27" w:rsidP="004659EF">
      <w:pPr>
        <w:autoSpaceDE w:val="0"/>
        <w:autoSpaceDN w:val="0"/>
        <w:adjustRightInd w:val="0"/>
        <w:rPr>
          <w:rFonts w:eastAsia="MS Mincho"/>
        </w:rPr>
      </w:pPr>
      <w:r>
        <w:rPr>
          <w:rFonts w:hint="eastAsia"/>
          <w:lang w:eastAsia="zh-TW"/>
        </w:rPr>
        <w:t xml:space="preserve">Following the transmission </w:t>
      </w:r>
      <w:r w:rsidR="008E463B">
        <w:rPr>
          <w:lang w:eastAsia="zh-TW"/>
        </w:rPr>
        <w:t xml:space="preserve">or reception </w:t>
      </w:r>
      <w:r>
        <w:rPr>
          <w:rFonts w:hint="eastAsia"/>
          <w:lang w:eastAsia="zh-TW"/>
        </w:rPr>
        <w:t>of a successful Handover Response</w:t>
      </w:r>
      <w:r w:rsidR="0050463A">
        <w:rPr>
          <w:lang w:eastAsia="zh-TW"/>
        </w:rPr>
        <w:t xml:space="preserve"> frame</w:t>
      </w:r>
      <w:r>
        <w:rPr>
          <w:rFonts w:hint="eastAsia"/>
          <w:lang w:eastAsia="zh-TW"/>
        </w:rPr>
        <w:t>, a</w:t>
      </w:r>
      <w:r w:rsidR="004659EF" w:rsidRPr="009448FC">
        <w:rPr>
          <w:rFonts w:hint="eastAsia"/>
        </w:rPr>
        <w:t xml:space="preserve"> candidate PCP should request STA information</w:t>
      </w:r>
      <w:r w:rsidR="00036588">
        <w:t xml:space="preserve"> </w:t>
      </w:r>
      <w:r w:rsidR="004659EF" w:rsidRPr="009448FC">
        <w:rPr>
          <w:rFonts w:hint="eastAsia"/>
        </w:rPr>
        <w:t xml:space="preserve">and </w:t>
      </w:r>
      <w:r>
        <w:t>pseudo-static scheduling</w:t>
      </w:r>
      <w:r w:rsidRPr="009448FC">
        <w:rPr>
          <w:rFonts w:hint="eastAsia"/>
        </w:rPr>
        <w:t xml:space="preserve"> </w:t>
      </w:r>
      <w:r w:rsidR="004659EF" w:rsidRPr="009448FC">
        <w:rPr>
          <w:rFonts w:hint="eastAsia"/>
        </w:rPr>
        <w:t xml:space="preserve">information from the PCP using </w:t>
      </w:r>
      <w:r w:rsidR="00036588">
        <w:t xml:space="preserve">an </w:t>
      </w:r>
      <w:r w:rsidR="004659EF" w:rsidRPr="009448FC">
        <w:rPr>
          <w:rFonts w:hint="eastAsia"/>
        </w:rPr>
        <w:t>Information Request frame</w:t>
      </w:r>
      <w:r>
        <w:t xml:space="preserve"> </w:t>
      </w:r>
      <w:r>
        <w:rPr>
          <w:rFonts w:hint="eastAsia"/>
          <w:lang w:eastAsia="zh-TW"/>
        </w:rPr>
        <w:t xml:space="preserve">within the next </w:t>
      </w:r>
      <w:r w:rsidRPr="009448FC">
        <w:rPr>
          <w:rFonts w:eastAsia="Batang"/>
        </w:rPr>
        <w:t>dot11NbrOfChangeBeacons</w:t>
      </w:r>
      <w:r w:rsidRPr="009448FC">
        <w:rPr>
          <w:rFonts w:eastAsia="MS Mincho"/>
        </w:rPr>
        <w:t xml:space="preserve"> BIs</w:t>
      </w:r>
      <w:r w:rsidR="004659EF" w:rsidRPr="009448FC">
        <w:rPr>
          <w:rFonts w:hint="eastAsia"/>
        </w:rPr>
        <w:t>. The candidate PCP should also request SPs to p</w:t>
      </w:r>
      <w:r w:rsidR="004659EF" w:rsidRPr="009448FC">
        <w:rPr>
          <w:rFonts w:eastAsia="MS Mincho"/>
        </w:rPr>
        <w:t xml:space="preserve">erform beamforming and </w:t>
      </w:r>
      <w:r>
        <w:rPr>
          <w:rFonts w:eastAsia="MS Mincho"/>
        </w:rPr>
        <w:t>establish security association</w:t>
      </w:r>
      <w:r w:rsidR="004659EF" w:rsidRPr="009448FC">
        <w:rPr>
          <w:rFonts w:eastAsia="MS Mincho"/>
        </w:rPr>
        <w:t xml:space="preserve"> with other associated STAs </w:t>
      </w:r>
      <w:r w:rsidR="004659EF" w:rsidRPr="009448FC">
        <w:rPr>
          <w:rFonts w:hint="eastAsia"/>
        </w:rPr>
        <w:t>prior to</w:t>
      </w:r>
      <w:r w:rsidR="004659EF" w:rsidRPr="009448FC">
        <w:rPr>
          <w:rFonts w:eastAsia="MS Mincho"/>
        </w:rPr>
        <w:t xml:space="preserve"> the </w:t>
      </w:r>
      <w:r w:rsidR="004659EF" w:rsidRPr="009448FC">
        <w:rPr>
          <w:rFonts w:hint="eastAsia"/>
        </w:rPr>
        <w:t xml:space="preserve">completion of PCP </w:t>
      </w:r>
      <w:r w:rsidR="004659EF" w:rsidRPr="009448FC">
        <w:rPr>
          <w:rFonts w:eastAsia="MS Mincho"/>
        </w:rPr>
        <w:t>handover.</w:t>
      </w:r>
    </w:p>
    <w:p w:rsidR="004659EF" w:rsidRPr="009448FC" w:rsidRDefault="004659EF" w:rsidP="004659EF">
      <w:pPr>
        <w:autoSpaceDE w:val="0"/>
        <w:autoSpaceDN w:val="0"/>
        <w:adjustRightInd w:val="0"/>
      </w:pPr>
    </w:p>
    <w:p w:rsidR="004659EF" w:rsidRPr="009448FC" w:rsidRDefault="004659EF" w:rsidP="004659EF">
      <w:pPr>
        <w:autoSpaceDE w:val="0"/>
        <w:autoSpaceDN w:val="0"/>
        <w:adjustRightInd w:val="0"/>
        <w:rPr>
          <w:rFonts w:eastAsia="MS Mincho"/>
        </w:rPr>
      </w:pPr>
      <w:r w:rsidRPr="009448FC">
        <w:rPr>
          <w:rFonts w:eastAsia="MS Mincho"/>
        </w:rPr>
        <w:t xml:space="preserve">Following </w:t>
      </w:r>
      <w:r w:rsidR="00ED5C27">
        <w:rPr>
          <w:rFonts w:eastAsia="MS Mincho"/>
        </w:rPr>
        <w:t xml:space="preserve">the reception </w:t>
      </w:r>
      <w:r w:rsidR="00FA110D">
        <w:rPr>
          <w:rFonts w:eastAsia="MS Mincho"/>
        </w:rPr>
        <w:t xml:space="preserve">or transmission </w:t>
      </w:r>
      <w:r w:rsidR="00ED5C27">
        <w:rPr>
          <w:rFonts w:eastAsia="MS Mincho"/>
        </w:rPr>
        <w:t xml:space="preserve">of </w:t>
      </w:r>
      <w:r w:rsidRPr="009448FC">
        <w:rPr>
          <w:rFonts w:eastAsia="MS Mincho"/>
        </w:rPr>
        <w:t xml:space="preserve">a successful </w:t>
      </w:r>
      <w:r w:rsidR="00ED5C27">
        <w:rPr>
          <w:rFonts w:eastAsia="MS Mincho"/>
        </w:rPr>
        <w:t>H</w:t>
      </w:r>
      <w:r w:rsidR="00ED5C27" w:rsidRPr="009448FC">
        <w:rPr>
          <w:rFonts w:eastAsia="MS Mincho"/>
        </w:rPr>
        <w:t xml:space="preserve">andover </w:t>
      </w:r>
      <w:r w:rsidR="00ED5C27">
        <w:rPr>
          <w:rFonts w:eastAsia="MS Mincho"/>
        </w:rPr>
        <w:t>Response frame</w:t>
      </w:r>
      <w:r w:rsidRPr="009448FC">
        <w:rPr>
          <w:rFonts w:eastAsia="MS Mincho"/>
        </w:rPr>
        <w:t xml:space="preserve">, the PCP shall transmit the PCP Handover </w:t>
      </w:r>
      <w:r w:rsidR="002827C0" w:rsidRPr="009448FC">
        <w:rPr>
          <w:rFonts w:eastAsia="MS Mincho"/>
        </w:rPr>
        <w:t>element</w:t>
      </w:r>
      <w:r w:rsidRPr="009448FC">
        <w:rPr>
          <w:rFonts w:eastAsia="MS Mincho"/>
        </w:rPr>
        <w:t xml:space="preserve"> within its mmWave </w:t>
      </w:r>
      <w:r w:rsidRPr="009448FC">
        <w:rPr>
          <w:rFonts w:hint="eastAsia"/>
        </w:rPr>
        <w:t xml:space="preserve">Beacon </w:t>
      </w:r>
      <w:r w:rsidRPr="009448FC">
        <w:rPr>
          <w:rFonts w:eastAsia="MS Mincho"/>
        </w:rPr>
        <w:t xml:space="preserve">or Announce frame for </w:t>
      </w:r>
      <w:r w:rsidR="00ED5C27">
        <w:rPr>
          <w:rFonts w:eastAsia="MS Mincho"/>
        </w:rPr>
        <w:t xml:space="preserve">each of </w:t>
      </w:r>
      <w:r w:rsidRPr="009448FC">
        <w:rPr>
          <w:rFonts w:eastAsia="MS Mincho"/>
        </w:rPr>
        <w:t xml:space="preserve">the next </w:t>
      </w:r>
      <w:r w:rsidRPr="009448FC">
        <w:rPr>
          <w:rFonts w:eastAsia="Batang"/>
        </w:rPr>
        <w:t>dot11NbrOfChangeBeacons</w:t>
      </w:r>
      <w:r w:rsidRPr="009448FC">
        <w:rPr>
          <w:rFonts w:eastAsia="MS Mincho"/>
        </w:rPr>
        <w:t xml:space="preserve"> BIs and shall set the Remaining BIs field within the PCP Handover </w:t>
      </w:r>
      <w:r w:rsidR="002827C0" w:rsidRPr="009448FC">
        <w:rPr>
          <w:rFonts w:eastAsia="MS Mincho"/>
        </w:rPr>
        <w:t>element</w:t>
      </w:r>
      <w:r w:rsidRPr="009448FC">
        <w:rPr>
          <w:rFonts w:eastAsia="MS Mincho"/>
        </w:rPr>
        <w:t xml:space="preserve"> to the number of BIs remaining until the candidate PCP takes over the role of the PBSS’s PCP. The initial value of the Remaining BIs field shall be equal to the value transmitted by the PCP in the </w:t>
      </w:r>
      <w:r w:rsidRPr="009448FC">
        <w:t>Handover Remaining BI</w:t>
      </w:r>
      <w:r w:rsidRPr="009448FC">
        <w:rPr>
          <w:rFonts w:eastAsia="MS Mincho"/>
        </w:rPr>
        <w:t xml:space="preserve"> field within the last transmitted Handover Request frame to the candidate PCP</w:t>
      </w:r>
      <w:r w:rsidR="00FA110D">
        <w:rPr>
          <w:rFonts w:eastAsia="MS Mincho"/>
        </w:rPr>
        <w:t xml:space="preserve">, or </w:t>
      </w:r>
      <w:r w:rsidR="00FA110D" w:rsidRPr="009448FC">
        <w:rPr>
          <w:rFonts w:eastAsia="MS Mincho"/>
        </w:rPr>
        <w:t xml:space="preserve">equal to the value </w:t>
      </w:r>
      <w:r w:rsidR="00FA110D">
        <w:rPr>
          <w:rFonts w:eastAsia="MS Mincho"/>
        </w:rPr>
        <w:t>received</w:t>
      </w:r>
      <w:r w:rsidR="00FA110D" w:rsidRPr="009448FC">
        <w:rPr>
          <w:rFonts w:eastAsia="MS Mincho"/>
        </w:rPr>
        <w:t xml:space="preserve"> by the PCP in the </w:t>
      </w:r>
      <w:r w:rsidR="00FA110D" w:rsidRPr="009448FC">
        <w:t>Handover Remaining BI</w:t>
      </w:r>
      <w:r w:rsidR="00FA110D" w:rsidRPr="009448FC">
        <w:rPr>
          <w:rFonts w:eastAsia="MS Mincho"/>
        </w:rPr>
        <w:t xml:space="preserve"> field within the last </w:t>
      </w:r>
      <w:r w:rsidR="00FA110D">
        <w:rPr>
          <w:rFonts w:eastAsia="MS Mincho"/>
        </w:rPr>
        <w:t>received</w:t>
      </w:r>
      <w:r w:rsidR="00FA110D" w:rsidRPr="009448FC">
        <w:rPr>
          <w:rFonts w:eastAsia="MS Mincho"/>
        </w:rPr>
        <w:t xml:space="preserve"> Handover Request frame </w:t>
      </w:r>
      <w:r w:rsidR="00FA110D">
        <w:rPr>
          <w:rFonts w:eastAsia="MS Mincho"/>
        </w:rPr>
        <w:t xml:space="preserve">from </w:t>
      </w:r>
      <w:r w:rsidR="00FA110D" w:rsidRPr="009448FC">
        <w:rPr>
          <w:rFonts w:eastAsia="MS Mincho"/>
        </w:rPr>
        <w:t>the candidate PCP</w:t>
      </w:r>
      <w:r w:rsidRPr="009448FC">
        <w:rPr>
          <w:rFonts w:eastAsia="MS Mincho"/>
        </w:rPr>
        <w:t xml:space="preserve">. A non-PCP STA receiving a mmWave </w:t>
      </w:r>
      <w:r w:rsidRPr="009448FC">
        <w:rPr>
          <w:rFonts w:hint="eastAsia"/>
        </w:rPr>
        <w:t xml:space="preserve">Beacon </w:t>
      </w:r>
      <w:r w:rsidRPr="009448FC">
        <w:rPr>
          <w:rFonts w:eastAsia="MS Mincho"/>
        </w:rPr>
        <w:t xml:space="preserve">or Announce </w:t>
      </w:r>
      <w:r w:rsidRPr="009448FC">
        <w:rPr>
          <w:rFonts w:hint="eastAsia"/>
        </w:rPr>
        <w:t xml:space="preserve">frame </w:t>
      </w:r>
      <w:r w:rsidRPr="009448FC">
        <w:rPr>
          <w:rFonts w:eastAsia="MS Mincho"/>
        </w:rPr>
        <w:t xml:space="preserve">containing the PCP Handover </w:t>
      </w:r>
      <w:r w:rsidR="002827C0" w:rsidRPr="009448FC">
        <w:rPr>
          <w:rFonts w:eastAsia="MS Mincho"/>
        </w:rPr>
        <w:t>element</w:t>
      </w:r>
      <w:r w:rsidRPr="009448FC">
        <w:rPr>
          <w:rFonts w:eastAsia="MS Mincho"/>
        </w:rPr>
        <w:t xml:space="preserve"> shall set the STA’s local countdown counter to the value of the Remaining BIs field contained in the PCP Handover </w:t>
      </w:r>
      <w:r w:rsidR="002827C0" w:rsidRPr="009448FC">
        <w:rPr>
          <w:rFonts w:eastAsia="MS Mincho"/>
        </w:rPr>
        <w:t>element</w:t>
      </w:r>
      <w:r w:rsidRPr="009448FC">
        <w:rPr>
          <w:rFonts w:eastAsia="MS Mincho"/>
        </w:rPr>
        <w:t>. The STAs shall then decrease the local countdown counter by one at each TBTT and shall use the candidate PCP’s address as the new beacon filter address once the STA’s local countdown reaches zero.</w:t>
      </w:r>
      <w:r w:rsidRPr="009448FC">
        <w:rPr>
          <w:rFonts w:hint="eastAsia"/>
        </w:rPr>
        <w:t xml:space="preserve"> When exiting sleep state, a STA shall decrement the local countdown counter by the number of BI(s) in the sleep state it is exiting from.</w:t>
      </w:r>
    </w:p>
    <w:p w:rsidR="004659EF" w:rsidRPr="009448FC" w:rsidRDefault="004659EF" w:rsidP="004659EF">
      <w:pPr>
        <w:autoSpaceDE w:val="0"/>
        <w:autoSpaceDN w:val="0"/>
        <w:adjustRightInd w:val="0"/>
        <w:rPr>
          <w:sz w:val="23"/>
        </w:rPr>
      </w:pPr>
    </w:p>
    <w:p w:rsidR="005E5F55" w:rsidRPr="009448FC" w:rsidRDefault="005E5F55" w:rsidP="003701DB">
      <w:pPr>
        <w:pStyle w:val="Heading4"/>
        <w:numPr>
          <w:ilvl w:val="3"/>
          <w:numId w:val="154"/>
        </w:numPr>
      </w:pPr>
      <w:bookmarkStart w:id="2718" w:name="_Toc256692231"/>
      <w:bookmarkStart w:id="2719" w:name="_Toc256694947"/>
      <w:bookmarkStart w:id="2720" w:name="_Toc257028055"/>
      <w:bookmarkStart w:id="2721" w:name="_Toc257028677"/>
      <w:bookmarkStart w:id="2722" w:name="_Toc257039326"/>
      <w:bookmarkStart w:id="2723" w:name="_Ref243986791"/>
      <w:bookmarkStart w:id="2724" w:name="_Toc259717252"/>
      <w:bookmarkEnd w:id="2718"/>
      <w:bookmarkEnd w:id="2719"/>
      <w:bookmarkEnd w:id="2720"/>
      <w:bookmarkEnd w:id="2721"/>
      <w:bookmarkEnd w:id="2722"/>
      <w:r w:rsidRPr="009448FC">
        <w:t>Implicit Handover procedure</w:t>
      </w:r>
      <w:bookmarkEnd w:id="2723"/>
      <w:bookmarkEnd w:id="2724"/>
    </w:p>
    <w:p w:rsidR="009157A7" w:rsidRPr="009448FC" w:rsidRDefault="009157A7" w:rsidP="009157A7">
      <w:pPr>
        <w:autoSpaceDE w:val="0"/>
        <w:autoSpaceDN w:val="0"/>
        <w:adjustRightInd w:val="0"/>
      </w:pPr>
      <w:bookmarkStart w:id="2725" w:name="_Toc243399911"/>
      <w:bookmarkStart w:id="2726" w:name="_Toc243455905"/>
      <w:bookmarkStart w:id="2727" w:name="_Toc243461772"/>
      <w:bookmarkStart w:id="2728" w:name="_Toc243399913"/>
      <w:bookmarkStart w:id="2729" w:name="_Toc243455907"/>
      <w:bookmarkStart w:id="2730" w:name="_Toc243461774"/>
      <w:bookmarkStart w:id="2731" w:name="_Toc243399914"/>
      <w:bookmarkStart w:id="2732" w:name="_Toc243455908"/>
      <w:bookmarkStart w:id="2733" w:name="_Toc243461775"/>
      <w:bookmarkStart w:id="2734" w:name="_Toc243399916"/>
      <w:bookmarkStart w:id="2735" w:name="_Toc243455910"/>
      <w:bookmarkStart w:id="2736" w:name="_Toc243461777"/>
      <w:bookmarkStart w:id="2737" w:name="_Toc243399917"/>
      <w:bookmarkStart w:id="2738" w:name="_Toc243455911"/>
      <w:bookmarkStart w:id="2739" w:name="_Toc243461778"/>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r w:rsidRPr="009448FC">
        <w:rPr>
          <w:rFonts w:hint="eastAsia"/>
        </w:rPr>
        <w:t xml:space="preserve">Upon receiving the NextPCP List </w:t>
      </w:r>
      <w:r w:rsidR="002827C0" w:rsidRPr="009448FC">
        <w:rPr>
          <w:rFonts w:hint="eastAsia"/>
        </w:rPr>
        <w:t>element</w:t>
      </w:r>
      <w:r w:rsidRPr="009448FC">
        <w:rPr>
          <w:rFonts w:hint="eastAsia"/>
        </w:rPr>
        <w:t>, a PCP</w:t>
      </w:r>
      <w:r w:rsidRPr="009448FC">
        <w:t xml:space="preserve"> handover </w:t>
      </w:r>
      <w:r w:rsidRPr="009448FC">
        <w:rPr>
          <w:rFonts w:hint="eastAsia"/>
        </w:rPr>
        <w:t xml:space="preserve">capable STA </w:t>
      </w:r>
      <w:r w:rsidR="00C2396A">
        <w:t xml:space="preserve">which </w:t>
      </w:r>
      <w:r w:rsidRPr="009448FC">
        <w:t xml:space="preserve">finds its AID </w:t>
      </w:r>
      <w:r w:rsidR="00C2396A">
        <w:t>as</w:t>
      </w:r>
      <w:r w:rsidR="00C2396A" w:rsidRPr="009448FC">
        <w:t xml:space="preserve"> </w:t>
      </w:r>
      <w:r w:rsidRPr="009448FC">
        <w:t xml:space="preserve">the </w:t>
      </w:r>
      <w:r w:rsidR="00C2396A">
        <w:t>i</w:t>
      </w:r>
      <w:r w:rsidR="009D537D" w:rsidRPr="009D537D">
        <w:rPr>
          <w:vertAlign w:val="superscript"/>
        </w:rPr>
        <w:t>th</w:t>
      </w:r>
      <w:r w:rsidR="00C2396A">
        <w:t xml:space="preserve"> AID entry in the </w:t>
      </w:r>
      <w:r w:rsidRPr="009448FC">
        <w:rPr>
          <w:rFonts w:hint="eastAsia"/>
        </w:rPr>
        <w:t xml:space="preserve">NextPCP List </w:t>
      </w:r>
      <w:r w:rsidR="002827C0" w:rsidRPr="009448FC">
        <w:t>element</w:t>
      </w:r>
      <w:r w:rsidRPr="009448FC">
        <w:t xml:space="preserve"> received from the PCP </w:t>
      </w:r>
      <w:r w:rsidR="00C2396A">
        <w:t>becomes the i</w:t>
      </w:r>
      <w:r w:rsidR="00C2396A" w:rsidRPr="00C2396A">
        <w:rPr>
          <w:vertAlign w:val="superscript"/>
        </w:rPr>
        <w:t>th</w:t>
      </w:r>
      <w:r w:rsidR="00C2396A">
        <w:t xml:space="preserve"> Implicit candidate PCP. Upon detecting a</w:t>
      </w:r>
      <w:r w:rsidRPr="009448FC">
        <w:rPr>
          <w:rFonts w:hint="eastAsia"/>
        </w:rPr>
        <w:t xml:space="preserve"> Token value </w:t>
      </w:r>
      <w:r w:rsidRPr="009448FC">
        <w:t xml:space="preserve">contained in the NextPCP List </w:t>
      </w:r>
      <w:r w:rsidR="002827C0" w:rsidRPr="009448FC">
        <w:t>element</w:t>
      </w:r>
      <w:r w:rsidRPr="009448FC">
        <w:t xml:space="preserve"> </w:t>
      </w:r>
      <w:r w:rsidRPr="009448FC">
        <w:rPr>
          <w:rFonts w:hint="eastAsia"/>
        </w:rPr>
        <w:t xml:space="preserve">is different from </w:t>
      </w:r>
      <w:r w:rsidRPr="009448FC">
        <w:t xml:space="preserve">the value of the last </w:t>
      </w:r>
      <w:r w:rsidRPr="009448FC">
        <w:rPr>
          <w:rFonts w:hint="eastAsia"/>
        </w:rPr>
        <w:t xml:space="preserve">Token </w:t>
      </w:r>
      <w:r w:rsidRPr="009448FC">
        <w:t>received from the PCP</w:t>
      </w:r>
      <w:r w:rsidR="00036588">
        <w:t>,</w:t>
      </w:r>
      <w:r w:rsidRPr="009448FC">
        <w:t xml:space="preserve"> </w:t>
      </w:r>
      <w:r w:rsidR="00C2396A">
        <w:t>each Implicit candidate</w:t>
      </w:r>
      <w:r w:rsidRPr="009448FC">
        <w:t xml:space="preserve"> </w:t>
      </w:r>
      <w:r w:rsidR="00C2396A">
        <w:t>PCP</w:t>
      </w:r>
      <w:r w:rsidR="00C2396A" w:rsidRPr="009448FC">
        <w:t xml:space="preserve"> </w:t>
      </w:r>
      <w:r w:rsidRPr="009448FC">
        <w:rPr>
          <w:rFonts w:hint="eastAsia"/>
        </w:rPr>
        <w:t>should request STA information</w:t>
      </w:r>
      <w:r w:rsidR="00C2396A">
        <w:t xml:space="preserve"> and pseudo-static scheduling</w:t>
      </w:r>
      <w:r w:rsidRPr="009448FC">
        <w:rPr>
          <w:rFonts w:hint="eastAsia"/>
        </w:rPr>
        <w:t xml:space="preserve"> information from the PCP </w:t>
      </w:r>
      <w:r w:rsidRPr="009448FC">
        <w:t xml:space="preserve">by transmitting an </w:t>
      </w:r>
      <w:r w:rsidRPr="009448FC">
        <w:rPr>
          <w:rFonts w:hint="eastAsia"/>
        </w:rPr>
        <w:t>Information Request frame</w:t>
      </w:r>
      <w:r w:rsidRPr="009448FC">
        <w:t xml:space="preserve"> addressed to the PCP (</w:t>
      </w:r>
      <w:r w:rsidR="00BD151C">
        <w:rPr>
          <w:lang w:eastAsia="zh-TW"/>
        </w:rPr>
        <w:fldChar w:fldCharType="begin"/>
      </w:r>
      <w:r w:rsidR="00D520E3">
        <w:rPr>
          <w:lang w:eastAsia="zh-TW"/>
        </w:rPr>
        <w:instrText xml:space="preserve"> REF _Ref243816734 \r \h </w:instrText>
      </w:r>
      <w:r w:rsidR="00BD151C">
        <w:rPr>
          <w:lang w:eastAsia="zh-TW"/>
        </w:rPr>
      </w:r>
      <w:r w:rsidR="00BD151C">
        <w:rPr>
          <w:lang w:eastAsia="zh-TW"/>
        </w:rPr>
        <w:fldChar w:fldCharType="separate"/>
      </w:r>
      <w:r w:rsidR="003E4210">
        <w:rPr>
          <w:lang w:eastAsia="zh-TW"/>
        </w:rPr>
        <w:t>11.31.1</w:t>
      </w:r>
      <w:r w:rsidR="00BD151C">
        <w:rPr>
          <w:lang w:eastAsia="zh-TW"/>
        </w:rPr>
        <w:fldChar w:fldCharType="end"/>
      </w:r>
      <w:r w:rsidRPr="009448FC">
        <w:t>)</w:t>
      </w:r>
      <w:r w:rsidRPr="009448FC">
        <w:rPr>
          <w:rFonts w:hint="eastAsia"/>
        </w:rPr>
        <w:t>.</w:t>
      </w:r>
    </w:p>
    <w:p w:rsidR="009157A7" w:rsidRPr="009448FC" w:rsidRDefault="009157A7" w:rsidP="009157A7">
      <w:pPr>
        <w:rPr>
          <w:i/>
        </w:rPr>
      </w:pPr>
    </w:p>
    <w:p w:rsidR="009157A7" w:rsidRPr="009448FC" w:rsidRDefault="009157A7" w:rsidP="009157A7">
      <w:r w:rsidRPr="009448FC">
        <w:t xml:space="preserve">The implicit handover process is triggered </w:t>
      </w:r>
      <w:r w:rsidR="00C2396A">
        <w:rPr>
          <w:rFonts w:hint="eastAsia"/>
          <w:lang w:eastAsia="zh-TW"/>
        </w:rPr>
        <w:t>at the i</w:t>
      </w:r>
      <w:r w:rsidR="00C2396A" w:rsidRPr="00862321">
        <w:rPr>
          <w:rFonts w:hint="eastAsia"/>
          <w:vertAlign w:val="superscript"/>
          <w:lang w:eastAsia="zh-TW"/>
        </w:rPr>
        <w:t>th</w:t>
      </w:r>
      <w:r w:rsidR="00C2396A">
        <w:rPr>
          <w:rFonts w:hint="eastAsia"/>
          <w:lang w:eastAsia="zh-TW"/>
        </w:rPr>
        <w:t xml:space="preserve"> Implicit candidate PCP</w:t>
      </w:r>
      <w:r w:rsidR="00C2396A" w:rsidRPr="009448FC">
        <w:t xml:space="preserve"> </w:t>
      </w:r>
      <w:r w:rsidRPr="009448FC">
        <w:t xml:space="preserve">when the </w:t>
      </w:r>
      <w:r w:rsidR="00B75827">
        <w:rPr>
          <w:rFonts w:hint="eastAsia"/>
          <w:lang w:eastAsia="zh-TW"/>
        </w:rPr>
        <w:t>i</w:t>
      </w:r>
      <w:r w:rsidR="00B75827" w:rsidRPr="00862321">
        <w:rPr>
          <w:rFonts w:hint="eastAsia"/>
          <w:vertAlign w:val="superscript"/>
          <w:lang w:eastAsia="zh-TW"/>
        </w:rPr>
        <w:t>th</w:t>
      </w:r>
      <w:r w:rsidR="00B75827">
        <w:rPr>
          <w:rFonts w:hint="eastAsia"/>
          <w:lang w:eastAsia="zh-TW"/>
        </w:rPr>
        <w:t xml:space="preserve"> Implicit candidate PCP</w:t>
      </w:r>
      <w:r w:rsidR="00B75827">
        <w:t xml:space="preserve"> </w:t>
      </w:r>
      <w:r w:rsidRPr="009448FC">
        <w:t xml:space="preserve">fails to receive </w:t>
      </w:r>
      <w:r w:rsidR="00B75827">
        <w:t>a</w:t>
      </w:r>
      <w:r w:rsidR="00B75827" w:rsidRPr="009448FC" w:rsidDel="00CE0FE2">
        <w:t xml:space="preserve"> </w:t>
      </w:r>
      <w:r w:rsidRPr="009448FC">
        <w:t>mmWave Beacon or Announce frames from the PCP</w:t>
      </w:r>
      <w:r w:rsidR="00B75827">
        <w:t xml:space="preserve"> for </w:t>
      </w:r>
      <w:r w:rsidR="00B75827">
        <w:rPr>
          <w:rFonts w:hint="eastAsia"/>
          <w:lang w:eastAsia="zh-TW"/>
        </w:rPr>
        <w:t xml:space="preserve">(i * </w:t>
      </w:r>
      <w:r w:rsidR="00B75827" w:rsidRPr="009448FC">
        <w:t>dot11ImplicitHandoverLostBeacons</w:t>
      </w:r>
      <w:r w:rsidR="00B75827">
        <w:rPr>
          <w:rFonts w:hint="eastAsia"/>
          <w:lang w:eastAsia="zh-TW"/>
        </w:rPr>
        <w:t>) beacon intervals</w:t>
      </w:r>
      <w:r w:rsidRPr="009448FC">
        <w:t>.</w:t>
      </w:r>
      <w:r w:rsidR="00281486" w:rsidRPr="009448FC">
        <w:t xml:space="preserve"> </w:t>
      </w:r>
      <w:r w:rsidR="00B75827">
        <w:t xml:space="preserve">When this happens, the </w:t>
      </w:r>
      <w:r w:rsidR="00B75827">
        <w:rPr>
          <w:rFonts w:hint="eastAsia"/>
          <w:lang w:eastAsia="zh-TW"/>
        </w:rPr>
        <w:t>i</w:t>
      </w:r>
      <w:r w:rsidR="00B75827" w:rsidRPr="00862321">
        <w:rPr>
          <w:rFonts w:hint="eastAsia"/>
          <w:vertAlign w:val="superscript"/>
          <w:lang w:eastAsia="zh-TW"/>
        </w:rPr>
        <w:t>th</w:t>
      </w:r>
      <w:r w:rsidR="00B75827">
        <w:rPr>
          <w:rFonts w:hint="eastAsia"/>
          <w:lang w:eastAsia="zh-TW"/>
        </w:rPr>
        <w:t xml:space="preserve"> Implicit candidate PCP then</w:t>
      </w:r>
      <w:r w:rsidRPr="009448FC">
        <w:t xml:space="preserve"> sends a mmWave Beacon </w:t>
      </w:r>
      <w:r w:rsidR="00B75827">
        <w:t xml:space="preserve">at the next BI </w:t>
      </w:r>
      <w:r w:rsidRPr="009448FC">
        <w:t>to announce that it is taking over the responsi</w:t>
      </w:r>
      <w:r w:rsidR="000B386C" w:rsidRPr="009448FC">
        <w:t xml:space="preserve">bility as the PCP of the PBSS. </w:t>
      </w:r>
      <w:r w:rsidRPr="009448FC">
        <w:t xml:space="preserve">The mmWave Beacon sent by </w:t>
      </w:r>
      <w:r w:rsidR="004D528B">
        <w:rPr>
          <w:rFonts w:hint="eastAsia"/>
          <w:lang w:eastAsia="zh-TW"/>
        </w:rPr>
        <w:t>i</w:t>
      </w:r>
      <w:r w:rsidR="004D528B" w:rsidRPr="00862321">
        <w:rPr>
          <w:rFonts w:hint="eastAsia"/>
          <w:vertAlign w:val="superscript"/>
          <w:lang w:eastAsia="zh-TW"/>
        </w:rPr>
        <w:t>th</w:t>
      </w:r>
      <w:r w:rsidR="004D528B">
        <w:rPr>
          <w:rFonts w:hint="eastAsia"/>
          <w:lang w:eastAsia="zh-TW"/>
        </w:rPr>
        <w:t xml:space="preserve"> Implicit candidate PCP</w:t>
      </w:r>
      <w:r w:rsidRPr="009448FC">
        <w:t xml:space="preserve"> repeats all information carried in the last mmWave Beacon sent by the former PCP</w:t>
      </w:r>
      <w:r w:rsidRPr="009448FC">
        <w:rPr>
          <w:rFonts w:hint="eastAsia"/>
        </w:rPr>
        <w:t>.</w:t>
      </w:r>
      <w:r w:rsidR="000B386C" w:rsidRPr="009448FC">
        <w:t xml:space="preserve"> </w:t>
      </w:r>
    </w:p>
    <w:p w:rsidR="009157A7" w:rsidRPr="009448FC" w:rsidRDefault="009157A7" w:rsidP="009157A7"/>
    <w:p w:rsidR="009157A7" w:rsidRPr="009448FC" w:rsidRDefault="009157A7" w:rsidP="009157A7">
      <w:pPr>
        <w:rPr>
          <w:i/>
        </w:rPr>
      </w:pPr>
      <w:r w:rsidRPr="009448FC">
        <w:t xml:space="preserve">If the first n </w:t>
      </w:r>
      <w:r w:rsidR="004D528B">
        <w:rPr>
          <w:rFonts w:hint="eastAsia"/>
          <w:lang w:eastAsia="zh-TW"/>
        </w:rPr>
        <w:t>Implicit candidate PCPs</w:t>
      </w:r>
      <w:r w:rsidRPr="009448FC">
        <w:t xml:space="preserve"> fail </w:t>
      </w:r>
      <w:r w:rsidR="004D528B">
        <w:t>to take the role of PCP</w:t>
      </w:r>
      <w:r w:rsidRPr="009448FC">
        <w:t xml:space="preserve">, it will take </w:t>
      </w:r>
      <w:r w:rsidR="004D528B">
        <w:t xml:space="preserve">at least </w:t>
      </w:r>
      <w:r w:rsidRPr="009448FC">
        <w:t>dot11ImplicitHandoverLostBeacons</w:t>
      </w:r>
      <w:r w:rsidRPr="009448FC" w:rsidDel="00CE0FE2">
        <w:t xml:space="preserve"> </w:t>
      </w:r>
      <w:r w:rsidRPr="009448FC">
        <w:t xml:space="preserve">* (n +1) beacon intervals before the PBSS </w:t>
      </w:r>
      <w:r w:rsidR="004D528B">
        <w:rPr>
          <w:rFonts w:hint="eastAsia"/>
          <w:lang w:eastAsia="zh-TW"/>
        </w:rPr>
        <w:t xml:space="preserve">members receive </w:t>
      </w:r>
      <w:r w:rsidR="004D528B">
        <w:rPr>
          <w:lang w:eastAsia="zh-TW"/>
        </w:rPr>
        <w:t xml:space="preserve">a </w:t>
      </w:r>
      <w:r w:rsidR="004D528B">
        <w:rPr>
          <w:rFonts w:hint="eastAsia"/>
          <w:lang w:eastAsia="zh-TW"/>
        </w:rPr>
        <w:lastRenderedPageBreak/>
        <w:t xml:space="preserve">mmWave </w:t>
      </w:r>
      <w:r w:rsidR="004D528B">
        <w:rPr>
          <w:lang w:eastAsia="zh-TW"/>
        </w:rPr>
        <w:t>B</w:t>
      </w:r>
      <w:r w:rsidR="004D528B">
        <w:rPr>
          <w:rFonts w:hint="eastAsia"/>
          <w:lang w:eastAsia="zh-TW"/>
        </w:rPr>
        <w:t>eacons</w:t>
      </w:r>
      <w:r w:rsidRPr="009448FC">
        <w:t>.</w:t>
      </w:r>
      <w:r w:rsidR="00281486" w:rsidRPr="009448FC">
        <w:t xml:space="preserve"> </w:t>
      </w:r>
      <w:r w:rsidRPr="009448FC">
        <w:t>The system should make sure that all STAs are capable of maintain</w:t>
      </w:r>
      <w:r w:rsidRPr="009448FC">
        <w:rPr>
          <w:rFonts w:hint="eastAsia"/>
        </w:rPr>
        <w:t>ing</w:t>
      </w:r>
      <w:r w:rsidRPr="009448FC">
        <w:t xml:space="preserve"> the accuracy </w:t>
      </w:r>
      <w:r w:rsidR="00C77904">
        <w:t xml:space="preserve">of </w:t>
      </w:r>
      <w:r w:rsidRPr="009448FC">
        <w:t>the internal clock to remain synchronized with each other.</w:t>
      </w:r>
    </w:p>
    <w:p w:rsidR="009157A7" w:rsidRPr="009448FC" w:rsidRDefault="009157A7" w:rsidP="009157A7">
      <w:pPr>
        <w:autoSpaceDE w:val="0"/>
        <w:autoSpaceDN w:val="0"/>
        <w:adjustRightInd w:val="0"/>
      </w:pPr>
    </w:p>
    <w:p w:rsidR="009157A7" w:rsidRPr="009448FC" w:rsidRDefault="009157A7" w:rsidP="009157A7">
      <w:pPr>
        <w:autoSpaceDE w:val="0"/>
        <w:autoSpaceDN w:val="0"/>
        <w:adjustRightInd w:val="0"/>
      </w:pPr>
      <w:r w:rsidRPr="009448FC">
        <w:t xml:space="preserve">To avoid </w:t>
      </w:r>
      <w:r w:rsidRPr="009448FC">
        <w:rPr>
          <w:rFonts w:hint="eastAsia"/>
        </w:rPr>
        <w:t xml:space="preserve">disruptions to </w:t>
      </w:r>
      <w:r w:rsidRPr="009448FC">
        <w:t>pseudo-static SPs due to implicit handover, the value of dot11ImplicitHandoverLostBeacons should be lower</w:t>
      </w:r>
      <w:r w:rsidRPr="009448FC">
        <w:rPr>
          <w:i/>
        </w:rPr>
        <w:t xml:space="preserve"> </w:t>
      </w:r>
      <w:r w:rsidRPr="009448FC">
        <w:t>than</w:t>
      </w:r>
      <w:r w:rsidRPr="009448FC">
        <w:rPr>
          <w:i/>
        </w:rPr>
        <w:t xml:space="preserve"> </w:t>
      </w:r>
      <w:r w:rsidRPr="009448FC">
        <w:t>the value of</w:t>
      </w:r>
      <w:r w:rsidRPr="009448FC">
        <w:rPr>
          <w:i/>
        </w:rPr>
        <w:t xml:space="preserve"> </w:t>
      </w:r>
      <w:r w:rsidR="004D1A1B">
        <w:t>dot11MaxLostBeacons</w:t>
      </w:r>
      <w:r w:rsidRPr="009448FC">
        <w:t>.</w:t>
      </w:r>
      <w:r w:rsidR="00EB6A1E" w:rsidRPr="009448FC">
        <w:t xml:space="preserve"> </w:t>
      </w:r>
    </w:p>
    <w:p w:rsidR="003D7C50" w:rsidRPr="009448FC" w:rsidRDefault="00631D14" w:rsidP="003D7C50">
      <w:pPr>
        <w:rPr>
          <w:b/>
          <w:i/>
        </w:rPr>
      </w:pPr>
      <w:bookmarkStart w:id="2740" w:name="_Toc207099091"/>
      <w:bookmarkStart w:id="2741" w:name="_Toc207099699"/>
      <w:bookmarkStart w:id="2742" w:name="_Toc207100160"/>
      <w:bookmarkStart w:id="2743" w:name="_Toc207100618"/>
      <w:bookmarkStart w:id="2744" w:name="_Toc207348540"/>
      <w:bookmarkStart w:id="2745" w:name="_Toc207611508"/>
      <w:bookmarkStart w:id="2746" w:name="_Toc207612011"/>
      <w:bookmarkStart w:id="2747" w:name="_Toc207099092"/>
      <w:bookmarkStart w:id="2748" w:name="_Toc207099700"/>
      <w:bookmarkStart w:id="2749" w:name="_Toc207100161"/>
      <w:bookmarkStart w:id="2750" w:name="_Toc207100619"/>
      <w:bookmarkStart w:id="2751" w:name="_Toc207348541"/>
      <w:bookmarkStart w:id="2752" w:name="_Toc207611509"/>
      <w:bookmarkStart w:id="2753" w:name="_Toc207612012"/>
      <w:bookmarkStart w:id="2754" w:name="_Toc207099095"/>
      <w:bookmarkStart w:id="2755" w:name="_Toc207099703"/>
      <w:bookmarkStart w:id="2756" w:name="_Toc207100164"/>
      <w:bookmarkStart w:id="2757" w:name="_Toc207100622"/>
      <w:bookmarkStart w:id="2758" w:name="_Toc207348544"/>
      <w:bookmarkStart w:id="2759" w:name="_Toc207611512"/>
      <w:bookmarkStart w:id="2760" w:name="_Toc207612015"/>
      <w:bookmarkStart w:id="2761" w:name="_Toc207099096"/>
      <w:bookmarkStart w:id="2762" w:name="_Toc207099704"/>
      <w:bookmarkStart w:id="2763" w:name="_Toc207100165"/>
      <w:bookmarkStart w:id="2764" w:name="_Toc207100623"/>
      <w:bookmarkStart w:id="2765" w:name="_Toc207348545"/>
      <w:bookmarkStart w:id="2766" w:name="_Toc207611513"/>
      <w:bookmarkStart w:id="2767" w:name="_Toc207612016"/>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r>
        <w:rPr>
          <w:b/>
          <w:i/>
        </w:rPr>
        <w:t xml:space="preserve"> </w:t>
      </w:r>
    </w:p>
    <w:p w:rsidR="008C36FC" w:rsidRPr="009448FC" w:rsidRDefault="005515A4" w:rsidP="003701DB">
      <w:pPr>
        <w:pStyle w:val="Heading2"/>
        <w:numPr>
          <w:ilvl w:val="1"/>
          <w:numId w:val="165"/>
        </w:numPr>
        <w:rPr>
          <w:u w:val="none"/>
        </w:rPr>
      </w:pPr>
      <w:bookmarkStart w:id="2768" w:name="_Toc235400610"/>
      <w:bookmarkStart w:id="2769" w:name="_Ref236727937"/>
      <w:bookmarkStart w:id="2770" w:name="_Ref246665989"/>
      <w:r>
        <w:rPr>
          <w:u w:val="none"/>
        </w:rPr>
        <w:t xml:space="preserve"> </w:t>
      </w:r>
      <w:bookmarkStart w:id="2771" w:name="_Toc259717253"/>
      <w:r w:rsidR="008C36FC" w:rsidRPr="009448FC">
        <w:rPr>
          <w:u w:val="none"/>
        </w:rPr>
        <w:t xml:space="preserve">mmWave </w:t>
      </w:r>
      <w:r w:rsidR="00304494" w:rsidRPr="009448FC">
        <w:rPr>
          <w:u w:val="none"/>
        </w:rPr>
        <w:t>BSS</w:t>
      </w:r>
      <w:r w:rsidR="00AA67D5" w:rsidRPr="009448FC">
        <w:rPr>
          <w:u w:val="none"/>
        </w:rPr>
        <w:t xml:space="preserve"> </w:t>
      </w:r>
      <w:r w:rsidR="008C36FC" w:rsidRPr="009448FC">
        <w:rPr>
          <w:u w:val="none"/>
        </w:rPr>
        <w:t>Peer and Service Discovery</w:t>
      </w:r>
      <w:bookmarkEnd w:id="2768"/>
      <w:bookmarkEnd w:id="2769"/>
      <w:bookmarkEnd w:id="2770"/>
      <w:bookmarkEnd w:id="2771"/>
    </w:p>
    <w:p w:rsidR="008C36FC" w:rsidRPr="009448FC" w:rsidRDefault="008C36FC" w:rsidP="0004091F"/>
    <w:p w:rsidR="008C36FC" w:rsidRPr="009448FC" w:rsidRDefault="008C36FC" w:rsidP="0004091F">
      <w:r w:rsidRPr="009448FC">
        <w:t>This subclause describes the procedures for peer and service discovery.</w:t>
      </w:r>
    </w:p>
    <w:p w:rsidR="008C36FC" w:rsidRPr="009448FC" w:rsidRDefault="008C36FC" w:rsidP="0004091F"/>
    <w:p w:rsidR="008C36FC" w:rsidRPr="009448FC" w:rsidRDefault="008C36FC" w:rsidP="003701DB">
      <w:pPr>
        <w:pStyle w:val="Heading3"/>
        <w:numPr>
          <w:ilvl w:val="2"/>
          <w:numId w:val="98"/>
        </w:numPr>
      </w:pPr>
      <w:bookmarkStart w:id="2772" w:name="_Toc235400611"/>
      <w:bookmarkStart w:id="2773" w:name="_Ref243106440"/>
      <w:bookmarkStart w:id="2774" w:name="_Ref243816734"/>
      <w:bookmarkStart w:id="2775" w:name="_Ref243816845"/>
      <w:bookmarkStart w:id="2776" w:name="_Ref259715673"/>
      <w:bookmarkStart w:id="2777" w:name="_Ref259715674"/>
      <w:bookmarkStart w:id="2778" w:name="_Toc259717254"/>
      <w:r w:rsidRPr="009448FC">
        <w:t>Information Request and Response</w:t>
      </w:r>
      <w:bookmarkEnd w:id="2772"/>
      <w:bookmarkEnd w:id="2773"/>
      <w:bookmarkEnd w:id="2774"/>
      <w:bookmarkEnd w:id="2775"/>
      <w:bookmarkEnd w:id="2776"/>
      <w:bookmarkEnd w:id="2777"/>
      <w:bookmarkEnd w:id="2778"/>
    </w:p>
    <w:p w:rsidR="000B386C" w:rsidRPr="009448FC" w:rsidRDefault="000B386C" w:rsidP="004B5617"/>
    <w:p w:rsidR="008C36FC" w:rsidRPr="009448FC" w:rsidRDefault="008C36FC" w:rsidP="004B5617">
      <w:r w:rsidRPr="009448FC">
        <w:t>A STA may request information about either a single STA in the PBSS or about all of the STAs in the PBSS by sending a Information Request frame (</w:t>
      </w:r>
      <w:r w:rsidR="00BD151C" w:rsidRPr="009448FC">
        <w:fldChar w:fldCharType="begin"/>
      </w:r>
      <w:r w:rsidR="00D520E3" w:rsidRPr="009448FC">
        <w:instrText xml:space="preserve"> REF _Ref243816779 \r \h </w:instrText>
      </w:r>
      <w:r w:rsidR="00BD151C" w:rsidRPr="009448FC">
        <w:fldChar w:fldCharType="separate"/>
      </w:r>
      <w:r w:rsidR="003E4210">
        <w:t>7.4.13.5</w:t>
      </w:r>
      <w:r w:rsidR="00BD151C" w:rsidRPr="009448FC">
        <w:fldChar w:fldCharType="end"/>
      </w:r>
      <w:r w:rsidRPr="009448FC">
        <w:t>). If the STA is requesting information about only a single STA in the PBSS, it shall set the Target Address in the frame to the MAC address of that STA. If the STA is requesting information about all of the STAs in the PBSS, it shall set the Target Address in the frame to the broadcast address and shall transmit the Information Request frame to the PCP.</w:t>
      </w:r>
    </w:p>
    <w:p w:rsidR="008C36FC" w:rsidRPr="009448FC" w:rsidRDefault="008C36FC" w:rsidP="004B5617"/>
    <w:p w:rsidR="008C36FC" w:rsidRPr="009448FC" w:rsidRDefault="008C36FC" w:rsidP="004B5617">
      <w:r w:rsidRPr="009448FC">
        <w:t xml:space="preserve">A STA may transmit an Information Request frame with the length field of the Request </w:t>
      </w:r>
      <w:r w:rsidR="002827C0" w:rsidRPr="009448FC">
        <w:t>element</w:t>
      </w:r>
      <w:r w:rsidRPr="009448FC">
        <w:t xml:space="preserve"> set to zero to another STA in the PBSS to determine if the destination STA is still present in the PBSS and is within range of the sending STA.</w:t>
      </w:r>
    </w:p>
    <w:p w:rsidR="008C36FC" w:rsidRPr="009448FC" w:rsidRDefault="008C36FC" w:rsidP="004B5617"/>
    <w:p w:rsidR="008C36FC" w:rsidRPr="009448FC" w:rsidRDefault="008C36FC" w:rsidP="004B5617">
      <w:r w:rsidRPr="009448FC">
        <w:t xml:space="preserve">A STA may transmit an Information Request frame with its STA Capability </w:t>
      </w:r>
      <w:r w:rsidR="002827C0" w:rsidRPr="009448FC">
        <w:t>element</w:t>
      </w:r>
      <w:r w:rsidRPr="009448FC">
        <w:t xml:space="preserve"> and other </w:t>
      </w:r>
      <w:r w:rsidR="002827C0" w:rsidRPr="009448FC">
        <w:t>element</w:t>
      </w:r>
      <w:r w:rsidRPr="009448FC">
        <w:t>s. A non-PCP STA shall not include in the Information Request frame the capability information corresponding to another STA.</w:t>
      </w:r>
    </w:p>
    <w:p w:rsidR="008C36FC" w:rsidRPr="009448FC" w:rsidRDefault="008C36FC" w:rsidP="004B5617"/>
    <w:p w:rsidR="008C36FC" w:rsidRPr="009448FC" w:rsidRDefault="008C36FC" w:rsidP="004B5617">
      <w:r w:rsidRPr="009448FC">
        <w:t xml:space="preserve">The STA may transmit an Information Response frame </w:t>
      </w:r>
      <w:r w:rsidR="00D520E3" w:rsidRPr="009448FC">
        <w:t>(</w:t>
      </w:r>
      <w:r w:rsidR="00BD151C" w:rsidRPr="009448FC">
        <w:fldChar w:fldCharType="begin"/>
      </w:r>
      <w:r w:rsidR="00D520E3" w:rsidRPr="009448FC">
        <w:instrText xml:space="preserve"> REF _Ref243816781 \r \h </w:instrText>
      </w:r>
      <w:r w:rsidR="00BD151C" w:rsidRPr="009448FC">
        <w:fldChar w:fldCharType="separate"/>
      </w:r>
      <w:r w:rsidR="003E4210">
        <w:t>7.4.13.6</w:t>
      </w:r>
      <w:r w:rsidR="00BD151C" w:rsidRPr="009448FC">
        <w:fldChar w:fldCharType="end"/>
      </w:r>
      <w:r w:rsidR="00D520E3" w:rsidRPr="009448FC">
        <w:t xml:space="preserve">) </w:t>
      </w:r>
      <w:r w:rsidRPr="009448FC">
        <w:t>either as a response to an Information Request frame or it may be sent unsolicited.</w:t>
      </w:r>
      <w:r w:rsidR="006A1C2B" w:rsidRPr="009448FC">
        <w:t xml:space="preserve"> If a STA is providing information about a single STA in the PBSS, it shall set the Target Address in the Information Response frame to the MAC address of that STA. If a STA is providing information about all of the STAs in the PBSS, it shall set the Target Address in the Information Response frame to the broadcast address. </w:t>
      </w:r>
    </w:p>
    <w:p w:rsidR="008C36FC" w:rsidRPr="009448FC" w:rsidRDefault="008C36FC" w:rsidP="004B5617"/>
    <w:p w:rsidR="008C36FC" w:rsidRPr="009448FC" w:rsidRDefault="008C36FC" w:rsidP="004B5617">
      <w:r w:rsidRPr="009448FC">
        <w:t>A non-PCP STA shall not include in the Information Response frame the capability information corresponding to another STA.</w:t>
      </w:r>
    </w:p>
    <w:p w:rsidR="008C36FC" w:rsidRPr="009448FC" w:rsidRDefault="008C36FC" w:rsidP="004B5617"/>
    <w:p w:rsidR="008C36FC" w:rsidRPr="009448FC" w:rsidRDefault="008C36FC" w:rsidP="004B5617">
      <w:r w:rsidRPr="009448FC">
        <w:t xml:space="preserve">A STA shall include in the Information Response frame the </w:t>
      </w:r>
      <w:r w:rsidR="002827C0" w:rsidRPr="009448FC">
        <w:t>element</w:t>
      </w:r>
      <w:r w:rsidRPr="009448FC">
        <w:t>s requested by the originator STA.</w:t>
      </w:r>
    </w:p>
    <w:p w:rsidR="008C36FC" w:rsidRPr="009448FC" w:rsidRDefault="008C36FC" w:rsidP="004B5617"/>
    <w:p w:rsidR="008C36FC" w:rsidRPr="009448FC" w:rsidRDefault="008C36FC" w:rsidP="005F13BA">
      <w:r w:rsidRPr="009448FC">
        <w:t>A STA shall send an Information Response frame with length zero in response to a received Information Request frame for which the requesting STA solicits information about a single STA that is not a member of the PBSS</w:t>
      </w:r>
      <w:r w:rsidR="005F13BA" w:rsidRPr="009448FC">
        <w:t xml:space="preserve"> and the receiving STA is a non-PCP STA,</w:t>
      </w:r>
      <w:r w:rsidRPr="009448FC">
        <w:t xml:space="preserve"> or that is not the receiving STA itself. Otherwise, the STA shall send the Information Response frame with the information requested by the requesting STA.</w:t>
      </w:r>
    </w:p>
    <w:p w:rsidR="00484E2E" w:rsidRPr="009448FC" w:rsidRDefault="00484E2E" w:rsidP="0004091F">
      <w:pPr>
        <w:jc w:val="both"/>
      </w:pPr>
    </w:p>
    <w:p w:rsidR="00304494" w:rsidRPr="009448FC" w:rsidRDefault="00304494" w:rsidP="003701DB">
      <w:pPr>
        <w:pStyle w:val="Heading3"/>
        <w:numPr>
          <w:ilvl w:val="2"/>
          <w:numId w:val="58"/>
        </w:numPr>
      </w:pPr>
      <w:bookmarkStart w:id="2779" w:name="_Ref243987303"/>
      <w:bookmarkStart w:id="2780" w:name="_Toc259717255"/>
      <w:r w:rsidRPr="009448FC">
        <w:lastRenderedPageBreak/>
        <w:t>Peer Service Discovery</w:t>
      </w:r>
      <w:bookmarkEnd w:id="2779"/>
      <w:bookmarkEnd w:id="2780"/>
    </w:p>
    <w:p w:rsidR="0026651E" w:rsidRPr="009448FC" w:rsidRDefault="0026651E" w:rsidP="004B5617"/>
    <w:p w:rsidR="00484E2E" w:rsidRPr="009448FC" w:rsidRDefault="00484E2E" w:rsidP="00AA67D5">
      <w:pPr>
        <w:rPr>
          <w:rFonts w:ascii="TimesNewRoman" w:hAnsi="TimesNewRoman"/>
        </w:rPr>
      </w:pPr>
      <w:r w:rsidRPr="009448FC">
        <w:t>A PCP/</w:t>
      </w:r>
      <w:r w:rsidR="00655EA4" w:rsidRPr="009448FC">
        <w:t xml:space="preserve">AP </w:t>
      </w:r>
      <w:r w:rsidRPr="009448FC">
        <w:t>may provide different types of information to a non-PCP/non-</w:t>
      </w:r>
      <w:r w:rsidR="00655EA4" w:rsidRPr="009448FC">
        <w:t xml:space="preserve">AP </w:t>
      </w:r>
      <w:r w:rsidRPr="009448FC">
        <w:t>STA upon request.</w:t>
      </w:r>
      <w:r w:rsidR="00AA67D5" w:rsidRPr="009448FC">
        <w:t xml:space="preserve"> </w:t>
      </w:r>
      <w:r w:rsidRPr="009448FC">
        <w:t>To query available services in a BSS</w:t>
      </w:r>
      <w:r w:rsidR="00655EA4" w:rsidRPr="009448FC">
        <w:t>,</w:t>
      </w:r>
      <w:r w:rsidRPr="009448FC">
        <w:t xml:space="preserve"> a non-PCP/non-</w:t>
      </w:r>
      <w:r w:rsidR="00655EA4" w:rsidRPr="009448FC">
        <w:t xml:space="preserve">AP </w:t>
      </w:r>
      <w:r w:rsidRPr="009448FC">
        <w:t xml:space="preserve">STA shall send </w:t>
      </w:r>
      <w:r w:rsidR="00757E3C" w:rsidRPr="009448FC">
        <w:t xml:space="preserve">either </w:t>
      </w:r>
      <w:r w:rsidRPr="009448FC">
        <w:t xml:space="preserve">an Information Request frame </w:t>
      </w:r>
      <w:r w:rsidR="00757E3C" w:rsidRPr="009448FC">
        <w:t xml:space="preserve">or a Probe Request frame </w:t>
      </w:r>
      <w:r w:rsidRPr="009448FC">
        <w:t>to the PCP/</w:t>
      </w:r>
      <w:r w:rsidR="00655EA4" w:rsidRPr="009448FC">
        <w:t xml:space="preserve">AP </w:t>
      </w:r>
      <w:r w:rsidRPr="009448FC">
        <w:t>(</w:t>
      </w:r>
      <w:r w:rsidR="00BD151C" w:rsidRPr="009448FC">
        <w:fldChar w:fldCharType="begin"/>
      </w:r>
      <w:r w:rsidR="00D520E3" w:rsidRPr="009448FC">
        <w:instrText xml:space="preserve"> REF _Ref243816845 \r \h </w:instrText>
      </w:r>
      <w:r w:rsidR="00BD151C" w:rsidRPr="009448FC">
        <w:fldChar w:fldCharType="separate"/>
      </w:r>
      <w:r w:rsidR="003E4210">
        <w:t>11.31.1</w:t>
      </w:r>
      <w:r w:rsidR="00BD151C" w:rsidRPr="009448FC">
        <w:fldChar w:fldCharType="end"/>
      </w:r>
      <w:r w:rsidRPr="009448FC">
        <w:t>).</w:t>
      </w:r>
      <w:r w:rsidR="00757E3C" w:rsidRPr="009448FC">
        <w:t xml:space="preserve"> The Information Request and Information Response frames are robust management frame</w:t>
      </w:r>
      <w:r w:rsidR="00C956E1">
        <w:t>s</w:t>
      </w:r>
      <w:r w:rsidR="00757E3C" w:rsidRPr="009448FC">
        <w:t xml:space="preserve">, while the Probe Request and Probe Response frames are not. </w:t>
      </w:r>
    </w:p>
    <w:p w:rsidR="00484E2E" w:rsidRPr="009448FC" w:rsidRDefault="00484E2E" w:rsidP="00484E2E">
      <w:pPr>
        <w:autoSpaceDE w:val="0"/>
        <w:autoSpaceDN w:val="0"/>
        <w:adjustRightInd w:val="0"/>
        <w:jc w:val="both"/>
        <w:rPr>
          <w:rFonts w:ascii="TimesNewRoman" w:hAnsi="TimesNewRoman"/>
        </w:rPr>
      </w:pPr>
    </w:p>
    <w:p w:rsidR="00484E2E" w:rsidRPr="009448FC" w:rsidRDefault="00484E2E" w:rsidP="00AA67D5">
      <w:pPr>
        <w:autoSpaceDE w:val="0"/>
        <w:autoSpaceDN w:val="0"/>
        <w:adjustRightInd w:val="0"/>
        <w:rPr>
          <w:rFonts w:ascii="TimesNewRoman" w:hAnsi="TimesNewRoman"/>
        </w:rPr>
      </w:pPr>
      <w:r w:rsidRPr="009448FC">
        <w:t>Upon receiving the Information Request frame, the PCP/</w:t>
      </w:r>
      <w:r w:rsidR="00655EA4" w:rsidRPr="009448FC">
        <w:t>AP,</w:t>
      </w:r>
      <w:r w:rsidRPr="009448FC">
        <w:t xml:space="preserve"> subject to criteria below, shall respond with a Information Response,</w:t>
      </w:r>
      <w:r w:rsidR="00281486" w:rsidRPr="009448FC">
        <w:rPr>
          <w:rFonts w:ascii="TimesNewRoman" w:hAnsi="TimesNewRoman"/>
        </w:rPr>
        <w:t xml:space="preserve"> </w:t>
      </w:r>
      <w:r w:rsidRPr="009448FC">
        <w:t>only if all the following three criteria are true:</w:t>
      </w:r>
    </w:p>
    <w:p w:rsidR="00484E2E" w:rsidRPr="009448FC" w:rsidRDefault="00484E2E" w:rsidP="00484E2E">
      <w:pPr>
        <w:autoSpaceDE w:val="0"/>
        <w:autoSpaceDN w:val="0"/>
        <w:adjustRightInd w:val="0"/>
        <w:jc w:val="both"/>
        <w:rPr>
          <w:rFonts w:ascii="TimesNewRoman" w:hAnsi="TimesNewRoman"/>
        </w:rPr>
      </w:pPr>
    </w:p>
    <w:p w:rsidR="00484E2E" w:rsidRPr="009448FC" w:rsidRDefault="00484E2E" w:rsidP="00484E2E">
      <w:pPr>
        <w:autoSpaceDE w:val="0"/>
        <w:autoSpaceDN w:val="0"/>
        <w:adjustRightInd w:val="0"/>
        <w:ind w:left="720"/>
        <w:jc w:val="both"/>
        <w:rPr>
          <w:rFonts w:ascii="TimesNewRoman" w:hAnsi="TimesNewRoman"/>
        </w:rPr>
      </w:pPr>
      <w:r w:rsidRPr="009448FC">
        <w:rPr>
          <w:rFonts w:ascii="TimesNewRoman" w:hAnsi="TimesNewRoman"/>
        </w:rPr>
        <w:t xml:space="preserve">a) </w:t>
      </w:r>
      <w:r w:rsidRPr="009448FC">
        <w:t>The SSID in the Information Request is the wildcard SSID or the specific SSID of the PCP/</w:t>
      </w:r>
      <w:r w:rsidR="00655EA4" w:rsidRPr="009448FC">
        <w:t>AP,</w:t>
      </w:r>
    </w:p>
    <w:p w:rsidR="00484E2E" w:rsidRPr="009448FC" w:rsidRDefault="00484E2E" w:rsidP="00484E2E">
      <w:pPr>
        <w:autoSpaceDE w:val="0"/>
        <w:autoSpaceDN w:val="0"/>
        <w:adjustRightInd w:val="0"/>
        <w:ind w:left="720"/>
        <w:jc w:val="both"/>
        <w:rPr>
          <w:rFonts w:ascii="TimesNewRoman" w:hAnsi="TimesNewRoman"/>
        </w:rPr>
      </w:pPr>
      <w:r w:rsidRPr="009448FC">
        <w:rPr>
          <w:rFonts w:ascii="TimesNewRoman" w:hAnsi="TimesNewRoman"/>
        </w:rPr>
        <w:t xml:space="preserve">b) </w:t>
      </w:r>
      <w:r w:rsidRPr="009448FC">
        <w:t>The BSSID field in the Information Request is the wildcard BSSID or the BSSID of the PCP/</w:t>
      </w:r>
      <w:r w:rsidR="00655EA4" w:rsidRPr="009448FC">
        <w:t>AP,</w:t>
      </w:r>
      <w:r w:rsidRPr="009448FC">
        <w:t xml:space="preserve"> and</w:t>
      </w:r>
    </w:p>
    <w:p w:rsidR="00484E2E" w:rsidRPr="009448FC" w:rsidRDefault="00484E2E" w:rsidP="00484E2E">
      <w:pPr>
        <w:autoSpaceDE w:val="0"/>
        <w:autoSpaceDN w:val="0"/>
        <w:adjustRightInd w:val="0"/>
        <w:ind w:left="720"/>
        <w:jc w:val="both"/>
        <w:rPr>
          <w:rFonts w:ascii="TimesNewRoman" w:hAnsi="TimesNewRoman"/>
        </w:rPr>
      </w:pPr>
      <w:r w:rsidRPr="009448FC">
        <w:rPr>
          <w:rFonts w:ascii="TimesNewRoman" w:hAnsi="TimesNewRoman"/>
        </w:rPr>
        <w:t xml:space="preserve">c) </w:t>
      </w:r>
      <w:r w:rsidRPr="009448FC">
        <w:t>The DA field in the Information Request is the MAC address of the PCP/</w:t>
      </w:r>
      <w:r w:rsidR="00655EA4" w:rsidRPr="009448FC">
        <w:t>AP.</w:t>
      </w:r>
    </w:p>
    <w:p w:rsidR="00484E2E" w:rsidRPr="009448FC" w:rsidRDefault="00484E2E" w:rsidP="00484E2E">
      <w:pPr>
        <w:autoSpaceDE w:val="0"/>
        <w:autoSpaceDN w:val="0"/>
        <w:adjustRightInd w:val="0"/>
        <w:jc w:val="both"/>
        <w:rPr>
          <w:rFonts w:ascii="TimesNewRoman" w:hAnsi="TimesNewRoman"/>
        </w:rPr>
      </w:pPr>
    </w:p>
    <w:p w:rsidR="00484E2E" w:rsidRPr="009448FC" w:rsidRDefault="00484E2E" w:rsidP="00AA67D5">
      <w:pPr>
        <w:autoSpaceDE w:val="0"/>
        <w:autoSpaceDN w:val="0"/>
        <w:adjustRightInd w:val="0"/>
        <w:jc w:val="both"/>
        <w:rPr>
          <w:rFonts w:ascii="TimesNewRoman" w:hAnsi="TimesNewRoman"/>
        </w:rPr>
      </w:pPr>
      <w:r w:rsidRPr="009448FC">
        <w:t>The PCP/</w:t>
      </w:r>
      <w:r w:rsidR="00655EA4" w:rsidRPr="009448FC">
        <w:t xml:space="preserve">AP </w:t>
      </w:r>
      <w:r w:rsidRPr="009448FC">
        <w:t>transmits the Information Response frame to the address of the non-PCP/non-</w:t>
      </w:r>
      <w:r w:rsidR="00655EA4" w:rsidRPr="009448FC">
        <w:t xml:space="preserve">AP </w:t>
      </w:r>
      <w:r w:rsidRPr="009448FC">
        <w:t>STA that generated the Information Request</w:t>
      </w:r>
      <w:r w:rsidRPr="009448FC">
        <w:rPr>
          <w:rFonts w:ascii="TimesNewRoman" w:hAnsi="TimesNewRoman"/>
        </w:rPr>
        <w:t xml:space="preserve">. </w:t>
      </w:r>
    </w:p>
    <w:p w:rsidR="00484E2E" w:rsidRPr="009448FC" w:rsidRDefault="00484E2E" w:rsidP="00484E2E">
      <w:pPr>
        <w:autoSpaceDE w:val="0"/>
        <w:autoSpaceDN w:val="0"/>
        <w:adjustRightInd w:val="0"/>
        <w:jc w:val="both"/>
        <w:rPr>
          <w:rFonts w:ascii="TimesNewRoman" w:hAnsi="TimesNewRoman"/>
        </w:rPr>
      </w:pPr>
    </w:p>
    <w:p w:rsidR="00484E2E" w:rsidRPr="009448FC" w:rsidRDefault="007E6127" w:rsidP="004D22DF">
      <w:pPr>
        <w:autoSpaceDE w:val="0"/>
        <w:autoSpaceDN w:val="0"/>
        <w:adjustRightInd w:val="0"/>
        <w:jc w:val="both"/>
        <w:rPr>
          <w:rFonts w:ascii="TimesNewRoman" w:hAnsi="TimesNewRoman"/>
        </w:rPr>
      </w:pPr>
      <w:r w:rsidRPr="009448FC">
        <w:t xml:space="preserve">The Information Response frame </w:t>
      </w:r>
      <w:r w:rsidR="00B915D1">
        <w:t>can</w:t>
      </w:r>
      <w:r w:rsidR="00757E3C" w:rsidRPr="009448FC">
        <w:t xml:space="preserve"> </w:t>
      </w:r>
      <w:r w:rsidRPr="009448FC">
        <w:t>contain</w:t>
      </w:r>
      <w:r w:rsidR="00757E3C" w:rsidRPr="009448FC">
        <w:t xml:space="preserve"> service information as vendor-specific information elements. </w:t>
      </w:r>
    </w:p>
    <w:p w:rsidR="008C36FC" w:rsidRPr="009448FC" w:rsidRDefault="00484E2E" w:rsidP="00AA67D5">
      <w:pPr>
        <w:jc w:val="both"/>
      </w:pPr>
      <w:r w:rsidRPr="009448FC">
        <w:t xml:space="preserve"> </w:t>
      </w:r>
    </w:p>
    <w:p w:rsidR="008C36FC" w:rsidRPr="009448FC" w:rsidRDefault="004D0A29" w:rsidP="003701DB">
      <w:pPr>
        <w:pStyle w:val="Heading2"/>
        <w:numPr>
          <w:ilvl w:val="1"/>
          <w:numId w:val="99"/>
        </w:numPr>
        <w:rPr>
          <w:u w:val="none"/>
        </w:rPr>
      </w:pPr>
      <w:bookmarkStart w:id="2781" w:name="_Toc235400612"/>
      <w:bookmarkStart w:id="2782" w:name="_Ref236724292"/>
      <w:r w:rsidRPr="009448FC">
        <w:rPr>
          <w:u w:val="none"/>
        </w:rPr>
        <w:t xml:space="preserve"> </w:t>
      </w:r>
      <w:bookmarkStart w:id="2783" w:name="_Toc259717256"/>
      <w:r w:rsidR="008C36FC" w:rsidRPr="009448FC">
        <w:rPr>
          <w:u w:val="none"/>
        </w:rPr>
        <w:t>Changing</w:t>
      </w:r>
      <w:r w:rsidR="00D826D3" w:rsidRPr="009448FC">
        <w:rPr>
          <w:u w:val="none"/>
        </w:rPr>
        <w:t xml:space="preserve"> </w:t>
      </w:r>
      <w:r w:rsidR="005A6037" w:rsidRPr="009448FC">
        <w:rPr>
          <w:u w:val="none"/>
        </w:rPr>
        <w:t xml:space="preserve">mmWave BSS </w:t>
      </w:r>
      <w:r w:rsidR="008C36FC" w:rsidRPr="009448FC">
        <w:rPr>
          <w:u w:val="none"/>
        </w:rPr>
        <w:t>parameters</w:t>
      </w:r>
      <w:bookmarkEnd w:id="2781"/>
      <w:bookmarkEnd w:id="2782"/>
      <w:bookmarkEnd w:id="2783"/>
    </w:p>
    <w:p w:rsidR="008C36FC" w:rsidRPr="009448FC" w:rsidRDefault="008C36FC" w:rsidP="0004091F">
      <w:pPr>
        <w:jc w:val="both"/>
      </w:pPr>
    </w:p>
    <w:p w:rsidR="008C36FC" w:rsidRPr="009448FC" w:rsidRDefault="008C36FC" w:rsidP="000F7406">
      <w:pPr>
        <w:jc w:val="both"/>
      </w:pPr>
      <w:r w:rsidRPr="009448FC">
        <w:t xml:space="preserve">This subclause describes the methods used by the </w:t>
      </w:r>
      <w:r w:rsidR="008A6076" w:rsidRPr="009448FC">
        <w:t>PCP/</w:t>
      </w:r>
      <w:r w:rsidR="00655EA4" w:rsidRPr="009448FC">
        <w:t xml:space="preserve">AP </w:t>
      </w:r>
      <w:r w:rsidRPr="009448FC">
        <w:t xml:space="preserve">to change certain key characteristics of the </w:t>
      </w:r>
      <w:r w:rsidR="002873BD" w:rsidRPr="009448FC">
        <w:t>BSS</w:t>
      </w:r>
      <w:r w:rsidR="00655EA4" w:rsidRPr="009448FC">
        <w:t>.</w:t>
      </w:r>
    </w:p>
    <w:p w:rsidR="008C36FC" w:rsidRPr="009448FC" w:rsidRDefault="008C36FC" w:rsidP="0004091F">
      <w:pPr>
        <w:jc w:val="both"/>
      </w:pPr>
    </w:p>
    <w:p w:rsidR="008C36FC" w:rsidRPr="009448FC" w:rsidRDefault="008C36FC" w:rsidP="00FA0AAD">
      <w:pPr>
        <w:jc w:val="both"/>
      </w:pPr>
      <w:r w:rsidRPr="009448FC">
        <w:t xml:space="preserve">The </w:t>
      </w:r>
      <w:r w:rsidR="008A6076" w:rsidRPr="009448FC">
        <w:t>PCP/</w:t>
      </w:r>
      <w:r w:rsidR="00655EA4" w:rsidRPr="009448FC">
        <w:t xml:space="preserve">AP </w:t>
      </w:r>
      <w:r w:rsidRPr="009448FC">
        <w:t xml:space="preserve">shall deliver the </w:t>
      </w:r>
      <w:r w:rsidR="00397C10" w:rsidRPr="009448FC">
        <w:t>mmWave</w:t>
      </w:r>
      <w:r w:rsidR="000F7406" w:rsidRPr="009448FC">
        <w:t xml:space="preserve"> BSS </w:t>
      </w:r>
      <w:r w:rsidR="006278CE" w:rsidRPr="009448FC">
        <w:t>Parameter Change</w:t>
      </w:r>
      <w:r w:rsidR="000F7406" w:rsidRPr="009448FC">
        <w:t xml:space="preserve"> </w:t>
      </w:r>
      <w:r w:rsidRPr="009448FC">
        <w:t xml:space="preserve">to STAs holding pseudo-static SPs and STAs in power save mode before </w:t>
      </w:r>
      <w:r w:rsidR="00FA0AAD" w:rsidRPr="009448FC">
        <w:t xml:space="preserve">a </w:t>
      </w:r>
      <w:r w:rsidR="00397C10" w:rsidRPr="009448FC">
        <w:t>mmWave</w:t>
      </w:r>
      <w:r w:rsidR="000F7406" w:rsidRPr="009448FC">
        <w:t xml:space="preserve"> BSS </w:t>
      </w:r>
      <w:r w:rsidR="006278CE" w:rsidRPr="009448FC">
        <w:t>Parameter Change</w:t>
      </w:r>
      <w:r w:rsidR="00655EA4" w:rsidRPr="009448FC">
        <w:t>.</w:t>
      </w:r>
    </w:p>
    <w:p w:rsidR="008C36FC" w:rsidRPr="009448FC" w:rsidRDefault="008C36FC" w:rsidP="0004091F">
      <w:pPr>
        <w:jc w:val="both"/>
      </w:pPr>
    </w:p>
    <w:p w:rsidR="008C36FC" w:rsidRPr="009448FC" w:rsidRDefault="008C36FC" w:rsidP="009E4B31">
      <w:pPr>
        <w:jc w:val="both"/>
      </w:pPr>
      <w:r w:rsidRPr="009448FC">
        <w:t xml:space="preserve">The </w:t>
      </w:r>
      <w:r w:rsidR="008A6076" w:rsidRPr="009448FC">
        <w:t>PCP/</w:t>
      </w:r>
      <w:r w:rsidR="00655EA4" w:rsidRPr="009448FC">
        <w:t xml:space="preserve">AP </w:t>
      </w:r>
      <w:r w:rsidRPr="009448FC">
        <w:t xml:space="preserve">shall initiate a </w:t>
      </w:r>
      <w:r w:rsidR="00397C10" w:rsidRPr="009448FC">
        <w:t>mmWave</w:t>
      </w:r>
      <w:r w:rsidR="000F7406" w:rsidRPr="009448FC">
        <w:t xml:space="preserve"> BSS </w:t>
      </w:r>
      <w:r w:rsidR="006278CE" w:rsidRPr="009448FC">
        <w:t>Parameter Change</w:t>
      </w:r>
      <w:r w:rsidR="000F7406" w:rsidRPr="009448FC">
        <w:t xml:space="preserve"> </w:t>
      </w:r>
      <w:r w:rsidRPr="009448FC">
        <w:t xml:space="preserve">by including a </w:t>
      </w:r>
      <w:r w:rsidR="00397C10" w:rsidRPr="009448FC">
        <w:t>mmWave</w:t>
      </w:r>
      <w:r w:rsidR="00EE1100" w:rsidRPr="009448FC">
        <w:t xml:space="preserve"> </w:t>
      </w:r>
      <w:r w:rsidR="000F7406" w:rsidRPr="009448FC">
        <w:t xml:space="preserve">BSS </w:t>
      </w:r>
      <w:r w:rsidR="006278CE" w:rsidRPr="009448FC">
        <w:t>Parameter Change</w:t>
      </w:r>
      <w:r w:rsidR="000F7406" w:rsidRPr="009448FC">
        <w:t xml:space="preserve"> </w:t>
      </w:r>
      <w:r w:rsidR="002827C0" w:rsidRPr="009448FC">
        <w:t>element</w:t>
      </w:r>
      <w:r w:rsidRPr="009448FC">
        <w:t xml:space="preserve"> </w:t>
      </w:r>
      <w:r w:rsidR="009E4B31" w:rsidRPr="009448FC">
        <w:t>(</w:t>
      </w:r>
      <w:r w:rsidR="00BD151C" w:rsidRPr="009448FC">
        <w:fldChar w:fldCharType="begin"/>
      </w:r>
      <w:r w:rsidR="009E4B31" w:rsidRPr="009448FC">
        <w:instrText xml:space="preserve"> REF _Ref244241386 \r \h </w:instrText>
      </w:r>
      <w:r w:rsidR="00BD151C" w:rsidRPr="009448FC">
        <w:fldChar w:fldCharType="separate"/>
      </w:r>
      <w:r w:rsidR="003E4210">
        <w:t>7.3.2.90</w:t>
      </w:r>
      <w:r w:rsidR="00BD151C" w:rsidRPr="009448FC">
        <w:fldChar w:fldCharType="end"/>
      </w:r>
      <w:r w:rsidR="009E4B31" w:rsidRPr="009448FC">
        <w:t xml:space="preserve">) </w:t>
      </w:r>
      <w:r w:rsidRPr="009448FC">
        <w:t xml:space="preserve">in its </w:t>
      </w:r>
      <w:r w:rsidR="000F7406" w:rsidRPr="009448FC">
        <w:t xml:space="preserve">mmWave </w:t>
      </w:r>
      <w:r w:rsidRPr="009448FC">
        <w:t>Beacon</w:t>
      </w:r>
      <w:r w:rsidR="00281486" w:rsidRPr="009448FC">
        <w:t xml:space="preserve"> or Announce frames</w:t>
      </w:r>
      <w:r w:rsidRPr="009448FC">
        <w:t xml:space="preserve">. The </w:t>
      </w:r>
      <w:r w:rsidR="008A6076" w:rsidRPr="009448FC">
        <w:t>PCP/</w:t>
      </w:r>
      <w:r w:rsidR="00655EA4" w:rsidRPr="009448FC">
        <w:t xml:space="preserve">AP </w:t>
      </w:r>
      <w:r w:rsidRPr="009448FC">
        <w:t xml:space="preserve">places the </w:t>
      </w:r>
      <w:r w:rsidR="00397C10" w:rsidRPr="009448FC">
        <w:t>mmWave</w:t>
      </w:r>
      <w:r w:rsidR="000F7406" w:rsidRPr="009448FC">
        <w:t xml:space="preserve"> BSS </w:t>
      </w:r>
      <w:r w:rsidR="006278CE" w:rsidRPr="009448FC">
        <w:t>Parameter Change</w:t>
      </w:r>
      <w:r w:rsidR="000F7406" w:rsidRPr="009448FC">
        <w:t xml:space="preserve"> </w:t>
      </w:r>
      <w:r w:rsidRPr="009448FC">
        <w:t xml:space="preserve">in every </w:t>
      </w:r>
      <w:r w:rsidR="000F7406" w:rsidRPr="009448FC">
        <w:t xml:space="preserve">mmWave </w:t>
      </w:r>
      <w:r w:rsidRPr="009448FC">
        <w:t>Beacon</w:t>
      </w:r>
      <w:r w:rsidR="001B1E6E" w:rsidRPr="009448FC">
        <w:t xml:space="preserve"> or Announce frame</w:t>
      </w:r>
      <w:r w:rsidR="000F7406" w:rsidRPr="009448FC">
        <w:t xml:space="preserve"> </w:t>
      </w:r>
      <w:r w:rsidRPr="009448FC">
        <w:t xml:space="preserve">after the first one, stopping in the following </w:t>
      </w:r>
      <w:r w:rsidR="000F7406" w:rsidRPr="009448FC">
        <w:t xml:space="preserve">mmWave </w:t>
      </w:r>
      <w:r w:rsidRPr="009448FC">
        <w:t xml:space="preserve">Beacon </w:t>
      </w:r>
      <w:r w:rsidR="001B1E6E" w:rsidRPr="009448FC">
        <w:t xml:space="preserve">or Announce frame </w:t>
      </w:r>
      <w:r w:rsidRPr="009448FC">
        <w:t xml:space="preserve">after the </w:t>
      </w:r>
      <w:r w:rsidR="00397C10" w:rsidRPr="009448FC">
        <w:t>mmWave</w:t>
      </w:r>
      <w:r w:rsidR="000F7406" w:rsidRPr="009448FC">
        <w:t xml:space="preserve"> BSS </w:t>
      </w:r>
      <w:r w:rsidR="006278CE" w:rsidRPr="009448FC">
        <w:t>Parameter Change</w:t>
      </w:r>
      <w:r w:rsidR="000F7406" w:rsidRPr="009448FC">
        <w:t xml:space="preserve"> </w:t>
      </w:r>
      <w:r w:rsidRPr="009448FC">
        <w:t>takes effect.</w:t>
      </w:r>
    </w:p>
    <w:p w:rsidR="008C36FC" w:rsidRPr="009448FC" w:rsidRDefault="008C36FC" w:rsidP="0004091F">
      <w:pPr>
        <w:jc w:val="both"/>
      </w:pPr>
    </w:p>
    <w:p w:rsidR="008C36FC" w:rsidRPr="009448FC" w:rsidRDefault="008C36FC" w:rsidP="003701DB">
      <w:pPr>
        <w:pStyle w:val="Heading3"/>
        <w:numPr>
          <w:ilvl w:val="2"/>
          <w:numId w:val="100"/>
        </w:numPr>
      </w:pPr>
      <w:bookmarkStart w:id="2784" w:name="_Toc235400613"/>
      <w:bookmarkStart w:id="2785" w:name="_Ref236727120"/>
      <w:bookmarkStart w:id="2786" w:name="_Ref243815965"/>
      <w:bookmarkStart w:id="2787" w:name="_Toc259717257"/>
      <w:r w:rsidRPr="009448FC">
        <w:t xml:space="preserve">Moving the </w:t>
      </w:r>
      <w:bookmarkEnd w:id="2784"/>
      <w:bookmarkEnd w:id="2785"/>
      <w:r w:rsidR="001B1E6E" w:rsidRPr="009448FC">
        <w:t>BT</w:t>
      </w:r>
      <w:bookmarkEnd w:id="2786"/>
      <w:bookmarkEnd w:id="2787"/>
    </w:p>
    <w:p w:rsidR="000B386C" w:rsidRPr="009448FC" w:rsidRDefault="000B386C" w:rsidP="001B1E6E"/>
    <w:p w:rsidR="008C36FC" w:rsidRPr="009448FC" w:rsidRDefault="008C36FC" w:rsidP="001B1E6E">
      <w:r w:rsidRPr="009448FC">
        <w:t xml:space="preserve">The </w:t>
      </w:r>
      <w:r w:rsidR="008A6076" w:rsidRPr="009448FC">
        <w:t>PCP/</w:t>
      </w:r>
      <w:r w:rsidR="00655EA4" w:rsidRPr="009448FC">
        <w:t xml:space="preserve">AP </w:t>
      </w:r>
      <w:r w:rsidRPr="009448FC">
        <w:t xml:space="preserve">may move the relative position, i.e., TBTT of </w:t>
      </w:r>
      <w:r w:rsidR="001614A2" w:rsidRPr="009448FC">
        <w:t xml:space="preserve">the first </w:t>
      </w:r>
      <w:r w:rsidR="000F7406" w:rsidRPr="009448FC">
        <w:t xml:space="preserve">mmWave </w:t>
      </w:r>
      <w:r w:rsidRPr="009448FC">
        <w:t>Beacon</w:t>
      </w:r>
      <w:r w:rsidR="001614A2" w:rsidRPr="009448FC">
        <w:t xml:space="preserve"> transmission within a BT</w:t>
      </w:r>
      <w:r w:rsidR="001B1E6E" w:rsidRPr="009448FC">
        <w:t>, hence moving the entire BT</w:t>
      </w:r>
      <w:r w:rsidRPr="009448FC">
        <w:t xml:space="preserve">. Moving the </w:t>
      </w:r>
      <w:r w:rsidR="001B1E6E" w:rsidRPr="009448FC">
        <w:t>BT</w:t>
      </w:r>
      <w:r w:rsidR="000F7406" w:rsidRPr="009448FC">
        <w:t xml:space="preserve"> </w:t>
      </w:r>
      <w:r w:rsidRPr="009448FC">
        <w:t xml:space="preserve">means that </w:t>
      </w:r>
      <w:r w:rsidR="001A1B1A" w:rsidRPr="009448FC">
        <w:t xml:space="preserve">except for the BI in which the change takes effect </w:t>
      </w:r>
      <w:r w:rsidRPr="009448FC">
        <w:t xml:space="preserve">the BI duration is unchanged while the position of the </w:t>
      </w:r>
      <w:r w:rsidR="0008656B" w:rsidRPr="009448FC">
        <w:t>BT</w:t>
      </w:r>
      <w:r w:rsidRPr="009448FC">
        <w:t xml:space="preserve"> is moved.</w:t>
      </w:r>
    </w:p>
    <w:p w:rsidR="008C36FC" w:rsidRPr="009448FC" w:rsidRDefault="008C36FC" w:rsidP="0026651E"/>
    <w:p w:rsidR="008C36FC" w:rsidRPr="009448FC" w:rsidRDefault="008C36FC" w:rsidP="00D740C2">
      <w:r w:rsidRPr="009448FC">
        <w:t xml:space="preserve">If the </w:t>
      </w:r>
      <w:r w:rsidR="008A6076" w:rsidRPr="009448FC">
        <w:t>PCP/</w:t>
      </w:r>
      <w:r w:rsidR="00655EA4" w:rsidRPr="009448FC">
        <w:t xml:space="preserve">AP </w:t>
      </w:r>
      <w:r w:rsidRPr="009448FC">
        <w:t xml:space="preserve">wishes to move </w:t>
      </w:r>
      <w:r w:rsidR="001614A2" w:rsidRPr="009448FC">
        <w:t xml:space="preserve">the position of its first mmWave </w:t>
      </w:r>
      <w:r w:rsidRPr="009448FC">
        <w:t xml:space="preserve">Beacon </w:t>
      </w:r>
      <w:r w:rsidR="001614A2" w:rsidRPr="009448FC">
        <w:t>within a BT</w:t>
      </w:r>
      <w:r w:rsidRPr="009448FC">
        <w:t xml:space="preserve">, it shall insert the </w:t>
      </w:r>
      <w:r w:rsidR="00397C10" w:rsidRPr="009448FC">
        <w:t>mmWave</w:t>
      </w:r>
      <w:r w:rsidR="000F7406" w:rsidRPr="009448FC">
        <w:t xml:space="preserve"> BSS </w:t>
      </w:r>
      <w:r w:rsidR="006278CE" w:rsidRPr="009448FC">
        <w:t>Parameter Change</w:t>
      </w:r>
      <w:r w:rsidR="000F7406" w:rsidRPr="009448FC">
        <w:t xml:space="preserve"> </w:t>
      </w:r>
      <w:r w:rsidR="002827C0" w:rsidRPr="009448FC">
        <w:t>element</w:t>
      </w:r>
      <w:r w:rsidRPr="009448FC">
        <w:t xml:space="preserve"> into dot11NbrOfChangeBeacons </w:t>
      </w:r>
      <w:r w:rsidR="001614A2" w:rsidRPr="009448FC">
        <w:t xml:space="preserve">mmWave </w:t>
      </w:r>
      <w:r w:rsidRPr="009448FC">
        <w:t xml:space="preserve">Beacon </w:t>
      </w:r>
      <w:r w:rsidR="00FA0AAD" w:rsidRPr="009448FC">
        <w:t xml:space="preserve">or Announce </w:t>
      </w:r>
      <w:r w:rsidRPr="009448FC">
        <w:t xml:space="preserve">frames with the Move field set as indicated in </w:t>
      </w:r>
      <w:r w:rsidR="00BD151C" w:rsidRPr="009448FC">
        <w:fldChar w:fldCharType="begin"/>
      </w:r>
      <w:r w:rsidR="00D740C2" w:rsidRPr="009448FC">
        <w:instrText xml:space="preserve"> REF _Ref244241433 \r \h </w:instrText>
      </w:r>
      <w:r w:rsidR="00BD151C" w:rsidRPr="009448FC">
        <w:fldChar w:fldCharType="separate"/>
      </w:r>
      <w:r w:rsidR="003E4210">
        <w:t>7.3.2.90</w:t>
      </w:r>
      <w:r w:rsidR="00BD151C" w:rsidRPr="009448FC">
        <w:fldChar w:fldCharType="end"/>
      </w:r>
      <w:r w:rsidR="002F1577" w:rsidRPr="009448FC">
        <w:t xml:space="preserve"> </w:t>
      </w:r>
      <w:r w:rsidRPr="009448FC">
        <w:t xml:space="preserve">and the Beacon Time field set to the </w:t>
      </w:r>
      <w:r w:rsidR="00FA0AAD" w:rsidRPr="009448FC">
        <w:lastRenderedPageBreak/>
        <w:t xml:space="preserve">first </w:t>
      </w:r>
      <w:r w:rsidR="001614A2" w:rsidRPr="009448FC">
        <w:t xml:space="preserve">mmWave </w:t>
      </w:r>
      <w:r w:rsidRPr="009448FC">
        <w:t xml:space="preserve">Beacon transmission time following this </w:t>
      </w:r>
      <w:r w:rsidR="00397C10" w:rsidRPr="009448FC">
        <w:t>mmWave</w:t>
      </w:r>
      <w:r w:rsidR="000F7406" w:rsidRPr="009448FC">
        <w:t xml:space="preserve"> BSS</w:t>
      </w:r>
      <w:r w:rsidR="006278CE" w:rsidRPr="009448FC">
        <w:t xml:space="preserve"> Parameter Change</w:t>
      </w:r>
      <w:r w:rsidR="00655EA4" w:rsidRPr="009448FC">
        <w:t>.</w:t>
      </w:r>
      <w:r w:rsidRPr="009448FC">
        <w:t xml:space="preserve"> The </w:t>
      </w:r>
      <w:r w:rsidR="008A6076" w:rsidRPr="009448FC">
        <w:t>PCP/</w:t>
      </w:r>
      <w:r w:rsidR="00655EA4" w:rsidRPr="009448FC">
        <w:t xml:space="preserve">AP </w:t>
      </w:r>
      <w:r w:rsidRPr="009448FC">
        <w:t xml:space="preserve">shall indicate the </w:t>
      </w:r>
      <w:r w:rsidR="00FA0AAD" w:rsidRPr="009448FC">
        <w:t xml:space="preserve">BT </w:t>
      </w:r>
      <w:r w:rsidRPr="009448FC">
        <w:t xml:space="preserve">movement through the Move field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5A6037" w:rsidRPr="009448FC">
        <w:t>mmWave BSS</w:t>
      </w:r>
      <w:r w:rsidR="00281486" w:rsidRPr="009448FC">
        <w:t xml:space="preserve"> </w:t>
      </w:r>
      <w:r w:rsidR="006278CE" w:rsidRPr="009448FC">
        <w:t>Parameter Change</w:t>
      </w:r>
      <w:r w:rsidR="00655EA4" w:rsidRPr="009448FC">
        <w:t>.</w:t>
      </w:r>
      <w:r w:rsidRPr="009448FC">
        <w:t xml:space="preserve"> The </w:t>
      </w:r>
      <w:r w:rsidR="008A6076" w:rsidRPr="009448FC">
        <w:t>PCP/</w:t>
      </w:r>
      <w:r w:rsidR="00655EA4" w:rsidRPr="009448FC">
        <w:t xml:space="preserve">AP </w:t>
      </w:r>
      <w:r w:rsidRPr="009448FC">
        <w:t xml:space="preserve">shall update the Beacon Time field in the </w:t>
      </w:r>
      <w:r w:rsidR="000B386C" w:rsidRPr="009448FC">
        <w:t>mmWave BSS</w:t>
      </w:r>
      <w:r w:rsidR="006278CE" w:rsidRPr="009448FC">
        <w:t xml:space="preserve"> Parameter Change</w:t>
      </w:r>
      <w:r w:rsidR="00281486" w:rsidRPr="009448FC">
        <w:t xml:space="preserve"> </w:t>
      </w:r>
      <w:r w:rsidR="002827C0" w:rsidRPr="009448FC">
        <w:t>element</w:t>
      </w:r>
      <w:r w:rsidRPr="009448FC">
        <w:t xml:space="preserve">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5A6037" w:rsidRPr="009448FC">
        <w:t>mmWave BSS</w:t>
      </w:r>
      <w:r w:rsidR="00281486" w:rsidRPr="009448FC">
        <w:t xml:space="preserve"> </w:t>
      </w:r>
      <w:r w:rsidR="006278CE" w:rsidRPr="009448FC">
        <w:t>Parameter Change</w:t>
      </w:r>
      <w:r w:rsidR="00655EA4" w:rsidRPr="009448FC">
        <w:t>.</w:t>
      </w:r>
    </w:p>
    <w:p w:rsidR="008C36FC" w:rsidRPr="009448FC" w:rsidRDefault="008C36FC" w:rsidP="0026651E">
      <w:pPr>
        <w:autoSpaceDE w:val="0"/>
        <w:autoSpaceDN w:val="0"/>
        <w:adjustRightInd w:val="0"/>
      </w:pPr>
    </w:p>
    <w:p w:rsidR="008C36FC" w:rsidRPr="009448FC" w:rsidRDefault="008C36FC" w:rsidP="00C303CD">
      <w:r w:rsidRPr="009448FC">
        <w:t xml:space="preserve">A </w:t>
      </w:r>
      <w:r w:rsidR="008A6076" w:rsidRPr="009448FC">
        <w:t>PCP/</w:t>
      </w:r>
      <w:r w:rsidR="00655EA4" w:rsidRPr="009448FC">
        <w:t xml:space="preserve">AP </w:t>
      </w:r>
      <w:r w:rsidRPr="009448FC">
        <w:t xml:space="preserve">member of a </w:t>
      </w:r>
      <w:r w:rsidR="008A6076" w:rsidRPr="009448FC">
        <w:t>PCP/</w:t>
      </w:r>
      <w:r w:rsidR="00655EA4" w:rsidRPr="009448FC">
        <w:t xml:space="preserve">AP </w:t>
      </w:r>
      <w:r w:rsidRPr="009448FC">
        <w:t xml:space="preserve">cluster that wishes to move its </w:t>
      </w:r>
      <w:r w:rsidR="00FA0AAD" w:rsidRPr="009448FC">
        <w:t xml:space="preserve">BT </w:t>
      </w:r>
      <w:r w:rsidRPr="009448FC">
        <w:t xml:space="preserve">transmission time shall set the Beacon Time field to an empty </w:t>
      </w:r>
      <w:r w:rsidR="0085427A" w:rsidRPr="009448FC">
        <w:t xml:space="preserve">Beacon </w:t>
      </w:r>
      <w:r w:rsidRPr="009448FC">
        <w:t>SP allocated by its S-PCP</w:t>
      </w:r>
      <w:r w:rsidR="000B386C" w:rsidRPr="009448FC">
        <w:t>/S-AP</w:t>
      </w:r>
      <w:r w:rsidRPr="009448FC">
        <w:t xml:space="preserve"> as defined in</w:t>
      </w:r>
      <w:r w:rsidR="00C303CD" w:rsidRPr="009448FC">
        <w:t xml:space="preserve"> </w:t>
      </w:r>
      <w:r w:rsidR="00BD151C">
        <w:fldChar w:fldCharType="begin"/>
      </w:r>
      <w:r w:rsidR="00D829E8">
        <w:instrText xml:space="preserve"> REF _Ref246666269 \n \h </w:instrText>
      </w:r>
      <w:r w:rsidR="00BD151C">
        <w:fldChar w:fldCharType="separate"/>
      </w:r>
      <w:r w:rsidR="003E4210">
        <w:t>9.24</w:t>
      </w:r>
      <w:r w:rsidR="00BD151C">
        <w:fldChar w:fldCharType="end"/>
      </w:r>
      <w:r w:rsidRPr="009448FC">
        <w:t>.</w:t>
      </w:r>
    </w:p>
    <w:p w:rsidR="008C36FC" w:rsidRPr="009448FC" w:rsidRDefault="008C36FC" w:rsidP="0026651E">
      <w:pPr>
        <w:autoSpaceDE w:val="0"/>
        <w:autoSpaceDN w:val="0"/>
        <w:adjustRightInd w:val="0"/>
      </w:pPr>
    </w:p>
    <w:p w:rsidR="008C36FC" w:rsidRPr="009448FC" w:rsidRDefault="00BD151C" w:rsidP="00FA0AAD">
      <w:pPr>
        <w:autoSpaceDE w:val="0"/>
        <w:autoSpaceDN w:val="0"/>
        <w:adjustRightInd w:val="0"/>
      </w:pPr>
      <w:fldSimple w:instr=" REF _Ref236396203 \h  \* MERGEFORMAT ">
        <w:r w:rsidR="003E4210" w:rsidRPr="00066F65">
          <w:t xml:space="preserve">Figure </w:t>
        </w:r>
        <w:r w:rsidR="003E4210">
          <w:rPr>
            <w:noProof/>
          </w:rPr>
          <w:t>121</w:t>
        </w:r>
      </w:fldSimple>
      <w:r w:rsidR="008C36FC" w:rsidRPr="009448FC">
        <w:t xml:space="preserve"> illustrates the process in moving the </w:t>
      </w:r>
      <w:r w:rsidR="00FA0AAD" w:rsidRPr="009448FC">
        <w:t>BT</w:t>
      </w:r>
      <w:r w:rsidR="001614A2" w:rsidRPr="009448FC">
        <w:t xml:space="preserve"> </w:t>
      </w:r>
      <w:r w:rsidR="008C36FC" w:rsidRPr="009448FC">
        <w:t>position.</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center"/>
      </w:pPr>
      <w:r w:rsidRPr="009448FC">
        <w:t xml:space="preserve"> </w:t>
      </w:r>
      <w:r w:rsidR="00FA0AAD" w:rsidRPr="009448FC">
        <w:object w:dxaOrig="7121" w:dyaOrig="2450">
          <v:shape id="_x0000_i1081" type="#_x0000_t75" style="width:357.3pt;height:121.35pt" o:ole="">
            <v:imagedata r:id="rId203" o:title=""/>
          </v:shape>
          <o:OLEObject Type="Embed" ProgID="Visio.Drawing.11" ShapeID="_x0000_i1081" DrawAspect="Content" ObjectID="_1334048260" r:id="rId204"/>
        </w:object>
      </w:r>
    </w:p>
    <w:p w:rsidR="008C36FC" w:rsidRPr="00066F65" w:rsidRDefault="003B318B" w:rsidP="00BA5BC4">
      <w:pPr>
        <w:pStyle w:val="Caption"/>
      </w:pPr>
      <w:bookmarkStart w:id="2788" w:name="_Ref236396203"/>
      <w:bookmarkStart w:id="2789" w:name="_Toc259717553"/>
      <w:r w:rsidRPr="00066F65">
        <w:t xml:space="preserve">Figure </w:t>
      </w:r>
      <w:r w:rsidR="00BD151C">
        <w:fldChar w:fldCharType="begin"/>
      </w:r>
      <w:r w:rsidR="00801316">
        <w:instrText xml:space="preserve"> SEQ Figure \* ARABIC </w:instrText>
      </w:r>
      <w:r w:rsidR="00BD151C">
        <w:fldChar w:fldCharType="separate"/>
      </w:r>
      <w:r w:rsidR="003E4210">
        <w:rPr>
          <w:noProof/>
        </w:rPr>
        <w:t>121</w:t>
      </w:r>
      <w:r w:rsidR="00BD151C">
        <w:fldChar w:fldCharType="end"/>
      </w:r>
      <w:bookmarkEnd w:id="2788"/>
      <w:r w:rsidR="008C36FC" w:rsidRPr="00066F65">
        <w:t xml:space="preserve"> – Moving the </w:t>
      </w:r>
      <w:r w:rsidR="00FA0AAD" w:rsidRPr="00066F65">
        <w:t>BT</w:t>
      </w:r>
      <w:r w:rsidR="008C36FC" w:rsidRPr="00066F65">
        <w:t xml:space="preserve"> position</w:t>
      </w:r>
      <w:bookmarkEnd w:id="2789"/>
    </w:p>
    <w:p w:rsidR="008C36FC" w:rsidRPr="009448FC" w:rsidRDefault="008C36FC" w:rsidP="0004091F">
      <w:pPr>
        <w:autoSpaceDE w:val="0"/>
        <w:autoSpaceDN w:val="0"/>
        <w:adjustRightInd w:val="0"/>
        <w:jc w:val="both"/>
      </w:pPr>
    </w:p>
    <w:p w:rsidR="008C36FC" w:rsidRPr="009448FC" w:rsidRDefault="008C36FC" w:rsidP="003701DB">
      <w:pPr>
        <w:pStyle w:val="Heading3"/>
        <w:numPr>
          <w:ilvl w:val="2"/>
          <w:numId w:val="101"/>
        </w:numPr>
      </w:pPr>
      <w:bookmarkStart w:id="2790" w:name="_Toc235400614"/>
      <w:bookmarkStart w:id="2791" w:name="_Ref243815968"/>
      <w:bookmarkStart w:id="2792" w:name="_Ref246652786"/>
      <w:bookmarkStart w:id="2793" w:name="_Toc259717258"/>
      <w:r w:rsidRPr="009448FC">
        <w:t>Changing BI duration</w:t>
      </w:r>
      <w:bookmarkEnd w:id="2790"/>
      <w:bookmarkEnd w:id="2791"/>
      <w:bookmarkEnd w:id="2792"/>
      <w:bookmarkEnd w:id="2793"/>
    </w:p>
    <w:p w:rsidR="0008656B" w:rsidRPr="009448FC" w:rsidRDefault="0008656B" w:rsidP="005F13BA">
      <w:pPr>
        <w:jc w:val="both"/>
      </w:pPr>
    </w:p>
    <w:p w:rsidR="008C36FC" w:rsidRPr="009448FC" w:rsidRDefault="008C36FC" w:rsidP="005F13BA">
      <w:pPr>
        <w:jc w:val="both"/>
      </w:pPr>
      <w:r w:rsidRPr="009448FC">
        <w:t xml:space="preserve">The </w:t>
      </w:r>
      <w:r w:rsidR="008A6076" w:rsidRPr="009448FC">
        <w:t>PCP/</w:t>
      </w:r>
      <w:r w:rsidR="00655EA4" w:rsidRPr="009448FC">
        <w:t xml:space="preserve">AP </w:t>
      </w:r>
      <w:r w:rsidRPr="009448FC">
        <w:t xml:space="preserve">may change the duration of its BI </w:t>
      </w:r>
      <w:r w:rsidR="005F13BA" w:rsidRPr="009448FC">
        <w:t>during the BSS operation</w:t>
      </w:r>
      <w:r w:rsidRPr="009448FC">
        <w:t>.</w:t>
      </w:r>
    </w:p>
    <w:p w:rsidR="008C36FC" w:rsidRPr="009448FC" w:rsidRDefault="008C36FC" w:rsidP="0004091F">
      <w:pPr>
        <w:jc w:val="both"/>
      </w:pPr>
    </w:p>
    <w:p w:rsidR="008C36FC" w:rsidRPr="009448FC" w:rsidRDefault="008C36FC" w:rsidP="003F7EBB">
      <w:pPr>
        <w:jc w:val="both"/>
      </w:pPr>
      <w:r w:rsidRPr="009448FC">
        <w:t xml:space="preserve">If the </w:t>
      </w:r>
      <w:r w:rsidR="008A6076" w:rsidRPr="009448FC">
        <w:t>PCP/</w:t>
      </w:r>
      <w:r w:rsidR="00655EA4" w:rsidRPr="009448FC">
        <w:t xml:space="preserve">AP </w:t>
      </w:r>
      <w:r w:rsidRPr="009448FC">
        <w:t xml:space="preserve">wishes to change its BI duration, it shall insert the </w:t>
      </w:r>
      <w:r w:rsidR="00397C10" w:rsidRPr="009448FC">
        <w:t>mmWave</w:t>
      </w:r>
      <w:r w:rsidR="001614A2" w:rsidRPr="009448FC">
        <w:t xml:space="preserve"> BSS</w:t>
      </w:r>
      <w:r w:rsidR="00281486" w:rsidRPr="009448FC">
        <w:t xml:space="preserve"> </w:t>
      </w:r>
      <w:r w:rsidR="006278CE" w:rsidRPr="009448FC">
        <w:t>Parameter Change</w:t>
      </w:r>
      <w:r w:rsidR="005F13BA" w:rsidRPr="009448FC">
        <w:t xml:space="preserve"> </w:t>
      </w:r>
      <w:r w:rsidR="002827C0" w:rsidRPr="009448FC">
        <w:t>element</w:t>
      </w:r>
      <w:r w:rsidRPr="009448FC">
        <w:t xml:space="preserve"> into dot11NbrOfChangeBeacons </w:t>
      </w:r>
      <w:r w:rsidR="001614A2" w:rsidRPr="009448FC">
        <w:t xml:space="preserve">mmWave </w:t>
      </w:r>
      <w:r w:rsidRPr="009448FC">
        <w:t xml:space="preserve">Beacon </w:t>
      </w:r>
      <w:r w:rsidR="00FA0AAD" w:rsidRPr="009448FC">
        <w:t>or Announce</w:t>
      </w:r>
      <w:r w:rsidR="00281486" w:rsidRPr="009448FC">
        <w:t xml:space="preserve"> </w:t>
      </w:r>
      <w:r w:rsidRPr="009448FC">
        <w:t>frames with the Size field set as indicated in</w:t>
      </w:r>
      <w:r w:rsidR="00281486" w:rsidRPr="009448FC">
        <w:t xml:space="preserve"> </w:t>
      </w:r>
      <w:r w:rsidR="00BD151C" w:rsidRPr="009448FC">
        <w:fldChar w:fldCharType="begin"/>
      </w:r>
      <w:r w:rsidR="003F7EBB" w:rsidRPr="009448FC">
        <w:instrText xml:space="preserve"> REF _Ref244236971 \r \h </w:instrText>
      </w:r>
      <w:r w:rsidR="00BD151C" w:rsidRPr="009448FC">
        <w:fldChar w:fldCharType="separate"/>
      </w:r>
      <w:r w:rsidR="003E4210">
        <w:t>7.3.2.90</w:t>
      </w:r>
      <w:r w:rsidR="00BD151C" w:rsidRPr="009448FC">
        <w:fldChar w:fldCharType="end"/>
      </w:r>
      <w:r w:rsidR="003F7EBB" w:rsidRPr="009448FC">
        <w:t xml:space="preserve"> </w:t>
      </w:r>
      <w:r w:rsidRPr="009448FC">
        <w:t xml:space="preserve">and the BI Duration field set to the </w:t>
      </w:r>
      <w:r w:rsidR="00FA0AAD" w:rsidRPr="009448FC">
        <w:t>BI</w:t>
      </w:r>
      <w:r w:rsidRPr="009448FC">
        <w:t xml:space="preserve"> duration following this </w:t>
      </w:r>
      <w:r w:rsidR="00397C10" w:rsidRPr="009448FC">
        <w:t>mmWave</w:t>
      </w:r>
      <w:r w:rsidR="001614A2" w:rsidRPr="009448FC">
        <w:t xml:space="preserve"> BSS </w:t>
      </w:r>
      <w:r w:rsidR="006278CE" w:rsidRPr="009448FC">
        <w:t>Parameter Change</w:t>
      </w:r>
      <w:r w:rsidR="00655EA4" w:rsidRPr="009448FC">
        <w:t>.</w:t>
      </w:r>
      <w:r w:rsidRPr="009448FC">
        <w:t xml:space="preserve"> The Beacon Time field shall be set to the time when this </w:t>
      </w:r>
      <w:r w:rsidR="00397C10" w:rsidRPr="009448FC">
        <w:t>mmWave</w:t>
      </w:r>
      <w:r w:rsidR="001614A2" w:rsidRPr="009448FC">
        <w:t xml:space="preserve"> BSS</w:t>
      </w:r>
      <w:r w:rsidR="006278CE" w:rsidRPr="009448FC">
        <w:t xml:space="preserve"> Parameter Change</w:t>
      </w:r>
      <w:r w:rsidR="001614A2" w:rsidRPr="009448FC">
        <w:t xml:space="preserve"> </w:t>
      </w:r>
      <w:r w:rsidRPr="009448FC">
        <w:t>takes effect.</w:t>
      </w:r>
    </w:p>
    <w:p w:rsidR="008C36FC" w:rsidRPr="009448FC" w:rsidRDefault="008C36FC" w:rsidP="0004091F">
      <w:pPr>
        <w:jc w:val="both"/>
      </w:pPr>
    </w:p>
    <w:p w:rsidR="008C36FC" w:rsidRPr="009448FC" w:rsidRDefault="008C36FC" w:rsidP="001614A2">
      <w:pPr>
        <w:jc w:val="both"/>
      </w:pPr>
      <w:r w:rsidRPr="009448FC">
        <w:t xml:space="preserve">The </w:t>
      </w:r>
      <w:r w:rsidR="008A6076" w:rsidRPr="009448FC">
        <w:t>PCP/</w:t>
      </w:r>
      <w:r w:rsidR="00655EA4" w:rsidRPr="009448FC">
        <w:t xml:space="preserve">AP </w:t>
      </w:r>
      <w:r w:rsidRPr="009448FC">
        <w:t xml:space="preserve">shall indicate the change in BI duration through the Size field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397C10" w:rsidRPr="009448FC">
        <w:t>mmWave</w:t>
      </w:r>
      <w:r w:rsidR="001614A2" w:rsidRPr="009448FC">
        <w:t xml:space="preserve"> BSS</w:t>
      </w:r>
      <w:r w:rsidR="006278CE" w:rsidRPr="009448FC">
        <w:t xml:space="preserve"> Parameter Change</w:t>
      </w:r>
      <w:r w:rsidR="00655EA4" w:rsidRPr="009448FC">
        <w:t>.</w:t>
      </w:r>
      <w:r w:rsidRPr="009448FC">
        <w:t xml:space="preserve"> The </w:t>
      </w:r>
      <w:r w:rsidR="008A6076" w:rsidRPr="009448FC">
        <w:t>PCP/</w:t>
      </w:r>
      <w:r w:rsidR="00655EA4" w:rsidRPr="009448FC">
        <w:t xml:space="preserve">AP </w:t>
      </w:r>
      <w:r w:rsidRPr="009448FC">
        <w:t xml:space="preserve">shall update the Beacon Time field in the </w:t>
      </w:r>
      <w:r w:rsidR="00397C10" w:rsidRPr="009448FC">
        <w:t>mmWave</w:t>
      </w:r>
      <w:r w:rsidR="001614A2" w:rsidRPr="009448FC">
        <w:t xml:space="preserve"> BSS</w:t>
      </w:r>
      <w:r w:rsidR="006278CE" w:rsidRPr="009448FC">
        <w:t xml:space="preserve"> Parameter Change</w:t>
      </w:r>
      <w:r w:rsidR="001614A2" w:rsidRPr="009448FC">
        <w:t xml:space="preserve"> </w:t>
      </w:r>
      <w:r w:rsidR="002827C0" w:rsidRPr="009448FC">
        <w:t>element</w:t>
      </w:r>
      <w:r w:rsidRPr="009448FC">
        <w:t xml:space="preserve">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397C10" w:rsidRPr="009448FC">
        <w:t>mmWave</w:t>
      </w:r>
      <w:r w:rsidR="001614A2" w:rsidRPr="009448FC">
        <w:t xml:space="preserve"> BSS</w:t>
      </w:r>
      <w:r w:rsidR="006278CE" w:rsidRPr="009448FC">
        <w:t xml:space="preserve"> Parameter Change</w:t>
      </w:r>
      <w:r w:rsidR="00655EA4" w:rsidRPr="009448FC">
        <w:t>.</w:t>
      </w:r>
    </w:p>
    <w:p w:rsidR="008C36FC" w:rsidRPr="009448FC" w:rsidRDefault="008C36FC" w:rsidP="0004091F">
      <w:pPr>
        <w:jc w:val="both"/>
      </w:pPr>
    </w:p>
    <w:p w:rsidR="008C36FC" w:rsidRPr="009448FC" w:rsidRDefault="00BD151C" w:rsidP="0004091F">
      <w:pPr>
        <w:jc w:val="both"/>
      </w:pPr>
      <w:r w:rsidRPr="009448FC">
        <w:fldChar w:fldCharType="begin"/>
      </w:r>
      <w:r w:rsidR="00106D18" w:rsidRPr="009448FC">
        <w:instrText xml:space="preserve"> REF _Ref236396228 \h </w:instrText>
      </w:r>
      <w:r w:rsidRPr="009448FC">
        <w:fldChar w:fldCharType="separate"/>
      </w:r>
      <w:r w:rsidR="003E4210" w:rsidRPr="00066F65">
        <w:t xml:space="preserve">Figure </w:t>
      </w:r>
      <w:r w:rsidR="003E4210">
        <w:rPr>
          <w:noProof/>
        </w:rPr>
        <w:t>122</w:t>
      </w:r>
      <w:r w:rsidRPr="009448FC">
        <w:fldChar w:fldCharType="end"/>
      </w:r>
      <w:r w:rsidR="008C36FC" w:rsidRPr="009448FC">
        <w:t xml:space="preserve"> illustrates the process in changing the BI duration.</w:t>
      </w:r>
    </w:p>
    <w:p w:rsidR="008C36FC" w:rsidRPr="009448FC" w:rsidRDefault="008C36FC" w:rsidP="0004091F">
      <w:pPr>
        <w:jc w:val="both"/>
      </w:pPr>
    </w:p>
    <w:p w:rsidR="008C36FC" w:rsidRPr="009448FC" w:rsidRDefault="008C36FC" w:rsidP="0004091F">
      <w:pPr>
        <w:autoSpaceDE w:val="0"/>
        <w:autoSpaceDN w:val="0"/>
        <w:adjustRightInd w:val="0"/>
        <w:jc w:val="center"/>
      </w:pPr>
      <w:r w:rsidRPr="009448FC">
        <w:object w:dxaOrig="7693" w:dyaOrig="2200">
          <v:shape id="_x0000_i1082" type="#_x0000_t75" style="width:383.55pt;height:112.3pt" o:ole="">
            <v:imagedata r:id="rId205" o:title=""/>
          </v:shape>
          <o:OLEObject Type="Embed" ProgID="Visio.Drawing.11" ShapeID="_x0000_i1082" DrawAspect="Content" ObjectID="_1334048261" r:id="rId206"/>
        </w:object>
      </w:r>
    </w:p>
    <w:p w:rsidR="008C36FC" w:rsidRPr="00066F65" w:rsidRDefault="003B318B" w:rsidP="00BA5BC4">
      <w:pPr>
        <w:pStyle w:val="Caption"/>
      </w:pPr>
      <w:bookmarkStart w:id="2794" w:name="_Ref236396228"/>
      <w:bookmarkStart w:id="2795" w:name="_Toc259717554"/>
      <w:r w:rsidRPr="00066F65">
        <w:t xml:space="preserve">Figure </w:t>
      </w:r>
      <w:r w:rsidR="00BD151C">
        <w:fldChar w:fldCharType="begin"/>
      </w:r>
      <w:r w:rsidR="00801316">
        <w:instrText xml:space="preserve"> SEQ Figure \* ARABIC </w:instrText>
      </w:r>
      <w:r w:rsidR="00BD151C">
        <w:fldChar w:fldCharType="separate"/>
      </w:r>
      <w:r w:rsidR="003E4210">
        <w:rPr>
          <w:noProof/>
        </w:rPr>
        <w:t>122</w:t>
      </w:r>
      <w:r w:rsidR="00BD151C">
        <w:fldChar w:fldCharType="end"/>
      </w:r>
      <w:bookmarkEnd w:id="2794"/>
      <w:r w:rsidR="008C36FC" w:rsidRPr="00066F65">
        <w:t xml:space="preserve"> – Changing BI duration</w:t>
      </w:r>
      <w:bookmarkEnd w:id="2795"/>
    </w:p>
    <w:p w:rsidR="008C36FC" w:rsidRPr="009448FC" w:rsidRDefault="008C36FC" w:rsidP="0004091F">
      <w:pPr>
        <w:autoSpaceDE w:val="0"/>
        <w:autoSpaceDN w:val="0"/>
        <w:adjustRightInd w:val="0"/>
        <w:jc w:val="both"/>
      </w:pPr>
    </w:p>
    <w:p w:rsidR="008C36FC" w:rsidRPr="009448FC" w:rsidRDefault="008C36FC" w:rsidP="003701DB">
      <w:pPr>
        <w:pStyle w:val="Heading3"/>
        <w:numPr>
          <w:ilvl w:val="2"/>
          <w:numId w:val="102"/>
        </w:numPr>
      </w:pPr>
      <w:bookmarkStart w:id="2796" w:name="_Toc235400615"/>
      <w:bookmarkStart w:id="2797" w:name="_Toc259717259"/>
      <w:r w:rsidRPr="009448FC">
        <w:t xml:space="preserve">Maintaining synchronization in a </w:t>
      </w:r>
      <w:r w:rsidR="008A6076" w:rsidRPr="009448FC">
        <w:t>PCP/</w:t>
      </w:r>
      <w:r w:rsidR="00655EA4" w:rsidRPr="009448FC">
        <w:t xml:space="preserve">AP </w:t>
      </w:r>
      <w:r w:rsidRPr="009448FC">
        <w:t>cluster</w:t>
      </w:r>
      <w:bookmarkEnd w:id="2796"/>
      <w:bookmarkEnd w:id="2797"/>
    </w:p>
    <w:p w:rsidR="0008656B" w:rsidRPr="009448FC" w:rsidRDefault="0008656B" w:rsidP="00775008">
      <w:pPr>
        <w:jc w:val="both"/>
      </w:pPr>
    </w:p>
    <w:p w:rsidR="008C36FC" w:rsidRPr="009448FC" w:rsidRDefault="008C36FC" w:rsidP="009D290D">
      <w:pPr>
        <w:jc w:val="both"/>
      </w:pPr>
      <w:r w:rsidRPr="009448FC">
        <w:t>A S-PCP</w:t>
      </w:r>
      <w:r w:rsidR="001614A2" w:rsidRPr="009448FC">
        <w:t>/S-AP</w:t>
      </w:r>
      <w:r w:rsidRPr="009448FC">
        <w:t xml:space="preserve"> shall update the </w:t>
      </w:r>
      <w:r w:rsidR="008A6076" w:rsidRPr="009448FC">
        <w:t>PCP/</w:t>
      </w:r>
      <w:r w:rsidR="00655EA4" w:rsidRPr="009448FC">
        <w:t xml:space="preserve">AP </w:t>
      </w:r>
      <w:r w:rsidRPr="009448FC">
        <w:t xml:space="preserve">clustering fields transmitted in the </w:t>
      </w:r>
      <w:r w:rsidR="001614A2" w:rsidRPr="009448FC">
        <w:t xml:space="preserve">mmWave </w:t>
      </w:r>
      <w:r w:rsidRPr="009448FC">
        <w:t xml:space="preserve">Beacon if the </w:t>
      </w:r>
      <w:r w:rsidR="00397C10" w:rsidRPr="009448FC">
        <w:t>mmWave</w:t>
      </w:r>
      <w:r w:rsidR="0008656B" w:rsidRPr="009448FC">
        <w:t xml:space="preserve"> BSS</w:t>
      </w:r>
      <w:r w:rsidR="006278CE" w:rsidRPr="009448FC">
        <w:t xml:space="preserve"> Parameter Change</w:t>
      </w:r>
      <w:r w:rsidR="001614A2" w:rsidRPr="009448FC">
        <w:t xml:space="preserve"> </w:t>
      </w:r>
      <w:r w:rsidRPr="009448FC">
        <w:t xml:space="preserve">modifies the allocation of the </w:t>
      </w:r>
      <w:r w:rsidR="0085427A" w:rsidRPr="009448FC">
        <w:t xml:space="preserve">Beacon </w:t>
      </w:r>
      <w:r w:rsidRPr="009448FC">
        <w:t xml:space="preserve">SPs </w:t>
      </w:r>
      <w:r w:rsidR="009D290D" w:rsidRPr="009448FC">
        <w:t>(</w:t>
      </w:r>
      <w:r w:rsidR="00BD151C" w:rsidRPr="009448FC">
        <w:fldChar w:fldCharType="begin"/>
      </w:r>
      <w:r w:rsidR="009D290D" w:rsidRPr="009448FC">
        <w:instrText xml:space="preserve"> REF _Ref246666269 \n \h </w:instrText>
      </w:r>
      <w:r w:rsidR="00BD151C" w:rsidRPr="009448FC">
        <w:fldChar w:fldCharType="separate"/>
      </w:r>
      <w:r w:rsidR="003E4210">
        <w:t>9.24</w:t>
      </w:r>
      <w:r w:rsidR="00BD151C" w:rsidRPr="009448FC">
        <w:fldChar w:fldCharType="end"/>
      </w:r>
      <w:r w:rsidR="009D290D" w:rsidRPr="009448FC">
        <w:t>)</w:t>
      </w:r>
      <w:r w:rsidRPr="009448FC">
        <w:t xml:space="preserve">. If the </w:t>
      </w:r>
      <w:r w:rsidR="008A6076" w:rsidRPr="009448FC">
        <w:t>PCP/</w:t>
      </w:r>
      <w:r w:rsidR="00655EA4" w:rsidRPr="009448FC">
        <w:t xml:space="preserve">AP </w:t>
      </w:r>
      <w:r w:rsidRPr="009448FC">
        <w:t xml:space="preserve">clustering fields are modified as a result of a </w:t>
      </w:r>
      <w:r w:rsidR="00397C10" w:rsidRPr="009448FC">
        <w:t>mmWave</w:t>
      </w:r>
      <w:r w:rsidR="001614A2" w:rsidRPr="009448FC">
        <w:t xml:space="preserve"> BSS </w:t>
      </w:r>
      <w:r w:rsidR="006278CE" w:rsidRPr="009448FC">
        <w:t>Parameter Change</w:t>
      </w:r>
      <w:r w:rsidR="00655EA4" w:rsidRPr="009448FC">
        <w:t>,</w:t>
      </w:r>
      <w:r w:rsidRPr="009448FC">
        <w:t xml:space="preserve"> the S-PCP</w:t>
      </w:r>
      <w:r w:rsidR="001614A2" w:rsidRPr="009448FC">
        <w:t>/S-AP</w:t>
      </w:r>
      <w:r w:rsidRPr="009448FC">
        <w:t xml:space="preserve"> shall transmit the updated </w:t>
      </w:r>
      <w:r w:rsidR="008A6076" w:rsidRPr="009448FC">
        <w:t>PCP/</w:t>
      </w:r>
      <w:r w:rsidR="00655EA4" w:rsidRPr="009448FC">
        <w:t xml:space="preserve">AP </w:t>
      </w:r>
      <w:r w:rsidRPr="009448FC">
        <w:t xml:space="preserve">clustering fields in every </w:t>
      </w:r>
      <w:r w:rsidR="001614A2" w:rsidRPr="009448FC">
        <w:t xml:space="preserve">mmWave </w:t>
      </w:r>
      <w:r w:rsidRPr="009448FC">
        <w:t xml:space="preserve">Beacon in which the </w:t>
      </w:r>
      <w:r w:rsidR="00397C10" w:rsidRPr="009448FC">
        <w:t>mmWave</w:t>
      </w:r>
      <w:r w:rsidR="001614A2" w:rsidRPr="009448FC">
        <w:t xml:space="preserve"> BSS </w:t>
      </w:r>
      <w:r w:rsidR="006278CE" w:rsidRPr="009448FC">
        <w:t>Parameter Change</w:t>
      </w:r>
      <w:r w:rsidR="001614A2" w:rsidRPr="009448FC">
        <w:t xml:space="preserve"> </w:t>
      </w:r>
      <w:r w:rsidRPr="009448FC">
        <w:t>field is transmitted.</w:t>
      </w:r>
    </w:p>
    <w:p w:rsidR="008C36FC" w:rsidRPr="009448FC" w:rsidRDefault="008C36FC" w:rsidP="0004091F">
      <w:pPr>
        <w:jc w:val="both"/>
      </w:pPr>
    </w:p>
    <w:p w:rsidR="008C36FC" w:rsidRPr="009448FC" w:rsidRDefault="008C36FC" w:rsidP="008408E6">
      <w:pPr>
        <w:jc w:val="both"/>
      </w:pPr>
      <w:r w:rsidRPr="009448FC">
        <w:t xml:space="preserve">A </w:t>
      </w:r>
      <w:r w:rsidR="008A6076" w:rsidRPr="009448FC">
        <w:t>PCP/</w:t>
      </w:r>
      <w:r w:rsidR="00655EA4" w:rsidRPr="009448FC">
        <w:t xml:space="preserve">AP </w:t>
      </w:r>
      <w:r w:rsidRPr="009448FC">
        <w:t xml:space="preserve">member of a </w:t>
      </w:r>
      <w:r w:rsidR="008A6076" w:rsidRPr="009448FC">
        <w:t>PCP/</w:t>
      </w:r>
      <w:r w:rsidR="00655EA4" w:rsidRPr="009448FC">
        <w:t xml:space="preserve">AP </w:t>
      </w:r>
      <w:r w:rsidRPr="009448FC">
        <w:t>cluster receiving a S-PCP</w:t>
      </w:r>
      <w:r w:rsidR="001614A2" w:rsidRPr="009448FC">
        <w:t>/S-AP mmWave</w:t>
      </w:r>
      <w:r w:rsidRPr="009448FC">
        <w:t xml:space="preserve"> </w:t>
      </w:r>
      <w:r w:rsidR="001614A2" w:rsidRPr="009448FC">
        <w:t xml:space="preserve">Beacon </w:t>
      </w:r>
      <w:r w:rsidRPr="009448FC">
        <w:t xml:space="preserve">with a </w:t>
      </w:r>
      <w:r w:rsidR="00397C10" w:rsidRPr="009448FC">
        <w:t>mmWave</w:t>
      </w:r>
      <w:r w:rsidR="001614A2" w:rsidRPr="009448FC">
        <w:t xml:space="preserve"> BSS </w:t>
      </w:r>
      <w:r w:rsidR="006278CE" w:rsidRPr="009448FC">
        <w:t>Parameter Change</w:t>
      </w:r>
      <w:r w:rsidR="001614A2" w:rsidRPr="009448FC">
        <w:t xml:space="preserve"> </w:t>
      </w:r>
      <w:r w:rsidR="002827C0" w:rsidRPr="009448FC">
        <w:t>element</w:t>
      </w:r>
      <w:r w:rsidRPr="009448FC">
        <w:t xml:space="preserve"> indicating a change in the </w:t>
      </w:r>
      <w:r w:rsidR="008408E6" w:rsidRPr="009448FC">
        <w:t>BI</w:t>
      </w:r>
      <w:r w:rsidRPr="009448FC">
        <w:t xml:space="preserve"> duration or TBTT time shall immediately insert the appropriate </w:t>
      </w:r>
      <w:r w:rsidR="00397C10" w:rsidRPr="009448FC">
        <w:t>mmWave</w:t>
      </w:r>
      <w:r w:rsidR="001614A2" w:rsidRPr="009448FC">
        <w:t xml:space="preserve"> BSS </w:t>
      </w:r>
      <w:r w:rsidR="006278CE" w:rsidRPr="009448FC">
        <w:t>Parameter Change</w:t>
      </w:r>
      <w:r w:rsidR="001614A2" w:rsidRPr="009448FC">
        <w:t xml:space="preserve"> </w:t>
      </w:r>
      <w:r w:rsidR="002827C0" w:rsidRPr="009448FC">
        <w:t>element</w:t>
      </w:r>
      <w:r w:rsidRPr="009448FC">
        <w:t xml:space="preserve"> into its </w:t>
      </w:r>
      <w:r w:rsidR="001614A2" w:rsidRPr="009448FC">
        <w:t xml:space="preserve">mmWave </w:t>
      </w:r>
      <w:r w:rsidRPr="009448FC">
        <w:t>Beacons if the S-PCP’s</w:t>
      </w:r>
      <w:r w:rsidR="001614A2" w:rsidRPr="009448FC">
        <w:t>/S-AP’s</w:t>
      </w:r>
      <w:r w:rsidRPr="009448FC">
        <w:t xml:space="preserve"> </w:t>
      </w:r>
      <w:r w:rsidR="00397C10" w:rsidRPr="009448FC">
        <w:t>mmWave</w:t>
      </w:r>
      <w:r w:rsidR="001614A2" w:rsidRPr="009448FC">
        <w:t xml:space="preserve"> BSS</w:t>
      </w:r>
      <w:r w:rsidR="006278CE" w:rsidRPr="009448FC">
        <w:t xml:space="preserve"> Parameter Change</w:t>
      </w:r>
      <w:r w:rsidR="001614A2" w:rsidRPr="009448FC">
        <w:t xml:space="preserve"> </w:t>
      </w:r>
      <w:r w:rsidRPr="009448FC">
        <w:t xml:space="preserve">causes a modification in the allocation of the </w:t>
      </w:r>
      <w:r w:rsidR="0085427A" w:rsidRPr="009448FC">
        <w:t xml:space="preserve">Beacon </w:t>
      </w:r>
      <w:r w:rsidRPr="009448FC">
        <w:t>SPs.</w:t>
      </w:r>
    </w:p>
    <w:p w:rsidR="008C36FC" w:rsidRPr="009448FC" w:rsidRDefault="008C36FC" w:rsidP="0004091F">
      <w:pPr>
        <w:jc w:val="both"/>
      </w:pPr>
    </w:p>
    <w:p w:rsidR="007B043B" w:rsidRPr="009448FC" w:rsidRDefault="008C36FC" w:rsidP="007B043B">
      <w:pPr>
        <w:jc w:val="both"/>
      </w:pPr>
      <w:r w:rsidRPr="009448FC">
        <w:t xml:space="preserve">If a </w:t>
      </w:r>
      <w:r w:rsidR="008A6076" w:rsidRPr="009448FC">
        <w:t>PCP/</w:t>
      </w:r>
      <w:r w:rsidR="00655EA4" w:rsidRPr="009448FC">
        <w:t xml:space="preserve">AP </w:t>
      </w:r>
      <w:r w:rsidRPr="009448FC">
        <w:t xml:space="preserve">that is a member of a </w:t>
      </w:r>
      <w:r w:rsidR="008A6076" w:rsidRPr="009448FC">
        <w:t>PCP/</w:t>
      </w:r>
      <w:r w:rsidR="00655EA4" w:rsidRPr="009448FC">
        <w:t xml:space="preserve">AP </w:t>
      </w:r>
      <w:r w:rsidRPr="009448FC">
        <w:t xml:space="preserve">cluster is required to make a </w:t>
      </w:r>
      <w:r w:rsidR="00397C10" w:rsidRPr="009448FC">
        <w:t>mmWave</w:t>
      </w:r>
      <w:r w:rsidR="001614A2" w:rsidRPr="009448FC">
        <w:t xml:space="preserve"> BSS</w:t>
      </w:r>
      <w:r w:rsidR="006278CE" w:rsidRPr="009448FC">
        <w:t xml:space="preserve"> Parameter Change</w:t>
      </w:r>
      <w:r w:rsidR="001614A2" w:rsidRPr="009448FC">
        <w:t xml:space="preserve"> </w:t>
      </w:r>
      <w:r w:rsidRPr="009448FC">
        <w:t>as a result of its S-PCP’s</w:t>
      </w:r>
      <w:r w:rsidR="001614A2" w:rsidRPr="009448FC">
        <w:t>/S-AP’s</w:t>
      </w:r>
      <w:r w:rsidRPr="009448FC">
        <w:t xml:space="preserve"> </w:t>
      </w:r>
      <w:r w:rsidR="00397C10" w:rsidRPr="009448FC">
        <w:t>mmWave</w:t>
      </w:r>
      <w:r w:rsidR="001614A2" w:rsidRPr="009448FC">
        <w:t xml:space="preserve"> BSS </w:t>
      </w:r>
      <w:r w:rsidR="006278CE" w:rsidRPr="009448FC">
        <w:t>Parameter Change</w:t>
      </w:r>
      <w:r w:rsidR="00655EA4" w:rsidRPr="009448FC">
        <w:t>,</w:t>
      </w:r>
      <w:r w:rsidRPr="009448FC">
        <w:t xml:space="preserve"> it shall use the value of the Beacon Time field in the </w:t>
      </w:r>
      <w:r w:rsidR="00397C10" w:rsidRPr="009448FC">
        <w:t>mmWave</w:t>
      </w:r>
      <w:r w:rsidR="001614A2" w:rsidRPr="009448FC">
        <w:t xml:space="preserve"> BSS </w:t>
      </w:r>
      <w:r w:rsidR="006278CE" w:rsidRPr="009448FC">
        <w:t>Parameter Change</w:t>
      </w:r>
      <w:r w:rsidR="001614A2" w:rsidRPr="009448FC">
        <w:t xml:space="preserve"> </w:t>
      </w:r>
      <w:r w:rsidR="002827C0" w:rsidRPr="009448FC">
        <w:t>element</w:t>
      </w:r>
      <w:r w:rsidRPr="009448FC">
        <w:t xml:space="preserve"> from the S-PCP’s</w:t>
      </w:r>
      <w:r w:rsidR="001614A2" w:rsidRPr="009448FC">
        <w:t>/S-AP’s</w:t>
      </w:r>
      <w:r w:rsidRPr="009448FC">
        <w:t xml:space="preserve"> </w:t>
      </w:r>
      <w:r w:rsidR="001614A2" w:rsidRPr="009448FC">
        <w:t xml:space="preserve">mmWave </w:t>
      </w:r>
      <w:r w:rsidRPr="009448FC">
        <w:t xml:space="preserve">Beacon to calculate the Beacon Time field in the </w:t>
      </w:r>
      <w:r w:rsidR="00397C10" w:rsidRPr="009448FC">
        <w:t>mmWave</w:t>
      </w:r>
      <w:r w:rsidR="00EE1100" w:rsidRPr="009448FC">
        <w:t xml:space="preserve"> </w:t>
      </w:r>
      <w:r w:rsidR="001614A2" w:rsidRPr="009448FC">
        <w:t xml:space="preserve">BSS </w:t>
      </w:r>
      <w:r w:rsidR="006278CE" w:rsidRPr="009448FC">
        <w:t>Parameter Change</w:t>
      </w:r>
      <w:r w:rsidR="001614A2" w:rsidRPr="009448FC">
        <w:t xml:space="preserve"> </w:t>
      </w:r>
      <w:r w:rsidR="002827C0" w:rsidRPr="009448FC">
        <w:t>element</w:t>
      </w:r>
      <w:r w:rsidRPr="009448FC">
        <w:t xml:space="preserve"> of its own </w:t>
      </w:r>
      <w:r w:rsidR="001614A2" w:rsidRPr="009448FC">
        <w:t xml:space="preserve">mmWave </w:t>
      </w:r>
      <w:r w:rsidRPr="009448FC">
        <w:t>Beacon transmission.</w:t>
      </w:r>
    </w:p>
    <w:p w:rsidR="007B043B" w:rsidRPr="009448FC" w:rsidRDefault="007B043B" w:rsidP="003701DB">
      <w:pPr>
        <w:pStyle w:val="Heading2"/>
        <w:numPr>
          <w:ilvl w:val="1"/>
          <w:numId w:val="166"/>
        </w:numPr>
        <w:rPr>
          <w:rFonts w:ascii="Times New Roman" w:hAnsi="Times New Roman"/>
          <w:u w:val="none"/>
        </w:rPr>
      </w:pPr>
      <w:bookmarkStart w:id="2798" w:name="_Ref246664737"/>
      <w:bookmarkStart w:id="2799" w:name="_Ref246666450"/>
      <w:bookmarkStart w:id="2800" w:name="_Ref246666521"/>
      <w:bookmarkStart w:id="2801" w:name="_Ref246666576"/>
      <w:bookmarkStart w:id="2802" w:name="_Ref246668125"/>
      <w:bookmarkStart w:id="2803" w:name="_Ref246668197"/>
      <w:bookmarkStart w:id="2804" w:name="_Ref246669227"/>
      <w:bookmarkStart w:id="2805" w:name="_Ref246669608"/>
      <w:bookmarkStart w:id="2806" w:name="_Ref246671071"/>
      <w:bookmarkStart w:id="2807" w:name="_Toc259717260"/>
      <w:r w:rsidRPr="009448FC">
        <w:rPr>
          <w:rFonts w:ascii="Times New Roman" w:hAnsi="Times New Roman"/>
          <w:u w:val="none"/>
        </w:rPr>
        <w:t xml:space="preserve">Spatial </w:t>
      </w:r>
      <w:r w:rsidR="00A80E5E" w:rsidRPr="009448FC">
        <w:rPr>
          <w:rFonts w:ascii="Times New Roman" w:hAnsi="Times New Roman"/>
          <w:u w:val="none"/>
        </w:rPr>
        <w:t xml:space="preserve">frequency </w:t>
      </w:r>
      <w:r w:rsidRPr="009448FC">
        <w:rPr>
          <w:rFonts w:ascii="Times New Roman" w:hAnsi="Times New Roman"/>
          <w:u w:val="none"/>
        </w:rPr>
        <w:t>sharing and Interference mitigation</w:t>
      </w:r>
      <w:bookmarkEnd w:id="2798"/>
      <w:bookmarkEnd w:id="2799"/>
      <w:bookmarkEnd w:id="2800"/>
      <w:bookmarkEnd w:id="2801"/>
      <w:bookmarkEnd w:id="2802"/>
      <w:bookmarkEnd w:id="2803"/>
      <w:bookmarkEnd w:id="2804"/>
      <w:bookmarkEnd w:id="2805"/>
      <w:bookmarkEnd w:id="2806"/>
      <w:bookmarkEnd w:id="2807"/>
    </w:p>
    <w:p w:rsidR="000B52DB" w:rsidRPr="009448FC" w:rsidRDefault="000B52DB" w:rsidP="000B52DB">
      <w:bookmarkStart w:id="2808" w:name="_Toc241624581"/>
      <w:bookmarkStart w:id="2809" w:name="_Toc243399927"/>
      <w:bookmarkStart w:id="2810" w:name="_Toc243455921"/>
      <w:bookmarkStart w:id="2811" w:name="_Toc243461788"/>
      <w:bookmarkStart w:id="2812" w:name="_Toc243471911"/>
      <w:bookmarkStart w:id="2813" w:name="_Toc243795182"/>
      <w:bookmarkStart w:id="2814" w:name="_Toc207099111"/>
      <w:bookmarkStart w:id="2815" w:name="_Toc207099719"/>
      <w:bookmarkStart w:id="2816" w:name="_Toc207100180"/>
      <w:bookmarkStart w:id="2817" w:name="_Toc207100638"/>
      <w:bookmarkStart w:id="2818" w:name="_Toc207348560"/>
      <w:bookmarkStart w:id="2819" w:name="_Toc207611528"/>
      <w:bookmarkStart w:id="2820" w:name="_Toc207612031"/>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rsidR="008C36FC" w:rsidRPr="009448FC" w:rsidRDefault="008C36FC" w:rsidP="00A1061A">
      <w:pPr>
        <w:pStyle w:val="NormalWeb"/>
        <w:spacing w:before="0" w:beforeAutospacing="0" w:after="0" w:afterAutospacing="0"/>
        <w:outlineLvl w:val="0"/>
        <w:rPr>
          <w:rFonts w:ascii="Verdana" w:hAnsi="Verdana"/>
          <w:sz w:val="20"/>
        </w:rPr>
      </w:pPr>
      <w:r w:rsidRPr="009448FC">
        <w:t xml:space="preserve">This subclause describes mechanisms to enable spatial </w:t>
      </w:r>
      <w:r w:rsidR="00A80E5E">
        <w:t xml:space="preserve">frequency </w:t>
      </w:r>
      <w:r w:rsidR="009945C9" w:rsidRPr="009448FC">
        <w:t>sharing</w:t>
      </w:r>
      <w:r w:rsidR="00A1061A" w:rsidRPr="009448FC">
        <w:t xml:space="preserve"> </w:t>
      </w:r>
      <w:r w:rsidRPr="009448FC">
        <w:t xml:space="preserve">and interference mitigation within a </w:t>
      </w:r>
      <w:r w:rsidR="002873BD" w:rsidRPr="009448FC">
        <w:t>PBSS/</w:t>
      </w:r>
      <w:r w:rsidR="00030887" w:rsidRPr="009448FC">
        <w:t xml:space="preserve">infrastructure </w:t>
      </w:r>
      <w:r w:rsidR="002873BD" w:rsidRPr="009448FC">
        <w:t>BSS</w:t>
      </w:r>
      <w:r w:rsidR="00D56D2D" w:rsidRPr="009448FC">
        <w:t xml:space="preserve"> </w:t>
      </w:r>
      <w:r w:rsidRPr="009448FC">
        <w:t xml:space="preserve">and in a </w:t>
      </w:r>
      <w:r w:rsidRPr="009448FC">
        <w:rPr>
          <w:rFonts w:eastAsia="PMingLiU" w:hint="eastAsia"/>
        </w:rPr>
        <w:t>uncoordinated</w:t>
      </w:r>
      <w:r w:rsidRPr="009448FC">
        <w:t xml:space="preserve"> OBSS environment.</w:t>
      </w:r>
    </w:p>
    <w:p w:rsidR="008C36FC" w:rsidRPr="009448FC" w:rsidRDefault="00552649" w:rsidP="00781C94">
      <w:pPr>
        <w:pStyle w:val="BodyText"/>
        <w:rPr>
          <w:rFonts w:ascii="Times New Roman" w:hAnsi="Times New Roman"/>
        </w:rPr>
      </w:pPr>
      <w:r w:rsidRPr="00066F65">
        <w:rPr>
          <w:b/>
          <w:i/>
          <w:color w:val="FF0000"/>
          <w:u w:val="single"/>
          <w:lang w:eastAsia="zh-TW"/>
        </w:rPr>
        <w:t xml:space="preserve"> </w:t>
      </w:r>
    </w:p>
    <w:p w:rsidR="008C36FC" w:rsidRPr="009448FC" w:rsidRDefault="008C36FC" w:rsidP="00EE7D01">
      <w:pPr>
        <w:pStyle w:val="BodyText"/>
        <w:rPr>
          <w:rFonts w:ascii="Times New Roman" w:hAnsi="Times New Roman"/>
        </w:rPr>
      </w:pPr>
      <w:r w:rsidRPr="009448FC">
        <w:rPr>
          <w:rFonts w:ascii="Times New Roman" w:hAnsi="Times New Roman"/>
        </w:rPr>
        <w:t xml:space="preserve">A </w:t>
      </w:r>
      <w:r w:rsidR="00EE7D01" w:rsidRPr="009448FC">
        <w:rPr>
          <w:rFonts w:ascii="Times New Roman" w:hAnsi="Times New Roman"/>
        </w:rPr>
        <w:t xml:space="preserve">STA </w:t>
      </w:r>
      <w:r w:rsidRPr="009448FC">
        <w:rPr>
          <w:rFonts w:ascii="Times New Roman" w:hAnsi="Times New Roman"/>
        </w:rPr>
        <w:t xml:space="preserve">may implement spatial </w:t>
      </w:r>
      <w:r w:rsidR="009945C9" w:rsidRPr="009448FC">
        <w:rPr>
          <w:rFonts w:ascii="Times New Roman" w:hAnsi="Times New Roman"/>
        </w:rPr>
        <w:t>sharing</w:t>
      </w:r>
      <w:r w:rsidR="00A1061A" w:rsidRPr="009448FC">
        <w:rPr>
          <w:rFonts w:ascii="Times New Roman" w:hAnsi="Times New Roman"/>
        </w:rPr>
        <w:t xml:space="preserve"> </w:t>
      </w:r>
      <w:r w:rsidRPr="009448FC">
        <w:rPr>
          <w:rFonts w:ascii="Times New Roman" w:hAnsi="Times New Roman"/>
        </w:rPr>
        <w:t xml:space="preserve">mechanisms which allow SPs in the same vicinity to </w:t>
      </w:r>
      <w:r w:rsidR="00EE7D01" w:rsidRPr="009448FC">
        <w:rPr>
          <w:rFonts w:ascii="Times New Roman" w:hAnsi="Times New Roman"/>
        </w:rPr>
        <w:t xml:space="preserve">be scheduled </w:t>
      </w:r>
      <w:r w:rsidRPr="009448FC">
        <w:rPr>
          <w:rFonts w:ascii="Times New Roman" w:hAnsi="Times New Roman"/>
        </w:rPr>
        <w:t>concurrently over the same channel, and for interference mitigation.</w:t>
      </w:r>
      <w:r w:rsidR="00EE7D01" w:rsidRPr="009448FC">
        <w:rPr>
          <w:rFonts w:ascii="Times New Roman" w:hAnsi="Times New Roman"/>
        </w:rPr>
        <w:t xml:space="preserve"> Alternatively, the PCP/AP can use CBPs to mitigate interference. </w:t>
      </w:r>
    </w:p>
    <w:p w:rsidR="008C36FC" w:rsidRPr="009448FC" w:rsidRDefault="008C36FC" w:rsidP="00781C94">
      <w:pPr>
        <w:pStyle w:val="BodyText"/>
        <w:rPr>
          <w:rFonts w:ascii="Times New Roman" w:hAnsi="Times New Roman"/>
        </w:rPr>
      </w:pPr>
    </w:p>
    <w:p w:rsidR="008C36FC" w:rsidRPr="009448FC" w:rsidRDefault="008C36FC" w:rsidP="00A1061A">
      <w:pPr>
        <w:pStyle w:val="BodyText"/>
        <w:outlineLvl w:val="0"/>
        <w:rPr>
          <w:rFonts w:ascii="Times New Roman" w:hAnsi="Times New Roman"/>
        </w:rPr>
      </w:pPr>
      <w:r w:rsidRPr="009448FC">
        <w:rPr>
          <w:rFonts w:ascii="Times New Roman" w:hAnsi="Times New Roman"/>
        </w:rPr>
        <w:t xml:space="preserve">The </w:t>
      </w:r>
      <w:r w:rsidR="00A1061A" w:rsidRPr="009448FC">
        <w:rPr>
          <w:rFonts w:ascii="Times New Roman" w:hAnsi="Times New Roman"/>
        </w:rPr>
        <w:t xml:space="preserve">SFS and Interference Mitigation field in the mmWave </w:t>
      </w:r>
      <w:r w:rsidRPr="009448FC">
        <w:rPr>
          <w:rFonts w:ascii="Times New Roman" w:hAnsi="Times New Roman"/>
        </w:rPr>
        <w:t>Capabil</w:t>
      </w:r>
      <w:r w:rsidR="00B910DA" w:rsidRPr="009448FC">
        <w:rPr>
          <w:rFonts w:ascii="Times New Roman" w:hAnsi="Times New Roman"/>
        </w:rPr>
        <w:t>ities</w:t>
      </w:r>
      <w:r w:rsidRPr="009448FC">
        <w:rPr>
          <w:rFonts w:ascii="Times New Roman" w:hAnsi="Times New Roman"/>
        </w:rPr>
        <w:t xml:space="preserve"> element indicates whether a STA supports spatial </w:t>
      </w:r>
      <w:r w:rsidR="009945C9" w:rsidRPr="009448FC">
        <w:rPr>
          <w:rFonts w:ascii="Times New Roman" w:hAnsi="Times New Roman"/>
        </w:rPr>
        <w:t>sharing</w:t>
      </w:r>
      <w:r w:rsidR="00655EA4" w:rsidRPr="009448FC">
        <w:rPr>
          <w:rFonts w:ascii="Times New Roman" w:hAnsi="Times New Roman"/>
        </w:rPr>
        <w:t>.</w:t>
      </w:r>
    </w:p>
    <w:p w:rsidR="008C36FC" w:rsidRPr="009448FC" w:rsidRDefault="008C36FC" w:rsidP="00781C94">
      <w:pPr>
        <w:pStyle w:val="BodyText"/>
        <w:rPr>
          <w:rFonts w:ascii="Times New Roman" w:hAnsi="Times New Roman"/>
        </w:rPr>
      </w:pPr>
    </w:p>
    <w:p w:rsidR="008C36FC" w:rsidRPr="009448FC" w:rsidRDefault="008C36FC" w:rsidP="003E36CE">
      <w:pPr>
        <w:pStyle w:val="BodyText"/>
        <w:jc w:val="left"/>
        <w:rPr>
          <w:rFonts w:ascii="Times New Roman" w:hAnsi="Times New Roman"/>
        </w:rPr>
      </w:pPr>
      <w:r w:rsidRPr="009448FC">
        <w:rPr>
          <w:rFonts w:ascii="Times New Roman" w:hAnsi="Times New Roman"/>
        </w:rPr>
        <w:t xml:space="preserve">A STA shall support the Directional Channel Quality measurements </w:t>
      </w:r>
      <w:r w:rsidR="003E36CE" w:rsidRPr="009448FC">
        <w:rPr>
          <w:rFonts w:ascii="Times New Roman" w:hAnsi="Times New Roman"/>
        </w:rPr>
        <w:t xml:space="preserve">described in </w:t>
      </w:r>
      <w:r w:rsidR="00BD151C" w:rsidRPr="009448FC">
        <w:rPr>
          <w:rFonts w:ascii="Times New Roman" w:hAnsi="Times New Roman"/>
        </w:rPr>
        <w:fldChar w:fldCharType="begin"/>
      </w:r>
      <w:r w:rsidR="003E36CE" w:rsidRPr="009448FC">
        <w:rPr>
          <w:rFonts w:ascii="Times New Roman" w:hAnsi="Times New Roman"/>
        </w:rPr>
        <w:instrText xml:space="preserve"> REF _Ref244259228 \n \h </w:instrText>
      </w:r>
      <w:r w:rsidR="00BD151C" w:rsidRPr="009448FC">
        <w:rPr>
          <w:rFonts w:ascii="Times New Roman" w:hAnsi="Times New Roman"/>
        </w:rPr>
      </w:r>
      <w:r w:rsidR="00BD151C" w:rsidRPr="009448FC">
        <w:rPr>
          <w:rFonts w:ascii="Times New Roman" w:hAnsi="Times New Roman"/>
        </w:rPr>
        <w:fldChar w:fldCharType="separate"/>
      </w:r>
      <w:r w:rsidR="003E4210">
        <w:rPr>
          <w:rFonts w:ascii="Times New Roman" w:hAnsi="Times New Roman"/>
        </w:rPr>
        <w:t>7.3.2.21.12</w:t>
      </w:r>
      <w:r w:rsidR="00BD151C" w:rsidRPr="009448FC">
        <w:rPr>
          <w:rFonts w:ascii="Times New Roman" w:hAnsi="Times New Roman"/>
        </w:rPr>
        <w:fldChar w:fldCharType="end"/>
      </w:r>
      <w:r w:rsidR="00F25F17" w:rsidRPr="009448FC">
        <w:rPr>
          <w:rFonts w:ascii="Times New Roman" w:hAnsi="Times New Roman"/>
        </w:rPr>
        <w:t xml:space="preserve"> and </w:t>
      </w:r>
      <w:r w:rsidR="00BD151C" w:rsidRPr="009448FC">
        <w:rPr>
          <w:rFonts w:ascii="Times New Roman" w:hAnsi="Times New Roman"/>
        </w:rPr>
        <w:fldChar w:fldCharType="begin"/>
      </w:r>
      <w:r w:rsidR="00F25F17" w:rsidRPr="009448FC">
        <w:rPr>
          <w:rFonts w:ascii="Times New Roman" w:hAnsi="Times New Roman"/>
        </w:rPr>
        <w:instrText xml:space="preserve"> REF _Ref244259275 \n \h </w:instrText>
      </w:r>
      <w:r w:rsidR="00BD151C" w:rsidRPr="009448FC">
        <w:rPr>
          <w:rFonts w:ascii="Times New Roman" w:hAnsi="Times New Roman"/>
        </w:rPr>
      </w:r>
      <w:r w:rsidR="00BD151C" w:rsidRPr="009448FC">
        <w:rPr>
          <w:rFonts w:ascii="Times New Roman" w:hAnsi="Times New Roman"/>
        </w:rPr>
        <w:fldChar w:fldCharType="separate"/>
      </w:r>
      <w:r w:rsidR="003E4210">
        <w:rPr>
          <w:rFonts w:ascii="Times New Roman" w:hAnsi="Times New Roman"/>
        </w:rPr>
        <w:t>7.3.2.22.11</w:t>
      </w:r>
      <w:r w:rsidR="00BD151C" w:rsidRPr="009448FC">
        <w:rPr>
          <w:rFonts w:ascii="Times New Roman" w:hAnsi="Times New Roman"/>
        </w:rPr>
        <w:fldChar w:fldCharType="end"/>
      </w:r>
      <w:r w:rsidR="00F25F17" w:rsidRPr="009448FC">
        <w:rPr>
          <w:rFonts w:ascii="Times New Roman" w:hAnsi="Times New Roman"/>
        </w:rPr>
        <w:t xml:space="preserve"> i</w:t>
      </w:r>
      <w:r w:rsidRPr="009448FC">
        <w:rPr>
          <w:rFonts w:ascii="Times New Roman" w:hAnsi="Times New Roman"/>
        </w:rPr>
        <w:t xml:space="preserve">f the STA is spatial </w:t>
      </w:r>
      <w:r w:rsidR="009945C9" w:rsidRPr="009448FC">
        <w:rPr>
          <w:rFonts w:ascii="Times New Roman" w:hAnsi="Times New Roman"/>
        </w:rPr>
        <w:t>sharing</w:t>
      </w:r>
      <w:r w:rsidR="0008656B" w:rsidRPr="009448FC">
        <w:rPr>
          <w:rFonts w:ascii="Times New Roman" w:hAnsi="Times New Roman"/>
        </w:rPr>
        <w:t xml:space="preserve"> </w:t>
      </w:r>
      <w:r w:rsidRPr="009448FC">
        <w:rPr>
          <w:rFonts w:ascii="Times New Roman" w:hAnsi="Times New Roman"/>
        </w:rPr>
        <w:t>capable.</w:t>
      </w:r>
      <w:r w:rsidR="00097978" w:rsidRPr="009448FC">
        <w:rPr>
          <w:rFonts w:ascii="Times New Roman" w:hAnsi="Times New Roman"/>
        </w:rPr>
        <w:t xml:space="preserve"> </w:t>
      </w:r>
    </w:p>
    <w:p w:rsidR="008C36FC" w:rsidRPr="00066F65" w:rsidRDefault="00552649" w:rsidP="00552649">
      <w:pPr>
        <w:rPr>
          <w:b/>
          <w:i/>
          <w:color w:val="FF0000"/>
          <w:u w:val="single"/>
          <w:lang w:eastAsia="zh-TW"/>
        </w:rPr>
      </w:pPr>
      <w:r w:rsidRPr="009448FC">
        <w:t xml:space="preserve"> </w:t>
      </w:r>
    </w:p>
    <w:p w:rsidR="008C36FC" w:rsidRPr="009448FC" w:rsidRDefault="008C36FC" w:rsidP="003701DB">
      <w:pPr>
        <w:pStyle w:val="Heading3"/>
        <w:numPr>
          <w:ilvl w:val="2"/>
          <w:numId w:val="224"/>
        </w:numPr>
      </w:pPr>
      <w:bookmarkStart w:id="2821" w:name="_Toc215582921"/>
      <w:bookmarkStart w:id="2822" w:name="_Toc235400617"/>
      <w:bookmarkStart w:id="2823" w:name="_Ref236724746"/>
      <w:bookmarkStart w:id="2824" w:name="_Toc259717261"/>
      <w:r w:rsidRPr="00BD568F">
        <w:rPr>
          <w:bCs w:val="0"/>
        </w:rPr>
        <w:lastRenderedPageBreak/>
        <w:t xml:space="preserve">Spatial </w:t>
      </w:r>
      <w:r w:rsidR="006853F8">
        <w:rPr>
          <w:bCs w:val="0"/>
        </w:rPr>
        <w:t>s</w:t>
      </w:r>
      <w:r w:rsidR="009945C9" w:rsidRPr="00BD568F">
        <w:rPr>
          <w:bCs w:val="0"/>
        </w:rPr>
        <w:t>haring</w:t>
      </w:r>
      <w:r w:rsidR="00A1061A" w:rsidRPr="00BD568F">
        <w:rPr>
          <w:bCs w:val="0"/>
        </w:rPr>
        <w:t xml:space="preserve"> </w:t>
      </w:r>
      <w:r w:rsidRPr="00BD568F">
        <w:t>and</w:t>
      </w:r>
      <w:r w:rsidRPr="009448FC">
        <w:t xml:space="preserve"> Interference </w:t>
      </w:r>
      <w:r w:rsidR="006853F8">
        <w:t>a</w:t>
      </w:r>
      <w:r w:rsidRPr="009448FC">
        <w:t>ssessment</w:t>
      </w:r>
      <w:bookmarkEnd w:id="2821"/>
      <w:bookmarkEnd w:id="2822"/>
      <w:bookmarkEnd w:id="2823"/>
      <w:bookmarkEnd w:id="2824"/>
    </w:p>
    <w:p w:rsidR="0008656B" w:rsidRPr="009448FC" w:rsidRDefault="0008656B" w:rsidP="000F2B1A">
      <w:pPr>
        <w:pStyle w:val="BodyText"/>
        <w:rPr>
          <w:rFonts w:ascii="Times New Roman" w:hAnsi="Times New Roman"/>
        </w:rPr>
      </w:pPr>
    </w:p>
    <w:p w:rsidR="008C36FC" w:rsidRPr="009448FC" w:rsidRDefault="008C36FC" w:rsidP="00552649">
      <w:pPr>
        <w:pStyle w:val="BodyText"/>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request STAs to perform and report spectrum and radio resource measurements described in </w:t>
      </w:r>
      <w:r w:rsidR="00BD151C" w:rsidRPr="009448FC">
        <w:rPr>
          <w:rFonts w:ascii="Times New Roman" w:hAnsi="Times New Roman"/>
        </w:rPr>
        <w:fldChar w:fldCharType="begin"/>
      </w:r>
      <w:r w:rsidR="00235D9D" w:rsidRPr="009448FC">
        <w:rPr>
          <w:rFonts w:ascii="Times New Roman" w:hAnsi="Times New Roman"/>
        </w:rPr>
        <w:instrText xml:space="preserve"> REF _Ref243987780 \r \h </w:instrText>
      </w:r>
      <w:r w:rsidR="00BD151C" w:rsidRPr="009448FC">
        <w:rPr>
          <w:rFonts w:ascii="Times New Roman" w:hAnsi="Times New Roman"/>
        </w:rPr>
      </w:r>
      <w:r w:rsidR="00BD151C" w:rsidRPr="009448FC">
        <w:rPr>
          <w:rFonts w:ascii="Times New Roman" w:hAnsi="Times New Roman"/>
        </w:rPr>
        <w:fldChar w:fldCharType="separate"/>
      </w:r>
      <w:r w:rsidR="003E4210">
        <w:rPr>
          <w:rFonts w:ascii="Times New Roman" w:hAnsi="Times New Roman"/>
        </w:rPr>
        <w:t>11.10</w:t>
      </w:r>
      <w:r w:rsidR="00BD151C" w:rsidRPr="009448FC">
        <w:rPr>
          <w:rFonts w:ascii="Times New Roman" w:hAnsi="Times New Roman"/>
        </w:rPr>
        <w:fldChar w:fldCharType="end"/>
      </w:r>
      <w:r w:rsidR="00235D9D" w:rsidRPr="009448FC">
        <w:rPr>
          <w:rFonts w:ascii="Times New Roman" w:hAnsi="Times New Roman"/>
        </w:rPr>
        <w:t xml:space="preserve"> </w:t>
      </w:r>
      <w:r w:rsidRPr="009448FC">
        <w:rPr>
          <w:rFonts w:ascii="Times New Roman" w:hAnsi="Times New Roman"/>
        </w:rPr>
        <w:t xml:space="preserve">and </w:t>
      </w:r>
      <w:r w:rsidR="00BD151C" w:rsidRPr="009448FC">
        <w:rPr>
          <w:rFonts w:ascii="Times New Roman" w:hAnsi="Times New Roman"/>
        </w:rPr>
        <w:fldChar w:fldCharType="begin"/>
      </w:r>
      <w:r w:rsidR="000F2B1A" w:rsidRPr="009448FC">
        <w:rPr>
          <w:rFonts w:ascii="Times New Roman" w:hAnsi="Times New Roman"/>
        </w:rPr>
        <w:instrText xml:space="preserve"> REF _Ref243987801 \r \h </w:instrText>
      </w:r>
      <w:r w:rsidR="00BD151C" w:rsidRPr="009448FC">
        <w:rPr>
          <w:rFonts w:ascii="Times New Roman" w:hAnsi="Times New Roman"/>
        </w:rPr>
      </w:r>
      <w:r w:rsidR="00BD151C" w:rsidRPr="009448FC">
        <w:rPr>
          <w:rFonts w:ascii="Times New Roman" w:hAnsi="Times New Roman"/>
        </w:rPr>
        <w:fldChar w:fldCharType="separate"/>
      </w:r>
      <w:r w:rsidR="003E4210">
        <w:rPr>
          <w:rFonts w:ascii="Times New Roman" w:hAnsi="Times New Roman"/>
        </w:rPr>
        <w:t>7.4</w:t>
      </w:r>
      <w:r w:rsidR="00BD151C" w:rsidRPr="009448FC">
        <w:rPr>
          <w:rFonts w:ascii="Times New Roman" w:hAnsi="Times New Roman"/>
        </w:rPr>
        <w:fldChar w:fldCharType="end"/>
      </w:r>
      <w:r w:rsidR="000F2B1A" w:rsidRPr="009448FC">
        <w:rPr>
          <w:rFonts w:ascii="Times New Roman" w:hAnsi="Times New Roman"/>
        </w:rPr>
        <w:t xml:space="preserve"> </w:t>
      </w:r>
      <w:r w:rsidRPr="009448FC">
        <w:rPr>
          <w:rFonts w:ascii="Times New Roman" w:hAnsi="Times New Roman"/>
        </w:rPr>
        <w:t xml:space="preserve">to assess the possibility to perform spatial </w:t>
      </w:r>
      <w:r w:rsidR="009945C9" w:rsidRPr="009448FC">
        <w:rPr>
          <w:rFonts w:ascii="Times New Roman" w:hAnsi="Times New Roman"/>
        </w:rPr>
        <w:t>sharing</w:t>
      </w:r>
      <w:r w:rsidR="00EE1100" w:rsidRPr="009448FC">
        <w:rPr>
          <w:rFonts w:ascii="Times New Roman" w:hAnsi="Times New Roman"/>
        </w:rPr>
        <w:t xml:space="preserve"> </w:t>
      </w:r>
      <w:r w:rsidRPr="009448FC">
        <w:rPr>
          <w:rFonts w:ascii="Times New Roman" w:hAnsi="Times New Roman"/>
        </w:rPr>
        <w:t xml:space="preserve">and for interference mitigation. </w:t>
      </w:r>
    </w:p>
    <w:p w:rsidR="002978DA" w:rsidRPr="009448FC" w:rsidRDefault="002978DA" w:rsidP="002978DA">
      <w:pPr>
        <w:pStyle w:val="BodyText"/>
        <w:rPr>
          <w:rFonts w:ascii="Times New Roman" w:hAnsi="Times New Roman"/>
        </w:rPr>
      </w:pPr>
    </w:p>
    <w:p w:rsidR="008C36FC" w:rsidRPr="009448FC" w:rsidRDefault="008C36FC" w:rsidP="002073BD">
      <w:pPr>
        <w:pStyle w:val="BodyText"/>
        <w:rPr>
          <w:rFonts w:ascii="Times New Roman" w:hAnsi="Times New Roman"/>
        </w:rPr>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should use the Directional Channel Quality described in</w:t>
      </w:r>
      <w:r w:rsidR="002073BD" w:rsidRPr="009448FC">
        <w:rPr>
          <w:rFonts w:ascii="Times New Roman" w:hAnsi="Times New Roman"/>
        </w:rPr>
        <w:t xml:space="preserve"> </w:t>
      </w:r>
      <w:r w:rsidR="00BD151C" w:rsidRPr="009448FC">
        <w:rPr>
          <w:rFonts w:ascii="Times New Roman" w:hAnsi="Times New Roman"/>
        </w:rPr>
        <w:fldChar w:fldCharType="begin"/>
      </w:r>
      <w:r w:rsidR="002073BD" w:rsidRPr="009448FC">
        <w:rPr>
          <w:rFonts w:ascii="Times New Roman" w:hAnsi="Times New Roman"/>
        </w:rPr>
        <w:instrText xml:space="preserve"> REF _Ref244253126 \n \h </w:instrText>
      </w:r>
      <w:r w:rsidR="00BD151C" w:rsidRPr="009448FC">
        <w:rPr>
          <w:rFonts w:ascii="Times New Roman" w:hAnsi="Times New Roman"/>
        </w:rPr>
      </w:r>
      <w:r w:rsidR="00BD151C" w:rsidRPr="009448FC">
        <w:rPr>
          <w:rFonts w:ascii="Times New Roman" w:hAnsi="Times New Roman"/>
        </w:rPr>
        <w:fldChar w:fldCharType="separate"/>
      </w:r>
      <w:r w:rsidR="003E4210">
        <w:rPr>
          <w:rFonts w:ascii="Times New Roman" w:hAnsi="Times New Roman"/>
        </w:rPr>
        <w:t>7.3.2.21.12</w:t>
      </w:r>
      <w:r w:rsidR="00BD151C" w:rsidRPr="009448FC">
        <w:rPr>
          <w:rFonts w:ascii="Times New Roman" w:hAnsi="Times New Roman"/>
        </w:rPr>
        <w:fldChar w:fldCharType="end"/>
      </w:r>
      <w:r w:rsidR="008A2761" w:rsidRPr="009448FC">
        <w:rPr>
          <w:rFonts w:ascii="Times New Roman" w:hAnsi="Times New Roman"/>
        </w:rPr>
        <w:t>,</w:t>
      </w:r>
      <w:r w:rsidR="00020BEC" w:rsidRPr="009448FC">
        <w:rPr>
          <w:rFonts w:ascii="Times New Roman" w:hAnsi="Times New Roman"/>
        </w:rPr>
        <w:t xml:space="preserve"> </w:t>
      </w:r>
      <w:r w:rsidR="00BD151C" w:rsidRPr="009448FC">
        <w:rPr>
          <w:rFonts w:ascii="Times New Roman" w:hAnsi="Times New Roman"/>
        </w:rPr>
        <w:fldChar w:fldCharType="begin"/>
      </w:r>
      <w:r w:rsidR="00FD3D3D" w:rsidRPr="009448FC">
        <w:rPr>
          <w:rFonts w:ascii="Times New Roman" w:hAnsi="Times New Roman"/>
        </w:rPr>
        <w:instrText xml:space="preserve"> REF _Ref243987896 \r \h </w:instrText>
      </w:r>
      <w:r w:rsidR="00BD151C" w:rsidRPr="009448FC">
        <w:rPr>
          <w:rFonts w:ascii="Times New Roman" w:hAnsi="Times New Roman"/>
        </w:rPr>
      </w:r>
      <w:r w:rsidR="00BD151C" w:rsidRPr="009448FC">
        <w:rPr>
          <w:rFonts w:ascii="Times New Roman" w:hAnsi="Times New Roman"/>
        </w:rPr>
        <w:fldChar w:fldCharType="separate"/>
      </w:r>
      <w:r w:rsidR="003E4210">
        <w:rPr>
          <w:rFonts w:ascii="Times New Roman" w:hAnsi="Times New Roman"/>
        </w:rPr>
        <w:t>7.3.2.22.11</w:t>
      </w:r>
      <w:r w:rsidR="00BD151C" w:rsidRPr="009448FC">
        <w:rPr>
          <w:rFonts w:ascii="Times New Roman" w:hAnsi="Times New Roman"/>
        </w:rPr>
        <w:fldChar w:fldCharType="end"/>
      </w:r>
      <w:r w:rsidR="00FD3D3D" w:rsidRPr="009448FC">
        <w:rPr>
          <w:rFonts w:ascii="Times New Roman" w:hAnsi="Times New Roman"/>
        </w:rPr>
        <w:t xml:space="preserve"> </w:t>
      </w:r>
      <w:r w:rsidRPr="009448FC">
        <w:rPr>
          <w:rFonts w:ascii="Times New Roman" w:hAnsi="Times New Roman"/>
        </w:rPr>
        <w:t xml:space="preserve">to assess the possibility for spatial </w:t>
      </w:r>
      <w:r w:rsidR="009945C9" w:rsidRPr="009448FC">
        <w:rPr>
          <w:rFonts w:ascii="Times New Roman" w:hAnsi="Times New Roman"/>
        </w:rPr>
        <w:t>sharing</w:t>
      </w:r>
      <w:r w:rsidR="00A1061A" w:rsidRPr="009448FC">
        <w:rPr>
          <w:rFonts w:ascii="Times New Roman" w:hAnsi="Times New Roman"/>
        </w:rPr>
        <w:t xml:space="preserve"> </w:t>
      </w:r>
      <w:r w:rsidRPr="009448FC">
        <w:rPr>
          <w:rFonts w:ascii="Times New Roman" w:hAnsi="Times New Roman"/>
        </w:rPr>
        <w:t xml:space="preserve">of SPs. </w:t>
      </w:r>
    </w:p>
    <w:p w:rsidR="008C36FC" w:rsidRPr="009448FC" w:rsidRDefault="008C36FC" w:rsidP="00781C94">
      <w:pPr>
        <w:pStyle w:val="BodyText"/>
        <w:rPr>
          <w:rFonts w:ascii="Times New Roman" w:hAnsi="Times New Roman"/>
        </w:rPr>
      </w:pPr>
    </w:p>
    <w:p w:rsidR="008C36FC" w:rsidRPr="009448FC" w:rsidRDefault="008C36FC" w:rsidP="00A1061A">
      <w:pPr>
        <w:pStyle w:val="BodyText"/>
        <w:rPr>
          <w:rFonts w:ascii="Times New Roman" w:hAnsi="Times New Roman"/>
        </w:rPr>
      </w:pPr>
      <w:r w:rsidRPr="009448FC">
        <w:rPr>
          <w:rFonts w:ascii="Times New Roman" w:hAnsi="Times New Roman"/>
        </w:rPr>
        <w:t xml:space="preserve">A SP to be assessed for spatial </w:t>
      </w:r>
      <w:r w:rsidR="009945C9" w:rsidRPr="009448FC">
        <w:rPr>
          <w:rFonts w:ascii="Times New Roman" w:hAnsi="Times New Roman"/>
        </w:rPr>
        <w:t>sharing</w:t>
      </w:r>
      <w:r w:rsidR="00A1061A" w:rsidRPr="009448FC">
        <w:rPr>
          <w:rFonts w:ascii="Times New Roman" w:hAnsi="Times New Roman"/>
        </w:rPr>
        <w:t xml:space="preserve"> </w:t>
      </w:r>
      <w:r w:rsidRPr="009448FC">
        <w:rPr>
          <w:rFonts w:ascii="Times New Roman" w:hAnsi="Times New Roman"/>
        </w:rPr>
        <w:t xml:space="preserve">with other existing and allocated SPs or considered to be reallocated in the BI is hereby termed as a candidate SP. There may be multiple candidate and existing SPs at one time, and a SP may simultaneously assume the role of candidate and existing SP depending upon the context it is used for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and interference assessment.</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STAs which participate in a SP and which support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should perform beamforming with each other before engaging in any communication or performing any measurements.</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request beamforming-capable STAs involved in a candidate SP to perform measurements for the purpose of spatial </w:t>
      </w:r>
      <w:r w:rsidR="009945C9" w:rsidRPr="009448FC">
        <w:rPr>
          <w:rFonts w:ascii="Times New Roman" w:hAnsi="Times New Roman"/>
        </w:rPr>
        <w:t>sharing</w:t>
      </w:r>
      <w:r w:rsidR="008A2761" w:rsidRPr="009448FC">
        <w:rPr>
          <w:rFonts w:ascii="Times New Roman" w:hAnsi="Times New Roman"/>
        </w:rPr>
        <w:t xml:space="preserve"> </w:t>
      </w:r>
      <w:r w:rsidRPr="009448FC">
        <w:rPr>
          <w:rFonts w:ascii="Times New Roman" w:hAnsi="Times New Roman"/>
        </w:rPr>
        <w:t>with an existing SP only after the STAs have beamformed with each other.</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If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transmits a Directional Channel Quality Request to a STA involved in a candidate SP to assess the possibility for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with another existing SP, it shall set the Target STA to the corresponding peer STA involved in the candidate SP and shall set the Measurement Method field to indicate ANIPI.</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If the candidate SP has already been allocated channel time,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transmit a Directional Channel Quality Request to the STAs involved in the existing SP to assess the possibility for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 xml:space="preserve">with the candidate SP. In the Channel Quality Request,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shall set the Target STA to the corresponding peer STA involved in the existing SP and shall set the Measurement Method field to indicate ANIPI.</w:t>
      </w:r>
    </w:p>
    <w:p w:rsidR="008C36FC" w:rsidRPr="009448FC" w:rsidRDefault="002978DA" w:rsidP="00781C94">
      <w:pPr>
        <w:pStyle w:val="BodyText"/>
        <w:rPr>
          <w:rFonts w:ascii="Times New Roman" w:hAnsi="Times New Roman"/>
        </w:rPr>
      </w:pPr>
      <w:r w:rsidRPr="009448FC">
        <w:rPr>
          <w:rFonts w:ascii="Times New Roman" w:hAnsi="Times New Roman"/>
        </w:rPr>
        <w:t xml:space="preserve"> </w:t>
      </w:r>
    </w:p>
    <w:p w:rsidR="00D86D3E" w:rsidRPr="009448FC" w:rsidRDefault="00D86D3E" w:rsidP="00781C94">
      <w:pPr>
        <w:pStyle w:val="BodyText"/>
        <w:rPr>
          <w:rFonts w:ascii="Times New Roman" w:hAnsi="Times New Roman"/>
          <w:sz w:val="20"/>
        </w:rPr>
      </w:pPr>
      <w:r w:rsidRPr="009448FC">
        <w:rPr>
          <w:rFonts w:ascii="Times New Roman" w:hAnsi="Times New Roman"/>
          <w:sz w:val="20"/>
        </w:rPr>
        <w:t xml:space="preserve">NOTE – When the </w:t>
      </w:r>
      <w:r w:rsidR="008A6076" w:rsidRPr="009448FC">
        <w:rPr>
          <w:rFonts w:ascii="Times New Roman" w:hAnsi="Times New Roman"/>
          <w:sz w:val="20"/>
        </w:rPr>
        <w:t>PCP/</w:t>
      </w:r>
      <w:r w:rsidR="00655EA4" w:rsidRPr="009448FC">
        <w:rPr>
          <w:rFonts w:ascii="Times New Roman" w:hAnsi="Times New Roman"/>
          <w:sz w:val="20"/>
        </w:rPr>
        <w:t xml:space="preserve">AP </w:t>
      </w:r>
      <w:r w:rsidRPr="009448FC">
        <w:rPr>
          <w:rFonts w:ascii="Times New Roman" w:hAnsi="Times New Roman"/>
          <w:sz w:val="20"/>
        </w:rPr>
        <w:t xml:space="preserve">transmits a directional channel quality request to a STA of an existing SP, it intends to assess the channel quality during transmission by STAs belonging to the candidate SP. Similarly, when the </w:t>
      </w:r>
      <w:r w:rsidR="008A6076" w:rsidRPr="009448FC">
        <w:rPr>
          <w:rFonts w:ascii="Times New Roman" w:hAnsi="Times New Roman"/>
          <w:sz w:val="20"/>
        </w:rPr>
        <w:t>PCP/</w:t>
      </w:r>
      <w:r w:rsidR="00655EA4" w:rsidRPr="009448FC">
        <w:rPr>
          <w:rFonts w:ascii="Times New Roman" w:hAnsi="Times New Roman"/>
          <w:sz w:val="20"/>
        </w:rPr>
        <w:t xml:space="preserve">AP </w:t>
      </w:r>
      <w:r w:rsidRPr="009448FC">
        <w:rPr>
          <w:rFonts w:ascii="Times New Roman" w:hAnsi="Times New Roman"/>
          <w:sz w:val="20"/>
        </w:rPr>
        <w:t>transmits a directional channel quality request to a STA of a candidate SP, it intends to assess the channel quality during transmission by STAs belonging to the existing SP.</w:t>
      </w:r>
    </w:p>
    <w:p w:rsidR="00D86D3E" w:rsidRPr="009448FC" w:rsidRDefault="00D86D3E" w:rsidP="00781C94">
      <w:pPr>
        <w:pStyle w:val="BodyText"/>
        <w:rPr>
          <w:rFonts w:ascii="Times New Roman" w:hAnsi="Times New Roman"/>
        </w:rPr>
      </w:pPr>
    </w:p>
    <w:p w:rsidR="008C36FC" w:rsidRPr="009448FC" w:rsidRDefault="00BD151C" w:rsidP="00106D18">
      <w:pPr>
        <w:pStyle w:val="BodyText"/>
        <w:rPr>
          <w:rFonts w:ascii="Times New Roman" w:hAnsi="Times New Roman"/>
        </w:rPr>
      </w:pPr>
      <w:fldSimple w:instr=" REF _Ref236396258 \h  \* MERGEFORMAT ">
        <w:r w:rsidR="003E4210" w:rsidRPr="009448FC">
          <w:rPr>
            <w:rFonts w:ascii="Times New Roman" w:hAnsi="Times New Roman"/>
          </w:rPr>
          <w:t xml:space="preserve">Figure </w:t>
        </w:r>
        <w:r w:rsidR="003E4210">
          <w:rPr>
            <w:rFonts w:ascii="Times New Roman" w:hAnsi="Times New Roman"/>
            <w:noProof/>
          </w:rPr>
          <w:t>123</w:t>
        </w:r>
      </w:fldSimple>
      <w:r w:rsidR="008C36FC" w:rsidRPr="009448FC">
        <w:rPr>
          <w:rFonts w:ascii="Times New Roman" w:hAnsi="Times New Roman"/>
        </w:rPr>
        <w:t xml:space="preserve"> illustrates an example of spatial </w:t>
      </w:r>
      <w:r w:rsidR="009945C9" w:rsidRPr="009448FC">
        <w:rPr>
          <w:rFonts w:ascii="Times New Roman" w:hAnsi="Times New Roman"/>
        </w:rPr>
        <w:t>sharing</w:t>
      </w:r>
      <w:r w:rsidR="00281486" w:rsidRPr="009448FC">
        <w:rPr>
          <w:rFonts w:ascii="Times New Roman" w:hAnsi="Times New Roman"/>
        </w:rPr>
        <w:t xml:space="preserve"> </w:t>
      </w:r>
      <w:r w:rsidR="008C36FC" w:rsidRPr="009448FC">
        <w:rPr>
          <w:rFonts w:ascii="Times New Roman" w:hAnsi="Times New Roman"/>
        </w:rPr>
        <w:t xml:space="preserve">assessment between two SPs. In this example, SP1 is the existing SP and SP2 is the candidate SP. The </w:t>
      </w:r>
      <w:r w:rsidR="008A6076" w:rsidRPr="009448FC">
        <w:rPr>
          <w:rFonts w:ascii="Times New Roman" w:hAnsi="Times New Roman"/>
        </w:rPr>
        <w:t>PCP/</w:t>
      </w:r>
      <w:r w:rsidR="00655EA4" w:rsidRPr="009448FC">
        <w:rPr>
          <w:rFonts w:ascii="Times New Roman" w:hAnsi="Times New Roman"/>
        </w:rPr>
        <w:t xml:space="preserve">AP </w:t>
      </w:r>
      <w:r w:rsidR="008C36FC" w:rsidRPr="009448FC">
        <w:rPr>
          <w:rFonts w:ascii="Times New Roman" w:hAnsi="Times New Roman"/>
        </w:rPr>
        <w:t xml:space="preserve">transmits a Directional Channel Quality Request to STAs C and D to measure over SP1’s channel allocation, and transmits a Directional Channel Quality Request to STAs A and B to measure over SP2’s channel allocation. The relation of the Measurement Start Time and Measurement Duration fields in the Directional Channel Quality Request message is shown in </w:t>
      </w:r>
      <w:fldSimple w:instr=" REF _Ref236396258 \h  \* MERGEFORMAT ">
        <w:r w:rsidR="003E4210" w:rsidRPr="009448FC">
          <w:rPr>
            <w:rFonts w:ascii="Times New Roman" w:hAnsi="Times New Roman"/>
          </w:rPr>
          <w:t xml:space="preserve">Figure </w:t>
        </w:r>
        <w:r w:rsidR="003E4210">
          <w:rPr>
            <w:rFonts w:ascii="Times New Roman" w:hAnsi="Times New Roman"/>
            <w:noProof/>
          </w:rPr>
          <w:t>123</w:t>
        </w:r>
      </w:fldSimple>
      <w:r w:rsidR="008C36FC" w:rsidRPr="009448FC">
        <w:rPr>
          <w:rFonts w:ascii="Times New Roman" w:hAnsi="Times New Roman"/>
        </w:rPr>
        <w:t>, while the field Number of Time Blocks is the ratio (Measurement Duration / Measurement Unit).</w:t>
      </w:r>
    </w:p>
    <w:p w:rsidR="008C36FC" w:rsidRPr="009448FC" w:rsidRDefault="008C36FC" w:rsidP="00781C94">
      <w:pPr>
        <w:pStyle w:val="BodyText"/>
        <w:rPr>
          <w:rFonts w:ascii="Times New Roman" w:hAnsi="Times New Roman"/>
        </w:rPr>
      </w:pPr>
    </w:p>
    <w:p w:rsidR="008C36FC" w:rsidRPr="009448FC" w:rsidRDefault="007565A8" w:rsidP="00781C94">
      <w:pPr>
        <w:pStyle w:val="BodyText"/>
        <w:jc w:val="center"/>
        <w:rPr>
          <w:rFonts w:ascii="Times New Roman" w:hAnsi="Times New Roman"/>
        </w:rPr>
      </w:pPr>
      <w:r w:rsidRPr="009448FC">
        <w:rPr>
          <w:rFonts w:ascii="Times New Roman" w:hAnsi="Times New Roman"/>
        </w:rPr>
        <w:object w:dxaOrig="10583" w:dyaOrig="4610">
          <v:shape id="_x0000_i1083" type="#_x0000_t75" style="width:494.95pt;height:214.2pt" o:ole="">
            <v:imagedata r:id="rId207" o:title=""/>
          </v:shape>
          <o:OLEObject Type="Embed" ProgID="Visio.Drawing.11" ShapeID="_x0000_i1083" DrawAspect="Content" ObjectID="_1334048262" r:id="rId208"/>
        </w:object>
      </w:r>
    </w:p>
    <w:p w:rsidR="008C36FC" w:rsidRPr="009448FC" w:rsidRDefault="003B318B" w:rsidP="00BA5BC4">
      <w:pPr>
        <w:pStyle w:val="Caption"/>
        <w:rPr>
          <w:rFonts w:ascii="Times New Roman" w:hAnsi="Times New Roman"/>
        </w:rPr>
      </w:pPr>
      <w:bookmarkStart w:id="2825" w:name="_Ref236396258"/>
      <w:bookmarkStart w:id="2826" w:name="_Toc259717555"/>
      <w:r w:rsidRPr="009448FC">
        <w:rPr>
          <w:rFonts w:ascii="Times New Roman" w:hAnsi="Times New Roman"/>
        </w:rPr>
        <w:t xml:space="preserve">Figure </w:t>
      </w:r>
      <w:r w:rsidR="00BD151C" w:rsidRPr="009448FC">
        <w:rPr>
          <w:rFonts w:ascii="Times New Roman" w:hAnsi="Times New Roman"/>
        </w:rPr>
        <w:fldChar w:fldCharType="begin"/>
      </w:r>
      <w:r w:rsidRPr="009448FC">
        <w:rPr>
          <w:rFonts w:ascii="Times New Roman" w:hAnsi="Times New Roman"/>
        </w:rPr>
        <w:instrText xml:space="preserve"> SEQ Figure \* ARABIC </w:instrText>
      </w:r>
      <w:r w:rsidR="00BD151C" w:rsidRPr="009448FC">
        <w:rPr>
          <w:rFonts w:ascii="Times New Roman" w:hAnsi="Times New Roman"/>
        </w:rPr>
        <w:fldChar w:fldCharType="separate"/>
      </w:r>
      <w:r w:rsidR="003E4210">
        <w:rPr>
          <w:rFonts w:ascii="Times New Roman" w:hAnsi="Times New Roman"/>
          <w:noProof/>
        </w:rPr>
        <w:t>123</w:t>
      </w:r>
      <w:r w:rsidR="00BD151C" w:rsidRPr="009448FC">
        <w:rPr>
          <w:rFonts w:ascii="Times New Roman" w:hAnsi="Times New Roman"/>
        </w:rPr>
        <w:fldChar w:fldCharType="end"/>
      </w:r>
      <w:bookmarkEnd w:id="2825"/>
      <w:r w:rsidR="008C36FC" w:rsidRPr="009448FC">
        <w:rPr>
          <w:rFonts w:ascii="Times New Roman" w:hAnsi="Times New Roman"/>
        </w:rPr>
        <w:t xml:space="preserve"> – Example of spatial </w:t>
      </w:r>
      <w:r w:rsidR="009945C9" w:rsidRPr="009448FC">
        <w:rPr>
          <w:rFonts w:ascii="Times New Roman" w:hAnsi="Times New Roman"/>
        </w:rPr>
        <w:t>sharing</w:t>
      </w:r>
      <w:r w:rsidR="00281486" w:rsidRPr="009448FC">
        <w:rPr>
          <w:rFonts w:ascii="Times New Roman" w:hAnsi="Times New Roman"/>
        </w:rPr>
        <w:t xml:space="preserve"> </w:t>
      </w:r>
      <w:r w:rsidR="008C36FC" w:rsidRPr="009448FC">
        <w:rPr>
          <w:rFonts w:ascii="Times New Roman" w:hAnsi="Times New Roman"/>
        </w:rPr>
        <w:t>assessment</w:t>
      </w:r>
      <w:bookmarkEnd w:id="2826"/>
    </w:p>
    <w:p w:rsidR="008C36FC" w:rsidRPr="009448FC" w:rsidRDefault="008C36FC" w:rsidP="000624DC">
      <w:pPr>
        <w:pStyle w:val="BodyText"/>
        <w:jc w:val="left"/>
        <w:rPr>
          <w:rFonts w:ascii="Times New Roman" w:hAnsi="Times New Roman"/>
        </w:rPr>
      </w:pPr>
      <w:r w:rsidRPr="009448FC">
        <w:rPr>
          <w:rFonts w:ascii="Times New Roman" w:hAnsi="Times New Roman"/>
        </w:rPr>
        <w:t>If a non-PCP</w:t>
      </w:r>
      <w:r w:rsidR="008A6076" w:rsidRPr="009448FC">
        <w:rPr>
          <w:rFonts w:ascii="Times New Roman" w:hAnsi="Times New Roman"/>
        </w:rPr>
        <w:t>/non-</w:t>
      </w:r>
      <w:r w:rsidR="00655EA4" w:rsidRPr="009448FC">
        <w:rPr>
          <w:rFonts w:ascii="Times New Roman" w:hAnsi="Times New Roman"/>
        </w:rPr>
        <w:t xml:space="preserve">AP </w:t>
      </w:r>
      <w:r w:rsidRPr="009448FC">
        <w:rPr>
          <w:rFonts w:ascii="Times New Roman" w:hAnsi="Times New Roman"/>
        </w:rPr>
        <w:t xml:space="preserve">STA receives a Directional Channel Quality Request from its </w:t>
      </w:r>
      <w:r w:rsidR="008A6076" w:rsidRPr="009448FC">
        <w:rPr>
          <w:rFonts w:ascii="Times New Roman" w:hAnsi="Times New Roman"/>
        </w:rPr>
        <w:t>PCP/</w:t>
      </w:r>
      <w:r w:rsidR="00655EA4" w:rsidRPr="009448FC">
        <w:rPr>
          <w:rFonts w:ascii="Times New Roman" w:hAnsi="Times New Roman"/>
        </w:rPr>
        <w:t>AP,</w:t>
      </w:r>
      <w:r w:rsidRPr="009448FC">
        <w:rPr>
          <w:rFonts w:ascii="Times New Roman" w:hAnsi="Times New Roman"/>
        </w:rPr>
        <w:t xml:space="preserve"> it should perform the measurements as indicated in the request and shall report back to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using the Directional Channel Quality Report. The report shall be formatted and transmitted as per specified in the Directional Channel Quality Request.</w:t>
      </w:r>
      <w:r w:rsidR="00A44356" w:rsidRPr="009448FC">
        <w:rPr>
          <w:rFonts w:ascii="Times New Roman" w:hAnsi="Times New Roman"/>
        </w:rPr>
        <w:t xml:space="preserve"> The non-PCP/non-AP STA shall set the Report Mode field (</w:t>
      </w:r>
      <w:r w:rsidR="00BD151C" w:rsidRPr="009448FC">
        <w:rPr>
          <w:rFonts w:ascii="Times New Roman" w:hAnsi="Times New Roman"/>
        </w:rPr>
        <w:fldChar w:fldCharType="begin"/>
      </w:r>
      <w:r w:rsidR="000624DC" w:rsidRPr="009448FC">
        <w:rPr>
          <w:rFonts w:ascii="Times New Roman" w:hAnsi="Times New Roman"/>
        </w:rPr>
        <w:instrText xml:space="preserve"> REF _Ref243987999 \r \h </w:instrText>
      </w:r>
      <w:r w:rsidR="00BD151C" w:rsidRPr="009448FC">
        <w:rPr>
          <w:rFonts w:ascii="Times New Roman" w:hAnsi="Times New Roman"/>
        </w:rPr>
      </w:r>
      <w:r w:rsidR="00BD151C" w:rsidRPr="009448FC">
        <w:rPr>
          <w:rFonts w:ascii="Times New Roman" w:hAnsi="Times New Roman"/>
        </w:rPr>
        <w:fldChar w:fldCharType="separate"/>
      </w:r>
      <w:r w:rsidR="003E4210">
        <w:rPr>
          <w:rFonts w:ascii="Times New Roman" w:hAnsi="Times New Roman"/>
        </w:rPr>
        <w:t>7.3.2.22</w:t>
      </w:r>
      <w:r w:rsidR="00BD151C" w:rsidRPr="009448FC">
        <w:rPr>
          <w:rFonts w:ascii="Times New Roman" w:hAnsi="Times New Roman"/>
        </w:rPr>
        <w:fldChar w:fldCharType="end"/>
      </w:r>
      <w:r w:rsidR="00A44356" w:rsidRPr="009448FC">
        <w:rPr>
          <w:rFonts w:ascii="Times New Roman" w:hAnsi="Times New Roman"/>
        </w:rPr>
        <w:t xml:space="preserve">) in the report frame to indicate whether it performed the measurement as requested by the PCP/AP. </w:t>
      </w:r>
    </w:p>
    <w:p w:rsidR="008C36FC" w:rsidRPr="009448FC" w:rsidRDefault="008C36FC" w:rsidP="00A1061A">
      <w:pPr>
        <w:pStyle w:val="BodyText"/>
        <w:rPr>
          <w:rFonts w:ascii="Times New Roman" w:hAnsi="Times New Roman"/>
        </w:rPr>
      </w:pPr>
    </w:p>
    <w:p w:rsidR="008C36FC" w:rsidRPr="009448FC" w:rsidRDefault="008C36FC" w:rsidP="003701DB">
      <w:pPr>
        <w:pStyle w:val="Heading3"/>
        <w:numPr>
          <w:ilvl w:val="2"/>
          <w:numId w:val="225"/>
        </w:numPr>
      </w:pPr>
      <w:bookmarkStart w:id="2827" w:name="_Toc215582922"/>
      <w:bookmarkStart w:id="2828" w:name="_Toc235400618"/>
      <w:bookmarkStart w:id="2829" w:name="_Toc259717262"/>
      <w:r w:rsidRPr="009448FC">
        <w:t xml:space="preserve">Achieving </w:t>
      </w:r>
      <w:r w:rsidR="006853F8">
        <w:t>s</w:t>
      </w:r>
      <w:r w:rsidRPr="009448FC">
        <w:t xml:space="preserve">patial </w:t>
      </w:r>
      <w:r w:rsidR="006853F8">
        <w:t>s</w:t>
      </w:r>
      <w:r w:rsidR="009945C9" w:rsidRPr="009448FC">
        <w:t>haring</w:t>
      </w:r>
      <w:r w:rsidR="00D23855" w:rsidRPr="009448FC">
        <w:t xml:space="preserve"> </w:t>
      </w:r>
      <w:r w:rsidRPr="009448FC">
        <w:t xml:space="preserve">and Interference </w:t>
      </w:r>
      <w:r w:rsidR="006853F8">
        <w:t>m</w:t>
      </w:r>
      <w:r w:rsidRPr="009448FC">
        <w:t>itigation</w:t>
      </w:r>
      <w:bookmarkEnd w:id="2827"/>
      <w:bookmarkEnd w:id="2828"/>
      <w:bookmarkEnd w:id="2829"/>
    </w:p>
    <w:p w:rsidR="008C36FC" w:rsidRPr="009448FC" w:rsidRDefault="008C36FC" w:rsidP="00860854">
      <w:pPr>
        <w:pStyle w:val="BodyText"/>
        <w:rPr>
          <w:rFonts w:ascii="Times New Roman" w:hAnsi="Times New Roman"/>
        </w:rPr>
      </w:pPr>
      <w:r w:rsidRPr="009448FC">
        <w:rPr>
          <w:rFonts w:ascii="Times New Roman" w:hAnsi="Times New Roman"/>
        </w:rPr>
        <w:t xml:space="preserve">A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may estimate the channel quality across STAs participating in the </w:t>
      </w:r>
      <w:r w:rsidR="002873BD" w:rsidRPr="009448FC">
        <w:rPr>
          <w:rFonts w:ascii="Times New Roman" w:hAnsi="Times New Roman"/>
        </w:rPr>
        <w:t>PBSS/</w:t>
      </w:r>
      <w:r w:rsidR="00030887" w:rsidRPr="009448FC">
        <w:rPr>
          <w:rFonts w:ascii="Times New Roman" w:hAnsi="Times New Roman"/>
        </w:rPr>
        <w:t xml:space="preserve">infrastructure </w:t>
      </w:r>
      <w:r w:rsidR="002873BD" w:rsidRPr="009448FC">
        <w:rPr>
          <w:rFonts w:ascii="Times New Roman" w:hAnsi="Times New Roman"/>
        </w:rPr>
        <w:t>BSS</w:t>
      </w:r>
      <w:r w:rsidR="00281486" w:rsidRPr="009448FC">
        <w:rPr>
          <w:rFonts w:ascii="Times New Roman" w:hAnsi="Times New Roman"/>
        </w:rPr>
        <w:t xml:space="preserve"> </w:t>
      </w:r>
      <w:r w:rsidRPr="009448FC">
        <w:rPr>
          <w:rFonts w:ascii="Times New Roman" w:hAnsi="Times New Roman"/>
        </w:rPr>
        <w:t xml:space="preserve">and implement spatial </w:t>
      </w:r>
      <w:r w:rsidR="009945C9" w:rsidRPr="009448FC">
        <w:rPr>
          <w:rFonts w:ascii="Times New Roman" w:hAnsi="Times New Roman"/>
        </w:rPr>
        <w:t>sharing</w:t>
      </w:r>
      <w:r w:rsidR="00D23855" w:rsidRPr="009448FC">
        <w:rPr>
          <w:rFonts w:ascii="Times New Roman" w:hAnsi="Times New Roman"/>
        </w:rPr>
        <w:t xml:space="preserve"> </w:t>
      </w:r>
      <w:r w:rsidRPr="009448FC">
        <w:rPr>
          <w:rFonts w:ascii="Times New Roman" w:hAnsi="Times New Roman"/>
        </w:rPr>
        <w:t xml:space="preserve">and interference mitigation based on the results of the measurements performed by the STAs associated with the </w:t>
      </w:r>
      <w:r w:rsidR="008A6076" w:rsidRPr="009448FC">
        <w:rPr>
          <w:rFonts w:ascii="Times New Roman" w:hAnsi="Times New Roman"/>
        </w:rPr>
        <w:t>PCP/</w:t>
      </w:r>
      <w:r w:rsidR="00655EA4" w:rsidRPr="009448FC">
        <w:rPr>
          <w:rFonts w:ascii="Times New Roman" w:hAnsi="Times New Roman"/>
        </w:rPr>
        <w:t>AP</w:t>
      </w:r>
      <w:r w:rsidR="00860854" w:rsidRPr="009448FC">
        <w:rPr>
          <w:rFonts w:ascii="Times New Roman" w:hAnsi="Times New Roman"/>
        </w:rPr>
        <w:t>.</w:t>
      </w:r>
      <w:r w:rsidR="00097978" w:rsidRPr="009448FC">
        <w:rPr>
          <w:rFonts w:ascii="Times New Roman" w:hAnsi="Times New Roman"/>
        </w:rPr>
        <w:t xml:space="preserve"> </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A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should only schedule a candidate SP time-overlapping with an existing SP in its BI after it receives a Directional Channel Quality Report from the STAs involved in the candidate SP.</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If a candidate SP is already allocated channel time,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only schedule this candidate SP time-overlapping with an existing SP in its BI after it receives a Directional Channel Quality Report from the STAs involved in the existing SP. </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schedule a candidate SP during a period of time in the BI where the </w:t>
      </w:r>
      <w:r w:rsidR="002873BD" w:rsidRPr="009448FC">
        <w:rPr>
          <w:rFonts w:ascii="Times New Roman" w:hAnsi="Times New Roman"/>
        </w:rPr>
        <w:t>PBSS/</w:t>
      </w:r>
      <w:r w:rsidR="00030887" w:rsidRPr="009448FC">
        <w:rPr>
          <w:rFonts w:ascii="Times New Roman" w:hAnsi="Times New Roman"/>
        </w:rPr>
        <w:t xml:space="preserve">infrastructure </w:t>
      </w:r>
      <w:r w:rsidR="002873BD" w:rsidRPr="009448FC">
        <w:rPr>
          <w:rFonts w:ascii="Times New Roman" w:hAnsi="Times New Roman"/>
        </w:rPr>
        <w:t>BSS</w:t>
      </w:r>
      <w:r w:rsidR="00EE1100" w:rsidRPr="009448FC">
        <w:rPr>
          <w:rFonts w:ascii="Times New Roman" w:hAnsi="Times New Roman"/>
        </w:rPr>
        <w:t xml:space="preserve"> </w:t>
      </w:r>
      <w:r w:rsidRPr="009448FC">
        <w:rPr>
          <w:rFonts w:ascii="Times New Roman" w:hAnsi="Times New Roman"/>
        </w:rPr>
        <w:t xml:space="preserve">performance is expected to be maximized. The determination of performance maximization should be based on measurement reports received by the </w:t>
      </w:r>
      <w:r w:rsidR="008A6076" w:rsidRPr="009448FC">
        <w:rPr>
          <w:rFonts w:ascii="Times New Roman" w:hAnsi="Times New Roman"/>
        </w:rPr>
        <w:t>PCP/</w:t>
      </w:r>
      <w:r w:rsidR="00655EA4" w:rsidRPr="009448FC">
        <w:rPr>
          <w:rFonts w:ascii="Times New Roman" w:hAnsi="Times New Roman"/>
        </w:rPr>
        <w:t>AP,</w:t>
      </w:r>
      <w:r w:rsidRPr="009448FC">
        <w:rPr>
          <w:rFonts w:ascii="Times New Roman" w:hAnsi="Times New Roman"/>
        </w:rPr>
        <w:t xml:space="preserve"> but is implementation dependent and beyond the scope of this specification.</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The decision process at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to perform spatial </w:t>
      </w:r>
      <w:r w:rsidR="009945C9" w:rsidRPr="009448FC">
        <w:rPr>
          <w:rFonts w:ascii="Times New Roman" w:hAnsi="Times New Roman"/>
        </w:rPr>
        <w:t>sharing</w:t>
      </w:r>
      <w:r w:rsidR="0008656B" w:rsidRPr="009448FC">
        <w:rPr>
          <w:rFonts w:ascii="Times New Roman" w:hAnsi="Times New Roman"/>
        </w:rPr>
        <w:t xml:space="preserve"> </w:t>
      </w:r>
      <w:r w:rsidRPr="009448FC">
        <w:rPr>
          <w:rFonts w:ascii="Times New Roman" w:hAnsi="Times New Roman"/>
        </w:rPr>
        <w:t>of a candidate and an existing SP is implementation dependent and beyond the scope of this specification.</w:t>
      </w:r>
    </w:p>
    <w:p w:rsidR="008C36FC" w:rsidRPr="009448FC" w:rsidRDefault="008C36FC" w:rsidP="00781C94">
      <w:pPr>
        <w:pStyle w:val="BodyText"/>
        <w:rPr>
          <w:rFonts w:ascii="Times New Roman" w:hAnsi="Times New Roman"/>
        </w:rPr>
      </w:pPr>
    </w:p>
    <w:p w:rsidR="00D86D3E" w:rsidRPr="009448FC" w:rsidRDefault="00D86D3E" w:rsidP="00D86D3E">
      <w:pPr>
        <w:pStyle w:val="BodyText"/>
        <w:rPr>
          <w:rFonts w:ascii="Times New Roman" w:hAnsi="Times New Roman"/>
        </w:rPr>
      </w:pPr>
      <w:r w:rsidRPr="009448FC">
        <w:rPr>
          <w:rFonts w:ascii="Times New Roman" w:hAnsi="Times New Roman"/>
        </w:rPr>
        <w:lastRenderedPageBreak/>
        <w:t xml:space="preserve">The candidate SP is referred to as Time-Overlapped SP following the allocation by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of a candidate SP overlapping in time with an existing SP.</w:t>
      </w:r>
    </w:p>
    <w:p w:rsidR="00D86D3E" w:rsidRPr="009448FC" w:rsidRDefault="00D86D3E" w:rsidP="00781C94">
      <w:pPr>
        <w:pStyle w:val="BodyText"/>
        <w:rPr>
          <w:rFonts w:ascii="Times New Roman" w:hAnsi="Times New Roman"/>
        </w:rPr>
      </w:pPr>
    </w:p>
    <w:p w:rsidR="008C36FC" w:rsidRPr="009448FC" w:rsidRDefault="00BD151C" w:rsidP="001C0A90">
      <w:pPr>
        <w:pStyle w:val="BodyText"/>
        <w:rPr>
          <w:rFonts w:ascii="Times New Roman" w:hAnsi="Times New Roman"/>
        </w:rPr>
      </w:pPr>
      <w:fldSimple w:instr=" REF _Ref236396375 \h  \* MERGEFORMAT ">
        <w:r w:rsidR="003E4210" w:rsidRPr="009448FC">
          <w:rPr>
            <w:rFonts w:ascii="Times New Roman" w:hAnsi="Times New Roman"/>
          </w:rPr>
          <w:t xml:space="preserve">Figure </w:t>
        </w:r>
        <w:r w:rsidR="003E4210">
          <w:rPr>
            <w:rFonts w:ascii="Times New Roman" w:hAnsi="Times New Roman"/>
            <w:noProof/>
          </w:rPr>
          <w:t>124</w:t>
        </w:r>
      </w:fldSimple>
      <w:r w:rsidR="008C36FC" w:rsidRPr="009448FC">
        <w:rPr>
          <w:rFonts w:ascii="Times New Roman" w:hAnsi="Times New Roman"/>
        </w:rPr>
        <w:t xml:space="preserve"> illustrates an example of the resulting SP schedule in the BI for the spatial </w:t>
      </w:r>
      <w:r w:rsidR="009945C9" w:rsidRPr="009448FC">
        <w:rPr>
          <w:rFonts w:ascii="Times New Roman" w:hAnsi="Times New Roman"/>
        </w:rPr>
        <w:t>sharing</w:t>
      </w:r>
      <w:r w:rsidR="00281486" w:rsidRPr="009448FC">
        <w:rPr>
          <w:rFonts w:ascii="Times New Roman" w:hAnsi="Times New Roman"/>
        </w:rPr>
        <w:t xml:space="preserve"> </w:t>
      </w:r>
      <w:r w:rsidR="008C36FC" w:rsidRPr="009448FC">
        <w:rPr>
          <w:rFonts w:ascii="Times New Roman" w:hAnsi="Times New Roman"/>
        </w:rPr>
        <w:t>between the two SPs shown in</w:t>
      </w:r>
      <w:r w:rsidR="00746D1D" w:rsidRPr="009448FC">
        <w:rPr>
          <w:rFonts w:ascii="Times New Roman" w:hAnsi="Times New Roman"/>
        </w:rPr>
        <w:t xml:space="preserve"> </w:t>
      </w:r>
      <w:r>
        <w:rPr>
          <w:rFonts w:ascii="Times New Roman" w:hAnsi="Times New Roman"/>
        </w:rPr>
        <w:fldChar w:fldCharType="begin"/>
      </w:r>
      <w:r w:rsidR="00746D1D">
        <w:rPr>
          <w:rFonts w:ascii="Times New Roman" w:hAnsi="Times New Roman"/>
        </w:rPr>
        <w:instrText xml:space="preserve"> REF _Ref236396258 \h </w:instrText>
      </w:r>
      <w:r>
        <w:rPr>
          <w:rFonts w:ascii="Times New Roman" w:hAnsi="Times New Roman"/>
        </w:rPr>
      </w:r>
      <w:r>
        <w:rPr>
          <w:rFonts w:ascii="Times New Roman" w:hAnsi="Times New Roman"/>
        </w:rPr>
        <w:fldChar w:fldCharType="separate"/>
      </w:r>
      <w:r w:rsidR="003E4210" w:rsidRPr="009448FC">
        <w:rPr>
          <w:rFonts w:ascii="Times New Roman" w:hAnsi="Times New Roman"/>
        </w:rPr>
        <w:t xml:space="preserve">Figure </w:t>
      </w:r>
      <w:r w:rsidR="003E4210">
        <w:rPr>
          <w:rFonts w:ascii="Times New Roman" w:hAnsi="Times New Roman"/>
          <w:noProof/>
        </w:rPr>
        <w:t>123</w:t>
      </w:r>
      <w:r>
        <w:rPr>
          <w:rFonts w:ascii="Times New Roman" w:hAnsi="Times New Roman"/>
        </w:rPr>
        <w:fldChar w:fldCharType="end"/>
      </w:r>
      <w:r w:rsidR="008C36FC" w:rsidRPr="009448FC">
        <w:rPr>
          <w:rFonts w:ascii="Times New Roman" w:hAnsi="Times New Roman"/>
        </w:rPr>
        <w:t>.</w:t>
      </w:r>
    </w:p>
    <w:p w:rsidR="008C36FC" w:rsidRPr="009448FC" w:rsidRDefault="008C36FC" w:rsidP="00781C94">
      <w:pPr>
        <w:pStyle w:val="BodyText"/>
        <w:rPr>
          <w:rFonts w:ascii="Times New Roman" w:hAnsi="Times New Roman"/>
        </w:rPr>
      </w:pPr>
    </w:p>
    <w:p w:rsidR="008C36FC" w:rsidRPr="009448FC" w:rsidRDefault="003950E5" w:rsidP="00781C94">
      <w:pPr>
        <w:pStyle w:val="BodyText"/>
        <w:jc w:val="center"/>
        <w:rPr>
          <w:rFonts w:ascii="Times New Roman" w:hAnsi="Times New Roman"/>
        </w:rPr>
      </w:pPr>
      <w:r w:rsidRPr="009448FC">
        <w:rPr>
          <w:rFonts w:ascii="Times New Roman" w:hAnsi="Times New Roman"/>
        </w:rPr>
        <w:object w:dxaOrig="10583" w:dyaOrig="1570">
          <v:shape id="_x0000_i1084" type="#_x0000_t75" style="width:494.95pt;height:73.35pt" o:ole="">
            <v:imagedata r:id="rId209" o:title=""/>
          </v:shape>
          <o:OLEObject Type="Embed" ProgID="Visio.Drawing.11" ShapeID="_x0000_i1084" DrawAspect="Content" ObjectID="_1334048263" r:id="rId210"/>
        </w:object>
      </w:r>
    </w:p>
    <w:p w:rsidR="008C36FC" w:rsidRPr="009448FC" w:rsidRDefault="00EC1779" w:rsidP="00BA5BC4">
      <w:pPr>
        <w:pStyle w:val="Caption"/>
        <w:rPr>
          <w:rFonts w:ascii="Times New Roman" w:hAnsi="Times New Roman"/>
        </w:rPr>
      </w:pPr>
      <w:bookmarkStart w:id="2830" w:name="_Ref236396375"/>
      <w:bookmarkStart w:id="2831" w:name="_Toc259717556"/>
      <w:r w:rsidRPr="009448FC">
        <w:rPr>
          <w:rFonts w:ascii="Times New Roman" w:hAnsi="Times New Roman"/>
        </w:rPr>
        <w:t xml:space="preserve">Figure </w:t>
      </w:r>
      <w:r w:rsidR="00BD151C" w:rsidRPr="009448FC">
        <w:rPr>
          <w:rFonts w:ascii="Times New Roman" w:hAnsi="Times New Roman"/>
        </w:rPr>
        <w:fldChar w:fldCharType="begin"/>
      </w:r>
      <w:r w:rsidRPr="009448FC">
        <w:rPr>
          <w:rFonts w:ascii="Times New Roman" w:hAnsi="Times New Roman"/>
        </w:rPr>
        <w:instrText xml:space="preserve"> SEQ Figure \* ARABIC </w:instrText>
      </w:r>
      <w:r w:rsidR="00BD151C" w:rsidRPr="009448FC">
        <w:rPr>
          <w:rFonts w:ascii="Times New Roman" w:hAnsi="Times New Roman"/>
        </w:rPr>
        <w:fldChar w:fldCharType="separate"/>
      </w:r>
      <w:r w:rsidR="003E4210">
        <w:rPr>
          <w:rFonts w:ascii="Times New Roman" w:hAnsi="Times New Roman"/>
          <w:noProof/>
        </w:rPr>
        <w:t>124</w:t>
      </w:r>
      <w:r w:rsidR="00BD151C" w:rsidRPr="009448FC">
        <w:rPr>
          <w:rFonts w:ascii="Times New Roman" w:hAnsi="Times New Roman"/>
        </w:rPr>
        <w:fldChar w:fldCharType="end"/>
      </w:r>
      <w:bookmarkEnd w:id="2830"/>
      <w:r w:rsidR="008C36FC" w:rsidRPr="009448FC">
        <w:rPr>
          <w:rFonts w:ascii="Times New Roman" w:hAnsi="Times New Roman"/>
        </w:rPr>
        <w:t xml:space="preserve"> – Example of spatial </w:t>
      </w:r>
      <w:r w:rsidR="009945C9" w:rsidRPr="009448FC">
        <w:rPr>
          <w:rFonts w:ascii="Times New Roman" w:hAnsi="Times New Roman"/>
        </w:rPr>
        <w:t>sharing</w:t>
      </w:r>
      <w:r w:rsidR="00EE1100" w:rsidRPr="009448FC">
        <w:rPr>
          <w:rFonts w:ascii="Times New Roman" w:hAnsi="Times New Roman"/>
        </w:rPr>
        <w:t xml:space="preserve"> </w:t>
      </w:r>
      <w:r w:rsidR="008C36FC" w:rsidRPr="009448FC">
        <w:rPr>
          <w:rFonts w:ascii="Times New Roman" w:hAnsi="Times New Roman"/>
        </w:rPr>
        <w:t>between SP1 and SP2</w:t>
      </w:r>
      <w:bookmarkEnd w:id="2831"/>
    </w:p>
    <w:p w:rsidR="008C36FC" w:rsidRPr="0055772C" w:rsidRDefault="008C36FC" w:rsidP="00781C94">
      <w:pPr>
        <w:pStyle w:val="BodyText"/>
        <w:rPr>
          <w:rFonts w:ascii="Times New Roman" w:hAnsi="Times New Roman"/>
        </w:rPr>
      </w:pPr>
    </w:p>
    <w:p w:rsidR="008C36FC" w:rsidRPr="0055772C" w:rsidRDefault="008C36FC" w:rsidP="00A6594D">
      <w:pPr>
        <w:pStyle w:val="BodyText"/>
        <w:jc w:val="left"/>
        <w:rPr>
          <w:rFonts w:ascii="Times New Roman" w:hAnsi="Times New Roman"/>
        </w:rPr>
      </w:pPr>
      <w:r w:rsidRPr="0055772C">
        <w:rPr>
          <w:rFonts w:ascii="Times New Roman" w:hAnsi="Times New Roman"/>
        </w:rPr>
        <w:t xml:space="preserve">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shall transmit a Directional Channel Quality Request to each spatial </w:t>
      </w:r>
      <w:r w:rsidR="009945C9" w:rsidRPr="0055772C">
        <w:rPr>
          <w:rFonts w:ascii="Times New Roman" w:hAnsi="Times New Roman"/>
        </w:rPr>
        <w:t>sharing</w:t>
      </w:r>
      <w:r w:rsidR="00281486" w:rsidRPr="0055772C">
        <w:rPr>
          <w:rFonts w:ascii="Times New Roman" w:hAnsi="Times New Roman"/>
        </w:rPr>
        <w:t xml:space="preserve"> </w:t>
      </w:r>
      <w:r w:rsidRPr="0055772C">
        <w:rPr>
          <w:rFonts w:ascii="Times New Roman" w:hAnsi="Times New Roman"/>
        </w:rPr>
        <w:t xml:space="preserve">capable STA involved in a </w:t>
      </w:r>
      <w:r w:rsidR="00D86D3E" w:rsidRPr="0055772C">
        <w:rPr>
          <w:rFonts w:ascii="Times New Roman" w:hAnsi="Times New Roman"/>
        </w:rPr>
        <w:t>Time-Overlapped</w:t>
      </w:r>
      <w:r w:rsidR="00281486" w:rsidRPr="0055772C">
        <w:rPr>
          <w:rFonts w:ascii="Times New Roman" w:hAnsi="Times New Roman"/>
        </w:rPr>
        <w:t xml:space="preserve"> </w:t>
      </w:r>
      <w:r w:rsidRPr="0055772C">
        <w:rPr>
          <w:rFonts w:ascii="Times New Roman" w:hAnsi="Times New Roman"/>
        </w:rPr>
        <w:t>and existing SP</w:t>
      </w:r>
      <w:r w:rsidR="00A6594D" w:rsidRPr="0055772C">
        <w:rPr>
          <w:rFonts w:ascii="Times New Roman" w:hAnsi="Times New Roman"/>
        </w:rPr>
        <w:t xml:space="preserve"> scheduled under spatial </w:t>
      </w:r>
      <w:r w:rsidR="00B15064">
        <w:rPr>
          <w:rFonts w:ascii="Times New Roman" w:hAnsi="Times New Roman"/>
        </w:rPr>
        <w:t>frequency sharing</w:t>
      </w:r>
      <w:r w:rsidRPr="0055772C">
        <w:rPr>
          <w:rFonts w:ascii="Times New Roman" w:hAnsi="Times New Roman"/>
        </w:rPr>
        <w:t xml:space="preserve">. In the Directional Channel Quality Request that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transmits to each STA,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shall set the Target STA to the peer STA involved in the same SP and shall set the Measurement Method field to indicate RSNI.</w:t>
      </w:r>
      <w:r w:rsidR="00B15064">
        <w:rPr>
          <w:rFonts w:ascii="Times New Roman" w:hAnsi="Times New Roman"/>
        </w:rPr>
        <w:t xml:space="preserve"> </w:t>
      </w:r>
    </w:p>
    <w:p w:rsidR="008C36FC" w:rsidRPr="0055772C" w:rsidRDefault="008C36FC" w:rsidP="00781C94">
      <w:pPr>
        <w:pStyle w:val="BodyText"/>
        <w:rPr>
          <w:rFonts w:ascii="Times New Roman" w:hAnsi="Times New Roman"/>
        </w:rPr>
      </w:pPr>
    </w:p>
    <w:p w:rsidR="008C36FC" w:rsidRPr="0055772C" w:rsidRDefault="008C36FC" w:rsidP="00781C94">
      <w:pPr>
        <w:pStyle w:val="BodyText"/>
        <w:rPr>
          <w:rFonts w:ascii="Times New Roman" w:hAnsi="Times New Roman"/>
        </w:rPr>
      </w:pPr>
      <w:r w:rsidRPr="0055772C">
        <w:rPr>
          <w:rFonts w:ascii="Times New Roman" w:hAnsi="Times New Roman"/>
        </w:rPr>
        <w:t xml:space="preserve">If a spatial </w:t>
      </w:r>
      <w:r w:rsidR="009945C9" w:rsidRPr="0055772C">
        <w:rPr>
          <w:rFonts w:ascii="Times New Roman" w:hAnsi="Times New Roman"/>
        </w:rPr>
        <w:t>sharing</w:t>
      </w:r>
      <w:r w:rsidR="00EE4A4A" w:rsidRPr="0055772C">
        <w:rPr>
          <w:rFonts w:ascii="Times New Roman" w:hAnsi="Times New Roman"/>
        </w:rPr>
        <w:t xml:space="preserve"> </w:t>
      </w:r>
      <w:r w:rsidRPr="0055772C">
        <w:rPr>
          <w:rFonts w:ascii="Times New Roman" w:hAnsi="Times New Roman"/>
        </w:rPr>
        <w:t>capable non-PCP</w:t>
      </w:r>
      <w:r w:rsidR="008A6076" w:rsidRPr="0055772C">
        <w:rPr>
          <w:rFonts w:ascii="Times New Roman" w:hAnsi="Times New Roman"/>
        </w:rPr>
        <w:t>/non-</w:t>
      </w:r>
      <w:r w:rsidR="00655EA4" w:rsidRPr="0055772C">
        <w:rPr>
          <w:rFonts w:ascii="Times New Roman" w:hAnsi="Times New Roman"/>
        </w:rPr>
        <w:t xml:space="preserve">AP </w:t>
      </w:r>
      <w:r w:rsidRPr="0055772C">
        <w:rPr>
          <w:rFonts w:ascii="Times New Roman" w:hAnsi="Times New Roman"/>
        </w:rPr>
        <w:t xml:space="preserve">STA receives a Directional Channel Quality Request from its </w:t>
      </w:r>
      <w:r w:rsidR="008A6076" w:rsidRPr="0055772C">
        <w:rPr>
          <w:rFonts w:ascii="Times New Roman" w:hAnsi="Times New Roman"/>
        </w:rPr>
        <w:t>PCP/</w:t>
      </w:r>
      <w:r w:rsidR="00655EA4" w:rsidRPr="0055772C">
        <w:rPr>
          <w:rFonts w:ascii="Times New Roman" w:hAnsi="Times New Roman"/>
        </w:rPr>
        <w:t>AP,</w:t>
      </w:r>
      <w:r w:rsidRPr="0055772C">
        <w:rPr>
          <w:rFonts w:ascii="Times New Roman" w:hAnsi="Times New Roman"/>
        </w:rPr>
        <w:t xml:space="preserve"> it should perform the measurements as indicated in the request and shall report the results back to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using the Directional Channel Quality Report. The report shall be formatted and transmitted as per specified in the corresponding Directional Channel Quality Request. </w:t>
      </w:r>
    </w:p>
    <w:p w:rsidR="008C36FC" w:rsidRPr="0055772C" w:rsidRDefault="008C36FC" w:rsidP="00781C94">
      <w:pPr>
        <w:pStyle w:val="BodyText"/>
        <w:rPr>
          <w:rFonts w:ascii="Times New Roman" w:hAnsi="Times New Roman"/>
        </w:rPr>
      </w:pPr>
    </w:p>
    <w:p w:rsidR="008C36FC" w:rsidRPr="0055772C" w:rsidRDefault="008C36FC" w:rsidP="005F13BA">
      <w:pPr>
        <w:pStyle w:val="BodyText"/>
        <w:rPr>
          <w:rFonts w:ascii="Times New Roman" w:hAnsi="Times New Roman"/>
        </w:rPr>
      </w:pPr>
      <w:r w:rsidRPr="0055772C">
        <w:rPr>
          <w:rFonts w:ascii="Times New Roman" w:hAnsi="Times New Roman"/>
        </w:rPr>
        <w:t xml:space="preserve">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should stop the spatial </w:t>
      </w:r>
      <w:r w:rsidR="009945C9" w:rsidRPr="0055772C">
        <w:rPr>
          <w:rFonts w:ascii="Times New Roman" w:hAnsi="Times New Roman"/>
        </w:rPr>
        <w:t>sharing</w:t>
      </w:r>
      <w:r w:rsidR="00281486" w:rsidRPr="0055772C">
        <w:rPr>
          <w:rFonts w:ascii="Times New Roman" w:hAnsi="Times New Roman"/>
        </w:rPr>
        <w:t xml:space="preserve"> </w:t>
      </w:r>
      <w:r w:rsidRPr="0055772C">
        <w:rPr>
          <w:rFonts w:ascii="Times New Roman" w:hAnsi="Times New Roman"/>
        </w:rPr>
        <w:t xml:space="preserve">of two or more SPs if it determines that the link quality of any of the links involved in the spatial </w:t>
      </w:r>
      <w:r w:rsidR="009945C9" w:rsidRPr="0055772C">
        <w:rPr>
          <w:rFonts w:ascii="Times New Roman" w:hAnsi="Times New Roman"/>
        </w:rPr>
        <w:t>sharing</w:t>
      </w:r>
      <w:r w:rsidR="005F13BA" w:rsidRPr="0055772C">
        <w:rPr>
          <w:rFonts w:ascii="Times New Roman" w:hAnsi="Times New Roman"/>
        </w:rPr>
        <w:t xml:space="preserve"> </w:t>
      </w:r>
      <w:r w:rsidRPr="0055772C">
        <w:rPr>
          <w:rFonts w:ascii="Times New Roman" w:hAnsi="Times New Roman"/>
        </w:rPr>
        <w:t xml:space="preserve">has dropped below acceptable levels. This determination should be based on Directional Channel Quality Reports received by the </w:t>
      </w:r>
      <w:r w:rsidR="008A6076" w:rsidRPr="0055772C">
        <w:rPr>
          <w:rFonts w:ascii="Times New Roman" w:hAnsi="Times New Roman"/>
        </w:rPr>
        <w:t>PCP/</w:t>
      </w:r>
      <w:r w:rsidR="00655EA4" w:rsidRPr="0055772C">
        <w:rPr>
          <w:rFonts w:ascii="Times New Roman" w:hAnsi="Times New Roman"/>
        </w:rPr>
        <w:t>AP,</w:t>
      </w:r>
      <w:r w:rsidRPr="0055772C">
        <w:rPr>
          <w:rFonts w:ascii="Times New Roman" w:hAnsi="Times New Roman"/>
        </w:rPr>
        <w:t xml:space="preserve"> but is implementation dependent and beyond the scope of this specification.</w:t>
      </w:r>
    </w:p>
    <w:p w:rsidR="008C36FC" w:rsidRPr="0055772C" w:rsidRDefault="008C36FC" w:rsidP="00781C94">
      <w:pPr>
        <w:pStyle w:val="BodyText"/>
        <w:rPr>
          <w:rFonts w:ascii="Times New Roman" w:hAnsi="Times New Roman"/>
        </w:rPr>
      </w:pPr>
    </w:p>
    <w:p w:rsidR="00D73D17" w:rsidRPr="0055772C" w:rsidRDefault="008C36FC" w:rsidP="003F5BB0">
      <w:pPr>
        <w:pStyle w:val="BodyText"/>
        <w:rPr>
          <w:rFonts w:ascii="Times New Roman" w:hAnsi="Times New Roman"/>
        </w:rPr>
      </w:pPr>
      <w:r w:rsidRPr="0055772C">
        <w:rPr>
          <w:rFonts w:ascii="Times New Roman" w:hAnsi="Times New Roman"/>
        </w:rPr>
        <w:t xml:space="preserve">The STA may include </w:t>
      </w:r>
      <w:r w:rsidR="003F5BB0" w:rsidRPr="0055772C">
        <w:rPr>
          <w:rFonts w:ascii="Times New Roman" w:hAnsi="Times New Roman"/>
        </w:rPr>
        <w:t>the</w:t>
      </w:r>
      <w:r w:rsidR="00EB05E9" w:rsidRPr="0055772C">
        <w:rPr>
          <w:rFonts w:ascii="Times New Roman" w:hAnsi="Times New Roman"/>
        </w:rPr>
        <w:t xml:space="preserve"> TSCONST field</w:t>
      </w:r>
      <w:r w:rsidR="00EE1100" w:rsidRPr="0055772C">
        <w:rPr>
          <w:rFonts w:ascii="Times New Roman" w:hAnsi="Times New Roman"/>
        </w:rPr>
        <w:t xml:space="preserve"> </w:t>
      </w:r>
      <w:r w:rsidRPr="0055772C">
        <w:rPr>
          <w:rFonts w:ascii="Times New Roman" w:hAnsi="Times New Roman"/>
        </w:rPr>
        <w:t xml:space="preserve">with the </w:t>
      </w:r>
      <w:r w:rsidR="00EB05E9" w:rsidRPr="0055772C">
        <w:rPr>
          <w:rFonts w:ascii="Times New Roman" w:hAnsi="Times New Roman"/>
        </w:rPr>
        <w:t>ADDTS</w:t>
      </w:r>
      <w:r w:rsidRPr="0055772C">
        <w:rPr>
          <w:rFonts w:ascii="Times New Roman" w:hAnsi="Times New Roman"/>
        </w:rPr>
        <w:t xml:space="preserve"> request </w:t>
      </w:r>
      <w:r w:rsidR="00EB05E9" w:rsidRPr="0055772C">
        <w:rPr>
          <w:rFonts w:ascii="Times New Roman" w:hAnsi="Times New Roman"/>
        </w:rPr>
        <w:t>sent</w:t>
      </w:r>
      <w:r w:rsidR="00EE1100" w:rsidRPr="0055772C">
        <w:rPr>
          <w:rFonts w:ascii="Times New Roman" w:hAnsi="Times New Roman"/>
        </w:rPr>
        <w:t xml:space="preserve"> </w:t>
      </w:r>
      <w:r w:rsidRPr="0055772C">
        <w:rPr>
          <w:rFonts w:ascii="Times New Roman" w:hAnsi="Times New Roman"/>
        </w:rPr>
        <w:t xml:space="preserve">to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for the purpose of interference mitigation. The </w:t>
      </w:r>
      <w:r w:rsidR="008A6076" w:rsidRPr="0055772C">
        <w:rPr>
          <w:rFonts w:ascii="Times New Roman" w:hAnsi="Times New Roman"/>
        </w:rPr>
        <w:t>PCP/</w:t>
      </w:r>
      <w:r w:rsidR="00655EA4" w:rsidRPr="0055772C">
        <w:rPr>
          <w:rFonts w:ascii="Times New Roman" w:hAnsi="Times New Roman"/>
        </w:rPr>
        <w:t xml:space="preserve">AP </w:t>
      </w:r>
      <w:r w:rsidR="003F5BB0" w:rsidRPr="0055772C">
        <w:rPr>
          <w:rFonts w:ascii="Times New Roman" w:hAnsi="Times New Roman"/>
        </w:rPr>
        <w:t>should</w:t>
      </w:r>
      <w:r w:rsidR="00EE4A4A" w:rsidRPr="0055772C">
        <w:rPr>
          <w:rFonts w:ascii="Times New Roman" w:hAnsi="Times New Roman"/>
        </w:rPr>
        <w:t xml:space="preserve"> </w:t>
      </w:r>
      <w:r w:rsidRPr="0055772C">
        <w:rPr>
          <w:rFonts w:ascii="Times New Roman" w:hAnsi="Times New Roman"/>
        </w:rPr>
        <w:t xml:space="preserve">consider the </w:t>
      </w:r>
      <w:r w:rsidR="003F5BB0" w:rsidRPr="0055772C">
        <w:rPr>
          <w:rFonts w:ascii="Times New Roman" w:hAnsi="Times New Roman"/>
        </w:rPr>
        <w:t>information in the TSCONST</w:t>
      </w:r>
      <w:r w:rsidRPr="0055772C">
        <w:rPr>
          <w:rFonts w:ascii="Times New Roman" w:hAnsi="Times New Roman"/>
        </w:rPr>
        <w:t xml:space="preserve"> </w:t>
      </w:r>
      <w:r w:rsidR="003F5BB0" w:rsidRPr="0055772C">
        <w:rPr>
          <w:rFonts w:ascii="Times New Roman" w:hAnsi="Times New Roman"/>
        </w:rPr>
        <w:t>field</w:t>
      </w:r>
      <w:r w:rsidR="00EE4A4A" w:rsidRPr="0055772C">
        <w:rPr>
          <w:rFonts w:ascii="Times New Roman" w:hAnsi="Times New Roman"/>
        </w:rPr>
        <w:t xml:space="preserve"> </w:t>
      </w:r>
      <w:r w:rsidRPr="0055772C">
        <w:rPr>
          <w:rFonts w:ascii="Times New Roman" w:hAnsi="Times New Roman"/>
        </w:rPr>
        <w:t>specified by a STA in its SP schedule.</w:t>
      </w:r>
    </w:p>
    <w:p w:rsidR="00917F7E" w:rsidRPr="0055772C" w:rsidRDefault="00917F7E" w:rsidP="00A1061A">
      <w:pPr>
        <w:pStyle w:val="BodyText"/>
        <w:rPr>
          <w:rFonts w:ascii="Times New Roman" w:hAnsi="Times New Roman"/>
        </w:rPr>
      </w:pPr>
    </w:p>
    <w:p w:rsidR="008C36FC" w:rsidRPr="0055772C" w:rsidRDefault="008C36FC" w:rsidP="00A1061A">
      <w:pPr>
        <w:pStyle w:val="BodyText"/>
        <w:rPr>
          <w:rFonts w:ascii="Times New Roman" w:hAnsi="Times New Roman"/>
        </w:rPr>
      </w:pPr>
      <w:r w:rsidRPr="0055772C">
        <w:rPr>
          <w:rFonts w:ascii="Times New Roman" w:hAnsi="Times New Roman"/>
        </w:rPr>
        <w:t xml:space="preserve">Specific algorithms to realize spatial </w:t>
      </w:r>
      <w:r w:rsidR="009945C9" w:rsidRPr="0055772C">
        <w:rPr>
          <w:rFonts w:ascii="Times New Roman" w:hAnsi="Times New Roman"/>
        </w:rPr>
        <w:t>sharing</w:t>
      </w:r>
      <w:r w:rsidR="00A1061A" w:rsidRPr="0055772C">
        <w:rPr>
          <w:rFonts w:ascii="Times New Roman" w:hAnsi="Times New Roman"/>
        </w:rPr>
        <w:t xml:space="preserve"> </w:t>
      </w:r>
      <w:r w:rsidRPr="0055772C">
        <w:rPr>
          <w:rFonts w:ascii="Times New Roman" w:hAnsi="Times New Roman"/>
        </w:rPr>
        <w:t xml:space="preserve">and interference mitigation amongst SPs between different STAs is implementation dependent and beyond the scope of this specification. </w:t>
      </w:r>
    </w:p>
    <w:p w:rsidR="008C36FC" w:rsidRPr="0055772C" w:rsidRDefault="008C36FC" w:rsidP="00781C94">
      <w:pPr>
        <w:pStyle w:val="BodyText"/>
        <w:rPr>
          <w:rFonts w:ascii="Times New Roman" w:hAnsi="Times New Roman"/>
        </w:rPr>
      </w:pPr>
    </w:p>
    <w:p w:rsidR="008C36FC" w:rsidRPr="0055772C" w:rsidRDefault="00030887" w:rsidP="003701DB">
      <w:pPr>
        <w:pStyle w:val="Heading3"/>
        <w:numPr>
          <w:ilvl w:val="2"/>
          <w:numId w:val="226"/>
        </w:numPr>
      </w:pPr>
      <w:bookmarkStart w:id="2832" w:name="_Toc215582923"/>
      <w:bookmarkStart w:id="2833" w:name="_Toc235400619"/>
      <w:bookmarkStart w:id="2834" w:name="_Toc259717263"/>
      <w:r w:rsidRPr="0055772C">
        <w:t xml:space="preserve">PBSS and infrastructure BSS </w:t>
      </w:r>
      <w:r w:rsidR="00D826D3" w:rsidRPr="0055772C">
        <w:t xml:space="preserve">stability </w:t>
      </w:r>
      <w:r w:rsidR="008C36FC" w:rsidRPr="0055772C">
        <w:t>in OBSS</w:t>
      </w:r>
      <w:r w:rsidR="00EE1100" w:rsidRPr="0055772C">
        <w:t xml:space="preserve"> </w:t>
      </w:r>
      <w:bookmarkEnd w:id="2832"/>
      <w:bookmarkEnd w:id="2833"/>
      <w:r w:rsidR="00D826D3" w:rsidRPr="0055772C">
        <w:t>scenarios</w:t>
      </w:r>
      <w:bookmarkEnd w:id="2834"/>
    </w:p>
    <w:p w:rsidR="0008656B" w:rsidRPr="0055772C" w:rsidRDefault="0008656B" w:rsidP="000A0288">
      <w:pPr>
        <w:pStyle w:val="BodyText"/>
        <w:jc w:val="left"/>
        <w:rPr>
          <w:rFonts w:ascii="Times New Roman" w:hAnsi="Times New Roman"/>
        </w:rPr>
      </w:pPr>
    </w:p>
    <w:p w:rsidR="00000C5F" w:rsidRDefault="00CF0C68">
      <w:pPr>
        <w:autoSpaceDE w:val="0"/>
        <w:autoSpaceDN w:val="0"/>
        <w:adjustRightInd w:val="0"/>
      </w:pPr>
      <w:r>
        <w:rPr>
          <w:rFonts w:eastAsia="Batang"/>
          <w:lang w:eastAsia="ko-KR"/>
        </w:rPr>
        <w:t xml:space="preserve">The PCP/AP should keep the SP schedule stable across BIs and should minimize schedule changes. This is to allow for STAs to associate or disassociate the PBSS/infrastructure BSS or modify their SP reservations. </w:t>
      </w:r>
      <w:r w:rsidR="008C36FC" w:rsidRPr="0055772C">
        <w:t xml:space="preserve">Stability in BI schedule allows a </w:t>
      </w:r>
      <w:r w:rsidR="00CC6C5B" w:rsidRPr="0055772C">
        <w:t>PBSS/</w:t>
      </w:r>
      <w:r w:rsidR="00030887" w:rsidRPr="0055772C">
        <w:t xml:space="preserve">infrastructure </w:t>
      </w:r>
      <w:r w:rsidR="00CC6C5B" w:rsidRPr="0055772C">
        <w:t xml:space="preserve">BSS </w:t>
      </w:r>
      <w:r w:rsidR="008C36FC" w:rsidRPr="0055772C">
        <w:t>to assess the interference pattern produced by OBSSs and adapt to the environment by scheduling SPs over periods of time in the BI when less interference is expected.</w:t>
      </w:r>
    </w:p>
    <w:p w:rsidR="00866AD4" w:rsidRPr="0055772C" w:rsidRDefault="00BF72EC" w:rsidP="00402560">
      <w:pPr>
        <w:pStyle w:val="BodyText"/>
        <w:rPr>
          <w:rFonts w:ascii="Times New Roman" w:hAnsi="Times New Roman"/>
        </w:rPr>
      </w:pPr>
      <w:r>
        <w:rPr>
          <w:rFonts w:eastAsia="Batang"/>
          <w:lang w:eastAsia="ko-KR"/>
        </w:rPr>
        <w:lastRenderedPageBreak/>
        <w:t xml:space="preserve"> </w:t>
      </w:r>
    </w:p>
    <w:p w:rsidR="00860D81" w:rsidRPr="0055772C" w:rsidRDefault="008C36FC" w:rsidP="00FF0730">
      <w:pPr>
        <w:pStyle w:val="BodyText"/>
        <w:rPr>
          <w:rFonts w:ascii="Times New Roman" w:hAnsi="Times New Roman"/>
        </w:rPr>
      </w:pPr>
      <w:r w:rsidRPr="0055772C">
        <w:rPr>
          <w:rFonts w:ascii="Times New Roman" w:hAnsi="Times New Roman"/>
        </w:rPr>
        <w:t xml:space="preserve">The </w:t>
      </w:r>
      <w:r w:rsidR="008B128A"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shall limit the frequency with which it changes the operating </w:t>
      </w:r>
      <w:r w:rsidR="00CC6C5B" w:rsidRPr="0055772C">
        <w:rPr>
          <w:rFonts w:ascii="Times New Roman" w:hAnsi="Times New Roman"/>
        </w:rPr>
        <w:t>PBSS/</w:t>
      </w:r>
      <w:r w:rsidR="00030887" w:rsidRPr="0055772C">
        <w:rPr>
          <w:rFonts w:ascii="Times New Roman" w:hAnsi="Times New Roman"/>
        </w:rPr>
        <w:t xml:space="preserve">infrastructure </w:t>
      </w:r>
      <w:r w:rsidR="00CC6C5B" w:rsidRPr="0055772C">
        <w:rPr>
          <w:rFonts w:ascii="Times New Roman" w:hAnsi="Times New Roman"/>
        </w:rPr>
        <w:t>BSS</w:t>
      </w:r>
      <w:r w:rsidR="0052756E" w:rsidRPr="0055772C">
        <w:rPr>
          <w:rFonts w:ascii="Times New Roman" w:hAnsi="Times New Roman"/>
        </w:rPr>
        <w:t xml:space="preserve"> </w:t>
      </w:r>
      <w:r w:rsidRPr="0055772C">
        <w:rPr>
          <w:rFonts w:ascii="Times New Roman" w:hAnsi="Times New Roman"/>
        </w:rPr>
        <w:t xml:space="preserve">channel to alleviate the instability and ripple effect that may result from frequent channel changes in OBSS scenarios. Upon a channel switch, the </w:t>
      </w:r>
      <w:r w:rsidR="008B128A"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of a </w:t>
      </w:r>
      <w:r w:rsidR="00CC6C5B" w:rsidRPr="0055772C">
        <w:rPr>
          <w:rFonts w:ascii="Times New Roman" w:hAnsi="Times New Roman"/>
        </w:rPr>
        <w:t>PBSS/</w:t>
      </w:r>
      <w:r w:rsidR="00030887" w:rsidRPr="0055772C">
        <w:rPr>
          <w:rFonts w:ascii="Times New Roman" w:hAnsi="Times New Roman"/>
        </w:rPr>
        <w:t xml:space="preserve">infrastructure </w:t>
      </w:r>
      <w:r w:rsidR="00CC6C5B" w:rsidRPr="0055772C">
        <w:rPr>
          <w:rFonts w:ascii="Times New Roman" w:hAnsi="Times New Roman"/>
        </w:rPr>
        <w:t>BSS</w:t>
      </w:r>
      <w:r w:rsidR="00FF0730" w:rsidRPr="0055772C">
        <w:rPr>
          <w:rFonts w:ascii="Times New Roman" w:hAnsi="Times New Roman"/>
        </w:rPr>
        <w:t xml:space="preserve"> </w:t>
      </w:r>
      <w:r w:rsidRPr="0055772C">
        <w:rPr>
          <w:rFonts w:ascii="Times New Roman" w:hAnsi="Times New Roman"/>
        </w:rPr>
        <w:t xml:space="preserve">shall select a random number, N, uniformly distributed between [0, SwitchInterval-1] and shall only attempt a new channel switch after N BIs have elapsed since the preceding channel switch. The initial value of SwitchInterval is </w:t>
      </w:r>
      <w:r w:rsidR="0001640D" w:rsidRPr="0055772C">
        <w:rPr>
          <w:rFonts w:ascii="Times New Roman" w:hAnsi="Times New Roman"/>
        </w:rPr>
        <w:t>aMinSwitchInterval</w:t>
      </w:r>
      <w:r w:rsidR="00FF0730" w:rsidRPr="0055772C">
        <w:rPr>
          <w:rFonts w:ascii="Times New Roman" w:hAnsi="Times New Roman"/>
        </w:rPr>
        <w:t xml:space="preserve"> </w:t>
      </w:r>
      <w:r w:rsidRPr="0055772C">
        <w:rPr>
          <w:rFonts w:ascii="Times New Roman" w:hAnsi="Times New Roman"/>
        </w:rPr>
        <w:t xml:space="preserve">and it is doubled upon every new channel switch up to a maximum value of </w:t>
      </w:r>
      <w:r w:rsidR="0001640D" w:rsidRPr="0055772C">
        <w:rPr>
          <w:rFonts w:ascii="Times New Roman" w:hAnsi="Times New Roman"/>
        </w:rPr>
        <w:t>aMaxSwitchInterval</w:t>
      </w:r>
      <w:r w:rsidR="00655EA4" w:rsidRPr="0055772C">
        <w:rPr>
          <w:rFonts w:ascii="Times New Roman" w:hAnsi="Times New Roman"/>
        </w:rPr>
        <w:t>.</w:t>
      </w:r>
      <w:r w:rsidRPr="0055772C">
        <w:rPr>
          <w:rFonts w:ascii="Times New Roman" w:hAnsi="Times New Roman"/>
        </w:rPr>
        <w:t xml:space="preserve"> The </w:t>
      </w:r>
      <w:r w:rsidR="008B128A"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resets SwtichInterval to </w:t>
      </w:r>
      <w:r w:rsidR="0001640D" w:rsidRPr="0055772C">
        <w:rPr>
          <w:rFonts w:ascii="Times New Roman" w:hAnsi="Times New Roman"/>
        </w:rPr>
        <w:t>aMinSwitchInterval</w:t>
      </w:r>
      <w:r w:rsidR="00FF0730" w:rsidRPr="0055772C">
        <w:rPr>
          <w:rFonts w:ascii="Times New Roman" w:hAnsi="Times New Roman"/>
        </w:rPr>
        <w:t xml:space="preserve"> </w:t>
      </w:r>
      <w:r w:rsidRPr="0055772C">
        <w:rPr>
          <w:rFonts w:ascii="Times New Roman" w:hAnsi="Times New Roman"/>
        </w:rPr>
        <w:t xml:space="preserve">if it remains on the same operating channel for a minimum of </w:t>
      </w:r>
      <w:r w:rsidR="0001640D" w:rsidRPr="0055772C">
        <w:rPr>
          <w:rFonts w:ascii="Times New Roman" w:hAnsi="Times New Roman"/>
        </w:rPr>
        <w:t>aMaxSwitchInterval</w:t>
      </w:r>
      <w:r w:rsidR="00FF0730" w:rsidRPr="0055772C">
        <w:rPr>
          <w:rFonts w:ascii="Times New Roman" w:hAnsi="Times New Roman"/>
        </w:rPr>
        <w:t xml:space="preserve"> </w:t>
      </w:r>
      <w:r w:rsidRPr="0055772C">
        <w:rPr>
          <w:rFonts w:ascii="Times New Roman" w:hAnsi="Times New Roman"/>
        </w:rPr>
        <w:t>consecutive BIs.</w:t>
      </w:r>
      <w:bookmarkStart w:id="2835" w:name="_Toc215555011"/>
      <w:bookmarkStart w:id="2836" w:name="_Toc215582925"/>
      <w:bookmarkStart w:id="2837" w:name="_Toc207099123"/>
      <w:bookmarkEnd w:id="2835"/>
      <w:bookmarkEnd w:id="2836"/>
      <w:bookmarkEnd w:id="2837"/>
    </w:p>
    <w:p w:rsidR="00C32D80" w:rsidRPr="00DB7490" w:rsidRDefault="005515A4" w:rsidP="003701DB">
      <w:pPr>
        <w:pStyle w:val="Heading2"/>
        <w:numPr>
          <w:ilvl w:val="1"/>
          <w:numId w:val="163"/>
        </w:numPr>
        <w:rPr>
          <w:color w:val="000000"/>
          <w:u w:val="none"/>
        </w:rPr>
      </w:pPr>
      <w:bookmarkStart w:id="2838" w:name="_Toc243795188"/>
      <w:bookmarkStart w:id="2839" w:name="_Toc243795189"/>
      <w:bookmarkStart w:id="2840" w:name="_Toc243795190"/>
      <w:bookmarkStart w:id="2841" w:name="_Toc243795192"/>
      <w:bookmarkStart w:id="2842" w:name="_Toc243795193"/>
      <w:bookmarkStart w:id="2843" w:name="_Toc243795194"/>
      <w:bookmarkStart w:id="2844" w:name="_Toc243795196"/>
      <w:bookmarkStart w:id="2845" w:name="_Toc243795198"/>
      <w:bookmarkStart w:id="2846" w:name="_Toc243795199"/>
      <w:bookmarkStart w:id="2847" w:name="_Toc243795200"/>
      <w:bookmarkStart w:id="2848" w:name="_Ref236725057"/>
      <w:bookmarkStart w:id="2849" w:name="_Ref246664738"/>
      <w:bookmarkStart w:id="2850" w:name="_Ref246665622"/>
      <w:bookmarkStart w:id="2851" w:name="_Ref246665776"/>
      <w:bookmarkStart w:id="2852" w:name="_Ref246665855"/>
      <w:bookmarkEnd w:id="2838"/>
      <w:bookmarkEnd w:id="2839"/>
      <w:bookmarkEnd w:id="2840"/>
      <w:bookmarkEnd w:id="2841"/>
      <w:bookmarkEnd w:id="2842"/>
      <w:bookmarkEnd w:id="2843"/>
      <w:bookmarkEnd w:id="2844"/>
      <w:bookmarkEnd w:id="2845"/>
      <w:bookmarkEnd w:id="2846"/>
      <w:bookmarkEnd w:id="2847"/>
      <w:r>
        <w:rPr>
          <w:u w:val="none"/>
        </w:rPr>
        <w:t xml:space="preserve"> </w:t>
      </w:r>
      <w:bookmarkStart w:id="2853" w:name="_Toc259717264"/>
      <w:r w:rsidR="00057495" w:rsidRPr="00DB7490">
        <w:rPr>
          <w:u w:val="none"/>
        </w:rPr>
        <w:t xml:space="preserve">Multi-band </w:t>
      </w:r>
      <w:r w:rsidR="00057495" w:rsidRPr="00DB7490">
        <w:rPr>
          <w:rFonts w:cs="Arial"/>
          <w:u w:val="none"/>
        </w:rPr>
        <w:t>Operation</w:t>
      </w:r>
      <w:bookmarkEnd w:id="2848"/>
      <w:bookmarkEnd w:id="2849"/>
      <w:bookmarkEnd w:id="2850"/>
      <w:bookmarkEnd w:id="2851"/>
      <w:bookmarkEnd w:id="2852"/>
      <w:bookmarkEnd w:id="2853"/>
    </w:p>
    <w:p w:rsidR="005118E6" w:rsidRDefault="005118E6" w:rsidP="002A5390"/>
    <w:p w:rsidR="00913D7F" w:rsidRDefault="00913D7F" w:rsidP="00913D7F">
      <w:r w:rsidRPr="00F25020">
        <w:t>A STA is multi-band capable if</w:t>
      </w:r>
      <w:r>
        <w:t xml:space="preserve"> the value of its local MIB variable dot11MultibandSupportEnabled</w:t>
      </w:r>
      <w:r w:rsidRPr="00F25020">
        <w:t xml:space="preserve"> is true.</w:t>
      </w:r>
      <w:r w:rsidRPr="007C2C97">
        <w:t xml:space="preserve"> </w:t>
      </w:r>
      <w:r>
        <w:t xml:space="preserve">A STA that </w:t>
      </w:r>
      <w:r w:rsidRPr="00F25020">
        <w:t>is multi-band capable</w:t>
      </w:r>
      <w:r>
        <w:t xml:space="preserve"> advertizes the capability by i</w:t>
      </w:r>
      <w:r w:rsidR="006F05FB">
        <w:t>ncluding the Multi-band element</w:t>
      </w:r>
      <w:r>
        <w:t xml:space="preserve"> in Beacon, mmWave Beacon, (Re)Association Request, Association Response, Information Request, Information Response, Probe Response, Announce, FST Setup Request and FST Setup Response frames.</w:t>
      </w:r>
    </w:p>
    <w:p w:rsidR="00913D7F" w:rsidRDefault="00913D7F" w:rsidP="00913D7F"/>
    <w:p w:rsidR="00913D7F" w:rsidRDefault="00913D7F" w:rsidP="00913D7F">
      <w:r>
        <w:t xml:space="preserve">A STA may include more than one Multi-band element in any one of these frames if it supports more than two bands. A multi-band capable STA shall set the Band ID and Regulatory Class fields within a </w:t>
      </w:r>
      <w:r w:rsidR="00493DD7">
        <w:t>Multi-band</w:t>
      </w:r>
      <w:r>
        <w:t xml:space="preserve"> element to specify the frequency band it supports. If the multi-band capable STA is or intends to operate in the band indicated within the </w:t>
      </w:r>
      <w:r w:rsidR="00493DD7">
        <w:t>Multi-band</w:t>
      </w:r>
      <w:r>
        <w:t xml:space="preserve"> element, it shall set the Channel Number field to indicate the channel of operation within that band. </w:t>
      </w:r>
    </w:p>
    <w:p w:rsidR="00913D7F" w:rsidRDefault="00913D7F" w:rsidP="00913D7F">
      <w:r>
        <w:t xml:space="preserve"> </w:t>
      </w:r>
    </w:p>
    <w:p w:rsidR="00913D7F" w:rsidRDefault="00913D7F" w:rsidP="00913D7F">
      <w:r>
        <w:t>The FST session transition is managed by FST session setup protocol. A multi-band capable STA participates as an initiator or as a responder in the FST session setup. Depending on the STAs behavior during the FST session setup, the FST session may be</w:t>
      </w:r>
      <w:r w:rsidRPr="00EF21B7">
        <w:t xml:space="preserve"> </w:t>
      </w:r>
      <w:r>
        <w:t>operational</w:t>
      </w:r>
      <w:r w:rsidRPr="00EF21B7">
        <w:t xml:space="preserve"> in one band</w:t>
      </w:r>
      <w:r>
        <w:t>,</w:t>
      </w:r>
      <w:r w:rsidRPr="00EF21B7">
        <w:t xml:space="preserve"> or </w:t>
      </w:r>
      <w:r>
        <w:t xml:space="preserve">may be transferred to another band, or may be operational in multiple </w:t>
      </w:r>
      <w:r w:rsidRPr="00EF21B7">
        <w:t xml:space="preserve">bands </w:t>
      </w:r>
      <w:r>
        <w:t>simultaneously</w:t>
      </w:r>
      <w:r w:rsidRPr="00A06794">
        <w:t xml:space="preserve"> </w:t>
      </w:r>
      <w:r>
        <w:t xml:space="preserve">and in this case data transfer can take place in multiple bands any time an MSDU arrives at the MAC SAP. When operational in more than one band simultaneously, an FST session in one of the bands can be transferred back to any other bands of the FST session. </w:t>
      </w:r>
    </w:p>
    <w:p w:rsidR="00913D7F" w:rsidRDefault="00913D7F" w:rsidP="00913D7F">
      <w:r>
        <w:t xml:space="preserve"> </w:t>
      </w:r>
    </w:p>
    <w:p w:rsidR="00913D7F" w:rsidRDefault="00913D7F" w:rsidP="00913D7F">
      <w:r>
        <w:t xml:space="preserve">An FST session between an initiator and a responder is identified by an FSTS ID. The value of the </w:t>
      </w:r>
      <w:r w:rsidRPr="005E7E1B">
        <w:t xml:space="preserve">FSTS ID is allocated </w:t>
      </w:r>
      <w:r>
        <w:t xml:space="preserve">by the initiator of an FST session and shall remain </w:t>
      </w:r>
      <w:r w:rsidRPr="005E7E1B">
        <w:t xml:space="preserve">unchanged </w:t>
      </w:r>
      <w:r>
        <w:t>whether</w:t>
      </w:r>
      <w:r w:rsidRPr="005E7E1B">
        <w:t xml:space="preserve"> </w:t>
      </w:r>
      <w:r>
        <w:t xml:space="preserve">the </w:t>
      </w:r>
      <w:r w:rsidRPr="005E7E1B">
        <w:t>FST</w:t>
      </w:r>
      <w:r>
        <w:t xml:space="preserve"> session</w:t>
      </w:r>
      <w:r w:rsidRPr="005E7E1B">
        <w:t xml:space="preserve"> </w:t>
      </w:r>
      <w:r>
        <w:t>is operational in one band or more than one band simultaneously. The value of the FSTS ID shall be unique for a pair of initiator and responder, and there shall be no more than one FST session between a pair of initiator and responder. The FSTS ID shall be reset by an initiator and responder pair when a different FSTS ID is included in the FST Setup Request frame sent by either the initiator or responder.</w:t>
      </w:r>
    </w:p>
    <w:p w:rsidR="00913D7F" w:rsidRDefault="00913D7F" w:rsidP="00913D7F"/>
    <w:p w:rsidR="00913D7F" w:rsidRDefault="00913D7F" w:rsidP="00913D7F">
      <w:r>
        <w:t xml:space="preserve">A multi-band capable STA may use the same MAC address in both bands or it may use different MAC addresses in each band. When the STA MAC Address Present field is set to one in a </w:t>
      </w:r>
      <w:r w:rsidR="00493DD7">
        <w:t>Multi-band</w:t>
      </w:r>
      <w:r>
        <w:t xml:space="preserve"> element, the STA MAC Address field in the </w:t>
      </w:r>
      <w:r w:rsidR="00493DD7">
        <w:t>Multi-band</w:t>
      </w:r>
      <w:r>
        <w:t xml:space="preserve"> element specifies the MAC addresses that the STA uses in the band that is indicated in the </w:t>
      </w:r>
      <w:r w:rsidR="00493DD7">
        <w:t>Multi-band</w:t>
      </w:r>
      <w:r>
        <w:t xml:space="preserve"> element. If the STA MAC Address Present field is set to zero, the MAC address that the STA uses in the frequency band that is indicated in the </w:t>
      </w:r>
      <w:r w:rsidR="00493DD7">
        <w:t>Multi-band</w:t>
      </w:r>
      <w:r>
        <w:t xml:space="preserve"> element is the same as the STA uses in the current operating band.</w:t>
      </w:r>
    </w:p>
    <w:p w:rsidR="00913D7F" w:rsidRDefault="00913D7F" w:rsidP="00913D7F"/>
    <w:p w:rsidR="00913D7F" w:rsidRDefault="00913D7F" w:rsidP="00913D7F">
      <w:r>
        <w:lastRenderedPageBreak/>
        <w:t>The FST session addressing mode is Transparent if both initiator and responder of the FST session use the same MAC address in the frequency bands involved in the FST session transfer. The FST session addressing mode is Non-Transparent if either the initiator or responder use different MAC addresses in the different frequency bands involved in the FST session.</w:t>
      </w:r>
    </w:p>
    <w:p w:rsidR="00913D7F" w:rsidRDefault="00BF72EC" w:rsidP="00913D7F">
      <w:r>
        <w:t xml:space="preserve"> </w:t>
      </w:r>
    </w:p>
    <w:p w:rsidR="00141D21" w:rsidRDefault="00141D21" w:rsidP="00913D7F">
      <w:r w:rsidRPr="00141D21">
        <w:t xml:space="preserve">A multi-band capable STA </w:t>
      </w:r>
      <w:r w:rsidR="00877B46">
        <w:t>should</w:t>
      </w:r>
      <w:r w:rsidRPr="00141D21">
        <w:t xml:space="preserve"> deliver all fragments, if any, of an MSDU of an FST session befor</w:t>
      </w:r>
      <w:r>
        <w:t>e it transfers the FST session.</w:t>
      </w:r>
    </w:p>
    <w:p w:rsidR="00141D21" w:rsidRDefault="00141D21" w:rsidP="00913D7F"/>
    <w:p w:rsidR="00913D7F" w:rsidRPr="00F25020" w:rsidRDefault="00913D7F" w:rsidP="00913D7F">
      <w:r w:rsidRPr="00F25020">
        <w:t xml:space="preserve">A multi-band capable STA </w:t>
      </w:r>
      <w:r>
        <w:t xml:space="preserve">that is a member of a BSS </w:t>
      </w:r>
      <w:r w:rsidRPr="00F25020">
        <w:t>shall include</w:t>
      </w:r>
      <w:r>
        <w:t>,</w:t>
      </w:r>
      <w:r w:rsidRPr="00F25020">
        <w:t xml:space="preserve"> </w:t>
      </w:r>
      <w:r>
        <w:t xml:space="preserve">in any transmitted FST Setup Request and in any transmitted FST Setup Response, </w:t>
      </w:r>
      <w:r w:rsidRPr="00F25020">
        <w:t xml:space="preserve">the </w:t>
      </w:r>
      <w:r>
        <w:t xml:space="preserve">same capabilities element, </w:t>
      </w:r>
      <w:r w:rsidRPr="00F25020">
        <w:t xml:space="preserve">supported rates and supported channels </w:t>
      </w:r>
      <w:r>
        <w:t xml:space="preserve">that were </w:t>
      </w:r>
      <w:r w:rsidRPr="00F25020">
        <w:t xml:space="preserve">transmitted during </w:t>
      </w:r>
      <w:r>
        <w:t xml:space="preserve">its most recent successful </w:t>
      </w:r>
      <w:r w:rsidRPr="00F25020">
        <w:t xml:space="preserve">association </w:t>
      </w:r>
      <w:r>
        <w:t>exchange i</w:t>
      </w:r>
      <w:r w:rsidRPr="00F25020">
        <w:t xml:space="preserve">n the </w:t>
      </w:r>
      <w:r>
        <w:t>band indicated in its most recently transmitted Multi-band element that was transmitted on the same band on which it is transmitting the FST Setup Request or FST Setup Response frames</w:t>
      </w:r>
      <w:r w:rsidRPr="00F25020">
        <w:t>.</w:t>
      </w:r>
    </w:p>
    <w:p w:rsidR="00913D7F" w:rsidRPr="00617E00" w:rsidRDefault="00913D7F" w:rsidP="002A5390"/>
    <w:p w:rsidR="00FA22D4" w:rsidRPr="0024656A" w:rsidRDefault="002A5390" w:rsidP="003701DB">
      <w:pPr>
        <w:pStyle w:val="Heading3"/>
        <w:numPr>
          <w:ilvl w:val="2"/>
          <w:numId w:val="104"/>
        </w:numPr>
      </w:pPr>
      <w:bookmarkStart w:id="2854" w:name="_Ref250643074"/>
      <w:bookmarkStart w:id="2855" w:name="_Ref250654000"/>
      <w:bookmarkStart w:id="2856" w:name="_Toc259717265"/>
      <w:r w:rsidRPr="0024656A">
        <w:t>FST Setup</w:t>
      </w:r>
      <w:bookmarkEnd w:id="2854"/>
      <w:bookmarkEnd w:id="2855"/>
      <w:bookmarkEnd w:id="2856"/>
    </w:p>
    <w:p w:rsidR="00215C57" w:rsidRPr="00215C57" w:rsidRDefault="00215C57" w:rsidP="00215C57"/>
    <w:p w:rsidR="00862E32" w:rsidRDefault="00862E32" w:rsidP="00465365">
      <w:r>
        <w:t xml:space="preserve"> The FST setup protocol defines the transfer of an FST session between initiator and responder to another band. The FST setup protocol comprises four states and rules how to move from one state to the next. The states are: Initial, Setup completion, Transition done and Transition confirmed.</w:t>
      </w:r>
      <w:r w:rsidR="005515A4">
        <w:t xml:space="preserve"> </w:t>
      </w:r>
      <w:r>
        <w:t xml:space="preserve">In the Initial state, the FST session is operational in one or both bands. In the Setup Completion state, both initiator and responder are ready to change their currently operating band(s). An FST session may be fully or partially transferred to another band or transferred back to one band. The Transition done state enables both initiator and responder to operate in the other band if the value of the LLT was zero. Both initiator and responder have to successfully communicate in the new band to reach the Transition confirmed state. The state transition diagram of the FST setup protocol is shown in </w:t>
      </w:r>
      <w:r w:rsidR="00BD151C">
        <w:fldChar w:fldCharType="begin"/>
      </w:r>
      <w:r w:rsidR="00465365">
        <w:instrText xml:space="preserve"> REF _Ref250653264 \h </w:instrText>
      </w:r>
      <w:r w:rsidR="00BD151C">
        <w:fldChar w:fldCharType="separate"/>
      </w:r>
      <w:r w:rsidR="003E4210">
        <w:t xml:space="preserve">Figure </w:t>
      </w:r>
      <w:r w:rsidR="003E4210">
        <w:rPr>
          <w:noProof/>
        </w:rPr>
        <w:t>125</w:t>
      </w:r>
      <w:r w:rsidR="00BD151C">
        <w:fldChar w:fldCharType="end"/>
      </w:r>
      <w:r>
        <w:t>.</w:t>
      </w:r>
    </w:p>
    <w:p w:rsidR="00862E32" w:rsidRDefault="00862E32" w:rsidP="00862E32"/>
    <w:p w:rsidR="00862E32" w:rsidRDefault="00862E32" w:rsidP="00465365">
      <w:r>
        <w:t>To transfer an FST session from the Initial state to the Setup Completion state of the FST setup protocol (</w:t>
      </w:r>
      <w:r w:rsidR="00BD151C">
        <w:fldChar w:fldCharType="begin"/>
      </w:r>
      <w:r w:rsidR="00465365">
        <w:instrText xml:space="preserve"> REF _Ref250653264 \h </w:instrText>
      </w:r>
      <w:r w:rsidR="00BD151C">
        <w:fldChar w:fldCharType="separate"/>
      </w:r>
      <w:r w:rsidR="003E4210">
        <w:t xml:space="preserve">Figure </w:t>
      </w:r>
      <w:r w:rsidR="003E4210">
        <w:rPr>
          <w:noProof/>
        </w:rPr>
        <w:t>125</w:t>
      </w:r>
      <w:r w:rsidR="00BD151C">
        <w:fldChar w:fldCharType="end"/>
      </w:r>
      <w:r>
        <w:t>), an initiator and responder shall exchange FST Setup Request and FST Setup Response frames. In the Initial and in the Setup Completion states, the Old band represents the frequency band from which the FST session is intending to be transferred from and the New Band represents the frequency band to which the FST session is intending to be transferred to. In the Transition done state, the New Band represents the frequency band the FST Ack Request and FST Ack Response frames, if any, are sent and the Old Band represents the frequency band the FST session is transferring from.</w:t>
      </w:r>
    </w:p>
    <w:p w:rsidR="00862E32" w:rsidRDefault="00862E32" w:rsidP="00862E32"/>
    <w:p w:rsidR="00862E32" w:rsidRDefault="00862E32" w:rsidP="00862E32">
      <w:r>
        <w:t>The responder shall set the Status Code field to zero if it accepts the FST Setup Request, shall set the Status Code to 39 to indicate that one or more parameters of the FST Setup Request are invalid and shall suggest alternative parameters, shall set the Status Code to 55</w:t>
      </w:r>
      <w:r w:rsidR="005F4CF0">
        <w:t xml:space="preserve"> or 57</w:t>
      </w:r>
      <w:r>
        <w:t xml:space="preserve"> to indicate that a FST Setup Request is pending, and shall set the Status Code field to 37 to reject a FST Setup Request. </w:t>
      </w:r>
    </w:p>
    <w:p w:rsidR="00215C57" w:rsidRDefault="00215C57" w:rsidP="00215C57"/>
    <w:p w:rsidR="00215C57" w:rsidRDefault="00215C57" w:rsidP="00215C57"/>
    <w:p w:rsidR="00215C57" w:rsidRDefault="00215C57" w:rsidP="00862E32">
      <w:pPr>
        <w:jc w:val="center"/>
      </w:pPr>
      <w:r w:rsidRPr="00382DCB">
        <w:lastRenderedPageBreak/>
        <w:t xml:space="preserve"> </w:t>
      </w:r>
      <w:r w:rsidR="002F326F">
        <w:object w:dxaOrig="10909" w:dyaOrig="9498">
          <v:shape id="_x0000_i1085" type="#_x0000_t75" style="width:395.3pt;height:337.8pt" o:ole="">
            <v:imagedata r:id="rId211" o:title=""/>
          </v:shape>
          <o:OLEObject Type="Embed" ProgID="Visio.Drawing.11" ShapeID="_x0000_i1085" DrawAspect="Content" ObjectID="_1334048264" r:id="rId212"/>
        </w:object>
      </w:r>
    </w:p>
    <w:p w:rsidR="00215C57" w:rsidRDefault="00215C57" w:rsidP="00215C57">
      <w:pPr>
        <w:pStyle w:val="Caption"/>
      </w:pPr>
      <w:bookmarkStart w:id="2857" w:name="_Ref250653264"/>
      <w:bookmarkStart w:id="2858" w:name="_Toc259717557"/>
      <w:r>
        <w:t xml:space="preserve">Figure </w:t>
      </w:r>
      <w:r w:rsidR="00BD151C">
        <w:fldChar w:fldCharType="begin"/>
      </w:r>
      <w:r w:rsidR="00801316">
        <w:instrText xml:space="preserve"> SEQ Figure \* ARABIC </w:instrText>
      </w:r>
      <w:r w:rsidR="00BD151C">
        <w:fldChar w:fldCharType="separate"/>
      </w:r>
      <w:r w:rsidR="003E4210">
        <w:rPr>
          <w:noProof/>
        </w:rPr>
        <w:t>125</w:t>
      </w:r>
      <w:r w:rsidR="00BD151C">
        <w:fldChar w:fldCharType="end"/>
      </w:r>
      <w:bookmarkEnd w:id="2857"/>
      <w:r w:rsidR="00970827">
        <w:t xml:space="preserve"> </w:t>
      </w:r>
      <w:r>
        <w:t>– States of the FST setup protocol</w:t>
      </w:r>
      <w:bookmarkEnd w:id="2858"/>
    </w:p>
    <w:p w:rsidR="00215C57" w:rsidRDefault="00215C57" w:rsidP="00215C57"/>
    <w:p w:rsidR="00670956" w:rsidRDefault="00670956" w:rsidP="00670956">
      <w:r>
        <w:t xml:space="preserve">A state transition within the FST setup protocol is controlled by the State Transition Timer (STT). Each STA maintains a STT for each FST session. The STAs shall move to the Initial state when the STT moves from one to zero, or upon reception or transmission of an FST Tear down frame. </w:t>
      </w:r>
    </w:p>
    <w:p w:rsidR="00670956" w:rsidRDefault="00670956" w:rsidP="00670956">
      <w:pPr>
        <w:ind w:left="360"/>
      </w:pPr>
    </w:p>
    <w:p w:rsidR="00670956" w:rsidRDefault="00670956" w:rsidP="00670956">
      <w:r>
        <w:t>The initiator shall set the STT to the value of the FSTSessionTimeOut field at successful transmission of a FST Setup Request frame and at each ACK frame sent in response to a received FST Setup Response with the status code field equal to 55</w:t>
      </w:r>
      <w:r w:rsidR="005F4CF0">
        <w:t xml:space="preserve"> or 57</w:t>
      </w:r>
      <w:r>
        <w:t>. The initiator shall set the STT to zero at the transmission of an ACK frame sent in response to a received FST Setup Response frame with the value of the status code field equal to 0. The initiator should send a FST Setup Request frame no later than FSTSessionTimeOut after the transmission of an ACK frame in response to a received FST Setup Response with status code field equal to 0.</w:t>
      </w:r>
    </w:p>
    <w:p w:rsidR="00670956" w:rsidRDefault="00670956" w:rsidP="00670956">
      <w:pPr>
        <w:ind w:left="720"/>
      </w:pPr>
    </w:p>
    <w:p w:rsidR="00670956" w:rsidRDefault="00670956" w:rsidP="00670956">
      <w:r>
        <w:t>The responder shall set the STT to the value of the FSTSessionTimeOut field at successful transmission of a FST Setup Response frame. The responder shall set the STT to zero at each transmission of an ACK frame sent in response to the reception of an FST Setup Request. The responder should send an FST Setup Response frame no later than FSTSessionTimeOut after the transmission of an ACK frame sent in response to a received FST Setup Request frame or successful transmission of a FST Setup Response frame with the status code field equal to 55</w:t>
      </w:r>
      <w:r w:rsidR="005F4CF0">
        <w:t xml:space="preserve"> or 57</w:t>
      </w:r>
      <w:r>
        <w:t>.</w:t>
      </w:r>
      <w:r w:rsidRPr="0070308F">
        <w:t xml:space="preserve"> </w:t>
      </w:r>
      <w:r>
        <w:t xml:space="preserve">In the latter case the responder shall transmit the unsolicited FST Setup Response frame to the initiator. </w:t>
      </w:r>
    </w:p>
    <w:p w:rsidR="00670956" w:rsidRDefault="00670956" w:rsidP="00670956"/>
    <w:p w:rsidR="00670956" w:rsidRDefault="00670956" w:rsidP="00670956">
      <w:r>
        <w:lastRenderedPageBreak/>
        <w:t>There may be multiple FST Setup Request and FST Setup Response frame transmissions by, respectively, the initiator and the responder until the FST session between these STAs becomes established.</w:t>
      </w:r>
      <w:r w:rsidRPr="00A44C09">
        <w:t xml:space="preserve"> </w:t>
      </w:r>
      <w:r>
        <w:t>At each transition from the Initial state to the Setup completion state, the initiator and responder shall perform the following procedure:</w:t>
      </w:r>
    </w:p>
    <w:p w:rsidR="00670956" w:rsidRDefault="00670956" w:rsidP="00670956">
      <w:pPr>
        <w:ind w:left="720"/>
      </w:pPr>
    </w:p>
    <w:p w:rsidR="00670956" w:rsidRDefault="00670956" w:rsidP="003701DB">
      <w:pPr>
        <w:numPr>
          <w:ilvl w:val="0"/>
          <w:numId w:val="169"/>
        </w:numPr>
      </w:pPr>
      <w:r>
        <w:t>The initiator sends an FST Setup Request frame to the responder.</w:t>
      </w:r>
    </w:p>
    <w:p w:rsidR="00670956" w:rsidRDefault="00670956" w:rsidP="003701DB">
      <w:pPr>
        <w:numPr>
          <w:ilvl w:val="0"/>
          <w:numId w:val="169"/>
        </w:numPr>
      </w:pPr>
      <w:r>
        <w:t>Upon receipt of a FST Setup Request frame, the responder shall respond with an FST Setup Response frame unless it has a pending FST Setup Request frame addressed to the initiator and the responder has a numerically larger MAC address than the initiator’s MAC address, in which case, the responder shall delete the received FST Setup Request.</w:t>
      </w:r>
      <w:r w:rsidR="005515A4">
        <w:t xml:space="preserve"> </w:t>
      </w:r>
    </w:p>
    <w:p w:rsidR="00670956" w:rsidRDefault="00670956" w:rsidP="003701DB">
      <w:pPr>
        <w:numPr>
          <w:ilvl w:val="0"/>
          <w:numId w:val="169"/>
        </w:numPr>
      </w:pPr>
      <w:r>
        <w:t xml:space="preserve">If after the reception of the acknowledgement to the initiator’s FST Setup Request frame the initiator receives an FST Setup Request frame from the responder, the initiator shall not respond with an FST Setup Response frame if its MAC address is numerically larger than the responder’s MAC address. Otherwise if its MAC address is numerically smaller than the responder’s MAC address it becomes the responder and respond with the FST Setup Response frame and shall not send the FST Setup Request frame during the current FST session transition. </w:t>
      </w:r>
    </w:p>
    <w:p w:rsidR="00670956" w:rsidRDefault="00670956" w:rsidP="003701DB">
      <w:pPr>
        <w:numPr>
          <w:ilvl w:val="0"/>
          <w:numId w:val="169"/>
        </w:numPr>
      </w:pPr>
      <w:r>
        <w:t>The initiator shall not move to the next state if at least one of the following conditions are met:</w:t>
      </w:r>
    </w:p>
    <w:p w:rsidR="00670956" w:rsidRDefault="00670956" w:rsidP="003701DB">
      <w:pPr>
        <w:numPr>
          <w:ilvl w:val="1"/>
          <w:numId w:val="169"/>
        </w:numPr>
      </w:pPr>
      <w:r>
        <w:t>The initiator does not transmit an ACK frame in response to the receipt of a FST Setup Response frame from the responder</w:t>
      </w:r>
    </w:p>
    <w:p w:rsidR="00670956" w:rsidRDefault="00670956" w:rsidP="003701DB">
      <w:pPr>
        <w:numPr>
          <w:ilvl w:val="1"/>
          <w:numId w:val="169"/>
        </w:numPr>
      </w:pPr>
      <w:r>
        <w:t xml:space="preserve">The value of the status code field in the received FST </w:t>
      </w:r>
      <w:r w:rsidR="00134DF4">
        <w:t xml:space="preserve">Setup </w:t>
      </w:r>
      <w:r>
        <w:t>Response frame from the responder is different than 0</w:t>
      </w:r>
    </w:p>
    <w:p w:rsidR="00670956" w:rsidRDefault="00670956" w:rsidP="003701DB">
      <w:pPr>
        <w:numPr>
          <w:ilvl w:val="1"/>
          <w:numId w:val="169"/>
        </w:numPr>
      </w:pPr>
      <w:r>
        <w:t xml:space="preserve">If a state specific exception in </w:t>
      </w:r>
      <w:r w:rsidR="00BD151C">
        <w:fldChar w:fldCharType="begin"/>
      </w:r>
      <w:r w:rsidR="00465365">
        <w:instrText xml:space="preserve"> REF _Ref250653469 \h </w:instrText>
      </w:r>
      <w:r w:rsidR="00BD151C">
        <w:fldChar w:fldCharType="separate"/>
      </w:r>
      <w:r w:rsidR="003E4210">
        <w:t xml:space="preserve">Table </w:t>
      </w:r>
      <w:r w:rsidR="003E4210">
        <w:rPr>
          <w:noProof/>
        </w:rPr>
        <w:t>61</w:t>
      </w:r>
      <w:r w:rsidR="00BD151C">
        <w:fldChar w:fldCharType="end"/>
      </w:r>
      <w:r w:rsidR="00465365">
        <w:t xml:space="preserve"> </w:t>
      </w:r>
      <w:r>
        <w:t>takes place.</w:t>
      </w:r>
    </w:p>
    <w:p w:rsidR="00670956" w:rsidRDefault="00670956" w:rsidP="003701DB">
      <w:pPr>
        <w:numPr>
          <w:ilvl w:val="0"/>
          <w:numId w:val="169"/>
        </w:numPr>
      </w:pPr>
      <w:r>
        <w:t>The initiator shall move to the next state if none of conditions 4(a), 4(b), and 4(c) is met.</w:t>
      </w:r>
    </w:p>
    <w:p w:rsidR="00670956" w:rsidRDefault="00670956" w:rsidP="003701DB">
      <w:pPr>
        <w:numPr>
          <w:ilvl w:val="0"/>
          <w:numId w:val="169"/>
        </w:numPr>
      </w:pPr>
      <w:r>
        <w:t>The responder shall not move to the next state if at least one of the following conditions are met:</w:t>
      </w:r>
    </w:p>
    <w:p w:rsidR="00670956" w:rsidRDefault="00670956" w:rsidP="003701DB">
      <w:pPr>
        <w:numPr>
          <w:ilvl w:val="1"/>
          <w:numId w:val="169"/>
        </w:numPr>
      </w:pPr>
      <w:r>
        <w:t>The responder does not receive the acknowledgement to its transmitted FST Setup Response frame</w:t>
      </w:r>
    </w:p>
    <w:p w:rsidR="00670956" w:rsidRDefault="00670956" w:rsidP="003701DB">
      <w:pPr>
        <w:numPr>
          <w:ilvl w:val="1"/>
          <w:numId w:val="169"/>
        </w:numPr>
      </w:pPr>
      <w:r>
        <w:t>The value of the status code field in the FST Setup Response frame it transmitted to the initiator was different than 0</w:t>
      </w:r>
    </w:p>
    <w:p w:rsidR="00670956" w:rsidRDefault="00670956" w:rsidP="003701DB">
      <w:pPr>
        <w:numPr>
          <w:ilvl w:val="1"/>
          <w:numId w:val="169"/>
        </w:numPr>
      </w:pPr>
      <w:r>
        <w:t>The value of the Setup and Operation subfields within the Session Transition element in the transmitted FST Setup Response frame results in a status different than any of the rows shown in</w:t>
      </w:r>
      <w:r w:rsidR="00D933A6">
        <w:t xml:space="preserve"> </w:t>
      </w:r>
      <w:r w:rsidR="00BD151C">
        <w:fldChar w:fldCharType="begin"/>
      </w:r>
      <w:r w:rsidR="00D933A6">
        <w:instrText xml:space="preserve"> REF _Ref251596910 \h </w:instrText>
      </w:r>
      <w:r w:rsidR="00BD151C">
        <w:fldChar w:fldCharType="separate"/>
      </w:r>
      <w:r w:rsidR="003E4210">
        <w:t xml:space="preserve">Table </w:t>
      </w:r>
      <w:r w:rsidR="003E4210">
        <w:rPr>
          <w:noProof/>
        </w:rPr>
        <w:t>62</w:t>
      </w:r>
      <w:r w:rsidR="00BD151C">
        <w:fldChar w:fldCharType="end"/>
      </w:r>
      <w:r>
        <w:t>, in which case the responder shall set the Status Code field with the transmitted FST Setup Response to 37</w:t>
      </w:r>
    </w:p>
    <w:p w:rsidR="00670956" w:rsidRDefault="00670956" w:rsidP="003701DB">
      <w:pPr>
        <w:numPr>
          <w:ilvl w:val="1"/>
          <w:numId w:val="169"/>
        </w:numPr>
      </w:pPr>
      <w:r>
        <w:t>The resulting status of the Operation subfield in the New Band field is 0.</w:t>
      </w:r>
    </w:p>
    <w:p w:rsidR="00670956" w:rsidRDefault="00670956" w:rsidP="003701DB">
      <w:pPr>
        <w:numPr>
          <w:ilvl w:val="0"/>
          <w:numId w:val="169"/>
        </w:numPr>
      </w:pPr>
      <w:r>
        <w:t>The responder shall move to the next state if none of conditions 6(a), 6(b), 6(c) and 6(d) is met.</w:t>
      </w:r>
    </w:p>
    <w:p w:rsidR="00215C57" w:rsidRDefault="00BF72EC" w:rsidP="005F4CF0">
      <w:r>
        <w:t xml:space="preserve"> </w:t>
      </w:r>
    </w:p>
    <w:p w:rsidR="00215C57" w:rsidRDefault="00804E5A" w:rsidP="00804E5A">
      <w:pPr>
        <w:pStyle w:val="Caption"/>
        <w:keepNext/>
      </w:pPr>
      <w:bookmarkStart w:id="2859" w:name="_Ref250653469"/>
      <w:bookmarkStart w:id="2860" w:name="_Toc250654445"/>
      <w:bookmarkStart w:id="2861" w:name="_Toc259717639"/>
      <w:r>
        <w:t xml:space="preserve">Table </w:t>
      </w:r>
      <w:r w:rsidR="00BD151C">
        <w:fldChar w:fldCharType="begin"/>
      </w:r>
      <w:r w:rsidR="00801316">
        <w:instrText xml:space="preserve"> SEQ Table \* ARABIC </w:instrText>
      </w:r>
      <w:r w:rsidR="00BD151C">
        <w:fldChar w:fldCharType="separate"/>
      </w:r>
      <w:r w:rsidR="003E4210">
        <w:rPr>
          <w:noProof/>
        </w:rPr>
        <w:t>61</w:t>
      </w:r>
      <w:r w:rsidR="00BD151C">
        <w:fldChar w:fldCharType="end"/>
      </w:r>
      <w:bookmarkEnd w:id="2859"/>
      <w:r w:rsidR="00970827">
        <w:t xml:space="preserve"> – </w:t>
      </w:r>
      <w:r w:rsidR="00215C57">
        <w:t>Exceptions for the initiator</w:t>
      </w:r>
      <w:bookmarkEnd w:id="2860"/>
      <w:bookmarkEnd w:id="28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2"/>
        <w:gridCol w:w="2611"/>
        <w:gridCol w:w="4681"/>
        <w:gridCol w:w="1412"/>
      </w:tblGrid>
      <w:tr w:rsidR="00C307F1" w:rsidTr="00377195">
        <w:tc>
          <w:tcPr>
            <w:tcW w:w="0" w:type="auto"/>
          </w:tcPr>
          <w:p w:rsidR="00C307F1" w:rsidRDefault="00C307F1" w:rsidP="00377195">
            <w:pPr>
              <w:jc w:val="center"/>
              <w:rPr>
                <w:b/>
              </w:rPr>
            </w:pPr>
            <w:r w:rsidRPr="00F6255E">
              <w:rPr>
                <w:b/>
              </w:rPr>
              <w:t>State</w:t>
            </w:r>
          </w:p>
        </w:tc>
        <w:tc>
          <w:tcPr>
            <w:tcW w:w="0" w:type="auto"/>
          </w:tcPr>
          <w:p w:rsidR="00C307F1" w:rsidRDefault="00C307F1" w:rsidP="00377195">
            <w:pPr>
              <w:jc w:val="center"/>
              <w:rPr>
                <w:b/>
              </w:rPr>
            </w:pPr>
            <w:r w:rsidRPr="00F6255E">
              <w:rPr>
                <w:b/>
              </w:rPr>
              <w:t>Condition</w:t>
            </w:r>
          </w:p>
        </w:tc>
        <w:tc>
          <w:tcPr>
            <w:tcW w:w="0" w:type="auto"/>
          </w:tcPr>
          <w:p w:rsidR="00C307F1" w:rsidRDefault="00C307F1" w:rsidP="00377195">
            <w:pPr>
              <w:jc w:val="center"/>
              <w:rPr>
                <w:b/>
              </w:rPr>
            </w:pPr>
            <w:r w:rsidRPr="00F6255E">
              <w:rPr>
                <w:b/>
              </w:rPr>
              <w:t>Meaning</w:t>
            </w:r>
          </w:p>
        </w:tc>
        <w:tc>
          <w:tcPr>
            <w:tcW w:w="0" w:type="auto"/>
          </w:tcPr>
          <w:p w:rsidR="00C307F1" w:rsidRDefault="00C307F1" w:rsidP="00377195">
            <w:pPr>
              <w:jc w:val="center"/>
              <w:rPr>
                <w:b/>
              </w:rPr>
            </w:pPr>
            <w:r w:rsidRPr="00F6255E">
              <w:rPr>
                <w:b/>
              </w:rPr>
              <w:t>Next State</w:t>
            </w:r>
          </w:p>
        </w:tc>
      </w:tr>
      <w:tr w:rsidR="00C307F1" w:rsidTr="00377195">
        <w:tc>
          <w:tcPr>
            <w:tcW w:w="0" w:type="auto"/>
          </w:tcPr>
          <w:p w:rsidR="00C307F1" w:rsidRDefault="00C307F1" w:rsidP="00377195">
            <w:r>
              <w:t>Initial</w:t>
            </w:r>
          </w:p>
        </w:tc>
        <w:tc>
          <w:tcPr>
            <w:tcW w:w="0" w:type="auto"/>
          </w:tcPr>
          <w:p w:rsidR="00C307F1" w:rsidRDefault="00C307F1" w:rsidP="00377195">
            <w:r>
              <w:t>FST setup response with Status Code =</w:t>
            </w:r>
            <w:r w:rsidR="006853F8">
              <w:t xml:space="preserve"> </w:t>
            </w:r>
            <w:r>
              <w:t>55</w:t>
            </w:r>
          </w:p>
        </w:tc>
        <w:tc>
          <w:tcPr>
            <w:tcW w:w="0" w:type="auto"/>
          </w:tcPr>
          <w:p w:rsidR="00C307F1" w:rsidRDefault="00C307F1" w:rsidP="00377195">
            <w:r>
              <w:t>Pending, no transmission of the FST setup request</w:t>
            </w:r>
            <w:r w:rsidR="005515A4">
              <w:t xml:space="preserve"> </w:t>
            </w:r>
          </w:p>
        </w:tc>
        <w:tc>
          <w:tcPr>
            <w:tcW w:w="0" w:type="auto"/>
          </w:tcPr>
          <w:p w:rsidR="00C307F1" w:rsidRDefault="00C307F1" w:rsidP="00377195">
            <w:r>
              <w:t>Initial</w:t>
            </w:r>
          </w:p>
        </w:tc>
      </w:tr>
      <w:tr w:rsidR="005F4CF0" w:rsidTr="00377195">
        <w:tc>
          <w:tcPr>
            <w:tcW w:w="0" w:type="auto"/>
          </w:tcPr>
          <w:p w:rsidR="005F4CF0" w:rsidRDefault="005F4CF0" w:rsidP="00377195">
            <w:r>
              <w:t>Initial</w:t>
            </w:r>
          </w:p>
        </w:tc>
        <w:tc>
          <w:tcPr>
            <w:tcW w:w="0" w:type="auto"/>
          </w:tcPr>
          <w:p w:rsidR="005F4CF0" w:rsidRDefault="005F4CF0" w:rsidP="00377195">
            <w:r>
              <w:t>FST setup response with Status Code = 57</w:t>
            </w:r>
          </w:p>
        </w:tc>
        <w:tc>
          <w:tcPr>
            <w:tcW w:w="0" w:type="auto"/>
          </w:tcPr>
          <w:p w:rsidR="005F4CF0" w:rsidRDefault="005F4CF0" w:rsidP="00377195">
            <w:r>
              <w:t xml:space="preserve">Pending, </w:t>
            </w:r>
            <w:r w:rsidRPr="005F4CF0">
              <w:t>Block Ack window at the responder has gaps</w:t>
            </w:r>
          </w:p>
        </w:tc>
        <w:tc>
          <w:tcPr>
            <w:tcW w:w="0" w:type="auto"/>
          </w:tcPr>
          <w:p w:rsidR="005F4CF0" w:rsidRDefault="005F4CF0" w:rsidP="00377195">
            <w:r>
              <w:t>Initial</w:t>
            </w:r>
          </w:p>
        </w:tc>
      </w:tr>
      <w:tr w:rsidR="00C307F1" w:rsidTr="00377195">
        <w:trPr>
          <w:cantSplit/>
        </w:trPr>
        <w:tc>
          <w:tcPr>
            <w:tcW w:w="0" w:type="auto"/>
          </w:tcPr>
          <w:p w:rsidR="00C307F1" w:rsidRDefault="00C307F1" w:rsidP="00377195">
            <w:r>
              <w:t>Initial</w:t>
            </w:r>
          </w:p>
        </w:tc>
        <w:tc>
          <w:tcPr>
            <w:tcW w:w="0" w:type="auto"/>
          </w:tcPr>
          <w:p w:rsidR="00C307F1" w:rsidRDefault="00C307F1" w:rsidP="00377195">
            <w:r>
              <w:t>FST setup response with Status Code =</w:t>
            </w:r>
            <w:r w:rsidR="006853F8">
              <w:t xml:space="preserve"> </w:t>
            </w:r>
            <w:r>
              <w:t>39</w:t>
            </w:r>
          </w:p>
        </w:tc>
        <w:tc>
          <w:tcPr>
            <w:tcW w:w="0" w:type="auto"/>
          </w:tcPr>
          <w:p w:rsidR="00C307F1" w:rsidRPr="00F41614" w:rsidRDefault="00C307F1" w:rsidP="00377195">
            <w:pPr>
              <w:autoSpaceDE w:val="0"/>
              <w:autoSpaceDN w:val="0"/>
              <w:adjustRightInd w:val="0"/>
              <w:rPr>
                <w:rFonts w:ascii="TimesNewRomanPSMT" w:hAnsi="TimesNewRomanPSMT" w:cs="TimesNewRomanPSMT"/>
              </w:rPr>
            </w:pPr>
            <w:r w:rsidRPr="00F41614">
              <w:rPr>
                <w:rFonts w:ascii="TimesNewRomanPSMT" w:hAnsi="TimesNewRomanPSMT" w:cs="TimesNewRomanPSMT"/>
              </w:rPr>
              <w:t>One or more parameters of the FST Setup</w:t>
            </w:r>
          </w:p>
          <w:p w:rsidR="00C307F1" w:rsidRDefault="00C307F1" w:rsidP="00377195">
            <w:r w:rsidRPr="00F41614">
              <w:rPr>
                <w:rFonts w:ascii="TimesNewRomanPSMT" w:hAnsi="TimesNewRomanPSMT" w:cs="TimesNewRomanPSMT"/>
              </w:rPr>
              <w:t>Request is invalid and the responder suggests alternative parameters</w:t>
            </w:r>
            <w:r>
              <w:rPr>
                <w:rFonts w:ascii="TimesNewRomanPSMT" w:hAnsi="TimesNewRomanPSMT" w:cs="TimesNewRomanPSMT"/>
              </w:rPr>
              <w:t xml:space="preserve">. </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lastRenderedPageBreak/>
              <w:t>Initial</w:t>
            </w:r>
          </w:p>
        </w:tc>
        <w:tc>
          <w:tcPr>
            <w:tcW w:w="0" w:type="auto"/>
          </w:tcPr>
          <w:p w:rsidR="00C307F1" w:rsidRDefault="00C307F1" w:rsidP="00377195">
            <w:r>
              <w:t>FST setup response with Status Code =</w:t>
            </w:r>
            <w:r w:rsidR="006853F8">
              <w:t xml:space="preserve"> </w:t>
            </w:r>
            <w:r>
              <w:t>37</w:t>
            </w:r>
          </w:p>
        </w:tc>
        <w:tc>
          <w:tcPr>
            <w:tcW w:w="0" w:type="auto"/>
          </w:tcPr>
          <w:p w:rsidR="00C307F1" w:rsidRDefault="00C307F1" w:rsidP="00377195">
            <w:r>
              <w:t xml:space="preserve">Responder rejects the request. One particular case is that values of the regulatory class and channel number fields within the </w:t>
            </w:r>
            <w:r w:rsidR="00493DD7">
              <w:t>Multi-band</w:t>
            </w:r>
            <w:r>
              <w:t xml:space="preserve"> element, if any, received in the FST Setup Request frame is different than the value of the corresponding fields within the </w:t>
            </w:r>
            <w:r w:rsidR="00493DD7">
              <w:t>Multi-band</w:t>
            </w:r>
            <w:r>
              <w:t xml:space="preserve"> element, if any, transmitted in the following FST Setup Response</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t>Initial</w:t>
            </w:r>
          </w:p>
        </w:tc>
        <w:tc>
          <w:tcPr>
            <w:tcW w:w="0" w:type="auto"/>
          </w:tcPr>
          <w:p w:rsidR="00C307F1" w:rsidRDefault="00C307F1" w:rsidP="006853F8">
            <w:r>
              <w:t xml:space="preserve">Resulting status is different from </w:t>
            </w:r>
            <w:r w:rsidR="006853F8">
              <w:t>shown</w:t>
            </w:r>
            <w:r>
              <w:t xml:space="preserve"> in </w:t>
            </w:r>
            <w:r w:rsidR="00BD151C">
              <w:fldChar w:fldCharType="begin"/>
            </w:r>
            <w:r w:rsidR="00DC5EC2">
              <w:instrText xml:space="preserve"> REF _Ref251596910 \h </w:instrText>
            </w:r>
            <w:r w:rsidR="00BD151C">
              <w:fldChar w:fldCharType="separate"/>
            </w:r>
            <w:r w:rsidR="003E4210">
              <w:t xml:space="preserve">Table </w:t>
            </w:r>
            <w:r w:rsidR="003E4210">
              <w:rPr>
                <w:noProof/>
              </w:rPr>
              <w:t>62</w:t>
            </w:r>
            <w:r w:rsidR="00BD151C">
              <w:fldChar w:fldCharType="end"/>
            </w:r>
          </w:p>
        </w:tc>
        <w:tc>
          <w:tcPr>
            <w:tcW w:w="0" w:type="auto"/>
          </w:tcPr>
          <w:p w:rsidR="00C307F1" w:rsidRDefault="00C307F1" w:rsidP="00377195">
            <w:r>
              <w:t xml:space="preserve">The responder is not able to complete the setup </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t>Initial</w:t>
            </w:r>
          </w:p>
        </w:tc>
        <w:tc>
          <w:tcPr>
            <w:tcW w:w="0" w:type="auto"/>
          </w:tcPr>
          <w:p w:rsidR="00C307F1" w:rsidRDefault="00C307F1" w:rsidP="00DC5EC2">
            <w:r>
              <w:t>Resulting status of the Opera</w:t>
            </w:r>
            <w:r w:rsidR="00B6275E">
              <w:t>tional field in the New Band fi</w:t>
            </w:r>
            <w:r>
              <w:t>e</w:t>
            </w:r>
            <w:r w:rsidR="00B6275E">
              <w:t>l</w:t>
            </w:r>
            <w:r>
              <w:t xml:space="preserve">d is 0 in </w:t>
            </w:r>
            <w:r w:rsidR="00BD151C">
              <w:fldChar w:fldCharType="begin"/>
            </w:r>
            <w:r w:rsidR="00DC5EC2">
              <w:instrText xml:space="preserve"> REF _Ref251596910 \h </w:instrText>
            </w:r>
            <w:r w:rsidR="00BD151C">
              <w:fldChar w:fldCharType="separate"/>
            </w:r>
            <w:r w:rsidR="003E4210">
              <w:t xml:space="preserve">Table </w:t>
            </w:r>
            <w:r w:rsidR="003E4210">
              <w:rPr>
                <w:noProof/>
              </w:rPr>
              <w:t>62</w:t>
            </w:r>
            <w:r w:rsidR="00BD151C">
              <w:fldChar w:fldCharType="end"/>
            </w:r>
          </w:p>
        </w:tc>
        <w:tc>
          <w:tcPr>
            <w:tcW w:w="0" w:type="auto"/>
          </w:tcPr>
          <w:p w:rsidR="00C307F1" w:rsidRDefault="00C307F1" w:rsidP="00377195">
            <w:r>
              <w:t>The operation in the New band is disabled</w:t>
            </w:r>
            <w:r w:rsidR="005515A4">
              <w:t xml:space="preserve"> </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t>Setup completion</w:t>
            </w:r>
          </w:p>
        </w:tc>
        <w:tc>
          <w:tcPr>
            <w:tcW w:w="0" w:type="auto"/>
          </w:tcPr>
          <w:p w:rsidR="00C307F1" w:rsidRDefault="00C307F1" w:rsidP="00377195">
            <w:r>
              <w:t>FST setup response with Status Code =</w:t>
            </w:r>
            <w:r w:rsidR="006853F8">
              <w:t xml:space="preserve"> </w:t>
            </w:r>
            <w:r>
              <w:t xml:space="preserve">0 and value of the LLT field within the FST Setup Request frame is greater than zero </w:t>
            </w:r>
          </w:p>
        </w:tc>
        <w:tc>
          <w:tcPr>
            <w:tcW w:w="0" w:type="auto"/>
          </w:tcPr>
          <w:p w:rsidR="00C307F1" w:rsidRDefault="00C307F1" w:rsidP="00377195">
            <w:r>
              <w:t>The STA is ready to switch to the New band if the link is lost in the Old band</w:t>
            </w:r>
          </w:p>
        </w:tc>
        <w:tc>
          <w:tcPr>
            <w:tcW w:w="0" w:type="auto"/>
          </w:tcPr>
          <w:p w:rsidR="00C307F1" w:rsidRPr="00D36A9E" w:rsidRDefault="00C307F1" w:rsidP="00377195">
            <w:r>
              <w:t>Setup Completion</w:t>
            </w:r>
          </w:p>
        </w:tc>
      </w:tr>
      <w:tr w:rsidR="00C307F1" w:rsidTr="00377195">
        <w:trPr>
          <w:cantSplit/>
        </w:trPr>
        <w:tc>
          <w:tcPr>
            <w:tcW w:w="0" w:type="auto"/>
          </w:tcPr>
          <w:p w:rsidR="00C307F1" w:rsidRDefault="00C307F1" w:rsidP="00377195">
            <w:r>
              <w:t>Setup Completion</w:t>
            </w:r>
          </w:p>
        </w:tc>
        <w:tc>
          <w:tcPr>
            <w:tcW w:w="0" w:type="auto"/>
          </w:tcPr>
          <w:p w:rsidR="00C307F1" w:rsidRDefault="00C307F1" w:rsidP="00377195">
            <w:r>
              <w:t>Transmission or reception of FST tear down frame</w:t>
            </w:r>
          </w:p>
        </w:tc>
        <w:tc>
          <w:tcPr>
            <w:tcW w:w="0" w:type="auto"/>
          </w:tcPr>
          <w:p w:rsidR="00C307F1" w:rsidRDefault="00C307F1" w:rsidP="00377195">
            <w:r>
              <w:t>Termination of FST session</w:t>
            </w:r>
          </w:p>
        </w:tc>
        <w:tc>
          <w:tcPr>
            <w:tcW w:w="0" w:type="auto"/>
          </w:tcPr>
          <w:p w:rsidR="00C307F1" w:rsidRDefault="00C307F1" w:rsidP="00377195">
            <w:r>
              <w:t>Initial</w:t>
            </w:r>
          </w:p>
        </w:tc>
      </w:tr>
    </w:tbl>
    <w:p w:rsidR="00215C57" w:rsidRDefault="00215C57" w:rsidP="00215C57"/>
    <w:p w:rsidR="003E223D" w:rsidRDefault="003E223D" w:rsidP="003E223D">
      <w:r>
        <w:t>If upon transition to the Setup Completion state the value of the LLT field within the last FST Setup Request frame received was zero, the initiator and responder shall immediately move to the Transition done state.</w:t>
      </w:r>
    </w:p>
    <w:p w:rsidR="003E223D" w:rsidRDefault="00BF72EC" w:rsidP="003E223D">
      <w:r>
        <w:t xml:space="preserve"> </w:t>
      </w:r>
    </w:p>
    <w:p w:rsidR="002C783A" w:rsidRDefault="006B727B" w:rsidP="002C783A">
      <w:r w:rsidRPr="006B727B">
        <w:t xml:space="preserve">If upon transition to the Setup Completion state the value of the LLT field within the last FST Setup Request frame received was greater than zero, the initiator and responder shall </w:t>
      </w:r>
      <w:r w:rsidR="002C783A">
        <w:t>proceed as follows</w:t>
      </w:r>
      <w:r w:rsidR="00F42941">
        <w:t>:</w:t>
      </w:r>
    </w:p>
    <w:p w:rsidR="002C783A" w:rsidRDefault="002C783A" w:rsidP="003701DB">
      <w:pPr>
        <w:pStyle w:val="ListParagraph"/>
        <w:numPr>
          <w:ilvl w:val="0"/>
          <w:numId w:val="64"/>
        </w:numPr>
      </w:pPr>
      <w:r>
        <w:t xml:space="preserve">If </w:t>
      </w:r>
      <w:r w:rsidR="008F6A36" w:rsidRPr="002C783A">
        <w:t xml:space="preserve">the </w:t>
      </w:r>
      <w:r>
        <w:t xml:space="preserve">last </w:t>
      </w:r>
      <w:r w:rsidR="008F6A36" w:rsidRPr="002C783A">
        <w:t xml:space="preserve">FST Setup </w:t>
      </w:r>
      <w:r>
        <w:t xml:space="preserve">Request or FST Setup </w:t>
      </w:r>
      <w:r w:rsidR="008F6A36" w:rsidRPr="002C783A">
        <w:t>Response frame</w:t>
      </w:r>
      <w:r>
        <w:t>s exchanged b</w:t>
      </w:r>
      <w:r w:rsidR="00F42941">
        <w:t>etween the initiator and respond</w:t>
      </w:r>
      <w:r>
        <w:t>er</w:t>
      </w:r>
      <w:r w:rsidR="008F6A36" w:rsidRPr="002C783A">
        <w:t xml:space="preserve"> included a Switching Stream element</w:t>
      </w:r>
      <w:r>
        <w:t>,</w:t>
      </w:r>
      <w:r w:rsidR="008F6A36" w:rsidRPr="002C783A">
        <w:t xml:space="preserve"> then </w:t>
      </w:r>
      <w:r>
        <w:t xml:space="preserve">all the streams within the Switching </w:t>
      </w:r>
      <w:r w:rsidR="008F6A36" w:rsidRPr="002C783A">
        <w:t xml:space="preserve">Streams </w:t>
      </w:r>
      <w:r>
        <w:t xml:space="preserve">element </w:t>
      </w:r>
      <w:r w:rsidR="008F6A36" w:rsidRPr="002C783A">
        <w:t xml:space="preserve">that have the </w:t>
      </w:r>
      <w:r>
        <w:rPr>
          <w:iCs/>
        </w:rPr>
        <w:t>LLT type</w:t>
      </w:r>
      <w:r w:rsidR="008F6A36" w:rsidRPr="002C783A">
        <w:t xml:space="preserve"> field set to </w:t>
      </w:r>
      <w:r>
        <w:t>one</w:t>
      </w:r>
      <w:r w:rsidR="008F6A36" w:rsidRPr="002C783A">
        <w:t xml:space="preserve"> shall be switched using </w:t>
      </w:r>
      <w:r>
        <w:t xml:space="preserve">the </w:t>
      </w:r>
      <w:r w:rsidR="008F6A36" w:rsidRPr="002C783A">
        <w:t xml:space="preserve">Stream-based Link Loss Countdown and </w:t>
      </w:r>
      <w:r>
        <w:t xml:space="preserve">all the streams within the Switching </w:t>
      </w:r>
      <w:r w:rsidRPr="002C783A">
        <w:t xml:space="preserve">Streams </w:t>
      </w:r>
      <w:r>
        <w:t xml:space="preserve">element </w:t>
      </w:r>
      <w:r w:rsidRPr="002C783A">
        <w:t xml:space="preserve">that have the </w:t>
      </w:r>
      <w:r>
        <w:rPr>
          <w:iCs/>
        </w:rPr>
        <w:t>LLT type</w:t>
      </w:r>
      <w:r w:rsidRPr="002C783A">
        <w:t xml:space="preserve"> field set to </w:t>
      </w:r>
      <w:r>
        <w:t>one zero shall be switched using the STA-based Link Loss Countdown.</w:t>
      </w:r>
    </w:p>
    <w:p w:rsidR="00F42941" w:rsidRDefault="00F42941" w:rsidP="003701DB">
      <w:pPr>
        <w:pStyle w:val="ListParagraph"/>
        <w:numPr>
          <w:ilvl w:val="0"/>
          <w:numId w:val="64"/>
        </w:numPr>
      </w:pPr>
      <w:r>
        <w:t xml:space="preserve">If </w:t>
      </w:r>
      <w:r w:rsidRPr="002C783A">
        <w:t xml:space="preserve">the </w:t>
      </w:r>
      <w:r>
        <w:t xml:space="preserve">neither the </w:t>
      </w:r>
      <w:r w:rsidRPr="002C783A">
        <w:t xml:space="preserve">FST Setup </w:t>
      </w:r>
      <w:r>
        <w:t xml:space="preserve">Request nor the FST Setup </w:t>
      </w:r>
      <w:r w:rsidRPr="002C783A">
        <w:t>Response frame</w:t>
      </w:r>
      <w:r>
        <w:t>s exchanged between the initiator and responder</w:t>
      </w:r>
      <w:r w:rsidRPr="002C783A">
        <w:t xml:space="preserve"> included a Switching Stream element</w:t>
      </w:r>
      <w:r>
        <w:t xml:space="preserve">, </w:t>
      </w:r>
      <w:r w:rsidR="008F6A36" w:rsidRPr="002C783A">
        <w:t xml:space="preserve">then the </w:t>
      </w:r>
      <w:r>
        <w:t>s</w:t>
      </w:r>
      <w:r w:rsidR="008F6A36" w:rsidRPr="002C783A">
        <w:t xml:space="preserve">treams </w:t>
      </w:r>
      <w:r>
        <w:t>s</w:t>
      </w:r>
      <w:r w:rsidR="008F6A36" w:rsidRPr="002C783A">
        <w:t xml:space="preserve">hall be switched using </w:t>
      </w:r>
      <w:r>
        <w:t>the STA-based Link Loss Countdown.</w:t>
      </w:r>
    </w:p>
    <w:p w:rsidR="00793A0E" w:rsidRPr="002C783A" w:rsidRDefault="008F6A36" w:rsidP="00F42941">
      <w:r w:rsidRPr="002C783A">
        <w:t xml:space="preserve">The FST transition for the STA, if STA-based, or the stream, if stream-based, from the Setup completion state to the Transition done state shall occur immediately after the corresponding Link Loss countdown timer transitions from one to zero within any of the initiator or responder of the FST session. </w:t>
      </w:r>
    </w:p>
    <w:p w:rsidR="003E223D" w:rsidRDefault="003E223D" w:rsidP="003E223D"/>
    <w:p w:rsidR="00F42941" w:rsidRDefault="00F42941" w:rsidP="00F42941">
      <w:r>
        <w:t>An initiator and responder shall perform the STA-based and stream-based Link Loss Countdown as follows:</w:t>
      </w:r>
    </w:p>
    <w:p w:rsidR="00F42941" w:rsidRDefault="00F42941" w:rsidP="003701DB">
      <w:pPr>
        <w:pStyle w:val="ListParagraph"/>
        <w:numPr>
          <w:ilvl w:val="0"/>
          <w:numId w:val="209"/>
        </w:numPr>
      </w:pPr>
      <w:r>
        <w:lastRenderedPageBreak/>
        <w:t>STA-based Link Loss Countdown</w:t>
      </w:r>
      <w:r w:rsidRPr="002C783A">
        <w:t>: both initiator and responder shall remain in the Setup completion state and start a Link Loss countdown timer with an initial value of LLT*32 usec</w:t>
      </w:r>
      <w:r>
        <w:t>.</w:t>
      </w:r>
      <w:r w:rsidRPr="002C783A">
        <w:t xml:space="preserve"> </w:t>
      </w:r>
      <w:r>
        <w:t>T</w:t>
      </w:r>
      <w:r w:rsidRPr="002C783A">
        <w:t>he Link Loss countdown is reloaded with the value of LLT*32 usec every time that a unicast frame is received from the peer STA of the FST session.</w:t>
      </w:r>
    </w:p>
    <w:p w:rsidR="00F42941" w:rsidRDefault="00F42941" w:rsidP="003701DB">
      <w:pPr>
        <w:pStyle w:val="ListParagraph"/>
        <w:numPr>
          <w:ilvl w:val="0"/>
          <w:numId w:val="209"/>
        </w:numPr>
      </w:pPr>
      <w:r w:rsidRPr="002C783A">
        <w:t>S</w:t>
      </w:r>
      <w:r>
        <w:t>tream-based Link Loss Countdown</w:t>
      </w:r>
      <w:r w:rsidRPr="002C783A">
        <w:t>: both the initiator and responder shall start a Link Loss countdown timer with an initial value of LLT*32 usec for each stream identified within the Switching Stream element</w:t>
      </w:r>
      <w:r w:rsidR="000602CA">
        <w:t>.</w:t>
      </w:r>
      <w:r w:rsidRPr="002C783A">
        <w:t xml:space="preserve"> </w:t>
      </w:r>
      <w:r w:rsidR="000602CA">
        <w:t>T</w:t>
      </w:r>
      <w:r w:rsidRPr="002C783A">
        <w:t>he Link Loss countdown for a stream is reloaded with the value of LLT*32 usec every time that a unicast frame for that stream is received from the peer STA of the FST session.</w:t>
      </w:r>
    </w:p>
    <w:p w:rsidR="00F42941" w:rsidRDefault="00F42941" w:rsidP="003E223D"/>
    <w:p w:rsidR="00215C57" w:rsidRDefault="00BD151C" w:rsidP="003E223D">
      <w:r>
        <w:fldChar w:fldCharType="begin"/>
      </w:r>
      <w:r w:rsidR="00D933A6">
        <w:instrText xml:space="preserve"> REF _Ref251596910 \h </w:instrText>
      </w:r>
      <w:r>
        <w:fldChar w:fldCharType="separate"/>
      </w:r>
      <w:r w:rsidR="003E4210">
        <w:t xml:space="preserve">Table </w:t>
      </w:r>
      <w:r w:rsidR="003E4210">
        <w:rPr>
          <w:noProof/>
        </w:rPr>
        <w:t>62</w:t>
      </w:r>
      <w:r>
        <w:fldChar w:fldCharType="end"/>
      </w:r>
      <w:r w:rsidR="00D933A6">
        <w:t xml:space="preserve"> </w:t>
      </w:r>
      <w:r w:rsidR="003E223D">
        <w:t>shows the FST session status at each state transition. When the value of a subfield in the FST Setup Request is different from the value of that same subfield in the following FST Setup Response, the resulting status shall be the logical AND of the value of the corresponding subfields in both the FST Setup Request and the FST Setup Response.</w:t>
      </w:r>
    </w:p>
    <w:p w:rsidR="00157B6D" w:rsidRDefault="00157B6D" w:rsidP="003E223D"/>
    <w:p w:rsidR="00215C57" w:rsidRDefault="00613F68" w:rsidP="00613F68">
      <w:pPr>
        <w:pStyle w:val="Caption"/>
      </w:pPr>
      <w:bookmarkStart w:id="2862" w:name="_Ref251596910"/>
      <w:bookmarkStart w:id="2863" w:name="_Toc250654446"/>
      <w:bookmarkStart w:id="2864" w:name="_Toc259717640"/>
      <w:r>
        <w:t xml:space="preserve">Table </w:t>
      </w:r>
      <w:r w:rsidR="00BD151C">
        <w:fldChar w:fldCharType="begin"/>
      </w:r>
      <w:r w:rsidR="00801316">
        <w:instrText xml:space="preserve"> SEQ Table \* ARABIC </w:instrText>
      </w:r>
      <w:r w:rsidR="00BD151C">
        <w:fldChar w:fldCharType="separate"/>
      </w:r>
      <w:r w:rsidR="003E4210">
        <w:rPr>
          <w:noProof/>
        </w:rPr>
        <w:t>62</w:t>
      </w:r>
      <w:r w:rsidR="00BD151C">
        <w:fldChar w:fldCharType="end"/>
      </w:r>
      <w:bookmarkEnd w:id="2862"/>
      <w:r w:rsidR="00970827">
        <w:t xml:space="preserve"> – </w:t>
      </w:r>
      <w:r w:rsidR="00215C57">
        <w:t>FST status at state transition</w:t>
      </w:r>
      <w:bookmarkEnd w:id="2863"/>
      <w:bookmarkEnd w:id="28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4"/>
        <w:gridCol w:w="1319"/>
        <w:gridCol w:w="1319"/>
        <w:gridCol w:w="1322"/>
        <w:gridCol w:w="1322"/>
        <w:gridCol w:w="1443"/>
        <w:gridCol w:w="1977"/>
      </w:tblGrid>
      <w:tr w:rsidR="00B043B7" w:rsidTr="00377195">
        <w:trPr>
          <w:tblHeader/>
          <w:jc w:val="center"/>
        </w:trPr>
        <w:tc>
          <w:tcPr>
            <w:tcW w:w="0" w:type="auto"/>
            <w:vMerge w:val="restart"/>
          </w:tcPr>
          <w:p w:rsidR="00B043B7" w:rsidRPr="00F577F4" w:rsidRDefault="00B043B7" w:rsidP="00377195">
            <w:pPr>
              <w:jc w:val="center"/>
              <w:rPr>
                <w:b/>
              </w:rPr>
            </w:pPr>
            <w:r w:rsidRPr="00F6255E">
              <w:rPr>
                <w:b/>
              </w:rPr>
              <w:t>From State</w:t>
            </w:r>
          </w:p>
        </w:tc>
        <w:tc>
          <w:tcPr>
            <w:tcW w:w="0" w:type="auto"/>
            <w:gridSpan w:val="2"/>
          </w:tcPr>
          <w:p w:rsidR="00B043B7" w:rsidRPr="00F577F4" w:rsidRDefault="00B043B7" w:rsidP="00377195">
            <w:pPr>
              <w:jc w:val="center"/>
              <w:rPr>
                <w:b/>
              </w:rPr>
            </w:pPr>
            <w:r w:rsidRPr="00F6255E">
              <w:rPr>
                <w:b/>
              </w:rPr>
              <w:t>Old band resulting status</w:t>
            </w:r>
          </w:p>
        </w:tc>
        <w:tc>
          <w:tcPr>
            <w:tcW w:w="0" w:type="auto"/>
            <w:gridSpan w:val="2"/>
          </w:tcPr>
          <w:p w:rsidR="00B043B7" w:rsidRPr="00F577F4" w:rsidRDefault="00B043B7" w:rsidP="00377195">
            <w:pPr>
              <w:jc w:val="center"/>
              <w:rPr>
                <w:b/>
              </w:rPr>
            </w:pPr>
            <w:r w:rsidRPr="00F6255E">
              <w:rPr>
                <w:b/>
              </w:rPr>
              <w:t>New band resulting status</w:t>
            </w:r>
          </w:p>
        </w:tc>
        <w:tc>
          <w:tcPr>
            <w:tcW w:w="0" w:type="auto"/>
            <w:vMerge w:val="restart"/>
          </w:tcPr>
          <w:p w:rsidR="00B043B7" w:rsidRPr="00F577F4" w:rsidRDefault="00B043B7" w:rsidP="00377195">
            <w:pPr>
              <w:jc w:val="center"/>
              <w:rPr>
                <w:b/>
              </w:rPr>
            </w:pPr>
            <w:r w:rsidRPr="00F6255E">
              <w:rPr>
                <w:b/>
              </w:rPr>
              <w:t>To State</w:t>
            </w:r>
          </w:p>
        </w:tc>
        <w:tc>
          <w:tcPr>
            <w:tcW w:w="0" w:type="auto"/>
            <w:vMerge w:val="restart"/>
          </w:tcPr>
          <w:p w:rsidR="00B043B7" w:rsidRPr="00F577F4" w:rsidRDefault="00B043B7" w:rsidP="00377195">
            <w:pPr>
              <w:jc w:val="center"/>
              <w:rPr>
                <w:b/>
              </w:rPr>
            </w:pPr>
            <w:r w:rsidRPr="00F6255E">
              <w:rPr>
                <w:b/>
              </w:rPr>
              <w:t>Definition</w:t>
            </w:r>
          </w:p>
        </w:tc>
      </w:tr>
      <w:tr w:rsidR="00B043B7" w:rsidTr="00377195">
        <w:trPr>
          <w:tblHeader/>
          <w:jc w:val="center"/>
        </w:trPr>
        <w:tc>
          <w:tcPr>
            <w:tcW w:w="0" w:type="auto"/>
            <w:vMerge/>
          </w:tcPr>
          <w:p w:rsidR="00B043B7" w:rsidRPr="00F577F4" w:rsidRDefault="00B043B7" w:rsidP="00377195">
            <w:pPr>
              <w:jc w:val="center"/>
              <w:rPr>
                <w:b/>
              </w:rPr>
            </w:pPr>
          </w:p>
        </w:tc>
        <w:tc>
          <w:tcPr>
            <w:tcW w:w="0" w:type="auto"/>
          </w:tcPr>
          <w:p w:rsidR="00B043B7" w:rsidRPr="00F577F4" w:rsidRDefault="00B043B7" w:rsidP="00377195">
            <w:pPr>
              <w:jc w:val="center"/>
              <w:rPr>
                <w:b/>
              </w:rPr>
            </w:pPr>
            <w:r w:rsidRPr="001B359E">
              <w:rPr>
                <w:b/>
              </w:rPr>
              <w:t>Setup</w:t>
            </w:r>
          </w:p>
        </w:tc>
        <w:tc>
          <w:tcPr>
            <w:tcW w:w="0" w:type="auto"/>
          </w:tcPr>
          <w:p w:rsidR="00B043B7" w:rsidRPr="00F577F4" w:rsidRDefault="00B043B7" w:rsidP="00377195">
            <w:pPr>
              <w:jc w:val="center"/>
              <w:rPr>
                <w:b/>
              </w:rPr>
            </w:pPr>
            <w:r w:rsidRPr="001B359E">
              <w:rPr>
                <w:b/>
              </w:rPr>
              <w:t>Operation</w:t>
            </w:r>
          </w:p>
        </w:tc>
        <w:tc>
          <w:tcPr>
            <w:tcW w:w="0" w:type="auto"/>
          </w:tcPr>
          <w:p w:rsidR="00B043B7" w:rsidRPr="00F577F4" w:rsidRDefault="00B043B7" w:rsidP="00377195">
            <w:pPr>
              <w:jc w:val="center"/>
              <w:rPr>
                <w:b/>
              </w:rPr>
            </w:pPr>
            <w:r w:rsidRPr="001B359E">
              <w:rPr>
                <w:b/>
              </w:rPr>
              <w:t>Setup</w:t>
            </w:r>
          </w:p>
        </w:tc>
        <w:tc>
          <w:tcPr>
            <w:tcW w:w="0" w:type="auto"/>
          </w:tcPr>
          <w:p w:rsidR="00B043B7" w:rsidRPr="00F577F4" w:rsidRDefault="00B043B7" w:rsidP="00377195">
            <w:pPr>
              <w:jc w:val="center"/>
              <w:rPr>
                <w:b/>
              </w:rPr>
            </w:pPr>
            <w:r w:rsidRPr="001B359E">
              <w:rPr>
                <w:b/>
              </w:rPr>
              <w:t>Operation</w:t>
            </w:r>
          </w:p>
        </w:tc>
        <w:tc>
          <w:tcPr>
            <w:tcW w:w="0" w:type="auto"/>
            <w:vMerge/>
          </w:tcPr>
          <w:p w:rsidR="00B043B7" w:rsidRPr="00F577F4" w:rsidRDefault="00B043B7" w:rsidP="00377195">
            <w:pPr>
              <w:jc w:val="center"/>
              <w:rPr>
                <w:b/>
              </w:rPr>
            </w:pPr>
          </w:p>
        </w:tc>
        <w:tc>
          <w:tcPr>
            <w:tcW w:w="0" w:type="auto"/>
            <w:vMerge/>
          </w:tcPr>
          <w:p w:rsidR="00B043B7" w:rsidRPr="00F577F4" w:rsidRDefault="00B043B7" w:rsidP="00377195">
            <w:pPr>
              <w:jc w:val="center"/>
              <w:rPr>
                <w:b/>
              </w:rPr>
            </w:pPr>
          </w:p>
        </w:tc>
      </w:tr>
      <w:tr w:rsidR="00B043B7" w:rsidTr="00377195">
        <w:trPr>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1</w:t>
            </w:r>
          </w:p>
        </w:tc>
        <w:tc>
          <w:tcPr>
            <w:tcW w:w="0" w:type="auto"/>
          </w:tcPr>
          <w:p w:rsidR="00B043B7" w:rsidRDefault="00B043B7" w:rsidP="00377195">
            <w:pPr>
              <w:jc w:val="center"/>
            </w:pPr>
            <w:r>
              <w:t>1</w:t>
            </w:r>
          </w:p>
        </w:tc>
        <w:tc>
          <w:tcPr>
            <w:tcW w:w="0" w:type="auto"/>
          </w:tcPr>
          <w:p w:rsidR="00B043B7" w:rsidRDefault="00B043B7" w:rsidP="00377195">
            <w:pPr>
              <w:jc w:val="center"/>
            </w:pPr>
            <w:r>
              <w:t>0</w:t>
            </w:r>
          </w:p>
        </w:tc>
        <w:tc>
          <w:tcPr>
            <w:tcW w:w="0" w:type="auto"/>
          </w:tcPr>
          <w:p w:rsidR="00B043B7" w:rsidRDefault="00B043B7" w:rsidP="00377195">
            <w:pPr>
              <w:jc w:val="center"/>
            </w:pPr>
            <w:r>
              <w:t>0</w:t>
            </w:r>
          </w:p>
        </w:tc>
        <w:tc>
          <w:tcPr>
            <w:tcW w:w="0" w:type="auto"/>
          </w:tcPr>
          <w:p w:rsidR="00B043B7" w:rsidRDefault="00B043B7" w:rsidP="00377195">
            <w:pPr>
              <w:jc w:val="center"/>
            </w:pPr>
            <w:r>
              <w:t>Initial</w:t>
            </w:r>
          </w:p>
        </w:tc>
        <w:tc>
          <w:tcPr>
            <w:tcW w:w="0" w:type="auto"/>
          </w:tcPr>
          <w:p w:rsidR="00B043B7" w:rsidRDefault="00B043B7" w:rsidP="00377195">
            <w:pPr>
              <w:jc w:val="center"/>
            </w:pPr>
            <w:r>
              <w:t xml:space="preserve">New Band setup and operation are disabled </w:t>
            </w:r>
          </w:p>
        </w:tc>
      </w:tr>
      <w:tr w:rsidR="00B043B7" w:rsidTr="00377195">
        <w:trPr>
          <w:cantSplit/>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1</w:t>
            </w:r>
          </w:p>
        </w:tc>
        <w:tc>
          <w:tcPr>
            <w:tcW w:w="0" w:type="auto"/>
          </w:tcPr>
          <w:p w:rsidR="00B043B7" w:rsidRDefault="00B043B7" w:rsidP="00377195">
            <w:pPr>
              <w:jc w:val="center"/>
            </w:pPr>
            <w:r>
              <w:t>1</w:t>
            </w:r>
          </w:p>
        </w:tc>
        <w:tc>
          <w:tcPr>
            <w:tcW w:w="0" w:type="auto"/>
          </w:tcPr>
          <w:p w:rsidR="00B043B7" w:rsidRDefault="00B043B7" w:rsidP="00377195">
            <w:pPr>
              <w:jc w:val="center"/>
            </w:pPr>
            <w:r>
              <w:t>1</w:t>
            </w:r>
          </w:p>
        </w:tc>
        <w:tc>
          <w:tcPr>
            <w:tcW w:w="0" w:type="auto"/>
          </w:tcPr>
          <w:p w:rsidR="00B043B7" w:rsidRDefault="00B043B7" w:rsidP="00377195">
            <w:pPr>
              <w:jc w:val="center"/>
            </w:pPr>
            <w:r>
              <w:t>0</w:t>
            </w:r>
          </w:p>
        </w:tc>
        <w:tc>
          <w:tcPr>
            <w:tcW w:w="0" w:type="auto"/>
          </w:tcPr>
          <w:p w:rsidR="00B043B7" w:rsidRDefault="00B043B7" w:rsidP="00377195">
            <w:pPr>
              <w:jc w:val="center"/>
            </w:pPr>
            <w:r>
              <w:t>Initial</w:t>
            </w:r>
          </w:p>
        </w:tc>
        <w:tc>
          <w:tcPr>
            <w:tcW w:w="0" w:type="auto"/>
          </w:tcPr>
          <w:p w:rsidR="00B043B7" w:rsidRDefault="00B043B7" w:rsidP="00377195">
            <w:pPr>
              <w:jc w:val="center"/>
            </w:pPr>
            <w:r>
              <w:t>New Band operation is disabled, the</w:t>
            </w:r>
            <w:r w:rsidR="005515A4">
              <w:t xml:space="preserve"> </w:t>
            </w:r>
            <w:r>
              <w:t>setup is kept alive</w:t>
            </w:r>
            <w:r w:rsidR="00BE1F31">
              <w:t xml:space="preserve"> </w:t>
            </w:r>
          </w:p>
        </w:tc>
      </w:tr>
      <w:tr w:rsidR="00B043B7" w:rsidTr="00377195">
        <w:trPr>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0</w:t>
            </w:r>
          </w:p>
        </w:tc>
        <w:tc>
          <w:tcPr>
            <w:tcW w:w="0" w:type="auto"/>
          </w:tcPr>
          <w:p w:rsidR="00B043B7" w:rsidRDefault="00B043B7" w:rsidP="00377195">
            <w:pPr>
              <w:jc w:val="center"/>
            </w:pPr>
            <w:r>
              <w:t>0</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Setup Completion</w:t>
            </w:r>
          </w:p>
        </w:tc>
        <w:tc>
          <w:tcPr>
            <w:tcW w:w="0" w:type="auto"/>
          </w:tcPr>
          <w:p w:rsidR="00B043B7" w:rsidRDefault="00B043B7" w:rsidP="00377195">
            <w:pPr>
              <w:jc w:val="center"/>
            </w:pPr>
            <w:r>
              <w:t>FST session is operational in New Band</w:t>
            </w:r>
          </w:p>
        </w:tc>
      </w:tr>
      <w:tr w:rsidR="00B043B7" w:rsidTr="00377195">
        <w:trPr>
          <w:cantSplit/>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Setup Completion</w:t>
            </w:r>
          </w:p>
        </w:tc>
        <w:tc>
          <w:tcPr>
            <w:tcW w:w="0" w:type="auto"/>
          </w:tcPr>
          <w:p w:rsidR="00B043B7" w:rsidRDefault="00B043B7" w:rsidP="00377195">
            <w:pPr>
              <w:jc w:val="center"/>
            </w:pPr>
            <w:r>
              <w:t xml:space="preserve">FST Session is operational in both bands </w:t>
            </w:r>
          </w:p>
        </w:tc>
      </w:tr>
      <w:tr w:rsidR="00B043B7" w:rsidTr="00377195">
        <w:trPr>
          <w:cantSplit/>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1</w:t>
            </w:r>
          </w:p>
        </w:tc>
        <w:tc>
          <w:tcPr>
            <w:tcW w:w="0" w:type="auto"/>
          </w:tcPr>
          <w:p w:rsidR="00B043B7" w:rsidRDefault="00B043B7" w:rsidP="00377195">
            <w:pPr>
              <w:jc w:val="center"/>
            </w:pPr>
            <w:r>
              <w:t>0</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Setup Completion</w:t>
            </w:r>
          </w:p>
        </w:tc>
        <w:tc>
          <w:tcPr>
            <w:tcW w:w="0" w:type="auto"/>
          </w:tcPr>
          <w:p w:rsidR="00B043B7" w:rsidRDefault="00B043B7" w:rsidP="00377195">
            <w:pPr>
              <w:jc w:val="center"/>
            </w:pPr>
            <w:r>
              <w:t>FST Session is operational in New Band; FST session</w:t>
            </w:r>
            <w:r w:rsidR="005515A4">
              <w:t xml:space="preserve"> </w:t>
            </w:r>
            <w:r>
              <w:t xml:space="preserve">in Old Band is kept alive </w:t>
            </w:r>
          </w:p>
        </w:tc>
      </w:tr>
      <w:tr w:rsidR="00B043B7" w:rsidTr="00377195">
        <w:trPr>
          <w:cantSplit/>
          <w:jc w:val="center"/>
        </w:trPr>
        <w:tc>
          <w:tcPr>
            <w:tcW w:w="0" w:type="auto"/>
          </w:tcPr>
          <w:p w:rsidR="00B043B7" w:rsidRDefault="00B043B7" w:rsidP="00377195">
            <w:pPr>
              <w:jc w:val="center"/>
            </w:pPr>
            <w:r>
              <w:t>Setup Completion</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r>
              <w:t>Unchanged</w:t>
            </w:r>
          </w:p>
        </w:tc>
        <w:tc>
          <w:tcPr>
            <w:tcW w:w="0" w:type="auto"/>
          </w:tcPr>
          <w:p w:rsidR="00B043B7" w:rsidRDefault="00B043B7" w:rsidP="00377195">
            <w:pPr>
              <w:jc w:val="center"/>
            </w:pPr>
            <w:r>
              <w:t>Transition done</w:t>
            </w:r>
          </w:p>
        </w:tc>
        <w:tc>
          <w:tcPr>
            <w:tcW w:w="0" w:type="auto"/>
          </w:tcPr>
          <w:p w:rsidR="00B043B7" w:rsidRDefault="00B043B7" w:rsidP="00377195">
            <w:pPr>
              <w:jc w:val="center"/>
            </w:pPr>
            <w:r>
              <w:t>No status changes</w:t>
            </w:r>
            <w:r w:rsidR="005515A4">
              <w:t xml:space="preserve"> </w:t>
            </w:r>
          </w:p>
        </w:tc>
      </w:tr>
      <w:tr w:rsidR="00B043B7" w:rsidTr="00377195">
        <w:trPr>
          <w:cantSplit/>
          <w:jc w:val="center"/>
        </w:trPr>
        <w:tc>
          <w:tcPr>
            <w:tcW w:w="0" w:type="auto"/>
          </w:tcPr>
          <w:p w:rsidR="00B043B7" w:rsidRDefault="00B043B7" w:rsidP="00377195">
            <w:pPr>
              <w:jc w:val="center"/>
            </w:pPr>
            <w:r>
              <w:t>Transition done</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r>
              <w:t>Unchanged</w:t>
            </w:r>
          </w:p>
        </w:tc>
        <w:tc>
          <w:tcPr>
            <w:tcW w:w="0" w:type="auto"/>
          </w:tcPr>
          <w:p w:rsidR="00B043B7" w:rsidRDefault="00B043B7" w:rsidP="00377195">
            <w:pPr>
              <w:jc w:val="center"/>
            </w:pPr>
            <w:r>
              <w:t>Transition confirmed</w:t>
            </w:r>
          </w:p>
        </w:tc>
        <w:tc>
          <w:tcPr>
            <w:tcW w:w="0" w:type="auto"/>
          </w:tcPr>
          <w:p w:rsidR="00B043B7" w:rsidRDefault="00B043B7" w:rsidP="00377195">
            <w:pPr>
              <w:jc w:val="center"/>
            </w:pPr>
            <w:r>
              <w:t>No status changes</w:t>
            </w:r>
            <w:r w:rsidR="005515A4">
              <w:t xml:space="preserve"> </w:t>
            </w:r>
          </w:p>
        </w:tc>
      </w:tr>
    </w:tbl>
    <w:p w:rsidR="00215C57" w:rsidRDefault="00215C57" w:rsidP="00215C57"/>
    <w:p w:rsidR="00377195" w:rsidRDefault="00377195" w:rsidP="00377195">
      <w:r>
        <w:t xml:space="preserve">Upon transition from the Transition done state to the Transition confirmed state, the initiator and responder shall perform the following procedure within the channel number of the regulatory class and band ID specified in the </w:t>
      </w:r>
      <w:r w:rsidR="00493DD7">
        <w:t>Multi-band</w:t>
      </w:r>
      <w:r>
        <w:t xml:space="preserve"> element negotiated during the FST session setup:</w:t>
      </w:r>
    </w:p>
    <w:p w:rsidR="00377195" w:rsidRDefault="00377195" w:rsidP="00377195"/>
    <w:p w:rsidR="00377195" w:rsidRDefault="00377195" w:rsidP="003701DB">
      <w:pPr>
        <w:numPr>
          <w:ilvl w:val="0"/>
          <w:numId w:val="170"/>
        </w:numPr>
      </w:pPr>
      <w:r>
        <w:lastRenderedPageBreak/>
        <w:t xml:space="preserve">The State transition is controlled by the State Transition Timer. Each STA of the FST session has its own STT. The initiator and responder shall move to the Initial state when the STT moves from one to zero. </w:t>
      </w:r>
    </w:p>
    <w:p w:rsidR="00377195" w:rsidRDefault="00377195" w:rsidP="00377195">
      <w:pPr>
        <w:ind w:left="360"/>
      </w:pPr>
    </w:p>
    <w:p w:rsidR="00377195" w:rsidRDefault="00377195" w:rsidP="00377195">
      <w:pPr>
        <w:ind w:left="720"/>
      </w:pPr>
      <w:r>
        <w:t>The initiator shall set the STT to the value of the FSTSessionTimeOut field at successful transmission of an FST Ack Request frame or at transmission of any unicast A-MPDU, MPDU or MMPDU to responder. The initiator shall set the STT to zero at the transmission of an ACK sent in response to a received FST Ack Response from the responder or at reception of an ACK frame received in response to a frame sent to the responder.</w:t>
      </w:r>
    </w:p>
    <w:p w:rsidR="00377195" w:rsidRDefault="00377195" w:rsidP="00377195">
      <w:pPr>
        <w:ind w:left="720"/>
      </w:pPr>
    </w:p>
    <w:p w:rsidR="00377195" w:rsidRDefault="00377195" w:rsidP="00377195">
      <w:pPr>
        <w:ind w:left="720"/>
      </w:pPr>
      <w:r>
        <w:t>The responder shall set the STT to FSTSessionTimeOut at transmission of an FST Ack Response frame or at transmission of any other unicast A-MPDU, MPDU or MMPDU to the initiator. The responder shall set the STT to zero at reception of an ACK frame received in response to a transmitted FST Ack Response frame or at the reception of any unicast frame sent by the initiator. The responder shall transmit an FST Ack Response frame to the initiator no later than FSTSessionTimeOut after the transmission of an ACK frame sent in response to a received FST Ack Request from the initiator.</w:t>
      </w:r>
    </w:p>
    <w:p w:rsidR="00377195" w:rsidRDefault="00377195" w:rsidP="00377195">
      <w:pPr>
        <w:ind w:left="720"/>
      </w:pPr>
    </w:p>
    <w:p w:rsidR="00377195" w:rsidRDefault="00377195" w:rsidP="003701DB">
      <w:pPr>
        <w:numPr>
          <w:ilvl w:val="0"/>
          <w:numId w:val="170"/>
        </w:numPr>
      </w:pPr>
      <w:r>
        <w:t>The initiator shall send an FST Ack Request frame or may send any other unicast A-MPDU, MPDU or MMPDU to the responder.</w:t>
      </w:r>
    </w:p>
    <w:p w:rsidR="00377195" w:rsidRDefault="00377195" w:rsidP="003701DB">
      <w:pPr>
        <w:numPr>
          <w:ilvl w:val="0"/>
          <w:numId w:val="170"/>
        </w:numPr>
      </w:pPr>
      <w:r>
        <w:t>Upon receipt of an FST Ack Request frame, the responder shall respond to the initiator with an FST Ack Response frame.</w:t>
      </w:r>
      <w:r w:rsidR="005515A4">
        <w:t xml:space="preserve"> </w:t>
      </w:r>
    </w:p>
    <w:p w:rsidR="00377195" w:rsidRDefault="00377195" w:rsidP="003701DB">
      <w:pPr>
        <w:numPr>
          <w:ilvl w:val="0"/>
          <w:numId w:val="170"/>
        </w:numPr>
      </w:pPr>
      <w:r>
        <w:t xml:space="preserve">The initiator shall move to the Transition Confirmed state upon transmission of an ACK frame sent in response to a FST Ack Response frame or any other unicast frame received from the responder or when it receives an ACK frame from the responder to any non FST Ack Request frame the initiator transmitted to the responder. </w:t>
      </w:r>
    </w:p>
    <w:p w:rsidR="00377195" w:rsidRDefault="00377195" w:rsidP="003701DB">
      <w:pPr>
        <w:numPr>
          <w:ilvl w:val="0"/>
          <w:numId w:val="170"/>
        </w:numPr>
      </w:pPr>
      <w:r>
        <w:t>The responder shall move to the Transition Confirmed state when it receives an ACK frame in response to a FST Ack Response frame or any other unicast frame sent to the initiator or upon transmission of an ACK frame sent in response to any non FST Ack Request unicast frame.</w:t>
      </w:r>
    </w:p>
    <w:p w:rsidR="00377195" w:rsidRDefault="00377195" w:rsidP="00377195">
      <w:pPr>
        <w:ind w:left="360"/>
      </w:pPr>
    </w:p>
    <w:p w:rsidR="00377195" w:rsidRPr="00520FFB" w:rsidRDefault="00377195" w:rsidP="00377195">
      <w:pPr>
        <w:rPr>
          <w:rFonts w:eastAsia="MS Mincho"/>
        </w:rPr>
      </w:pPr>
      <w:r>
        <w:t xml:space="preserve">If either the initiator or the responder perform in the role of PCP or AP as indicated through the STA Role field within the </w:t>
      </w:r>
      <w:r w:rsidR="00493DD7">
        <w:t>Multi-band</w:t>
      </w:r>
      <w:r>
        <w:t xml:space="preserve"> element for that STA and the STAs use the transparent mode for FST session transfer, the STA performing in the role of PCP or AP should setup a FST session with all STAs in the BSS and transfer all its sessions to the new band before it performs FST to the new band.</w:t>
      </w:r>
    </w:p>
    <w:p w:rsidR="00377195" w:rsidRDefault="00377195" w:rsidP="00377195"/>
    <w:p w:rsidR="00377195" w:rsidRDefault="00377195" w:rsidP="00377195">
      <w:r>
        <w:t xml:space="preserve">Upon entering the Setup Completion state </w:t>
      </w:r>
      <w:r w:rsidRPr="00F25020">
        <w:t>and preceding the actual FST</w:t>
      </w:r>
      <w:r>
        <w:t xml:space="preserve"> session transfer</w:t>
      </w:r>
      <w:r w:rsidRPr="00F25020">
        <w:t xml:space="preserve">, </w:t>
      </w:r>
      <w:r>
        <w:t>the initiator and responder</w:t>
      </w:r>
      <w:r w:rsidRPr="00F25020">
        <w:t xml:space="preserve"> </w:t>
      </w:r>
      <w:r>
        <w:t>that is performing a full FST session transfer may</w:t>
      </w:r>
      <w:r w:rsidRPr="00F25020">
        <w:t xml:space="preserve"> transmit a </w:t>
      </w:r>
      <w:r>
        <w:t xml:space="preserve">FST Setup Response </w:t>
      </w:r>
      <w:r w:rsidRPr="00F25020">
        <w:t xml:space="preserve">frame </w:t>
      </w:r>
      <w:r>
        <w:t xml:space="preserve">in the old band with a status code field set to 56 and with the RA field set to the broadcast address as </w:t>
      </w:r>
      <w:r w:rsidRPr="00F25020">
        <w:t xml:space="preserve">to notify other STAs in the BSS of this </w:t>
      </w:r>
      <w:r>
        <w:t>STA</w:t>
      </w:r>
      <w:r w:rsidRPr="00F25020">
        <w:t xml:space="preserve">’s forthcoming </w:t>
      </w:r>
      <w:r>
        <w:t xml:space="preserve">full </w:t>
      </w:r>
      <w:r w:rsidRPr="00F25020">
        <w:t>FST</w:t>
      </w:r>
      <w:r>
        <w:t xml:space="preserve"> session transfer.</w:t>
      </w:r>
    </w:p>
    <w:p w:rsidR="00377195" w:rsidRPr="00F25020" w:rsidRDefault="00377195" w:rsidP="00377195"/>
    <w:p w:rsidR="002A5390" w:rsidRDefault="00377195" w:rsidP="00377195">
      <w:pPr>
        <w:autoSpaceDE w:val="0"/>
        <w:autoSpaceDN w:val="0"/>
        <w:adjustRightInd w:val="0"/>
        <w:outlineLvl w:val="0"/>
      </w:pPr>
      <w:r w:rsidRPr="00F25020">
        <w:t xml:space="preserve">Following </w:t>
      </w:r>
      <w:r>
        <w:t xml:space="preserve">the successful </w:t>
      </w:r>
      <w:r w:rsidRPr="00F25020">
        <w:t>FST</w:t>
      </w:r>
      <w:r>
        <w:t xml:space="preserve"> transition to a new band</w:t>
      </w:r>
      <w:r w:rsidRPr="00F25020">
        <w:t>,</w:t>
      </w:r>
      <w:r>
        <w:t xml:space="preserve"> the STA of the FST session </w:t>
      </w:r>
      <w:r w:rsidRPr="00F25020">
        <w:t xml:space="preserve">shall follow the medium access rules applicable </w:t>
      </w:r>
      <w:r>
        <w:t>o</w:t>
      </w:r>
      <w:r w:rsidRPr="00F25020">
        <w:t xml:space="preserve">n the new </w:t>
      </w:r>
      <w:r>
        <w:t>band</w:t>
      </w:r>
      <w:r w:rsidRPr="00F25020">
        <w:t>.</w:t>
      </w:r>
    </w:p>
    <w:p w:rsidR="00811B6B" w:rsidRDefault="00811B6B" w:rsidP="00377195">
      <w:pPr>
        <w:autoSpaceDE w:val="0"/>
        <w:autoSpaceDN w:val="0"/>
        <w:adjustRightInd w:val="0"/>
        <w:outlineLvl w:val="0"/>
      </w:pPr>
    </w:p>
    <w:p w:rsidR="00811B6B" w:rsidRPr="009448FC" w:rsidRDefault="00811B6B" w:rsidP="003701DB">
      <w:pPr>
        <w:pStyle w:val="Heading4"/>
        <w:numPr>
          <w:ilvl w:val="3"/>
          <w:numId w:val="185"/>
        </w:numPr>
      </w:pPr>
      <w:bookmarkStart w:id="2865" w:name="_Toc259717266"/>
      <w:r>
        <w:t>FST TS switching</w:t>
      </w:r>
      <w:bookmarkEnd w:id="2865"/>
      <w:r>
        <w:t xml:space="preserve"> </w:t>
      </w:r>
    </w:p>
    <w:p w:rsidR="00811B6B" w:rsidRDefault="00811B6B" w:rsidP="00811B6B">
      <w:r>
        <w:t>If a STA transmitting an FST Setup Request or an FST Setup Response does not intend to switch all its streams, then the STA sha</w:t>
      </w:r>
      <w:r w:rsidR="00D757E8">
        <w:t>ll include the Switching Stream</w:t>
      </w:r>
      <w:r>
        <w:t xml:space="preserve"> element in the transmitted frame to indicate which streams are requested to be transferred to the other band</w:t>
      </w:r>
      <w:r w:rsidRPr="00EF21B7">
        <w:t xml:space="preserve">. The indication shall cover </w:t>
      </w:r>
      <w:r w:rsidRPr="00EF21B7">
        <w:lastRenderedPageBreak/>
        <w:t>QoS and non-QoS streams</w:t>
      </w:r>
      <w:r>
        <w:t xml:space="preserve">. If the FST Setup Request frame includes a Switching Stream element, the FST Setup Response frame should include a Switching Stream </w:t>
      </w:r>
      <w:r w:rsidR="00D757E8">
        <w:t>e</w:t>
      </w:r>
      <w:r>
        <w:t xml:space="preserve">lement. If the FST Setup Request frame does not include a Switching Stream element, the FST Setup Response frame may include a Switching Stream element. If the STA transmitting the Switching Stream element has not setup a stream in the band indicated in the New Band ID field within this element, it shall set the </w:t>
      </w:r>
      <w:r>
        <w:rPr>
          <w:rFonts w:eastAsia="SimSun"/>
          <w:szCs w:val="22"/>
        </w:rPr>
        <w:t xml:space="preserve">Stream ID in New Band Valid </w:t>
      </w:r>
      <w:r w:rsidR="00134DF4">
        <w:rPr>
          <w:rFonts w:eastAsia="SimSun"/>
          <w:szCs w:val="22"/>
        </w:rPr>
        <w:t xml:space="preserve">field </w:t>
      </w:r>
      <w:r>
        <w:rPr>
          <w:rFonts w:eastAsia="SimSun"/>
          <w:szCs w:val="22"/>
        </w:rPr>
        <w:t>to zero.</w:t>
      </w:r>
      <w:r>
        <w:t xml:space="preserve"> A STA may setup a stream in any band by </w:t>
      </w:r>
      <w:r w:rsidR="00134DF4">
        <w:t xml:space="preserve">transmitting </w:t>
      </w:r>
      <w:r>
        <w:t xml:space="preserve">ADDBA Request or ADDTS Request frames </w:t>
      </w:r>
      <w:r w:rsidR="00134DF4">
        <w:t>that include</w:t>
      </w:r>
      <w:r>
        <w:t xml:space="preserve"> the Multi-band element. </w:t>
      </w:r>
    </w:p>
    <w:p w:rsidR="00811B6B" w:rsidRDefault="00811B6B" w:rsidP="00811B6B"/>
    <w:p w:rsidR="00811B6B" w:rsidRDefault="00811B6B" w:rsidP="00811B6B">
      <w:r>
        <w:t xml:space="preserve">If a STA transmits an ADDTS Request frame to another STA with which it has an FST session established and the ADDTS Request frame is transmitted in a band or channel different than the band or channel to which the ADDTS Request is intended to apply to, the ADDTS Request frame shall include the </w:t>
      </w:r>
      <w:r w:rsidR="00493DD7">
        <w:t>Multi-band</w:t>
      </w:r>
      <w:r>
        <w:t xml:space="preserve"> element with the band ID, regulatory class and channel number fields set to indicate to which channel the ADDTS Request frame applies to. In addition if these STAs use the non-transparent mode for FST session transfer, the STA transmitting the ADDTS Request frame sets the STA MAC Address Present field to one and the STA MAC Address field to the MAC address that the STA uses in the band and channel number that is indicated in the </w:t>
      </w:r>
      <w:r w:rsidR="00493DD7">
        <w:t>Multi-band</w:t>
      </w:r>
      <w:r>
        <w:t xml:space="preserve"> element contained in the ADDTS Request frame. Similar to the ADDTS Request frame, the </w:t>
      </w:r>
      <w:r w:rsidR="00493DD7">
        <w:t>Multi-band</w:t>
      </w:r>
      <w:r>
        <w:t xml:space="preserve"> element shall be included in the ADDBA Request, ADDTS Response, ADDBA Response, DELTS, and DELBA frames when these frames are transmitted in a band or channel different than the band or channel to which they are intended to apply to.</w:t>
      </w:r>
    </w:p>
    <w:p w:rsidR="00811B6B" w:rsidRDefault="00811B6B" w:rsidP="00811B6B"/>
    <w:p w:rsidR="00811B6B" w:rsidRPr="00365B4D" w:rsidRDefault="00811B6B" w:rsidP="00811B6B">
      <w:pPr>
        <w:rPr>
          <w:rFonts w:eastAsia="MS Mincho"/>
        </w:rPr>
      </w:pPr>
      <w:r>
        <w:t>If any of the ADDTS variants is used to switch the TS, the PTP TSPEC or the Extended mmWave TSPEC shall be used when the TS is being established to operate in UB and the Basic TSPEC shall be used when the TS is being established to operate in LB and HB irrespective of the band and channel used to communicate the ADDTS frames and the Extended mmWave ADDTS frames.</w:t>
      </w:r>
    </w:p>
    <w:p w:rsidR="00811B6B" w:rsidRDefault="00811B6B" w:rsidP="00811B6B"/>
    <w:p w:rsidR="00811B6B" w:rsidRDefault="00811B6B" w:rsidP="00811B6B">
      <w:r>
        <w:t>The rules defined below apply when the ADDTS frames or the Extended mmWave ADDTS frames are used to switch TS. When the ADDTS frames and the Extended ADDTS frames are used then the ADDTS requester and the ADDTS responder provide the functions defined for the ADDBA Originator and the ADDBA Recipient respectively.</w:t>
      </w:r>
    </w:p>
    <w:p w:rsidR="00811B6B" w:rsidRDefault="00811B6B" w:rsidP="00811B6B"/>
    <w:p w:rsidR="00811B6B" w:rsidRDefault="00811B6B" w:rsidP="00811B6B">
      <w:r>
        <w:t xml:space="preserve">If the ADDBA Recipient includes the Switching Stream element in any of the FST Setup Request or FST Setup Response frames and if the </w:t>
      </w:r>
      <w:r>
        <w:rPr>
          <w:iCs/>
        </w:rPr>
        <w:t xml:space="preserve">Stream ID in New Band Valid field within the Switching Stream element is set to zero, </w:t>
      </w:r>
      <w:r>
        <w:t xml:space="preserve">the ADDBA Originator should issue the DELBA frame to reject the BA agreements indicated in the </w:t>
      </w:r>
      <w:r>
        <w:rPr>
          <w:rFonts w:eastAsia="SimSun"/>
          <w:szCs w:val="22"/>
        </w:rPr>
        <w:t>Stream ID in Old Band field</w:t>
      </w:r>
      <w:r>
        <w:t>. If the Originator intends to establish new BA agreements in the band indicated in the Multi-band element sent by the Recipient and with the Recipient MAC address indicated in the Multi-band element sent by the Recipient, the Originator shall transmit an ADDBA Request frame addressed to the Recipient.</w:t>
      </w:r>
      <w:r w:rsidR="005515A4">
        <w:t xml:space="preserve"> </w:t>
      </w:r>
    </w:p>
    <w:p w:rsidR="00811B6B" w:rsidRDefault="00811B6B" w:rsidP="00811B6B"/>
    <w:p w:rsidR="00811B6B" w:rsidRDefault="00811B6B" w:rsidP="00811B6B">
      <w:r>
        <w:t>The Originator may include the Multi-band element and the Ethernet type TCLAS element in the ADDBA request frame.</w:t>
      </w:r>
      <w:r w:rsidR="005515A4">
        <w:t xml:space="preserve"> </w:t>
      </w:r>
      <w:r>
        <w:t xml:space="preserve">If the MAC Addresses of the Originator and Recipient to be used in the New Band are different from the MAC addresses used in the Old Band then the ADDBA frame sent in the old band to establish a Block Ack in the New Band shall include the </w:t>
      </w:r>
      <w:r w:rsidR="00493DD7">
        <w:t>Multi-band</w:t>
      </w:r>
      <w:r>
        <w:t xml:space="preserve"> and the TCLAS elements. The resulting BA agreement if established applies to the band and channel identified in the </w:t>
      </w:r>
      <w:r w:rsidR="00493DD7">
        <w:t>Multi-band</w:t>
      </w:r>
      <w:r>
        <w:t xml:space="preserve"> element included in the ADBBA frame. The BA is identified by the TID/TSID and MAC addresses of the Originator and the Recipient used in the band and channel indicated in the </w:t>
      </w:r>
      <w:r w:rsidR="00493DD7">
        <w:t>Multi-band</w:t>
      </w:r>
      <w:r>
        <w:t xml:space="preserve"> element included in the ADDBA frames.</w:t>
      </w:r>
    </w:p>
    <w:p w:rsidR="00811B6B" w:rsidRDefault="00811B6B" w:rsidP="00811B6B"/>
    <w:p w:rsidR="00811B6B" w:rsidRDefault="00811B6B" w:rsidP="00811B6B">
      <w:r>
        <w:lastRenderedPageBreak/>
        <w:t xml:space="preserve">The ADDBA request frame may be issued in the old band and channel, the corresponding ADDBA response may be transmitted in the band and channel indicated in the </w:t>
      </w:r>
      <w:r w:rsidR="00493DD7">
        <w:t>Multi-band</w:t>
      </w:r>
      <w:r>
        <w:t xml:space="preserve"> element of the ADDBA request frame. </w:t>
      </w:r>
    </w:p>
    <w:p w:rsidR="00811B6B" w:rsidRDefault="00811B6B" w:rsidP="00811B6B"/>
    <w:p w:rsidR="00811B6B" w:rsidRDefault="00811B6B" w:rsidP="00811B6B">
      <w:r>
        <w:t>The following rules for the multi</w:t>
      </w:r>
      <w:r w:rsidR="00E27B79">
        <w:t>-</w:t>
      </w:r>
      <w:r>
        <w:t>band BA establishment shall apply:</w:t>
      </w:r>
    </w:p>
    <w:p w:rsidR="00811B6B" w:rsidRDefault="00811B6B" w:rsidP="00811B6B"/>
    <w:p w:rsidR="00811B6B" w:rsidRDefault="00811B6B" w:rsidP="003701DB">
      <w:pPr>
        <w:numPr>
          <w:ilvl w:val="0"/>
          <w:numId w:val="186"/>
        </w:numPr>
      </w:pPr>
      <w:r>
        <w:t xml:space="preserve">If the TA and/or the RA fields of the ADDBA request frame are different from the Originator MAC address and/or the Recipient MAC address, respectively, used in the channel and band where the BA agreement should operate, then the Originator shall set the Source Address field and the Destination Address field of the classifier to, respectively, the Originator MAC Address and to the Recipient MAC address to be used in the band and channel indicated in the </w:t>
      </w:r>
      <w:r w:rsidR="00493DD7">
        <w:t>Multi-band</w:t>
      </w:r>
      <w:r>
        <w:t xml:space="preserve"> element included in the ADDBA request frame.</w:t>
      </w:r>
    </w:p>
    <w:p w:rsidR="00811B6B" w:rsidRDefault="00811B6B" w:rsidP="003701DB">
      <w:pPr>
        <w:numPr>
          <w:ilvl w:val="0"/>
          <w:numId w:val="186"/>
        </w:numPr>
      </w:pPr>
      <w:r>
        <w:t>If the TA and RA</w:t>
      </w:r>
      <w:r w:rsidR="005515A4">
        <w:t xml:space="preserve"> </w:t>
      </w:r>
      <w:r>
        <w:t xml:space="preserve">are equal to the Originator MAC address and the Recipient MAC address, respectively, then the </w:t>
      </w:r>
      <w:r w:rsidR="00493DD7">
        <w:t>Multi-band</w:t>
      </w:r>
      <w:r>
        <w:t xml:space="preserve"> element, if any, included in the ADDBA request frame shall indicate the band and channel the established BA operates. The TCLAS element shall not be included in this ADDBA request frame. </w:t>
      </w:r>
    </w:p>
    <w:p w:rsidR="00811B6B" w:rsidRDefault="00811B6B" w:rsidP="003701DB">
      <w:pPr>
        <w:numPr>
          <w:ilvl w:val="0"/>
          <w:numId w:val="186"/>
        </w:numPr>
      </w:pPr>
      <w:r>
        <w:t xml:space="preserve">The </w:t>
      </w:r>
      <w:r w:rsidR="00493DD7">
        <w:t>Multi-band</w:t>
      </w:r>
      <w:r>
        <w:t xml:space="preserve"> element should not be included in the ADDBA request frame if in the case (2) the ADDBA request frame is issued in the same band and channel the BA shall operate.</w:t>
      </w:r>
    </w:p>
    <w:p w:rsidR="00811B6B" w:rsidRDefault="00811B6B" w:rsidP="003701DB">
      <w:pPr>
        <w:numPr>
          <w:ilvl w:val="0"/>
          <w:numId w:val="186"/>
        </w:numPr>
      </w:pPr>
      <w:r>
        <w:t xml:space="preserve">If the TA and/or the RA fields of the ADDBA response frame are different from the Recipient MAC address and/or the Originator MAC address, respectively, to be used in the channel and band where the BA agreement should operate, then the Recipient shall set the Source Address field and the Destination address field of the classifier to, respectively, the Recipient MAC Address and to the Originator MAC address to be used in the band and channel indicated in the </w:t>
      </w:r>
      <w:r w:rsidR="00493DD7">
        <w:t>Multi-band</w:t>
      </w:r>
      <w:r>
        <w:t xml:space="preserve"> element included in the ADDBA response frame. The indicated band and channel shall be equal to the band and channel indicated in the </w:t>
      </w:r>
      <w:r w:rsidR="00493DD7">
        <w:t>Multi-band</w:t>
      </w:r>
      <w:r>
        <w:t xml:space="preserve"> element of the ADDBA request frame.</w:t>
      </w:r>
    </w:p>
    <w:p w:rsidR="00811B6B" w:rsidRDefault="00811B6B" w:rsidP="003701DB">
      <w:pPr>
        <w:numPr>
          <w:ilvl w:val="0"/>
          <w:numId w:val="186"/>
        </w:numPr>
      </w:pPr>
      <w:r>
        <w:t xml:space="preserve">If the TA and RA fields are equal to the Recipient MAC address and the Originator MAC address, respectively, then the </w:t>
      </w:r>
      <w:r w:rsidR="00493DD7">
        <w:t>Multi-band</w:t>
      </w:r>
      <w:r>
        <w:t xml:space="preserve"> element, if any, included in the ADDBA response frame shall indicate the band and channel the established BA operates. The indicated band and channel shall be equal to the band and channel indicated in the </w:t>
      </w:r>
      <w:r w:rsidR="00493DD7">
        <w:t>Multi-band</w:t>
      </w:r>
      <w:r>
        <w:t xml:space="preserve"> element of the ADDBA request frame. The TCLAS element shall not be included in the ADDBA response frame.</w:t>
      </w:r>
    </w:p>
    <w:p w:rsidR="00811B6B" w:rsidRPr="00854F52" w:rsidRDefault="00811B6B" w:rsidP="003701DB">
      <w:pPr>
        <w:numPr>
          <w:ilvl w:val="0"/>
          <w:numId w:val="186"/>
        </w:numPr>
      </w:pPr>
      <w:r>
        <w:t xml:space="preserve">The </w:t>
      </w:r>
      <w:r w:rsidR="00493DD7">
        <w:t>Multi-band</w:t>
      </w:r>
      <w:r>
        <w:t xml:space="preserve"> element should not be included in the ADDBA response frame if in the</w:t>
      </w:r>
      <w:r w:rsidR="005515A4">
        <w:t xml:space="preserve"> </w:t>
      </w:r>
      <w:r>
        <w:t>case (5) the ADDBA response frame is issued in the same band and channel the BA, if established, shall operate.</w:t>
      </w:r>
    </w:p>
    <w:p w:rsidR="0024656A" w:rsidRPr="0024656A" w:rsidRDefault="0064343A" w:rsidP="003701DB">
      <w:pPr>
        <w:pStyle w:val="Heading3"/>
        <w:numPr>
          <w:ilvl w:val="2"/>
          <w:numId w:val="185"/>
        </w:numPr>
      </w:pPr>
      <w:bookmarkStart w:id="2866" w:name="_Toc259717267"/>
      <w:r>
        <w:t>FST Teard</w:t>
      </w:r>
      <w:r w:rsidR="0024656A">
        <w:t>own</w:t>
      </w:r>
      <w:bookmarkEnd w:id="2866"/>
    </w:p>
    <w:p w:rsidR="0024656A" w:rsidRDefault="0024656A" w:rsidP="00E5796C"/>
    <w:p w:rsidR="00E0652B" w:rsidRDefault="00F150D1" w:rsidP="00E5796C">
      <w:r w:rsidRPr="00F331E6">
        <w:t>A</w:t>
      </w:r>
      <w:r>
        <w:t>t the Setup completion state a</w:t>
      </w:r>
      <w:r w:rsidRPr="00F331E6">
        <w:t xml:space="preserve"> STA </w:t>
      </w:r>
      <w:r>
        <w:t>may</w:t>
      </w:r>
      <w:r w:rsidRPr="00F331E6">
        <w:t xml:space="preserve"> transmit a</w:t>
      </w:r>
      <w:r>
        <w:t>n</w:t>
      </w:r>
      <w:r w:rsidRPr="00F331E6">
        <w:t xml:space="preserve"> FST Tear-down frame to </w:t>
      </w:r>
      <w:r>
        <w:t>its peer</w:t>
      </w:r>
      <w:r w:rsidRPr="00F331E6">
        <w:t xml:space="preserve"> STA </w:t>
      </w:r>
      <w:r>
        <w:t xml:space="preserve">of the FST session </w:t>
      </w:r>
      <w:r w:rsidRPr="00F331E6">
        <w:t>in order to tear-down a</w:t>
      </w:r>
      <w:r>
        <w:t>n</w:t>
      </w:r>
      <w:r w:rsidRPr="00F331E6">
        <w:t xml:space="preserve"> FST session that was previously setup using the FST Setup Request/Response frame exchange.</w:t>
      </w:r>
      <w:r>
        <w:t xml:space="preserve"> Upon transmission or reception of a FST tear down frame, the initiator and responder move to the Initial state (</w:t>
      </w:r>
      <w:r w:rsidR="00BD151C">
        <w:fldChar w:fldCharType="begin"/>
      </w:r>
      <w:r w:rsidR="00E5796C">
        <w:instrText xml:space="preserve"> REF _Ref250654000 \r \h </w:instrText>
      </w:r>
      <w:r w:rsidR="00BD151C">
        <w:fldChar w:fldCharType="separate"/>
      </w:r>
      <w:r w:rsidR="003E4210">
        <w:t>11.34.1</w:t>
      </w:r>
      <w:r w:rsidR="00BD151C">
        <w:fldChar w:fldCharType="end"/>
      </w:r>
      <w:r>
        <w:t xml:space="preserve">). </w:t>
      </w:r>
    </w:p>
    <w:p w:rsidR="00F150D1" w:rsidRPr="00F331E6" w:rsidRDefault="00F150D1" w:rsidP="00E5796C"/>
    <w:p w:rsidR="005F7464" w:rsidRPr="00DB7490" w:rsidRDefault="0078378C" w:rsidP="003701DB">
      <w:pPr>
        <w:pStyle w:val="Heading2"/>
        <w:numPr>
          <w:ilvl w:val="1"/>
          <w:numId w:val="105"/>
        </w:numPr>
        <w:rPr>
          <w:u w:val="none"/>
        </w:rPr>
      </w:pPr>
      <w:r w:rsidRPr="00DB7490">
        <w:rPr>
          <w:u w:val="none"/>
        </w:rPr>
        <w:t xml:space="preserve"> </w:t>
      </w:r>
      <w:bookmarkStart w:id="2867" w:name="_Toc259717268"/>
      <w:r w:rsidR="005F7464" w:rsidRPr="00DB7490">
        <w:rPr>
          <w:u w:val="none"/>
        </w:rPr>
        <w:t xml:space="preserve">mmWave coexistence with other </w:t>
      </w:r>
      <w:r w:rsidR="009A1285">
        <w:rPr>
          <w:u w:val="none"/>
        </w:rPr>
        <w:t xml:space="preserve">mmWave </w:t>
      </w:r>
      <w:r w:rsidR="005F7464" w:rsidRPr="00DB7490">
        <w:rPr>
          <w:u w:val="none"/>
        </w:rPr>
        <w:t>technologies</w:t>
      </w:r>
      <w:bookmarkEnd w:id="2867"/>
    </w:p>
    <w:p w:rsidR="005F7464" w:rsidRPr="006551F4" w:rsidRDefault="00BF72EC" w:rsidP="006551F4">
      <w:r>
        <w:t xml:space="preserve"> </w:t>
      </w:r>
    </w:p>
    <w:p w:rsidR="009A1285" w:rsidRDefault="009A1285" w:rsidP="009A1285">
      <w:r>
        <w:t>This subclause describes the features available in this specification to improve coexistence with other mmWave technologies, including IEEE 802.15.3c.</w:t>
      </w:r>
    </w:p>
    <w:p w:rsidR="009A1285" w:rsidRDefault="009A1285" w:rsidP="009A1285"/>
    <w:p w:rsidR="009A1285" w:rsidRPr="00DB7490" w:rsidRDefault="009A1285" w:rsidP="009A1285">
      <w:r w:rsidRPr="00DB7490">
        <w:t xml:space="preserve">The same common channelization as what is defined in </w:t>
      </w:r>
      <w:r>
        <w:t>other mmWave standards and specifications</w:t>
      </w:r>
      <w:r w:rsidRPr="00DB7490">
        <w:t xml:space="preserve"> is adopted (</w:t>
      </w:r>
      <w:r w:rsidR="00BD151C" w:rsidRPr="009448FC">
        <w:fldChar w:fldCharType="begin"/>
      </w:r>
      <w:r w:rsidRPr="00DB7490">
        <w:instrText xml:space="preserve"> REF _Ref244150177 \r \h </w:instrText>
      </w:r>
      <w:r w:rsidR="00BD151C" w:rsidRPr="009448FC">
        <w:fldChar w:fldCharType="separate"/>
      </w:r>
      <w:r w:rsidR="003E4210">
        <w:t>21.3.1</w:t>
      </w:r>
      <w:r w:rsidR="00BD151C" w:rsidRPr="009448FC">
        <w:fldChar w:fldCharType="end"/>
      </w:r>
      <w:r w:rsidRPr="00DB7490">
        <w:t>). In regulatory domains where 2 or more channels are allowed to be used, an mSTA should support at least 2 channels and the channels are used as per regulatory constraints.</w:t>
      </w:r>
    </w:p>
    <w:p w:rsidR="009A1285" w:rsidRDefault="009A1285" w:rsidP="009A1285"/>
    <w:p w:rsidR="009A1285" w:rsidRDefault="009A1285" w:rsidP="009A1285">
      <w:r>
        <w:t xml:space="preserve">An </w:t>
      </w:r>
      <w:r w:rsidRPr="009448FC">
        <w:t>AP should not start a</w:t>
      </w:r>
      <w:r>
        <w:t>n infrastructure</w:t>
      </w:r>
      <w:r w:rsidRPr="009448FC">
        <w:t xml:space="preserve"> BSS on a channel </w:t>
      </w:r>
      <w:r>
        <w:t xml:space="preserve">within the UB </w:t>
      </w:r>
      <w:r w:rsidRPr="009448FC">
        <w:t xml:space="preserve">where the signal level is at or above aMmWaveDetectionThres or upon detecting a valid </w:t>
      </w:r>
      <w:r>
        <w:t xml:space="preserve">IEEE </w:t>
      </w:r>
      <w:r w:rsidRPr="009448FC">
        <w:t>802.15.3c CMS preamble at a receive level equal to or greater than -60 dBm.</w:t>
      </w:r>
    </w:p>
    <w:p w:rsidR="009A1285" w:rsidRDefault="009A1285" w:rsidP="009A1285"/>
    <w:p w:rsidR="009A1285" w:rsidRDefault="009A1285" w:rsidP="009A1285">
      <w:r>
        <w:t>If an mSTA is capable of performing directional channel measurements (</w:t>
      </w:r>
      <w:r w:rsidR="00BD151C">
        <w:fldChar w:fldCharType="begin"/>
      </w:r>
      <w:r>
        <w:instrText xml:space="preserve"> REF _Ref246664737 \r \h </w:instrText>
      </w:r>
      <w:r w:rsidR="00BD151C">
        <w:fldChar w:fldCharType="separate"/>
      </w:r>
      <w:r w:rsidR="003E4210">
        <w:t>11.33</w:t>
      </w:r>
      <w:r w:rsidR="00BD151C">
        <w:fldChar w:fldCharType="end"/>
      </w:r>
      <w:r>
        <w:t>) to detect the transmission from a device of a mmWave technology on a channel, it can report the results of the measurements to the mSTA’s PCP/AP.</w:t>
      </w:r>
    </w:p>
    <w:p w:rsidR="009A1285" w:rsidRDefault="009A1285" w:rsidP="009A1285"/>
    <w:p w:rsidR="009A1285" w:rsidRDefault="009A1285" w:rsidP="009A1285">
      <w:r>
        <w:t>If an mSTA detects a transmission from a device of a mmWave technology or if the PCP/AP receives a report from an mSTA on the transmission from a device of a mmWave technology, they may use mechanisms such as the following to mitigate interference with that device:</w:t>
      </w:r>
    </w:p>
    <w:p w:rsidR="009A1285" w:rsidRDefault="009A1285" w:rsidP="003701DB">
      <w:pPr>
        <w:numPr>
          <w:ilvl w:val="0"/>
          <w:numId w:val="208"/>
        </w:numPr>
      </w:pPr>
      <w:r>
        <w:t>Change operating channel (</w:t>
      </w:r>
      <w:r w:rsidR="00BD151C">
        <w:fldChar w:fldCharType="begin"/>
      </w:r>
      <w:r>
        <w:instrText xml:space="preserve"> REF _Ref253494723 \r \h </w:instrText>
      </w:r>
      <w:r w:rsidR="00BD151C">
        <w:fldChar w:fldCharType="separate"/>
      </w:r>
      <w:r w:rsidR="003E4210">
        <w:t>11.9</w:t>
      </w:r>
      <w:r w:rsidR="00BD151C">
        <w:fldChar w:fldCharType="end"/>
      </w:r>
      <w:r>
        <w:t>)</w:t>
      </w:r>
    </w:p>
    <w:p w:rsidR="009A1285" w:rsidRDefault="009A1285" w:rsidP="003701DB">
      <w:pPr>
        <w:numPr>
          <w:ilvl w:val="0"/>
          <w:numId w:val="208"/>
        </w:numPr>
      </w:pPr>
      <w:r>
        <w:t>Beamforming (</w:t>
      </w:r>
      <w:r w:rsidR="00BD151C">
        <w:fldChar w:fldCharType="begin"/>
      </w:r>
      <w:r>
        <w:instrText xml:space="preserve"> REF _Ref253494742 \r \h </w:instrText>
      </w:r>
      <w:r w:rsidR="00BD151C">
        <w:fldChar w:fldCharType="separate"/>
      </w:r>
      <w:r w:rsidR="003E4210">
        <w:t>9.25</w:t>
      </w:r>
      <w:r w:rsidR="00BD151C">
        <w:fldChar w:fldCharType="end"/>
      </w:r>
      <w:r>
        <w:t>)</w:t>
      </w:r>
    </w:p>
    <w:p w:rsidR="009A1285" w:rsidRDefault="009A1285" w:rsidP="003701DB">
      <w:pPr>
        <w:numPr>
          <w:ilvl w:val="0"/>
          <w:numId w:val="208"/>
        </w:numPr>
      </w:pPr>
      <w:r>
        <w:t>Reduce transmit power (</w:t>
      </w:r>
      <w:r w:rsidR="00BD151C">
        <w:fldChar w:fldCharType="begin"/>
      </w:r>
      <w:r>
        <w:instrText xml:space="preserve"> REF _Ref253494727 \r \h </w:instrText>
      </w:r>
      <w:r w:rsidR="00BD151C">
        <w:fldChar w:fldCharType="separate"/>
      </w:r>
      <w:r w:rsidR="003E4210">
        <w:t>11.8</w:t>
      </w:r>
      <w:r w:rsidR="00BD151C">
        <w:fldChar w:fldCharType="end"/>
      </w:r>
      <w:r>
        <w:t>)</w:t>
      </w:r>
    </w:p>
    <w:p w:rsidR="009A1285" w:rsidRDefault="009A1285" w:rsidP="003701DB">
      <w:pPr>
        <w:numPr>
          <w:ilvl w:val="0"/>
          <w:numId w:val="208"/>
        </w:numPr>
      </w:pPr>
      <w:r>
        <w:t>Move the BT (</w:t>
      </w:r>
      <w:r w:rsidR="00BD151C">
        <w:fldChar w:fldCharType="begin"/>
      </w:r>
      <w:r>
        <w:instrText xml:space="preserve"> REF _Ref243815965 \r \h </w:instrText>
      </w:r>
      <w:r w:rsidR="00BD151C">
        <w:fldChar w:fldCharType="separate"/>
      </w:r>
      <w:r w:rsidR="003E4210">
        <w:t>11.32.1</w:t>
      </w:r>
      <w:r w:rsidR="00BD151C">
        <w:fldChar w:fldCharType="end"/>
      </w:r>
      <w:r>
        <w:t>), and thus the BI, in case of an AP or PCP</w:t>
      </w:r>
    </w:p>
    <w:p w:rsidR="009A1285" w:rsidRDefault="009A1285" w:rsidP="003701DB">
      <w:pPr>
        <w:numPr>
          <w:ilvl w:val="0"/>
          <w:numId w:val="208"/>
        </w:numPr>
      </w:pPr>
      <w:r>
        <w:t>Change the schedule of SPs and CBPs in the BI (</w:t>
      </w:r>
      <w:r w:rsidR="00BD151C">
        <w:fldChar w:fldCharType="begin"/>
      </w:r>
      <w:r>
        <w:instrText xml:space="preserve"> REF _Ref244244225 \r \h </w:instrText>
      </w:r>
      <w:r w:rsidR="00BD151C">
        <w:fldChar w:fldCharType="separate"/>
      </w:r>
      <w:r w:rsidR="003E4210">
        <w:t>7.3.2.95</w:t>
      </w:r>
      <w:r w:rsidR="00BD151C">
        <w:fldChar w:fldCharType="end"/>
      </w:r>
      <w:r>
        <w:t>) in case of an AP or PCP</w:t>
      </w:r>
    </w:p>
    <w:p w:rsidR="009A1285" w:rsidRDefault="009A1285" w:rsidP="003701DB">
      <w:pPr>
        <w:numPr>
          <w:ilvl w:val="0"/>
          <w:numId w:val="208"/>
        </w:numPr>
      </w:pPr>
      <w:r>
        <w:t>Defer transmission for a later time</w:t>
      </w:r>
    </w:p>
    <w:p w:rsidR="009A1285" w:rsidRDefault="009A1285" w:rsidP="003701DB">
      <w:pPr>
        <w:numPr>
          <w:ilvl w:val="0"/>
          <w:numId w:val="208"/>
        </w:numPr>
      </w:pPr>
      <w:r>
        <w:t>For periods of time in the BI where the mSTA experiences poor channel quality, the mSTA can use the TCONST field within the Extended mmWave TSPEC element (</w:t>
      </w:r>
      <w:r w:rsidR="00BD151C">
        <w:fldChar w:fldCharType="begin"/>
      </w:r>
      <w:r>
        <w:instrText xml:space="preserve"> REF _Ref244234051 \r \h </w:instrText>
      </w:r>
      <w:r w:rsidR="00BD151C">
        <w:fldChar w:fldCharType="separate"/>
      </w:r>
      <w:r w:rsidR="003E4210">
        <w:t>7.3.2.97</w:t>
      </w:r>
      <w:r w:rsidR="00BD151C">
        <w:fldChar w:fldCharType="end"/>
      </w:r>
      <w:r>
        <w:t>) to request its PCP/AP to avoid scheduling an SP for that mSTA during those periods of time in the BI</w:t>
      </w:r>
    </w:p>
    <w:p w:rsidR="00B339CB" w:rsidRPr="00DB7490" w:rsidRDefault="00B339CB" w:rsidP="008B2DB6"/>
    <w:p w:rsidR="00391F67" w:rsidRPr="00DB7490" w:rsidRDefault="00365F22" w:rsidP="003701DB">
      <w:pPr>
        <w:pStyle w:val="Heading2"/>
        <w:numPr>
          <w:ilvl w:val="1"/>
          <w:numId w:val="164"/>
        </w:numPr>
        <w:rPr>
          <w:rFonts w:ascii="Times New Roman" w:hAnsi="Times New Roman"/>
          <w:color w:val="000000"/>
          <w:u w:val="none"/>
        </w:rPr>
      </w:pPr>
      <w:bookmarkStart w:id="2868" w:name="_Ref243201411"/>
      <w:bookmarkStart w:id="2869" w:name="_Toc259717269"/>
      <w:r w:rsidRPr="00DB7490">
        <w:rPr>
          <w:rFonts w:ascii="Times New Roman" w:hAnsi="Times New Roman"/>
          <w:u w:val="none"/>
        </w:rPr>
        <w:t>mmWave MAC sublayer parameters</w:t>
      </w:r>
      <w:bookmarkEnd w:id="2868"/>
      <w:bookmarkEnd w:id="2869"/>
    </w:p>
    <w:p w:rsidR="00391F67" w:rsidRPr="00DB7490" w:rsidRDefault="00391F67" w:rsidP="00E52BF0"/>
    <w:p w:rsidR="00391F67" w:rsidRPr="009448FC" w:rsidRDefault="00391F67" w:rsidP="00621B6E">
      <w:pPr>
        <w:jc w:val="both"/>
      </w:pPr>
      <w:r w:rsidRPr="00DB7490">
        <w:t>The parameters that define some of the MAC characteristics a</w:t>
      </w:r>
      <w:r w:rsidR="00060658" w:rsidRPr="00DB7490">
        <w:t>re given in</w:t>
      </w:r>
      <w:r w:rsidR="00DC5EC2">
        <w:t xml:space="preserve"> </w:t>
      </w:r>
      <w:r w:rsidR="00BD151C">
        <w:fldChar w:fldCharType="begin"/>
      </w:r>
      <w:r w:rsidR="00DC5EC2">
        <w:instrText xml:space="preserve"> REF _Ref251599208 \h </w:instrText>
      </w:r>
      <w:r w:rsidR="00BD151C">
        <w:fldChar w:fldCharType="separate"/>
      </w:r>
      <w:r w:rsidR="003E4210">
        <w:t xml:space="preserve">Table </w:t>
      </w:r>
      <w:r w:rsidR="003E4210">
        <w:rPr>
          <w:noProof/>
        </w:rPr>
        <w:t>63</w:t>
      </w:r>
      <w:r w:rsidR="00BD151C">
        <w:fldChar w:fldCharType="end"/>
      </w:r>
      <w:r w:rsidR="00060658" w:rsidRPr="009448FC">
        <w:t>.</w:t>
      </w:r>
    </w:p>
    <w:p w:rsidR="00365F22" w:rsidRPr="009448FC" w:rsidRDefault="00365F22" w:rsidP="00365F22"/>
    <w:p w:rsidR="00391F67" w:rsidRPr="00066F65" w:rsidRDefault="001240B4" w:rsidP="001240B4">
      <w:pPr>
        <w:pStyle w:val="Caption"/>
      </w:pPr>
      <w:bookmarkStart w:id="2870" w:name="_Ref251599208"/>
      <w:bookmarkStart w:id="2871" w:name="_Ref244091988"/>
      <w:bookmarkStart w:id="2872" w:name="_Toc250654447"/>
      <w:bookmarkStart w:id="2873" w:name="_Toc259717641"/>
      <w:r>
        <w:t xml:space="preserve">Table </w:t>
      </w:r>
      <w:r w:rsidR="00BD151C">
        <w:fldChar w:fldCharType="begin"/>
      </w:r>
      <w:r w:rsidR="00801316">
        <w:instrText xml:space="preserve"> SEQ Table \* ARABIC </w:instrText>
      </w:r>
      <w:r w:rsidR="00BD151C">
        <w:fldChar w:fldCharType="separate"/>
      </w:r>
      <w:r w:rsidR="003E4210">
        <w:rPr>
          <w:noProof/>
        </w:rPr>
        <w:t>63</w:t>
      </w:r>
      <w:r w:rsidR="00BD151C">
        <w:fldChar w:fldCharType="end"/>
      </w:r>
      <w:bookmarkEnd w:id="2870"/>
      <w:r w:rsidR="00060658" w:rsidRPr="00066F65">
        <w:t xml:space="preserve"> – MAC sublayer parameters</w:t>
      </w:r>
      <w:bookmarkEnd w:id="2871"/>
      <w:bookmarkEnd w:id="2872"/>
      <w:bookmarkEnd w:id="2873"/>
      <w:r w:rsidR="00BE1F3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7"/>
        <w:gridCol w:w="7219"/>
      </w:tblGrid>
      <w:tr w:rsidR="00391F67" w:rsidRPr="00066F65" w:rsidTr="00745385">
        <w:tc>
          <w:tcPr>
            <w:tcW w:w="1432" w:type="pct"/>
          </w:tcPr>
          <w:p w:rsidR="00391F67" w:rsidRPr="009448FC" w:rsidRDefault="00391F67" w:rsidP="00D0037C">
            <w:pPr>
              <w:jc w:val="center"/>
              <w:rPr>
                <w:rFonts w:eastAsia="SimSun"/>
                <w:b/>
              </w:rPr>
            </w:pPr>
            <w:r w:rsidRPr="009448FC">
              <w:rPr>
                <w:rFonts w:eastAsia="SimSun"/>
                <w:b/>
              </w:rPr>
              <w:t>Parameter</w:t>
            </w:r>
          </w:p>
        </w:tc>
        <w:tc>
          <w:tcPr>
            <w:tcW w:w="3568" w:type="pct"/>
          </w:tcPr>
          <w:p w:rsidR="00391F67" w:rsidRPr="009448FC" w:rsidRDefault="00391F67" w:rsidP="00D0037C">
            <w:pPr>
              <w:jc w:val="center"/>
              <w:rPr>
                <w:rFonts w:eastAsia="SimSun"/>
                <w:b/>
              </w:rPr>
            </w:pPr>
            <w:r w:rsidRPr="009448FC">
              <w:rPr>
                <w:rFonts w:eastAsia="SimSun"/>
                <w:b/>
              </w:rPr>
              <w:t>Value</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aMaxBIDuration</w:t>
            </w:r>
          </w:p>
        </w:tc>
        <w:tc>
          <w:tcPr>
            <w:tcW w:w="3568" w:type="pct"/>
          </w:tcPr>
          <w:p w:rsidR="00391F67" w:rsidRPr="009448FC" w:rsidRDefault="00391F67" w:rsidP="00D0037C">
            <w:pPr>
              <w:jc w:val="both"/>
              <w:rPr>
                <w:rFonts w:eastAsia="SimSun"/>
              </w:rPr>
            </w:pPr>
            <w:r w:rsidRPr="009448FC">
              <w:rPr>
                <w:rFonts w:eastAsia="SimSun"/>
              </w:rPr>
              <w:t>1000 TUs</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aMinChannelScan</w:t>
            </w:r>
          </w:p>
        </w:tc>
        <w:tc>
          <w:tcPr>
            <w:tcW w:w="3568" w:type="pct"/>
          </w:tcPr>
          <w:p w:rsidR="00391F67" w:rsidRPr="009448FC" w:rsidRDefault="00391F67" w:rsidP="00D0037C">
            <w:pPr>
              <w:jc w:val="both"/>
              <w:rPr>
                <w:rFonts w:eastAsia="SimSun"/>
              </w:rPr>
            </w:pPr>
            <w:r w:rsidRPr="009448FC">
              <w:rPr>
                <w:rFonts w:eastAsia="SimSun"/>
              </w:rPr>
              <w:t>aMaxBIDuration</w:t>
            </w:r>
          </w:p>
        </w:tc>
      </w:tr>
      <w:tr w:rsidR="00391F67" w:rsidRPr="00066F65" w:rsidTr="00745385">
        <w:tc>
          <w:tcPr>
            <w:tcW w:w="1432" w:type="pct"/>
          </w:tcPr>
          <w:p w:rsidR="00391F67" w:rsidRPr="009448FC" w:rsidRDefault="003A4AD3" w:rsidP="00D0037C">
            <w:pPr>
              <w:jc w:val="both"/>
              <w:rPr>
                <w:rFonts w:eastAsia="SimSun"/>
              </w:rPr>
            </w:pPr>
            <w:r w:rsidRPr="009448FC">
              <w:rPr>
                <w:rFonts w:eastAsia="SimSun"/>
              </w:rPr>
              <w:t>aMinBTPeriod</w:t>
            </w:r>
          </w:p>
        </w:tc>
        <w:tc>
          <w:tcPr>
            <w:tcW w:w="3568" w:type="pct"/>
          </w:tcPr>
          <w:p w:rsidR="00391F67" w:rsidRPr="009448FC" w:rsidRDefault="00391F67" w:rsidP="00D0037C">
            <w:pPr>
              <w:jc w:val="both"/>
              <w:rPr>
                <w:rFonts w:eastAsia="SimSun"/>
              </w:rPr>
            </w:pPr>
            <w:r w:rsidRPr="009448FC">
              <w:rPr>
                <w:rFonts w:eastAsia="SimSun"/>
              </w:rPr>
              <w:t>4</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aMinSwitchInterval</w:t>
            </w:r>
          </w:p>
        </w:tc>
        <w:tc>
          <w:tcPr>
            <w:tcW w:w="3568" w:type="pct"/>
          </w:tcPr>
          <w:p w:rsidR="00391F67" w:rsidRPr="009448FC" w:rsidRDefault="00391F67" w:rsidP="00D0037C">
            <w:pPr>
              <w:jc w:val="both"/>
              <w:rPr>
                <w:rFonts w:eastAsia="SimSun"/>
              </w:rPr>
            </w:pPr>
            <w:r w:rsidRPr="009448FC">
              <w:rPr>
                <w:rFonts w:eastAsia="SimSun"/>
              </w:rPr>
              <w:t>2*</w:t>
            </w:r>
            <w:r w:rsidR="003A4AD3" w:rsidRPr="009448FC">
              <w:rPr>
                <w:rFonts w:eastAsia="SimSun"/>
              </w:rPr>
              <w:t>aMinBTPeriod</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aMaxSwitchInterval</w:t>
            </w:r>
          </w:p>
        </w:tc>
        <w:tc>
          <w:tcPr>
            <w:tcW w:w="3568" w:type="pct"/>
          </w:tcPr>
          <w:p w:rsidR="00391F67" w:rsidRPr="009448FC" w:rsidRDefault="00391F67" w:rsidP="00D0037C">
            <w:pPr>
              <w:jc w:val="both"/>
              <w:rPr>
                <w:rFonts w:eastAsia="SimSun"/>
              </w:rPr>
            </w:pPr>
            <w:r w:rsidRPr="009448FC">
              <w:rPr>
                <w:rFonts w:eastAsia="SimSun"/>
              </w:rPr>
              <w:t>16*aMinSwitchInterval</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aTSFResolution</w:t>
            </w:r>
          </w:p>
        </w:tc>
        <w:tc>
          <w:tcPr>
            <w:tcW w:w="3568" w:type="pct"/>
          </w:tcPr>
          <w:p w:rsidR="00391F67" w:rsidRPr="009448FC" w:rsidRDefault="00391F67" w:rsidP="00D0037C">
            <w:pPr>
              <w:jc w:val="both"/>
              <w:rPr>
                <w:rFonts w:eastAsia="SimSun"/>
              </w:rPr>
            </w:pPr>
            <w:r w:rsidRPr="009448FC">
              <w:rPr>
                <w:rFonts w:eastAsia="SimSun"/>
              </w:rPr>
              <w:t>1 usec</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aMinListeningTime</w:t>
            </w:r>
          </w:p>
        </w:tc>
        <w:tc>
          <w:tcPr>
            <w:tcW w:w="3568" w:type="pct"/>
          </w:tcPr>
          <w:p w:rsidR="00391F67" w:rsidRPr="009448FC" w:rsidRDefault="00AC39E3" w:rsidP="00D0037C">
            <w:pPr>
              <w:jc w:val="both"/>
              <w:rPr>
                <w:rFonts w:eastAsia="SimSun"/>
              </w:rPr>
            </w:pPr>
            <w:r w:rsidRPr="009448FC">
              <w:rPr>
                <w:rFonts w:eastAsia="SimSun"/>
              </w:rPr>
              <w:t>150 usec</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aSSFramesPerSlot</w:t>
            </w:r>
          </w:p>
        </w:tc>
        <w:tc>
          <w:tcPr>
            <w:tcW w:w="3568" w:type="pct"/>
          </w:tcPr>
          <w:p w:rsidR="00391F67" w:rsidRPr="009448FC" w:rsidRDefault="007155B3" w:rsidP="00D0037C">
            <w:pPr>
              <w:jc w:val="both"/>
              <w:rPr>
                <w:rFonts w:eastAsia="SimSun"/>
              </w:rPr>
            </w:pPr>
            <w:r w:rsidRPr="009448FC">
              <w:rPr>
                <w:rFonts w:eastAsia="SimSun"/>
              </w:rPr>
              <w:t>4</w:t>
            </w:r>
          </w:p>
        </w:tc>
      </w:tr>
      <w:tr w:rsidR="00391F67" w:rsidRPr="00066F65" w:rsidTr="00745385">
        <w:tc>
          <w:tcPr>
            <w:tcW w:w="1432" w:type="pct"/>
          </w:tcPr>
          <w:p w:rsidR="00391F67" w:rsidRPr="009448FC" w:rsidRDefault="005279BB" w:rsidP="00D0037C">
            <w:pPr>
              <w:jc w:val="both"/>
              <w:rPr>
                <w:rFonts w:eastAsia="SimSun"/>
              </w:rPr>
            </w:pPr>
            <w:r>
              <w:rPr>
                <w:rFonts w:eastAsia="SimSun"/>
              </w:rPr>
              <w:t>aSSDuration</w:t>
            </w:r>
            <w:r w:rsidR="007B350E" w:rsidRPr="009448FC">
              <w:rPr>
                <w:rFonts w:eastAsia="SimSun"/>
              </w:rPr>
              <w:t xml:space="preserve"> </w:t>
            </w:r>
          </w:p>
        </w:tc>
        <w:tc>
          <w:tcPr>
            <w:tcW w:w="3568" w:type="pct"/>
          </w:tcPr>
          <w:p w:rsidR="00391F67" w:rsidRPr="009448FC" w:rsidRDefault="00391F67" w:rsidP="007B350E">
            <w:pPr>
              <w:jc w:val="both"/>
              <w:rPr>
                <w:rFonts w:eastAsia="SimSun"/>
              </w:rPr>
            </w:pPr>
            <w:r w:rsidRPr="009448FC">
              <w:rPr>
                <w:rFonts w:eastAsia="SimSun"/>
              </w:rPr>
              <w:t>(</w:t>
            </w:r>
            <w:r w:rsidR="007B350E" w:rsidRPr="009448FC">
              <w:rPr>
                <w:rFonts w:eastAsia="SimSun"/>
              </w:rPr>
              <w:t>FSS</w:t>
            </w:r>
            <w:r w:rsidRPr="009448FC">
              <w:rPr>
                <w:rFonts w:eastAsia="SimSun"/>
              </w:rPr>
              <w:t xml:space="preserve"> – 1) * SBIFS + </w:t>
            </w:r>
            <w:r w:rsidR="007B350E" w:rsidRPr="009448FC">
              <w:rPr>
                <w:rFonts w:eastAsia="SimSun"/>
              </w:rPr>
              <w:t>FSS</w:t>
            </w:r>
            <w:r w:rsidRPr="009448FC">
              <w:rPr>
                <w:rFonts w:eastAsia="SimSun"/>
              </w:rPr>
              <w:t xml:space="preserve"> * </w:t>
            </w:r>
            <w:r w:rsidR="007B350E" w:rsidRPr="009448FC">
              <w:rPr>
                <w:rFonts w:eastAsia="SimSun"/>
              </w:rPr>
              <w:t>(</w:t>
            </w:r>
            <w:r w:rsidRPr="009448FC">
              <w:rPr>
                <w:rFonts w:eastAsia="SimSun"/>
              </w:rPr>
              <w:t>(</w:t>
            </w:r>
            <w:r w:rsidR="00427A19" w:rsidRPr="009448FC">
              <w:rPr>
                <w:rFonts w:eastAsia="SimSun"/>
              </w:rPr>
              <w:t xml:space="preserve">aPreambleLength + aPLCPHeaderLength + </w:t>
            </w:r>
            <w:r w:rsidRPr="009448FC">
              <w:rPr>
                <w:rFonts w:eastAsia="SimSun"/>
              </w:rPr>
              <w:t>(</w:t>
            </w:r>
            <w:r w:rsidR="00427A19" w:rsidRPr="009448FC">
              <w:rPr>
                <w:rFonts w:eastAsia="SimSun"/>
              </w:rPr>
              <w:t>(</w:t>
            </w:r>
            <w:r w:rsidRPr="009448FC">
              <w:rPr>
                <w:rFonts w:eastAsia="SimSun"/>
              </w:rPr>
              <w:t>SS frame length) / MCS0</w:t>
            </w:r>
            <w:r w:rsidR="00427A19" w:rsidRPr="009448FC">
              <w:rPr>
                <w:rFonts w:eastAsia="SimSun"/>
              </w:rPr>
              <w:t xml:space="preserve"> microseconds</w:t>
            </w:r>
            <w:r w:rsidRPr="009448FC">
              <w:rPr>
                <w:rFonts w:eastAsia="SimSun"/>
              </w:rPr>
              <w:t>)</w:t>
            </w:r>
            <w:r w:rsidR="00427A19" w:rsidRPr="009448FC">
              <w:rPr>
                <w:rFonts w:eastAsia="SimSun"/>
              </w:rPr>
              <w:t>)</w:t>
            </w:r>
            <w:r w:rsidR="007B350E" w:rsidRPr="009448FC">
              <w:rPr>
                <w:rFonts w:eastAsia="SimSun"/>
              </w:rPr>
              <w:t>)</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aSSFBDuration</w:t>
            </w:r>
          </w:p>
        </w:tc>
        <w:tc>
          <w:tcPr>
            <w:tcW w:w="3568" w:type="pct"/>
          </w:tcPr>
          <w:p w:rsidR="00391F67" w:rsidRPr="009448FC" w:rsidRDefault="00B358CE" w:rsidP="00D0037C">
            <w:pPr>
              <w:jc w:val="both"/>
              <w:rPr>
                <w:rFonts w:eastAsia="SimSun"/>
              </w:rPr>
            </w:pPr>
            <w:r w:rsidRPr="009448FC">
              <w:rPr>
                <w:rFonts w:eastAsia="SimSun"/>
              </w:rPr>
              <w:t>aPreambleLength + aPLCPHeaderLength + ((</w:t>
            </w:r>
            <w:r w:rsidR="00391F67" w:rsidRPr="009448FC">
              <w:rPr>
                <w:rFonts w:eastAsia="SimSun"/>
              </w:rPr>
              <w:t>SS-Feedback frame length) / MCS0</w:t>
            </w:r>
            <w:r w:rsidR="00427A19" w:rsidRPr="009448FC">
              <w:rPr>
                <w:rFonts w:eastAsia="SimSun"/>
              </w:rPr>
              <w:t xml:space="preserve"> microseconds</w:t>
            </w:r>
            <w:r w:rsidRPr="009448FC">
              <w:rPr>
                <w:rFonts w:eastAsia="SimSun"/>
              </w:rPr>
              <w:t>)</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aMinSSSlotsPerABFT</w:t>
            </w:r>
          </w:p>
        </w:tc>
        <w:tc>
          <w:tcPr>
            <w:tcW w:w="3568" w:type="pct"/>
          </w:tcPr>
          <w:p w:rsidR="00391F67" w:rsidRPr="009448FC" w:rsidRDefault="00391F67" w:rsidP="00D0037C">
            <w:pPr>
              <w:jc w:val="both"/>
              <w:rPr>
                <w:rFonts w:eastAsia="SimSun"/>
              </w:rPr>
            </w:pPr>
            <w:r w:rsidRPr="009448FC">
              <w:rPr>
                <w:rFonts w:eastAsia="SimSun"/>
              </w:rPr>
              <w:t>4</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lastRenderedPageBreak/>
              <w:t xml:space="preserve">aMMWavePPDUMaxTime </w:t>
            </w:r>
          </w:p>
        </w:tc>
        <w:tc>
          <w:tcPr>
            <w:tcW w:w="3568" w:type="pct"/>
          </w:tcPr>
          <w:p w:rsidR="00391F67" w:rsidRPr="009448FC" w:rsidRDefault="00936518" w:rsidP="00D0037C">
            <w:pPr>
              <w:jc w:val="both"/>
              <w:rPr>
                <w:rFonts w:eastAsia="SimSun"/>
              </w:rPr>
            </w:pPr>
            <w:r>
              <w:rPr>
                <w:rFonts w:eastAsia="SimSun"/>
              </w:rPr>
              <w:t>2</w:t>
            </w:r>
            <w:r w:rsidRPr="009448FC">
              <w:rPr>
                <w:rFonts w:eastAsia="SimSun"/>
              </w:rPr>
              <w:t xml:space="preserve"> </w:t>
            </w:r>
            <w:r w:rsidR="00FE2E49" w:rsidRPr="009448FC">
              <w:rPr>
                <w:rFonts w:eastAsia="SimSun"/>
              </w:rPr>
              <w:t>ms</w:t>
            </w:r>
            <w:r w:rsidR="00BE1F31">
              <w:rPr>
                <w:rFonts w:eastAsia="SimSun"/>
              </w:rPr>
              <w:t xml:space="preserve"> </w:t>
            </w:r>
          </w:p>
        </w:tc>
      </w:tr>
      <w:tr w:rsidR="00391F67" w:rsidRPr="00066F65" w:rsidTr="00745385">
        <w:tc>
          <w:tcPr>
            <w:tcW w:w="1432" w:type="pct"/>
          </w:tcPr>
          <w:p w:rsidR="00391F67" w:rsidRPr="009448FC" w:rsidRDefault="00391F67" w:rsidP="00D0037C">
            <w:pPr>
              <w:jc w:val="both"/>
              <w:rPr>
                <w:rFonts w:eastAsia="SimSun"/>
              </w:rPr>
            </w:pPr>
            <w:r w:rsidRPr="009448FC">
              <w:rPr>
                <w:rFonts w:eastAsia="MS Mincho"/>
              </w:rPr>
              <w:t>aRTSTimeoutTime</w:t>
            </w:r>
          </w:p>
        </w:tc>
        <w:tc>
          <w:tcPr>
            <w:tcW w:w="3568" w:type="pct"/>
          </w:tcPr>
          <w:p w:rsidR="00391F67" w:rsidRPr="009448FC" w:rsidRDefault="00391F67" w:rsidP="00D0037C">
            <w:pPr>
              <w:jc w:val="both"/>
              <w:rPr>
                <w:rFonts w:eastAsia="SimSun"/>
              </w:rPr>
            </w:pPr>
            <w:r w:rsidRPr="009448FC">
              <w:rPr>
                <w:rFonts w:eastAsia="SimSun"/>
              </w:rPr>
              <w:t>aPreambleLength + aPLCPHeaderLength</w:t>
            </w:r>
            <w:r w:rsidR="00B358CE" w:rsidRPr="009448FC">
              <w:rPr>
                <w:rFonts w:eastAsia="SimSun"/>
              </w:rPr>
              <w:t xml:space="preserve"> </w:t>
            </w:r>
            <w:r w:rsidRPr="009448FC">
              <w:rPr>
                <w:rFonts w:eastAsia="SimSun"/>
              </w:rPr>
              <w:t>+</w:t>
            </w:r>
            <w:r w:rsidR="00B358CE" w:rsidRPr="009448FC">
              <w:rPr>
                <w:rFonts w:eastAsia="SimSun"/>
              </w:rPr>
              <w:t xml:space="preserve"> </w:t>
            </w:r>
            <w:r w:rsidRPr="009448FC">
              <w:rPr>
                <w:rFonts w:eastAsia="SimSun"/>
              </w:rPr>
              <w:t>((RTS</w:t>
            </w:r>
            <w:r w:rsidR="004625C7" w:rsidRPr="009448FC">
              <w:rPr>
                <w:rFonts w:eastAsia="SimSun"/>
              </w:rPr>
              <w:t xml:space="preserve"> frame length</w:t>
            </w:r>
            <w:r w:rsidRPr="009448FC">
              <w:rPr>
                <w:rFonts w:eastAsia="SimSun"/>
              </w:rPr>
              <w:t>)/MCS0</w:t>
            </w:r>
            <w:r w:rsidR="00427A19" w:rsidRPr="009448FC">
              <w:rPr>
                <w:rFonts w:eastAsia="SimSun"/>
              </w:rPr>
              <w:t xml:space="preserve"> microseconds</w:t>
            </w:r>
            <w:r w:rsidRPr="009448FC">
              <w:rPr>
                <w:rFonts w:eastAsia="SimSun"/>
              </w:rPr>
              <w:t>) + aAirPropagationTime + a</w:t>
            </w:r>
            <w:r w:rsidR="00B358CE" w:rsidRPr="009448FC">
              <w:rPr>
                <w:rFonts w:eastAsia="SimSun"/>
              </w:rPr>
              <w:t>RxRFDelay + aMACProcessingDelay</w:t>
            </w:r>
            <w:r w:rsidRPr="009448FC">
              <w:rPr>
                <w:rFonts w:eastAsia="SimSun"/>
              </w:rPr>
              <w:t xml:space="preserve"> </w:t>
            </w:r>
          </w:p>
        </w:tc>
      </w:tr>
      <w:tr w:rsidR="001C35E8" w:rsidRPr="00066F65" w:rsidTr="00745385">
        <w:tc>
          <w:tcPr>
            <w:tcW w:w="1432" w:type="pct"/>
          </w:tcPr>
          <w:p w:rsidR="001C35E8" w:rsidRPr="009448FC" w:rsidRDefault="001C35E8" w:rsidP="00D0037C">
            <w:pPr>
              <w:jc w:val="both"/>
              <w:rPr>
                <w:rFonts w:eastAsia="MS Mincho"/>
              </w:rPr>
            </w:pPr>
            <w:r w:rsidRPr="009448FC">
              <w:rPr>
                <w:rFonts w:eastAsia="MS Mincho"/>
              </w:rPr>
              <w:t>aClockAccuracy</w:t>
            </w:r>
          </w:p>
        </w:tc>
        <w:tc>
          <w:tcPr>
            <w:tcW w:w="3568" w:type="pct"/>
          </w:tcPr>
          <w:p w:rsidR="001C35E8" w:rsidRPr="009448FC" w:rsidRDefault="001C35E8" w:rsidP="00D0037C">
            <w:pPr>
              <w:jc w:val="both"/>
              <w:rPr>
                <w:rFonts w:eastAsia="SimSun"/>
              </w:rPr>
            </w:pPr>
            <w:r w:rsidRPr="009448FC">
              <w:rPr>
                <w:rFonts w:eastAsia="SimSun"/>
              </w:rPr>
              <w:t xml:space="preserve">2 ppm </w:t>
            </w:r>
          </w:p>
        </w:tc>
      </w:tr>
      <w:tr w:rsidR="00FE2E49" w:rsidRPr="00066F65" w:rsidTr="00745385">
        <w:tc>
          <w:tcPr>
            <w:tcW w:w="1432" w:type="pct"/>
          </w:tcPr>
          <w:p w:rsidR="00FE2E49" w:rsidRPr="009448FC" w:rsidRDefault="00FE2E49" w:rsidP="00D0037C">
            <w:pPr>
              <w:jc w:val="both"/>
              <w:rPr>
                <w:rFonts w:eastAsia="MS Mincho"/>
              </w:rPr>
            </w:pPr>
            <w:r w:rsidRPr="009448FC">
              <w:t>a</w:t>
            </w:r>
            <w:r w:rsidRPr="009448FC">
              <w:rPr>
                <w:rFonts w:eastAsia="MS Mincho"/>
              </w:rPr>
              <w:t>MinNAVTimersNumber</w:t>
            </w:r>
          </w:p>
        </w:tc>
        <w:tc>
          <w:tcPr>
            <w:tcW w:w="3568" w:type="pct"/>
          </w:tcPr>
          <w:p w:rsidR="00FE2E49" w:rsidRPr="009448FC" w:rsidRDefault="00FE2E49" w:rsidP="00D0037C">
            <w:pPr>
              <w:jc w:val="both"/>
              <w:rPr>
                <w:rFonts w:eastAsia="SimSun"/>
              </w:rPr>
            </w:pPr>
            <w:r w:rsidRPr="009448FC">
              <w:rPr>
                <w:rFonts w:eastAsia="SimSun"/>
              </w:rPr>
              <w:t>2</w:t>
            </w:r>
          </w:p>
        </w:tc>
      </w:tr>
      <w:tr w:rsidR="00AC39E3" w:rsidRPr="00066F65" w:rsidTr="00745385">
        <w:tc>
          <w:tcPr>
            <w:tcW w:w="1432" w:type="pct"/>
          </w:tcPr>
          <w:p w:rsidR="00AC39E3" w:rsidRPr="009448FC" w:rsidRDefault="00AC39E3" w:rsidP="00D0037C">
            <w:pPr>
              <w:jc w:val="both"/>
            </w:pPr>
            <w:r w:rsidRPr="009448FC">
              <w:t>aCWminMMwaveIBSS</w:t>
            </w:r>
          </w:p>
        </w:tc>
        <w:tc>
          <w:tcPr>
            <w:tcW w:w="3568" w:type="pct"/>
          </w:tcPr>
          <w:p w:rsidR="00AC39E3" w:rsidRPr="009448FC" w:rsidRDefault="00AC39E3" w:rsidP="00D0037C">
            <w:pPr>
              <w:jc w:val="both"/>
              <w:rPr>
                <w:rFonts w:eastAsia="SimSun"/>
              </w:rPr>
            </w:pPr>
            <w:r w:rsidRPr="009448FC">
              <w:rPr>
                <w:rFonts w:eastAsia="SimSun"/>
              </w:rPr>
              <w:t>3</w:t>
            </w:r>
          </w:p>
        </w:tc>
      </w:tr>
    </w:tbl>
    <w:p w:rsidR="00BF6131" w:rsidRPr="00DB7490" w:rsidRDefault="00BF6131" w:rsidP="00BF6131"/>
    <w:p w:rsidR="00BF6131" w:rsidRPr="00DB7490" w:rsidRDefault="003F009C" w:rsidP="003F009C">
      <w:pPr>
        <w:pStyle w:val="Heading2"/>
        <w:rPr>
          <w:color w:val="000000"/>
        </w:rPr>
      </w:pPr>
      <w:bookmarkStart w:id="2874" w:name="_Toc259717270"/>
      <w:r>
        <w:t xml:space="preserve">11.37 </w:t>
      </w:r>
      <w:r w:rsidR="00BF6131" w:rsidRPr="00DB7490">
        <w:t xml:space="preserve">mmWave </w:t>
      </w:r>
      <w:r>
        <w:t>Relay operation</w:t>
      </w:r>
      <w:bookmarkEnd w:id="2874"/>
    </w:p>
    <w:p w:rsidR="00BF6131" w:rsidRDefault="00BF6131" w:rsidP="00BF6131"/>
    <w:p w:rsidR="003F009C" w:rsidRPr="00685C11" w:rsidRDefault="003F009C" w:rsidP="003F009C">
      <w:pPr>
        <w:rPr>
          <w:lang w:eastAsia="ko-KR"/>
        </w:rPr>
      </w:pPr>
      <w:r w:rsidRPr="00685C11">
        <w:rPr>
          <w:lang w:eastAsia="ko-KR"/>
        </w:rPr>
        <w:t>Relaying allows a source relay usable mSTA (RUS) to transmit frames to a destination relay usable mSTA (RUS) with the assistance of another mSTA called the relay supportable  mSTA (RSUS). Relaying can improve the reliability of communication in the UB, in case the direct link between the source RUS and the destination RUS is disrupted.</w:t>
      </w:r>
    </w:p>
    <w:p w:rsidR="003F009C" w:rsidRPr="00685C11" w:rsidRDefault="003F009C" w:rsidP="003F009C">
      <w:pPr>
        <w:rPr>
          <w:lang w:eastAsia="ko-KR"/>
        </w:rPr>
      </w:pPr>
    </w:p>
    <w:p w:rsidR="003F009C" w:rsidRPr="00685C11" w:rsidRDefault="003F009C" w:rsidP="003F009C">
      <w:r w:rsidRPr="00685C11">
        <w:t>A STA is a RUS if the value of its local MIB variable dot11RelayRUSSupportEnabled is true. A RUS shall set the relay usability field within its Relay Capabilities element to one. A STA is an RSUS if the value of its local MIB variable dot11RelayRSUSSupportEnabled is true. An RSUS shall set the relay supportability field within its Relay Capabilities element to one. A STA is relay capable if it is either a RUS or an RSUS or both, and is relay incapable otherwise.</w:t>
      </w:r>
    </w:p>
    <w:p w:rsidR="003F009C" w:rsidRPr="00685C11" w:rsidRDefault="003F009C" w:rsidP="003F009C">
      <w:pPr>
        <w:rPr>
          <w:lang w:eastAsia="ko-KR"/>
        </w:rPr>
      </w:pPr>
    </w:p>
    <w:p w:rsidR="003F009C" w:rsidRPr="00685C11" w:rsidRDefault="003F009C" w:rsidP="003F009C">
      <w:r w:rsidRPr="00685C11">
        <w:t xml:space="preserve">A </w:t>
      </w:r>
      <w:r w:rsidRPr="00685C11">
        <w:rPr>
          <w:lang w:eastAsia="ko-KR"/>
        </w:rPr>
        <w:t xml:space="preserve">relay capable </w:t>
      </w:r>
      <w:r w:rsidRPr="00685C11">
        <w:t xml:space="preserve">STA shall advertize </w:t>
      </w:r>
      <w:r w:rsidRPr="00685C11">
        <w:rPr>
          <w:lang w:eastAsia="ko-KR"/>
        </w:rPr>
        <w:t>its</w:t>
      </w:r>
      <w:r w:rsidRPr="00685C11">
        <w:t xml:space="preserve"> capability by including the Relay Capabilities element</w:t>
      </w:r>
      <w:r w:rsidRPr="00685C11">
        <w:rPr>
          <w:lang w:eastAsia="ko-KR"/>
        </w:rPr>
        <w:t xml:space="preserve"> in</w:t>
      </w:r>
      <w:r w:rsidRPr="00685C11">
        <w:t xml:space="preserve"> (Re)Association Request, (Re)Association Response, Probe Request, Probe Response, Information Request and Information Response frames</w:t>
      </w:r>
      <w:r w:rsidRPr="00685C11">
        <w:rPr>
          <w:rFonts w:hint="eastAsia"/>
          <w:lang w:eastAsia="ko-KR"/>
        </w:rPr>
        <w:t xml:space="preserve">. </w:t>
      </w:r>
      <w:r w:rsidRPr="00685C11">
        <w:t>A relay capable STA that is a PCP/AP may include the Relay Capabilities element in mmWave Beacon frames.</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For a STA to operate as a RUS or an RSUS in a BSS, the following conditions shall be met:</w:t>
      </w:r>
    </w:p>
    <w:p w:rsidR="003F009C" w:rsidRPr="00685C11" w:rsidRDefault="003F009C" w:rsidP="003701DB">
      <w:pPr>
        <w:pStyle w:val="ListParagraph"/>
        <w:numPr>
          <w:ilvl w:val="0"/>
          <w:numId w:val="228"/>
        </w:numPr>
        <w:contextualSpacing/>
        <w:rPr>
          <w:lang w:eastAsia="ko-KR"/>
        </w:rPr>
      </w:pPr>
      <w:r w:rsidRPr="00685C11">
        <w:rPr>
          <w:lang w:eastAsia="ko-KR"/>
        </w:rPr>
        <w:t>The STA shall be associated with the BSS</w:t>
      </w:r>
      <w:r w:rsidR="00DB6E8E">
        <w:rPr>
          <w:lang w:eastAsia="ko-KR"/>
        </w:rPr>
        <w:t>.</w:t>
      </w:r>
    </w:p>
    <w:p w:rsidR="003F009C" w:rsidRPr="00685C11" w:rsidRDefault="003F009C" w:rsidP="003701DB">
      <w:pPr>
        <w:pStyle w:val="ListParagraph"/>
        <w:numPr>
          <w:ilvl w:val="0"/>
          <w:numId w:val="228"/>
        </w:numPr>
        <w:contextualSpacing/>
        <w:rPr>
          <w:lang w:eastAsia="ko-KR"/>
        </w:rPr>
      </w:pPr>
      <w:r w:rsidRPr="00685C11">
        <w:rPr>
          <w:lang w:eastAsia="ko-KR"/>
        </w:rPr>
        <w:t>The TDDTT field within the mmWave STA Capabilities element of the PCP/AP of the BSS shall be set to one</w:t>
      </w:r>
      <w:r w:rsidR="00DB6E8E">
        <w:rPr>
          <w:lang w:eastAsia="ko-KR"/>
        </w:rPr>
        <w:t>.</w:t>
      </w:r>
    </w:p>
    <w:p w:rsidR="003F009C" w:rsidRPr="00685C11" w:rsidRDefault="003F009C" w:rsidP="003701DB">
      <w:pPr>
        <w:pStyle w:val="ListParagraph"/>
        <w:numPr>
          <w:ilvl w:val="0"/>
          <w:numId w:val="228"/>
        </w:numPr>
        <w:contextualSpacing/>
        <w:rPr>
          <w:lang w:eastAsia="ko-KR"/>
        </w:rPr>
      </w:pPr>
      <w:r w:rsidRPr="00685C11">
        <w:rPr>
          <w:lang w:eastAsia="ko-KR"/>
        </w:rPr>
        <w:t>The Relay permission field within the Relay Capabilities element of the PCP/AP of the BSS shall be set to one</w:t>
      </w:r>
      <w:r w:rsidR="00DB6E8E">
        <w:rPr>
          <w:lang w:eastAsia="ko-KR"/>
        </w:rPr>
        <w:t>.</w:t>
      </w:r>
    </w:p>
    <w:p w:rsidR="003F009C" w:rsidRPr="00685C11" w:rsidRDefault="003F009C" w:rsidP="003F009C">
      <w:pPr>
        <w:rPr>
          <w:lang w:eastAsia="ko-KR"/>
        </w:rPr>
      </w:pPr>
      <w:r w:rsidRPr="00685C11">
        <w:rPr>
          <w:lang w:eastAsia="ko-KR"/>
        </w:rPr>
        <w:t>The STA shall not operate as a RUS or an RSUS in the BSS if at least one of these conditions is not met.</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 relay capable STA follows the NAV rules described in 9.23.10.</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 source RUS, a destination RUS and an RSUS shall establish pair-wise authentication prior to relay setup among these STAs if a common PSK is not used in the BSS and if the dot11RSNAEnabled variable for any of these STAs is set to TRUE.</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 source RUS, a destination RUS and an RSUS may establish two types of relay operation:</w:t>
      </w:r>
    </w:p>
    <w:p w:rsidR="003F009C" w:rsidRPr="00685C11" w:rsidRDefault="003F009C" w:rsidP="003701DB">
      <w:pPr>
        <w:pStyle w:val="ListParagraph"/>
        <w:numPr>
          <w:ilvl w:val="0"/>
          <w:numId w:val="227"/>
        </w:numPr>
        <w:contextualSpacing/>
        <w:rPr>
          <w:lang w:eastAsia="ko-KR"/>
        </w:rPr>
      </w:pPr>
      <w:r w:rsidRPr="00685C11">
        <w:rPr>
          <w:lang w:eastAsia="ko-KR"/>
        </w:rPr>
        <w:t>Link switching (</w:t>
      </w:r>
      <w:r w:rsidR="00BD151C">
        <w:rPr>
          <w:lang w:eastAsia="ko-KR"/>
        </w:rPr>
        <w:fldChar w:fldCharType="begin"/>
      </w:r>
      <w:r w:rsidR="00BF3B79">
        <w:rPr>
          <w:lang w:eastAsia="ko-KR"/>
        </w:rPr>
        <w:instrText xml:space="preserve"> REF _Ref259715671 \h </w:instrText>
      </w:r>
      <w:r w:rsidR="00BD151C">
        <w:rPr>
          <w:lang w:eastAsia="ko-KR"/>
        </w:rPr>
      </w:r>
      <w:r w:rsidR="00BD151C">
        <w:rPr>
          <w:lang w:eastAsia="ko-KR"/>
        </w:rPr>
        <w:fldChar w:fldCharType="separate"/>
      </w:r>
      <w:r w:rsidR="003E4210">
        <w:t>11.37.2 Link switching type</w:t>
      </w:r>
      <w:r w:rsidR="00BD151C">
        <w:rPr>
          <w:lang w:eastAsia="ko-KR"/>
        </w:rPr>
        <w:fldChar w:fldCharType="end"/>
      </w:r>
      <w:r w:rsidRPr="00685C11">
        <w:rPr>
          <w:lang w:eastAsia="ko-KR"/>
        </w:rPr>
        <w:t xml:space="preserve">): if the direct PHY link between the source RUS and destination RUS is disrupted, the source RUS redirects the transmission of frames addressed to the destination RUS via the RSUS. The RSUS forwards frames received from the source RUS to the destination RUS and from the destination RUS to the source RUS. Direct </w:t>
      </w:r>
      <w:r w:rsidRPr="00685C11">
        <w:rPr>
          <w:lang w:eastAsia="ko-KR"/>
        </w:rPr>
        <w:lastRenderedPageBreak/>
        <w:t>communication between the source RUS and destination RUS can resume after the direct link between them is recovered.</w:t>
      </w:r>
    </w:p>
    <w:p w:rsidR="003F009C" w:rsidRPr="00685C11" w:rsidRDefault="003F009C" w:rsidP="003701DB">
      <w:pPr>
        <w:pStyle w:val="ListParagraph"/>
        <w:numPr>
          <w:ilvl w:val="0"/>
          <w:numId w:val="227"/>
        </w:numPr>
        <w:contextualSpacing/>
        <w:rPr>
          <w:lang w:eastAsia="ko-KR"/>
        </w:rPr>
      </w:pPr>
      <w:r w:rsidRPr="00685C11">
        <w:rPr>
          <w:lang w:eastAsia="ko-KR"/>
        </w:rPr>
        <w:t>Link cooperating (</w:t>
      </w:r>
      <w:r w:rsidR="00BD151C">
        <w:rPr>
          <w:lang w:eastAsia="ko-KR"/>
        </w:rPr>
        <w:fldChar w:fldCharType="begin"/>
      </w:r>
      <w:r w:rsidR="00BF3B79">
        <w:rPr>
          <w:lang w:eastAsia="ko-KR"/>
        </w:rPr>
        <w:instrText xml:space="preserve"> REF _Ref259715672 \h </w:instrText>
      </w:r>
      <w:r w:rsidR="00BD151C">
        <w:rPr>
          <w:lang w:eastAsia="ko-KR"/>
        </w:rPr>
      </w:r>
      <w:r w:rsidR="00BD151C">
        <w:rPr>
          <w:lang w:eastAsia="ko-KR"/>
        </w:rPr>
        <w:fldChar w:fldCharType="separate"/>
      </w:r>
      <w:r w:rsidR="003E4210">
        <w:rPr>
          <w:lang w:bidi="ar-SA"/>
        </w:rPr>
        <w:t>11.37.3 Link cooperating type</w:t>
      </w:r>
      <w:r w:rsidR="00BD151C">
        <w:rPr>
          <w:lang w:eastAsia="ko-KR"/>
        </w:rPr>
        <w:fldChar w:fldCharType="end"/>
      </w:r>
      <w:r w:rsidRPr="00685C11">
        <w:rPr>
          <w:lang w:eastAsia="ko-KR"/>
        </w:rPr>
        <w:t>): in this case, the RSUS is actively involved in the direct communication between the source RUS and the destination RUS. A frame transmission from the source RUS to the destination RUS is simultaneously repeated by the RSUS, which can possibly increase the signal quality received at the destination RUS.</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As needed, in the following subclauses source RUS, RSUS, and destination RUS are expressed as ‘S’, ‘R’, and ‘D’, respectively. Also, a direct PHY link between STA S and STA D can be simply referred to as ‘S-D’ link.</w:t>
      </w:r>
    </w:p>
    <w:p w:rsidR="003F009C" w:rsidRDefault="003F009C" w:rsidP="00BF6131"/>
    <w:p w:rsidR="003F009C" w:rsidRDefault="003F009C" w:rsidP="003F009C">
      <w:pPr>
        <w:pStyle w:val="Heading3"/>
      </w:pPr>
      <w:bookmarkStart w:id="2875" w:name="_Ref259715743"/>
      <w:bookmarkStart w:id="2876" w:name="_Ref259715748"/>
      <w:bookmarkStart w:id="2877" w:name="_Ref259716301"/>
      <w:bookmarkStart w:id="2878" w:name="_Toc259717271"/>
      <w:r>
        <w:t>11.37.1 Common relay setup procedures</w:t>
      </w:r>
      <w:bookmarkEnd w:id="2875"/>
      <w:bookmarkEnd w:id="2876"/>
      <w:bookmarkEnd w:id="2877"/>
      <w:bookmarkEnd w:id="2878"/>
    </w:p>
    <w:p w:rsidR="003F009C" w:rsidRDefault="003F009C" w:rsidP="00BF6131"/>
    <w:p w:rsidR="003F009C" w:rsidRPr="00685C11" w:rsidRDefault="003F009C" w:rsidP="003F009C">
      <w:pPr>
        <w:rPr>
          <w:lang w:eastAsia="ko-KR"/>
        </w:rPr>
      </w:pPr>
      <w:r w:rsidRPr="00685C11">
        <w:rPr>
          <w:lang w:eastAsia="ko-KR"/>
        </w:rPr>
        <w:t>This subclause describes the procedures that a source RUS, a destination RUS and an RSUS employ to setup a relay operation among these STAs. These procedures are used for both link switching and link cooperating relays, and shall be performed in the order shown in this subclause.</w:t>
      </w:r>
    </w:p>
    <w:p w:rsidR="003F009C" w:rsidRDefault="003F009C" w:rsidP="00BF6131"/>
    <w:p w:rsidR="003F009C" w:rsidRDefault="003F009C" w:rsidP="003F009C">
      <w:pPr>
        <w:pStyle w:val="Heading4"/>
      </w:pPr>
      <w:bookmarkStart w:id="2879" w:name="_Toc259717272"/>
      <w:r>
        <w:t>11.37.1.1 Relay capabilities and RSUS discovery procedures</w:t>
      </w:r>
      <w:bookmarkEnd w:id="2879"/>
    </w:p>
    <w:p w:rsidR="003F009C" w:rsidRDefault="003F009C" w:rsidP="00BF6131"/>
    <w:p w:rsidR="003F009C" w:rsidRPr="00685C11" w:rsidRDefault="003F009C" w:rsidP="003F009C">
      <w:r w:rsidRPr="00685C11">
        <w:t>A source RUS can obtain the capabilities of other STAs in the BSS</w:t>
      </w:r>
      <w:r w:rsidRPr="00685C11">
        <w:rPr>
          <w:lang w:eastAsia="ko-KR"/>
        </w:rPr>
        <w:t xml:space="preserve"> </w:t>
      </w:r>
      <w:r w:rsidRPr="00685C11">
        <w:t xml:space="preserve">following the STA’s association with the BSS or with the transmission of an Information Request frame as described in </w:t>
      </w:r>
      <w:r w:rsidR="00BD151C">
        <w:fldChar w:fldCharType="begin"/>
      </w:r>
      <w:r w:rsidR="00BF3B79">
        <w:instrText xml:space="preserve"> REF _Ref259715674 \r \h </w:instrText>
      </w:r>
      <w:r w:rsidR="00BD151C">
        <w:fldChar w:fldCharType="separate"/>
      </w:r>
      <w:r w:rsidR="003E4210">
        <w:t>11.31.1</w:t>
      </w:r>
      <w:r w:rsidR="00BD151C">
        <w:fldChar w:fldCharType="end"/>
      </w:r>
      <w:r w:rsidRPr="00685C11">
        <w:t>.</w:t>
      </w:r>
    </w:p>
    <w:p w:rsidR="003F009C" w:rsidRPr="00685C11" w:rsidRDefault="003F009C" w:rsidP="003F009C">
      <w:pPr>
        <w:rPr>
          <w:lang w:eastAsia="ko-KR"/>
        </w:rPr>
      </w:pPr>
    </w:p>
    <w:p w:rsidR="003F009C" w:rsidRPr="00685C11" w:rsidRDefault="003F009C" w:rsidP="003F009C">
      <w:r w:rsidRPr="00685C11">
        <w:t>A source STA that intends to setup relay operation with a destination STA shall obtain the capabilities of the destination STA prior to initiating the relay setup procedure with the destination STA. The source STA shall only attempt to setup relay operation with the destination STA if both the source and destination STAs are RUS, and there exists at least one RSUS in the BSS.</w:t>
      </w:r>
    </w:p>
    <w:p w:rsidR="003F009C" w:rsidRPr="00685C11" w:rsidRDefault="003F009C" w:rsidP="003F009C"/>
    <w:p w:rsidR="003F009C" w:rsidRPr="00685C11" w:rsidRDefault="003F009C" w:rsidP="003F009C">
      <w:pPr>
        <w:rPr>
          <w:lang w:eastAsia="ko-KR"/>
        </w:rPr>
      </w:pPr>
      <w:r w:rsidRPr="00685C11">
        <w:t xml:space="preserve">The source STA can discover a list of RSUSs in the BSS by transmitting a Relay Search </w:t>
      </w:r>
      <w:r w:rsidRPr="00685C11">
        <w:rPr>
          <w:lang w:eastAsia="ko-KR"/>
        </w:rPr>
        <w:t>R</w:t>
      </w:r>
      <w:r w:rsidRPr="00685C11">
        <w:t>equest</w:t>
      </w:r>
      <w:r w:rsidRPr="00685C11">
        <w:rPr>
          <w:lang w:eastAsia="ko-KR"/>
        </w:rPr>
        <w:t xml:space="preserve"> frame </w:t>
      </w:r>
      <w:r w:rsidRPr="00685C11">
        <w:t xml:space="preserve">to the </w:t>
      </w:r>
      <w:r w:rsidRPr="00685C11">
        <w:rPr>
          <w:lang w:eastAsia="ko-KR"/>
        </w:rPr>
        <w:t xml:space="preserve">PCP/AP with </w:t>
      </w:r>
      <w:r w:rsidRPr="00685C11">
        <w:t xml:space="preserve">the destination RUS AID field set to the AID of the destination STA. The PCP/AP shall respond to the reception of a </w:t>
      </w:r>
      <w:r w:rsidRPr="00685C11">
        <w:rPr>
          <w:lang w:eastAsia="ko-KR"/>
        </w:rPr>
        <w:t xml:space="preserve">Relay Search Request frame with the transmission of a Relay Search Response frame addressed to the requesting STA, and shall include in the transmitted frame a list of RSUSs in the BSS. </w:t>
      </w:r>
      <w:r w:rsidR="00CF6BC6" w:rsidRPr="00CF6BC6">
        <w:rPr>
          <w:rFonts w:hint="eastAsia"/>
          <w:lang w:eastAsia="ko-KR"/>
        </w:rPr>
        <w:t xml:space="preserve">After the transmission of the Relay Search Response frame to the source STA, the PCP/AP shall transmit an unsolicited Relay Search Response frame to the destination STA with the Relay Capable STA Info field </w:t>
      </w:r>
      <w:r w:rsidR="0099563E">
        <w:rPr>
          <w:lang w:eastAsia="ko-KR"/>
        </w:rPr>
        <w:t>of</w:t>
      </w:r>
      <w:r w:rsidR="00CF6BC6" w:rsidRPr="00CF6BC6">
        <w:rPr>
          <w:rFonts w:hint="eastAsia"/>
          <w:lang w:eastAsia="ko-KR"/>
        </w:rPr>
        <w:t xml:space="preserve"> the source STA and the list o</w:t>
      </w:r>
      <w:r w:rsidR="00CF6BC6">
        <w:rPr>
          <w:rFonts w:hint="eastAsia"/>
          <w:lang w:eastAsia="ko-KR"/>
        </w:rPr>
        <w:t>f RSUSs that the PCP/AP include</w:t>
      </w:r>
      <w:r w:rsidR="00CF6BC6">
        <w:rPr>
          <w:lang w:eastAsia="ko-KR"/>
        </w:rPr>
        <w:t>d</w:t>
      </w:r>
      <w:r w:rsidR="00CF6BC6" w:rsidRPr="00CF6BC6">
        <w:rPr>
          <w:rFonts w:hint="eastAsia"/>
          <w:lang w:eastAsia="ko-KR"/>
        </w:rPr>
        <w:t xml:space="preserve"> in the </w:t>
      </w:r>
      <w:r w:rsidR="0099563E">
        <w:rPr>
          <w:lang w:eastAsia="ko-KR"/>
        </w:rPr>
        <w:t xml:space="preserve">last </w:t>
      </w:r>
      <w:r w:rsidR="00CF6BC6" w:rsidRPr="00CF6BC6">
        <w:rPr>
          <w:rFonts w:hint="eastAsia"/>
          <w:lang w:eastAsia="ko-KR"/>
        </w:rPr>
        <w:t>Relay Search Response frame</w:t>
      </w:r>
      <w:r w:rsidR="0099563E">
        <w:rPr>
          <w:lang w:eastAsia="ko-KR"/>
        </w:rPr>
        <w:t xml:space="preserve"> transmitted to the source STA</w:t>
      </w:r>
      <w:r w:rsidR="00CF6BC6">
        <w:rPr>
          <w:lang w:eastAsia="ko-KR"/>
        </w:rPr>
        <w:t>.</w:t>
      </w:r>
    </w:p>
    <w:p w:rsidR="003F009C" w:rsidRDefault="003F009C" w:rsidP="003F009C">
      <w:pPr>
        <w:rPr>
          <w:sz w:val="22"/>
          <w:szCs w:val="22"/>
        </w:rPr>
      </w:pPr>
    </w:p>
    <w:p w:rsidR="003F009C" w:rsidRDefault="003F009C" w:rsidP="003F009C">
      <w:pPr>
        <w:pStyle w:val="Heading4"/>
        <w:rPr>
          <w:lang w:eastAsia="ko-KR"/>
        </w:rPr>
      </w:pPr>
      <w:bookmarkStart w:id="2880" w:name="_Toc259717273"/>
      <w:r>
        <w:rPr>
          <w:lang w:eastAsia="ko-KR"/>
        </w:rPr>
        <w:t>11.37.1.2 RSUS selection procedure</w:t>
      </w:r>
      <w:bookmarkEnd w:id="2880"/>
    </w:p>
    <w:p w:rsidR="003F009C" w:rsidRDefault="003F009C" w:rsidP="00BF6131"/>
    <w:p w:rsidR="003F009C" w:rsidRPr="00685C11" w:rsidRDefault="003F009C" w:rsidP="003F009C">
      <w:r w:rsidRPr="00685C11">
        <w:t>Following the transmission of a Relay Search Response frame, the PCP/AP should schedule within its Extended Schedule element two SPs for each RSUS included in the transmitted Relay Search Response frame:</w:t>
      </w:r>
    </w:p>
    <w:p w:rsidR="003F009C" w:rsidRPr="00685C11" w:rsidRDefault="003F009C" w:rsidP="003701DB">
      <w:pPr>
        <w:pStyle w:val="ListParagraph"/>
        <w:numPr>
          <w:ilvl w:val="0"/>
          <w:numId w:val="229"/>
        </w:numPr>
      </w:pPr>
      <w:r w:rsidRPr="00685C11">
        <w:t xml:space="preserve">An SP having as source STA the source RUS and as destination STA the RSUS, and with the Beamforming Training field set to one. The duration of the SP should be such that the source RUS and RSUS can complete BF as described in </w:t>
      </w:r>
      <w:r w:rsidR="00BD151C">
        <w:fldChar w:fldCharType="begin"/>
      </w:r>
      <w:r w:rsidR="00BF3B79">
        <w:instrText xml:space="preserve"> REF _Ref259715675 \r \h </w:instrText>
      </w:r>
      <w:r w:rsidR="00BD151C">
        <w:fldChar w:fldCharType="separate"/>
      </w:r>
      <w:r w:rsidR="003E4210">
        <w:t>9.25</w:t>
      </w:r>
      <w:r w:rsidR="00BD151C">
        <w:fldChar w:fldCharType="end"/>
      </w:r>
      <w:r w:rsidRPr="00685C11">
        <w:t>.</w:t>
      </w:r>
    </w:p>
    <w:p w:rsidR="003F009C" w:rsidRPr="00685C11" w:rsidRDefault="003F009C" w:rsidP="003701DB">
      <w:pPr>
        <w:pStyle w:val="ListParagraph"/>
        <w:numPr>
          <w:ilvl w:val="0"/>
          <w:numId w:val="229"/>
        </w:numPr>
      </w:pPr>
      <w:r w:rsidRPr="00685C11">
        <w:lastRenderedPageBreak/>
        <w:t>An SP having as source STA the RSUS and as destination STA the destination RUS, and with the Beamforming Training field set to one. The duration of the SP should be such that the RSUS and the destination RUS can complete BF as described</w:t>
      </w:r>
      <w:r w:rsidR="00BF3B79">
        <w:t xml:space="preserve"> in </w:t>
      </w:r>
      <w:r w:rsidR="00BD151C">
        <w:fldChar w:fldCharType="begin"/>
      </w:r>
      <w:r w:rsidR="00BF3B79">
        <w:instrText xml:space="preserve"> REF _Ref259715675 \r \h </w:instrText>
      </w:r>
      <w:r w:rsidR="00BD151C">
        <w:fldChar w:fldCharType="separate"/>
      </w:r>
      <w:r w:rsidR="003E4210">
        <w:t>9.25</w:t>
      </w:r>
      <w:r w:rsidR="00BD151C">
        <w:fldChar w:fldCharType="end"/>
      </w:r>
      <w:r w:rsidRPr="00685C11">
        <w:t>.</w:t>
      </w:r>
    </w:p>
    <w:p w:rsidR="003F009C" w:rsidRPr="00685C11" w:rsidRDefault="003F009C" w:rsidP="003F009C"/>
    <w:p w:rsidR="003F009C" w:rsidRPr="00685C11" w:rsidRDefault="00A66A9E" w:rsidP="003F009C">
      <w:r>
        <w:t xml:space="preserve">After the RSUS completes </w:t>
      </w:r>
      <w:r w:rsidR="003F009C" w:rsidRPr="00685C11">
        <w:t xml:space="preserve">BF with both the source RUS and destination RUS, </w:t>
      </w:r>
      <w:r w:rsidR="0099563E" w:rsidRPr="0099563E">
        <w:rPr>
          <w:rFonts w:hint="eastAsia"/>
        </w:rPr>
        <w:t>the source RUS shall send a Multi-Relays Channel</w:t>
      </w:r>
      <w:r w:rsidR="00BF3B79">
        <w:rPr>
          <w:rFonts w:hint="eastAsia"/>
        </w:rPr>
        <w:t xml:space="preserve"> Measurement Request frame</w:t>
      </w:r>
      <w:r w:rsidR="0099563E" w:rsidRPr="0099563E">
        <w:rPr>
          <w:rFonts w:hint="eastAsia"/>
        </w:rPr>
        <w:t xml:space="preserve"> to the RSUS, </w:t>
      </w:r>
      <w:r w:rsidR="0099563E">
        <w:t xml:space="preserve">which </w:t>
      </w:r>
      <w:r w:rsidR="003F009C" w:rsidRPr="00685C11">
        <w:t xml:space="preserve">shall </w:t>
      </w:r>
      <w:r w:rsidR="0099563E">
        <w:t>respond with</w:t>
      </w:r>
      <w:r w:rsidR="003F009C" w:rsidRPr="00685C11">
        <w:t xml:space="preserve"> </w:t>
      </w:r>
      <w:r w:rsidR="0099563E">
        <w:t xml:space="preserve">the transmission of </w:t>
      </w:r>
      <w:r w:rsidR="003F009C" w:rsidRPr="00685C11">
        <w:t xml:space="preserve">a Multi-Relays Channel Measurement Report frame </w:t>
      </w:r>
      <w:r w:rsidR="0099563E">
        <w:t xml:space="preserve">back </w:t>
      </w:r>
      <w:r w:rsidR="003F009C" w:rsidRPr="00685C11">
        <w:t>to the source RUS.</w:t>
      </w:r>
      <w:r w:rsidR="00BF3B79">
        <w:t xml:space="preserve"> </w:t>
      </w:r>
      <w:r w:rsidR="003F009C" w:rsidRPr="00685C11">
        <w:t xml:space="preserve">Following the reception of this frame, the source RUS should perform BF with the destination RUS as described in </w:t>
      </w:r>
      <w:r w:rsidR="00BD151C">
        <w:fldChar w:fldCharType="begin"/>
      </w:r>
      <w:r w:rsidR="00BF3B79">
        <w:instrText xml:space="preserve"> REF _Ref259715675 \r \h </w:instrText>
      </w:r>
      <w:r w:rsidR="00BD151C">
        <w:fldChar w:fldCharType="separate"/>
      </w:r>
      <w:r w:rsidR="003E4210">
        <w:t>9.25</w:t>
      </w:r>
      <w:r w:rsidR="00BD151C">
        <w:fldChar w:fldCharType="end"/>
      </w:r>
      <w:r w:rsidR="003F009C" w:rsidRPr="00685C11">
        <w:t>, and once BF is completed the source RUS shall transmit a Multi-Relays Channel Measurement Request frame to the destination RUS. In response, the destination RUS shall transmit a Multi-Relays Channel Measurement Report frame to the source RUS including the channel measurement information between the destination RUS and all RSUSs known to the destination RUS. To shorten the time it takes to complete this procedure, STAs can limit BF to the SLS phase only.</w:t>
      </w:r>
    </w:p>
    <w:p w:rsidR="003F009C" w:rsidRPr="00685C11" w:rsidRDefault="003F009C" w:rsidP="003F009C"/>
    <w:p w:rsidR="003F009C" w:rsidRPr="00685C11" w:rsidRDefault="003F009C" w:rsidP="003F009C">
      <w:r w:rsidRPr="00685C11">
        <w:t>Once this procedure is completed, the source RUS becomes aware of all the channel measurement information between the source RUS and zero or more RSUSs, and between the destination RUS and zero or more RSUSs. The source RUS shall then select a single STA to operate as the RSUS between the source RUS and the destination RUS. The selection of the RSUS is implementation-dependent, and it can be based on information contained within an RSUS’ Relay capability element and channel measurements.</w:t>
      </w:r>
    </w:p>
    <w:p w:rsidR="003F009C" w:rsidRDefault="003F009C" w:rsidP="00BF6131"/>
    <w:p w:rsidR="003F009C" w:rsidRDefault="003F009C" w:rsidP="003F009C">
      <w:pPr>
        <w:pStyle w:val="Heading4"/>
        <w:rPr>
          <w:lang w:eastAsia="ko-KR"/>
        </w:rPr>
      </w:pPr>
      <w:bookmarkStart w:id="2881" w:name="_Ref259715930"/>
      <w:bookmarkStart w:id="2882" w:name="_Ref259715935"/>
      <w:bookmarkStart w:id="2883" w:name="_Toc259717274"/>
      <w:r>
        <w:rPr>
          <w:lang w:eastAsia="ko-KR"/>
        </w:rPr>
        <w:t>11.37.1.3 RLS procedure</w:t>
      </w:r>
      <w:bookmarkEnd w:id="2881"/>
      <w:bookmarkEnd w:id="2882"/>
      <w:bookmarkEnd w:id="2883"/>
    </w:p>
    <w:p w:rsidR="003F009C" w:rsidRDefault="003F009C" w:rsidP="00BF6131"/>
    <w:p w:rsidR="00685C11" w:rsidRPr="00685C11" w:rsidRDefault="00685C11" w:rsidP="00685C11">
      <w:pPr>
        <w:rPr>
          <w:lang w:eastAsia="ko-KR"/>
        </w:rPr>
      </w:pPr>
      <w:r w:rsidRPr="00685C11">
        <w:rPr>
          <w:lang w:eastAsia="ko-KR"/>
        </w:rPr>
        <w:t>Following the selection of the RSUS to be used between the source RUS and the destination RUS, the source RUS initiates the RLS procedure by sending a</w:t>
      </w:r>
      <w:r w:rsidR="00A66A9E">
        <w:rPr>
          <w:lang w:eastAsia="ko-KR"/>
        </w:rPr>
        <w:t>n</w:t>
      </w:r>
      <w:r w:rsidRPr="00685C11">
        <w:rPr>
          <w:lang w:eastAsia="ko-KR"/>
        </w:rPr>
        <w:t xml:space="preserve"> RLS Request frame to the selected RSUS. The RLS Request frame includes</w:t>
      </w:r>
      <w:r w:rsidRPr="00685C11">
        <w:t xml:space="preserve"> the capabilities</w:t>
      </w:r>
      <w:r w:rsidRPr="00685C11">
        <w:rPr>
          <w:lang w:eastAsia="ko-KR"/>
        </w:rPr>
        <w:t xml:space="preserve"> and the AIDs of the source RUS, the destination RUS, and the RSUS, and the </w:t>
      </w:r>
      <w:r w:rsidRPr="00685C11">
        <w:t>relay transfer parameter set</w:t>
      </w:r>
      <w:r w:rsidRPr="00685C11">
        <w:rPr>
          <w:lang w:eastAsia="ko-KR"/>
        </w:rPr>
        <w:t>. Upon receiving the RLS Request frame, the RSUS shall transmit a</w:t>
      </w:r>
      <w:r w:rsidR="00A66A9E">
        <w:rPr>
          <w:lang w:eastAsia="ko-KR"/>
        </w:rPr>
        <w:t>n</w:t>
      </w:r>
      <w:r w:rsidRPr="00685C11">
        <w:rPr>
          <w:lang w:eastAsia="ko-KR"/>
        </w:rPr>
        <w:t xml:space="preserve"> RLS Request frame to the destination RUS containing the same information as received within the frame body of the source RUS’ RLS Request frame.</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Following the reception of a</w:t>
      </w:r>
      <w:r w:rsidR="00A66A9E">
        <w:rPr>
          <w:lang w:eastAsia="ko-KR"/>
        </w:rPr>
        <w:t>n</w:t>
      </w:r>
      <w:r w:rsidRPr="00685C11">
        <w:rPr>
          <w:lang w:eastAsia="ko-KR"/>
        </w:rPr>
        <w:t xml:space="preserve"> RLS Request frame, the destination RUS shall transmit a</w:t>
      </w:r>
      <w:r w:rsidR="00A66A9E">
        <w:rPr>
          <w:lang w:eastAsia="ko-KR"/>
        </w:rPr>
        <w:t>n</w:t>
      </w:r>
      <w:r w:rsidRPr="00685C11">
        <w:rPr>
          <w:lang w:eastAsia="ko-KR"/>
        </w:rPr>
        <w:t xml:space="preserve"> RLS Response frame to the RSUS with the destination status code field set to 0 if the destination RUS is willing to participate in the RLS, and set to 37 if the destination RUS is not willing to participate in the RLS. Upon receiving the RLS Response frame, the RSUS shall transmit a</w:t>
      </w:r>
      <w:r w:rsidR="00A66A9E">
        <w:rPr>
          <w:lang w:eastAsia="ko-KR"/>
        </w:rPr>
        <w:t>n</w:t>
      </w:r>
      <w:r w:rsidRPr="00685C11">
        <w:rPr>
          <w:lang w:eastAsia="ko-KR"/>
        </w:rPr>
        <w:t xml:space="preserve"> RLS Response frame to the source RUS containing the same information as received within the destination RUS’ RLS Response frame, with the exception that the RSUS shall set the relay status code field to 0 if the RSUS is willing to participate in the RLS, and shall set it to 37 if the RSUS is not willing to participate in the RLS.</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Upon reception of a</w:t>
      </w:r>
      <w:r w:rsidR="00A66A9E">
        <w:rPr>
          <w:lang w:eastAsia="ko-KR"/>
        </w:rPr>
        <w:t>n</w:t>
      </w:r>
      <w:r w:rsidRPr="00685C11">
        <w:rPr>
          <w:lang w:eastAsia="ko-KR"/>
        </w:rPr>
        <w:t xml:space="preserve"> RLS Response frame from the RSUS with the destination status code and relay status code fields set to 0, the source STA may transmit an RLS Announcement frame to the PCP/AP to indicate that the RLS procedure was successfully completed. If either or both of the destination status code and relay status code fields are different than zero, the RLS procedure is unsuccessful.</w:t>
      </w:r>
    </w:p>
    <w:p w:rsidR="00685C11" w:rsidRPr="00685C11" w:rsidRDefault="00685C11" w:rsidP="00685C11">
      <w:pPr>
        <w:rPr>
          <w:lang w:eastAsia="ko-KR"/>
        </w:rPr>
      </w:pPr>
    </w:p>
    <w:p w:rsidR="00685C11" w:rsidRPr="00685C11" w:rsidRDefault="00685C11" w:rsidP="00685C11">
      <w:pPr>
        <w:jc w:val="both"/>
        <w:rPr>
          <w:lang w:eastAsia="ko-KR"/>
        </w:rPr>
      </w:pPr>
      <w:r w:rsidRPr="00685C11">
        <w:rPr>
          <w:lang w:eastAsia="ko-KR"/>
        </w:rPr>
        <w:t>Upon the completion of RLS procedure, the source RUS, the destination RUS, and the RSUS can redo BF amongst them.</w:t>
      </w:r>
    </w:p>
    <w:p w:rsidR="003F009C" w:rsidRDefault="003F009C" w:rsidP="00BF6131"/>
    <w:p w:rsidR="003F009C" w:rsidRPr="00DB7490" w:rsidRDefault="00685C11" w:rsidP="00685C11">
      <w:pPr>
        <w:pStyle w:val="Heading3"/>
      </w:pPr>
      <w:bookmarkStart w:id="2884" w:name="_Ref259715670"/>
      <w:bookmarkStart w:id="2885" w:name="_Ref259715671"/>
      <w:bookmarkStart w:id="2886" w:name="_Toc259717275"/>
      <w:r>
        <w:lastRenderedPageBreak/>
        <w:t>11.37.2 Link switching type</w:t>
      </w:r>
      <w:bookmarkEnd w:id="2884"/>
      <w:bookmarkEnd w:id="2885"/>
      <w:bookmarkEnd w:id="2886"/>
    </w:p>
    <w:p w:rsidR="00BF6131" w:rsidRDefault="00BF613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A source RUS that has successfully completed a</w:t>
      </w:r>
      <w:r w:rsidR="00A66A9E">
        <w:rPr>
          <w:lang w:eastAsia="ko-KR"/>
        </w:rPr>
        <w:t>n</w:t>
      </w:r>
      <w:r w:rsidRPr="00685C11">
        <w:rPr>
          <w:lang w:eastAsia="ko-KR"/>
        </w:rPr>
        <w:t xml:space="preserve"> RLS procedure with a destination RUS for which the value of the Cooperation-Mode subfield within the negotiated Relay Transfer Parameter Set element is set to 0 may use the selected RSUS between the source RUS and destination RUS for the purpose of link switching. This is described in this subclause.</w:t>
      </w:r>
    </w:p>
    <w:p w:rsidR="00685C11" w:rsidRDefault="00685C11" w:rsidP="005F7464">
      <w:pPr>
        <w:jc w:val="both"/>
        <w:rPr>
          <w:rFonts w:ascii="TimesNewRomanPSMT" w:hAnsi="TimesNewRomanPSMT"/>
          <w:b/>
          <w:color w:val="FF0000"/>
          <w:u w:val="single"/>
        </w:rPr>
      </w:pPr>
    </w:p>
    <w:p w:rsidR="00685C11" w:rsidRDefault="00685C11" w:rsidP="00685C11">
      <w:pPr>
        <w:pStyle w:val="Heading4"/>
      </w:pPr>
      <w:bookmarkStart w:id="2887" w:name="_Toc259717276"/>
      <w:r>
        <w:t>11.37.2.1 SP request and allocation</w:t>
      </w:r>
      <w:bookmarkEnd w:id="2887"/>
    </w:p>
    <w:p w:rsidR="00685C11" w:rsidRDefault="00685C1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 xml:space="preserve">The source RUS uses the procedures described in </w:t>
      </w:r>
      <w:r w:rsidR="00BD151C">
        <w:rPr>
          <w:lang w:eastAsia="ko-KR"/>
        </w:rPr>
        <w:fldChar w:fldCharType="begin"/>
      </w:r>
      <w:r w:rsidR="00BF3B79">
        <w:rPr>
          <w:lang w:eastAsia="ko-KR"/>
        </w:rPr>
        <w:instrText xml:space="preserve"> REF _Ref259715715 \r \h </w:instrText>
      </w:r>
      <w:r w:rsidR="00BD151C">
        <w:rPr>
          <w:lang w:eastAsia="ko-KR"/>
        </w:rPr>
      </w:r>
      <w:r w:rsidR="00BD151C">
        <w:rPr>
          <w:lang w:eastAsia="ko-KR"/>
        </w:rPr>
        <w:fldChar w:fldCharType="separate"/>
      </w:r>
      <w:r w:rsidR="003E4210">
        <w:rPr>
          <w:lang w:eastAsia="ko-KR"/>
        </w:rPr>
        <w:t>11.4</w:t>
      </w:r>
      <w:r w:rsidR="00BD151C">
        <w:rPr>
          <w:lang w:eastAsia="ko-KR"/>
        </w:rPr>
        <w:fldChar w:fldCharType="end"/>
      </w:r>
      <w:r w:rsidRPr="00685C11">
        <w:rPr>
          <w:lang w:eastAsia="ko-KR"/>
        </w:rPr>
        <w:t xml:space="preserve"> to request an SP allocation between itself and the destination RUS.</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 xml:space="preserve">Upon receiving an ADDTS Request frame for which the source AID and the destination AID fields within the Extended mmWave TSPEC element are equal to, respectively, a source RUS and a destination RUS pair known to the PCP/AP to have successfully completed the RLS procedure, the PCP/AP schedules an SP with the source STA as the source RUS and the destination STA as the destination RUS.  </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An RSUS shall</w:t>
      </w:r>
      <w:r w:rsidRPr="00685C11">
        <w:t xml:space="preserve"> </w:t>
      </w:r>
      <w:r w:rsidRPr="00685C11">
        <w:rPr>
          <w:lang w:eastAsia="ko-KR"/>
        </w:rPr>
        <w:t xml:space="preserve">check </w:t>
      </w:r>
      <w:r w:rsidRPr="00685C11">
        <w:t>the value of the source AID and the destination AID</w:t>
      </w:r>
      <w:r w:rsidRPr="00685C11">
        <w:rPr>
          <w:lang w:eastAsia="ko-KR"/>
        </w:rPr>
        <w:t xml:space="preserve"> fields of each SP allocation within an Extended </w:t>
      </w:r>
      <w:r w:rsidRPr="00685C11">
        <w:t xml:space="preserve">Schedule </w:t>
      </w:r>
      <w:r w:rsidRPr="00685C11">
        <w:rPr>
          <w:lang w:eastAsia="ko-KR"/>
        </w:rPr>
        <w:t>element</w:t>
      </w:r>
      <w:r w:rsidRPr="00685C11">
        <w:t xml:space="preserve"> it receives in a mmWave Beacon or Announce frame from the PCP</w:t>
      </w:r>
      <w:r w:rsidRPr="00685C11">
        <w:rPr>
          <w:lang w:eastAsia="ko-KR"/>
        </w:rPr>
        <w:t>/AP</w:t>
      </w:r>
      <w:r w:rsidRPr="00685C11">
        <w:t xml:space="preserve">. If the value of </w:t>
      </w:r>
      <w:r w:rsidR="00A66A9E">
        <w:t>the</w:t>
      </w:r>
      <w:r w:rsidRPr="00685C11">
        <w:t xml:space="preserve"> source AID and the destination AID fields of an SP allocation </w:t>
      </w:r>
      <w:r w:rsidRPr="00685C11">
        <w:rPr>
          <w:lang w:eastAsia="ko-KR"/>
        </w:rPr>
        <w:t>correspond</w:t>
      </w:r>
      <w:r w:rsidRPr="00685C11">
        <w:t xml:space="preserve"> to a source RUS and a destination RUS which have successfully completed the RLS setup procedure (</w:t>
      </w:r>
      <w:r w:rsidR="00BD151C">
        <w:fldChar w:fldCharType="begin"/>
      </w:r>
      <w:r w:rsidR="00BF3B79">
        <w:instrText xml:space="preserve"> REF _Ref259715748 \h </w:instrText>
      </w:r>
      <w:r w:rsidR="00BD151C">
        <w:fldChar w:fldCharType="separate"/>
      </w:r>
      <w:r w:rsidR="003E4210">
        <w:t>11.37.1 Common relay setup procedures</w:t>
      </w:r>
      <w:r w:rsidR="00BD151C">
        <w:fldChar w:fldCharType="end"/>
      </w:r>
      <w:r w:rsidRPr="00685C11">
        <w:t xml:space="preserve">), the </w:t>
      </w:r>
      <w:r w:rsidRPr="00685C11">
        <w:rPr>
          <w:lang w:eastAsia="ko-KR"/>
        </w:rPr>
        <w:t>RSUS</w:t>
      </w:r>
      <w:r w:rsidRPr="00685C11">
        <w:t xml:space="preserve"> </w:t>
      </w:r>
      <w:r w:rsidRPr="00685C11">
        <w:rPr>
          <w:lang w:eastAsia="ko-KR"/>
        </w:rPr>
        <w:t>is allowed to</w:t>
      </w:r>
      <w:r w:rsidRPr="00685C11">
        <w:t xml:space="preserve"> operate as a</w:t>
      </w:r>
      <w:r w:rsidRPr="00685C11">
        <w:rPr>
          <w:lang w:eastAsia="ko-KR"/>
        </w:rPr>
        <w:t>n</w:t>
      </w:r>
      <w:r w:rsidRPr="00685C11">
        <w:t xml:space="preserve"> RSUS during that SP allocation</w:t>
      </w:r>
      <w:r w:rsidRPr="00685C11">
        <w:rPr>
          <w:lang w:eastAsia="ko-KR"/>
        </w:rPr>
        <w:t>.</w:t>
      </w:r>
    </w:p>
    <w:p w:rsidR="00685C11" w:rsidRDefault="00685C11" w:rsidP="005F7464">
      <w:pPr>
        <w:jc w:val="both"/>
        <w:rPr>
          <w:rFonts w:ascii="TimesNewRomanPSMT" w:hAnsi="TimesNewRomanPSMT"/>
          <w:b/>
          <w:color w:val="FF0000"/>
          <w:u w:val="single"/>
        </w:rPr>
      </w:pPr>
    </w:p>
    <w:p w:rsidR="00685C11" w:rsidRDefault="00685C11" w:rsidP="00685C11">
      <w:pPr>
        <w:pStyle w:val="Heading4"/>
      </w:pPr>
      <w:bookmarkStart w:id="2888" w:name="_Toc259717277"/>
      <w:r>
        <w:t>11.37.2.2 Usage of RSUS</w:t>
      </w:r>
      <w:bookmarkEnd w:id="2888"/>
    </w:p>
    <w:p w:rsidR="00685C11" w:rsidRDefault="00685C1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 xml:space="preserve">In link switching type, an RSUS operates either in FD/AF mode or in HD/DF mode. </w:t>
      </w:r>
      <w:r w:rsidRPr="00685C11">
        <w:t>A</w:t>
      </w:r>
      <w:r w:rsidRPr="00685C11">
        <w:rPr>
          <w:lang w:eastAsia="ko-KR"/>
        </w:rPr>
        <w:t>n</w:t>
      </w:r>
      <w:r w:rsidRPr="00685C11">
        <w:t xml:space="preserve"> RSUS</w:t>
      </w:r>
      <w:r w:rsidRPr="00685C11">
        <w:rPr>
          <w:lang w:eastAsia="ko-KR"/>
        </w:rPr>
        <w:t xml:space="preserve"> capable of FD/AF relaying </w:t>
      </w:r>
      <w:r w:rsidRPr="00685C11">
        <w:t xml:space="preserve">shall be in one of two </w:t>
      </w:r>
      <w:r w:rsidRPr="00685C11">
        <w:rPr>
          <w:lang w:eastAsia="ko-KR"/>
        </w:rPr>
        <w:t>frame transmiss</w:t>
      </w:r>
      <w:r w:rsidRPr="00685C11">
        <w:t>ion modes:</w:t>
      </w:r>
      <w:r w:rsidRPr="00685C11">
        <w:rPr>
          <w:lang w:eastAsia="ko-KR"/>
        </w:rPr>
        <w:t xml:space="preserve"> </w:t>
      </w:r>
    </w:p>
    <w:p w:rsidR="00685C11" w:rsidRPr="00685C11" w:rsidRDefault="00685C11" w:rsidP="003701DB">
      <w:pPr>
        <w:pStyle w:val="ListParagraph"/>
        <w:numPr>
          <w:ilvl w:val="0"/>
          <w:numId w:val="230"/>
        </w:numPr>
        <w:contextualSpacing/>
        <w:rPr>
          <w:lang w:eastAsia="ko-KR"/>
        </w:rPr>
      </w:pPr>
      <w:r w:rsidRPr="00685C11">
        <w:rPr>
          <w:b/>
        </w:rPr>
        <w:t>Normal mode</w:t>
      </w:r>
      <w:r w:rsidRPr="00685C11">
        <w:t xml:space="preserve">: </w:t>
      </w:r>
      <w:r w:rsidRPr="00685C11">
        <w:rPr>
          <w:lang w:eastAsia="ko-KR"/>
        </w:rPr>
        <w:t>a pair of source RUS and destination RUS</w:t>
      </w:r>
      <w:r w:rsidRPr="00685C11">
        <w:t xml:space="preserve"> exchange frames via </w:t>
      </w:r>
      <w:r w:rsidRPr="00685C11">
        <w:rPr>
          <w:lang w:eastAsia="ko-KR"/>
        </w:rPr>
        <w:t xml:space="preserve">either </w:t>
      </w:r>
      <w:r w:rsidRPr="00685C11">
        <w:t xml:space="preserve">the direct </w:t>
      </w:r>
      <w:r w:rsidRPr="00685C11">
        <w:rPr>
          <w:lang w:eastAsia="ko-KR"/>
        </w:rPr>
        <w:t>link</w:t>
      </w:r>
      <w:r w:rsidRPr="00685C11">
        <w:t xml:space="preserve"> </w:t>
      </w:r>
      <w:r w:rsidRPr="00685C11">
        <w:rPr>
          <w:lang w:eastAsia="ko-KR"/>
        </w:rPr>
        <w:t xml:space="preserve">or the relay link </w:t>
      </w:r>
      <w:r w:rsidRPr="00685C11">
        <w:t xml:space="preserve">until this </w:t>
      </w:r>
      <w:r w:rsidRPr="00685C11">
        <w:rPr>
          <w:lang w:eastAsia="ko-KR"/>
        </w:rPr>
        <w:t>link</w:t>
      </w:r>
      <w:r w:rsidRPr="00685C11">
        <w:t xml:space="preserve"> is determined to become unavailable due to, for example, blockage or channel degradation.</w:t>
      </w:r>
    </w:p>
    <w:p w:rsidR="00685C11" w:rsidRPr="00685C11" w:rsidRDefault="00685C11" w:rsidP="003701DB">
      <w:pPr>
        <w:pStyle w:val="ListParagraph"/>
        <w:numPr>
          <w:ilvl w:val="0"/>
          <w:numId w:val="230"/>
        </w:numPr>
        <w:contextualSpacing/>
        <w:rPr>
          <w:lang w:eastAsia="ko-KR"/>
        </w:rPr>
      </w:pPr>
      <w:r w:rsidRPr="00685C11">
        <w:rPr>
          <w:b/>
        </w:rPr>
        <w:t>Alternation m</w:t>
      </w:r>
      <w:r w:rsidRPr="00685C11">
        <w:rPr>
          <w:b/>
          <w:lang w:eastAsia="ko-KR"/>
        </w:rPr>
        <w:t>ode</w:t>
      </w:r>
      <w:r w:rsidRPr="00685C11">
        <w:rPr>
          <w:lang w:eastAsia="ko-KR"/>
        </w:rPr>
        <w:t>: a source RUS and a destination RUS</w:t>
      </w:r>
      <w:r w:rsidRPr="00685C11">
        <w:t xml:space="preserve"> </w:t>
      </w:r>
      <w:r w:rsidRPr="00685C11">
        <w:rPr>
          <w:lang w:eastAsia="ko-KR"/>
        </w:rPr>
        <w:t>exchange</w:t>
      </w:r>
      <w:r w:rsidRPr="00685C11">
        <w:t xml:space="preserve"> frames via </w:t>
      </w:r>
      <w:r w:rsidRPr="00685C11">
        <w:rPr>
          <w:lang w:eastAsia="ko-KR"/>
        </w:rPr>
        <w:t>two</w:t>
      </w:r>
      <w:r w:rsidRPr="00685C11">
        <w:t xml:space="preserve"> separate </w:t>
      </w:r>
      <w:r w:rsidRPr="00685C11">
        <w:rPr>
          <w:lang w:eastAsia="ko-KR"/>
        </w:rPr>
        <w:t>link</w:t>
      </w:r>
      <w:r w:rsidRPr="00685C11">
        <w:t xml:space="preserve">s, where the use of each link </w:t>
      </w:r>
      <w:r w:rsidRPr="00685C11">
        <w:rPr>
          <w:lang w:eastAsia="ko-KR"/>
        </w:rPr>
        <w:t>alternates at each Link Change Interval</w:t>
      </w:r>
      <w:r w:rsidRPr="00685C11">
        <w:t>. T</w:t>
      </w:r>
      <w:r w:rsidRPr="00685C11">
        <w:rPr>
          <w:lang w:eastAsia="ko-KR"/>
        </w:rPr>
        <w:t>he Link Cha</w:t>
      </w:r>
      <w:r w:rsidRPr="00685C11">
        <w:t>n</w:t>
      </w:r>
      <w:r w:rsidRPr="00685C11">
        <w:rPr>
          <w:lang w:eastAsia="ko-KR"/>
        </w:rPr>
        <w:t>ge Inter</w:t>
      </w:r>
      <w:r w:rsidRPr="00685C11">
        <w:t>val specifies</w:t>
      </w:r>
      <w:r w:rsidRPr="00685C11">
        <w:rPr>
          <w:lang w:eastAsia="ko-KR"/>
        </w:rPr>
        <w:t xml:space="preserve"> th</w:t>
      </w:r>
      <w:r w:rsidRPr="00685C11">
        <w:t>e</w:t>
      </w:r>
      <w:r w:rsidRPr="00685C11">
        <w:rPr>
          <w:lang w:eastAsia="ko-KR"/>
        </w:rPr>
        <w:t xml:space="preserve"> tim</w:t>
      </w:r>
      <w:r w:rsidRPr="00685C11">
        <w:t xml:space="preserve">e instants at </w:t>
      </w:r>
      <w:r w:rsidRPr="00685C11">
        <w:rPr>
          <w:lang w:eastAsia="ko-KR"/>
        </w:rPr>
        <w:t>w</w:t>
      </w:r>
      <w:r w:rsidRPr="00685C11">
        <w:t>hich a sour</w:t>
      </w:r>
      <w:r w:rsidRPr="00685C11">
        <w:rPr>
          <w:lang w:eastAsia="ko-KR"/>
        </w:rPr>
        <w:t xml:space="preserve">ce RUS </w:t>
      </w:r>
      <w:r w:rsidRPr="00685C11">
        <w:t>is allowed to</w:t>
      </w:r>
      <w:r w:rsidRPr="00685C11">
        <w:rPr>
          <w:lang w:eastAsia="ko-KR"/>
        </w:rPr>
        <w:t xml:space="preserve"> cha</w:t>
      </w:r>
      <w:r w:rsidRPr="00685C11">
        <w:t xml:space="preserve">nge the </w:t>
      </w:r>
      <w:r w:rsidRPr="00685C11">
        <w:rPr>
          <w:lang w:eastAsia="ko-KR"/>
        </w:rPr>
        <w:t>l</w:t>
      </w:r>
      <w:r w:rsidRPr="00685C11">
        <w:t xml:space="preserve">ink used for a </w:t>
      </w:r>
      <w:r w:rsidRPr="00685C11">
        <w:rPr>
          <w:lang w:eastAsia="ko-KR"/>
        </w:rPr>
        <w:t xml:space="preserve">frame </w:t>
      </w:r>
      <w:r w:rsidRPr="00685C11">
        <w:t>t</w:t>
      </w:r>
      <w:r w:rsidRPr="00685C11">
        <w:rPr>
          <w:lang w:eastAsia="ko-KR"/>
        </w:rPr>
        <w:t>rans</w:t>
      </w:r>
      <w:r w:rsidRPr="00685C11">
        <w:t xml:space="preserve">mission to the destination RUS as </w:t>
      </w:r>
      <w:r w:rsidRPr="00685C11">
        <w:rPr>
          <w:lang w:eastAsia="ko-KR"/>
        </w:rPr>
        <w:t>specified</w:t>
      </w:r>
      <w:r w:rsidRPr="00685C11">
        <w:t xml:space="preserve"> in </w:t>
      </w:r>
      <w:r w:rsidR="00BD151C">
        <w:fldChar w:fldCharType="begin"/>
      </w:r>
      <w:r w:rsidR="00523A9A">
        <w:instrText xml:space="preserve"> REF _Ref259712240 \r \h </w:instrText>
      </w:r>
      <w:r w:rsidR="00BD151C">
        <w:fldChar w:fldCharType="separate"/>
      </w:r>
      <w:r w:rsidR="003E4210">
        <w:t>7.3.2.111</w:t>
      </w:r>
      <w:r w:rsidR="00BD151C">
        <w:fldChar w:fldCharType="end"/>
      </w:r>
      <w:r w:rsidR="00523A9A">
        <w:t>.</w:t>
      </w:r>
    </w:p>
    <w:p w:rsidR="00685C11" w:rsidRPr="00685C11" w:rsidRDefault="00685C11" w:rsidP="00685C11"/>
    <w:p w:rsidR="00685C11" w:rsidRPr="00685C11" w:rsidRDefault="00685C11" w:rsidP="00685C11">
      <w:pPr>
        <w:rPr>
          <w:lang w:eastAsia="ko-KR"/>
        </w:rPr>
      </w:pPr>
      <w:r w:rsidRPr="00685C11">
        <w:rPr>
          <w:lang w:eastAsia="ko-KR"/>
        </w:rPr>
        <w:t xml:space="preserve">An RSUS that supports only HD/DF shall operate in the Normal mode. </w:t>
      </w:r>
    </w:p>
    <w:p w:rsidR="00685C11" w:rsidRPr="00685C11" w:rsidRDefault="00685C11" w:rsidP="00685C11">
      <w:pPr>
        <w:rPr>
          <w:lang w:eastAsia="ko-KR"/>
        </w:rPr>
      </w:pPr>
    </w:p>
    <w:p w:rsidR="00685C11" w:rsidRPr="00685C11" w:rsidRDefault="00685C11" w:rsidP="00685C11">
      <w:r w:rsidRPr="00685C11">
        <w:t xml:space="preserve">The frame transmission mode is indicated in the </w:t>
      </w:r>
      <w:r w:rsidRPr="00685C11">
        <w:rPr>
          <w:lang w:eastAsia="ko-KR"/>
        </w:rPr>
        <w:t xml:space="preserve">Relay Transfer Parameter Set element exchanged by the source RUS, destination RUS, and RSUS during the RLS procedure. A source RUS or destination RUS may change the transmission mode used in a relay link following a successful exchange of RLS Request and RLS Response frames as described </w:t>
      </w:r>
      <w:r w:rsidRPr="00685C11">
        <w:t xml:space="preserve">in </w:t>
      </w:r>
      <w:r w:rsidR="00BD151C">
        <w:fldChar w:fldCharType="begin"/>
      </w:r>
      <w:r w:rsidR="00523A9A">
        <w:instrText xml:space="preserve"> REF _Ref259715935 \h </w:instrText>
      </w:r>
      <w:r w:rsidR="00BD151C">
        <w:fldChar w:fldCharType="separate"/>
      </w:r>
      <w:r w:rsidR="003E4210">
        <w:rPr>
          <w:lang w:eastAsia="ko-KR"/>
        </w:rPr>
        <w:t>11.37.1.3 RLS procedure</w:t>
      </w:r>
      <w:r w:rsidR="00BD151C">
        <w:fldChar w:fldCharType="end"/>
      </w:r>
      <w:r w:rsidRPr="00685C11">
        <w:t>.</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lastRenderedPageBreak/>
        <w:t>An RSUS shall start to operate as RSUS at the start of an SP for which the value of the source AID and destination AID fields for that SP are equal to, respectively, the source RUS and destination RUS for which the RSUS has successfully completed the RLS procedure. The RSUS can determine the SPs for which it operates as an RSUS upon the reception of an Extended Schedule element.</w:t>
      </w:r>
    </w:p>
    <w:p w:rsidR="00685C11" w:rsidRDefault="00685C11" w:rsidP="005F7464">
      <w:pPr>
        <w:jc w:val="both"/>
        <w:rPr>
          <w:rFonts w:ascii="TimesNewRomanPSMT" w:hAnsi="TimesNewRomanPSMT"/>
          <w:b/>
          <w:color w:val="FF0000"/>
          <w:u w:val="single"/>
        </w:rPr>
      </w:pPr>
    </w:p>
    <w:p w:rsidR="00685C11" w:rsidRDefault="00685C11" w:rsidP="00685C11">
      <w:pPr>
        <w:pStyle w:val="Heading4"/>
      </w:pPr>
      <w:bookmarkStart w:id="2889" w:name="_Toc259717278"/>
      <w:bookmarkStart w:id="2890" w:name="_Ref260305860"/>
      <w:r>
        <w:t>11.37.2.3 Relay frame exchange rules</w:t>
      </w:r>
      <w:bookmarkEnd w:id="2889"/>
      <w:bookmarkEnd w:id="2890"/>
    </w:p>
    <w:p w:rsidR="00685C11" w:rsidRDefault="00685C1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Following the completion of the RLS procedure and SP allocation, each of the source RUS, destination RUS, and RSUS have a direct link with one another.</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The values of Link Change Interval and Data Sensing Time are indicated within the Relay Transfer Parameter Set transmitted by the source RUS to the destination RUS d</w:t>
      </w:r>
      <w:r w:rsidR="00523A9A">
        <w:rPr>
          <w:lang w:eastAsia="ko-KR"/>
        </w:rPr>
        <w:t>uring the RLS procedure. Either t</w:t>
      </w:r>
      <w:r w:rsidRPr="00685C11">
        <w:rPr>
          <w:lang w:eastAsia="ko-KR"/>
        </w:rPr>
        <w:t>he Link Change Interval period or the First Period begins at the start of an SP between the source RUS and the destination RUS, and any transmission by the source RUS, destination RUS, and RSUS within a Link Change Interval period shall use the same link that is used at the start of the Link Change Interval period. A new Link Change Interval period starts immediately after another Link Change Interval period, but shall not exceed the end of the SP.</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 xml:space="preserve">In the normal mode, a source RUS shall use the direct link to initiate frame transmission to the destination RUS at the start of the first SP allocated between the source RUS and destination RUS for a particular TID. At the start of the following SP allocations for that same TID, the source RUS uses the last link in which a frame transmission to the destination RUS via this link was successful. In the alternation mode, the source STA shall alternate the frame transmission to the destination RUS between direct frame transmission to the destination RUS and frame transmission through the RSUS. The source RUS shall alternate the link used for a frame transmission at the start of each Link Change Interval. </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 xml:space="preserve">If a source RUS transmits a frame to the destination RUS via the direct link but does not receive an expected ACK frame or BA frame from the destination RUS during a Link Change Interval period, the source RUS should change the link used for frame transmission at the start of the following Link Change Interval period and use the RSUS to forward frames to the destination RUS. </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If a source RUS transmits a frame to the destination RUS via the RSUS but does not receive an expected ACK frame or BA frame from the RSUS during a Link Change Interval period or a First Period, the source RUS should change the link used for frame transmission at the start of the following Link Change Interval period or the following First Period and transmit frames directly to the destination RUS.</w:t>
      </w:r>
    </w:p>
    <w:p w:rsidR="00685C11" w:rsidRDefault="00685C11" w:rsidP="005F7464">
      <w:pPr>
        <w:jc w:val="both"/>
        <w:rPr>
          <w:rFonts w:ascii="TimesNewRomanPSMT" w:hAnsi="TimesNewRomanPSMT"/>
          <w:b/>
          <w:color w:val="FF0000"/>
          <w:u w:val="single"/>
        </w:rPr>
      </w:pPr>
    </w:p>
    <w:p w:rsidR="00685C11" w:rsidRDefault="00685C11" w:rsidP="00685C11">
      <w:pPr>
        <w:pStyle w:val="Heading5"/>
      </w:pPr>
      <w:bookmarkStart w:id="2891" w:name="_Toc259717279"/>
      <w:r>
        <w:t>11.37.2.3.1 Additional frame exchange rules for FD/AF RSUS</w:t>
      </w:r>
      <w:bookmarkEnd w:id="2891"/>
    </w:p>
    <w:p w:rsidR="00685C11" w:rsidRPr="00481CF8" w:rsidRDefault="00685C11" w:rsidP="00685C11">
      <w:pPr>
        <w:rPr>
          <w:lang w:eastAsia="ko-KR"/>
        </w:rPr>
      </w:pPr>
      <w:r w:rsidRPr="00481CF8">
        <w:t xml:space="preserve">If the source RUS decides to change the link at the start of the following Link Change Interval period and the Normal mode is used, the source RUS shall start its frame transmission </w:t>
      </w:r>
      <w:r w:rsidRPr="00481CF8">
        <w:rPr>
          <w:lang w:eastAsia="ko-KR"/>
        </w:rPr>
        <w:t>after Data Sensing Time from the start of the following Link Change Interval period</w:t>
      </w:r>
      <w:r w:rsidRPr="00481CF8">
        <w:t xml:space="preserve">. If the Alternation mode is used, the source RUS alternates the link used for frame transmission </w:t>
      </w:r>
      <w:r w:rsidRPr="00481CF8">
        <w:rPr>
          <w:lang w:eastAsia="ko-KR"/>
        </w:rPr>
        <w:t>at the start of each Link Change Interval period and the value of Data Sensing Time is ignored</w:t>
      </w:r>
      <w:r w:rsidRPr="00481CF8">
        <w:t>.</w:t>
      </w:r>
      <w:r w:rsidRPr="00481CF8">
        <w:rPr>
          <w:lang w:eastAsia="ko-KR"/>
        </w:rPr>
        <w:t xml:space="preserve"> </w:t>
      </w:r>
    </w:p>
    <w:p w:rsidR="00685C11" w:rsidRPr="00481CF8" w:rsidRDefault="00685C11" w:rsidP="00685C11">
      <w:pPr>
        <w:rPr>
          <w:lang w:eastAsia="ko-KR"/>
        </w:rPr>
      </w:pPr>
    </w:p>
    <w:p w:rsidR="00685C11" w:rsidRPr="00481CF8" w:rsidRDefault="00685C11" w:rsidP="00685C11">
      <w:r w:rsidRPr="00481CF8">
        <w:rPr>
          <w:lang w:eastAsia="ko-KR"/>
        </w:rPr>
        <w:lastRenderedPageBreak/>
        <w:t>In the Normal mode, i</w:t>
      </w:r>
      <w:r w:rsidRPr="00481CF8">
        <w:t xml:space="preserve">f the destination RUS does not receive a valid frame from the source RUS within Data Sensing Time after the start of </w:t>
      </w:r>
      <w:r w:rsidRPr="00481CF8">
        <w:rPr>
          <w:lang w:eastAsia="ko-KR"/>
        </w:rPr>
        <w:t>a</w:t>
      </w:r>
      <w:r w:rsidRPr="00481CF8">
        <w:t xml:space="preserve"> Link Change Interval, the destination </w:t>
      </w:r>
      <w:r w:rsidRPr="00481CF8">
        <w:rPr>
          <w:lang w:eastAsia="ko-KR"/>
        </w:rPr>
        <w:t xml:space="preserve">RUS </w:t>
      </w:r>
      <w:r w:rsidRPr="00481CF8">
        <w:t>shall immediately change the link to attempt to receive frames from the source RUS through the RSUS.</w:t>
      </w:r>
      <w:r w:rsidRPr="00481CF8">
        <w:rPr>
          <w:lang w:eastAsia="ko-KR"/>
        </w:rPr>
        <w:t xml:space="preserve"> </w:t>
      </w:r>
      <w:r w:rsidRPr="00481CF8">
        <w:t>If the More Data field in the last frame received from the source RUS is set to 0</w:t>
      </w:r>
      <w:r w:rsidRPr="00481CF8">
        <w:rPr>
          <w:lang w:eastAsia="ko-KR"/>
        </w:rPr>
        <w:t>,</w:t>
      </w:r>
      <w:r w:rsidRPr="00481CF8">
        <w:t xml:space="preserve"> then the destination RUS shall not switch to the link in the next Link Change Interval period even if it does not receive a frame during the Data Sensing Time.</w:t>
      </w:r>
      <w:r w:rsidRPr="00481CF8">
        <w:rPr>
          <w:lang w:eastAsia="ko-KR"/>
        </w:rPr>
        <w:t xml:space="preserve"> </w:t>
      </w:r>
      <w:r w:rsidRPr="00481CF8">
        <w:t xml:space="preserve">An example of </w:t>
      </w:r>
      <w:r w:rsidRPr="00481CF8">
        <w:rPr>
          <w:lang w:eastAsia="ko-KR"/>
        </w:rPr>
        <w:t>frame transfer</w:t>
      </w:r>
      <w:r w:rsidRPr="00481CF8">
        <w:t xml:space="preserve"> under Normal mode </w:t>
      </w:r>
      <w:r w:rsidRPr="00481CF8">
        <w:rPr>
          <w:lang w:eastAsia="ko-KR"/>
        </w:rPr>
        <w:t xml:space="preserve">with FD/AF RSUS </w:t>
      </w:r>
      <w:r w:rsidRPr="00481CF8">
        <w:t xml:space="preserve">is illustrated in </w:t>
      </w:r>
      <w:fldSimple w:instr=" REF _Ref259632217 \h  \* MERGEFORMAT ">
        <w:r w:rsidR="003E4210">
          <w:t>Figure 126</w:t>
        </w:r>
      </w:fldSimple>
      <w:r w:rsidRPr="00481CF8">
        <w:t xml:space="preserve">. </w:t>
      </w:r>
    </w:p>
    <w:p w:rsidR="00685C11" w:rsidRPr="00481CF8" w:rsidRDefault="00685C11" w:rsidP="00685C11">
      <w:pPr>
        <w:rPr>
          <w:lang w:eastAsia="ko-KR"/>
        </w:rPr>
      </w:pPr>
    </w:p>
    <w:p w:rsidR="00685C11" w:rsidRPr="00481CF8" w:rsidRDefault="00685C11" w:rsidP="00685C11">
      <w:pPr>
        <w:rPr>
          <w:lang w:eastAsia="ko-KR"/>
        </w:rPr>
      </w:pPr>
      <w:r w:rsidRPr="00481CF8">
        <w:rPr>
          <w:lang w:eastAsia="ko-KR"/>
        </w:rPr>
        <w:t xml:space="preserve">In the Alternation mode, if </w:t>
      </w:r>
      <w:r w:rsidRPr="00481CF8">
        <w:t xml:space="preserve">the destination RUS </w:t>
      </w:r>
      <w:r w:rsidRPr="00481CF8">
        <w:rPr>
          <w:lang w:eastAsia="ko-KR"/>
        </w:rPr>
        <w:t xml:space="preserve">receives an out of order frame, the destination RUS shall remain at the current link. </w:t>
      </w:r>
      <w:r w:rsidRPr="00481CF8">
        <w:t>If the More Data field in the last frame received from the source RUS is set to 0</w:t>
      </w:r>
      <w:r w:rsidRPr="00481CF8">
        <w:rPr>
          <w:lang w:eastAsia="ko-KR"/>
        </w:rPr>
        <w:t>,</w:t>
      </w:r>
      <w:r w:rsidRPr="00481CF8">
        <w:t xml:space="preserve"> then the destination RUS shall not switch links in the next Link Change Interval period</w:t>
      </w:r>
      <w:r w:rsidRPr="00481CF8">
        <w:rPr>
          <w:lang w:eastAsia="ko-KR"/>
        </w:rPr>
        <w:t>. If the source RUS uses either the direct or the rela</w:t>
      </w:r>
      <w:r w:rsidR="00DB6E8E">
        <w:rPr>
          <w:lang w:eastAsia="ko-KR"/>
        </w:rPr>
        <w:t>c</w:t>
      </w:r>
      <w:r w:rsidRPr="00481CF8">
        <w:rPr>
          <w:lang w:eastAsia="ko-KR"/>
        </w:rPr>
        <w:t>y link and decides to resume alternate frame transmission, the source RUS should transmit a frame to the other link Data Sensing Time after the next Link Change Interval to inform the destination RUS that operation on the other link has been resumed. Note that this is the only situation when Data Sensing Time is used in the Alternation mode.</w:t>
      </w:r>
    </w:p>
    <w:p w:rsidR="00685C11" w:rsidRDefault="00685C11" w:rsidP="00685C11">
      <w:pPr>
        <w:jc w:val="both"/>
        <w:rPr>
          <w:sz w:val="22"/>
          <w:szCs w:val="22"/>
          <w:lang w:eastAsia="ko-KR"/>
        </w:rPr>
      </w:pPr>
    </w:p>
    <w:p w:rsidR="00685C11" w:rsidRPr="00BD1A86" w:rsidRDefault="00DB6E8E" w:rsidP="0084032C">
      <w:pPr>
        <w:jc w:val="center"/>
        <w:rPr>
          <w:sz w:val="22"/>
          <w:szCs w:val="22"/>
          <w:lang w:eastAsia="ko-KR"/>
        </w:rPr>
      </w:pPr>
      <w:r w:rsidRPr="00487A0C">
        <w:rPr>
          <w:sz w:val="22"/>
          <w:szCs w:val="22"/>
          <w:lang w:eastAsia="ko-KR"/>
        </w:rPr>
        <w:object w:dxaOrig="9321" w:dyaOrig="3341">
          <v:shape id="_x0000_i1258" type="#_x0000_t75" style="width:465.5pt;height:168pt" o:ole="">
            <v:imagedata r:id="rId213" o:title=""/>
          </v:shape>
          <o:OLEObject Type="Embed" ProgID="Visio.Drawing.11" ShapeID="_x0000_i1258" DrawAspect="Content" ObjectID="_1334048265" r:id="rId214"/>
        </w:object>
      </w:r>
    </w:p>
    <w:p w:rsidR="00685C11" w:rsidRDefault="00481CF8" w:rsidP="00481CF8">
      <w:pPr>
        <w:pStyle w:val="Caption"/>
        <w:rPr>
          <w:rFonts w:ascii="TimesNewRomanPSMT" w:hAnsi="TimesNewRomanPSMT"/>
          <w:b w:val="0"/>
          <w:color w:val="FF0000"/>
          <w:u w:val="single"/>
        </w:rPr>
      </w:pPr>
      <w:bookmarkStart w:id="2892" w:name="_Ref259632217"/>
      <w:bookmarkStart w:id="2893" w:name="_Toc259717558"/>
      <w:r>
        <w:t xml:space="preserve">Figure </w:t>
      </w:r>
      <w:fldSimple w:instr=" SEQ Figure \* ARABIC ">
        <w:r w:rsidR="003E4210">
          <w:rPr>
            <w:noProof/>
          </w:rPr>
          <w:t>126</w:t>
        </w:r>
      </w:fldSimple>
      <w:bookmarkEnd w:id="2892"/>
      <w:r>
        <w:t xml:space="preserve"> – Example of Normal mode operation with FD/AF relay</w:t>
      </w:r>
      <w:bookmarkEnd w:id="2893"/>
    </w:p>
    <w:p w:rsidR="00685C11" w:rsidRDefault="00685C11" w:rsidP="005F7464">
      <w:pPr>
        <w:jc w:val="both"/>
        <w:rPr>
          <w:rFonts w:ascii="TimesNewRomanPSMT" w:hAnsi="TimesNewRomanPSMT"/>
          <w:b/>
          <w:color w:val="FF0000"/>
          <w:u w:val="single"/>
        </w:rPr>
      </w:pPr>
    </w:p>
    <w:p w:rsidR="00685C11" w:rsidRDefault="00481CF8" w:rsidP="00481CF8">
      <w:pPr>
        <w:pStyle w:val="Heading5"/>
      </w:pPr>
      <w:bookmarkStart w:id="2894" w:name="_Toc259717280"/>
      <w:r>
        <w:t>11.37.2.3.2 Additional frame exchange rules for HD/DF RSUS</w:t>
      </w:r>
      <w:bookmarkEnd w:id="2894"/>
    </w:p>
    <w:p w:rsidR="00481CF8" w:rsidRDefault="00481CF8" w:rsidP="00481CF8">
      <w:pPr>
        <w:pStyle w:val="NormalIndent"/>
        <w:ind w:left="0"/>
      </w:pPr>
    </w:p>
    <w:p w:rsidR="00481CF8" w:rsidRPr="00481CF8" w:rsidRDefault="00481CF8" w:rsidP="00481CF8">
      <w:r w:rsidRPr="00481CF8">
        <w:t>W</w:t>
      </w:r>
      <w:r w:rsidRPr="00481CF8">
        <w:rPr>
          <w:lang w:eastAsia="ko-KR"/>
        </w:rPr>
        <w:t xml:space="preserve">hen </w:t>
      </w:r>
      <w:r w:rsidRPr="00481CF8">
        <w:t xml:space="preserve">the RSUS is operating as a HD/DF RSUS and the RSUS is used in the frame exchange between the source RUS and the destination RUS, the frame exchange </w:t>
      </w:r>
      <w:r w:rsidRPr="00481CF8">
        <w:rPr>
          <w:lang w:eastAsia="ko-KR"/>
        </w:rPr>
        <w:t>is</w:t>
      </w:r>
      <w:r w:rsidRPr="00481CF8">
        <w:t xml:space="preserve"> performed in two periods which are repeated for as long as the RSUS is used. In the First Period, the source RUS </w:t>
      </w:r>
      <w:r w:rsidRPr="00481CF8">
        <w:rPr>
          <w:lang w:eastAsia="ko-KR"/>
        </w:rPr>
        <w:t>shall</w:t>
      </w:r>
      <w:r w:rsidRPr="00481CF8">
        <w:t xml:space="preserve"> transmit a frame to the RSUS and then the RSUS responds within SIFS if needed. In the Second Period, the RSUS shall forward </w:t>
      </w:r>
      <w:r w:rsidRPr="00481CF8">
        <w:rPr>
          <w:rFonts w:hint="eastAsia"/>
          <w:lang w:eastAsia="ko-KR"/>
        </w:rPr>
        <w:t xml:space="preserve">the </w:t>
      </w:r>
      <w:r w:rsidRPr="00481CF8">
        <w:t>frame received from the source RUS to the destination RUS and then the destination RUS responds within SIFS if needed. The duration of the First Period</w:t>
      </w:r>
      <w:r w:rsidRPr="00481CF8">
        <w:rPr>
          <w:lang w:eastAsia="ko-KR"/>
        </w:rPr>
        <w:t xml:space="preserve"> and the Second Period</w:t>
      </w:r>
      <w:r w:rsidRPr="00481CF8">
        <w:t xml:space="preserve"> are specified in the last </w:t>
      </w:r>
      <w:r w:rsidRPr="00481CF8">
        <w:rPr>
          <w:lang w:eastAsia="ko-KR"/>
        </w:rPr>
        <w:t>Relay Transfer Parameter Set element</w:t>
      </w:r>
      <w:r w:rsidRPr="00481CF8">
        <w:t xml:space="preserve"> transmitted from the source RUS. </w:t>
      </w:r>
    </w:p>
    <w:p w:rsidR="00481CF8" w:rsidRPr="00481CF8" w:rsidRDefault="00481CF8" w:rsidP="00481CF8"/>
    <w:p w:rsidR="00481CF8" w:rsidRPr="00481CF8" w:rsidRDefault="00481CF8" w:rsidP="00481CF8">
      <w:pPr>
        <w:rPr>
          <w:lang w:eastAsia="ko-KR"/>
        </w:rPr>
      </w:pPr>
      <w:r w:rsidRPr="00481CF8">
        <w:rPr>
          <w:lang w:eastAsia="ko-KR"/>
        </w:rPr>
        <w:t xml:space="preserve">The First Period and Second Period are valid only when the source RUS and destination RUS exchange frames via the RSUS. The Link Change Interval is valid only when the source RUS and destination RUS exchange frames via the direct link. </w:t>
      </w:r>
      <w:r w:rsidRPr="00481CF8">
        <w:rPr>
          <w:rFonts w:hint="eastAsia"/>
          <w:lang w:eastAsia="ko-KR"/>
        </w:rPr>
        <w:t xml:space="preserve">The First Period begins at the end of the Link Change Interval when a change to the relay link occurs. The </w:t>
      </w:r>
      <w:r w:rsidRPr="00481CF8">
        <w:rPr>
          <w:lang w:eastAsia="ko-KR"/>
        </w:rPr>
        <w:t>Link Change Interval begins at the end of the Second Period when a change to the direct link occurs.</w:t>
      </w:r>
      <w:r w:rsidRPr="00481CF8">
        <w:rPr>
          <w:rFonts w:hint="eastAsia"/>
          <w:lang w:eastAsia="ko-KR"/>
        </w:rPr>
        <w:t xml:space="preserve"> </w:t>
      </w:r>
    </w:p>
    <w:p w:rsidR="00481CF8" w:rsidRPr="00481CF8" w:rsidRDefault="00481CF8" w:rsidP="00481CF8">
      <w:pPr>
        <w:rPr>
          <w:lang w:eastAsia="ko-KR"/>
        </w:rPr>
      </w:pPr>
    </w:p>
    <w:p w:rsidR="00481CF8" w:rsidRPr="00481CF8" w:rsidRDefault="00481CF8" w:rsidP="00481CF8">
      <w:pPr>
        <w:rPr>
          <w:lang w:eastAsia="ko-KR"/>
        </w:rPr>
      </w:pPr>
      <w:r w:rsidRPr="00481CF8">
        <w:rPr>
          <w:lang w:eastAsia="ko-KR"/>
        </w:rPr>
        <w:lastRenderedPageBreak/>
        <w:t>The source RUS may transmit a Relay ACK Request frame to the RSUS to determine whether all frames forwarded through the RSUS were successfully received by the destination RUS. Upon reception of a Relay ACK Request frame, the RSUS shall respond with a Relay ACK Response frame and set the Block</w:t>
      </w:r>
      <w:r w:rsidRPr="00481CF8">
        <w:rPr>
          <w:rFonts w:hint="eastAsia"/>
          <w:lang w:eastAsia="ko-KR"/>
        </w:rPr>
        <w:t>A</w:t>
      </w:r>
      <w:r w:rsidRPr="00481CF8">
        <w:rPr>
          <w:lang w:eastAsia="ko-KR"/>
        </w:rPr>
        <w:t xml:space="preserve">ck Bitmap field to indicate which frames have been successfully received by the destination RUS. </w:t>
      </w:r>
    </w:p>
    <w:p w:rsidR="00481CF8" w:rsidRPr="00481CF8" w:rsidRDefault="00481CF8" w:rsidP="00481CF8">
      <w:pPr>
        <w:rPr>
          <w:lang w:eastAsia="ko-KR"/>
        </w:rPr>
      </w:pPr>
    </w:p>
    <w:p w:rsidR="00481CF8" w:rsidRPr="00481CF8" w:rsidRDefault="00481CF8" w:rsidP="00481CF8">
      <w:pPr>
        <w:rPr>
          <w:lang w:eastAsia="ko-KR"/>
        </w:rPr>
      </w:pPr>
      <w:r w:rsidRPr="00481CF8">
        <w:t xml:space="preserve">If the source RUS decides to change </w:t>
      </w:r>
      <w:r w:rsidRPr="00481CF8">
        <w:rPr>
          <w:lang w:eastAsia="ko-KR"/>
        </w:rPr>
        <w:t xml:space="preserve">to </w:t>
      </w:r>
      <w:r w:rsidRPr="00481CF8">
        <w:t xml:space="preserve">the </w:t>
      </w:r>
      <w:r w:rsidRPr="00481CF8">
        <w:rPr>
          <w:lang w:eastAsia="ko-KR"/>
        </w:rPr>
        <w:t xml:space="preserve">relay </w:t>
      </w:r>
      <w:r w:rsidRPr="00481CF8">
        <w:t xml:space="preserve">link at the start of the following Link Change Interval period, the source RUS shall start its frame transmission </w:t>
      </w:r>
      <w:r w:rsidRPr="00481CF8">
        <w:rPr>
          <w:lang w:eastAsia="ko-KR"/>
        </w:rPr>
        <w:t>at the start of the following Link Change Interval period</w:t>
      </w:r>
      <w:r w:rsidRPr="00481CF8">
        <w:t xml:space="preserve">. </w:t>
      </w:r>
      <w:r w:rsidRPr="00481CF8">
        <w:rPr>
          <w:lang w:eastAsia="ko-KR"/>
        </w:rPr>
        <w:t>If the current link is the direct link and the destination RUS does not receive a valid frame from the source RUS within Data Sensing Time after the start of each Link Change Interval, the destination RUS shall change the link and consider the First Period to begin at the start of the Link Change Interval.</w:t>
      </w:r>
    </w:p>
    <w:p w:rsidR="00481CF8" w:rsidRPr="00481CF8" w:rsidRDefault="00481CF8" w:rsidP="00481CF8">
      <w:pPr>
        <w:rPr>
          <w:lang w:eastAsia="ko-KR"/>
        </w:rPr>
      </w:pPr>
    </w:p>
    <w:p w:rsidR="00481CF8" w:rsidRPr="00481CF8" w:rsidRDefault="00481CF8" w:rsidP="00481CF8">
      <w:pPr>
        <w:jc w:val="both"/>
        <w:rPr>
          <w:lang w:eastAsia="ko-KR"/>
        </w:rPr>
      </w:pPr>
      <w:r w:rsidRPr="00481CF8">
        <w:rPr>
          <w:lang w:eastAsia="ko-KR"/>
        </w:rPr>
        <w:t>If</w:t>
      </w:r>
      <w:r w:rsidRPr="00481CF8">
        <w:t xml:space="preserve"> </w:t>
      </w:r>
      <w:r w:rsidRPr="00481CF8">
        <w:rPr>
          <w:lang w:eastAsia="ko-KR"/>
        </w:rPr>
        <w:t xml:space="preserve">a </w:t>
      </w:r>
      <w:r w:rsidRPr="00481CF8">
        <w:t xml:space="preserve">link change to </w:t>
      </w:r>
      <w:r w:rsidRPr="00481CF8">
        <w:rPr>
          <w:lang w:eastAsia="ko-KR"/>
        </w:rPr>
        <w:t xml:space="preserve">the </w:t>
      </w:r>
      <w:r w:rsidRPr="00481CF8">
        <w:t xml:space="preserve">direct link occurs, the source RUS shall start to transmit </w:t>
      </w:r>
      <w:r w:rsidRPr="00481CF8">
        <w:rPr>
          <w:lang w:eastAsia="ko-KR"/>
        </w:rPr>
        <w:t xml:space="preserve">a </w:t>
      </w:r>
      <w:r w:rsidRPr="00481CF8">
        <w:t xml:space="preserve">frame </w:t>
      </w:r>
      <w:r w:rsidRPr="00481CF8">
        <w:rPr>
          <w:rFonts w:hint="eastAsia"/>
          <w:lang w:eastAsia="ko-KR"/>
        </w:rPr>
        <w:t>using</w:t>
      </w:r>
      <w:r w:rsidRPr="00481CF8">
        <w:t xml:space="preserve"> the direct link at the </w:t>
      </w:r>
      <w:r w:rsidRPr="00481CF8">
        <w:rPr>
          <w:lang w:eastAsia="ko-KR"/>
        </w:rPr>
        <w:t>end of the Second</w:t>
      </w:r>
      <w:r w:rsidRPr="00481CF8">
        <w:t xml:space="preserve"> Period</w:t>
      </w:r>
      <w:r w:rsidRPr="00481CF8">
        <w:rPr>
          <w:lang w:eastAsia="ko-KR"/>
        </w:rPr>
        <w:t xml:space="preserve"> when the Link Change Interval begins</w:t>
      </w:r>
      <w:r w:rsidRPr="00481CF8">
        <w:t xml:space="preserve">. The destination RUS shall switch to the direct link at </w:t>
      </w:r>
      <w:r w:rsidRPr="00481CF8">
        <w:rPr>
          <w:lang w:eastAsia="ko-KR"/>
        </w:rPr>
        <w:t>each</w:t>
      </w:r>
      <w:r w:rsidRPr="00481CF8">
        <w:t xml:space="preserve"> First Period and listen </w:t>
      </w:r>
      <w:r w:rsidRPr="00481CF8">
        <w:rPr>
          <w:lang w:eastAsia="ko-KR"/>
        </w:rPr>
        <w:t xml:space="preserve">to </w:t>
      </w:r>
      <w:r w:rsidRPr="00481CF8">
        <w:t xml:space="preserve">the medium toward the source RUS. </w:t>
      </w:r>
      <w:r w:rsidRPr="00481CF8">
        <w:rPr>
          <w:lang w:eastAsia="ko-KR"/>
        </w:rPr>
        <w:t xml:space="preserve">If the destination RUS receives a valid frame from the source RUS, it shall remain on the direct link and consider the Link Change Interval to begin at the start of the First Period. Otherwise, </w:t>
      </w:r>
      <w:r w:rsidRPr="00481CF8">
        <w:t xml:space="preserve">the destination </w:t>
      </w:r>
      <w:r w:rsidRPr="00481CF8">
        <w:rPr>
          <w:lang w:eastAsia="ko-KR"/>
        </w:rPr>
        <w:t xml:space="preserve">RUS </w:t>
      </w:r>
      <w:r w:rsidRPr="00481CF8">
        <w:t>shall change the link at the start of the next Second Period and attempt to receive frames from the source RUS through the RSUS. If the active link is relay link and the More Data field in the last frame received from the RSUS is set to 0</w:t>
      </w:r>
      <w:r w:rsidRPr="00481CF8">
        <w:rPr>
          <w:lang w:eastAsia="ko-KR"/>
        </w:rPr>
        <w:t>,</w:t>
      </w:r>
      <w:r w:rsidRPr="00481CF8">
        <w:t xml:space="preserve"> then the destination RUS shall not switch to the direct link even if it does not receive any frame during the Second Period.</w:t>
      </w:r>
      <w:r w:rsidRPr="00481CF8">
        <w:rPr>
          <w:lang w:eastAsia="ko-KR"/>
        </w:rPr>
        <w:t xml:space="preserve"> </w:t>
      </w:r>
      <w:r w:rsidRPr="00481CF8">
        <w:t xml:space="preserve">An example of </w:t>
      </w:r>
      <w:r w:rsidRPr="00481CF8">
        <w:rPr>
          <w:lang w:eastAsia="ko-KR"/>
        </w:rPr>
        <w:t>frame transfer</w:t>
      </w:r>
      <w:r w:rsidRPr="00481CF8">
        <w:t xml:space="preserve"> </w:t>
      </w:r>
      <w:r w:rsidRPr="00481CF8">
        <w:rPr>
          <w:lang w:eastAsia="ko-KR"/>
        </w:rPr>
        <w:t xml:space="preserve">with HD/DF RSUS </w:t>
      </w:r>
      <w:r w:rsidRPr="00481CF8">
        <w:t>is illustrated in</w:t>
      </w:r>
      <w:r>
        <w:t xml:space="preserve"> </w:t>
      </w:r>
      <w:r w:rsidR="00BD151C">
        <w:fldChar w:fldCharType="begin"/>
      </w:r>
      <w:r>
        <w:instrText xml:space="preserve"> REF _Ref259632385 \h </w:instrText>
      </w:r>
      <w:r w:rsidR="00BD151C">
        <w:fldChar w:fldCharType="separate"/>
      </w:r>
      <w:r w:rsidR="003E4210">
        <w:t xml:space="preserve">Figure </w:t>
      </w:r>
      <w:r w:rsidR="003E4210">
        <w:rPr>
          <w:noProof/>
        </w:rPr>
        <w:t>127</w:t>
      </w:r>
      <w:r w:rsidR="00BD151C">
        <w:fldChar w:fldCharType="end"/>
      </w:r>
      <w:r w:rsidRPr="00481CF8">
        <w:rPr>
          <w:lang w:eastAsia="ko-KR"/>
        </w:rPr>
        <w:t>.</w:t>
      </w:r>
    </w:p>
    <w:p w:rsidR="00481CF8" w:rsidRDefault="00481CF8" w:rsidP="00481CF8">
      <w:pPr>
        <w:rPr>
          <w:rFonts w:eastAsiaTheme="minorEastAsia"/>
          <w:sz w:val="22"/>
          <w:szCs w:val="22"/>
          <w:lang w:eastAsia="ko-KR"/>
        </w:rPr>
      </w:pPr>
    </w:p>
    <w:p w:rsidR="00481CF8" w:rsidRDefault="00481CF8" w:rsidP="00481CF8">
      <w:pPr>
        <w:pStyle w:val="Caption"/>
        <w:rPr>
          <w:rFonts w:eastAsiaTheme="minorEastAsia"/>
          <w:sz w:val="22"/>
          <w:szCs w:val="22"/>
          <w:lang w:eastAsia="ko-KR"/>
        </w:rPr>
      </w:pPr>
      <w:r>
        <w:object w:dxaOrig="9321" w:dyaOrig="3001">
          <v:shape id="_x0000_i1086" type="#_x0000_t75" style="width:465.5pt;height:150.35pt" o:ole="">
            <v:imagedata r:id="rId215" o:title=""/>
          </v:shape>
          <o:OLEObject Type="Embed" ProgID="Visio.Drawing.11" ShapeID="_x0000_i1086" DrawAspect="Content" ObjectID="_1334048266" r:id="rId216"/>
        </w:object>
      </w:r>
    </w:p>
    <w:p w:rsidR="00481CF8" w:rsidRDefault="00481CF8" w:rsidP="00481CF8">
      <w:pPr>
        <w:pStyle w:val="Caption"/>
      </w:pPr>
      <w:bookmarkStart w:id="2895" w:name="_Ref259632385"/>
      <w:bookmarkStart w:id="2896" w:name="_Toc259717559"/>
      <w:r>
        <w:t xml:space="preserve">Figure </w:t>
      </w:r>
      <w:fldSimple w:instr=" SEQ Figure \* ARABIC ">
        <w:r w:rsidR="003E4210">
          <w:rPr>
            <w:noProof/>
          </w:rPr>
          <w:t>127</w:t>
        </w:r>
      </w:fldSimple>
      <w:bookmarkEnd w:id="2895"/>
      <w:r>
        <w:t xml:space="preserve"> – Example of the operation with HD/DF relay</w:t>
      </w:r>
      <w:bookmarkEnd w:id="2896"/>
    </w:p>
    <w:p w:rsidR="00481CF8" w:rsidRDefault="00481CF8" w:rsidP="00481CF8">
      <w:pPr>
        <w:pStyle w:val="NormalIndent"/>
        <w:ind w:left="0"/>
      </w:pPr>
    </w:p>
    <w:p w:rsidR="00481CF8" w:rsidRDefault="00481CF8" w:rsidP="00481CF8">
      <w:pPr>
        <w:pStyle w:val="Heading5"/>
      </w:pPr>
      <w:bookmarkStart w:id="2897" w:name="_Toc259717281"/>
      <w:r>
        <w:t>11.37.2.3.3 Operation of FD/AF RSUS</w:t>
      </w:r>
      <w:bookmarkEnd w:id="2897"/>
    </w:p>
    <w:p w:rsidR="00481CF8" w:rsidRDefault="00481CF8" w:rsidP="00481CF8">
      <w:pPr>
        <w:pStyle w:val="NormalIndent"/>
        <w:ind w:left="0"/>
      </w:pPr>
    </w:p>
    <w:p w:rsidR="00481CF8" w:rsidRPr="00481CF8" w:rsidRDefault="00481CF8" w:rsidP="00481CF8">
      <w:pPr>
        <w:jc w:val="both"/>
      </w:pPr>
      <w:r w:rsidRPr="00481CF8">
        <w:t>In an SP allocated for relay operation, a FD/AF RSUS operates in an amplify-and-forward manner. This means that for each frame detected at the RF in receive state within an SP in which it operates as a FD/AF RSUS, the RSUS amplifies the received signal and simultaneous</w:t>
      </w:r>
      <w:r w:rsidR="00A66A9E">
        <w:t>ly</w:t>
      </w:r>
      <w:r w:rsidRPr="00481CF8">
        <w:t xml:space="preserve"> retransmits it via the RF in transmit state.</w:t>
      </w:r>
    </w:p>
    <w:p w:rsidR="00481CF8" w:rsidRPr="00481CF8" w:rsidRDefault="00481CF8" w:rsidP="00481CF8">
      <w:pPr>
        <w:jc w:val="both"/>
      </w:pPr>
    </w:p>
    <w:p w:rsidR="00481CF8" w:rsidRPr="00481CF8" w:rsidRDefault="00481CF8" w:rsidP="00481CF8">
      <w:pPr>
        <w:jc w:val="both"/>
      </w:pPr>
      <w:r w:rsidRPr="00481CF8">
        <w:lastRenderedPageBreak/>
        <w:t>At the start of the SP where it operates as a FD/AF RSUS, the RSUS shall initiate an RF antenna module in receive state directed toward the source RUS and another RF antenna module in transmit state directed toward the destination RUS.</w:t>
      </w:r>
    </w:p>
    <w:p w:rsidR="00481CF8" w:rsidRPr="00481CF8" w:rsidRDefault="00481CF8" w:rsidP="00481CF8">
      <w:pPr>
        <w:jc w:val="both"/>
      </w:pPr>
    </w:p>
    <w:p w:rsidR="00481CF8" w:rsidRPr="00481CF8" w:rsidRDefault="00481CF8" w:rsidP="00481CF8">
      <w:pPr>
        <w:jc w:val="both"/>
      </w:pPr>
      <w:r w:rsidRPr="00481CF8">
        <w:t xml:space="preserve">For each frame received at the RSUS during the SP, the RSUS shall follow the same rules for frame exchange sequences as described in 9.12 and </w:t>
      </w:r>
      <w:r w:rsidR="00BD151C">
        <w:fldChar w:fldCharType="begin"/>
      </w:r>
      <w:r w:rsidR="00523A9A">
        <w:instrText xml:space="preserve"> REF _Ref259716087 \r \h </w:instrText>
      </w:r>
      <w:r w:rsidR="00BD151C">
        <w:fldChar w:fldCharType="separate"/>
      </w:r>
      <w:r w:rsidR="003E4210">
        <w:t>9.23</w:t>
      </w:r>
      <w:r w:rsidR="00BD151C">
        <w:fldChar w:fldCharType="end"/>
      </w:r>
      <w:r w:rsidRPr="00481CF8">
        <w:t>. This includes switching the state of each RF available to the RSUS from receive to transmit, and vice-versa, depending upon the frame type and its ACK policy.</w:t>
      </w:r>
    </w:p>
    <w:p w:rsidR="00481CF8" w:rsidRDefault="00481CF8" w:rsidP="00481CF8">
      <w:pPr>
        <w:pStyle w:val="NormalIndent"/>
        <w:ind w:left="0"/>
      </w:pPr>
    </w:p>
    <w:p w:rsidR="00481CF8" w:rsidRDefault="00235C9A" w:rsidP="00235C9A">
      <w:pPr>
        <w:pStyle w:val="Heading4"/>
      </w:pPr>
      <w:bookmarkStart w:id="2898" w:name="_Toc259717282"/>
      <w:r>
        <w:t>11.37.2.4 Link monitoring</w:t>
      </w:r>
      <w:bookmarkEnd w:id="2898"/>
    </w:p>
    <w:p w:rsidR="00235C9A" w:rsidRDefault="00235C9A" w:rsidP="00235C9A">
      <w:pPr>
        <w:rPr>
          <w:lang w:bidi="ar-SA"/>
        </w:rPr>
      </w:pPr>
    </w:p>
    <w:p w:rsidR="00235C9A" w:rsidRPr="00235C9A" w:rsidRDefault="00235C9A" w:rsidP="00235C9A">
      <w:pPr>
        <w:rPr>
          <w:lang w:eastAsia="ko-KR"/>
        </w:rPr>
      </w:pPr>
      <w:r w:rsidRPr="00235C9A">
        <w:rPr>
          <w:lang w:eastAsia="ko-KR"/>
        </w:rPr>
        <w:t xml:space="preserve">After a link change, the source RUS can periodically monitor the quality of the previous link. To do that, </w:t>
      </w:r>
      <w:r w:rsidRPr="00235C9A">
        <w:t xml:space="preserve">the source </w:t>
      </w:r>
      <w:r w:rsidRPr="00235C9A">
        <w:rPr>
          <w:lang w:eastAsia="ko-KR"/>
        </w:rPr>
        <w:t xml:space="preserve">RUS may </w:t>
      </w:r>
      <w:r w:rsidRPr="00235C9A">
        <w:t xml:space="preserve">use the link change mechanism described in </w:t>
      </w:r>
      <w:r w:rsidR="00A66A9E">
        <w:fldChar w:fldCharType="begin"/>
      </w:r>
      <w:r w:rsidR="00A66A9E">
        <w:instrText xml:space="preserve"> REF _Ref260305860 \h </w:instrText>
      </w:r>
      <w:r w:rsidR="00A66A9E">
        <w:fldChar w:fldCharType="separate"/>
      </w:r>
      <w:r w:rsidR="00A66A9E">
        <w:t>11.37.2.3 Relay frame exchange rules</w:t>
      </w:r>
      <w:r w:rsidR="00A66A9E">
        <w:fldChar w:fldCharType="end"/>
      </w:r>
      <w:r w:rsidRPr="00235C9A">
        <w:t xml:space="preserve">. If the </w:t>
      </w:r>
      <w:r w:rsidRPr="00235C9A">
        <w:rPr>
          <w:lang w:eastAsia="ko-KR"/>
        </w:rPr>
        <w:t xml:space="preserve">previous </w:t>
      </w:r>
      <w:r w:rsidRPr="00235C9A">
        <w:t xml:space="preserve">link is the relay link, the source </w:t>
      </w:r>
      <w:r w:rsidRPr="00235C9A">
        <w:rPr>
          <w:lang w:eastAsia="ko-KR"/>
        </w:rPr>
        <w:t xml:space="preserve">RUS can </w:t>
      </w:r>
      <w:r w:rsidRPr="00235C9A">
        <w:t xml:space="preserve">acquire the channel status by using relay link </w:t>
      </w:r>
      <w:r w:rsidRPr="00235C9A">
        <w:rPr>
          <w:lang w:eastAsia="ko-KR"/>
        </w:rPr>
        <w:t>measurement</w:t>
      </w:r>
      <w:r w:rsidRPr="00235C9A">
        <w:t xml:space="preserve"> mechanism as described in </w:t>
      </w:r>
      <w:r w:rsidR="00BD151C">
        <w:fldChar w:fldCharType="begin"/>
      </w:r>
      <w:r w:rsidR="006B6C5C">
        <w:instrText xml:space="preserve"> REF _Ref259716201 \h </w:instrText>
      </w:r>
      <w:r w:rsidR="00BD151C">
        <w:fldChar w:fldCharType="separate"/>
      </w:r>
      <w:r w:rsidR="003E4210">
        <w:rPr>
          <w:lang w:bidi="ar-SA"/>
        </w:rPr>
        <w:t>11.37.5 Relay link adaptation</w:t>
      </w:r>
      <w:r w:rsidR="00BD151C">
        <w:fldChar w:fldCharType="end"/>
      </w:r>
      <w:r w:rsidRPr="00235C9A">
        <w:rPr>
          <w:lang w:eastAsia="ko-KR"/>
        </w:rPr>
        <w:t>.</w:t>
      </w:r>
      <w:r w:rsidRPr="00235C9A">
        <w:t xml:space="preserve"> If the </w:t>
      </w:r>
      <w:r w:rsidRPr="00235C9A">
        <w:rPr>
          <w:lang w:eastAsia="ko-KR"/>
        </w:rPr>
        <w:t>previous</w:t>
      </w:r>
      <w:r w:rsidRPr="00235C9A">
        <w:t xml:space="preserve"> link is the direct link, the source </w:t>
      </w:r>
      <w:r w:rsidRPr="00235C9A">
        <w:rPr>
          <w:lang w:eastAsia="ko-KR"/>
        </w:rPr>
        <w:t xml:space="preserve">RUS can </w:t>
      </w:r>
      <w:r w:rsidRPr="00235C9A">
        <w:t xml:space="preserve">acquire the channel status via the </w:t>
      </w:r>
      <w:r w:rsidR="006B6C5C">
        <w:rPr>
          <w:lang w:eastAsia="ko-KR"/>
        </w:rPr>
        <w:t xml:space="preserve">link adaptation mechanism defined in </w:t>
      </w:r>
      <w:r w:rsidR="00BD151C">
        <w:rPr>
          <w:lang w:eastAsia="ko-KR"/>
        </w:rPr>
        <w:fldChar w:fldCharType="begin"/>
      </w:r>
      <w:r w:rsidR="006B6C5C">
        <w:rPr>
          <w:lang w:eastAsia="ko-KR"/>
        </w:rPr>
        <w:instrText xml:space="preserve"> REF _Ref259716272 \r \h </w:instrText>
      </w:r>
      <w:r w:rsidR="00BD151C">
        <w:rPr>
          <w:lang w:eastAsia="ko-KR"/>
        </w:rPr>
      </w:r>
      <w:r w:rsidR="00BD151C">
        <w:rPr>
          <w:lang w:eastAsia="ko-KR"/>
        </w:rPr>
        <w:fldChar w:fldCharType="separate"/>
      </w:r>
      <w:r w:rsidR="003E4210">
        <w:rPr>
          <w:lang w:eastAsia="ko-KR"/>
        </w:rPr>
        <w:t>9.27</w:t>
      </w:r>
      <w:r w:rsidR="00BD151C">
        <w:rPr>
          <w:lang w:eastAsia="ko-KR"/>
        </w:rPr>
        <w:fldChar w:fldCharType="end"/>
      </w:r>
      <w:r w:rsidRPr="00235C9A">
        <w:t xml:space="preserve">. If the channel quality of the </w:t>
      </w:r>
      <w:r w:rsidRPr="00235C9A">
        <w:rPr>
          <w:lang w:eastAsia="ko-KR"/>
        </w:rPr>
        <w:t>previous</w:t>
      </w:r>
      <w:r w:rsidRPr="00235C9A">
        <w:t xml:space="preserve"> link is better than the one on the current link which is an implementation-dependent decision, the source </w:t>
      </w:r>
      <w:r w:rsidRPr="00235C9A">
        <w:rPr>
          <w:lang w:eastAsia="ko-KR"/>
        </w:rPr>
        <w:t xml:space="preserve">RUS </w:t>
      </w:r>
      <w:r w:rsidRPr="00235C9A">
        <w:t>may switch to the</w:t>
      </w:r>
      <w:r w:rsidRPr="00235C9A">
        <w:rPr>
          <w:lang w:eastAsia="ko-KR"/>
        </w:rPr>
        <w:t xml:space="preserve"> previous </w:t>
      </w:r>
      <w:r w:rsidRPr="00235C9A">
        <w:t>link.</w:t>
      </w:r>
    </w:p>
    <w:p w:rsidR="00235C9A" w:rsidRDefault="00235C9A" w:rsidP="00235C9A">
      <w:pPr>
        <w:rPr>
          <w:lang w:bidi="ar-SA"/>
        </w:rPr>
      </w:pPr>
    </w:p>
    <w:p w:rsidR="00235C9A" w:rsidRDefault="00235C9A" w:rsidP="00235C9A">
      <w:pPr>
        <w:pStyle w:val="Heading3"/>
        <w:rPr>
          <w:lang w:bidi="ar-SA"/>
        </w:rPr>
      </w:pPr>
      <w:bookmarkStart w:id="2899" w:name="_Ref259715672"/>
      <w:bookmarkStart w:id="2900" w:name="_Toc259717283"/>
      <w:r>
        <w:rPr>
          <w:lang w:bidi="ar-SA"/>
        </w:rPr>
        <w:t>11.37.3 Link cooperating type</w:t>
      </w:r>
      <w:bookmarkEnd w:id="2899"/>
      <w:bookmarkEnd w:id="2900"/>
    </w:p>
    <w:p w:rsidR="00235C9A" w:rsidRDefault="00235C9A" w:rsidP="00235C9A">
      <w:pPr>
        <w:rPr>
          <w:lang w:bidi="ar-SA"/>
        </w:rPr>
      </w:pPr>
    </w:p>
    <w:p w:rsidR="00235C9A" w:rsidRDefault="00235C9A" w:rsidP="00235C9A">
      <w:pPr>
        <w:pStyle w:val="Heading4"/>
      </w:pPr>
      <w:bookmarkStart w:id="2901" w:name="_Toc259717284"/>
      <w:r>
        <w:t>11.37.3.1 TPA procedure</w:t>
      </w:r>
      <w:bookmarkEnd w:id="2901"/>
    </w:p>
    <w:p w:rsidR="00235C9A" w:rsidRDefault="00235C9A" w:rsidP="00235C9A">
      <w:pPr>
        <w:rPr>
          <w:lang w:bidi="ar-SA"/>
        </w:rPr>
      </w:pPr>
    </w:p>
    <w:p w:rsidR="00235C9A" w:rsidRPr="00235C9A" w:rsidRDefault="00235C9A" w:rsidP="00235C9A">
      <w:pPr>
        <w:rPr>
          <w:lang w:eastAsia="ko-KR"/>
        </w:rPr>
      </w:pPr>
      <w:r w:rsidRPr="00235C9A">
        <w:rPr>
          <w:lang w:eastAsia="ko-KR"/>
        </w:rPr>
        <w:t xml:space="preserve">A source RUS, a destination RUS, and an RSUS that wish to setup a link cooperating relay use the common relay setup procedure defined in </w:t>
      </w:r>
      <w:r w:rsidR="00BD151C">
        <w:rPr>
          <w:lang w:eastAsia="ko-KR"/>
        </w:rPr>
        <w:fldChar w:fldCharType="begin"/>
      </w:r>
      <w:r w:rsidR="006B6C5C">
        <w:rPr>
          <w:lang w:eastAsia="ko-KR"/>
        </w:rPr>
        <w:instrText xml:space="preserve"> REF _Ref259716301 \h </w:instrText>
      </w:r>
      <w:r w:rsidR="00BD151C">
        <w:rPr>
          <w:lang w:eastAsia="ko-KR"/>
        </w:rPr>
      </w:r>
      <w:r w:rsidR="00BD151C">
        <w:rPr>
          <w:lang w:eastAsia="ko-KR"/>
        </w:rPr>
        <w:fldChar w:fldCharType="separate"/>
      </w:r>
      <w:r w:rsidR="003E4210">
        <w:t>11.37.1 Common relay setup procedures</w:t>
      </w:r>
      <w:r w:rsidR="00BD151C">
        <w:rPr>
          <w:lang w:eastAsia="ko-KR"/>
        </w:rPr>
        <w:fldChar w:fldCharType="end"/>
      </w:r>
      <w:r w:rsidRPr="00235C9A">
        <w:rPr>
          <w:lang w:eastAsia="ko-KR"/>
        </w:rPr>
        <w:t>. In addition, to establish a link cooperating relay, the source RUS, destination RUS, and RSUS shall perform the TPA procedure described in this subclause</w:t>
      </w:r>
      <w:r w:rsidR="006B6C5C">
        <w:rPr>
          <w:lang w:eastAsia="ko-KR"/>
        </w:rPr>
        <w:t xml:space="preserve"> and shown in </w:t>
      </w:r>
      <w:r w:rsidR="00BD151C">
        <w:rPr>
          <w:lang w:eastAsia="ko-KR"/>
        </w:rPr>
        <w:fldChar w:fldCharType="begin"/>
      </w:r>
      <w:r w:rsidR="006B6C5C">
        <w:rPr>
          <w:lang w:eastAsia="ko-KR"/>
        </w:rPr>
        <w:instrText xml:space="preserve"> REF _Ref259632650 \h </w:instrText>
      </w:r>
      <w:r w:rsidR="00BD151C">
        <w:rPr>
          <w:lang w:eastAsia="ko-KR"/>
        </w:rPr>
      </w:r>
      <w:r w:rsidR="00BD151C">
        <w:rPr>
          <w:lang w:eastAsia="ko-KR"/>
        </w:rPr>
        <w:fldChar w:fldCharType="separate"/>
      </w:r>
      <w:r w:rsidR="003E4210">
        <w:t xml:space="preserve">Figure </w:t>
      </w:r>
      <w:r w:rsidR="003E4210">
        <w:rPr>
          <w:noProof/>
        </w:rPr>
        <w:t>128</w:t>
      </w:r>
      <w:r w:rsidR="00BD151C">
        <w:rPr>
          <w:lang w:eastAsia="ko-KR"/>
        </w:rPr>
        <w:fldChar w:fldCharType="end"/>
      </w:r>
      <w:r w:rsidRPr="00235C9A">
        <w:rPr>
          <w:lang w:eastAsia="ko-KR"/>
        </w:rPr>
        <w:t>.</w:t>
      </w:r>
    </w:p>
    <w:p w:rsidR="00235C9A" w:rsidRPr="00235C9A" w:rsidRDefault="00235C9A" w:rsidP="00235C9A">
      <w:pPr>
        <w:rPr>
          <w:lang w:eastAsia="ko-KR"/>
        </w:rPr>
      </w:pPr>
    </w:p>
    <w:p w:rsidR="00235C9A" w:rsidRDefault="00A66A9E" w:rsidP="0084032C">
      <w:pPr>
        <w:jc w:val="center"/>
      </w:pPr>
      <w:r>
        <w:object w:dxaOrig="15192" w:dyaOrig="5496">
          <v:shape id="_x0000_i1259" type="#_x0000_t75" style="width:467.75pt;height:169.35pt" o:ole="">
            <v:imagedata r:id="rId217" o:title=""/>
          </v:shape>
          <o:OLEObject Type="Embed" ProgID="Visio.Drawing.11" ShapeID="_x0000_i1259" DrawAspect="Content" ObjectID="_1334048267" r:id="rId218"/>
        </w:object>
      </w:r>
    </w:p>
    <w:p w:rsidR="00235C9A" w:rsidRDefault="00235C9A" w:rsidP="00235C9A">
      <w:pPr>
        <w:pStyle w:val="Caption"/>
      </w:pPr>
      <w:bookmarkStart w:id="2902" w:name="_Ref259632650"/>
      <w:bookmarkStart w:id="2903" w:name="_Toc259717560"/>
      <w:r>
        <w:t xml:space="preserve">Figure </w:t>
      </w:r>
      <w:fldSimple w:instr=" SEQ Figure \* ARABIC ">
        <w:r w:rsidR="003E4210">
          <w:rPr>
            <w:noProof/>
          </w:rPr>
          <w:t>128</w:t>
        </w:r>
      </w:fldSimple>
      <w:bookmarkEnd w:id="2902"/>
      <w:r>
        <w:t xml:space="preserve"> – TPA mechanism</w:t>
      </w:r>
      <w:bookmarkEnd w:id="2903"/>
    </w:p>
    <w:p w:rsidR="00235C9A" w:rsidRPr="00235C9A" w:rsidRDefault="00235C9A" w:rsidP="00235C9A">
      <w:pPr>
        <w:rPr>
          <w:lang w:eastAsia="ko-KR"/>
        </w:rPr>
      </w:pPr>
    </w:p>
    <w:p w:rsidR="00235C9A" w:rsidRPr="00235C9A" w:rsidRDefault="00235C9A" w:rsidP="00235C9A">
      <w:r w:rsidRPr="00235C9A">
        <w:rPr>
          <w:lang w:eastAsia="ko-KR"/>
        </w:rPr>
        <w:lastRenderedPageBreak/>
        <w:t xml:space="preserve">The TPA procedure is triggered by the destination RUS following the common relay setup procedure with the source RUS and RSUS. First, the destination RUS uses the procedures described in 11.4 to request the allocation of an SP to perform TPA, wherein the source of the SP is the destination RUS and the destination of the SP is the source RUS. </w:t>
      </w:r>
      <w:r w:rsidRPr="00235C9A">
        <w:t xml:space="preserve">If the value of a source AID and the destination AID fields of an SP allocation </w:t>
      </w:r>
      <w:r w:rsidRPr="00235C9A">
        <w:rPr>
          <w:lang w:eastAsia="ko-KR"/>
        </w:rPr>
        <w:t>correspond</w:t>
      </w:r>
      <w:r w:rsidRPr="00235C9A">
        <w:t xml:space="preserve"> to a destination RUS and a source RUS which have successfully completed the RLS setup procedure, the mSTA that performs as a</w:t>
      </w:r>
      <w:r w:rsidRPr="00235C9A">
        <w:rPr>
          <w:lang w:eastAsia="ko-KR"/>
        </w:rPr>
        <w:t>n</w:t>
      </w:r>
      <w:r w:rsidRPr="00235C9A">
        <w:t xml:space="preserve"> </w:t>
      </w:r>
      <w:r w:rsidRPr="00235C9A">
        <w:rPr>
          <w:lang w:eastAsia="ko-KR"/>
        </w:rPr>
        <w:t>RSUS</w:t>
      </w:r>
      <w:r w:rsidRPr="00235C9A">
        <w:t xml:space="preserve"> in that SP allocation shall operate during the allocation as a non RSUS capable mSTA.</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Within the allocated SP, the destination RUS sends a TPA Request frame to the RSUS and sets the Response Offset field to the time (Dtime, which is pre-defined) when the RSUS shall transmit a TPA Response frame back to the destination RUS, and sets the time offset field to zero (see</w:t>
      </w:r>
      <w:r>
        <w:rPr>
          <w:lang w:eastAsia="ko-KR"/>
        </w:rPr>
        <w:t xml:space="preserve"> </w:t>
      </w:r>
      <w:r w:rsidR="00BD151C">
        <w:rPr>
          <w:lang w:eastAsia="ko-KR"/>
        </w:rPr>
        <w:fldChar w:fldCharType="begin"/>
      </w:r>
      <w:r>
        <w:rPr>
          <w:lang w:eastAsia="ko-KR"/>
        </w:rPr>
        <w:instrText xml:space="preserve"> REF _Ref259632650 \h </w:instrText>
      </w:r>
      <w:r w:rsidR="00BD151C">
        <w:rPr>
          <w:lang w:eastAsia="ko-KR"/>
        </w:rPr>
      </w:r>
      <w:r w:rsidR="00BD151C">
        <w:rPr>
          <w:lang w:eastAsia="ko-KR"/>
        </w:rPr>
        <w:fldChar w:fldCharType="separate"/>
      </w:r>
      <w:r w:rsidR="003E4210">
        <w:t xml:space="preserve">Figure </w:t>
      </w:r>
      <w:r w:rsidR="003E4210">
        <w:rPr>
          <w:noProof/>
        </w:rPr>
        <w:t>128</w:t>
      </w:r>
      <w:r w:rsidR="00BD151C">
        <w:rPr>
          <w:lang w:eastAsia="ko-KR"/>
        </w:rPr>
        <w:fldChar w:fldCharType="end"/>
      </w:r>
      <w:r w:rsidRPr="00235C9A">
        <w:t>)</w:t>
      </w:r>
      <w:r w:rsidRPr="00235C9A">
        <w:rPr>
          <w:lang w:eastAsia="ko-KR"/>
        </w:rPr>
        <w:t>. SBIFS interval following the end of the first TPA Request frame transmission, the destination RUS shall send another TPA Request frame to the source RUS and set the Response Offset field to the Dtime when the source RSUS shall transmit a TPA Response frame back to the destination RUS. Upon receiving the TPA Response frame from the RSUS, the destination RUS shall estimate the TPA value of the RSUS and the time deviation (i.e., 2*dT</w:t>
      </w:r>
      <w:r w:rsidRPr="00235C9A">
        <w:rPr>
          <w:vertAlign w:val="subscript"/>
          <w:lang w:eastAsia="ko-KR"/>
        </w:rPr>
        <w:t>DR</w:t>
      </w:r>
      <w:r w:rsidRPr="00235C9A">
        <w:rPr>
          <w:lang w:eastAsia="ko-KR"/>
        </w:rPr>
        <w:t>) between the expected Dtime and the actual arrival time of the TPA Response frame. The destination RUS shall repeat the same procedure upon reception of the TPA Response frame received from the source RUS.</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SBIFS interval following the end of the transmission of the TPA Response frame to the destination RUS, the source RUS shall send a TPA Request frame to the RSUS and set the Response Offset field to the Dtime when the RSUS shall transmit a TPA Response frame back to the source RUS (see</w:t>
      </w:r>
      <w:r>
        <w:rPr>
          <w:lang w:eastAsia="ko-KR"/>
        </w:rPr>
        <w:t xml:space="preserve"> </w:t>
      </w:r>
      <w:r w:rsidR="00BD151C">
        <w:rPr>
          <w:lang w:eastAsia="ko-KR"/>
        </w:rPr>
        <w:fldChar w:fldCharType="begin"/>
      </w:r>
      <w:r>
        <w:rPr>
          <w:lang w:eastAsia="ko-KR"/>
        </w:rPr>
        <w:instrText xml:space="preserve"> REF _Ref259632650 \h </w:instrText>
      </w:r>
      <w:r w:rsidR="00BD151C">
        <w:rPr>
          <w:lang w:eastAsia="ko-KR"/>
        </w:rPr>
      </w:r>
      <w:r w:rsidR="00BD151C">
        <w:rPr>
          <w:lang w:eastAsia="ko-KR"/>
        </w:rPr>
        <w:fldChar w:fldCharType="separate"/>
      </w:r>
      <w:r w:rsidR="003E4210">
        <w:t xml:space="preserve">Figure </w:t>
      </w:r>
      <w:r w:rsidR="003E4210">
        <w:rPr>
          <w:noProof/>
        </w:rPr>
        <w:t>128</w:t>
      </w:r>
      <w:r w:rsidR="00BD151C">
        <w:rPr>
          <w:lang w:eastAsia="ko-KR"/>
        </w:rPr>
        <w:fldChar w:fldCharType="end"/>
      </w:r>
      <w:r w:rsidRPr="00235C9A">
        <w:t>)</w:t>
      </w:r>
      <w:r w:rsidRPr="00235C9A">
        <w:rPr>
          <w:lang w:eastAsia="ko-KR"/>
        </w:rPr>
        <w:t>. Upon reception of the TPA Response frame from the RSUS, the source RUS shall estimate the TPA value of the source RUS and the time deviation (i.e., 2*dT</w:t>
      </w:r>
      <w:r w:rsidRPr="00235C9A">
        <w:rPr>
          <w:vertAlign w:val="subscript"/>
          <w:lang w:eastAsia="ko-KR"/>
        </w:rPr>
        <w:t>SR</w:t>
      </w:r>
      <w:r w:rsidRPr="00235C9A">
        <w:rPr>
          <w:lang w:eastAsia="ko-KR"/>
        </w:rPr>
        <w:t>) between the expected Dtime and the actual arrival time of the TPA Response frame.</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At dot11RelayTPATime from the end of the last TPA Request frame transmitted by the destination RUS to the source RUS, the destination RUS shall send a TPA Request frame to the RSUS and set the Response Offset field to the Dtime when the RSUS shall transmit a TPA Response frame back to the destination RUS, and set the timing offset field to 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Upon reception of the TPA Request frame, the RSUS shall transmit a TPA Response frame to the destination RUS at Dtime+dT</w:t>
      </w:r>
      <w:r w:rsidRPr="00235C9A">
        <w:rPr>
          <w:vertAlign w:val="subscript"/>
          <w:lang w:eastAsia="ko-KR"/>
        </w:rPr>
        <w:t>DR</w:t>
      </w:r>
      <w:r w:rsidRPr="00235C9A">
        <w:rPr>
          <w:lang w:eastAsia="ko-KR"/>
        </w:rPr>
        <w:t>+(dT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from the end of the TPA Request frame. Upon reception of the TPA Response frame, the destination RUS shall estimate the time deviation (i.e., 2*dT</w:t>
      </w:r>
      <w:r w:rsidRPr="00235C9A">
        <w:rPr>
          <w:vertAlign w:val="subscript"/>
          <w:lang w:eastAsia="ko-KR"/>
        </w:rPr>
        <w:t>DR</w:t>
      </w:r>
      <w:r w:rsidRPr="00235C9A">
        <w:rPr>
          <w:lang w:eastAsia="ko-KR"/>
        </w:rPr>
        <w:t>+(dT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between the expected Dtime and the actual arrival time of the TPA Response frame. If the destination RUS determines that the estimated deviation is equal to 2*dT</w:t>
      </w:r>
      <w:r w:rsidRPr="00235C9A">
        <w:rPr>
          <w:vertAlign w:val="subscript"/>
          <w:lang w:eastAsia="ko-KR"/>
        </w:rPr>
        <w:t>DR</w:t>
      </w:r>
      <w:r w:rsidRPr="00235C9A">
        <w:rPr>
          <w:lang w:eastAsia="ko-KR"/>
        </w:rPr>
        <w:t>+(dT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then the TPA procedure is considered successful.</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 xml:space="preserve">As the last step of the TPA procedure, the destination RUS shall send a TPA Report frame to the source RUS that includes the information whether the last TPA procedure succeeded or not. If it is not successful, the TPA procedure is repeated until it is successful or upon the decision of the destination RUS to stop performing the TPA procedure. The TPA procedure can include the estimation of the sampling frequency-offset (SFO), in order for the source RUS and RSUS to adjust their SFOs. </w:t>
      </w:r>
    </w:p>
    <w:p w:rsidR="00235C9A" w:rsidRDefault="00235C9A" w:rsidP="00235C9A">
      <w:pPr>
        <w:rPr>
          <w:lang w:bidi="ar-SA"/>
        </w:rPr>
      </w:pPr>
    </w:p>
    <w:p w:rsidR="00235C9A" w:rsidRDefault="00235C9A" w:rsidP="00235C9A">
      <w:pPr>
        <w:pStyle w:val="Heading4"/>
      </w:pPr>
      <w:bookmarkStart w:id="2904" w:name="_Toc259717285"/>
      <w:r>
        <w:t>11.37.3.2 Frame exchange operation</w:t>
      </w:r>
      <w:bookmarkEnd w:id="2904"/>
    </w:p>
    <w:p w:rsidR="00235C9A" w:rsidRPr="00235C9A" w:rsidRDefault="00235C9A" w:rsidP="00235C9A">
      <w:pPr>
        <w:rPr>
          <w:lang w:eastAsia="ko-KR"/>
        </w:rPr>
      </w:pPr>
      <w:r w:rsidRPr="00235C9A">
        <w:rPr>
          <w:lang w:eastAsia="ko-KR"/>
        </w:rPr>
        <w:t>A source RUS that has successfully completed a</w:t>
      </w:r>
      <w:r w:rsidR="00A66A9E">
        <w:rPr>
          <w:lang w:eastAsia="ko-KR"/>
        </w:rPr>
        <w:t>n</w:t>
      </w:r>
      <w:r w:rsidRPr="00235C9A">
        <w:rPr>
          <w:lang w:eastAsia="ko-KR"/>
        </w:rPr>
        <w:t xml:space="preserve"> RLS procedure with a destination RUS for which the value of the Cooperation-Mode subfield within the negotiated Relay Transfer Parameter Set element is set to 1 and has successfully completed the TPA procedure, shall use the selected RSUS </w:t>
      </w:r>
      <w:r w:rsidRPr="00235C9A">
        <w:rPr>
          <w:lang w:eastAsia="ko-KR"/>
        </w:rPr>
        <w:lastRenderedPageBreak/>
        <w:t>between the source RUS and destination RUS for the purpose of link cooperation. This is described in this subclause.</w:t>
      </w:r>
    </w:p>
    <w:p w:rsidR="00235C9A" w:rsidRDefault="00235C9A" w:rsidP="00235C9A">
      <w:pPr>
        <w:rPr>
          <w:lang w:bidi="ar-SA"/>
        </w:rPr>
      </w:pPr>
    </w:p>
    <w:p w:rsidR="00235C9A" w:rsidRDefault="00235C9A" w:rsidP="00235C9A">
      <w:pPr>
        <w:pStyle w:val="Heading5"/>
      </w:pPr>
      <w:bookmarkStart w:id="2905" w:name="_Toc259717286"/>
      <w:r>
        <w:t>11.37.3.2.1 Cooperated transmission SP request and allocation</w:t>
      </w:r>
      <w:bookmarkEnd w:id="2905"/>
    </w:p>
    <w:p w:rsidR="00235C9A" w:rsidRDefault="00235C9A" w:rsidP="00235C9A">
      <w:pPr>
        <w:rPr>
          <w:lang w:bidi="ar-SA"/>
        </w:rPr>
      </w:pPr>
    </w:p>
    <w:p w:rsidR="00235C9A" w:rsidRPr="00235C9A" w:rsidRDefault="00235C9A" w:rsidP="00235C9A">
      <w:pPr>
        <w:rPr>
          <w:lang w:eastAsia="ko-KR"/>
        </w:rPr>
      </w:pPr>
      <w:r w:rsidRPr="00235C9A">
        <w:rPr>
          <w:lang w:eastAsia="ko-KR"/>
        </w:rPr>
        <w:t xml:space="preserve">If the source RUS receives a TPA Report frame that indicates the successful completion of the TPA procedure with the RSUS and the destination RUS, the source RUS uses the procedure in </w:t>
      </w:r>
      <w:r w:rsidR="00BD151C">
        <w:rPr>
          <w:lang w:eastAsia="ko-KR"/>
        </w:rPr>
        <w:fldChar w:fldCharType="begin"/>
      </w:r>
      <w:r w:rsidR="001A6763">
        <w:rPr>
          <w:lang w:eastAsia="ko-KR"/>
        </w:rPr>
        <w:instrText xml:space="preserve"> REF _Ref259716443 \r \h </w:instrText>
      </w:r>
      <w:r w:rsidR="00BD151C">
        <w:rPr>
          <w:lang w:eastAsia="ko-KR"/>
        </w:rPr>
      </w:r>
      <w:r w:rsidR="00BD151C">
        <w:rPr>
          <w:lang w:eastAsia="ko-KR"/>
        </w:rPr>
        <w:fldChar w:fldCharType="separate"/>
      </w:r>
      <w:r w:rsidR="003E4210">
        <w:rPr>
          <w:lang w:eastAsia="ko-KR"/>
        </w:rPr>
        <w:t>11.4</w:t>
      </w:r>
      <w:r w:rsidR="00BD151C">
        <w:rPr>
          <w:lang w:eastAsia="ko-KR"/>
        </w:rPr>
        <w:fldChar w:fldCharType="end"/>
      </w:r>
      <w:r w:rsidRPr="00235C9A">
        <w:rPr>
          <w:lang w:eastAsia="ko-KR"/>
        </w:rPr>
        <w:t xml:space="preserve"> to request an SP allocation with the destination RUS. The source RUS can use the SP allocation for communication with the destination RUS with the assistance of the RSUS.</w:t>
      </w:r>
    </w:p>
    <w:p w:rsidR="00235C9A" w:rsidRDefault="00235C9A" w:rsidP="00235C9A">
      <w:pPr>
        <w:rPr>
          <w:lang w:bidi="ar-SA"/>
        </w:rPr>
      </w:pPr>
    </w:p>
    <w:p w:rsidR="00235C9A" w:rsidRDefault="0084032C" w:rsidP="0084032C">
      <w:pPr>
        <w:pStyle w:val="Heading5"/>
      </w:pPr>
      <w:bookmarkStart w:id="2906" w:name="_Ref259716640"/>
      <w:bookmarkStart w:id="2907" w:name="_Toc259717287"/>
      <w:r>
        <w:t>11.37.3.2.2 Data transmission rules</w:t>
      </w:r>
      <w:bookmarkEnd w:id="2906"/>
      <w:bookmarkEnd w:id="2907"/>
    </w:p>
    <w:p w:rsidR="00235C9A" w:rsidRDefault="00235C9A" w:rsidP="00235C9A">
      <w:pPr>
        <w:rPr>
          <w:lang w:bidi="ar-SA"/>
        </w:rPr>
      </w:pPr>
    </w:p>
    <w:p w:rsidR="0084032C" w:rsidRPr="0084032C" w:rsidRDefault="0084032C" w:rsidP="0084032C">
      <w:pPr>
        <w:tabs>
          <w:tab w:val="num" w:pos="1440"/>
        </w:tabs>
        <w:rPr>
          <w:lang w:eastAsia="ko-KR"/>
        </w:rPr>
      </w:pPr>
      <w:r w:rsidRPr="0084032C">
        <w:rPr>
          <w:lang w:eastAsia="ko-KR"/>
        </w:rPr>
        <w:t>As shown in the example of</w:t>
      </w:r>
      <w:r>
        <w:t xml:space="preserve"> </w:t>
      </w:r>
      <w:r w:rsidR="00BD151C">
        <w:fldChar w:fldCharType="begin"/>
      </w:r>
      <w:r>
        <w:instrText xml:space="preserve"> REF _Ref259632888 \h </w:instrText>
      </w:r>
      <w:r w:rsidR="00BD151C">
        <w:fldChar w:fldCharType="separate"/>
      </w:r>
      <w:r w:rsidR="003E4210">
        <w:t xml:space="preserve">Figure </w:t>
      </w:r>
      <w:r w:rsidR="003E4210">
        <w:rPr>
          <w:noProof/>
        </w:rPr>
        <w:t>129</w:t>
      </w:r>
      <w:r w:rsidR="00BD151C">
        <w:fldChar w:fldCharType="end"/>
      </w:r>
      <w:r w:rsidRPr="0084032C">
        <w:rPr>
          <w:lang w:eastAsia="ko-KR"/>
        </w:rPr>
        <w:t xml:space="preserve">, in the allocated SP the first time interval (T1) and the second time interval (T2) for a cooperated data frame transfer are determined by the packet transmission time  at each transmission from the source RUS to the destination RUS within the SP. </w:t>
      </w:r>
    </w:p>
    <w:p w:rsidR="0084032C" w:rsidRPr="0084032C" w:rsidRDefault="0084032C" w:rsidP="0084032C">
      <w:pPr>
        <w:tabs>
          <w:tab w:val="num" w:pos="1440"/>
        </w:tabs>
        <w:rPr>
          <w:lang w:eastAsia="ko-KR"/>
        </w:rPr>
      </w:pPr>
    </w:p>
    <w:p w:rsidR="0084032C" w:rsidRPr="0084032C" w:rsidRDefault="0084032C" w:rsidP="0084032C">
      <w:pPr>
        <w:tabs>
          <w:tab w:val="num" w:pos="1440"/>
        </w:tabs>
        <w:rPr>
          <w:lang w:eastAsia="ko-KR"/>
        </w:rPr>
      </w:pPr>
      <w:r w:rsidRPr="0084032C">
        <w:rPr>
          <w:lang w:eastAsia="ko-KR"/>
        </w:rPr>
        <w:t>The data transmission rules are as follows. At the start of each time T1, the source RUS transmits a frame with its transmit antenna pattern directed towards the RSUS and with the TA and the RA fields in the MAC header set to the MAC address of the source RUS and destination RUS, respectively.  After Ptime+dT</w:t>
      </w:r>
      <w:r w:rsidRPr="0084032C">
        <w:rPr>
          <w:vertAlign w:val="subscript"/>
          <w:lang w:eastAsia="ko-KR"/>
        </w:rPr>
        <w:t>SR</w:t>
      </w:r>
      <w:r w:rsidRPr="0084032C">
        <w:rPr>
          <w:lang w:eastAsia="ko-KR"/>
        </w:rPr>
        <w:t xml:space="preserve"> from the start of T2, the source RUS retransmits the same frame sent to the RSUS during the previous time T1 but now with its transmit antenna pattern directed towards the destination RUS. Similarly, after Ptime+(dT</w:t>
      </w:r>
      <w:r w:rsidRPr="0084032C">
        <w:rPr>
          <w:vertAlign w:val="subscript"/>
          <w:lang w:eastAsia="ko-KR"/>
        </w:rPr>
        <w:t>DS</w:t>
      </w:r>
      <w:r w:rsidRPr="0084032C">
        <w:rPr>
          <w:lang w:eastAsia="ko-KR"/>
        </w:rPr>
        <w:t>-dT</w:t>
      </w:r>
      <w:r w:rsidRPr="0084032C">
        <w:rPr>
          <w:vertAlign w:val="subscript"/>
          <w:lang w:eastAsia="ko-KR"/>
        </w:rPr>
        <w:t>DR</w:t>
      </w:r>
      <w:r w:rsidR="001A6763">
        <w:rPr>
          <w:lang w:eastAsia="ko-KR"/>
        </w:rPr>
        <w:t xml:space="preserve">) </w:t>
      </w:r>
      <w:r w:rsidRPr="0084032C">
        <w:rPr>
          <w:lang w:eastAsia="ko-KR"/>
        </w:rPr>
        <w:t xml:space="preserve">from the start of T2, the RSUS retransmits the same frame it received from the source RUS during the previous time T1. So that the destination RUS can take advantage of the improved received signal level from both of these transmissions, the destination RUS should set its receive antenna pattern during T2 such that it simultaneously covers the links towards both the source RUS and the RSUS. </w:t>
      </w:r>
    </w:p>
    <w:p w:rsidR="0084032C" w:rsidRPr="0084032C" w:rsidRDefault="0084032C" w:rsidP="0084032C">
      <w:pPr>
        <w:tabs>
          <w:tab w:val="num" w:pos="1440"/>
        </w:tabs>
        <w:rPr>
          <w:lang w:eastAsia="ko-KR"/>
        </w:rPr>
      </w:pPr>
    </w:p>
    <w:p w:rsidR="0084032C" w:rsidRPr="0084032C" w:rsidRDefault="0084032C" w:rsidP="0084032C">
      <w:pPr>
        <w:tabs>
          <w:tab w:val="num" w:pos="1440"/>
        </w:tabs>
        <w:rPr>
          <w:lang w:eastAsia="ko-KR"/>
        </w:rPr>
      </w:pPr>
      <w:r w:rsidRPr="0084032C">
        <w:rPr>
          <w:lang w:eastAsia="ko-KR"/>
        </w:rPr>
        <w:t>The Ack policy used during an SP where link cooperation is in use is t</w:t>
      </w:r>
      <w:r w:rsidR="001A6763">
        <w:rPr>
          <w:lang w:eastAsia="ko-KR"/>
        </w:rPr>
        <w:t xml:space="preserve">he same as defined in Clause </w:t>
      </w:r>
      <w:r w:rsidR="00BD151C">
        <w:rPr>
          <w:lang w:eastAsia="ko-KR"/>
        </w:rPr>
        <w:fldChar w:fldCharType="begin"/>
      </w:r>
      <w:r w:rsidR="001A6763">
        <w:rPr>
          <w:lang w:eastAsia="ko-KR"/>
        </w:rPr>
        <w:instrText xml:space="preserve"> REF _Ref259716525 \r \h </w:instrText>
      </w:r>
      <w:r w:rsidR="00BD151C">
        <w:rPr>
          <w:lang w:eastAsia="ko-KR"/>
        </w:rPr>
      </w:r>
      <w:r w:rsidR="00BD151C">
        <w:rPr>
          <w:lang w:eastAsia="ko-KR"/>
        </w:rPr>
        <w:fldChar w:fldCharType="separate"/>
      </w:r>
      <w:r w:rsidR="003E4210">
        <w:rPr>
          <w:lang w:eastAsia="ko-KR"/>
        </w:rPr>
        <w:t>9</w:t>
      </w:r>
      <w:r w:rsidR="00BD151C">
        <w:rPr>
          <w:lang w:eastAsia="ko-KR"/>
        </w:rPr>
        <w:fldChar w:fldCharType="end"/>
      </w:r>
      <w:r w:rsidR="001A6763">
        <w:rPr>
          <w:lang w:eastAsia="ko-KR"/>
        </w:rPr>
        <w:t>.</w:t>
      </w:r>
    </w:p>
    <w:p w:rsidR="0084032C" w:rsidRDefault="0084032C" w:rsidP="0084032C">
      <w:pPr>
        <w:jc w:val="both"/>
        <w:rPr>
          <w:sz w:val="22"/>
          <w:szCs w:val="22"/>
          <w:lang w:eastAsia="ko-KR"/>
        </w:rPr>
      </w:pPr>
    </w:p>
    <w:p w:rsidR="0084032C" w:rsidRDefault="0084032C" w:rsidP="0084032C">
      <w:pPr>
        <w:jc w:val="center"/>
        <w:rPr>
          <w:sz w:val="22"/>
          <w:szCs w:val="22"/>
          <w:lang w:eastAsia="ko-KR"/>
        </w:rPr>
      </w:pPr>
      <w:r w:rsidRPr="00020CF5">
        <w:rPr>
          <w:sz w:val="22"/>
          <w:szCs w:val="22"/>
        </w:rPr>
        <w:object w:dxaOrig="10441" w:dyaOrig="3421">
          <v:shape id="_x0000_i1087" type="#_x0000_t75" style="width:465.05pt;height:151.7pt" o:ole="">
            <v:imagedata r:id="rId219" o:title=""/>
          </v:shape>
          <o:OLEObject Type="Embed" ProgID="Visio.Drawing.11" ShapeID="_x0000_i1087" DrawAspect="Content" ObjectID="_1334048268" r:id="rId220"/>
        </w:object>
      </w:r>
    </w:p>
    <w:p w:rsidR="0084032C" w:rsidRDefault="0084032C" w:rsidP="0084032C">
      <w:pPr>
        <w:pStyle w:val="Caption"/>
      </w:pPr>
      <w:bookmarkStart w:id="2908" w:name="_Ref259632888"/>
      <w:bookmarkStart w:id="2909" w:name="_Toc259717561"/>
      <w:r>
        <w:t xml:space="preserve">Figure </w:t>
      </w:r>
      <w:fldSimple w:instr=" SEQ Figure \* ARABIC ">
        <w:r w:rsidR="003E4210">
          <w:rPr>
            <w:noProof/>
          </w:rPr>
          <w:t>129</w:t>
        </w:r>
      </w:fldSimple>
      <w:bookmarkEnd w:id="2908"/>
      <w:r>
        <w:t xml:space="preserve"> – Example of data transmission in an SP with link cooperating relay</w:t>
      </w:r>
      <w:bookmarkEnd w:id="2909"/>
    </w:p>
    <w:p w:rsidR="0084032C" w:rsidRDefault="0084032C" w:rsidP="00235C9A">
      <w:pPr>
        <w:rPr>
          <w:lang w:bidi="ar-SA"/>
        </w:rPr>
      </w:pPr>
    </w:p>
    <w:p w:rsidR="0084032C" w:rsidRDefault="0084032C" w:rsidP="0084032C">
      <w:pPr>
        <w:pStyle w:val="Heading3"/>
        <w:rPr>
          <w:lang w:bidi="ar-SA"/>
        </w:rPr>
      </w:pPr>
      <w:bookmarkStart w:id="2910" w:name="_Ref259716163"/>
      <w:bookmarkStart w:id="2911" w:name="_Ref259716168"/>
      <w:bookmarkStart w:id="2912" w:name="_Toc259717288"/>
      <w:r>
        <w:rPr>
          <w:lang w:bidi="ar-SA"/>
        </w:rPr>
        <w:t>11.37.4 Relay operation-type change procedure</w:t>
      </w:r>
      <w:bookmarkEnd w:id="2910"/>
      <w:bookmarkEnd w:id="2911"/>
      <w:bookmarkEnd w:id="2912"/>
    </w:p>
    <w:p w:rsidR="0084032C" w:rsidRDefault="0084032C" w:rsidP="00235C9A">
      <w:pPr>
        <w:rPr>
          <w:lang w:bidi="ar-SA"/>
        </w:rPr>
      </w:pPr>
    </w:p>
    <w:p w:rsidR="0084032C" w:rsidRPr="0084032C" w:rsidRDefault="0084032C" w:rsidP="0084032C">
      <w:pPr>
        <w:rPr>
          <w:lang w:eastAsia="ko-KR"/>
        </w:rPr>
      </w:pPr>
      <w:r w:rsidRPr="0084032C">
        <w:rPr>
          <w:lang w:eastAsia="ko-KR"/>
        </w:rPr>
        <w:lastRenderedPageBreak/>
        <w:t>The source RUS may change the relay operation type from link switching to link cooperating, and vice-versa, if either one of S-D, or S-R, or R-D links becomes unavailable or for other reasons. Link unavailability can be determined by the source STA not receiving expected frames from the destination RUS. To assist in this decision, the source RUS may use the link adaptation procedure (</w:t>
      </w:r>
      <w:r w:rsidR="00BD151C">
        <w:rPr>
          <w:lang w:eastAsia="ko-KR"/>
        </w:rPr>
        <w:fldChar w:fldCharType="begin"/>
      </w:r>
      <w:r w:rsidR="001A6763">
        <w:rPr>
          <w:lang w:eastAsia="ko-KR"/>
        </w:rPr>
        <w:instrText xml:space="preserve"> REF _Ref259716562 \h </w:instrText>
      </w:r>
      <w:r w:rsidR="00BD151C">
        <w:rPr>
          <w:lang w:eastAsia="ko-KR"/>
        </w:rPr>
      </w:r>
      <w:r w:rsidR="00BD151C">
        <w:rPr>
          <w:lang w:eastAsia="ko-KR"/>
        </w:rPr>
        <w:fldChar w:fldCharType="separate"/>
      </w:r>
      <w:r w:rsidR="003E4210">
        <w:rPr>
          <w:lang w:bidi="ar-SA"/>
        </w:rPr>
        <w:t>11.37.5 Relay link adaptation</w:t>
      </w:r>
      <w:r w:rsidR="00BD151C">
        <w:rPr>
          <w:lang w:eastAsia="ko-KR"/>
        </w:rPr>
        <w:fldChar w:fldCharType="end"/>
      </w:r>
      <w:r w:rsidRPr="0084032C">
        <w:rPr>
          <w:lang w:eastAsia="ko-KR"/>
        </w:rPr>
        <w:t xml:space="preserve">) to obtain the quality of a link. </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To change the relay operation type within an SP from link cooperating to link switching in a case that the S-D link becomes unavailable, the source RUS shall transmit a ROC Request frame to the RSUS with the link cooperating subfield set to 0 and the relay-link subfield set to 1.</w:t>
      </w:r>
      <w:r w:rsidRPr="0084032C">
        <w:t xml:space="preserve"> </w:t>
      </w:r>
      <w:r w:rsidRPr="0084032C">
        <w:rPr>
          <w:lang w:eastAsia="ko-KR"/>
        </w:rPr>
        <w:t>Upon receiving a ROC Request frame, the RSUS shall transmit a ROC Request frame to the destination RUS containing the same information as received within the frame body of the source RUS’ ROC Request frame. Following the reception of a ROC Request frame, the destination RUS shall respond with a ROC Response frame to the RSUS with the status code field set to 0 if the destination RUS accepts to change the operation into link switching, and set to 37 if the destination RUS rejects the request. Upon receiving the ROC Response frame, the RSUS shall transmit a ROC Response to the source RUS with the status code field set to 0 only if the RSUS accepts to change the operation into link switching and the status code field set to 0 in the ROC Response frame received from destination RUS. Otherwise, the RSUS shall set the status code field to 37. Upon reception of a ROC Response from the RSUS with the status code field set to 0, the source RUS immediately starts to transmit frames to the destination RUS via the RSUS relay link.</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To change the relay operation type from link cooperating to link switching in other case that the S-R link becomes unavailable, the source RUS shall a ROC Request frame to the destination RUS with the link cooperating subfield set to 0 and the relay-link subfield set to 0. Following the reception of a ROC Request frame, the destination RUS shall respond with a ROC Response frame to the source RUS with the status code field indicating the acceptance or rejection of the request. Upon reception of a ROC Response from the destination RUS with the status code field set to 0, the source RUS immediately starts to transmit frames to the destination RUS via the direct link in link switching mode.</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 xml:space="preserve">To change the relay operation type within an SP from link switching to link cooperating, the source RUS shall transmit a ROC Request frame to the destination RUS via the RSUS with the link cooperating subfield set to 1. Following the reception of a ROC Request frame from the RSUS, the destination RUS shall respond with a ROC Response frame to the source RUS via the RSUS with the status code field indicating the acceptance or rejection of the request. Upon reception of a ROC Response frame from the RSUS with the status code field set to 0, the source RUS immediately starts to transmit frames to the destination RUS using the RSUS in link cooperating mode. If a TPA procedure was not performed beforehand since the link switching operation has been continued from the start of relay operation, the TPA procedure shall be performed before the commencement of the link cooperating mode.   </w:t>
      </w:r>
    </w:p>
    <w:p w:rsidR="0084032C" w:rsidRPr="0084032C" w:rsidRDefault="0084032C" w:rsidP="0084032C">
      <w:pPr>
        <w:rPr>
          <w:lang w:eastAsia="ko-KR"/>
        </w:rPr>
      </w:pPr>
    </w:p>
    <w:p w:rsidR="0084032C" w:rsidRPr="0084032C" w:rsidRDefault="0084032C" w:rsidP="0084032C">
      <w:pPr>
        <w:rPr>
          <w:sz w:val="20"/>
          <w:lang w:eastAsia="ko-KR"/>
        </w:rPr>
      </w:pPr>
      <w:r w:rsidRPr="0084032C">
        <w:rPr>
          <w:sz w:val="20"/>
          <w:lang w:eastAsia="ko-KR"/>
        </w:rPr>
        <w:t xml:space="preserve">NOTE – As described in </w:t>
      </w:r>
      <w:fldSimple w:instr=" REF _Ref259716640 \h  \* MERGEFORMAT ">
        <w:r w:rsidR="003E4210" w:rsidRPr="003E4210">
          <w:rPr>
            <w:sz w:val="20"/>
            <w:lang w:eastAsia="ko-KR"/>
          </w:rPr>
          <w:t>11.37.3.2.2 Data transmission rules</w:t>
        </w:r>
      </w:fldSimple>
      <w:r w:rsidRPr="0084032C">
        <w:rPr>
          <w:sz w:val="20"/>
          <w:lang w:eastAsia="ko-KR"/>
        </w:rPr>
        <w:t>, during the SP in link cooperating operation the destination RUS has its receive antenna pattern such that it simultaneously covers the links towards both the source RUS and the RSUS.</w:t>
      </w:r>
    </w:p>
    <w:p w:rsidR="0084032C" w:rsidRDefault="0084032C" w:rsidP="00235C9A">
      <w:pPr>
        <w:rPr>
          <w:lang w:bidi="ar-SA"/>
        </w:rPr>
      </w:pPr>
    </w:p>
    <w:p w:rsidR="0084032C" w:rsidRDefault="0084032C" w:rsidP="0084032C">
      <w:pPr>
        <w:pStyle w:val="Heading3"/>
        <w:rPr>
          <w:lang w:bidi="ar-SA"/>
        </w:rPr>
      </w:pPr>
      <w:bookmarkStart w:id="2913" w:name="_Ref259716201"/>
      <w:bookmarkStart w:id="2914" w:name="_Ref259716562"/>
      <w:bookmarkStart w:id="2915" w:name="_Toc259717289"/>
      <w:r>
        <w:rPr>
          <w:lang w:bidi="ar-SA"/>
        </w:rPr>
        <w:t>11.37.5 Relay link adaptation</w:t>
      </w:r>
      <w:bookmarkEnd w:id="2913"/>
      <w:bookmarkEnd w:id="2914"/>
      <w:bookmarkEnd w:id="2915"/>
    </w:p>
    <w:p w:rsidR="0084032C" w:rsidRDefault="0084032C" w:rsidP="00235C9A">
      <w:pPr>
        <w:rPr>
          <w:lang w:bidi="ar-SA"/>
        </w:rPr>
      </w:pPr>
    </w:p>
    <w:p w:rsidR="0084032C" w:rsidRPr="0084032C" w:rsidRDefault="0084032C" w:rsidP="0084032C">
      <w:r w:rsidRPr="0084032C">
        <w:t>When a relay link is used for communication between a source RUS and a destination RUS, the link qualities of the S-R link, the R-D link</w:t>
      </w:r>
      <w:r w:rsidRPr="0084032C">
        <w:rPr>
          <w:lang w:eastAsia="ko-KR"/>
        </w:rPr>
        <w:t>,</w:t>
      </w:r>
      <w:r w:rsidRPr="0084032C">
        <w:t xml:space="preserve"> and the S-D link may be required.</w:t>
      </w:r>
    </w:p>
    <w:p w:rsidR="0084032C" w:rsidRPr="0084032C" w:rsidRDefault="0084032C" w:rsidP="0084032C"/>
    <w:p w:rsidR="0084032C" w:rsidRPr="0084032C" w:rsidRDefault="0084032C" w:rsidP="0084032C">
      <w:r w:rsidRPr="0084032C">
        <w:t xml:space="preserve">The source RUS, destination RUS, and RSUS use the procedure described in </w:t>
      </w:r>
      <w:r w:rsidR="00BD151C">
        <w:fldChar w:fldCharType="begin"/>
      </w:r>
      <w:r w:rsidR="001A6763">
        <w:instrText xml:space="preserve"> REF _Ref259716679 \r \h </w:instrText>
      </w:r>
      <w:r w:rsidR="00BD151C">
        <w:fldChar w:fldCharType="separate"/>
      </w:r>
      <w:r w:rsidR="003E4210">
        <w:t>9.27</w:t>
      </w:r>
      <w:r w:rsidR="00BD151C">
        <w:fldChar w:fldCharType="end"/>
      </w:r>
      <w:r w:rsidRPr="0084032C">
        <w:t xml:space="preserve"> to request and report the link quality among themselves with the following exception. In the Link Margin Response frame the RSUS transmits to the source RUS, the RSUS shall include two Link Margin elements in this order:</w:t>
      </w:r>
    </w:p>
    <w:p w:rsidR="0084032C" w:rsidRPr="0084032C" w:rsidRDefault="0084032C" w:rsidP="003701DB">
      <w:pPr>
        <w:pStyle w:val="ListParagraph"/>
        <w:numPr>
          <w:ilvl w:val="0"/>
          <w:numId w:val="231"/>
        </w:numPr>
        <w:contextualSpacing/>
      </w:pPr>
      <w:r w:rsidRPr="0084032C">
        <w:t>The first Link Margin element shall report the link quality between the source RUS and the RSUS</w:t>
      </w:r>
    </w:p>
    <w:p w:rsidR="0084032C" w:rsidRPr="0084032C" w:rsidRDefault="0084032C" w:rsidP="003701DB">
      <w:pPr>
        <w:pStyle w:val="ListParagraph"/>
        <w:numPr>
          <w:ilvl w:val="0"/>
          <w:numId w:val="231"/>
        </w:numPr>
        <w:contextualSpacing/>
      </w:pPr>
      <w:r w:rsidRPr="0084032C">
        <w:t>The second Link Margin element shall report the link quality between the RSUS and the destination RUS</w:t>
      </w:r>
    </w:p>
    <w:p w:rsidR="0084032C" w:rsidRPr="0084032C" w:rsidRDefault="0084032C" w:rsidP="0084032C"/>
    <w:p w:rsidR="0084032C" w:rsidRPr="0084032C" w:rsidRDefault="0084032C" w:rsidP="0084032C">
      <w:pPr>
        <w:rPr>
          <w:lang w:eastAsia="ko-KR"/>
        </w:rPr>
      </w:pPr>
      <w:r w:rsidRPr="0084032C">
        <w:t xml:space="preserve">Upon reception of a Link Margin Response frame, the source RUS can take several actions including changing the MCS it uses for frame transmission to the RSUS and destination RUS. </w:t>
      </w:r>
    </w:p>
    <w:p w:rsidR="0084032C" w:rsidRDefault="0084032C" w:rsidP="00235C9A">
      <w:pPr>
        <w:rPr>
          <w:lang w:bidi="ar-SA"/>
        </w:rPr>
      </w:pPr>
    </w:p>
    <w:p w:rsidR="0084032C" w:rsidRDefault="0084032C" w:rsidP="0084032C">
      <w:pPr>
        <w:pStyle w:val="Heading3"/>
        <w:rPr>
          <w:lang w:bidi="ar-SA"/>
        </w:rPr>
      </w:pPr>
      <w:bookmarkStart w:id="2916" w:name="_Toc259717290"/>
      <w:r>
        <w:rPr>
          <w:lang w:bidi="ar-SA"/>
        </w:rPr>
        <w:t>11.37.6 Relay teardown</w:t>
      </w:r>
      <w:bookmarkEnd w:id="2916"/>
    </w:p>
    <w:p w:rsidR="0084032C" w:rsidRDefault="0084032C" w:rsidP="00235C9A">
      <w:pPr>
        <w:rPr>
          <w:lang w:bidi="ar-SA"/>
        </w:rPr>
      </w:pPr>
    </w:p>
    <w:p w:rsidR="0084032C" w:rsidRPr="0084032C" w:rsidRDefault="0084032C" w:rsidP="0084032C">
      <w:pPr>
        <w:rPr>
          <w:lang w:eastAsia="ko-KR"/>
        </w:rPr>
      </w:pPr>
      <w:r w:rsidRPr="0084032C">
        <w:rPr>
          <w:lang w:eastAsia="ko-KR"/>
        </w:rPr>
        <w:t>A source RUS that has successfully completed the RLS procedure with a destination RUS may teardown the relay operation between the source RUS, destination RUS and RSUS. To do that, the source RUS shall transmit an RLS Teardown frame to the RSUS, destination RUS and PCP/AP of the BSS. Within the Relay Teardown frame, the source RUS shall set the source AID field to the AID of the source RUS, the destination AID field to the AID of the destination RUS and the relay AID field to the AID of the RSUS.</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A RSUS may teardown the relay operation between the source RUS, destination RUS and RSUS. To do that, the RSUS shall transmit an RLS Teardown frame to the source RUS, destination RUS and PCP/AP of the BSS. Within the Relay Teardown frame, the RSUS shall set the source AID field to the AID of the source RUS, the destination AID field to the AID of the destination RUS and the relay AID field to the AID of the RSUS.</w:t>
      </w:r>
    </w:p>
    <w:p w:rsidR="0084032C" w:rsidRDefault="0084032C" w:rsidP="00235C9A">
      <w:pPr>
        <w:rPr>
          <w:lang w:bidi="ar-SA"/>
        </w:rPr>
      </w:pPr>
    </w:p>
    <w:p w:rsidR="0084032C" w:rsidRDefault="0084032C" w:rsidP="00235C9A">
      <w:pPr>
        <w:rPr>
          <w:lang w:bidi="ar-SA"/>
        </w:rPr>
      </w:pPr>
    </w:p>
    <w:p w:rsidR="0084032C" w:rsidRDefault="0084032C" w:rsidP="00235C9A">
      <w:pPr>
        <w:rPr>
          <w:lang w:bidi="ar-SA"/>
        </w:rPr>
      </w:pPr>
    </w:p>
    <w:p w:rsidR="00235C9A" w:rsidRDefault="00235C9A" w:rsidP="00235C9A">
      <w:pPr>
        <w:rPr>
          <w:lang w:bidi="ar-SA"/>
        </w:rPr>
      </w:pPr>
    </w:p>
    <w:p w:rsidR="00235C9A" w:rsidRDefault="00235C9A" w:rsidP="00235C9A">
      <w:pPr>
        <w:rPr>
          <w:lang w:bidi="ar-SA"/>
        </w:rPr>
      </w:pPr>
    </w:p>
    <w:p w:rsidR="00235C9A" w:rsidRDefault="00235C9A" w:rsidP="00235C9A">
      <w:pPr>
        <w:rPr>
          <w:lang w:bidi="ar-SA"/>
        </w:rPr>
      </w:pPr>
    </w:p>
    <w:p w:rsidR="00235C9A" w:rsidRPr="00235C9A" w:rsidRDefault="00235C9A" w:rsidP="00235C9A">
      <w:pPr>
        <w:rPr>
          <w:lang w:bidi="ar-SA"/>
        </w:rPr>
      </w:pPr>
    </w:p>
    <w:p w:rsidR="00914472" w:rsidRDefault="00914472">
      <w:pPr>
        <w:rPr>
          <w:rFonts w:ascii="TimesNewRomanPSMT" w:hAnsi="TimesNewRomanPSMT"/>
          <w:b/>
          <w:i/>
          <w:color w:val="FF0000"/>
          <w:u w:val="single"/>
        </w:rPr>
      </w:pPr>
      <w:r>
        <w:rPr>
          <w:rFonts w:ascii="TimesNewRomanPSMT" w:hAnsi="TimesNewRomanPSMT"/>
          <w:b/>
          <w:i/>
          <w:color w:val="FF0000"/>
          <w:u w:val="single"/>
        </w:rPr>
        <w:br w:type="page"/>
      </w:r>
    </w:p>
    <w:p w:rsidR="00000C5F" w:rsidRDefault="00E62A8C">
      <w:pPr>
        <w:pStyle w:val="Heading1"/>
      </w:pPr>
      <w:bookmarkStart w:id="2917" w:name="_Toc259717291"/>
      <w:r>
        <w:lastRenderedPageBreak/>
        <w:t>12</w:t>
      </w:r>
      <w:r w:rsidR="00914472">
        <w:t xml:space="preserve"> PHY service specification</w:t>
      </w:r>
      <w:bookmarkEnd w:id="2917"/>
    </w:p>
    <w:p w:rsidR="00914472" w:rsidRDefault="00914472" w:rsidP="005F7464">
      <w:pPr>
        <w:jc w:val="both"/>
        <w:rPr>
          <w:rFonts w:ascii="TimesNewRomanPSMT" w:hAnsi="TimesNewRomanPSMT"/>
          <w:b/>
          <w:i/>
          <w:color w:val="FF0000"/>
          <w:u w:val="single"/>
        </w:rPr>
      </w:pPr>
    </w:p>
    <w:p w:rsidR="00000C5F" w:rsidRDefault="00914472">
      <w:pPr>
        <w:pStyle w:val="Heading2"/>
      </w:pPr>
      <w:bookmarkStart w:id="2918" w:name="_Toc259717292"/>
      <w:r>
        <w:t>12.3 Detailed PHY service specifications</w:t>
      </w:r>
      <w:bookmarkEnd w:id="2918"/>
    </w:p>
    <w:p w:rsidR="00914472" w:rsidRDefault="00914472" w:rsidP="005F7464">
      <w:pPr>
        <w:jc w:val="both"/>
        <w:rPr>
          <w:rFonts w:ascii="TimesNewRomanPSMT" w:hAnsi="TimesNewRomanPSMT"/>
          <w:b/>
          <w:i/>
          <w:color w:val="FF0000"/>
          <w:u w:val="single"/>
        </w:rPr>
      </w:pPr>
    </w:p>
    <w:p w:rsidR="00000C5F" w:rsidRDefault="00914472">
      <w:pPr>
        <w:pStyle w:val="Heading3"/>
      </w:pPr>
      <w:bookmarkStart w:id="2919" w:name="_Toc259717293"/>
      <w:r>
        <w:t>12.3.5 PHY-SAP detailed service specification</w:t>
      </w:r>
      <w:bookmarkEnd w:id="2919"/>
    </w:p>
    <w:p w:rsidR="00914472" w:rsidRDefault="00914472" w:rsidP="005F7464">
      <w:pPr>
        <w:jc w:val="both"/>
        <w:rPr>
          <w:rFonts w:ascii="TimesNewRomanPSMT" w:hAnsi="TimesNewRomanPSMT"/>
          <w:b/>
          <w:i/>
          <w:color w:val="FF0000"/>
          <w:u w:val="single"/>
        </w:rPr>
      </w:pPr>
    </w:p>
    <w:p w:rsidR="007155B3" w:rsidRPr="000D4F39" w:rsidRDefault="000D4F39" w:rsidP="000D4F39">
      <w:pPr>
        <w:autoSpaceDE w:val="0"/>
        <w:autoSpaceDN w:val="0"/>
        <w:adjustRightInd w:val="0"/>
        <w:rPr>
          <w:i/>
        </w:rPr>
      </w:pPr>
      <w:r w:rsidRPr="009448FC">
        <w:rPr>
          <w:i/>
        </w:rPr>
        <w:t>.</w:t>
      </w:r>
      <w:r w:rsidRPr="000D4F39">
        <w:rPr>
          <w:i/>
        </w:rPr>
        <w:t>11 Editor note: add new sub clauses 12.3.5.7a, 12.3.5.7a.1, 12.3.5.7a.2, 12.3.5.7a.3, 12.3.5.7a.4 after subcluse 12.3.5.7</w:t>
      </w:r>
      <w:r w:rsidR="00BE1F31">
        <w:rPr>
          <w:i/>
        </w:rPr>
        <w:t xml:space="preserve"> </w:t>
      </w:r>
    </w:p>
    <w:p w:rsidR="00CD447D" w:rsidRPr="00CD447D" w:rsidRDefault="009D537D">
      <w:pPr>
        <w:pStyle w:val="Heading4"/>
      </w:pPr>
      <w:bookmarkStart w:id="2920" w:name="_Toc259717294"/>
      <w:r w:rsidRPr="009D537D">
        <w:t>12.3.5.7a PHY-TXPLCPEND.indication</w:t>
      </w:r>
      <w:bookmarkEnd w:id="2920"/>
    </w:p>
    <w:p w:rsidR="000D4F39" w:rsidRPr="000D4F39" w:rsidRDefault="000D4F39" w:rsidP="000D4F39">
      <w:pPr>
        <w:pStyle w:val="Heading5"/>
      </w:pPr>
      <w:bookmarkStart w:id="2921" w:name="_Toc259717295"/>
      <w:r>
        <w:t>12.3.5.7a</w:t>
      </w:r>
      <w:r w:rsidRPr="000D4F39">
        <w:t>.1 Function</w:t>
      </w:r>
      <w:bookmarkEnd w:id="2921"/>
    </w:p>
    <w:p w:rsidR="000D4F39" w:rsidRPr="006615DA" w:rsidRDefault="009D537D" w:rsidP="000D4F39">
      <w:pPr>
        <w:tabs>
          <w:tab w:val="num" w:pos="720"/>
        </w:tabs>
        <w:spacing w:line="360" w:lineRule="auto"/>
      </w:pPr>
      <w:r w:rsidRPr="009D537D">
        <w:t>This primitive indicates the transmission completion of the PLCP header to the local MAC entity.</w:t>
      </w:r>
    </w:p>
    <w:p w:rsidR="000D4F39" w:rsidRPr="006615DA" w:rsidRDefault="009D537D" w:rsidP="000D4F39">
      <w:pPr>
        <w:pStyle w:val="Heading5"/>
      </w:pPr>
      <w:bookmarkStart w:id="2922" w:name="_Toc259717296"/>
      <w:r w:rsidRPr="009D537D">
        <w:t>12.3.5.7a.2 Semantics of the service primitive</w:t>
      </w:r>
      <w:bookmarkEnd w:id="2922"/>
    </w:p>
    <w:p w:rsidR="000D4F39" w:rsidRPr="006615DA" w:rsidRDefault="009D537D" w:rsidP="000D4F39">
      <w:pPr>
        <w:tabs>
          <w:tab w:val="num" w:pos="720"/>
        </w:tabs>
        <w:spacing w:line="360" w:lineRule="auto"/>
      </w:pPr>
      <w:r w:rsidRPr="009D537D">
        <w:t>The semantics of the primitive are as follows:</w:t>
      </w:r>
    </w:p>
    <w:p w:rsidR="000D4F39" w:rsidRPr="006615DA" w:rsidRDefault="009D537D" w:rsidP="000D4F39">
      <w:pPr>
        <w:tabs>
          <w:tab w:val="num" w:pos="720"/>
        </w:tabs>
        <w:spacing w:line="360" w:lineRule="auto"/>
      </w:pPr>
      <w:r w:rsidRPr="009D537D">
        <w:t>PHY-TXPLCPEND.indication</w:t>
      </w:r>
    </w:p>
    <w:p w:rsidR="000D4F39" w:rsidRPr="006615DA" w:rsidRDefault="009D537D" w:rsidP="000D4F39">
      <w:pPr>
        <w:tabs>
          <w:tab w:val="num" w:pos="720"/>
        </w:tabs>
        <w:spacing w:line="360" w:lineRule="auto"/>
      </w:pPr>
      <w:r w:rsidRPr="009D537D">
        <w:t>This primitive has no parameters.</w:t>
      </w:r>
    </w:p>
    <w:p w:rsidR="000D4F39" w:rsidRPr="006615DA" w:rsidRDefault="009D537D" w:rsidP="000D4F39">
      <w:pPr>
        <w:pStyle w:val="Heading5"/>
      </w:pPr>
      <w:bookmarkStart w:id="2923" w:name="_Toc259717297"/>
      <w:r w:rsidRPr="009D537D">
        <w:t>12.3.5.7a.3 When generated</w:t>
      </w:r>
      <w:bookmarkEnd w:id="2923"/>
    </w:p>
    <w:p w:rsidR="000D4F39" w:rsidRPr="006615DA" w:rsidRDefault="009D537D" w:rsidP="000D4F39">
      <w:pPr>
        <w:tabs>
          <w:tab w:val="num" w:pos="720"/>
        </w:tabs>
        <w:spacing w:line="360" w:lineRule="auto"/>
      </w:pPr>
      <w:r w:rsidRPr="009D537D">
        <w:t xml:space="preserve">The PHY-TXPLCPEND.indication is generated by a transmitter PHY entity to indicate the transmission completion of the PLCP header the local MAC entity. </w:t>
      </w:r>
    </w:p>
    <w:p w:rsidR="000D4F39" w:rsidRPr="006615DA" w:rsidRDefault="009D537D" w:rsidP="000D4F39">
      <w:pPr>
        <w:pStyle w:val="Heading5"/>
      </w:pPr>
      <w:bookmarkStart w:id="2924" w:name="_Toc259717298"/>
      <w:r w:rsidRPr="009D537D">
        <w:t>12.3.5.7a.4 Effect of receipt</w:t>
      </w:r>
      <w:bookmarkEnd w:id="2924"/>
    </w:p>
    <w:p w:rsidR="000D4F39" w:rsidRPr="006615DA" w:rsidRDefault="009D537D" w:rsidP="000D4F39">
      <w:pPr>
        <w:tabs>
          <w:tab w:val="num" w:pos="720"/>
        </w:tabs>
        <w:spacing w:line="360" w:lineRule="auto"/>
      </w:pPr>
      <w:r w:rsidRPr="009D537D">
        <w:t>The receipt of this primitive by the MAC entity will cause the MAC to record the time when this primitive is received only if TIME_OF_DEPARTURE_REQUESTED is true in the</w:t>
      </w:r>
    </w:p>
    <w:p w:rsidR="000D4F39" w:rsidRPr="006615DA" w:rsidRDefault="009D537D" w:rsidP="000D4F39">
      <w:pPr>
        <w:tabs>
          <w:tab w:val="num" w:pos="720"/>
        </w:tabs>
        <w:spacing w:line="360" w:lineRule="auto"/>
      </w:pPr>
      <w:r w:rsidRPr="009D537D">
        <w:t>corresponding PHY_TXSTART.request.</w:t>
      </w:r>
    </w:p>
    <w:p w:rsidR="000D4F39" w:rsidRPr="000D4F39" w:rsidRDefault="00BF72EC" w:rsidP="000D4F39">
      <w:pPr>
        <w:rPr>
          <w:lang w:bidi="ar-SA"/>
        </w:rPr>
      </w:pPr>
      <w:r>
        <w:rPr>
          <w:lang w:bidi="ar-SA"/>
        </w:rPr>
        <w:t xml:space="preserve"> </w:t>
      </w:r>
    </w:p>
    <w:p w:rsidR="00B339CB" w:rsidRPr="009448FC" w:rsidRDefault="00B339CB" w:rsidP="001A20F2">
      <w:pPr>
        <w:sectPr w:rsidR="00B339CB" w:rsidRPr="009448FC" w:rsidSect="00BB54D2">
          <w:headerReference w:type="default" r:id="rId221"/>
          <w:footerReference w:type="even" r:id="rId222"/>
          <w:footerReference w:type="default" r:id="rId223"/>
          <w:headerReference w:type="first" r:id="rId224"/>
          <w:footerReference w:type="first" r:id="rId225"/>
          <w:pgSz w:w="12240" w:h="15840" w:code="1"/>
          <w:pgMar w:top="1080" w:right="1080" w:bottom="1080" w:left="540" w:header="432" w:footer="432" w:gutter="720"/>
          <w:cols w:space="720"/>
          <w:docGrid w:linePitch="326"/>
        </w:sectPr>
      </w:pPr>
    </w:p>
    <w:p w:rsidR="00B243B6" w:rsidRPr="009448FC" w:rsidRDefault="00B243B6" w:rsidP="001A20F2"/>
    <w:p w:rsidR="00B243B6" w:rsidRPr="00066F65" w:rsidRDefault="001A1C66" w:rsidP="003701DB">
      <w:pPr>
        <w:pStyle w:val="Heading1"/>
        <w:numPr>
          <w:ilvl w:val="0"/>
          <w:numId w:val="37"/>
        </w:numPr>
        <w:rPr>
          <w:rFonts w:ascii="Times New Roman" w:hAnsi="Times New Roman"/>
        </w:rPr>
      </w:pPr>
      <w:bookmarkStart w:id="2929" w:name="_Toc201721883"/>
      <w:bookmarkStart w:id="2930" w:name="_Toc206227617"/>
      <w:bookmarkStart w:id="2931" w:name="_Toc206415564"/>
      <w:bookmarkStart w:id="2932" w:name="_Toc206418371"/>
      <w:bookmarkStart w:id="2933" w:name="_Toc207099126"/>
      <w:bookmarkStart w:id="2934" w:name="_Toc207099731"/>
      <w:bookmarkStart w:id="2935" w:name="_Toc207100650"/>
      <w:bookmarkStart w:id="2936" w:name="_Toc207348572"/>
      <w:bookmarkStart w:id="2937" w:name="_Toc215582928"/>
      <w:bookmarkStart w:id="2938" w:name="_Toc235400623"/>
      <w:bookmarkStart w:id="2939" w:name="_Ref243723026"/>
      <w:bookmarkStart w:id="2940" w:name="_Ref243723092"/>
      <w:bookmarkStart w:id="2941" w:name="_Ref243723250"/>
      <w:bookmarkStart w:id="2942" w:name="_Ref243723327"/>
      <w:bookmarkStart w:id="2943" w:name="_Ref243723664"/>
      <w:bookmarkStart w:id="2944" w:name="_Ref243723708"/>
      <w:bookmarkStart w:id="2945" w:name="_Ref243723745"/>
      <w:bookmarkStart w:id="2946" w:name="_Ref243723985"/>
      <w:bookmarkStart w:id="2947" w:name="_Ref243724056"/>
      <w:bookmarkStart w:id="2948" w:name="_Ref243724106"/>
      <w:bookmarkStart w:id="2949" w:name="_Ref243724299"/>
      <w:bookmarkStart w:id="2950" w:name="_Ref243724714"/>
      <w:bookmarkStart w:id="2951" w:name="_Ref254514761"/>
      <w:bookmarkStart w:id="2952" w:name="_Ref255115624"/>
      <w:bookmarkStart w:id="2953" w:name="_Toc259717299"/>
      <w:r w:rsidRPr="00066F65">
        <w:rPr>
          <w:rFonts w:ascii="Times New Roman" w:hAnsi="Times New Roman"/>
        </w:rPr>
        <w:t xml:space="preserve">mmWave </w:t>
      </w:r>
      <w:r w:rsidR="00B243B6" w:rsidRPr="00066F65">
        <w:rPr>
          <w:rFonts w:ascii="Times New Roman" w:hAnsi="Times New Roman"/>
        </w:rPr>
        <w:t>PHY specification</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rsidR="00B243B6" w:rsidRPr="00066F65" w:rsidRDefault="001A1C66" w:rsidP="003701DB">
      <w:pPr>
        <w:pStyle w:val="Heading2"/>
        <w:numPr>
          <w:ilvl w:val="1"/>
          <w:numId w:val="44"/>
        </w:numPr>
      </w:pPr>
      <w:bookmarkStart w:id="2954" w:name="_Toc201721884"/>
      <w:bookmarkStart w:id="2955" w:name="_Toc206227618"/>
      <w:bookmarkStart w:id="2956" w:name="_Toc206415565"/>
      <w:bookmarkStart w:id="2957" w:name="_Toc206418372"/>
      <w:bookmarkStart w:id="2958" w:name="_Toc207099127"/>
      <w:bookmarkStart w:id="2959" w:name="_Toc207099732"/>
      <w:bookmarkStart w:id="2960" w:name="_Toc207100651"/>
      <w:bookmarkStart w:id="2961" w:name="_Toc207348573"/>
      <w:bookmarkStart w:id="2962" w:name="_Toc215582929"/>
      <w:bookmarkStart w:id="2963" w:name="_Toc235400624"/>
      <w:bookmarkStart w:id="2964" w:name="_Toc259717300"/>
      <w:r w:rsidRPr="00066F65">
        <w:t xml:space="preserve">mmWave </w:t>
      </w:r>
      <w:r w:rsidR="00B243B6" w:rsidRPr="00066F65">
        <w:t>PHY Introduction</w:t>
      </w:r>
      <w:bookmarkEnd w:id="2954"/>
      <w:bookmarkEnd w:id="2955"/>
      <w:bookmarkEnd w:id="2956"/>
      <w:bookmarkEnd w:id="2957"/>
      <w:bookmarkEnd w:id="2958"/>
      <w:bookmarkEnd w:id="2959"/>
      <w:bookmarkEnd w:id="2960"/>
      <w:bookmarkEnd w:id="2961"/>
      <w:bookmarkEnd w:id="2962"/>
      <w:bookmarkEnd w:id="2963"/>
      <w:bookmarkEnd w:id="2964"/>
    </w:p>
    <w:p w:rsidR="00B243B6" w:rsidRPr="00617E00" w:rsidRDefault="00B243B6" w:rsidP="001A20F2"/>
    <w:p w:rsidR="001A1C66" w:rsidRPr="00617E00" w:rsidRDefault="001A1C66" w:rsidP="003701DB">
      <w:pPr>
        <w:pStyle w:val="Heading3"/>
        <w:numPr>
          <w:ilvl w:val="2"/>
          <w:numId w:val="70"/>
        </w:numPr>
      </w:pPr>
      <w:bookmarkStart w:id="2965" w:name="_Toc259717301"/>
      <w:r w:rsidRPr="00617E00">
        <w:t>Scope</w:t>
      </w:r>
      <w:bookmarkEnd w:id="2965"/>
    </w:p>
    <w:p w:rsidR="001A1C66" w:rsidRPr="00617E00" w:rsidRDefault="001A1C66" w:rsidP="001A1C66">
      <w:pPr>
        <w:autoSpaceDE w:val="0"/>
        <w:autoSpaceDN w:val="0"/>
        <w:adjustRightInd w:val="0"/>
        <w:jc w:val="both"/>
        <w:rPr>
          <w:rFonts w:ascii="TimesNewRomanPSMT" w:eastAsia="MS Mincho" w:hAnsi="TimesNewRomanPSMT"/>
        </w:rPr>
      </w:pPr>
      <w:r w:rsidRPr="00617E00">
        <w:t>The services provided to the MAC by the mmWave PHY consist of two protocol functions, defined as follows</w:t>
      </w:r>
      <w:r w:rsidRPr="00617E00">
        <w:rPr>
          <w:rFonts w:ascii="TimesNewRomanPSMT" w:eastAsia="MS Mincho" w:hAnsi="TimesNewRomanPSMT"/>
        </w:rPr>
        <w:t>:</w:t>
      </w:r>
    </w:p>
    <w:p w:rsidR="001A1C66" w:rsidRPr="00617E00" w:rsidRDefault="001A1C66" w:rsidP="003701DB">
      <w:pPr>
        <w:numPr>
          <w:ilvl w:val="0"/>
          <w:numId w:val="69"/>
        </w:numPr>
        <w:autoSpaceDE w:val="0"/>
        <w:autoSpaceDN w:val="0"/>
        <w:adjustRightInd w:val="0"/>
        <w:rPr>
          <w:rFonts w:ascii="TimesNewRomanPSMT" w:eastAsia="MS Mincho" w:hAnsi="TimesNewRomanPSMT"/>
        </w:rPr>
      </w:pPr>
      <w:r w:rsidRPr="00617E00">
        <w:rPr>
          <w:rFonts w:ascii="TimesNewRomanPSMT" w:eastAsia="MS Mincho" w:hAnsi="TimesNewRomanPSMT"/>
        </w:rPr>
        <w:t>A PHY convergence function, which adapts the capabilities of the physical medium dependent (PMD) system to the PHY service. This function is supported by the physical layer convergence procedure (PLCP), which defines a method of mapping the PLCP service data units (PSDU) into a framing format (PPDU) suitable for sending and receiving PSDUs between two or more STAs using the associated PMD systems.</w:t>
      </w:r>
    </w:p>
    <w:p w:rsidR="001A1C66" w:rsidRPr="00617E00" w:rsidRDefault="001A1C66" w:rsidP="003701DB">
      <w:pPr>
        <w:numPr>
          <w:ilvl w:val="0"/>
          <w:numId w:val="69"/>
        </w:numPr>
        <w:autoSpaceDE w:val="0"/>
        <w:autoSpaceDN w:val="0"/>
        <w:adjustRightInd w:val="0"/>
        <w:rPr>
          <w:rFonts w:ascii="TimesNewRomanPSMT" w:eastAsia="MS Mincho" w:hAnsi="TimesNewRomanPSMT"/>
        </w:rPr>
      </w:pPr>
      <w:r w:rsidRPr="00617E00">
        <w:rPr>
          <w:rFonts w:ascii="TimesNewRomanPSMT" w:eastAsia="MS Mincho" w:hAnsi="TimesNewRomanPSMT"/>
        </w:rPr>
        <w:t>A PMD system whose function defines the characteristics and method of transmitting and receiving data through a wireless medium between two or more STAs. Depending on the mmWave MCSs, these STAs support a mixture of mmWave SC PHY, mmWave OFDM PHY</w:t>
      </w:r>
      <w:r w:rsidR="00C73346">
        <w:rPr>
          <w:rFonts w:ascii="TimesNewRomanPSMT" w:eastAsia="MS Mincho" w:hAnsi="TimesNewRomanPSMT"/>
        </w:rPr>
        <w:t>, mmWave low power SC PHY,</w:t>
      </w:r>
      <w:r w:rsidRPr="00617E00">
        <w:rPr>
          <w:rFonts w:ascii="TimesNewRomanPSMT" w:eastAsia="MS Mincho" w:hAnsi="TimesNewRomanPSMT"/>
        </w:rPr>
        <w:t xml:space="preserve"> and mmWave Control PHY. </w:t>
      </w:r>
    </w:p>
    <w:p w:rsidR="001A1C66" w:rsidRPr="00617E00" w:rsidRDefault="001A1C66" w:rsidP="001A1C66">
      <w:pPr>
        <w:autoSpaceDE w:val="0"/>
        <w:autoSpaceDN w:val="0"/>
        <w:adjustRightInd w:val="0"/>
        <w:rPr>
          <w:rFonts w:ascii="TimesNewRomanPSMT" w:eastAsia="MS Mincho" w:hAnsi="TimesNewRomanPSMT"/>
          <w:sz w:val="20"/>
        </w:rPr>
      </w:pPr>
    </w:p>
    <w:p w:rsidR="001A1C66" w:rsidRPr="00617E00" w:rsidRDefault="001A1C66" w:rsidP="003701DB">
      <w:pPr>
        <w:pStyle w:val="Heading3"/>
        <w:numPr>
          <w:ilvl w:val="2"/>
          <w:numId w:val="70"/>
        </w:numPr>
      </w:pPr>
      <w:bookmarkStart w:id="2966" w:name="_Toc259717302"/>
      <w:r w:rsidRPr="00617E00">
        <w:t>mmWave PHY functions</w:t>
      </w:r>
      <w:bookmarkEnd w:id="2966"/>
    </w:p>
    <w:p w:rsidR="001A1C66" w:rsidRPr="00617E00" w:rsidRDefault="001A1C66" w:rsidP="008A192B"/>
    <w:p w:rsidR="001A1C66" w:rsidRPr="00617E00" w:rsidRDefault="001A1C66" w:rsidP="008A192B">
      <w:pPr>
        <w:rPr>
          <w:rFonts w:ascii="TimesNewRomanPSMT" w:eastAsia="MS Mincho" w:hAnsi="TimesNewRomanPSMT"/>
        </w:rPr>
      </w:pPr>
      <w:r w:rsidRPr="00617E00">
        <w:t xml:space="preserve">The mmWave PHY contains three functional entities: the PHY convergence function (PLCP), the layer management function (PLME) and the PMD function. Each of these functions is described in detail in </w:t>
      </w:r>
      <w:fldSimple w:instr=" REF _Ref241315970 \r \h  \* MERGEFORMAT ">
        <w:r w:rsidR="003E4210">
          <w:t>21.3</w:t>
        </w:r>
      </w:fldSimple>
      <w:r w:rsidR="00180086" w:rsidRPr="00617E00">
        <w:t xml:space="preserve"> </w:t>
      </w:r>
      <w:r w:rsidRPr="00617E00">
        <w:t xml:space="preserve">to </w:t>
      </w:r>
      <w:fldSimple w:instr=" REF _Ref228173952 \r \h  \* MERGEFORMAT ">
        <w:r w:rsidR="003E4210">
          <w:t>21.9</w:t>
        </w:r>
      </w:fldSimple>
      <w:r w:rsidRPr="00617E00">
        <w:t>. The mmWave PHY service is provided to the MAC through the PHY service primitives defined in Clause 12</w:t>
      </w:r>
      <w:r w:rsidRPr="00617E00">
        <w:rPr>
          <w:rFonts w:ascii="TimesNewRomanPSMT" w:eastAsia="MS Mincho" w:hAnsi="TimesNewRomanPSMT"/>
        </w:rPr>
        <w:t>.</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4"/>
        <w:numPr>
          <w:ilvl w:val="3"/>
          <w:numId w:val="129"/>
        </w:numPr>
      </w:pPr>
      <w:bookmarkStart w:id="2967" w:name="_Toc259717303"/>
      <w:r w:rsidRPr="00617E00">
        <w:t>mmWave PLCP sublayer</w:t>
      </w:r>
      <w:bookmarkEnd w:id="2967"/>
    </w:p>
    <w:p w:rsidR="001A1C66" w:rsidRPr="00617E00" w:rsidRDefault="001A1C66" w:rsidP="001A1C66">
      <w:pPr>
        <w:tabs>
          <w:tab w:val="left" w:pos="7499"/>
        </w:tabs>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In order to allow the MAC to operate with minimum dependence on the PMD sublayer, a PHY convergence sublayer is defined (PLCP). The PLCP sublayer simplifies the PHY service interface to the MAC services.</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911DF3" w:rsidRDefault="001A1C66" w:rsidP="003701DB">
      <w:pPr>
        <w:pStyle w:val="Heading4"/>
        <w:numPr>
          <w:ilvl w:val="3"/>
          <w:numId w:val="130"/>
        </w:numPr>
        <w:rPr>
          <w:rFonts w:cs="Helvetica"/>
        </w:rPr>
      </w:pPr>
      <w:bookmarkStart w:id="2968" w:name="_Toc259717304"/>
      <w:r w:rsidRPr="00911DF3">
        <w:rPr>
          <w:rFonts w:cs="Helvetica"/>
        </w:rPr>
        <w:t>mmWave PMD sublayer</w:t>
      </w:r>
      <w:bookmarkEnd w:id="2968"/>
    </w:p>
    <w:p w:rsidR="001A1C66" w:rsidRPr="00617E00" w:rsidRDefault="001A1C66" w:rsidP="001A1C66">
      <w:pPr>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 xml:space="preserve">The mmWave PMD sublayer provides a means to send and receive data between two or more STAs. This Clause is concerned with the mmWave band using </w:t>
      </w:r>
      <w:r w:rsidR="002F7CB1">
        <w:rPr>
          <w:rFonts w:ascii="TimesNewRomanPSMT" w:eastAsia="MS Mincho" w:hAnsi="TimesNewRomanPSMT"/>
        </w:rPr>
        <w:t>SC</w:t>
      </w:r>
      <w:r w:rsidRPr="00617E00">
        <w:rPr>
          <w:rFonts w:ascii="TimesNewRomanPSMT" w:eastAsia="MS Mincho" w:hAnsi="TimesNewRomanPSMT"/>
        </w:rPr>
        <w:t xml:space="preserve"> and OFDM modulation.</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4"/>
        <w:numPr>
          <w:ilvl w:val="3"/>
          <w:numId w:val="131"/>
        </w:numPr>
      </w:pPr>
      <w:bookmarkStart w:id="2969" w:name="_Toc259717305"/>
      <w:r w:rsidRPr="00617E00">
        <w:t>PHY management entity (PLME)</w:t>
      </w:r>
      <w:bookmarkEnd w:id="2969"/>
    </w:p>
    <w:p w:rsidR="001A1C66" w:rsidRPr="00617E00" w:rsidRDefault="001A1C66" w:rsidP="001A1C66">
      <w:pPr>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The PLME performs management of the local PHY functions in conjunction with the MLME.</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4"/>
        <w:numPr>
          <w:ilvl w:val="3"/>
          <w:numId w:val="132"/>
        </w:numPr>
      </w:pPr>
      <w:bookmarkStart w:id="2970" w:name="_Toc259717306"/>
      <w:r w:rsidRPr="00617E00">
        <w:lastRenderedPageBreak/>
        <w:t>Service specification method</w:t>
      </w:r>
      <w:bookmarkEnd w:id="2970"/>
    </w:p>
    <w:p w:rsidR="001A1C66" w:rsidRPr="00617E00" w:rsidRDefault="001A1C66" w:rsidP="001A1C66">
      <w:pPr>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The models represented by figures and state diagrams are intended to be illustrations of the functions provided. It is important to distinguish between a model and a real implementation. The models are optimized for simplicity and clarity of presentation; the actual method of implementation is left to the discretion of the mmWave PHY compliant developer. The service of a layer or sublayer is the set of capabilities that it offers to a user in the next higher layer (or sublayer). Abstract services are specified here by describing the service primitives and parameters that characterize each service. This definition is independent of any particular implementation.</w:t>
      </w:r>
    </w:p>
    <w:p w:rsidR="001A1C66" w:rsidRPr="00617E00" w:rsidRDefault="001A1C66" w:rsidP="001A1C66">
      <w:pPr>
        <w:autoSpaceDE w:val="0"/>
        <w:autoSpaceDN w:val="0"/>
        <w:adjustRightInd w:val="0"/>
        <w:jc w:val="both"/>
        <w:rPr>
          <w:rFonts w:ascii="TimesNewRomanPSMT" w:eastAsia="MS Mincho" w:hAnsi="TimesNewRomanPSMT"/>
        </w:rPr>
      </w:pPr>
    </w:p>
    <w:p w:rsidR="00BB23EE" w:rsidRPr="00066F65" w:rsidRDefault="00BB23EE" w:rsidP="003701DB">
      <w:pPr>
        <w:pStyle w:val="Heading2"/>
        <w:numPr>
          <w:ilvl w:val="1"/>
          <w:numId w:val="44"/>
        </w:numPr>
      </w:pPr>
      <w:bookmarkStart w:id="2971" w:name="_Toc259717307"/>
      <w:r w:rsidRPr="00066F65">
        <w:t xml:space="preserve">mmWave PHY </w:t>
      </w:r>
      <w:r w:rsidR="00204466" w:rsidRPr="00066F65">
        <w:t>service interface</w:t>
      </w:r>
      <w:bookmarkEnd w:id="2971"/>
    </w:p>
    <w:p w:rsidR="00BB23EE" w:rsidRPr="00617E00" w:rsidRDefault="00BB23EE"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3"/>
        <w:numPr>
          <w:ilvl w:val="2"/>
          <w:numId w:val="134"/>
        </w:numPr>
        <w:rPr>
          <w:rFonts w:eastAsia="MS Mincho"/>
        </w:rPr>
      </w:pPr>
      <w:bookmarkStart w:id="2972" w:name="_Toc244137288"/>
      <w:bookmarkStart w:id="2973" w:name="_Toc259717308"/>
      <w:bookmarkEnd w:id="2972"/>
      <w:r w:rsidRPr="00617E00">
        <w:rPr>
          <w:rFonts w:eastAsia="MS Mincho"/>
        </w:rPr>
        <w:t>Introduction</w:t>
      </w:r>
      <w:bookmarkEnd w:id="2973"/>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The PHY interfaces to the MAC through the TXVECTOR, RXVECTOR, and the PHYCONFIG_VECTOR. The TXVECTOR supplies the PHY with per packet transmit parameters. Using the RXVECTOR, the PHY informs the MAC of the received packet parameters. Using the PHYCONFIG_VECTOR, the MAC configures the PHY for operation, independent of frame transmission or reception.</w:t>
      </w:r>
    </w:p>
    <w:p w:rsidR="00F4457E" w:rsidRPr="00617E00" w:rsidRDefault="00F4457E" w:rsidP="001A1C66">
      <w:pPr>
        <w:autoSpaceDE w:val="0"/>
        <w:autoSpaceDN w:val="0"/>
        <w:adjustRightInd w:val="0"/>
        <w:jc w:val="both"/>
        <w:rPr>
          <w:rFonts w:ascii="TimesNewRomanPSMT" w:eastAsia="MS Mincho" w:hAnsi="TimesNewRomanPSMT"/>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This interface is an extension of the generic PHY service interface defined in 12.3.4.</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3"/>
        <w:numPr>
          <w:ilvl w:val="2"/>
          <w:numId w:val="135"/>
        </w:numPr>
        <w:rPr>
          <w:rFonts w:eastAsia="MS Mincho"/>
        </w:rPr>
      </w:pPr>
      <w:bookmarkStart w:id="2974" w:name="_Toc259717309"/>
      <w:r w:rsidRPr="00617E00">
        <w:rPr>
          <w:rFonts w:eastAsia="MS Mincho"/>
        </w:rPr>
        <w:t>TXVECTOR and RXVECTOR parameters</w:t>
      </w:r>
      <w:bookmarkEnd w:id="2974"/>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 xml:space="preserve">The parameters in </w:t>
      </w:r>
      <w:fldSimple w:instr=" REF _Ref243471004 \h  \* MERGEFORMAT ">
        <w:r w:rsidR="003E4210" w:rsidRPr="00066F65">
          <w:t xml:space="preserve">Table </w:t>
        </w:r>
        <w:r w:rsidR="003E4210">
          <w:rPr>
            <w:noProof/>
          </w:rPr>
          <w:t>64</w:t>
        </w:r>
      </w:fldSimple>
      <w:r w:rsidRPr="00617E00">
        <w:rPr>
          <w:rFonts w:ascii="TimesNewRomanPSMT" w:eastAsia="MS Mincho" w:hAnsi="TimesNewRomanPSMT"/>
        </w:rPr>
        <w:t xml:space="preserve"> are defined as part of the TXVECTOR parameter list in the PHY-TXSTART.request service primitive and/or as part of the RXVECTOR parameter list in the PHY-RXSTART.indication service primitive.</w:t>
      </w:r>
    </w:p>
    <w:p w:rsidR="00F4457E" w:rsidRPr="00617E00" w:rsidRDefault="00F4457E" w:rsidP="001A1C66">
      <w:pPr>
        <w:autoSpaceDE w:val="0"/>
        <w:autoSpaceDN w:val="0"/>
        <w:adjustRightInd w:val="0"/>
        <w:jc w:val="both"/>
        <w:rPr>
          <w:rFonts w:ascii="TimesNewRomanPSMT" w:eastAsia="MS Mincho" w:hAnsi="TimesNewRomanPSMT"/>
        </w:rPr>
      </w:pPr>
    </w:p>
    <w:p w:rsidR="00F4457E" w:rsidRPr="00066F65" w:rsidRDefault="00F4457E" w:rsidP="00BA5BC4">
      <w:pPr>
        <w:pStyle w:val="Caption"/>
        <w:rPr>
          <w:rFonts w:ascii="TimesNewRomanPSMT" w:hAnsi="TimesNewRomanPSMT" w:cs="TimesNewRomanPSMT"/>
        </w:rPr>
      </w:pPr>
      <w:bookmarkStart w:id="2975" w:name="_Ref243471004"/>
      <w:bookmarkStart w:id="2976" w:name="_Toc250654448"/>
      <w:bookmarkStart w:id="2977" w:name="_Toc259717642"/>
      <w:r w:rsidRPr="00066F65">
        <w:t xml:space="preserve">Table </w:t>
      </w:r>
      <w:r w:rsidR="00BD151C">
        <w:fldChar w:fldCharType="begin"/>
      </w:r>
      <w:r w:rsidR="00801316">
        <w:instrText xml:space="preserve"> SEQ Table \* ARABIC </w:instrText>
      </w:r>
      <w:r w:rsidR="00BD151C">
        <w:fldChar w:fldCharType="separate"/>
      </w:r>
      <w:r w:rsidR="003E4210">
        <w:rPr>
          <w:noProof/>
        </w:rPr>
        <w:t>64</w:t>
      </w:r>
      <w:r w:rsidR="00BD151C">
        <w:fldChar w:fldCharType="end"/>
      </w:r>
      <w:bookmarkEnd w:id="2975"/>
      <w:r w:rsidRPr="00066F65">
        <w:t xml:space="preserve"> – TXVECTOR and RXVECTOR parameters</w:t>
      </w:r>
      <w:bookmarkEnd w:id="2976"/>
      <w:bookmarkEnd w:id="2977"/>
      <w:r w:rsidR="00BE1F31">
        <w:t xml:space="preserve"> </w:t>
      </w:r>
    </w:p>
    <w:tbl>
      <w:tblPr>
        <w:tblW w:w="97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3409"/>
        <w:gridCol w:w="5380"/>
        <w:gridCol w:w="460"/>
        <w:gridCol w:w="540"/>
      </w:tblGrid>
      <w:tr w:rsidR="001A1C66" w:rsidRPr="00066F65" w:rsidTr="004002E9">
        <w:trPr>
          <w:trHeight w:val="1394"/>
          <w:tblHeader/>
        </w:trPr>
        <w:tc>
          <w:tcPr>
            <w:tcW w:w="3409" w:type="dxa"/>
            <w:shd w:val="clear" w:color="auto" w:fill="auto"/>
            <w:noWrap/>
            <w:tcMar>
              <w:top w:w="10" w:type="dxa"/>
              <w:left w:w="10" w:type="dxa"/>
              <w:bottom w:w="0" w:type="dxa"/>
              <w:right w:w="10" w:type="dxa"/>
            </w:tcMar>
            <w:vAlign w:val="bottom"/>
          </w:tcPr>
          <w:p w:rsidR="001A1C66" w:rsidRPr="00617E00" w:rsidRDefault="001A1C66" w:rsidP="001A1C66">
            <w:r w:rsidRPr="00617E00">
              <w:t>Parameter</w:t>
            </w:r>
          </w:p>
        </w:tc>
        <w:tc>
          <w:tcPr>
            <w:tcW w:w="5380" w:type="dxa"/>
            <w:shd w:val="clear" w:color="auto" w:fill="auto"/>
            <w:noWrap/>
            <w:tcMar>
              <w:top w:w="10" w:type="dxa"/>
              <w:left w:w="10" w:type="dxa"/>
              <w:bottom w:w="0" w:type="dxa"/>
              <w:right w:w="10" w:type="dxa"/>
            </w:tcMar>
            <w:vAlign w:val="bottom"/>
          </w:tcPr>
          <w:p w:rsidR="001A1C66" w:rsidRPr="00617E00" w:rsidRDefault="001A1C66" w:rsidP="001A1C66">
            <w:r w:rsidRPr="00617E00">
              <w:t>Value</w:t>
            </w:r>
          </w:p>
        </w:tc>
        <w:tc>
          <w:tcPr>
            <w:tcW w:w="460" w:type="dxa"/>
            <w:shd w:val="clear" w:color="auto" w:fill="auto"/>
            <w:noWrap/>
            <w:tcMar>
              <w:top w:w="10" w:type="dxa"/>
              <w:left w:w="10" w:type="dxa"/>
              <w:bottom w:w="0" w:type="dxa"/>
              <w:right w:w="10" w:type="dxa"/>
            </w:tcMar>
            <w:textDirection w:val="tbRl"/>
          </w:tcPr>
          <w:p w:rsidR="001A1C66" w:rsidRPr="00617E00" w:rsidRDefault="001A1C66" w:rsidP="001A1C66">
            <w:r w:rsidRPr="00617E00">
              <w:t>TXVECTOR</w:t>
            </w:r>
          </w:p>
        </w:tc>
        <w:tc>
          <w:tcPr>
            <w:tcW w:w="540" w:type="dxa"/>
            <w:shd w:val="clear" w:color="auto" w:fill="auto"/>
            <w:noWrap/>
            <w:tcMar>
              <w:top w:w="10" w:type="dxa"/>
              <w:left w:w="10" w:type="dxa"/>
              <w:bottom w:w="0" w:type="dxa"/>
              <w:right w:w="10" w:type="dxa"/>
            </w:tcMar>
            <w:textDirection w:val="tbRl"/>
          </w:tcPr>
          <w:p w:rsidR="001A1C66" w:rsidRPr="00617E00" w:rsidRDefault="001A1C66" w:rsidP="001A1C66">
            <w:r w:rsidRPr="00617E00">
              <w:t>RXVECTOR</w:t>
            </w:r>
          </w:p>
        </w:tc>
      </w:tr>
      <w:tr w:rsidR="001A1C66" w:rsidRPr="00066F65" w:rsidTr="004002E9">
        <w:trPr>
          <w:trHeight w:val="1836"/>
        </w:trPr>
        <w:tc>
          <w:tcPr>
            <w:tcW w:w="0" w:type="auto"/>
            <w:shd w:val="clear" w:color="auto" w:fill="auto"/>
            <w:noWrap/>
            <w:tcMar>
              <w:top w:w="10" w:type="dxa"/>
              <w:left w:w="10" w:type="dxa"/>
              <w:bottom w:w="0" w:type="dxa"/>
              <w:right w:w="10" w:type="dxa"/>
            </w:tcMar>
          </w:tcPr>
          <w:p w:rsidR="001A1C66" w:rsidRPr="00617E00" w:rsidRDefault="001A1C66" w:rsidP="001A1C66">
            <w:pPr>
              <w:rPr>
                <w:sz w:val="20"/>
              </w:rPr>
            </w:pPr>
            <w:r w:rsidRPr="00617E00">
              <w:rPr>
                <w:sz w:val="20"/>
              </w:rPr>
              <w:t>MCS</w:t>
            </w:r>
          </w:p>
        </w:tc>
        <w:tc>
          <w:tcPr>
            <w:tcW w:w="5380" w:type="dxa"/>
            <w:shd w:val="clear" w:color="auto" w:fill="auto"/>
            <w:tcMar>
              <w:top w:w="10" w:type="dxa"/>
              <w:left w:w="10" w:type="dxa"/>
              <w:bottom w:w="0" w:type="dxa"/>
              <w:right w:w="10" w:type="dxa"/>
            </w:tcMar>
          </w:tcPr>
          <w:p w:rsidR="003E4724" w:rsidRDefault="001A1C66" w:rsidP="0000638D">
            <w:pPr>
              <w:rPr>
                <w:sz w:val="20"/>
              </w:rPr>
            </w:pPr>
            <w:r w:rsidRPr="00617E00">
              <w:rPr>
                <w:sz w:val="20"/>
              </w:rPr>
              <w:t>The MCS field indicates the modulation and coding scheme used in the transmission of the packet.</w:t>
            </w:r>
            <w:r w:rsidRPr="00617E00">
              <w:rPr>
                <w:sz w:val="20"/>
              </w:rPr>
              <w:br/>
              <w:t>Values are integers in the range 0-</w:t>
            </w:r>
            <w:r w:rsidR="007E106F" w:rsidRPr="00617E00">
              <w:rPr>
                <w:sz w:val="20"/>
              </w:rPr>
              <w:t>2</w:t>
            </w:r>
            <w:r w:rsidR="0035361F">
              <w:rPr>
                <w:sz w:val="20"/>
              </w:rPr>
              <w:t>7</w:t>
            </w:r>
            <w:r w:rsidRPr="00617E00">
              <w:rPr>
                <w:sz w:val="20"/>
              </w:rPr>
              <w:t>.</w:t>
            </w:r>
            <w:r w:rsidR="005515A4">
              <w:rPr>
                <w:sz w:val="20"/>
              </w:rPr>
              <w:t xml:space="preserve"> </w:t>
            </w:r>
            <w:r w:rsidRPr="00617E00">
              <w:rPr>
                <w:sz w:val="20"/>
              </w:rPr>
              <w:br/>
              <w:t>An MCS of zero indicates the use of Control PHY.</w:t>
            </w:r>
            <w:r w:rsidRPr="00617E00">
              <w:rPr>
                <w:sz w:val="20"/>
              </w:rPr>
              <w:br/>
              <w:t>MCS values of 1-</w:t>
            </w:r>
            <w:r w:rsidR="009E3455">
              <w:rPr>
                <w:sz w:val="20"/>
              </w:rPr>
              <w:t>12</w:t>
            </w:r>
            <w:r w:rsidR="009E3455" w:rsidRPr="00617E00">
              <w:rPr>
                <w:sz w:val="20"/>
              </w:rPr>
              <w:t xml:space="preserve"> </w:t>
            </w:r>
            <w:r w:rsidRPr="00617E00">
              <w:rPr>
                <w:sz w:val="20"/>
              </w:rPr>
              <w:t>indicate use of single carrier modulations.</w:t>
            </w:r>
            <w:r w:rsidR="00281486" w:rsidRPr="00617E00">
              <w:rPr>
                <w:sz w:val="20"/>
              </w:rPr>
              <w:t xml:space="preserve"> </w:t>
            </w:r>
            <w:r w:rsidRPr="00617E00">
              <w:rPr>
                <w:sz w:val="20"/>
              </w:rPr>
              <w:t xml:space="preserve">The value is a index to </w:t>
            </w:r>
            <w:fldSimple w:instr=" REF _Ref236711090 \h  \* MERGEFORMAT ">
              <w:r w:rsidR="003E4210" w:rsidRPr="003E4210">
                <w:rPr>
                  <w:sz w:val="20"/>
                </w:rPr>
                <w:t>Table 79</w:t>
              </w:r>
            </w:fldSimple>
            <w:r w:rsidRPr="00617E00">
              <w:rPr>
                <w:sz w:val="20"/>
              </w:rPr>
              <w:br/>
              <w:t xml:space="preserve">MCS values of </w:t>
            </w:r>
            <w:r w:rsidR="009E3455" w:rsidRPr="00617E00">
              <w:rPr>
                <w:sz w:val="20"/>
              </w:rPr>
              <w:t>1</w:t>
            </w:r>
            <w:r w:rsidR="0000638D">
              <w:rPr>
                <w:sz w:val="20"/>
              </w:rPr>
              <w:t>3</w:t>
            </w:r>
            <w:r w:rsidRPr="00617E00">
              <w:rPr>
                <w:sz w:val="20"/>
              </w:rPr>
              <w:t>-</w:t>
            </w:r>
            <w:r w:rsidR="009E3455" w:rsidRPr="00617E00">
              <w:rPr>
                <w:sz w:val="20"/>
              </w:rPr>
              <w:t>2</w:t>
            </w:r>
            <w:r w:rsidR="009E3455">
              <w:rPr>
                <w:sz w:val="20"/>
              </w:rPr>
              <w:t>4</w:t>
            </w:r>
            <w:r w:rsidR="009E3455" w:rsidRPr="00617E00">
              <w:rPr>
                <w:sz w:val="20"/>
              </w:rPr>
              <w:t xml:space="preserve"> </w:t>
            </w:r>
            <w:r w:rsidRPr="00617E00">
              <w:rPr>
                <w:sz w:val="20"/>
              </w:rPr>
              <w:t>indicates use of OFDM modulations.</w:t>
            </w:r>
            <w:r w:rsidR="00281486" w:rsidRPr="00617E00">
              <w:rPr>
                <w:sz w:val="20"/>
              </w:rPr>
              <w:t xml:space="preserve"> </w:t>
            </w:r>
            <w:r w:rsidRPr="00617E00">
              <w:rPr>
                <w:sz w:val="20"/>
              </w:rPr>
              <w:t xml:space="preserve">The value is an index to </w:t>
            </w:r>
            <w:fldSimple w:instr=" REF _Ref207354664 \h  \* MERGEFORMAT ">
              <w:r w:rsidR="003E4210" w:rsidRPr="003E4210">
                <w:rPr>
                  <w:sz w:val="20"/>
                </w:rPr>
                <w:t>Table 76</w:t>
              </w:r>
            </w:fldSimple>
          </w:p>
          <w:p w:rsidR="003E4724" w:rsidRDefault="00244F9C">
            <w:pPr>
              <w:rPr>
                <w:sz w:val="20"/>
              </w:rPr>
            </w:pPr>
            <w:r>
              <w:rPr>
                <w:sz w:val="20"/>
              </w:rPr>
              <w:t xml:space="preserve">MCS values of </w:t>
            </w:r>
            <w:r w:rsidR="009E3455">
              <w:rPr>
                <w:sz w:val="20"/>
              </w:rPr>
              <w:t>25</w:t>
            </w:r>
            <w:r>
              <w:rPr>
                <w:sz w:val="20"/>
              </w:rPr>
              <w:t>-</w:t>
            </w:r>
            <w:r w:rsidR="009E3455">
              <w:rPr>
                <w:sz w:val="20"/>
              </w:rPr>
              <w:t xml:space="preserve">27 </w:t>
            </w:r>
            <w:r>
              <w:rPr>
                <w:sz w:val="20"/>
              </w:rPr>
              <w:t>indicate use of Low Power SC PHY the value is an index to</w:t>
            </w:r>
            <w:r w:rsidR="00785B06">
              <w:rPr>
                <w:sz w:val="20"/>
              </w:rPr>
              <w:t xml:space="preserve"> </w:t>
            </w:r>
            <w:fldSimple w:instr=" REF _Ref251907067 \h  \* MERGEFORMAT ">
              <w:r w:rsidR="003E4210" w:rsidRPr="003E4210">
                <w:rPr>
                  <w:sz w:val="20"/>
                </w:rPr>
                <w:t>Table 82</w:t>
              </w:r>
            </w:fldSimple>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r>
      <w:tr w:rsidR="001A1C66" w:rsidRPr="00066F65" w:rsidTr="004002E9">
        <w:trPr>
          <w:trHeight w:val="890"/>
        </w:trPr>
        <w:tc>
          <w:tcPr>
            <w:tcW w:w="0" w:type="auto"/>
            <w:shd w:val="clear" w:color="auto" w:fill="auto"/>
            <w:noWrap/>
            <w:tcMar>
              <w:top w:w="10" w:type="dxa"/>
              <w:left w:w="10" w:type="dxa"/>
              <w:bottom w:w="0" w:type="dxa"/>
              <w:right w:w="10" w:type="dxa"/>
            </w:tcMar>
          </w:tcPr>
          <w:p w:rsidR="001A1C66" w:rsidRPr="00617E00" w:rsidRDefault="001A1C66" w:rsidP="001A1C66">
            <w:pPr>
              <w:rPr>
                <w:sz w:val="20"/>
              </w:rPr>
            </w:pPr>
            <w:r w:rsidRPr="00617E00">
              <w:rPr>
                <w:sz w:val="20"/>
              </w:rPr>
              <w:t>LENGTH</w:t>
            </w:r>
          </w:p>
        </w:tc>
        <w:tc>
          <w:tcPr>
            <w:tcW w:w="5380" w:type="dxa"/>
            <w:shd w:val="clear" w:color="auto" w:fill="auto"/>
            <w:tcMar>
              <w:top w:w="10" w:type="dxa"/>
              <w:left w:w="10" w:type="dxa"/>
              <w:bottom w:w="0" w:type="dxa"/>
              <w:right w:w="10" w:type="dxa"/>
            </w:tcMar>
          </w:tcPr>
          <w:p w:rsidR="001A1C66" w:rsidRPr="00617E00" w:rsidRDefault="001A1C66" w:rsidP="001A1C66">
            <w:pPr>
              <w:rPr>
                <w:sz w:val="20"/>
              </w:rPr>
            </w:pPr>
            <w:r w:rsidRPr="00617E00">
              <w:rPr>
                <w:sz w:val="20"/>
              </w:rPr>
              <w:t>Indicates</w:t>
            </w:r>
            <w:r w:rsidR="00281486" w:rsidRPr="00617E00">
              <w:rPr>
                <w:sz w:val="20"/>
              </w:rPr>
              <w:t xml:space="preserve"> </w:t>
            </w:r>
            <w:r w:rsidRPr="00617E00">
              <w:rPr>
                <w:sz w:val="20"/>
              </w:rPr>
              <w:t>the number of octets in the PSDU in the range of 0-262143</w:t>
            </w:r>
            <w:r w:rsidRPr="00617E00">
              <w:rPr>
                <w:sz w:val="20"/>
              </w:rPr>
              <w:br/>
              <w:t>A value of zero indicates a packet in which no data part follows the header</w:t>
            </w:r>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r>
      <w:tr w:rsidR="001A1C66" w:rsidRPr="00066F65" w:rsidTr="004002E9">
        <w:trPr>
          <w:trHeight w:val="120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lastRenderedPageBreak/>
              <w:t>ADD-PPDU</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Enumerated Type:</w:t>
            </w:r>
            <w:r w:rsidRPr="009448FC">
              <w:rPr>
                <w:sz w:val="20"/>
              </w:rPr>
              <w:br/>
              <w:t>ADD-PPDU indicates that this PPDU is immediately followed by another PPDY with no IFS or preamble on the subsequent PPDU.</w:t>
            </w:r>
            <w:r w:rsidRPr="009448FC">
              <w:rPr>
                <w:sz w:val="20"/>
              </w:rPr>
              <w:br/>
              <w:t>NO-ADD-PPDU indicates no additional PPDU follows this PPDU.</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127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PACKET-TYPE</w:t>
            </w:r>
          </w:p>
        </w:tc>
        <w:tc>
          <w:tcPr>
            <w:tcW w:w="5380" w:type="dxa"/>
            <w:shd w:val="clear" w:color="auto" w:fill="auto"/>
            <w:tcMar>
              <w:top w:w="10" w:type="dxa"/>
              <w:left w:w="10" w:type="dxa"/>
              <w:bottom w:w="0" w:type="dxa"/>
              <w:right w:w="10" w:type="dxa"/>
            </w:tcMar>
          </w:tcPr>
          <w:p w:rsidR="001A1C66" w:rsidRDefault="001A1C66" w:rsidP="001A1C66">
            <w:pPr>
              <w:rPr>
                <w:sz w:val="20"/>
              </w:rPr>
            </w:pPr>
            <w:r w:rsidRPr="009448FC">
              <w:rPr>
                <w:sz w:val="20"/>
              </w:rPr>
              <w:t>Enumerated Type:</w:t>
            </w:r>
            <w:r w:rsidRPr="009448FC">
              <w:rPr>
                <w:sz w:val="20"/>
              </w:rPr>
              <w:br/>
              <w:t>TRN-R-PACKET indicates a packet in which TRN-R subfields follow the data part.</w:t>
            </w:r>
            <w:r w:rsidRPr="009448FC">
              <w:rPr>
                <w:sz w:val="20"/>
              </w:rPr>
              <w:br/>
              <w:t>TRN-T-PACKET indicates a packet in which TRN-R subfields follow the data part.</w:t>
            </w:r>
          </w:p>
          <w:p w:rsidR="00C234D1" w:rsidRPr="009448FC" w:rsidRDefault="00C234D1" w:rsidP="001A1C66">
            <w:pPr>
              <w:rPr>
                <w:sz w:val="20"/>
              </w:rPr>
            </w:pPr>
            <w:r>
              <w:rPr>
                <w:sz w:val="20"/>
              </w:rPr>
              <w:t>This Field is ignored if TRN-LEN is set to 0</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51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TRN-LEN</w:t>
            </w:r>
          </w:p>
        </w:tc>
        <w:tc>
          <w:tcPr>
            <w:tcW w:w="5380" w:type="dxa"/>
            <w:shd w:val="clear" w:color="auto" w:fill="auto"/>
            <w:tcMar>
              <w:top w:w="10" w:type="dxa"/>
              <w:left w:w="10" w:type="dxa"/>
              <w:bottom w:w="0" w:type="dxa"/>
              <w:right w:w="10" w:type="dxa"/>
            </w:tcMar>
          </w:tcPr>
          <w:p w:rsidR="001A1C66" w:rsidRPr="009448FC" w:rsidRDefault="001A1C66" w:rsidP="007E106F">
            <w:pPr>
              <w:rPr>
                <w:sz w:val="20"/>
              </w:rPr>
            </w:pPr>
            <w:r w:rsidRPr="009448FC">
              <w:rPr>
                <w:sz w:val="20"/>
              </w:rPr>
              <w:t>TRN-LEN indicates the length of the training field.</w:t>
            </w:r>
            <w:r w:rsidR="00BE1F31">
              <w:rPr>
                <w:sz w:val="20"/>
              </w:rPr>
              <w:t xml:space="preserve"> </w:t>
            </w:r>
            <w:r w:rsidR="007E106F" w:rsidRPr="009448FC">
              <w:rPr>
                <w:sz w:val="20"/>
              </w:rPr>
              <w:t xml:space="preserve">Values are 0-64 in multiples of 4. </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1187"/>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AGGREGATION</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Indicates whether the PSDU contains an A-MPDU.</w:t>
            </w:r>
            <w:r w:rsidRPr="009448FC">
              <w:rPr>
                <w:sz w:val="20"/>
              </w:rPr>
              <w:br/>
              <w:t>Enumerated Type:</w:t>
            </w:r>
            <w:r w:rsidRPr="009448FC">
              <w:rPr>
                <w:sz w:val="20"/>
              </w:rPr>
              <w:br/>
              <w:t>AGGREGATED indicate</w:t>
            </w:r>
            <w:r w:rsidR="00AE42BF" w:rsidRPr="009448FC">
              <w:rPr>
                <w:sz w:val="20"/>
              </w:rPr>
              <w:t xml:space="preserve">s this is a packet with A-MPDU </w:t>
            </w:r>
            <w:r w:rsidRPr="009448FC">
              <w:rPr>
                <w:sz w:val="20"/>
              </w:rPr>
              <w:t>NOT_AGGREGATED indicates this is a packet without A-MPDU aggregation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25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RSSI</w:t>
            </w:r>
          </w:p>
        </w:tc>
        <w:tc>
          <w:tcPr>
            <w:tcW w:w="5380" w:type="dxa"/>
            <w:shd w:val="clear" w:color="auto" w:fill="auto"/>
            <w:tcMar>
              <w:top w:w="10" w:type="dxa"/>
              <w:left w:w="10" w:type="dxa"/>
              <w:bottom w:w="0" w:type="dxa"/>
              <w:right w:w="10" w:type="dxa"/>
            </w:tcMar>
          </w:tcPr>
          <w:p w:rsidR="001A1C66" w:rsidRPr="009448FC" w:rsidRDefault="001A1C66" w:rsidP="001A1C66">
            <w:pPr>
              <w:rPr>
                <w:rFonts w:ascii="Arial" w:hAnsi="Arial"/>
                <w:sz w:val="20"/>
              </w:rPr>
            </w:pPr>
            <w:r w:rsidRPr="009448FC">
              <w:rPr>
                <w:rFonts w:ascii="TimesNewRomanPSMT" w:eastAsia="MS Mincho" w:hAnsi="TimesNewRomanPSMT"/>
                <w:sz w:val="20"/>
              </w:rPr>
              <w:t>The allowed values for the RSSI parameter are in the range from 0 through RSSI maximum. This parameter is a measure by the PHY of the power observed at the antennas used to receive the current PPDU. RSSI shall be measured during the reception of the PLCP preamble. RSSI is intended to be used in a relative manner, and it shall be a monotonically increasing function of the received power.</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r>
      <w:tr w:rsidR="001A1C66" w:rsidRPr="00066F65" w:rsidTr="004002E9">
        <w:trPr>
          <w:trHeight w:val="25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SNR</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This parameter indicates the SNR measured during the reception of a control PHY packet.</w:t>
            </w:r>
            <w:r w:rsidR="00281486" w:rsidRPr="009448FC">
              <w:rPr>
                <w:sz w:val="20"/>
              </w:rPr>
              <w:t xml:space="preserve"> </w:t>
            </w:r>
            <w:r w:rsidRPr="009448FC">
              <w:rPr>
                <w:sz w:val="20"/>
              </w:rPr>
              <w:t>Values are -10dB to 53.73dB in 0.25dB steps</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r>
      <w:tr w:rsidR="001A1C66" w:rsidRPr="00066F65" w:rsidTr="004002E9">
        <w:trPr>
          <w:cantSplit/>
          <w:trHeight w:val="25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ANT-CONFIG</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The MAC uses this parameter to instruct the PHY what antenna configuration(s) to use throughout the transmission of the packet, and when to switch between them.</w:t>
            </w:r>
          </w:p>
          <w:p w:rsidR="001A1C66" w:rsidRPr="009448FC" w:rsidRDefault="001A1C66" w:rsidP="001A1C66">
            <w:pPr>
              <w:rPr>
                <w:sz w:val="20"/>
              </w:rPr>
            </w:pPr>
            <w:r w:rsidRPr="009448FC">
              <w:rPr>
                <w:sz w:val="20"/>
              </w:rPr>
              <w:t>Values are implementation dependent.</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r>
      <w:tr w:rsidR="001A1C66" w:rsidRPr="00066F65" w:rsidTr="004002E9">
        <w:trPr>
          <w:trHeight w:val="27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CHAN-MEASUREMENT</w:t>
            </w:r>
          </w:p>
        </w:tc>
        <w:tc>
          <w:tcPr>
            <w:tcW w:w="5380" w:type="dxa"/>
            <w:shd w:val="clear" w:color="auto" w:fill="auto"/>
            <w:tcMar>
              <w:top w:w="10" w:type="dxa"/>
              <w:left w:w="10" w:type="dxa"/>
              <w:bottom w:w="0" w:type="dxa"/>
              <w:right w:w="10" w:type="dxa"/>
            </w:tcMar>
          </w:tcPr>
          <w:p w:rsidR="001A1C66" w:rsidRPr="009448FC" w:rsidRDefault="001A1C66" w:rsidP="001A1C66">
            <w:pPr>
              <w:rPr>
                <w:rFonts w:ascii="Arial" w:hAnsi="Arial"/>
                <w:sz w:val="20"/>
              </w:rPr>
            </w:pPr>
            <w:r w:rsidRPr="009448FC">
              <w:rPr>
                <w:sz w:val="20"/>
              </w:rPr>
              <w:t>Channel as measured during the reception of TRN-T subfields.</w:t>
            </w:r>
            <w:r w:rsidR="00281486" w:rsidRPr="009448FC">
              <w:rPr>
                <w:sz w:val="20"/>
              </w:rPr>
              <w:t xml:space="preserve"> </w:t>
            </w:r>
            <w:r w:rsidRPr="009448FC">
              <w:rPr>
                <w:sz w:val="20"/>
              </w:rPr>
              <w:t>Each measurement includes 63 complex numbers.</w:t>
            </w:r>
            <w:r w:rsidR="00281486" w:rsidRPr="009448FC">
              <w:rPr>
                <w:sz w:val="20"/>
              </w:rPr>
              <w:t xml:space="preserve"> </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r>
      <w:tr w:rsidR="001A1C66" w:rsidRPr="00066F65" w:rsidTr="004002E9">
        <w:trPr>
          <w:trHeight w:val="27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TIME_OF_DEPARTURE_REQUESTED</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Enumerated type:</w:t>
            </w:r>
          </w:p>
          <w:p w:rsidR="001A1C66" w:rsidRPr="009448FC" w:rsidRDefault="001A1C66" w:rsidP="0008656B">
            <w:pPr>
              <w:rPr>
                <w:sz w:val="20"/>
              </w:rPr>
            </w:pPr>
            <w:r w:rsidRPr="009448FC">
              <w:rPr>
                <w:sz w:val="20"/>
              </w:rPr>
              <w:t>true indicates that the MAC entity requests that the PHY PLCP entity measures and reports time of departure parameters corresponding to the</w:t>
            </w:r>
            <w:r w:rsidR="0008656B" w:rsidRPr="009448FC">
              <w:rPr>
                <w:sz w:val="20"/>
              </w:rPr>
              <w:t xml:space="preserve"> </w:t>
            </w:r>
            <w:r w:rsidRPr="009448FC">
              <w:rPr>
                <w:sz w:val="20"/>
              </w:rPr>
              <w:t>time when the first frame energy is sent by the transmitting</w:t>
            </w:r>
            <w:r w:rsidR="0008656B" w:rsidRPr="009448FC">
              <w:rPr>
                <w:sz w:val="20"/>
              </w:rPr>
              <w:t xml:space="preserve"> </w:t>
            </w:r>
            <w:r w:rsidRPr="009448FC">
              <w:rPr>
                <w:sz w:val="20"/>
              </w:rPr>
              <w:t>port. false indicates that the MAC entity requests that the PHY</w:t>
            </w:r>
            <w:r w:rsidR="0008656B" w:rsidRPr="009448FC">
              <w:rPr>
                <w:sz w:val="20"/>
              </w:rPr>
              <w:t xml:space="preserve"> </w:t>
            </w:r>
            <w:r w:rsidRPr="009448FC">
              <w:rPr>
                <w:sz w:val="20"/>
              </w:rPr>
              <w:t>PLCP entity neither measures nor reports time of departure parameters.</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O</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N</w:t>
            </w:r>
          </w:p>
        </w:tc>
      </w:tr>
      <w:tr w:rsidR="001A1C66" w:rsidRPr="00066F65" w:rsidTr="004002E9">
        <w:trPr>
          <w:trHeight w:val="27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RX_START_OF_FRAME_OFFSET</w:t>
            </w:r>
          </w:p>
        </w:tc>
        <w:tc>
          <w:tcPr>
            <w:tcW w:w="5380" w:type="dxa"/>
            <w:shd w:val="clear" w:color="auto" w:fill="auto"/>
            <w:tcMar>
              <w:top w:w="10" w:type="dxa"/>
              <w:left w:w="10" w:type="dxa"/>
              <w:bottom w:w="0" w:type="dxa"/>
              <w:right w:w="10" w:type="dxa"/>
            </w:tcMar>
          </w:tcPr>
          <w:p w:rsidR="001A1C66" w:rsidRPr="009448FC" w:rsidRDefault="001A1C66" w:rsidP="0008656B">
            <w:pPr>
              <w:autoSpaceDE w:val="0"/>
              <w:autoSpaceDN w:val="0"/>
              <w:adjustRightInd w:val="0"/>
              <w:rPr>
                <w:sz w:val="20"/>
              </w:rPr>
            </w:pPr>
            <w:r w:rsidRPr="009448FC">
              <w:rPr>
                <w:sz w:val="20"/>
              </w:rPr>
              <w:t>0 to 232-1. An estimate of the offset (in 10 nanosecond units)</w:t>
            </w:r>
            <w:r w:rsidR="0008656B" w:rsidRPr="009448FC">
              <w:rPr>
                <w:sz w:val="20"/>
              </w:rPr>
              <w:t xml:space="preserve"> </w:t>
            </w:r>
            <w:r w:rsidRPr="009448FC">
              <w:rPr>
                <w:sz w:val="20"/>
              </w:rPr>
              <w:t>from the point in time at which the start of the preamble corresponding</w:t>
            </w:r>
            <w:r w:rsidR="0008656B" w:rsidRPr="009448FC">
              <w:rPr>
                <w:sz w:val="20"/>
              </w:rPr>
              <w:t xml:space="preserve"> </w:t>
            </w:r>
            <w:r w:rsidRPr="009448FC">
              <w:rPr>
                <w:sz w:val="20"/>
              </w:rPr>
              <w:t>to the incoming frame arrived at the receive antenna port to the</w:t>
            </w:r>
            <w:r w:rsidR="0008656B" w:rsidRPr="009448FC">
              <w:rPr>
                <w:sz w:val="20"/>
              </w:rPr>
              <w:t xml:space="preserve"> </w:t>
            </w:r>
            <w:r w:rsidRPr="009448FC">
              <w:rPr>
                <w:sz w:val="20"/>
              </w:rPr>
              <w:t>point in time at which this primitive is issued to the MAC.</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bl>
    <w:p w:rsidR="004002E9" w:rsidRPr="00066F65" w:rsidRDefault="001625ED" w:rsidP="004002E9">
      <w:pPr>
        <w:rPr>
          <w:b/>
          <w:bCs/>
          <w:i/>
          <w:iCs/>
          <w:color w:val="FF0000"/>
          <w:u w:val="single"/>
        </w:rPr>
      </w:pPr>
      <w:r w:rsidRPr="00066F65">
        <w:rPr>
          <w:b/>
          <w:bCs/>
          <w:i/>
          <w:iCs/>
          <w:color w:val="FF0000"/>
          <w:u w:val="single"/>
        </w:rPr>
        <w:t xml:space="preserve"> </w:t>
      </w:r>
    </w:p>
    <w:p w:rsidR="001A1C66" w:rsidRPr="009448FC" w:rsidRDefault="001A1C66" w:rsidP="001A1C66">
      <w:pPr>
        <w:autoSpaceDE w:val="0"/>
        <w:autoSpaceDN w:val="0"/>
        <w:adjustRightInd w:val="0"/>
        <w:jc w:val="both"/>
        <w:rPr>
          <w:rFonts w:ascii="TimesNewRomanPSMT" w:eastAsia="MS Mincho" w:hAnsi="TimesNewRomanPSMT"/>
        </w:rPr>
      </w:pPr>
    </w:p>
    <w:p w:rsidR="001A1C66" w:rsidRPr="009448FC" w:rsidRDefault="001A1C66" w:rsidP="003701DB">
      <w:pPr>
        <w:pStyle w:val="Heading3"/>
        <w:numPr>
          <w:ilvl w:val="2"/>
          <w:numId w:val="133"/>
        </w:numPr>
        <w:rPr>
          <w:rFonts w:eastAsia="MS Mincho"/>
        </w:rPr>
      </w:pPr>
      <w:bookmarkStart w:id="2978" w:name="_Toc259717310"/>
      <w:r w:rsidRPr="009448FC">
        <w:rPr>
          <w:rFonts w:eastAsia="MS Mincho"/>
        </w:rPr>
        <w:lastRenderedPageBreak/>
        <w:t>TXSTATUS Parameters</w:t>
      </w:r>
      <w:bookmarkEnd w:id="2978"/>
    </w:p>
    <w:p w:rsidR="001A1C66" w:rsidRPr="009448FC" w:rsidRDefault="001A1C66" w:rsidP="00032059">
      <w:pPr>
        <w:autoSpaceDE w:val="0"/>
        <w:autoSpaceDN w:val="0"/>
        <w:adjustRightInd w:val="0"/>
        <w:rPr>
          <w:rFonts w:ascii="TimesNewRomanPSMT" w:eastAsia="MS Mincho" w:hAnsi="TimesNewRomanPSMT"/>
        </w:rPr>
      </w:pPr>
      <w:r w:rsidRPr="009448FC">
        <w:rPr>
          <w:rFonts w:ascii="TimesNewRomanPSMT" w:eastAsia="MS Mincho" w:hAnsi="TimesNewRomanPSMT"/>
        </w:rPr>
        <w:t xml:space="preserve">The parameters listed in </w:t>
      </w:r>
      <w:r w:rsidR="00BD151C" w:rsidRPr="009448FC">
        <w:rPr>
          <w:rFonts w:ascii="TimesNewRomanPSMT" w:eastAsia="MS Mincho" w:hAnsi="TimesNewRomanPSMT"/>
        </w:rPr>
        <w:fldChar w:fldCharType="begin"/>
      </w:r>
      <w:r w:rsidR="00F4457E" w:rsidRPr="009448FC">
        <w:rPr>
          <w:rFonts w:ascii="TimesNewRomanPSMT" w:eastAsia="MS Mincho" w:hAnsi="TimesNewRomanPSMT"/>
        </w:rPr>
        <w:instrText xml:space="preserve"> REF _Ref243471006 \h </w:instrText>
      </w:r>
      <w:r w:rsidR="00BD151C" w:rsidRPr="009448FC">
        <w:rPr>
          <w:rFonts w:ascii="TimesNewRomanPSMT" w:eastAsia="MS Mincho" w:hAnsi="TimesNewRomanPSMT"/>
        </w:rPr>
      </w:r>
      <w:r w:rsidR="00BD151C" w:rsidRPr="009448FC">
        <w:rPr>
          <w:rFonts w:ascii="TimesNewRomanPSMT" w:eastAsia="MS Mincho" w:hAnsi="TimesNewRomanPSMT"/>
        </w:rPr>
        <w:fldChar w:fldCharType="separate"/>
      </w:r>
      <w:r w:rsidR="003E4210" w:rsidRPr="00066F65">
        <w:t xml:space="preserve">Table </w:t>
      </w:r>
      <w:r w:rsidR="003E4210">
        <w:rPr>
          <w:noProof/>
        </w:rPr>
        <w:t>65</w:t>
      </w:r>
      <w:r w:rsidR="00BD151C" w:rsidRPr="009448FC">
        <w:rPr>
          <w:rFonts w:ascii="TimesNewRomanPSMT" w:eastAsia="MS Mincho" w:hAnsi="TimesNewRomanPSMT"/>
        </w:rPr>
        <w:fldChar w:fldCharType="end"/>
      </w:r>
      <w:r w:rsidR="00627B2E" w:rsidRPr="009448FC">
        <w:rPr>
          <w:rFonts w:ascii="TimesNewRomanPSMT" w:eastAsia="MS Mincho" w:hAnsi="TimesNewRomanPSMT"/>
        </w:rPr>
        <w:t xml:space="preserve"> </w:t>
      </w:r>
      <w:r w:rsidRPr="009448FC">
        <w:rPr>
          <w:rFonts w:ascii="TimesNewRomanPSMT" w:eastAsia="MS Mincho" w:hAnsi="TimesNewRomanPSMT"/>
        </w:rPr>
        <w:t>are defined as part of the TXSTATUS parameter list in the PHYTXSTART.confirm(TXSTATUS) service primitive.</w:t>
      </w:r>
    </w:p>
    <w:p w:rsidR="001A1C66" w:rsidRPr="009448FC" w:rsidRDefault="001A1C66" w:rsidP="001A1C66">
      <w:pPr>
        <w:autoSpaceDE w:val="0"/>
        <w:autoSpaceDN w:val="0"/>
        <w:adjustRightInd w:val="0"/>
        <w:jc w:val="both"/>
        <w:rPr>
          <w:rFonts w:ascii="TimesNewRomanPSMT" w:eastAsia="MS Mincho" w:hAnsi="TimesNewRomanPSMT"/>
        </w:rPr>
      </w:pPr>
    </w:p>
    <w:p w:rsidR="00F4457E" w:rsidRPr="00066F65" w:rsidRDefault="00F4457E" w:rsidP="00BA5BC4">
      <w:pPr>
        <w:pStyle w:val="Caption"/>
        <w:rPr>
          <w:rFonts w:ascii="TimesNewRomanPSMT" w:hAnsi="TimesNewRomanPSMT" w:cs="TimesNewRomanPSMT"/>
        </w:rPr>
      </w:pPr>
      <w:bookmarkStart w:id="2979" w:name="_Ref243471006"/>
      <w:bookmarkStart w:id="2980" w:name="_Toc250654449"/>
      <w:bookmarkStart w:id="2981" w:name="_Toc259717643"/>
      <w:r w:rsidRPr="00066F65">
        <w:t xml:space="preserve">Table </w:t>
      </w:r>
      <w:r w:rsidR="00BD151C">
        <w:fldChar w:fldCharType="begin"/>
      </w:r>
      <w:r w:rsidR="00801316">
        <w:instrText xml:space="preserve"> SEQ Table \* ARABIC </w:instrText>
      </w:r>
      <w:r w:rsidR="00BD151C">
        <w:fldChar w:fldCharType="separate"/>
      </w:r>
      <w:r w:rsidR="003E4210">
        <w:rPr>
          <w:noProof/>
        </w:rPr>
        <w:t>65</w:t>
      </w:r>
      <w:r w:rsidR="00BD151C">
        <w:fldChar w:fldCharType="end"/>
      </w:r>
      <w:bookmarkEnd w:id="2979"/>
      <w:r w:rsidRPr="00066F65">
        <w:t xml:space="preserve"> – TXSTATUS parameters</w:t>
      </w:r>
      <w:bookmarkEnd w:id="2980"/>
      <w:bookmarkEnd w:id="2981"/>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798"/>
        <w:gridCol w:w="5778"/>
      </w:tblGrid>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rPr>
            </w:pPr>
            <w:r w:rsidRPr="009448FC">
              <w:rPr>
                <w:rFonts w:ascii="TimesNewRomanPSMT" w:eastAsia="MS Mincho" w:hAnsi="TimesNewRomanPSMT"/>
              </w:rPr>
              <w:t>Parameter</w:t>
            </w:r>
          </w:p>
        </w:tc>
        <w:tc>
          <w:tcPr>
            <w:tcW w:w="5778" w:type="dxa"/>
          </w:tcPr>
          <w:p w:rsidR="001A1C66" w:rsidRPr="009448FC" w:rsidRDefault="001A1C66" w:rsidP="00D0037C">
            <w:pPr>
              <w:autoSpaceDE w:val="0"/>
              <w:autoSpaceDN w:val="0"/>
              <w:adjustRightInd w:val="0"/>
              <w:spacing w:before="240"/>
              <w:jc w:val="both"/>
              <w:rPr>
                <w:rFonts w:ascii="TimesNewRomanPSMT" w:eastAsia="MS Mincho" w:hAnsi="TimesNewRomanPSMT"/>
              </w:rPr>
            </w:pPr>
            <w:r w:rsidRPr="009448FC">
              <w:rPr>
                <w:rFonts w:ascii="TimesNewRomanPSMT" w:eastAsia="MS Mincho" w:hAnsi="TimesNewRomanPSMT"/>
              </w:rPr>
              <w:t>Value</w:t>
            </w:r>
          </w:p>
        </w:tc>
      </w:tr>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sz w:val="20"/>
              </w:rPr>
            </w:pPr>
            <w:r w:rsidRPr="009448FC">
              <w:rPr>
                <w:rFonts w:ascii="TimesNewRomanPSMT" w:eastAsia="MS Mincho" w:hAnsi="TimesNewRomanPSMT"/>
                <w:sz w:val="20"/>
              </w:rPr>
              <w:t>TIME_OF_DEPARTURE</w:t>
            </w:r>
          </w:p>
        </w:tc>
        <w:tc>
          <w:tcPr>
            <w:tcW w:w="5778" w:type="dxa"/>
          </w:tcPr>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When the first frame energy is sent by the transmitting port, in units equal to 1/TIME_OF_DEPARTURE_ClockRate.</w:t>
            </w:r>
          </w:p>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This parameter is present only if TIME_OF_DEPARTURE_REQUESTED is true in the corresponding request.</w:t>
            </w:r>
          </w:p>
        </w:tc>
      </w:tr>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sz w:val="20"/>
              </w:rPr>
            </w:pPr>
            <w:r w:rsidRPr="009448FC">
              <w:rPr>
                <w:rFonts w:ascii="TimesNewRomanPSMT" w:eastAsia="MS Mincho" w:hAnsi="TimesNewRomanPSMT"/>
                <w:sz w:val="20"/>
              </w:rPr>
              <w:t>TIME_OF_DEPARTURE_ClockRate</w:t>
            </w:r>
          </w:p>
        </w:tc>
        <w:tc>
          <w:tcPr>
            <w:tcW w:w="5778" w:type="dxa"/>
          </w:tcPr>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0 to 2</w:t>
            </w:r>
            <w:r w:rsidRPr="009448FC">
              <w:rPr>
                <w:rFonts w:ascii="TimesNewRomanPSMT" w:eastAsia="MS Mincho" w:hAnsi="TimesNewRomanPSMT"/>
                <w:sz w:val="20"/>
                <w:vertAlign w:val="superscript"/>
              </w:rPr>
              <w:t>16</w:t>
            </w:r>
            <w:r w:rsidRPr="009448FC">
              <w:rPr>
                <w:rFonts w:ascii="TimesNewRomanPSMT" w:eastAsia="MS Mincho" w:hAnsi="TimesNewRomanPSMT"/>
                <w:sz w:val="20"/>
              </w:rPr>
              <w:t>-1. The clock rate, in units of MHz, is used to generate the TIME_OF_DEPARTURE value. This parameter is present only if TIME_OF_DEPARTURE_REQUESTED is true in the corresponding request.</w:t>
            </w:r>
          </w:p>
        </w:tc>
      </w:tr>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sz w:val="20"/>
              </w:rPr>
            </w:pPr>
            <w:r w:rsidRPr="009448FC">
              <w:rPr>
                <w:rFonts w:ascii="TimesNewRomanPSMT" w:eastAsia="MS Mincho" w:hAnsi="TimesNewRomanPSMT"/>
                <w:sz w:val="20"/>
              </w:rPr>
              <w:t>TX_START_OF_FRAME_OFFSET</w:t>
            </w:r>
          </w:p>
        </w:tc>
        <w:tc>
          <w:tcPr>
            <w:tcW w:w="5778" w:type="dxa"/>
          </w:tcPr>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0 to 2</w:t>
            </w:r>
            <w:r w:rsidRPr="009448FC">
              <w:rPr>
                <w:rFonts w:ascii="TimesNewRomanPSMT" w:eastAsia="MS Mincho" w:hAnsi="TimesNewRomanPSMT"/>
                <w:sz w:val="20"/>
                <w:vertAlign w:val="superscript"/>
              </w:rPr>
              <w:t>32</w:t>
            </w:r>
            <w:r w:rsidRPr="009448FC">
              <w:rPr>
                <w:rFonts w:ascii="TimesNewRomanPSMT" w:eastAsia="MS Mincho" w:hAnsi="TimesNewRomanPSMT"/>
                <w:sz w:val="20"/>
              </w:rPr>
              <w:t>-1. An estimate of the offset (in 10 nanosecond units) from the point in time at which</w:t>
            </w:r>
          </w:p>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the start of the preamble corresponding to the frame was transmitted at the transmit antenna port to the point in time at which this primitive is issued to the MAC.</w:t>
            </w:r>
          </w:p>
        </w:tc>
      </w:tr>
    </w:tbl>
    <w:p w:rsidR="00B243B6" w:rsidRPr="00066F65" w:rsidRDefault="00B243B6" w:rsidP="003701DB">
      <w:pPr>
        <w:pStyle w:val="Heading2"/>
        <w:keepLines w:val="0"/>
        <w:numPr>
          <w:ilvl w:val="1"/>
          <w:numId w:val="71"/>
        </w:numPr>
        <w:spacing w:before="240" w:after="60"/>
        <w:rPr>
          <w:rFonts w:ascii="Times New Roman" w:hAnsi="Times New Roman"/>
        </w:rPr>
      </w:pPr>
      <w:bookmarkStart w:id="2982" w:name="_Toc201721887"/>
      <w:bookmarkStart w:id="2983" w:name="_Toc206227621"/>
      <w:bookmarkStart w:id="2984" w:name="_Toc206415568"/>
      <w:bookmarkStart w:id="2985" w:name="_Toc206418375"/>
      <w:bookmarkStart w:id="2986" w:name="_Toc207099130"/>
      <w:bookmarkStart w:id="2987" w:name="_Toc207099735"/>
      <w:bookmarkStart w:id="2988" w:name="_Toc207100654"/>
      <w:bookmarkStart w:id="2989" w:name="_Toc207348576"/>
      <w:bookmarkStart w:id="2990" w:name="_Toc215582932"/>
      <w:bookmarkStart w:id="2991" w:name="_Toc235400627"/>
      <w:bookmarkStart w:id="2992" w:name="_Ref241315970"/>
      <w:bookmarkStart w:id="2993" w:name="_Toc259717311"/>
      <w:r w:rsidRPr="00066F65">
        <w:rPr>
          <w:rFonts w:ascii="Times New Roman" w:hAnsi="Times New Roman"/>
        </w:rPr>
        <w:t>Common parameters</w:t>
      </w:r>
      <w:bookmarkEnd w:id="2982"/>
      <w:bookmarkEnd w:id="2983"/>
      <w:bookmarkEnd w:id="2984"/>
      <w:bookmarkEnd w:id="2985"/>
      <w:bookmarkEnd w:id="2986"/>
      <w:bookmarkEnd w:id="2987"/>
      <w:bookmarkEnd w:id="2988"/>
      <w:bookmarkEnd w:id="2989"/>
      <w:bookmarkEnd w:id="2990"/>
      <w:bookmarkEnd w:id="2991"/>
      <w:bookmarkEnd w:id="2992"/>
      <w:bookmarkEnd w:id="2993"/>
    </w:p>
    <w:p w:rsidR="00B243B6" w:rsidRPr="009448FC" w:rsidRDefault="00B243B6" w:rsidP="003701DB">
      <w:pPr>
        <w:pStyle w:val="Heading3"/>
        <w:keepLines w:val="0"/>
        <w:numPr>
          <w:ilvl w:val="2"/>
          <w:numId w:val="40"/>
        </w:numPr>
        <w:rPr>
          <w:rFonts w:ascii="Times New Roman" w:hAnsi="Times New Roman"/>
        </w:rPr>
      </w:pPr>
      <w:bookmarkStart w:id="2994" w:name="_Toc201721888"/>
      <w:bookmarkStart w:id="2995" w:name="_Toc206227622"/>
      <w:bookmarkStart w:id="2996" w:name="_Toc206415569"/>
      <w:bookmarkStart w:id="2997" w:name="_Toc206418376"/>
      <w:bookmarkStart w:id="2998" w:name="_Toc207099131"/>
      <w:bookmarkStart w:id="2999" w:name="_Toc207099736"/>
      <w:bookmarkStart w:id="3000" w:name="_Toc207100655"/>
      <w:bookmarkStart w:id="3001" w:name="_Toc207348577"/>
      <w:bookmarkStart w:id="3002" w:name="_Toc215582933"/>
      <w:bookmarkStart w:id="3003" w:name="_Toc235400628"/>
      <w:bookmarkStart w:id="3004" w:name="_Ref244150177"/>
      <w:bookmarkStart w:id="3005" w:name="_Toc259717312"/>
      <w:r w:rsidRPr="009448FC">
        <w:rPr>
          <w:rFonts w:ascii="Times New Roman" w:hAnsi="Times New Roman"/>
        </w:rPr>
        <w:t>Channelization</w:t>
      </w:r>
      <w:bookmarkEnd w:id="2994"/>
      <w:bookmarkEnd w:id="2995"/>
      <w:bookmarkEnd w:id="2996"/>
      <w:bookmarkEnd w:id="2997"/>
      <w:bookmarkEnd w:id="2998"/>
      <w:bookmarkEnd w:id="2999"/>
      <w:bookmarkEnd w:id="3000"/>
      <w:bookmarkEnd w:id="3001"/>
      <w:bookmarkEnd w:id="3002"/>
      <w:bookmarkEnd w:id="3003"/>
      <w:bookmarkEnd w:id="3004"/>
      <w:bookmarkEnd w:id="3005"/>
    </w:p>
    <w:p w:rsidR="00833311" w:rsidRDefault="00BF72EC" w:rsidP="00833311">
      <w:r>
        <w:t xml:space="preserve"> </w:t>
      </w:r>
    </w:p>
    <w:p w:rsidR="00833311" w:rsidRDefault="00833311" w:rsidP="00833311">
      <w:r w:rsidRPr="00833311">
        <w:t xml:space="preserve">STAs compliant with the physical layer defined in clause </w:t>
      </w:r>
      <w:r w:rsidR="00BD151C">
        <w:fldChar w:fldCharType="begin"/>
      </w:r>
      <w:r>
        <w:instrText xml:space="preserve"> REF _Ref255115624 \r \h </w:instrText>
      </w:r>
      <w:r w:rsidR="00BD151C">
        <w:fldChar w:fldCharType="separate"/>
      </w:r>
      <w:r w:rsidR="003E4210">
        <w:t>21</w:t>
      </w:r>
      <w:r w:rsidR="00BD151C">
        <w:fldChar w:fldCharType="end"/>
      </w:r>
      <w:r w:rsidRPr="00833311">
        <w:t xml:space="preserve"> operate in the channels defined in Annex J for the UB, and shall support at least channel number 2.</w:t>
      </w:r>
    </w:p>
    <w:p w:rsidR="00833311" w:rsidRPr="009448FC" w:rsidRDefault="00833311" w:rsidP="00253A2E"/>
    <w:p w:rsidR="00B243B6" w:rsidRPr="009448FC" w:rsidRDefault="00B243B6" w:rsidP="003701DB">
      <w:pPr>
        <w:pStyle w:val="Heading3"/>
        <w:keepLines w:val="0"/>
        <w:numPr>
          <w:ilvl w:val="2"/>
          <w:numId w:val="40"/>
        </w:numPr>
        <w:rPr>
          <w:rFonts w:ascii="Times New Roman" w:hAnsi="Times New Roman"/>
        </w:rPr>
      </w:pPr>
      <w:bookmarkStart w:id="3006" w:name="_Toc201721890"/>
      <w:bookmarkStart w:id="3007" w:name="_Toc206227624"/>
      <w:bookmarkStart w:id="3008" w:name="_Toc206415571"/>
      <w:bookmarkStart w:id="3009" w:name="_Toc206418378"/>
      <w:bookmarkStart w:id="3010" w:name="_Toc207099133"/>
      <w:bookmarkStart w:id="3011" w:name="_Toc207099738"/>
      <w:bookmarkStart w:id="3012" w:name="_Toc207100657"/>
      <w:bookmarkStart w:id="3013" w:name="_Toc207348579"/>
      <w:bookmarkStart w:id="3014" w:name="_Toc215582935"/>
      <w:bookmarkStart w:id="3015" w:name="_Toc235400629"/>
      <w:bookmarkStart w:id="3016" w:name="_Toc259717313"/>
      <w:r w:rsidRPr="009448FC">
        <w:rPr>
          <w:rFonts w:ascii="Times New Roman" w:hAnsi="Times New Roman"/>
        </w:rPr>
        <w:t>Transmit Mask</w:t>
      </w:r>
      <w:bookmarkEnd w:id="3006"/>
      <w:bookmarkEnd w:id="3007"/>
      <w:bookmarkEnd w:id="3008"/>
      <w:bookmarkEnd w:id="3009"/>
      <w:bookmarkEnd w:id="3010"/>
      <w:bookmarkEnd w:id="3011"/>
      <w:bookmarkEnd w:id="3012"/>
      <w:bookmarkEnd w:id="3013"/>
      <w:bookmarkEnd w:id="3014"/>
      <w:bookmarkEnd w:id="3015"/>
      <w:bookmarkEnd w:id="3016"/>
      <w:r w:rsidR="00CC6AEA"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 xml:space="preserve">The transmitted spectrum shall adhere to the transmit spectrum mask shown in the </w:t>
      </w:r>
      <w:r w:rsidR="00BD151C">
        <w:rPr>
          <w:rFonts w:eastAsia="MS Mincho"/>
        </w:rPr>
        <w:fldChar w:fldCharType="begin"/>
      </w:r>
      <w:r>
        <w:rPr>
          <w:rFonts w:eastAsia="MS Mincho"/>
        </w:rPr>
        <w:instrText xml:space="preserve"> REF _Ref243028149 \h </w:instrText>
      </w:r>
      <w:r w:rsidR="00BD151C">
        <w:rPr>
          <w:rFonts w:eastAsia="MS Mincho"/>
        </w:rPr>
      </w:r>
      <w:r w:rsidR="00BD151C">
        <w:rPr>
          <w:rFonts w:eastAsia="MS Mincho"/>
        </w:rPr>
        <w:fldChar w:fldCharType="separate"/>
      </w:r>
      <w:r w:rsidR="003E4210" w:rsidRPr="00066F65">
        <w:t xml:space="preserve">Figure </w:t>
      </w:r>
      <w:r w:rsidR="003E4210">
        <w:rPr>
          <w:noProof/>
        </w:rPr>
        <w:t>130</w:t>
      </w:r>
      <w:r w:rsidR="00BD151C">
        <w:rPr>
          <w:rFonts w:eastAsia="MS Mincho"/>
        </w:rPr>
        <w:fldChar w:fldCharType="end"/>
      </w:r>
      <w:r w:rsidRPr="009448FC">
        <w:rPr>
          <w:rFonts w:eastAsia="MS Mincho"/>
        </w:rPr>
        <w:t xml:space="preserve">. </w:t>
      </w:r>
    </w:p>
    <w:p w:rsidR="00CC6AEA" w:rsidRPr="009448FC" w:rsidRDefault="00CC6AEA" w:rsidP="00CC6AEA">
      <w:pPr>
        <w:rPr>
          <w:rFonts w:eastAsia="MS Mincho"/>
        </w:rPr>
      </w:pPr>
    </w:p>
    <w:p w:rsidR="00CC6AEA" w:rsidRPr="009448FC" w:rsidRDefault="00FC0D7A" w:rsidP="00CC6AEA">
      <w:pPr>
        <w:keepNext/>
        <w:jc w:val="center"/>
      </w:pPr>
      <w:r>
        <w:object w:dxaOrig="10580" w:dyaOrig="3671">
          <v:shape id="_x0000_i1088" type="#_x0000_t75" style="width:493.6pt;height:172.1pt" o:ole="">
            <v:imagedata r:id="rId226" o:title=""/>
          </v:shape>
          <o:OLEObject Type="Embed" ProgID="Visio.Drawing.11" ShapeID="_x0000_i1088" DrawAspect="Content" ObjectID="_1334048269" r:id="rId227"/>
        </w:object>
      </w:r>
    </w:p>
    <w:p w:rsidR="00CC6AEA" w:rsidRPr="00066F65" w:rsidRDefault="00CC6AEA" w:rsidP="00BA5BC4">
      <w:pPr>
        <w:pStyle w:val="Caption"/>
      </w:pPr>
      <w:bookmarkStart w:id="3017" w:name="_Ref243028149"/>
      <w:bookmarkStart w:id="3018" w:name="_Toc259717562"/>
      <w:r w:rsidRPr="00066F65">
        <w:t xml:space="preserve">Figure </w:t>
      </w:r>
      <w:r w:rsidR="00BD151C">
        <w:fldChar w:fldCharType="begin"/>
      </w:r>
      <w:r w:rsidR="00801316">
        <w:instrText xml:space="preserve"> SEQ Figure \* ARABIC </w:instrText>
      </w:r>
      <w:r w:rsidR="00BD151C">
        <w:fldChar w:fldCharType="separate"/>
      </w:r>
      <w:r w:rsidR="003E4210">
        <w:rPr>
          <w:noProof/>
        </w:rPr>
        <w:t>130</w:t>
      </w:r>
      <w:r w:rsidR="00BD151C">
        <w:fldChar w:fldCharType="end"/>
      </w:r>
      <w:bookmarkEnd w:id="3017"/>
      <w:r w:rsidRPr="00066F65">
        <w:t xml:space="preserve"> </w:t>
      </w:r>
      <w:r w:rsidR="00784429" w:rsidRPr="00066F65">
        <w:t xml:space="preserve">– </w:t>
      </w:r>
      <w:r w:rsidRPr="00066F65">
        <w:t>Transmit Mask</w:t>
      </w:r>
      <w:bookmarkEnd w:id="3018"/>
      <w:r w:rsidR="00FC0D7A">
        <w:t xml:space="preserve"> </w:t>
      </w:r>
    </w:p>
    <w:p w:rsidR="00CC6AEA" w:rsidRPr="009448FC" w:rsidRDefault="00CC6AEA" w:rsidP="00CC6AEA"/>
    <w:p w:rsidR="00B243B6" w:rsidRPr="009448FC" w:rsidRDefault="00B243B6" w:rsidP="003701DB">
      <w:pPr>
        <w:pStyle w:val="Heading3"/>
        <w:keepLines w:val="0"/>
        <w:numPr>
          <w:ilvl w:val="2"/>
          <w:numId w:val="39"/>
        </w:numPr>
        <w:rPr>
          <w:rFonts w:ascii="Times New Roman" w:hAnsi="Times New Roman"/>
        </w:rPr>
      </w:pPr>
      <w:bookmarkStart w:id="3019" w:name="_Toc201721893"/>
      <w:bookmarkStart w:id="3020" w:name="_Toc206227627"/>
      <w:bookmarkStart w:id="3021" w:name="_Toc206415574"/>
      <w:bookmarkStart w:id="3022" w:name="_Toc206418381"/>
      <w:bookmarkStart w:id="3023" w:name="_Toc207099136"/>
      <w:bookmarkStart w:id="3024" w:name="_Toc207099741"/>
      <w:bookmarkStart w:id="3025" w:name="_Toc207100660"/>
      <w:bookmarkStart w:id="3026" w:name="_Toc207348582"/>
      <w:bookmarkStart w:id="3027" w:name="_Toc215582938"/>
      <w:bookmarkStart w:id="3028" w:name="_Toc235400631"/>
      <w:bookmarkStart w:id="3029" w:name="_Toc259717314"/>
      <w:r w:rsidRPr="009448FC">
        <w:rPr>
          <w:rFonts w:ascii="Times New Roman" w:hAnsi="Times New Roman"/>
        </w:rPr>
        <w:t>Common requirements</w:t>
      </w:r>
      <w:bookmarkEnd w:id="3019"/>
      <w:bookmarkEnd w:id="3020"/>
      <w:bookmarkEnd w:id="3021"/>
      <w:bookmarkEnd w:id="3022"/>
      <w:bookmarkEnd w:id="3023"/>
      <w:bookmarkEnd w:id="3024"/>
      <w:bookmarkEnd w:id="3025"/>
      <w:bookmarkEnd w:id="3026"/>
      <w:bookmarkEnd w:id="3027"/>
      <w:bookmarkEnd w:id="3028"/>
      <w:bookmarkEnd w:id="3029"/>
      <w:r w:rsidR="00CC6AEA" w:rsidRPr="009448FC">
        <w:rPr>
          <w:rFonts w:ascii="Times New Roman" w:hAnsi="Times New Roman"/>
        </w:rPr>
        <w:t xml:space="preserve"> </w:t>
      </w:r>
    </w:p>
    <w:p w:rsidR="00CC6AEA" w:rsidRPr="009448FC" w:rsidRDefault="00CC6AEA" w:rsidP="00833311">
      <w:pPr>
        <w:rPr>
          <w:rFonts w:eastAsia="MS Mincho"/>
        </w:rPr>
      </w:pPr>
      <w:r w:rsidRPr="009448FC">
        <w:rPr>
          <w:rFonts w:eastAsia="MS Mincho"/>
        </w:rPr>
        <w:t xml:space="preserve">The section below describes the common requirement from all </w:t>
      </w:r>
      <w:r w:rsidR="00833311">
        <w:rPr>
          <w:rFonts w:eastAsia="MS Mincho"/>
        </w:rPr>
        <w:t>4</w:t>
      </w:r>
      <w:r w:rsidRPr="009448FC">
        <w:rPr>
          <w:rFonts w:eastAsia="MS Mincho"/>
        </w:rPr>
        <w:t xml:space="preserve"> PHYs</w:t>
      </w:r>
      <w:r w:rsidR="001622ED" w:rsidRPr="009448FC">
        <w:rPr>
          <w:rFonts w:eastAsia="MS Mincho"/>
        </w:rPr>
        <w:t>:</w:t>
      </w:r>
      <w:r w:rsidRPr="009448FC">
        <w:rPr>
          <w:rFonts w:eastAsia="MS Mincho"/>
        </w:rPr>
        <w:t xml:space="preserve"> CP, SC</w:t>
      </w:r>
      <w:r w:rsidR="00833311">
        <w:rPr>
          <w:rFonts w:eastAsia="MS Mincho"/>
        </w:rPr>
        <w:t>,</w:t>
      </w:r>
      <w:r w:rsidRPr="009448FC">
        <w:rPr>
          <w:rFonts w:eastAsia="MS Mincho"/>
        </w:rPr>
        <w:t xml:space="preserve"> OFDM</w:t>
      </w:r>
      <w:r w:rsidR="00833311">
        <w:rPr>
          <w:rFonts w:eastAsia="MS Mincho"/>
        </w:rPr>
        <w:t xml:space="preserve"> and Low Power SC</w:t>
      </w:r>
      <w:r w:rsidR="001622ED" w:rsidRPr="009448FC">
        <w:rPr>
          <w:rFonts w:eastAsia="MS Mincho"/>
        </w:rPr>
        <w:t>.</w:t>
      </w:r>
    </w:p>
    <w:p w:rsidR="00CC6AEA" w:rsidRPr="009448FC" w:rsidRDefault="00CC6AEA" w:rsidP="00CC6AEA"/>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30" w:name="_Toc201721894"/>
      <w:bookmarkStart w:id="3031" w:name="_Toc206227628"/>
      <w:bookmarkStart w:id="3032" w:name="_Toc206415575"/>
      <w:bookmarkStart w:id="3033" w:name="_Toc206418382"/>
      <w:bookmarkStart w:id="3034" w:name="_Toc207099137"/>
      <w:bookmarkStart w:id="3035" w:name="_Toc207099742"/>
      <w:bookmarkStart w:id="3036" w:name="_Toc207100661"/>
      <w:bookmarkStart w:id="3037" w:name="_Toc207348583"/>
      <w:bookmarkStart w:id="3038" w:name="_Toc215582939"/>
      <w:bookmarkStart w:id="3039" w:name="_Toc235400632"/>
      <w:bookmarkStart w:id="3040" w:name="_Toc259717315"/>
      <w:r w:rsidRPr="009448FC">
        <w:rPr>
          <w:rFonts w:ascii="Times New Roman" w:hAnsi="Times New Roman"/>
        </w:rPr>
        <w:t>Tx RF Delay</w:t>
      </w:r>
      <w:bookmarkEnd w:id="3030"/>
      <w:bookmarkEnd w:id="3031"/>
      <w:bookmarkEnd w:id="3032"/>
      <w:bookmarkEnd w:id="3033"/>
      <w:bookmarkEnd w:id="3034"/>
      <w:bookmarkEnd w:id="3035"/>
      <w:bookmarkEnd w:id="3036"/>
      <w:bookmarkEnd w:id="3037"/>
      <w:bookmarkEnd w:id="3038"/>
      <w:bookmarkEnd w:id="3039"/>
      <w:bookmarkEnd w:id="3040"/>
      <w:r w:rsidR="00CC6AEA"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As defined at 17.3.8.5 and its value is implementation dependent.</w:t>
      </w:r>
    </w:p>
    <w:p w:rsidR="00B243B6" w:rsidRPr="009448FC" w:rsidRDefault="00CC6AEA" w:rsidP="003701DB">
      <w:pPr>
        <w:pStyle w:val="Heading4"/>
        <w:numPr>
          <w:ilvl w:val="3"/>
          <w:numId w:val="39"/>
        </w:numPr>
        <w:tabs>
          <w:tab w:val="clear" w:pos="907"/>
        </w:tabs>
        <w:spacing w:after="60"/>
        <w:ind w:left="864" w:hanging="864"/>
        <w:rPr>
          <w:rFonts w:ascii="Times New Roman" w:hAnsi="Times New Roman"/>
        </w:rPr>
      </w:pPr>
      <w:bookmarkStart w:id="3041" w:name="_Toc201721895"/>
      <w:bookmarkStart w:id="3042" w:name="_Toc206227629"/>
      <w:bookmarkStart w:id="3043" w:name="_Toc206415576"/>
      <w:bookmarkStart w:id="3044" w:name="_Toc206418383"/>
      <w:bookmarkStart w:id="3045" w:name="_Toc207099138"/>
      <w:bookmarkStart w:id="3046" w:name="_Toc207099743"/>
      <w:bookmarkStart w:id="3047" w:name="_Toc207100662"/>
      <w:bookmarkStart w:id="3048" w:name="_Toc207348584"/>
      <w:bookmarkStart w:id="3049" w:name="_Toc215582940"/>
      <w:bookmarkStart w:id="3050" w:name="_Toc235400633"/>
      <w:bookmarkStart w:id="3051" w:name="_Toc259717316"/>
      <w:r w:rsidRPr="009448FC">
        <w:rPr>
          <w:rFonts w:ascii="Times New Roman" w:hAnsi="Times New Roman"/>
        </w:rPr>
        <w:t xml:space="preserve">Transmit and Receive </w:t>
      </w:r>
      <w:r w:rsidR="00B243B6" w:rsidRPr="009448FC">
        <w:rPr>
          <w:rFonts w:ascii="Times New Roman" w:hAnsi="Times New Roman"/>
        </w:rPr>
        <w:t>Operating Temperature Range</w:t>
      </w:r>
      <w:bookmarkEnd w:id="3041"/>
      <w:bookmarkEnd w:id="3042"/>
      <w:bookmarkEnd w:id="3043"/>
      <w:bookmarkEnd w:id="3044"/>
      <w:bookmarkEnd w:id="3045"/>
      <w:bookmarkEnd w:id="3046"/>
      <w:bookmarkEnd w:id="3047"/>
      <w:bookmarkEnd w:id="3048"/>
      <w:bookmarkEnd w:id="3049"/>
      <w:bookmarkEnd w:id="3050"/>
      <w:bookmarkEnd w:id="3051"/>
      <w:r w:rsidRPr="009448FC">
        <w:rPr>
          <w:rFonts w:ascii="Times New Roman" w:hAnsi="Times New Roman"/>
        </w:rPr>
        <w:t xml:space="preserve"> </w:t>
      </w:r>
    </w:p>
    <w:p w:rsidR="00CC6AEA" w:rsidRPr="009448FC" w:rsidRDefault="00CC6AEA" w:rsidP="00CC6AEA">
      <w:r w:rsidRPr="009448FC">
        <w:rPr>
          <w:rFonts w:eastAsia="MS Mincho"/>
        </w:rPr>
        <w:t>The transmit and receive temperature range shall follow 17.3.8.8.</w:t>
      </w:r>
    </w:p>
    <w:p w:rsidR="00B243B6" w:rsidRPr="009448FC" w:rsidRDefault="00CC6AEA" w:rsidP="003701DB">
      <w:pPr>
        <w:pStyle w:val="Heading4"/>
        <w:numPr>
          <w:ilvl w:val="3"/>
          <w:numId w:val="39"/>
        </w:numPr>
        <w:tabs>
          <w:tab w:val="clear" w:pos="907"/>
        </w:tabs>
        <w:spacing w:after="60"/>
        <w:ind w:left="864" w:hanging="864"/>
        <w:rPr>
          <w:rFonts w:ascii="Times New Roman" w:hAnsi="Times New Roman"/>
        </w:rPr>
      </w:pPr>
      <w:bookmarkStart w:id="3052" w:name="_Toc201721896"/>
      <w:bookmarkStart w:id="3053" w:name="_Toc206227630"/>
      <w:bookmarkStart w:id="3054" w:name="_Toc206415577"/>
      <w:bookmarkStart w:id="3055" w:name="_Toc206418384"/>
      <w:bookmarkStart w:id="3056" w:name="_Toc207099139"/>
      <w:bookmarkStart w:id="3057" w:name="_Toc207099744"/>
      <w:bookmarkStart w:id="3058" w:name="_Toc207100663"/>
      <w:bookmarkStart w:id="3059" w:name="_Toc207348585"/>
      <w:bookmarkStart w:id="3060" w:name="_Toc215582941"/>
      <w:bookmarkStart w:id="3061" w:name="_Toc235400634"/>
      <w:bookmarkStart w:id="3062" w:name="_Toc259717317"/>
      <w:r w:rsidRPr="009448FC">
        <w:rPr>
          <w:rFonts w:ascii="Times New Roman" w:hAnsi="Times New Roman"/>
        </w:rPr>
        <w:t xml:space="preserve">Center </w:t>
      </w:r>
      <w:r w:rsidR="00B243B6" w:rsidRPr="009448FC">
        <w:rPr>
          <w:rFonts w:ascii="Times New Roman" w:hAnsi="Times New Roman"/>
        </w:rPr>
        <w:t>Frequency Tolerance</w:t>
      </w:r>
      <w:bookmarkEnd w:id="3052"/>
      <w:bookmarkEnd w:id="3053"/>
      <w:bookmarkEnd w:id="3054"/>
      <w:bookmarkEnd w:id="3055"/>
      <w:bookmarkEnd w:id="3056"/>
      <w:bookmarkEnd w:id="3057"/>
      <w:bookmarkEnd w:id="3058"/>
      <w:bookmarkEnd w:id="3059"/>
      <w:bookmarkEnd w:id="3060"/>
      <w:bookmarkEnd w:id="3061"/>
      <w:bookmarkEnd w:id="3062"/>
      <w:r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The transmitter center frequency tolerance shall be ±20 ppm maximum for the 60 GHz band.</w:t>
      </w:r>
      <w:r w:rsidR="00281486" w:rsidRPr="009448FC">
        <w:rPr>
          <w:rFonts w:eastAsia="MS Mincho"/>
        </w:rPr>
        <w:t xml:space="preserve"> </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63" w:name="_Toc201721897"/>
      <w:bookmarkStart w:id="3064" w:name="_Toc206227631"/>
      <w:bookmarkStart w:id="3065" w:name="_Toc206415578"/>
      <w:bookmarkStart w:id="3066" w:name="_Toc206418385"/>
      <w:bookmarkStart w:id="3067" w:name="_Toc207099140"/>
      <w:bookmarkStart w:id="3068" w:name="_Toc207099745"/>
      <w:bookmarkStart w:id="3069" w:name="_Toc207100664"/>
      <w:bookmarkStart w:id="3070" w:name="_Toc207348586"/>
      <w:bookmarkStart w:id="3071" w:name="_Toc215582942"/>
      <w:bookmarkStart w:id="3072" w:name="_Toc235400635"/>
      <w:bookmarkStart w:id="3073" w:name="_Toc259717318"/>
      <w:r w:rsidRPr="009448FC">
        <w:rPr>
          <w:rFonts w:ascii="Times New Roman" w:hAnsi="Times New Roman"/>
        </w:rPr>
        <w:t>Symbol Clock Tolerance</w:t>
      </w:r>
      <w:bookmarkEnd w:id="3063"/>
      <w:bookmarkEnd w:id="3064"/>
      <w:bookmarkEnd w:id="3065"/>
      <w:bookmarkEnd w:id="3066"/>
      <w:bookmarkEnd w:id="3067"/>
      <w:bookmarkEnd w:id="3068"/>
      <w:bookmarkEnd w:id="3069"/>
      <w:bookmarkEnd w:id="3070"/>
      <w:bookmarkEnd w:id="3071"/>
      <w:bookmarkEnd w:id="3072"/>
      <w:bookmarkEnd w:id="3073"/>
      <w:r w:rsidR="00CC6AEA"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The symbol clock frequency tolerance shall be ±20 ppm maximum for the 60 GHz band.</w:t>
      </w:r>
    </w:p>
    <w:p w:rsidR="00032059" w:rsidRPr="009448FC" w:rsidRDefault="00032059" w:rsidP="00CC6AEA">
      <w:pPr>
        <w:rPr>
          <w:rFonts w:eastAsia="MS Mincho"/>
        </w:rPr>
      </w:pPr>
    </w:p>
    <w:p w:rsidR="00CC6AEA" w:rsidRPr="009448FC" w:rsidRDefault="00CC6AEA" w:rsidP="00CC6AEA">
      <w:pPr>
        <w:rPr>
          <w:rFonts w:eastAsia="MS Mincho"/>
        </w:rPr>
      </w:pPr>
      <w:r w:rsidRPr="009448FC">
        <w:rPr>
          <w:rFonts w:eastAsia="MS Mincho"/>
        </w:rPr>
        <w:t>The transmit center frequency and the symbol clock frequency shall be derived from the same reference oscillator.</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74" w:name="_Toc201721898"/>
      <w:bookmarkStart w:id="3075" w:name="_Toc206227632"/>
      <w:bookmarkStart w:id="3076" w:name="_Toc206415579"/>
      <w:bookmarkStart w:id="3077" w:name="_Toc206418386"/>
      <w:bookmarkStart w:id="3078" w:name="_Toc207099141"/>
      <w:bookmarkStart w:id="3079" w:name="_Toc207099746"/>
      <w:bookmarkStart w:id="3080" w:name="_Toc207100665"/>
      <w:bookmarkStart w:id="3081" w:name="_Toc207348587"/>
      <w:bookmarkStart w:id="3082" w:name="_Toc215582943"/>
      <w:bookmarkStart w:id="3083" w:name="_Toc235400636"/>
      <w:bookmarkStart w:id="3084" w:name="_Toc259717319"/>
      <w:r w:rsidRPr="009448FC">
        <w:rPr>
          <w:rFonts w:ascii="Times New Roman" w:hAnsi="Times New Roman"/>
        </w:rPr>
        <w:t>Tx Center Frequency Leakage</w:t>
      </w:r>
      <w:bookmarkEnd w:id="3074"/>
      <w:bookmarkEnd w:id="3075"/>
      <w:bookmarkEnd w:id="3076"/>
      <w:bookmarkEnd w:id="3077"/>
      <w:bookmarkEnd w:id="3078"/>
      <w:bookmarkEnd w:id="3079"/>
      <w:bookmarkEnd w:id="3080"/>
      <w:bookmarkEnd w:id="3081"/>
      <w:bookmarkEnd w:id="3082"/>
      <w:bookmarkEnd w:id="3083"/>
      <w:bookmarkEnd w:id="3084"/>
      <w:r w:rsidR="001E6075" w:rsidRPr="009448FC">
        <w:rPr>
          <w:rFonts w:ascii="Times New Roman" w:hAnsi="Times New Roman"/>
        </w:rPr>
        <w:t xml:space="preserve"> </w:t>
      </w:r>
    </w:p>
    <w:p w:rsidR="001E6075" w:rsidRPr="00083712" w:rsidRDefault="001E6075" w:rsidP="00083712">
      <w:pPr>
        <w:rPr>
          <w:rFonts w:eastAsia="MS Mincho"/>
        </w:rPr>
      </w:pPr>
      <w:r w:rsidRPr="009448FC">
        <w:rPr>
          <w:rFonts w:eastAsia="MS Mincho"/>
        </w:rPr>
        <w:t>The transmitter center frequency leakage shall not exceed –23 dB relative to the overall transmitted power, or, equivalently, 2</w:t>
      </w:r>
      <w:r w:rsidR="004C187D">
        <w:rPr>
          <w:rFonts w:eastAsia="MS Mincho"/>
        </w:rPr>
        <w:t xml:space="preserve">.5 </w:t>
      </w:r>
      <w:r w:rsidRPr="009448FC">
        <w:rPr>
          <w:rFonts w:eastAsia="MS Mincho"/>
        </w:rPr>
        <w:t>dB relative to the average energy of the rest of the</w:t>
      </w:r>
      <w:r w:rsidR="00032059" w:rsidRPr="009448FC">
        <w:rPr>
          <w:rFonts w:eastAsia="MS Mincho"/>
        </w:rPr>
        <w:t xml:space="preserve"> s</w:t>
      </w:r>
      <w:r w:rsidRPr="009448FC">
        <w:rPr>
          <w:rFonts w:eastAsia="MS Mincho"/>
        </w:rPr>
        <w:t>ubcarriers</w:t>
      </w:r>
      <w:r w:rsidR="00083712">
        <w:rPr>
          <w:rFonts w:eastAsia="MS Mincho"/>
        </w:rPr>
        <w:t xml:space="preserve"> (in OFDM).</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85" w:name="_Toc201721899"/>
      <w:bookmarkStart w:id="3086" w:name="_Toc206227633"/>
      <w:bookmarkStart w:id="3087" w:name="_Toc206415580"/>
      <w:bookmarkStart w:id="3088" w:name="_Toc206418387"/>
      <w:bookmarkStart w:id="3089" w:name="_Toc207099142"/>
      <w:bookmarkStart w:id="3090" w:name="_Toc207099747"/>
      <w:bookmarkStart w:id="3091" w:name="_Toc207100666"/>
      <w:bookmarkStart w:id="3092" w:name="_Toc207348588"/>
      <w:bookmarkStart w:id="3093" w:name="_Toc215582944"/>
      <w:bookmarkStart w:id="3094" w:name="_Toc235400637"/>
      <w:bookmarkStart w:id="3095" w:name="_Toc259717320"/>
      <w:r w:rsidRPr="009448FC">
        <w:rPr>
          <w:rFonts w:ascii="Times New Roman" w:hAnsi="Times New Roman"/>
        </w:rPr>
        <w:t>Transmit Ramp up</w:t>
      </w:r>
      <w:bookmarkEnd w:id="3085"/>
      <w:bookmarkEnd w:id="3086"/>
      <w:bookmarkEnd w:id="3087"/>
      <w:bookmarkEnd w:id="3088"/>
      <w:bookmarkEnd w:id="3089"/>
      <w:bookmarkEnd w:id="3090"/>
      <w:bookmarkEnd w:id="3091"/>
      <w:bookmarkEnd w:id="3092"/>
      <w:bookmarkEnd w:id="3093"/>
      <w:bookmarkEnd w:id="3094"/>
      <w:r w:rsidRPr="009448FC">
        <w:rPr>
          <w:rFonts w:ascii="Times New Roman" w:hAnsi="Times New Roman"/>
        </w:rPr>
        <w:t xml:space="preserve"> </w:t>
      </w:r>
      <w:r w:rsidR="001E6075" w:rsidRPr="009448FC">
        <w:rPr>
          <w:rFonts w:ascii="Times New Roman" w:hAnsi="Times New Roman"/>
        </w:rPr>
        <w:t>and Ramp Down</w:t>
      </w:r>
      <w:bookmarkEnd w:id="3095"/>
      <w:r w:rsidR="001E6075" w:rsidRPr="009448FC">
        <w:rPr>
          <w:rFonts w:ascii="Times New Roman" w:hAnsi="Times New Roman"/>
        </w:rPr>
        <w:t xml:space="preserve"> </w:t>
      </w:r>
    </w:p>
    <w:p w:rsidR="001E6075" w:rsidRPr="009448FC" w:rsidRDefault="001E6075" w:rsidP="001E6075">
      <w:pPr>
        <w:rPr>
          <w:rFonts w:eastAsia="MS Mincho"/>
        </w:rPr>
      </w:pPr>
      <w:r w:rsidRPr="009448FC">
        <w:rPr>
          <w:rFonts w:eastAsia="MS Mincho"/>
        </w:rPr>
        <w:t xml:space="preserve">The transmit power-on ramp is defined as the time it takes for a transmitter to rise from less than 10% to greater than 90% of the average power to be transmitted in the frame. </w:t>
      </w:r>
    </w:p>
    <w:p w:rsidR="00032059" w:rsidRPr="009448FC" w:rsidRDefault="00032059" w:rsidP="001E6075">
      <w:pPr>
        <w:rPr>
          <w:rFonts w:eastAsia="MS Mincho"/>
        </w:rPr>
      </w:pPr>
    </w:p>
    <w:p w:rsidR="001E6075" w:rsidRPr="009448FC" w:rsidRDefault="001E6075" w:rsidP="001E6075">
      <w:pPr>
        <w:rPr>
          <w:rFonts w:eastAsia="MS Mincho"/>
        </w:rPr>
      </w:pPr>
      <w:r w:rsidRPr="009448FC">
        <w:rPr>
          <w:rFonts w:eastAsia="MS Mincho"/>
        </w:rPr>
        <w:t xml:space="preserve">The transmit power-on ramp shall be less than 10 ns. </w:t>
      </w:r>
    </w:p>
    <w:p w:rsidR="00032059" w:rsidRPr="009448FC" w:rsidRDefault="00032059" w:rsidP="001E6075">
      <w:pPr>
        <w:rPr>
          <w:rFonts w:eastAsia="MS Mincho"/>
        </w:rPr>
      </w:pPr>
    </w:p>
    <w:p w:rsidR="001E6075" w:rsidRPr="009448FC" w:rsidRDefault="001E6075" w:rsidP="001E6075">
      <w:pPr>
        <w:rPr>
          <w:rFonts w:eastAsia="MS Mincho"/>
        </w:rPr>
      </w:pPr>
      <w:r w:rsidRPr="009448FC">
        <w:rPr>
          <w:rFonts w:eastAsia="MS Mincho"/>
        </w:rPr>
        <w:lastRenderedPageBreak/>
        <w:t xml:space="preserve">The transmit </w:t>
      </w:r>
      <w:r w:rsidR="00AE42BF" w:rsidRPr="009448FC">
        <w:rPr>
          <w:rFonts w:eastAsia="MS Mincho"/>
        </w:rPr>
        <w:t>power-down ramp</w:t>
      </w:r>
      <w:r w:rsidR="00281486" w:rsidRPr="009448FC">
        <w:rPr>
          <w:rFonts w:eastAsia="MS Mincho"/>
        </w:rPr>
        <w:t xml:space="preserve"> </w:t>
      </w:r>
      <w:r w:rsidR="00AE42BF" w:rsidRPr="009448FC">
        <w:rPr>
          <w:rFonts w:eastAsia="MS Mincho"/>
        </w:rPr>
        <w:t>is defined as the time it takes</w:t>
      </w:r>
      <w:r w:rsidRPr="009448FC">
        <w:rPr>
          <w:rFonts w:eastAsia="MS Mincho"/>
        </w:rPr>
        <w:t xml:space="preserve"> the transmitter to fall from greater than 90% to less than 10% of the maximum power to be transmitted in the frame.</w:t>
      </w:r>
    </w:p>
    <w:p w:rsidR="00032059" w:rsidRPr="009448FC" w:rsidRDefault="00032059" w:rsidP="001E6075">
      <w:pPr>
        <w:rPr>
          <w:rFonts w:eastAsia="MS Mincho"/>
        </w:rPr>
      </w:pPr>
    </w:p>
    <w:p w:rsidR="001E6075" w:rsidRPr="009448FC" w:rsidRDefault="001E6075" w:rsidP="001E6075">
      <w:pPr>
        <w:rPr>
          <w:rFonts w:eastAsia="MS Mincho"/>
        </w:rPr>
      </w:pPr>
      <w:r w:rsidRPr="009448FC">
        <w:rPr>
          <w:rFonts w:eastAsia="MS Mincho"/>
        </w:rPr>
        <w:t>The transmit power-down ramp shall be less than 10 ns.</w:t>
      </w:r>
    </w:p>
    <w:p w:rsidR="001E6075" w:rsidRPr="009448FC" w:rsidRDefault="001E6075" w:rsidP="001E6075">
      <w:pPr>
        <w:rPr>
          <w:rFonts w:eastAsia="MS Mincho"/>
        </w:rPr>
      </w:pPr>
    </w:p>
    <w:p w:rsidR="001E6075" w:rsidRPr="009448FC" w:rsidRDefault="001E6075" w:rsidP="003701DB">
      <w:pPr>
        <w:pStyle w:val="Heading4"/>
        <w:numPr>
          <w:ilvl w:val="3"/>
          <w:numId w:val="39"/>
        </w:numPr>
        <w:tabs>
          <w:tab w:val="clear" w:pos="907"/>
        </w:tabs>
        <w:spacing w:after="60"/>
        <w:ind w:left="864" w:hanging="864"/>
        <w:rPr>
          <w:rFonts w:ascii="Times New Roman" w:hAnsi="Times New Roman"/>
        </w:rPr>
      </w:pPr>
      <w:bookmarkStart w:id="3096" w:name="_Toc259717321"/>
      <w:r w:rsidRPr="009448FC">
        <w:rPr>
          <w:rFonts w:ascii="Times New Roman" w:hAnsi="Times New Roman"/>
        </w:rPr>
        <w:t>Maximum Input Requirement</w:t>
      </w:r>
      <w:bookmarkEnd w:id="3096"/>
    </w:p>
    <w:p w:rsidR="001E6075" w:rsidRPr="009448FC" w:rsidRDefault="001E6075" w:rsidP="004C187D">
      <w:pPr>
        <w:rPr>
          <w:rFonts w:eastAsia="MS Mincho"/>
        </w:rPr>
      </w:pPr>
      <w:r w:rsidRPr="009448FC">
        <w:rPr>
          <w:rFonts w:eastAsia="MS Mincho"/>
        </w:rPr>
        <w:t xml:space="preserve">The receiver maximum input level is the maximum power level </w:t>
      </w:r>
      <w:r w:rsidR="00F57C8A">
        <w:rPr>
          <w:rFonts w:eastAsia="MS Mincho"/>
        </w:rPr>
        <w:t>at</w:t>
      </w:r>
      <w:r w:rsidR="004C187D">
        <w:rPr>
          <w:rFonts w:eastAsia="MS Mincho"/>
        </w:rPr>
        <w:t xml:space="preserve"> the receive antenna(s) </w:t>
      </w:r>
      <w:r w:rsidRPr="009448FC">
        <w:rPr>
          <w:rFonts w:eastAsia="MS Mincho"/>
        </w:rPr>
        <w:t>of the incoming signal, in dBm, present at the input of the receiver for w</w:t>
      </w:r>
      <w:r w:rsidR="00B003D3">
        <w:rPr>
          <w:rFonts w:eastAsia="MS Mincho"/>
        </w:rPr>
        <w:t>hich the error rate criterion (d</w:t>
      </w:r>
      <w:r w:rsidRPr="009448FC">
        <w:rPr>
          <w:rFonts w:eastAsia="MS Mincho"/>
        </w:rPr>
        <w:t xml:space="preserve">efined at the RX Sensitivity </w:t>
      </w:r>
      <w:r w:rsidR="00B003D3">
        <w:rPr>
          <w:rFonts w:eastAsia="MS Mincho"/>
        </w:rPr>
        <w:t>subclause</w:t>
      </w:r>
      <w:r w:rsidRPr="009448FC">
        <w:rPr>
          <w:rFonts w:eastAsia="MS Mincho"/>
        </w:rPr>
        <w:t xml:space="preserve">) is met. A compliant receiver shall have a receiver maximum input level </w:t>
      </w:r>
      <w:r w:rsidR="00F57C8A">
        <w:rPr>
          <w:rFonts w:eastAsia="MS Mincho"/>
        </w:rPr>
        <w:t>a</w:t>
      </w:r>
      <w:r w:rsidR="004C187D">
        <w:rPr>
          <w:rFonts w:eastAsia="MS Mincho"/>
        </w:rPr>
        <w:t xml:space="preserve">t the receive antenna(s) </w:t>
      </w:r>
      <w:r w:rsidRPr="009448FC">
        <w:rPr>
          <w:rFonts w:eastAsia="MS Mincho"/>
        </w:rPr>
        <w:t xml:space="preserve">of at least -33 dBm for each of the modulation formats that the receiver supports. </w:t>
      </w:r>
    </w:p>
    <w:p w:rsidR="00F57C8A" w:rsidRDefault="00F57C8A" w:rsidP="003701DB">
      <w:pPr>
        <w:pStyle w:val="Heading4"/>
        <w:numPr>
          <w:ilvl w:val="3"/>
          <w:numId w:val="39"/>
        </w:numPr>
        <w:tabs>
          <w:tab w:val="clear" w:pos="907"/>
        </w:tabs>
        <w:spacing w:after="60"/>
        <w:ind w:left="864" w:hanging="864"/>
        <w:rPr>
          <w:rFonts w:ascii="Times New Roman" w:hAnsi="Times New Roman"/>
        </w:rPr>
      </w:pPr>
      <w:bookmarkStart w:id="3097" w:name="_Toc259717322"/>
      <w:r>
        <w:rPr>
          <w:rFonts w:ascii="Times New Roman" w:hAnsi="Times New Roman"/>
        </w:rPr>
        <w:t>Receive Sensitivity</w:t>
      </w:r>
      <w:bookmarkEnd w:id="3097"/>
      <w:r w:rsidR="00BE1F31">
        <w:rPr>
          <w:rFonts w:ascii="Times New Roman" w:hAnsi="Times New Roman"/>
        </w:rPr>
        <w:t xml:space="preserve"> </w:t>
      </w:r>
    </w:p>
    <w:p w:rsidR="00000C5F" w:rsidRDefault="00000C5F"/>
    <w:p w:rsidR="006B4B96" w:rsidRPr="009448FC" w:rsidRDefault="006B4B96" w:rsidP="006B4B96">
      <w:pPr>
        <w:rPr>
          <w:rFonts w:eastAsia="MS Mincho"/>
        </w:rPr>
      </w:pPr>
      <w:r w:rsidRPr="009448FC">
        <w:rPr>
          <w:rFonts w:eastAsia="MS Mincho"/>
        </w:rPr>
        <w:t xml:space="preserve">The PER shall be less than 1% </w:t>
      </w:r>
      <w:r>
        <w:rPr>
          <w:rFonts w:eastAsia="MS Mincho"/>
        </w:rPr>
        <w:t xml:space="preserve">(5% for MCS 0) </w:t>
      </w:r>
      <w:r w:rsidRPr="009448FC">
        <w:rPr>
          <w:rFonts w:eastAsia="MS Mincho"/>
        </w:rPr>
        <w:t xml:space="preserve">for a PSDU length of 4096 octets </w:t>
      </w:r>
      <w:r>
        <w:rPr>
          <w:rFonts w:eastAsia="MS Mincho"/>
        </w:rPr>
        <w:t xml:space="preserve">(256 for MCS 0) </w:t>
      </w:r>
      <w:r w:rsidRPr="009448FC">
        <w:rPr>
          <w:rFonts w:eastAsia="MS Mincho"/>
        </w:rPr>
        <w:t xml:space="preserve">with the </w:t>
      </w:r>
      <w:r>
        <w:rPr>
          <w:rFonts w:eastAsia="MS Mincho"/>
        </w:rPr>
        <w:t xml:space="preserve">MCS </w:t>
      </w:r>
      <w:r w:rsidRPr="009448FC">
        <w:rPr>
          <w:rFonts w:eastAsia="MS Mincho"/>
        </w:rPr>
        <w:t xml:space="preserve">dependent input levels listed in the </w:t>
      </w:r>
      <w:r w:rsidR="00BD151C">
        <w:rPr>
          <w:rFonts w:eastAsia="MS Mincho"/>
        </w:rPr>
        <w:fldChar w:fldCharType="begin"/>
      </w:r>
      <w:r>
        <w:rPr>
          <w:rFonts w:eastAsia="MS Mincho"/>
        </w:rPr>
        <w:instrText xml:space="preserve"> REF _Ref255910529 \h </w:instrText>
      </w:r>
      <w:r w:rsidR="00BD151C">
        <w:rPr>
          <w:rFonts w:eastAsia="MS Mincho"/>
        </w:rPr>
      </w:r>
      <w:r w:rsidR="00BD151C">
        <w:rPr>
          <w:rFonts w:eastAsia="MS Mincho"/>
        </w:rPr>
        <w:fldChar w:fldCharType="separate"/>
      </w:r>
      <w:r w:rsidR="003E4210">
        <w:t xml:space="preserve">Table </w:t>
      </w:r>
      <w:r w:rsidR="003E4210">
        <w:rPr>
          <w:noProof/>
        </w:rPr>
        <w:t>66</w:t>
      </w:r>
      <w:r w:rsidR="00BD151C">
        <w:rPr>
          <w:rFonts w:eastAsia="MS Mincho"/>
        </w:rPr>
        <w:fldChar w:fldCharType="end"/>
      </w:r>
      <w:r>
        <w:rPr>
          <w:rFonts w:eastAsia="MS Mincho"/>
        </w:rPr>
        <w:t xml:space="preserve"> defined at the antenna port(s).</w:t>
      </w:r>
      <w:r w:rsidR="005515A4">
        <w:rPr>
          <w:rFonts w:eastAsia="MS Mincho"/>
        </w:rPr>
        <w:t xml:space="preserve"> </w:t>
      </w:r>
    </w:p>
    <w:p w:rsidR="006B4B96" w:rsidRDefault="006B4B96" w:rsidP="006B4B96">
      <w:pPr>
        <w:rPr>
          <w:rFonts w:eastAsia="MS Mincho"/>
        </w:rPr>
      </w:pPr>
    </w:p>
    <w:p w:rsidR="006B4B96" w:rsidRDefault="00D2174B" w:rsidP="006B4B96">
      <w:pPr>
        <w:rPr>
          <w:rFonts w:eastAsia="MS Mincho"/>
        </w:rPr>
      </w:pPr>
      <w:r>
        <w:rPr>
          <w:rFonts w:eastAsia="MS Mincho"/>
          <w:sz w:val="20"/>
          <w:szCs w:val="20"/>
        </w:rPr>
        <w:t xml:space="preserve">NOTE – </w:t>
      </w:r>
      <w:r w:rsidR="009D537D" w:rsidRPr="009D537D">
        <w:rPr>
          <w:rFonts w:eastAsia="MS Mincho"/>
          <w:sz w:val="20"/>
          <w:szCs w:val="20"/>
        </w:rPr>
        <w:t>For RF power measurements based on received power density and the input level shall be corrected to compensate for the antenna gain in the implementation. The gain of the antenna is the maximum estimated gain by the manufacturer. In the case of the phased-array antenna, the gain of the phased-array antenna is the maximum sum of estimated element gain minus 3 dB implementation loss.</w:t>
      </w:r>
    </w:p>
    <w:p w:rsidR="006B4B96" w:rsidRDefault="006B4B96" w:rsidP="006B4B96">
      <w:pPr>
        <w:rPr>
          <w:rFonts w:eastAsia="MS Mincho"/>
        </w:rPr>
      </w:pPr>
    </w:p>
    <w:p w:rsidR="006B4B96" w:rsidRPr="009448FC" w:rsidRDefault="006B4B96" w:rsidP="006B4B96">
      <w:pPr>
        <w:rPr>
          <w:rFonts w:eastAsia="MS Mincho"/>
        </w:rPr>
      </w:pPr>
    </w:p>
    <w:p w:rsidR="006B4B96" w:rsidRPr="009448FC" w:rsidRDefault="006B4B96" w:rsidP="006B4B96">
      <w:pPr>
        <w:rPr>
          <w:rFonts w:eastAsia="MS Mincho"/>
        </w:rPr>
      </w:pPr>
      <w:r w:rsidRPr="009448FC">
        <w:rPr>
          <w:rFonts w:eastAsia="MS Mincho"/>
        </w:rPr>
        <w:t>The table below assumes 5 dB implementation loss and 10 dB noise factor (Noise Figure).</w:t>
      </w:r>
    </w:p>
    <w:p w:rsidR="006B4B96" w:rsidRPr="009448FC" w:rsidRDefault="006B4B96" w:rsidP="006B4B96">
      <w:pPr>
        <w:rPr>
          <w:rFonts w:eastAsia="MS Mincho"/>
        </w:rPr>
      </w:pPr>
      <w:r>
        <w:rPr>
          <w:rFonts w:ascii="Calibri" w:hAnsi="Calibri"/>
          <w:color w:val="000000"/>
          <w:sz w:val="22"/>
        </w:rPr>
        <w:t xml:space="preserve"> </w:t>
      </w:r>
    </w:p>
    <w:p w:rsidR="006B4B96" w:rsidRDefault="006B4B96" w:rsidP="006B4B96">
      <w:pPr>
        <w:pStyle w:val="Caption"/>
        <w:keepNext/>
      </w:pPr>
      <w:bookmarkStart w:id="3098" w:name="_Ref255910529"/>
      <w:bookmarkStart w:id="3099" w:name="_Toc259717644"/>
      <w:r>
        <w:t xml:space="preserve">Table </w:t>
      </w:r>
      <w:r w:rsidR="00BD151C">
        <w:fldChar w:fldCharType="begin"/>
      </w:r>
      <w:r>
        <w:instrText xml:space="preserve"> SEQ Table \* ARABIC </w:instrText>
      </w:r>
      <w:r w:rsidR="00BD151C">
        <w:fldChar w:fldCharType="separate"/>
      </w:r>
      <w:r w:rsidR="003E4210">
        <w:rPr>
          <w:noProof/>
        </w:rPr>
        <w:t>66</w:t>
      </w:r>
      <w:r w:rsidR="00BD151C">
        <w:fldChar w:fldCharType="end"/>
      </w:r>
      <w:bookmarkEnd w:id="3098"/>
      <w:r>
        <w:t xml:space="preserve"> </w:t>
      </w:r>
      <w:r w:rsidR="00D2174B">
        <w:t xml:space="preserve">– </w:t>
      </w:r>
      <w:r>
        <w:t>Receiver Sensitiviy</w:t>
      </w:r>
      <w:bookmarkEnd w:id="3099"/>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7"/>
        <w:gridCol w:w="2843"/>
      </w:tblGrid>
      <w:tr w:rsidR="006B4B96" w:rsidRPr="00066F65" w:rsidTr="000A4EA9">
        <w:tc>
          <w:tcPr>
            <w:tcW w:w="0" w:type="auto"/>
          </w:tcPr>
          <w:p w:rsidR="006B4B96" w:rsidRPr="009448FC" w:rsidRDefault="006B4B96" w:rsidP="001B4CE2">
            <w:pPr>
              <w:jc w:val="center"/>
              <w:rPr>
                <w:rFonts w:eastAsia="MS Mincho"/>
                <w:b/>
              </w:rPr>
            </w:pPr>
            <w:r w:rsidRPr="009448FC">
              <w:rPr>
                <w:rFonts w:eastAsia="MS Mincho"/>
                <w:b/>
              </w:rPr>
              <w:t>MCS Index</w:t>
            </w:r>
          </w:p>
        </w:tc>
        <w:tc>
          <w:tcPr>
            <w:tcW w:w="0" w:type="auto"/>
          </w:tcPr>
          <w:p w:rsidR="006B4B96" w:rsidRPr="009448FC" w:rsidRDefault="006B4B96" w:rsidP="001B4CE2">
            <w:pPr>
              <w:jc w:val="center"/>
              <w:rPr>
                <w:rFonts w:eastAsia="MS Mincho"/>
                <w:b/>
              </w:rPr>
            </w:pPr>
            <w:r w:rsidRPr="009448FC">
              <w:rPr>
                <w:rFonts w:eastAsia="MS Mincho"/>
                <w:b/>
              </w:rPr>
              <w:t>Receive Sensitivity (dBm)</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0</w:t>
            </w:r>
          </w:p>
        </w:tc>
        <w:tc>
          <w:tcPr>
            <w:tcW w:w="0" w:type="auto"/>
            <w:vAlign w:val="bottom"/>
          </w:tcPr>
          <w:p w:rsidR="006B4B96" w:rsidRPr="000A4EA9" w:rsidRDefault="006B4B96" w:rsidP="001B4CE2">
            <w:pPr>
              <w:jc w:val="center"/>
              <w:rPr>
                <w:color w:val="000000"/>
              </w:rPr>
            </w:pPr>
            <w:r w:rsidRPr="000A4EA9">
              <w:rPr>
                <w:color w:val="000000"/>
              </w:rPr>
              <w:t>-78</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1</w:t>
            </w:r>
          </w:p>
        </w:tc>
        <w:tc>
          <w:tcPr>
            <w:tcW w:w="0" w:type="auto"/>
            <w:vAlign w:val="bottom"/>
          </w:tcPr>
          <w:p w:rsidR="006B4B96" w:rsidRPr="000A4EA9" w:rsidRDefault="006B4B96" w:rsidP="001B4CE2">
            <w:pPr>
              <w:jc w:val="center"/>
              <w:rPr>
                <w:rFonts w:eastAsia="MS Mincho"/>
                <w:b/>
              </w:rPr>
            </w:pPr>
            <w:r w:rsidRPr="000A4EA9">
              <w:rPr>
                <w:color w:val="000000"/>
              </w:rPr>
              <w:t>-68</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2</w:t>
            </w:r>
          </w:p>
        </w:tc>
        <w:tc>
          <w:tcPr>
            <w:tcW w:w="0" w:type="auto"/>
            <w:vAlign w:val="bottom"/>
          </w:tcPr>
          <w:p w:rsidR="006B4B96" w:rsidRPr="000A4EA9" w:rsidRDefault="006B4B96" w:rsidP="001B4CE2">
            <w:pPr>
              <w:jc w:val="center"/>
              <w:rPr>
                <w:rFonts w:eastAsia="MS Mincho"/>
                <w:b/>
              </w:rPr>
            </w:pPr>
            <w:r w:rsidRPr="000A4EA9">
              <w:rPr>
                <w:color w:val="000000"/>
              </w:rPr>
              <w:t>-67</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3</w:t>
            </w:r>
          </w:p>
        </w:tc>
        <w:tc>
          <w:tcPr>
            <w:tcW w:w="0" w:type="auto"/>
            <w:vAlign w:val="bottom"/>
          </w:tcPr>
          <w:p w:rsidR="006B4B96" w:rsidRPr="000A4EA9" w:rsidRDefault="006B4B96" w:rsidP="001B4CE2">
            <w:pPr>
              <w:jc w:val="center"/>
              <w:rPr>
                <w:rFonts w:eastAsia="MS Mincho"/>
                <w:b/>
              </w:rPr>
            </w:pPr>
            <w:r w:rsidRPr="000A4EA9">
              <w:rPr>
                <w:color w:val="000000"/>
              </w:rPr>
              <w:t>-65</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4</w:t>
            </w:r>
          </w:p>
        </w:tc>
        <w:tc>
          <w:tcPr>
            <w:tcW w:w="0" w:type="auto"/>
            <w:vAlign w:val="bottom"/>
          </w:tcPr>
          <w:p w:rsidR="006B4B96" w:rsidRPr="000A4EA9" w:rsidRDefault="006B4B96" w:rsidP="001B4CE2">
            <w:pPr>
              <w:jc w:val="center"/>
              <w:rPr>
                <w:rFonts w:eastAsia="MS Mincho"/>
                <w:b/>
              </w:rPr>
            </w:pPr>
            <w:r w:rsidRPr="000A4EA9">
              <w:rPr>
                <w:color w:val="000000"/>
              </w:rPr>
              <w:t>-64</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5</w:t>
            </w:r>
          </w:p>
        </w:tc>
        <w:tc>
          <w:tcPr>
            <w:tcW w:w="0" w:type="auto"/>
            <w:vAlign w:val="bottom"/>
          </w:tcPr>
          <w:p w:rsidR="006B4B96" w:rsidRPr="000A4EA9" w:rsidRDefault="006B4B96" w:rsidP="001B4CE2">
            <w:pPr>
              <w:jc w:val="center"/>
              <w:rPr>
                <w:rFonts w:eastAsia="MS Mincho"/>
                <w:b/>
              </w:rPr>
            </w:pPr>
            <w:r w:rsidRPr="000A4EA9">
              <w:rPr>
                <w:color w:val="000000"/>
              </w:rPr>
              <w:t>-62</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6</w:t>
            </w:r>
          </w:p>
        </w:tc>
        <w:tc>
          <w:tcPr>
            <w:tcW w:w="0" w:type="auto"/>
            <w:vAlign w:val="bottom"/>
          </w:tcPr>
          <w:p w:rsidR="006B4B96" w:rsidRPr="000A4EA9" w:rsidRDefault="006B4B96" w:rsidP="001B4CE2">
            <w:pPr>
              <w:jc w:val="center"/>
              <w:rPr>
                <w:rFonts w:eastAsia="MS Mincho"/>
                <w:b/>
              </w:rPr>
            </w:pPr>
            <w:r w:rsidRPr="000A4EA9">
              <w:rPr>
                <w:color w:val="000000"/>
              </w:rPr>
              <w:t>-63</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7</w:t>
            </w:r>
          </w:p>
        </w:tc>
        <w:tc>
          <w:tcPr>
            <w:tcW w:w="0" w:type="auto"/>
            <w:vAlign w:val="bottom"/>
          </w:tcPr>
          <w:p w:rsidR="006B4B96" w:rsidRPr="000A4EA9" w:rsidRDefault="006B4B96" w:rsidP="001B4CE2">
            <w:pPr>
              <w:jc w:val="center"/>
              <w:rPr>
                <w:rFonts w:eastAsia="MS Mincho"/>
                <w:b/>
              </w:rPr>
            </w:pPr>
            <w:r w:rsidRPr="000A4EA9">
              <w:rPr>
                <w:color w:val="000000"/>
              </w:rPr>
              <w:t>-62</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8</w:t>
            </w:r>
          </w:p>
        </w:tc>
        <w:tc>
          <w:tcPr>
            <w:tcW w:w="0" w:type="auto"/>
            <w:vAlign w:val="bottom"/>
          </w:tcPr>
          <w:p w:rsidR="006B4B96" w:rsidRPr="000A4EA9" w:rsidRDefault="006B4B96" w:rsidP="001B4CE2">
            <w:pPr>
              <w:jc w:val="center"/>
              <w:rPr>
                <w:rFonts w:eastAsia="MS Mincho"/>
                <w:b/>
              </w:rPr>
            </w:pPr>
            <w:r w:rsidRPr="000A4EA9">
              <w:rPr>
                <w:color w:val="000000"/>
              </w:rPr>
              <w:t>-61</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9</w:t>
            </w:r>
          </w:p>
        </w:tc>
        <w:tc>
          <w:tcPr>
            <w:tcW w:w="0" w:type="auto"/>
            <w:vAlign w:val="bottom"/>
          </w:tcPr>
          <w:p w:rsidR="006B4B96" w:rsidRPr="000A4EA9" w:rsidRDefault="006B4B96" w:rsidP="001B4CE2">
            <w:pPr>
              <w:jc w:val="center"/>
              <w:rPr>
                <w:rFonts w:eastAsia="MS Mincho"/>
                <w:b/>
              </w:rPr>
            </w:pPr>
            <w:r w:rsidRPr="000A4EA9">
              <w:rPr>
                <w:color w:val="000000"/>
              </w:rPr>
              <w:t xml:space="preserve">-59 </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10</w:t>
            </w:r>
          </w:p>
        </w:tc>
        <w:tc>
          <w:tcPr>
            <w:tcW w:w="0" w:type="auto"/>
          </w:tcPr>
          <w:p w:rsidR="001B2671" w:rsidRDefault="009E3455">
            <w:pPr>
              <w:jc w:val="center"/>
              <w:rPr>
                <w:rFonts w:eastAsia="MS Mincho"/>
              </w:rPr>
            </w:pPr>
            <w:r w:rsidRPr="000A4EA9">
              <w:rPr>
                <w:color w:val="000000"/>
              </w:rPr>
              <w:t>-55</w:t>
            </w:r>
          </w:p>
        </w:tc>
      </w:tr>
      <w:tr w:rsidR="009E3455" w:rsidRPr="009448FC" w:rsidTr="000A4EA9">
        <w:tc>
          <w:tcPr>
            <w:tcW w:w="0" w:type="auto"/>
          </w:tcPr>
          <w:p w:rsidR="009E3455" w:rsidRPr="000A4EA9" w:rsidRDefault="009E3455" w:rsidP="001B4CE2">
            <w:pPr>
              <w:jc w:val="center"/>
              <w:rPr>
                <w:rFonts w:eastAsia="MS Mincho"/>
              </w:rPr>
            </w:pPr>
            <w:r w:rsidRPr="000A4EA9">
              <w:rPr>
                <w:rFonts w:eastAsia="MS Mincho"/>
              </w:rPr>
              <w:t>11</w:t>
            </w:r>
          </w:p>
        </w:tc>
        <w:tc>
          <w:tcPr>
            <w:tcW w:w="0" w:type="auto"/>
          </w:tcPr>
          <w:p w:rsidR="001B2671" w:rsidRDefault="009E3455">
            <w:pPr>
              <w:jc w:val="center"/>
              <w:rPr>
                <w:rFonts w:eastAsia="MS Mincho"/>
              </w:rPr>
            </w:pPr>
            <w:r w:rsidRPr="000A4EA9">
              <w:rPr>
                <w:color w:val="000000"/>
              </w:rPr>
              <w:t>-54</w:t>
            </w:r>
          </w:p>
        </w:tc>
      </w:tr>
      <w:tr w:rsidR="009E3455" w:rsidRPr="009448FC" w:rsidTr="000A4EA9">
        <w:tc>
          <w:tcPr>
            <w:tcW w:w="0" w:type="auto"/>
          </w:tcPr>
          <w:p w:rsidR="009E3455" w:rsidRPr="000A4EA9" w:rsidRDefault="009E3455" w:rsidP="001B4CE2">
            <w:pPr>
              <w:jc w:val="center"/>
              <w:rPr>
                <w:rFonts w:eastAsia="MS Mincho"/>
              </w:rPr>
            </w:pPr>
            <w:r w:rsidRPr="000A4EA9">
              <w:rPr>
                <w:rFonts w:eastAsia="MS Mincho"/>
              </w:rPr>
              <w:t>12</w:t>
            </w:r>
          </w:p>
        </w:tc>
        <w:tc>
          <w:tcPr>
            <w:tcW w:w="0" w:type="auto"/>
          </w:tcPr>
          <w:p w:rsidR="001B2671" w:rsidRDefault="009E3455">
            <w:pPr>
              <w:jc w:val="center"/>
              <w:rPr>
                <w:rFonts w:eastAsia="MS Mincho"/>
              </w:rPr>
            </w:pPr>
            <w:r w:rsidRPr="000A4EA9">
              <w:rPr>
                <w:color w:val="000000"/>
              </w:rPr>
              <w:t>-53</w:t>
            </w:r>
          </w:p>
        </w:tc>
      </w:tr>
      <w:tr w:rsidR="009E3455" w:rsidRPr="009448FC" w:rsidTr="000A4EA9">
        <w:tc>
          <w:tcPr>
            <w:tcW w:w="0" w:type="auto"/>
          </w:tcPr>
          <w:p w:rsidR="001B2671" w:rsidRDefault="009E3455">
            <w:pPr>
              <w:jc w:val="center"/>
              <w:rPr>
                <w:rFonts w:eastAsia="MS Mincho"/>
              </w:rPr>
            </w:pPr>
            <w:r w:rsidRPr="000A4EA9">
              <w:rPr>
                <w:rFonts w:eastAsia="MS Mincho"/>
              </w:rPr>
              <w:t>13</w:t>
            </w:r>
          </w:p>
        </w:tc>
        <w:tc>
          <w:tcPr>
            <w:tcW w:w="0" w:type="auto"/>
          </w:tcPr>
          <w:p w:rsidR="009E3455" w:rsidRPr="000A4EA9" w:rsidRDefault="009E3455" w:rsidP="009E3455">
            <w:pPr>
              <w:jc w:val="center"/>
              <w:rPr>
                <w:rFonts w:eastAsia="MS Mincho"/>
              </w:rPr>
            </w:pPr>
            <w:r w:rsidRPr="000A4EA9">
              <w:rPr>
                <w:rFonts w:eastAsia="MS Mincho"/>
              </w:rPr>
              <w:t>-66</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4</w:t>
            </w:r>
          </w:p>
        </w:tc>
        <w:tc>
          <w:tcPr>
            <w:tcW w:w="0" w:type="auto"/>
          </w:tcPr>
          <w:p w:rsidR="006B4B96" w:rsidRPr="000A4EA9" w:rsidRDefault="006B4B96" w:rsidP="001B4CE2">
            <w:pPr>
              <w:jc w:val="center"/>
              <w:rPr>
                <w:rFonts w:eastAsia="MS Mincho"/>
              </w:rPr>
            </w:pPr>
            <w:r w:rsidRPr="000A4EA9">
              <w:rPr>
                <w:rFonts w:eastAsia="MS Mincho"/>
              </w:rPr>
              <w:t>-64</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5</w:t>
            </w:r>
          </w:p>
        </w:tc>
        <w:tc>
          <w:tcPr>
            <w:tcW w:w="0" w:type="auto"/>
          </w:tcPr>
          <w:p w:rsidR="006B4B96" w:rsidRPr="000A4EA9" w:rsidRDefault="006B4B96" w:rsidP="001B4CE2">
            <w:pPr>
              <w:jc w:val="center"/>
              <w:rPr>
                <w:rFonts w:eastAsia="MS Mincho"/>
              </w:rPr>
            </w:pPr>
            <w:r w:rsidRPr="000A4EA9">
              <w:rPr>
                <w:rFonts w:eastAsia="MS Mincho"/>
              </w:rPr>
              <w:t>-63</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6</w:t>
            </w:r>
          </w:p>
        </w:tc>
        <w:tc>
          <w:tcPr>
            <w:tcW w:w="0" w:type="auto"/>
          </w:tcPr>
          <w:p w:rsidR="006B4B96" w:rsidRPr="000A4EA9" w:rsidRDefault="006B4B96" w:rsidP="001B4CE2">
            <w:pPr>
              <w:jc w:val="center"/>
              <w:rPr>
                <w:rFonts w:eastAsia="MS Mincho"/>
              </w:rPr>
            </w:pPr>
            <w:r w:rsidRPr="000A4EA9">
              <w:rPr>
                <w:rFonts w:eastAsia="MS Mincho"/>
              </w:rPr>
              <w:t>-62</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7</w:t>
            </w:r>
          </w:p>
        </w:tc>
        <w:tc>
          <w:tcPr>
            <w:tcW w:w="0" w:type="auto"/>
          </w:tcPr>
          <w:p w:rsidR="006B4B96" w:rsidRPr="000A4EA9" w:rsidRDefault="006B4B96" w:rsidP="001B4CE2">
            <w:pPr>
              <w:jc w:val="center"/>
              <w:rPr>
                <w:rFonts w:eastAsia="MS Mincho"/>
              </w:rPr>
            </w:pPr>
            <w:r w:rsidRPr="000A4EA9">
              <w:rPr>
                <w:rFonts w:eastAsia="MS Mincho"/>
              </w:rPr>
              <w:t>-60</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lastRenderedPageBreak/>
              <w:t>1</w:t>
            </w:r>
            <w:r w:rsidR="009E3455" w:rsidRPr="000A4EA9">
              <w:rPr>
                <w:rFonts w:eastAsia="MS Mincho"/>
              </w:rPr>
              <w:t>8</w:t>
            </w:r>
          </w:p>
        </w:tc>
        <w:tc>
          <w:tcPr>
            <w:tcW w:w="0" w:type="auto"/>
          </w:tcPr>
          <w:p w:rsidR="006B4B96" w:rsidRPr="000A4EA9" w:rsidRDefault="006B4B96" w:rsidP="001B4CE2">
            <w:pPr>
              <w:jc w:val="center"/>
              <w:rPr>
                <w:rFonts w:eastAsia="MS Mincho"/>
              </w:rPr>
            </w:pPr>
            <w:r w:rsidRPr="000A4EA9">
              <w:rPr>
                <w:rFonts w:eastAsia="MS Mincho"/>
              </w:rPr>
              <w:t>-58</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9</w:t>
            </w:r>
          </w:p>
        </w:tc>
        <w:tc>
          <w:tcPr>
            <w:tcW w:w="0" w:type="auto"/>
          </w:tcPr>
          <w:p w:rsidR="006B4B96" w:rsidRPr="000A4EA9" w:rsidRDefault="006B4B96" w:rsidP="001B4CE2">
            <w:pPr>
              <w:jc w:val="center"/>
              <w:rPr>
                <w:rFonts w:eastAsia="MS Mincho"/>
              </w:rPr>
            </w:pPr>
            <w:r w:rsidRPr="000A4EA9">
              <w:rPr>
                <w:rFonts w:eastAsia="MS Mincho"/>
              </w:rPr>
              <w:t>-56</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20</w:t>
            </w:r>
          </w:p>
        </w:tc>
        <w:tc>
          <w:tcPr>
            <w:tcW w:w="0" w:type="auto"/>
          </w:tcPr>
          <w:p w:rsidR="006B4B96" w:rsidRPr="000A4EA9" w:rsidRDefault="006B4B96" w:rsidP="001B4CE2">
            <w:pPr>
              <w:jc w:val="center"/>
              <w:rPr>
                <w:rFonts w:eastAsia="MS Mincho"/>
              </w:rPr>
            </w:pPr>
            <w:r w:rsidRPr="000A4EA9">
              <w:rPr>
                <w:rFonts w:eastAsia="MS Mincho"/>
              </w:rPr>
              <w:t>-54</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21</w:t>
            </w:r>
          </w:p>
        </w:tc>
        <w:tc>
          <w:tcPr>
            <w:tcW w:w="0" w:type="auto"/>
          </w:tcPr>
          <w:p w:rsidR="006B4B96" w:rsidRPr="000A4EA9" w:rsidRDefault="006B4B96" w:rsidP="001B4CE2">
            <w:pPr>
              <w:jc w:val="center"/>
              <w:rPr>
                <w:rFonts w:eastAsia="MS Mincho"/>
              </w:rPr>
            </w:pPr>
            <w:r w:rsidRPr="000A4EA9">
              <w:rPr>
                <w:rFonts w:eastAsia="MS Mincho"/>
              </w:rPr>
              <w:t>-53</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22</w:t>
            </w:r>
          </w:p>
        </w:tc>
        <w:tc>
          <w:tcPr>
            <w:tcW w:w="0" w:type="auto"/>
          </w:tcPr>
          <w:p w:rsidR="006B4B96" w:rsidRPr="000A4EA9" w:rsidRDefault="006B4B96" w:rsidP="001B4CE2">
            <w:pPr>
              <w:jc w:val="center"/>
              <w:rPr>
                <w:rFonts w:eastAsia="MS Mincho"/>
              </w:rPr>
            </w:pPr>
            <w:r w:rsidRPr="000A4EA9">
              <w:rPr>
                <w:rFonts w:eastAsia="MS Mincho"/>
              </w:rPr>
              <w:t>-51</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23</w:t>
            </w:r>
          </w:p>
        </w:tc>
        <w:tc>
          <w:tcPr>
            <w:tcW w:w="0" w:type="auto"/>
          </w:tcPr>
          <w:p w:rsidR="006B4B96" w:rsidRPr="000A4EA9" w:rsidRDefault="006B4B96" w:rsidP="001B4CE2">
            <w:pPr>
              <w:jc w:val="center"/>
              <w:rPr>
                <w:rFonts w:eastAsia="MS Mincho"/>
              </w:rPr>
            </w:pPr>
            <w:r w:rsidRPr="000A4EA9">
              <w:rPr>
                <w:rFonts w:eastAsia="MS Mincho"/>
              </w:rPr>
              <w:t>-49</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4</w:t>
            </w:r>
          </w:p>
        </w:tc>
        <w:tc>
          <w:tcPr>
            <w:tcW w:w="0" w:type="auto"/>
          </w:tcPr>
          <w:p w:rsidR="006B4B96" w:rsidRPr="000A4EA9" w:rsidRDefault="006B4B96" w:rsidP="001B4CE2">
            <w:pPr>
              <w:jc w:val="center"/>
              <w:rPr>
                <w:rFonts w:eastAsia="MS Mincho"/>
              </w:rPr>
            </w:pPr>
            <w:r w:rsidRPr="000A4EA9">
              <w:rPr>
                <w:rFonts w:eastAsia="MS Mincho"/>
              </w:rPr>
              <w:t>-47</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5</w:t>
            </w:r>
          </w:p>
        </w:tc>
        <w:tc>
          <w:tcPr>
            <w:tcW w:w="0" w:type="auto"/>
            <w:vAlign w:val="bottom"/>
          </w:tcPr>
          <w:p w:rsidR="006B4B96" w:rsidRPr="000A4EA9" w:rsidRDefault="006B4B96" w:rsidP="001B4CE2">
            <w:pPr>
              <w:jc w:val="center"/>
              <w:rPr>
                <w:rFonts w:eastAsia="MS Mincho"/>
                <w:b/>
              </w:rPr>
            </w:pPr>
            <w:r w:rsidRPr="000A4EA9">
              <w:rPr>
                <w:color w:val="000000"/>
              </w:rPr>
              <w:t>-64</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6</w:t>
            </w:r>
          </w:p>
        </w:tc>
        <w:tc>
          <w:tcPr>
            <w:tcW w:w="0" w:type="auto"/>
            <w:vAlign w:val="bottom"/>
          </w:tcPr>
          <w:p w:rsidR="006B4B96" w:rsidRPr="000A4EA9" w:rsidRDefault="006B4B96" w:rsidP="001B4CE2">
            <w:pPr>
              <w:jc w:val="center"/>
              <w:rPr>
                <w:rFonts w:eastAsia="MS Mincho"/>
                <w:b/>
              </w:rPr>
            </w:pPr>
            <w:r w:rsidRPr="000A4EA9">
              <w:rPr>
                <w:color w:val="000000"/>
              </w:rPr>
              <w:t>-60</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7</w:t>
            </w:r>
          </w:p>
        </w:tc>
        <w:tc>
          <w:tcPr>
            <w:tcW w:w="0" w:type="auto"/>
            <w:vAlign w:val="bottom"/>
          </w:tcPr>
          <w:p w:rsidR="006B4B96" w:rsidRPr="000A4EA9" w:rsidRDefault="006B4B96" w:rsidP="001B4CE2">
            <w:pPr>
              <w:jc w:val="center"/>
              <w:rPr>
                <w:rFonts w:eastAsia="MS Mincho"/>
                <w:b/>
              </w:rPr>
            </w:pPr>
            <w:r w:rsidRPr="000A4EA9">
              <w:rPr>
                <w:color w:val="000000"/>
              </w:rPr>
              <w:t>-57</w:t>
            </w:r>
          </w:p>
        </w:tc>
      </w:tr>
    </w:tbl>
    <w:p w:rsidR="006B4B96" w:rsidRPr="009448FC" w:rsidRDefault="006B4B96" w:rsidP="006B4B96">
      <w:pPr>
        <w:rPr>
          <w:rFonts w:eastAsia="MS Mincho"/>
        </w:rPr>
      </w:pPr>
    </w:p>
    <w:p w:rsidR="006B4B96" w:rsidRDefault="006B4B96"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Pr="009448FC" w:rsidRDefault="009E3455" w:rsidP="006B4B96">
      <w:pPr>
        <w:tabs>
          <w:tab w:val="center" w:pos="4680"/>
        </w:tabs>
        <w:rPr>
          <w:rFonts w:eastAsia="MS Mincho"/>
        </w:rPr>
      </w:pPr>
    </w:p>
    <w:p w:rsidR="00B243B6" w:rsidRPr="009448FC" w:rsidRDefault="00B243B6" w:rsidP="003701DB">
      <w:pPr>
        <w:pStyle w:val="Heading3"/>
        <w:keepLines w:val="0"/>
        <w:numPr>
          <w:ilvl w:val="2"/>
          <w:numId w:val="39"/>
        </w:numPr>
        <w:rPr>
          <w:rFonts w:ascii="Times New Roman" w:hAnsi="Times New Roman"/>
        </w:rPr>
      </w:pPr>
      <w:bookmarkStart w:id="3100" w:name="_Toc243471948"/>
      <w:bookmarkStart w:id="3101" w:name="_Toc243795232"/>
      <w:bookmarkStart w:id="3102" w:name="_Toc243471949"/>
      <w:bookmarkStart w:id="3103" w:name="_Toc243795233"/>
      <w:bookmarkStart w:id="3104" w:name="_Toc206227634"/>
      <w:bookmarkStart w:id="3105" w:name="_Toc206415581"/>
      <w:bookmarkStart w:id="3106" w:name="_Toc206418388"/>
      <w:bookmarkStart w:id="3107" w:name="_Toc207099143"/>
      <w:bookmarkStart w:id="3108" w:name="_Toc207099748"/>
      <w:bookmarkStart w:id="3109" w:name="_Toc207100667"/>
      <w:bookmarkStart w:id="3110" w:name="_Toc207348589"/>
      <w:bookmarkStart w:id="3111" w:name="_Toc215582945"/>
      <w:bookmarkStart w:id="3112" w:name="_Toc235400638"/>
      <w:bookmarkStart w:id="3113" w:name="_Toc259717323"/>
      <w:bookmarkEnd w:id="3100"/>
      <w:bookmarkEnd w:id="3101"/>
      <w:bookmarkEnd w:id="3102"/>
      <w:bookmarkEnd w:id="3103"/>
      <w:r w:rsidRPr="009448FC">
        <w:rPr>
          <w:rFonts w:ascii="Times New Roman" w:hAnsi="Times New Roman"/>
        </w:rPr>
        <w:t>Timing Related Parameters</w:t>
      </w:r>
      <w:bookmarkEnd w:id="3104"/>
      <w:bookmarkEnd w:id="3105"/>
      <w:bookmarkEnd w:id="3106"/>
      <w:bookmarkEnd w:id="3107"/>
      <w:bookmarkEnd w:id="3108"/>
      <w:bookmarkEnd w:id="3109"/>
      <w:bookmarkEnd w:id="3110"/>
      <w:bookmarkEnd w:id="3111"/>
      <w:bookmarkEnd w:id="3112"/>
      <w:bookmarkEnd w:id="3113"/>
    </w:p>
    <w:p w:rsidR="00B243B6" w:rsidRPr="009448FC" w:rsidRDefault="00B243B6" w:rsidP="006222FE"/>
    <w:p w:rsidR="00B243B6" w:rsidRPr="00066F65" w:rsidRDefault="006339CA" w:rsidP="009448FC">
      <w:pPr>
        <w:pStyle w:val="Caption"/>
        <w:keepNext/>
        <w:rPr>
          <w:rFonts w:cs="Arial"/>
        </w:rPr>
      </w:pPr>
      <w:bookmarkStart w:id="3114" w:name="_Toc206391640"/>
      <w:bookmarkStart w:id="3115" w:name="_Toc206415735"/>
      <w:bookmarkStart w:id="3116" w:name="_Toc207100823"/>
      <w:bookmarkStart w:id="3117" w:name="_Toc225065786"/>
      <w:bookmarkStart w:id="3118" w:name="_Toc250654451"/>
      <w:bookmarkStart w:id="3119" w:name="_Toc259717645"/>
      <w:r w:rsidRPr="00066F65">
        <w:t xml:space="preserve">Table </w:t>
      </w:r>
      <w:r w:rsidR="00BD151C">
        <w:fldChar w:fldCharType="begin"/>
      </w:r>
      <w:r w:rsidR="00801316">
        <w:instrText xml:space="preserve"> SEQ Table \* ARABIC </w:instrText>
      </w:r>
      <w:r w:rsidR="00BD151C">
        <w:fldChar w:fldCharType="separate"/>
      </w:r>
      <w:r w:rsidR="003E4210">
        <w:rPr>
          <w:noProof/>
        </w:rPr>
        <w:t>67</w:t>
      </w:r>
      <w:r w:rsidR="00BD151C">
        <w:fldChar w:fldCharType="end"/>
      </w:r>
      <w:r w:rsidR="00784429" w:rsidRPr="00066F65">
        <w:t xml:space="preserve"> </w:t>
      </w:r>
      <w:r w:rsidR="00784429" w:rsidRPr="00066F65">
        <w:rPr>
          <w:rFonts w:cs="Arial"/>
        </w:rPr>
        <w:t xml:space="preserve">– </w:t>
      </w:r>
      <w:r w:rsidR="00B243B6" w:rsidRPr="00066F65">
        <w:rPr>
          <w:rFonts w:cs="Arial"/>
        </w:rPr>
        <w:t>Timing Related Parameters</w:t>
      </w:r>
      <w:bookmarkEnd w:id="3114"/>
      <w:bookmarkEnd w:id="3115"/>
      <w:bookmarkEnd w:id="3116"/>
      <w:bookmarkEnd w:id="3117"/>
      <w:bookmarkEnd w:id="3118"/>
      <w:bookmarkEnd w:id="3119"/>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81"/>
        <w:gridCol w:w="3367"/>
      </w:tblGrid>
      <w:tr w:rsidR="00B243B6" w:rsidRPr="00066F65" w:rsidTr="006222FE">
        <w:trPr>
          <w:cantSplit/>
          <w:trHeight w:val="230"/>
          <w:tblHeader/>
        </w:trPr>
        <w:tc>
          <w:tcPr>
            <w:tcW w:w="4481" w:type="dxa"/>
            <w:vMerge w:val="restart"/>
          </w:tcPr>
          <w:p w:rsidR="00B243B6" w:rsidRPr="009448FC" w:rsidRDefault="00B243B6" w:rsidP="006222FE">
            <w:pPr>
              <w:pStyle w:val="IEEEStdsParagraph"/>
              <w:keepNext/>
              <w:jc w:val="center"/>
              <w:rPr>
                <w:b/>
                <w:color w:val="000000"/>
              </w:rPr>
            </w:pPr>
            <w:r w:rsidRPr="009448FC">
              <w:rPr>
                <w:b/>
                <w:color w:val="000000"/>
              </w:rPr>
              <w:t>Parameter</w:t>
            </w:r>
          </w:p>
        </w:tc>
        <w:tc>
          <w:tcPr>
            <w:tcW w:w="3367" w:type="dxa"/>
            <w:vMerge w:val="restart"/>
          </w:tcPr>
          <w:p w:rsidR="00B243B6" w:rsidRPr="009448FC" w:rsidRDefault="00B243B6" w:rsidP="006222FE">
            <w:pPr>
              <w:pStyle w:val="IEEEStdsParagraph"/>
              <w:keepNext/>
              <w:jc w:val="center"/>
              <w:rPr>
                <w:b/>
                <w:color w:val="000000"/>
              </w:rPr>
            </w:pPr>
            <w:r w:rsidRPr="009448FC">
              <w:rPr>
                <w:b/>
                <w:color w:val="000000"/>
              </w:rPr>
              <w:t>Value in OFDM</w:t>
            </w:r>
          </w:p>
        </w:tc>
      </w:tr>
      <w:tr w:rsidR="00B243B6" w:rsidRPr="00066F65" w:rsidTr="00032059">
        <w:trPr>
          <w:cantSplit/>
          <w:trHeight w:val="276"/>
          <w:tblHeader/>
        </w:trPr>
        <w:tc>
          <w:tcPr>
            <w:tcW w:w="4481" w:type="dxa"/>
            <w:vMerge/>
          </w:tcPr>
          <w:p w:rsidR="00B243B6" w:rsidRPr="009448FC" w:rsidRDefault="00B243B6" w:rsidP="006222FE">
            <w:pPr>
              <w:keepNext/>
              <w:tabs>
                <w:tab w:val="left" w:pos="2520"/>
              </w:tabs>
              <w:jc w:val="center"/>
              <w:rPr>
                <w:b/>
                <w:color w:val="000000"/>
              </w:rPr>
            </w:pPr>
          </w:p>
        </w:tc>
        <w:tc>
          <w:tcPr>
            <w:tcW w:w="3367" w:type="dxa"/>
            <w:vMerge/>
          </w:tcPr>
          <w:p w:rsidR="00B243B6" w:rsidRPr="009448FC" w:rsidRDefault="00B243B6" w:rsidP="006222FE">
            <w:pPr>
              <w:keepNext/>
              <w:tabs>
                <w:tab w:val="left" w:pos="2520"/>
              </w:tabs>
              <w:jc w:val="center"/>
              <w:rPr>
                <w:b/>
                <w:color w:val="000000"/>
              </w:rPr>
            </w:pP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SD</w:t>
            </w:r>
            <w:r w:rsidRPr="009448FC">
              <w:rPr>
                <w:color w:val="000000"/>
              </w:rPr>
              <w:t>: Number of data subcarriers</w:t>
            </w:r>
          </w:p>
        </w:tc>
        <w:tc>
          <w:tcPr>
            <w:tcW w:w="3367" w:type="dxa"/>
          </w:tcPr>
          <w:p w:rsidR="00B243B6" w:rsidRPr="009448FC" w:rsidRDefault="00B243B6" w:rsidP="006222FE">
            <w:pPr>
              <w:pStyle w:val="IEEEStdsParagraph"/>
              <w:keepNext/>
              <w:jc w:val="center"/>
              <w:rPr>
                <w:color w:val="000000"/>
              </w:rPr>
            </w:pPr>
            <w:r w:rsidRPr="009448FC">
              <w:rPr>
                <w:color w:val="000000"/>
              </w:rPr>
              <w:t>336</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SP</w:t>
            </w:r>
            <w:r w:rsidRPr="009448FC">
              <w:rPr>
                <w:color w:val="000000"/>
              </w:rPr>
              <w:t>: Number of pilot subcarriers</w:t>
            </w:r>
          </w:p>
        </w:tc>
        <w:tc>
          <w:tcPr>
            <w:tcW w:w="3367" w:type="dxa"/>
          </w:tcPr>
          <w:p w:rsidR="00B243B6" w:rsidRPr="009448FC" w:rsidRDefault="00B243B6" w:rsidP="006222FE">
            <w:pPr>
              <w:pStyle w:val="IEEEStdsParagraph"/>
              <w:keepNext/>
              <w:jc w:val="center"/>
              <w:rPr>
                <w:color w:val="000000"/>
              </w:rPr>
            </w:pPr>
            <w:r w:rsidRPr="009448FC">
              <w:rPr>
                <w:color w:val="000000"/>
              </w:rPr>
              <w:t>16</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DC</w:t>
            </w:r>
            <w:r w:rsidRPr="009448FC">
              <w:rPr>
                <w:color w:val="000000"/>
              </w:rPr>
              <w:t>: Number of DC subcarriers</w:t>
            </w:r>
          </w:p>
        </w:tc>
        <w:tc>
          <w:tcPr>
            <w:tcW w:w="3367" w:type="dxa"/>
          </w:tcPr>
          <w:p w:rsidR="00B243B6" w:rsidRPr="009448FC" w:rsidRDefault="00B243B6" w:rsidP="006222FE">
            <w:pPr>
              <w:pStyle w:val="IEEEStdsParagraph"/>
              <w:keepNext/>
              <w:jc w:val="center"/>
              <w:rPr>
                <w:color w:val="000000"/>
              </w:rPr>
            </w:pPr>
            <w:r w:rsidRPr="009448FC">
              <w:rPr>
                <w:color w:val="000000"/>
              </w:rPr>
              <w:t>3</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ST</w:t>
            </w:r>
            <w:r w:rsidRPr="009448FC">
              <w:rPr>
                <w:color w:val="000000"/>
              </w:rPr>
              <w:t>: Total Number of subcarriers</w:t>
            </w:r>
          </w:p>
        </w:tc>
        <w:tc>
          <w:tcPr>
            <w:tcW w:w="3367" w:type="dxa"/>
          </w:tcPr>
          <w:p w:rsidR="00B243B6" w:rsidRPr="009448FC" w:rsidRDefault="00B243B6" w:rsidP="006222FE">
            <w:pPr>
              <w:pStyle w:val="IEEEStdsParagraph"/>
              <w:keepNext/>
              <w:jc w:val="center"/>
              <w:rPr>
                <w:color w:val="000000"/>
              </w:rPr>
            </w:pPr>
            <w:r w:rsidRPr="009448FC">
              <w:rPr>
                <w:color w:val="000000"/>
              </w:rPr>
              <w:t>355</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SR</w:t>
            </w:r>
            <w:r w:rsidRPr="009448FC">
              <w:rPr>
                <w:color w:val="000000"/>
              </w:rPr>
              <w:t>: Number of subcarriers</w:t>
            </w:r>
            <w:r w:rsidR="00E75053" w:rsidRPr="009448FC">
              <w:rPr>
                <w:color w:val="000000"/>
              </w:rPr>
              <w:t xml:space="preserve"> occupying half of the overall B</w:t>
            </w:r>
            <w:r w:rsidRPr="009448FC">
              <w:rPr>
                <w:color w:val="000000"/>
              </w:rPr>
              <w:t>W</w:t>
            </w:r>
          </w:p>
        </w:tc>
        <w:tc>
          <w:tcPr>
            <w:tcW w:w="3367" w:type="dxa"/>
          </w:tcPr>
          <w:p w:rsidR="00B243B6" w:rsidRPr="009448FC" w:rsidRDefault="00B243B6" w:rsidP="006222FE">
            <w:pPr>
              <w:pStyle w:val="IEEEStdsParagraph"/>
              <w:keepNext/>
              <w:jc w:val="center"/>
              <w:rPr>
                <w:color w:val="000000"/>
              </w:rPr>
            </w:pPr>
            <w:r w:rsidRPr="009448FC">
              <w:rPr>
                <w:color w:val="000000"/>
              </w:rPr>
              <w:t>177</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position w:val="-14"/>
              </w:rPr>
              <w:object w:dxaOrig="360" w:dyaOrig="380">
                <v:shape id="_x0000_i1089" type="#_x0000_t75" style="width:17.65pt;height:17.65pt" o:ole="">
                  <v:imagedata r:id="rId228" o:title=""/>
                </v:shape>
                <o:OLEObject Type="Embed" ProgID="Equation.3" ShapeID="_x0000_i1089" DrawAspect="Content" ObjectID="_1334048270" r:id="rId229"/>
              </w:object>
            </w:r>
            <w:r w:rsidRPr="009448FC">
              <w:rPr>
                <w:color w:val="000000"/>
              </w:rPr>
              <w:t>: subcarrier frequency spacing</w:t>
            </w:r>
          </w:p>
        </w:tc>
        <w:tc>
          <w:tcPr>
            <w:tcW w:w="3367" w:type="dxa"/>
          </w:tcPr>
          <w:p w:rsidR="00B243B6" w:rsidRPr="009448FC" w:rsidRDefault="00C9395D" w:rsidP="006222FE">
            <w:pPr>
              <w:pStyle w:val="IEEEStdsParagraph"/>
              <w:keepNext/>
              <w:jc w:val="center"/>
              <w:rPr>
                <w:color w:val="000000"/>
              </w:rPr>
            </w:pPr>
            <w:r w:rsidRPr="009448FC">
              <w:rPr>
                <w:color w:val="000000"/>
              </w:rPr>
              <w:t>5.15625MHz</w:t>
            </w:r>
            <w:r w:rsidR="00B243B6" w:rsidRPr="009448FC">
              <w:rPr>
                <w:color w:val="000000"/>
              </w:rPr>
              <w:t>(</w:t>
            </w:r>
            <w:r w:rsidRPr="009448FC">
              <w:rPr>
                <w:color w:val="000000"/>
              </w:rPr>
              <w:t>2640MHz</w:t>
            </w:r>
            <w:r w:rsidR="00B243B6" w:rsidRPr="009448FC">
              <w:rPr>
                <w:color w:val="000000"/>
              </w:rPr>
              <w:t>/512)</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F</w:t>
            </w:r>
            <w:r w:rsidRPr="009448FC">
              <w:rPr>
                <w:color w:val="000000"/>
                <w:vertAlign w:val="subscript"/>
              </w:rPr>
              <w:t>s</w:t>
            </w:r>
            <w:r w:rsidRPr="009448FC">
              <w:rPr>
                <w:color w:val="000000"/>
              </w:rPr>
              <w:t>: OFDM sample rate</w:t>
            </w:r>
          </w:p>
        </w:tc>
        <w:tc>
          <w:tcPr>
            <w:tcW w:w="3367" w:type="dxa"/>
          </w:tcPr>
          <w:p w:rsidR="00B243B6" w:rsidRPr="009448FC" w:rsidRDefault="00C9395D" w:rsidP="006222FE">
            <w:pPr>
              <w:pStyle w:val="IEEEStdsParagraph"/>
              <w:keepNext/>
              <w:jc w:val="center"/>
              <w:rPr>
                <w:color w:val="000000"/>
              </w:rPr>
            </w:pPr>
            <w:r w:rsidRPr="009448FC">
              <w:rPr>
                <w:color w:val="000000"/>
              </w:rPr>
              <w:t>2640MHz</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F</w:t>
            </w:r>
            <w:r w:rsidRPr="009448FC">
              <w:rPr>
                <w:color w:val="000000"/>
                <w:vertAlign w:val="subscript"/>
              </w:rPr>
              <w:t>c</w:t>
            </w:r>
            <w:r w:rsidRPr="009448FC">
              <w:rPr>
                <w:color w:val="000000"/>
              </w:rPr>
              <w:t>: SC chip rate</w:t>
            </w:r>
          </w:p>
        </w:tc>
        <w:tc>
          <w:tcPr>
            <w:tcW w:w="3367" w:type="dxa"/>
          </w:tcPr>
          <w:p w:rsidR="00B243B6" w:rsidRPr="009448FC" w:rsidRDefault="00B243B6" w:rsidP="006222FE">
            <w:pPr>
              <w:pStyle w:val="IEEEStdsParagraph"/>
              <w:keepNext/>
              <w:jc w:val="center"/>
              <w:rPr>
                <w:color w:val="000000"/>
                <w:vertAlign w:val="subscript"/>
              </w:rPr>
            </w:pPr>
            <w:r w:rsidRPr="009448FC">
              <w:rPr>
                <w:color w:val="000000"/>
              </w:rPr>
              <w:t>17</w:t>
            </w:r>
            <w:r w:rsidR="00C9395D" w:rsidRPr="009448FC">
              <w:rPr>
                <w:color w:val="000000"/>
              </w:rPr>
              <w:t>6</w:t>
            </w:r>
            <w:r w:rsidRPr="009448FC">
              <w:rPr>
                <w:color w:val="000000"/>
              </w:rPr>
              <w:t>0MHz = ⅔ F</w:t>
            </w:r>
            <w:r w:rsidRPr="009448FC">
              <w:rPr>
                <w:color w:val="000000"/>
                <w:vertAlign w:val="subscript"/>
              </w:rPr>
              <w:t>s</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w:t>
            </w:r>
            <w:r w:rsidRPr="009448FC">
              <w:rPr>
                <w:color w:val="000000"/>
              </w:rPr>
              <w:t>: OFDM Sample Time</w:t>
            </w:r>
          </w:p>
        </w:tc>
        <w:tc>
          <w:tcPr>
            <w:tcW w:w="3367" w:type="dxa"/>
          </w:tcPr>
          <w:p w:rsidR="00B243B6" w:rsidRPr="009448FC" w:rsidRDefault="00B243B6" w:rsidP="006222FE">
            <w:pPr>
              <w:pStyle w:val="IEEEStdsParagraph"/>
              <w:keepNext/>
              <w:jc w:val="center"/>
              <w:rPr>
                <w:color w:val="000000"/>
              </w:rPr>
            </w:pPr>
            <w:r w:rsidRPr="009448FC">
              <w:rPr>
                <w:color w:val="000000"/>
              </w:rPr>
              <w:t>0.3</w:t>
            </w:r>
            <w:r w:rsidR="00C9395D" w:rsidRPr="009448FC">
              <w:rPr>
                <w:color w:val="000000"/>
              </w:rPr>
              <w:t>8</w:t>
            </w:r>
            <w:r w:rsidRPr="009448FC">
              <w:rPr>
                <w:color w:val="000000"/>
              </w:rPr>
              <w:t>ns=1/F</w:t>
            </w:r>
            <w:r w:rsidRPr="009448FC">
              <w:rPr>
                <w:color w:val="000000"/>
                <w:vertAlign w:val="subscript"/>
              </w:rPr>
              <w:t>s</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c</w:t>
            </w:r>
            <w:r w:rsidRPr="009448FC">
              <w:rPr>
                <w:color w:val="000000"/>
              </w:rPr>
              <w:t>: SC Chip Time</w:t>
            </w:r>
          </w:p>
        </w:tc>
        <w:tc>
          <w:tcPr>
            <w:tcW w:w="3367" w:type="dxa"/>
          </w:tcPr>
          <w:p w:rsidR="00B243B6" w:rsidRPr="009448FC" w:rsidRDefault="00B243B6" w:rsidP="006222FE">
            <w:pPr>
              <w:pStyle w:val="IEEEStdsParagraph"/>
              <w:keepNext/>
              <w:jc w:val="center"/>
              <w:rPr>
                <w:color w:val="000000"/>
                <w:vertAlign w:val="subscript"/>
              </w:rPr>
            </w:pPr>
            <w:r w:rsidRPr="009448FC">
              <w:rPr>
                <w:color w:val="000000"/>
              </w:rPr>
              <w:t>0.5</w:t>
            </w:r>
            <w:r w:rsidR="00C9395D" w:rsidRPr="009448FC">
              <w:rPr>
                <w:color w:val="000000"/>
              </w:rPr>
              <w:t>7</w:t>
            </w:r>
            <w:r w:rsidRPr="009448FC">
              <w:rPr>
                <w:color w:val="000000"/>
              </w:rPr>
              <w:t>ns=1/F</w:t>
            </w:r>
            <w:r w:rsidRPr="009448FC">
              <w:rPr>
                <w:color w:val="000000"/>
                <w:vertAlign w:val="subscript"/>
              </w:rPr>
              <w:t>c</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DFT</w:t>
            </w:r>
            <w:r w:rsidRPr="009448FC">
              <w:rPr>
                <w:color w:val="000000"/>
              </w:rPr>
              <w:t>: IDFT/DFT period</w:t>
            </w:r>
          </w:p>
        </w:tc>
        <w:tc>
          <w:tcPr>
            <w:tcW w:w="3367" w:type="dxa"/>
          </w:tcPr>
          <w:p w:rsidR="00B243B6" w:rsidRPr="009448FC" w:rsidRDefault="00B243B6" w:rsidP="006222FE">
            <w:pPr>
              <w:pStyle w:val="IEEEStdsParagraph"/>
              <w:keepNext/>
              <w:jc w:val="center"/>
              <w:rPr>
                <w:color w:val="000000"/>
              </w:rPr>
            </w:pPr>
            <w:r w:rsidRPr="009448FC">
              <w:rPr>
                <w:color w:val="000000"/>
              </w:rPr>
              <w:t>0.19</w:t>
            </w:r>
            <w:r w:rsidR="00C9395D" w:rsidRPr="009448FC">
              <w:rPr>
                <w:color w:val="000000"/>
              </w:rPr>
              <w:t>4</w:t>
            </w:r>
            <w:r w:rsidRPr="009448FC">
              <w:rPr>
                <w:color w:val="000000"/>
              </w:rPr>
              <w:t>usec</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GI</w:t>
            </w:r>
            <w:r w:rsidRPr="009448FC">
              <w:rPr>
                <w:color w:val="000000"/>
              </w:rPr>
              <w:t>: Guard Interval duration</w:t>
            </w:r>
          </w:p>
        </w:tc>
        <w:tc>
          <w:tcPr>
            <w:tcW w:w="3367" w:type="dxa"/>
          </w:tcPr>
          <w:p w:rsidR="00B243B6" w:rsidRPr="009448FC" w:rsidRDefault="00B243B6" w:rsidP="006222FE">
            <w:pPr>
              <w:pStyle w:val="IEEEStdsParagraph"/>
              <w:keepNext/>
              <w:jc w:val="center"/>
              <w:rPr>
                <w:color w:val="000000"/>
              </w:rPr>
            </w:pPr>
            <w:r w:rsidRPr="009448FC">
              <w:rPr>
                <w:color w:val="000000"/>
              </w:rPr>
              <w:t>4</w:t>
            </w:r>
            <w:r w:rsidR="00C9395D" w:rsidRPr="009448FC">
              <w:rPr>
                <w:color w:val="000000"/>
              </w:rPr>
              <w:t>8.4</w:t>
            </w:r>
            <w:r w:rsidRPr="009448FC">
              <w:rPr>
                <w:color w:val="000000"/>
              </w:rPr>
              <w:t>ns= T</w:t>
            </w:r>
            <w:r w:rsidRPr="009448FC">
              <w:rPr>
                <w:color w:val="000000"/>
                <w:vertAlign w:val="subscript"/>
              </w:rPr>
              <w:t>DFT</w:t>
            </w:r>
            <w:r w:rsidRPr="009448FC">
              <w:rPr>
                <w:color w:val="000000"/>
              </w:rPr>
              <w:t>/4</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seq</w:t>
            </w:r>
          </w:p>
        </w:tc>
        <w:tc>
          <w:tcPr>
            <w:tcW w:w="3367" w:type="dxa"/>
          </w:tcPr>
          <w:p w:rsidR="00B243B6" w:rsidRPr="009448FC" w:rsidRDefault="00B243B6" w:rsidP="006222FE">
            <w:pPr>
              <w:pStyle w:val="IEEEStdsParagraph"/>
              <w:keepNext/>
              <w:jc w:val="center"/>
              <w:rPr>
                <w:i/>
                <w:color w:val="000000"/>
                <w:vertAlign w:val="subscript"/>
              </w:rPr>
            </w:pPr>
            <w:r w:rsidRPr="009448FC">
              <w:rPr>
                <w:color w:val="000000"/>
              </w:rPr>
              <w:t>7</w:t>
            </w:r>
            <w:r w:rsidR="00C9395D" w:rsidRPr="009448FC">
              <w:rPr>
                <w:color w:val="000000"/>
              </w:rPr>
              <w:t>2.7</w:t>
            </w:r>
            <w:r w:rsidRPr="009448FC">
              <w:rPr>
                <w:color w:val="000000"/>
              </w:rPr>
              <w:t>ns=128×</w:t>
            </w:r>
            <w:r w:rsidRPr="009448FC">
              <w:rPr>
                <w:i/>
                <w:color w:val="000000"/>
              </w:rPr>
              <w:t>T</w:t>
            </w:r>
            <w:r w:rsidRPr="009448FC">
              <w:rPr>
                <w:i/>
                <w:color w:val="000000"/>
                <w:vertAlign w:val="subscript"/>
              </w:rPr>
              <w:t>c</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STF</w:t>
            </w:r>
            <w:r w:rsidRPr="009448FC">
              <w:rPr>
                <w:color w:val="000000"/>
              </w:rPr>
              <w:t>: Detection sequence duration</w:t>
            </w:r>
          </w:p>
        </w:tc>
        <w:tc>
          <w:tcPr>
            <w:tcW w:w="3367" w:type="dxa"/>
          </w:tcPr>
          <w:p w:rsidR="00B243B6" w:rsidRPr="009448FC" w:rsidRDefault="00253A2E" w:rsidP="006222FE">
            <w:pPr>
              <w:pStyle w:val="IEEEStdsParagraph"/>
              <w:keepNext/>
              <w:jc w:val="center"/>
              <w:rPr>
                <w:color w:val="000000"/>
              </w:rPr>
            </w:pPr>
            <w:r w:rsidRPr="009448FC">
              <w:t>1091ns=15×</w:t>
            </w:r>
            <w:r w:rsidRPr="009448FC">
              <w:rPr>
                <w:i/>
              </w:rPr>
              <w:t xml:space="preserve"> T</w:t>
            </w:r>
            <w:r w:rsidRPr="009448FC">
              <w:rPr>
                <w:i/>
                <w:vertAlign w:val="subscript"/>
              </w:rPr>
              <w:t>seq</w:t>
            </w:r>
          </w:p>
        </w:tc>
      </w:tr>
      <w:tr w:rsidR="00B243B6" w:rsidRPr="00066F65" w:rsidTr="006222FE">
        <w:tc>
          <w:tcPr>
            <w:tcW w:w="4481" w:type="dxa"/>
          </w:tcPr>
          <w:p w:rsidR="00B243B6" w:rsidRPr="009448FC" w:rsidRDefault="00B243B6" w:rsidP="006222FE">
            <w:pPr>
              <w:pStyle w:val="IEEEStdsParagraph"/>
              <w:keepNext/>
              <w:jc w:val="center"/>
              <w:rPr>
                <w:color w:val="000000"/>
                <w:lang w:val="fr-FR"/>
              </w:rPr>
            </w:pPr>
            <w:r w:rsidRPr="009448FC">
              <w:rPr>
                <w:color w:val="000000"/>
                <w:lang w:val="fr-FR"/>
              </w:rPr>
              <w:t>T</w:t>
            </w:r>
            <w:r w:rsidRPr="009448FC">
              <w:rPr>
                <w:color w:val="000000"/>
                <w:vertAlign w:val="subscript"/>
                <w:lang w:val="fr-FR"/>
              </w:rPr>
              <w:t>CE</w:t>
            </w:r>
            <w:r w:rsidRPr="009448FC">
              <w:rPr>
                <w:color w:val="000000"/>
                <w:lang w:val="fr-FR"/>
              </w:rPr>
              <w:t>: Channel Estimation sequence duration</w:t>
            </w:r>
          </w:p>
        </w:tc>
        <w:tc>
          <w:tcPr>
            <w:tcW w:w="3367" w:type="dxa"/>
          </w:tcPr>
          <w:p w:rsidR="00B243B6" w:rsidRPr="009448FC" w:rsidRDefault="00253A2E" w:rsidP="006222FE">
            <w:pPr>
              <w:pStyle w:val="IEEEStdsParagraph"/>
              <w:keepNext/>
              <w:jc w:val="center"/>
              <w:rPr>
                <w:color w:val="000000"/>
                <w:vertAlign w:val="subscript"/>
              </w:rPr>
            </w:pPr>
            <w:r w:rsidRPr="009448FC">
              <w:t>655ns=9×</w:t>
            </w:r>
            <w:r w:rsidRPr="009448FC">
              <w:rPr>
                <w:i/>
              </w:rPr>
              <w:t>T</w:t>
            </w:r>
            <w:r w:rsidRPr="009448FC">
              <w:rPr>
                <w:i/>
                <w:vertAlign w:val="subscript"/>
              </w:rPr>
              <w:t>seq</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SYM</w:t>
            </w:r>
            <w:r w:rsidRPr="009448FC">
              <w:rPr>
                <w:color w:val="000000"/>
              </w:rPr>
              <w:t>: Symbol Interval</w:t>
            </w:r>
          </w:p>
        </w:tc>
        <w:tc>
          <w:tcPr>
            <w:tcW w:w="3367" w:type="dxa"/>
          </w:tcPr>
          <w:p w:rsidR="00B243B6" w:rsidRPr="009448FC" w:rsidRDefault="00B243B6" w:rsidP="006222FE">
            <w:pPr>
              <w:pStyle w:val="IEEEStdsParagraph"/>
              <w:keepNext/>
              <w:jc w:val="center"/>
              <w:rPr>
                <w:color w:val="000000"/>
              </w:rPr>
            </w:pPr>
            <w:r w:rsidRPr="009448FC">
              <w:rPr>
                <w:color w:val="000000"/>
              </w:rPr>
              <w:t>0.24</w:t>
            </w:r>
            <w:r w:rsidR="00C9395D" w:rsidRPr="009448FC">
              <w:rPr>
                <w:color w:val="000000"/>
              </w:rPr>
              <w:t>2</w:t>
            </w:r>
            <w:r w:rsidRPr="009448FC">
              <w:rPr>
                <w:color w:val="000000"/>
              </w:rPr>
              <w:t>µs= T</w:t>
            </w:r>
            <w:r w:rsidRPr="009448FC">
              <w:rPr>
                <w:color w:val="000000"/>
                <w:vertAlign w:val="subscript"/>
              </w:rPr>
              <w:t>DFT</w:t>
            </w:r>
            <w:r w:rsidRPr="009448FC">
              <w:rPr>
                <w:color w:val="000000"/>
              </w:rPr>
              <w:t>+T</w:t>
            </w:r>
            <w:r w:rsidRPr="009448FC">
              <w:rPr>
                <w:color w:val="000000"/>
                <w:vertAlign w:val="subscript"/>
              </w:rPr>
              <w:t>GI</w:t>
            </w:r>
          </w:p>
        </w:tc>
      </w:tr>
      <w:tr w:rsidR="00253A2E" w:rsidRPr="00066F65" w:rsidTr="006222FE">
        <w:tc>
          <w:tcPr>
            <w:tcW w:w="4481" w:type="dxa"/>
          </w:tcPr>
          <w:p w:rsidR="00253A2E" w:rsidRPr="009448FC" w:rsidRDefault="00253A2E" w:rsidP="00253A2E">
            <w:pPr>
              <w:pStyle w:val="IEEEStdsParagraph"/>
              <w:keepNext/>
              <w:jc w:val="center"/>
              <w:rPr>
                <w:color w:val="000000"/>
              </w:rPr>
            </w:pPr>
            <w:r w:rsidRPr="009448FC">
              <w:rPr>
                <w:lang w:val="fr-FR"/>
              </w:rPr>
              <w:t>T</w:t>
            </w:r>
            <w:r w:rsidRPr="009448FC">
              <w:rPr>
                <w:vertAlign w:val="subscript"/>
                <w:lang w:val="fr-FR"/>
              </w:rPr>
              <w:t>HEADER</w:t>
            </w:r>
            <w:r w:rsidRPr="009448FC">
              <w:rPr>
                <w:lang w:val="fr-FR"/>
              </w:rPr>
              <w:t>: Header Duration</w:t>
            </w:r>
          </w:p>
        </w:tc>
        <w:tc>
          <w:tcPr>
            <w:tcW w:w="3367" w:type="dxa"/>
          </w:tcPr>
          <w:p w:rsidR="00253A2E" w:rsidRPr="009448FC" w:rsidRDefault="00253A2E" w:rsidP="00253A2E">
            <w:pPr>
              <w:pStyle w:val="IEEEStdsParagraph"/>
              <w:keepNext/>
              <w:jc w:val="center"/>
            </w:pPr>
            <w:r w:rsidRPr="009448FC">
              <w:t>0.242 µs=T</w:t>
            </w:r>
            <w:r w:rsidRPr="009448FC">
              <w:rPr>
                <w:vertAlign w:val="subscript"/>
              </w:rPr>
              <w:t>SYM</w:t>
            </w:r>
            <w:r w:rsidRPr="009448FC">
              <w:t xml:space="preserve"> (OFDM)</w:t>
            </w:r>
          </w:p>
          <w:p w:rsidR="00253A2E" w:rsidRPr="009448FC" w:rsidRDefault="00253A2E" w:rsidP="005E1A36">
            <w:pPr>
              <w:pStyle w:val="IEEEStdsParagraph"/>
              <w:keepNext/>
              <w:jc w:val="center"/>
              <w:rPr>
                <w:color w:val="000000"/>
              </w:rPr>
            </w:pPr>
            <w:r w:rsidRPr="009448FC">
              <w:t>0.</w:t>
            </w:r>
            <w:r w:rsidR="005E1A36">
              <w:t>582</w:t>
            </w:r>
            <w:r w:rsidRPr="009448FC">
              <w:t>µs =</w:t>
            </w:r>
            <w:r w:rsidR="005E1A36">
              <w:t>2</w:t>
            </w:r>
            <w:r w:rsidR="005E1A36" w:rsidRPr="009448FC">
              <w:t>×</w:t>
            </w:r>
            <w:r w:rsidRPr="009448FC">
              <w:t>512× T</w:t>
            </w:r>
            <w:r w:rsidRPr="009448FC">
              <w:rPr>
                <w:vertAlign w:val="subscript"/>
              </w:rPr>
              <w:t>c</w:t>
            </w:r>
            <w:r w:rsidRPr="009448FC">
              <w:t xml:space="preserve"> (SC)</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F</w:t>
            </w:r>
            <w:r w:rsidRPr="009448FC">
              <w:rPr>
                <w:vertAlign w:val="subscript"/>
              </w:rPr>
              <w:t>C</w:t>
            </w:r>
            <w:r w:rsidR="008B4C45" w:rsidRPr="009448FC">
              <w:rPr>
                <w:vertAlign w:val="subscript"/>
              </w:rPr>
              <w:t>CP</w:t>
            </w:r>
            <w:r w:rsidRPr="009448FC">
              <w:t>: Control PHY chip rate</w:t>
            </w:r>
          </w:p>
        </w:tc>
        <w:tc>
          <w:tcPr>
            <w:tcW w:w="3367" w:type="dxa"/>
          </w:tcPr>
          <w:p w:rsidR="00AC178F" w:rsidRPr="009448FC" w:rsidRDefault="00AC178F" w:rsidP="006222FE">
            <w:pPr>
              <w:pStyle w:val="IEEEStdsParagraph"/>
              <w:keepNext/>
              <w:jc w:val="center"/>
              <w:rPr>
                <w:color w:val="000000"/>
              </w:rPr>
            </w:pPr>
            <w:r w:rsidRPr="009448FC">
              <w:rPr>
                <w:sz w:val="22"/>
              </w:rPr>
              <w:t>17</w:t>
            </w:r>
            <w:r w:rsidR="00C9395D" w:rsidRPr="009448FC">
              <w:rPr>
                <w:sz w:val="22"/>
              </w:rPr>
              <w:t>6</w:t>
            </w:r>
            <w:r w:rsidRPr="009448FC">
              <w:rPr>
                <w:sz w:val="22"/>
              </w:rPr>
              <w:t>0MHz</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T</w:t>
            </w:r>
            <w:r w:rsidRPr="009448FC">
              <w:rPr>
                <w:vertAlign w:val="subscript"/>
              </w:rPr>
              <w:t>C</w:t>
            </w:r>
            <w:r w:rsidR="008B4C45" w:rsidRPr="009448FC">
              <w:rPr>
                <w:vertAlign w:val="subscript"/>
              </w:rPr>
              <w:t>CP</w:t>
            </w:r>
            <w:r w:rsidRPr="009448FC">
              <w:t>: Control PHY chip time</w:t>
            </w:r>
          </w:p>
        </w:tc>
        <w:tc>
          <w:tcPr>
            <w:tcW w:w="3367" w:type="dxa"/>
          </w:tcPr>
          <w:p w:rsidR="00AC178F" w:rsidRPr="009448FC" w:rsidRDefault="00AC178F" w:rsidP="006222FE">
            <w:pPr>
              <w:pStyle w:val="IEEEStdsParagraph"/>
              <w:keepNext/>
              <w:jc w:val="center"/>
              <w:rPr>
                <w:i/>
                <w:color w:val="000000"/>
                <w:vertAlign w:val="subscript"/>
              </w:rPr>
            </w:pPr>
            <w:r w:rsidRPr="009448FC">
              <w:rPr>
                <w:sz w:val="22"/>
              </w:rPr>
              <w:t>0.5</w:t>
            </w:r>
            <w:r w:rsidR="00C9395D" w:rsidRPr="009448FC">
              <w:rPr>
                <w:sz w:val="22"/>
              </w:rPr>
              <w:t>7</w:t>
            </w:r>
            <w:r w:rsidRPr="009448FC">
              <w:rPr>
                <w:sz w:val="22"/>
              </w:rPr>
              <w:t xml:space="preserve">ns = </w:t>
            </w:r>
            <w:r w:rsidRPr="009448FC">
              <w:rPr>
                <w:i/>
                <w:sz w:val="22"/>
              </w:rPr>
              <w:t>1/</w:t>
            </w:r>
            <w:r w:rsidR="008B4C45" w:rsidRPr="009448FC">
              <w:rPr>
                <w:i/>
                <w:sz w:val="22"/>
              </w:rPr>
              <w:t>F</w:t>
            </w:r>
            <w:r w:rsidR="008B4C45" w:rsidRPr="009448FC">
              <w:rPr>
                <w:i/>
                <w:sz w:val="22"/>
                <w:vertAlign w:val="subscript"/>
              </w:rPr>
              <w:t>CP</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T</w:t>
            </w:r>
            <w:r w:rsidRPr="009448FC">
              <w:rPr>
                <w:vertAlign w:val="subscript"/>
              </w:rPr>
              <w:t>STF</w:t>
            </w:r>
            <w:r w:rsidR="008B4C45" w:rsidRPr="009448FC">
              <w:rPr>
                <w:vertAlign w:val="subscript"/>
              </w:rPr>
              <w:t>-CP</w:t>
            </w:r>
            <w:r w:rsidRPr="009448FC">
              <w:t xml:space="preserve">: Control PHY short training field duration </w:t>
            </w:r>
          </w:p>
        </w:tc>
        <w:tc>
          <w:tcPr>
            <w:tcW w:w="3367" w:type="dxa"/>
          </w:tcPr>
          <w:p w:rsidR="00AC178F" w:rsidRPr="009448FC" w:rsidRDefault="00253A2E" w:rsidP="006222FE">
            <w:pPr>
              <w:pStyle w:val="IEEEStdsParagraph"/>
              <w:keepNext/>
              <w:jc w:val="center"/>
              <w:rPr>
                <w:color w:val="000000"/>
              </w:rPr>
            </w:pPr>
            <w:r w:rsidRPr="009448FC">
              <w:t>2.909µs =40</w:t>
            </w:r>
            <w:r w:rsidR="00AC178F" w:rsidRPr="009448FC">
              <w:rPr>
                <w:color w:val="000000"/>
              </w:rPr>
              <w:t>×</w:t>
            </w:r>
            <w:r w:rsidR="00AC178F" w:rsidRPr="009448FC">
              <w:rPr>
                <w:i/>
                <w:color w:val="000000"/>
              </w:rPr>
              <w:t xml:space="preserve"> T</w:t>
            </w:r>
            <w:r w:rsidR="00AC178F" w:rsidRPr="009448FC">
              <w:rPr>
                <w:i/>
                <w:color w:val="000000"/>
                <w:vertAlign w:val="subscript"/>
              </w:rPr>
              <w:t>seq</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T</w:t>
            </w:r>
            <w:r w:rsidRPr="009448FC">
              <w:rPr>
                <w:vertAlign w:val="subscript"/>
              </w:rPr>
              <w:t>CE</w:t>
            </w:r>
            <w:r w:rsidR="008B4C45" w:rsidRPr="009448FC">
              <w:rPr>
                <w:vertAlign w:val="subscript"/>
              </w:rPr>
              <w:t>-CP</w:t>
            </w:r>
            <w:r w:rsidRPr="009448FC">
              <w:t>: Control PHY channel estimation field duration</w:t>
            </w:r>
          </w:p>
        </w:tc>
        <w:tc>
          <w:tcPr>
            <w:tcW w:w="3367" w:type="dxa"/>
          </w:tcPr>
          <w:p w:rsidR="00AC178F" w:rsidRPr="009448FC" w:rsidRDefault="00253A2E" w:rsidP="006222FE">
            <w:pPr>
              <w:pStyle w:val="IEEEStdsParagraph"/>
              <w:keepNext/>
              <w:jc w:val="center"/>
              <w:rPr>
                <w:color w:val="000000"/>
              </w:rPr>
            </w:pPr>
            <w:r w:rsidRPr="009448FC">
              <w:t>655ns=9</w:t>
            </w:r>
            <w:r w:rsidR="00AC178F" w:rsidRPr="009448FC">
              <w:rPr>
                <w:color w:val="000000"/>
              </w:rPr>
              <w:t>×</w:t>
            </w:r>
            <w:r w:rsidR="00AC178F" w:rsidRPr="009448FC">
              <w:rPr>
                <w:i/>
                <w:color w:val="000000"/>
              </w:rPr>
              <w:t xml:space="preserve"> T</w:t>
            </w:r>
            <w:r w:rsidR="00AC178F" w:rsidRPr="009448FC">
              <w:rPr>
                <w:i/>
                <w:color w:val="000000"/>
                <w:vertAlign w:val="subscript"/>
              </w:rPr>
              <w:t>seq</w:t>
            </w:r>
          </w:p>
        </w:tc>
      </w:tr>
      <w:tr w:rsidR="00253A2E" w:rsidRPr="00066F65" w:rsidTr="006222FE">
        <w:tc>
          <w:tcPr>
            <w:tcW w:w="4481" w:type="dxa"/>
          </w:tcPr>
          <w:p w:rsidR="00253A2E" w:rsidRPr="009448FC" w:rsidRDefault="001238F1" w:rsidP="006222FE">
            <w:pPr>
              <w:pStyle w:val="IEEEStdsParagraph"/>
              <w:keepNext/>
              <w:jc w:val="center"/>
            </w:pPr>
            <w:r w:rsidRPr="009448FC">
              <w:t>T</w:t>
            </w:r>
            <w:r w:rsidRPr="009448FC">
              <w:rPr>
                <w:vertAlign w:val="subscript"/>
              </w:rPr>
              <w:t>Data</w:t>
            </w:r>
            <w:r w:rsidR="00BC285E" w:rsidRPr="009448FC">
              <w:rPr>
                <w:vertAlign w:val="subscript"/>
              </w:rPr>
              <w:t xml:space="preserve"> </w:t>
            </w:r>
          </w:p>
        </w:tc>
        <w:tc>
          <w:tcPr>
            <w:tcW w:w="3367" w:type="dxa"/>
          </w:tcPr>
          <w:p w:rsidR="00253A2E" w:rsidRPr="009448FC" w:rsidRDefault="001238F1" w:rsidP="006222FE">
            <w:pPr>
              <w:pStyle w:val="IEEEStdsParagraph"/>
              <w:keepNext/>
              <w:jc w:val="center"/>
            </w:pPr>
            <w:r w:rsidRPr="009448FC">
              <w:rPr>
                <w:i/>
              </w:rPr>
              <w:t>N</w:t>
            </w:r>
            <w:r w:rsidRPr="009448FC">
              <w:rPr>
                <w:i/>
                <w:vertAlign w:val="subscript"/>
              </w:rPr>
              <w:t>SYM</w:t>
            </w:r>
            <w:r w:rsidRPr="009448FC">
              <w:t>×T</w:t>
            </w:r>
            <w:r w:rsidRPr="009448FC">
              <w:rPr>
                <w:vertAlign w:val="subscript"/>
              </w:rPr>
              <w:t>SYM</w:t>
            </w:r>
            <w:r w:rsidR="00281486" w:rsidRPr="009448FC">
              <w:rPr>
                <w:vertAlign w:val="subscript"/>
              </w:rPr>
              <w:t xml:space="preserve"> </w:t>
            </w:r>
            <w:r w:rsidRPr="009448FC">
              <w:t>(OFDM)</w:t>
            </w:r>
          </w:p>
          <w:p w:rsidR="001238F1" w:rsidRPr="009448FC" w:rsidRDefault="001238F1" w:rsidP="006222FE">
            <w:pPr>
              <w:pStyle w:val="IEEEStdsParagraph"/>
              <w:keepNext/>
              <w:jc w:val="center"/>
              <w:rPr>
                <w:i/>
              </w:rPr>
            </w:pPr>
            <w:r w:rsidRPr="009448FC">
              <w:rPr>
                <w:i/>
              </w:rPr>
              <w:t>N</w:t>
            </w:r>
            <w:r w:rsidRPr="009448FC">
              <w:rPr>
                <w:i/>
                <w:vertAlign w:val="subscript"/>
              </w:rPr>
              <w:t>BLKS</w:t>
            </w:r>
            <w:r w:rsidRPr="009448FC">
              <w:t>×512×T</w:t>
            </w:r>
            <w:r w:rsidRPr="009448FC">
              <w:rPr>
                <w:vertAlign w:val="subscript"/>
              </w:rPr>
              <w:t xml:space="preserve">c </w:t>
            </w:r>
            <w:r w:rsidRPr="009448FC">
              <w:t>(SC)</w:t>
            </w:r>
            <w:r w:rsidRPr="009448FC">
              <w:rPr>
                <w:rStyle w:val="FootnoteReference"/>
              </w:rPr>
              <w:footnoteReference w:id="1"/>
            </w:r>
          </w:p>
        </w:tc>
      </w:tr>
    </w:tbl>
    <w:p w:rsidR="00B243B6" w:rsidRPr="009448FC" w:rsidRDefault="00B243B6" w:rsidP="006222FE"/>
    <w:p w:rsidR="00B243B6" w:rsidRPr="009448FC" w:rsidRDefault="00B243B6" w:rsidP="006222FE"/>
    <w:p w:rsidR="00B243B6" w:rsidRPr="009448FC" w:rsidRDefault="00B243B6" w:rsidP="009448FC">
      <w:pPr>
        <w:pStyle w:val="Caption"/>
        <w:keepNext/>
        <w:numPr>
          <w:ilvl w:val="7"/>
          <w:numId w:val="0"/>
        </w:numPr>
        <w:rPr>
          <w:rFonts w:ascii="Times New Roman" w:hAnsi="Times New Roman"/>
          <w:color w:val="000000"/>
        </w:rPr>
      </w:pPr>
      <w:bookmarkStart w:id="3120" w:name="_Ref128910580"/>
      <w:bookmarkStart w:id="3121" w:name="_Toc133986700"/>
      <w:bookmarkStart w:id="3122" w:name="_Toc138055220"/>
    </w:p>
    <w:p w:rsidR="00B243B6" w:rsidRPr="009448FC" w:rsidRDefault="00B243B6" w:rsidP="009448FC">
      <w:pPr>
        <w:pStyle w:val="Caption"/>
        <w:keepNext/>
        <w:numPr>
          <w:ilvl w:val="7"/>
          <w:numId w:val="0"/>
        </w:numPr>
        <w:rPr>
          <w:rFonts w:ascii="Times New Roman" w:hAnsi="Times New Roman"/>
          <w:color w:val="000000"/>
        </w:rPr>
      </w:pPr>
    </w:p>
    <w:p w:rsidR="00B243B6" w:rsidRPr="009448FC" w:rsidRDefault="00B243B6" w:rsidP="009448FC">
      <w:pPr>
        <w:pStyle w:val="Caption"/>
        <w:keepNext/>
        <w:numPr>
          <w:ilvl w:val="7"/>
          <w:numId w:val="0"/>
        </w:numPr>
        <w:rPr>
          <w:rFonts w:ascii="Times New Roman" w:hAnsi="Times New Roman"/>
          <w:color w:val="000000"/>
        </w:rPr>
      </w:pPr>
    </w:p>
    <w:p w:rsidR="00DC546B" w:rsidRDefault="00DC546B" w:rsidP="009448FC">
      <w:pPr>
        <w:pStyle w:val="Caption"/>
        <w:outlineLvl w:val="0"/>
        <w:rPr>
          <w:rFonts w:ascii="Times New Roman" w:hAnsi="Times New Roman"/>
        </w:rPr>
      </w:pPr>
      <w:bookmarkStart w:id="3123" w:name="_Toc206391641"/>
      <w:bookmarkStart w:id="3124" w:name="_Toc206415736"/>
      <w:bookmarkStart w:id="3125" w:name="_Toc207100824"/>
      <w:bookmarkStart w:id="3126" w:name="_Toc225065787"/>
      <w:bookmarkStart w:id="3127" w:name="_Toc250654452"/>
      <w:bookmarkEnd w:id="3120"/>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B243B6" w:rsidRPr="009448FC" w:rsidRDefault="00B243B6" w:rsidP="009448FC">
      <w:pPr>
        <w:pStyle w:val="Caption"/>
        <w:outlineLvl w:val="0"/>
        <w:rPr>
          <w:rFonts w:ascii="Times New Roman" w:hAnsi="Times New Roman"/>
          <w:color w:val="000000"/>
        </w:rPr>
      </w:pPr>
      <w:bookmarkStart w:id="3128" w:name="_Toc259717646"/>
      <w:r w:rsidRPr="009448FC">
        <w:rPr>
          <w:rFonts w:ascii="Times New Roman" w:hAnsi="Times New Roman"/>
        </w:rPr>
        <w:t>Table</w:t>
      </w:r>
      <w:r w:rsidR="00EE1100" w:rsidRPr="009448FC">
        <w:rPr>
          <w:rFonts w:ascii="Times New Roman" w:hAnsi="Times New Roman"/>
        </w:rPr>
        <w:t xml:space="preserve"> </w:t>
      </w:r>
      <w:r w:rsidR="00BD151C" w:rsidRPr="009448FC">
        <w:rPr>
          <w:rFonts w:ascii="Times New Roman" w:hAnsi="Times New Roman"/>
        </w:rPr>
        <w:fldChar w:fldCharType="begin"/>
      </w:r>
      <w:r w:rsidRPr="009448FC">
        <w:rPr>
          <w:rFonts w:ascii="Times New Roman" w:hAnsi="Times New Roman"/>
        </w:rPr>
        <w:instrText xml:space="preserve"> SEQ Table \* ARABIC </w:instrText>
      </w:r>
      <w:r w:rsidR="00BD151C" w:rsidRPr="009448FC">
        <w:rPr>
          <w:rFonts w:ascii="Times New Roman" w:hAnsi="Times New Roman"/>
        </w:rPr>
        <w:fldChar w:fldCharType="separate"/>
      </w:r>
      <w:r w:rsidR="003E4210">
        <w:rPr>
          <w:rFonts w:ascii="Times New Roman" w:hAnsi="Times New Roman"/>
          <w:noProof/>
        </w:rPr>
        <w:t>68</w:t>
      </w:r>
      <w:r w:rsidR="00BD151C" w:rsidRPr="009448FC">
        <w:rPr>
          <w:rFonts w:ascii="Times New Roman" w:hAnsi="Times New Roman"/>
        </w:rPr>
        <w:fldChar w:fldCharType="end"/>
      </w:r>
      <w:r w:rsidR="00784429" w:rsidRPr="009448FC">
        <w:rPr>
          <w:rFonts w:ascii="Times New Roman" w:hAnsi="Times New Roman"/>
          <w:color w:val="000000"/>
        </w:rPr>
        <w:t xml:space="preserve"> – </w:t>
      </w:r>
      <w:bookmarkStart w:id="3129" w:name="_Ref129610260"/>
      <w:r w:rsidRPr="009448FC">
        <w:rPr>
          <w:rFonts w:ascii="Times New Roman" w:hAnsi="Times New Roman"/>
          <w:color w:val="000000"/>
        </w:rPr>
        <w:t>Frequently used parameters</w:t>
      </w:r>
      <w:bookmarkEnd w:id="3121"/>
      <w:bookmarkEnd w:id="3122"/>
      <w:bookmarkEnd w:id="3123"/>
      <w:bookmarkEnd w:id="3124"/>
      <w:bookmarkEnd w:id="3125"/>
      <w:bookmarkEnd w:id="3126"/>
      <w:bookmarkEnd w:id="3127"/>
      <w:bookmarkEnd w:id="3128"/>
      <w:bookmarkEnd w:id="3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1"/>
        <w:gridCol w:w="4500"/>
      </w:tblGrid>
      <w:tr w:rsidR="00B243B6" w:rsidRPr="00066F65" w:rsidTr="006222FE">
        <w:trPr>
          <w:jc w:val="center"/>
        </w:trPr>
        <w:tc>
          <w:tcPr>
            <w:tcW w:w="1151" w:type="dxa"/>
          </w:tcPr>
          <w:p w:rsidR="00B243B6" w:rsidRPr="009448FC" w:rsidRDefault="00B243B6" w:rsidP="006222FE">
            <w:pPr>
              <w:pStyle w:val="IEEEStdsParagraph"/>
              <w:keepNext/>
              <w:jc w:val="center"/>
              <w:rPr>
                <w:b/>
                <w:color w:val="000000"/>
              </w:rPr>
            </w:pPr>
            <w:r w:rsidRPr="009448FC">
              <w:rPr>
                <w:b/>
                <w:color w:val="000000"/>
              </w:rPr>
              <w:lastRenderedPageBreak/>
              <w:t>Symbol</w:t>
            </w:r>
          </w:p>
        </w:tc>
        <w:tc>
          <w:tcPr>
            <w:tcW w:w="4500" w:type="dxa"/>
          </w:tcPr>
          <w:p w:rsidR="00B243B6" w:rsidRPr="009448FC" w:rsidRDefault="00B243B6" w:rsidP="006222FE">
            <w:pPr>
              <w:pStyle w:val="IEEEStdsParagraph"/>
              <w:keepNext/>
              <w:jc w:val="left"/>
              <w:rPr>
                <w:b/>
                <w:color w:val="000000"/>
              </w:rPr>
            </w:pPr>
            <w:r w:rsidRPr="009448FC">
              <w:rPr>
                <w:b/>
                <w:color w:val="000000"/>
              </w:rPr>
              <w:t>Explanation</w:t>
            </w:r>
          </w:p>
        </w:tc>
      </w:tr>
      <w:tr w:rsidR="00B243B6" w:rsidRPr="00066F65" w:rsidTr="006222FE">
        <w:trPr>
          <w:jc w:val="center"/>
        </w:trPr>
        <w:tc>
          <w:tcPr>
            <w:tcW w:w="1151" w:type="dxa"/>
          </w:tcPr>
          <w:p w:rsidR="00B243B6" w:rsidRPr="009448FC" w:rsidRDefault="00B243B6" w:rsidP="006222FE">
            <w:pPr>
              <w:pStyle w:val="IEEEStdsParagraph"/>
              <w:keepNext/>
              <w:jc w:val="center"/>
              <w:rPr>
                <w:color w:val="000000"/>
              </w:rPr>
            </w:pPr>
            <w:r w:rsidRPr="009448FC">
              <w:rPr>
                <w:color w:val="000000"/>
                <w:position w:val="-12"/>
              </w:rPr>
              <w:object w:dxaOrig="600" w:dyaOrig="360">
                <v:shape id="_x0000_i1090" type="#_x0000_t75" style="width:30.8pt;height:17.65pt" o:ole="">
                  <v:imagedata r:id="rId230" o:title=""/>
                </v:shape>
                <o:OLEObject Type="Embed" ProgID="Equation.DSMT4" ShapeID="_x0000_i1090" DrawAspect="Content" ObjectID="_1334048271" r:id="rId231"/>
              </w:object>
            </w:r>
          </w:p>
        </w:tc>
        <w:tc>
          <w:tcPr>
            <w:tcW w:w="4500" w:type="dxa"/>
          </w:tcPr>
          <w:p w:rsidR="00B243B6" w:rsidRPr="009448FC" w:rsidRDefault="00B243B6" w:rsidP="006222FE">
            <w:pPr>
              <w:pStyle w:val="IEEEStdsParagraph"/>
              <w:keepNext/>
              <w:jc w:val="left"/>
              <w:rPr>
                <w:color w:val="000000"/>
              </w:rPr>
            </w:pPr>
            <w:r w:rsidRPr="009448FC">
              <w:rPr>
                <w:color w:val="000000"/>
              </w:rPr>
              <w:t>Number of coded bits per symbol</w:t>
            </w:r>
          </w:p>
        </w:tc>
      </w:tr>
      <w:tr w:rsidR="00B243B6" w:rsidRPr="00066F65" w:rsidTr="006222FE">
        <w:trPr>
          <w:jc w:val="center"/>
        </w:trPr>
        <w:tc>
          <w:tcPr>
            <w:tcW w:w="1151" w:type="dxa"/>
          </w:tcPr>
          <w:p w:rsidR="00B243B6" w:rsidRPr="009448FC" w:rsidRDefault="00B243B6" w:rsidP="006222FE">
            <w:pPr>
              <w:pStyle w:val="IEEEStdsParagraph"/>
              <w:keepNext/>
              <w:jc w:val="center"/>
              <w:rPr>
                <w:color w:val="000000"/>
              </w:rPr>
            </w:pPr>
            <w:r w:rsidRPr="009448FC">
              <w:rPr>
                <w:color w:val="000000"/>
                <w:position w:val="-12"/>
              </w:rPr>
              <w:object w:dxaOrig="620" w:dyaOrig="360">
                <v:shape id="_x0000_i1091" type="#_x0000_t75" style="width:31.7pt;height:17.65pt" o:ole="">
                  <v:imagedata r:id="rId232" o:title=""/>
                </v:shape>
                <o:OLEObject Type="Embed" ProgID="Equation.DSMT4" ShapeID="_x0000_i1091" DrawAspect="Content" ObjectID="_1334048272" r:id="rId233"/>
              </w:object>
            </w:r>
          </w:p>
        </w:tc>
        <w:tc>
          <w:tcPr>
            <w:tcW w:w="4500" w:type="dxa"/>
          </w:tcPr>
          <w:p w:rsidR="00B243B6" w:rsidRPr="009448FC" w:rsidRDefault="00B243B6" w:rsidP="006222FE">
            <w:pPr>
              <w:pStyle w:val="IEEEStdsParagraph"/>
              <w:keepNext/>
              <w:jc w:val="left"/>
              <w:rPr>
                <w:color w:val="000000"/>
              </w:rPr>
            </w:pPr>
            <w:r w:rsidRPr="009448FC">
              <w:rPr>
                <w:color w:val="000000"/>
              </w:rPr>
              <w:t>Number of data bits per symbol</w:t>
            </w:r>
          </w:p>
        </w:tc>
      </w:tr>
      <w:tr w:rsidR="00B243B6" w:rsidRPr="00066F65" w:rsidTr="006222FE">
        <w:trPr>
          <w:jc w:val="center"/>
        </w:trPr>
        <w:tc>
          <w:tcPr>
            <w:tcW w:w="1151" w:type="dxa"/>
          </w:tcPr>
          <w:p w:rsidR="00B243B6" w:rsidRPr="009448FC" w:rsidRDefault="00B243B6" w:rsidP="006222FE">
            <w:pPr>
              <w:pStyle w:val="IEEEStdsParagraph"/>
              <w:keepNext/>
              <w:jc w:val="center"/>
              <w:rPr>
                <w:b/>
                <w:color w:val="000000"/>
              </w:rPr>
            </w:pPr>
            <w:r w:rsidRPr="009448FC">
              <w:rPr>
                <w:color w:val="000000"/>
                <w:position w:val="-12"/>
              </w:rPr>
              <w:object w:dxaOrig="600" w:dyaOrig="360">
                <v:shape id="_x0000_i1092" type="#_x0000_t75" style="width:30.8pt;height:17.65pt" o:ole="">
                  <v:imagedata r:id="rId234" o:title=""/>
                </v:shape>
                <o:OLEObject Type="Embed" ProgID="Equation.DSMT4" ShapeID="_x0000_i1092" DrawAspect="Content" ObjectID="_1334048273" r:id="rId235"/>
              </w:object>
            </w:r>
          </w:p>
        </w:tc>
        <w:tc>
          <w:tcPr>
            <w:tcW w:w="4500" w:type="dxa"/>
          </w:tcPr>
          <w:p w:rsidR="00B243B6" w:rsidRPr="009448FC" w:rsidRDefault="00B243B6" w:rsidP="006222FE">
            <w:pPr>
              <w:pStyle w:val="IEEEStdsParagraph"/>
              <w:keepNext/>
              <w:jc w:val="left"/>
              <w:rPr>
                <w:color w:val="000000"/>
              </w:rPr>
            </w:pPr>
            <w:r w:rsidRPr="009448FC">
              <w:rPr>
                <w:color w:val="000000"/>
              </w:rPr>
              <w:t>Number of coded bits per single carrier</w:t>
            </w:r>
          </w:p>
        </w:tc>
      </w:tr>
      <w:tr w:rsidR="00B243B6" w:rsidRPr="00066F65" w:rsidTr="006222FE">
        <w:trPr>
          <w:jc w:val="center"/>
        </w:trPr>
        <w:tc>
          <w:tcPr>
            <w:tcW w:w="1151" w:type="dxa"/>
          </w:tcPr>
          <w:p w:rsidR="00B243B6" w:rsidRPr="009448FC" w:rsidRDefault="00B243B6" w:rsidP="006222FE">
            <w:pPr>
              <w:pStyle w:val="IEEEStdsParagraph"/>
              <w:keepNext/>
              <w:jc w:val="center"/>
              <w:rPr>
                <w:color w:val="000000"/>
              </w:rPr>
            </w:pPr>
            <w:r w:rsidRPr="009448FC">
              <w:rPr>
                <w:color w:val="000000"/>
                <w:position w:val="-4"/>
              </w:rPr>
              <w:object w:dxaOrig="240" w:dyaOrig="260">
                <v:shape id="_x0000_i1093" type="#_x0000_t75" style="width:10.4pt;height:13.15pt" o:ole="">
                  <v:imagedata r:id="rId236" o:title=""/>
                </v:shape>
                <o:OLEObject Type="Embed" ProgID="Equation.DSMT4" ShapeID="_x0000_i1093" DrawAspect="Content" ObjectID="_1334048274" r:id="rId237"/>
              </w:object>
            </w:r>
          </w:p>
        </w:tc>
        <w:tc>
          <w:tcPr>
            <w:tcW w:w="4500" w:type="dxa"/>
          </w:tcPr>
          <w:p w:rsidR="00B243B6" w:rsidRPr="009448FC" w:rsidRDefault="00B243B6" w:rsidP="006222FE">
            <w:pPr>
              <w:pStyle w:val="IEEEStdsParagraph"/>
              <w:keepNext/>
              <w:jc w:val="left"/>
              <w:rPr>
                <w:color w:val="000000"/>
              </w:rPr>
            </w:pPr>
            <w:r w:rsidRPr="009448FC">
              <w:rPr>
                <w:color w:val="000000"/>
              </w:rPr>
              <w:t>Code rate</w:t>
            </w:r>
          </w:p>
        </w:tc>
      </w:tr>
    </w:tbl>
    <w:p w:rsidR="00B243B6" w:rsidRPr="009448FC" w:rsidRDefault="00B243B6" w:rsidP="006222FE"/>
    <w:p w:rsidR="00B243B6" w:rsidRPr="009448FC" w:rsidRDefault="00B243B6" w:rsidP="003701DB">
      <w:pPr>
        <w:pStyle w:val="Heading3"/>
        <w:keepLines w:val="0"/>
        <w:numPr>
          <w:ilvl w:val="2"/>
          <w:numId w:val="39"/>
        </w:numPr>
        <w:rPr>
          <w:rFonts w:ascii="Times New Roman" w:hAnsi="Times New Roman"/>
        </w:rPr>
      </w:pPr>
      <w:bookmarkStart w:id="3130" w:name="_Toc206227635"/>
      <w:bookmarkStart w:id="3131" w:name="_Toc206415582"/>
      <w:bookmarkStart w:id="3132" w:name="_Toc206418389"/>
      <w:bookmarkStart w:id="3133" w:name="_Toc207099144"/>
      <w:bookmarkStart w:id="3134" w:name="_Toc207099749"/>
      <w:bookmarkStart w:id="3135" w:name="_Toc207100668"/>
      <w:bookmarkStart w:id="3136" w:name="_Toc207348590"/>
      <w:bookmarkStart w:id="3137" w:name="_Toc215582946"/>
      <w:bookmarkStart w:id="3138" w:name="_Toc235400639"/>
      <w:bookmarkStart w:id="3139" w:name="_Toc259717324"/>
      <w:r w:rsidRPr="009448FC">
        <w:rPr>
          <w:rFonts w:ascii="Times New Roman" w:hAnsi="Times New Roman"/>
        </w:rPr>
        <w:t xml:space="preserve">Mathematical </w:t>
      </w:r>
      <w:r w:rsidR="00C73346">
        <w:rPr>
          <w:rFonts w:ascii="Times New Roman" w:hAnsi="Times New Roman"/>
        </w:rPr>
        <w:t>c</w:t>
      </w:r>
      <w:r w:rsidRPr="009448FC">
        <w:rPr>
          <w:rFonts w:ascii="Times New Roman" w:hAnsi="Times New Roman"/>
        </w:rPr>
        <w:t>onventions in the signal description</w:t>
      </w:r>
      <w:bookmarkEnd w:id="3130"/>
      <w:bookmarkEnd w:id="3131"/>
      <w:bookmarkEnd w:id="3132"/>
      <w:bookmarkEnd w:id="3133"/>
      <w:bookmarkEnd w:id="3134"/>
      <w:bookmarkEnd w:id="3135"/>
      <w:bookmarkEnd w:id="3136"/>
      <w:bookmarkEnd w:id="3137"/>
      <w:bookmarkEnd w:id="3138"/>
      <w:bookmarkEnd w:id="3139"/>
    </w:p>
    <w:p w:rsidR="00B243B6" w:rsidRPr="009448FC" w:rsidRDefault="00B243B6" w:rsidP="006222FE">
      <w:pPr>
        <w:pStyle w:val="IEEEStdsParagraph"/>
        <w:rPr>
          <w:color w:val="000000"/>
          <w:sz w:val="24"/>
        </w:rPr>
      </w:pPr>
      <w:r w:rsidRPr="009448FC">
        <w:rPr>
          <w:color w:val="000000"/>
          <w:sz w:val="24"/>
        </w:rPr>
        <w:t xml:space="preserve">The transmitted signal is described in complex base-band signal notation. The actual transmitted signal is related to the complex baseband signal </w:t>
      </w:r>
      <w:r w:rsidR="008B4C45" w:rsidRPr="009448FC">
        <w:rPr>
          <w:color w:val="000000"/>
          <w:position w:val="-14"/>
          <w:sz w:val="24"/>
        </w:rPr>
        <w:object w:dxaOrig="480" w:dyaOrig="400">
          <v:shape id="_x0000_i1094" type="#_x0000_t75" style="width:25.8pt;height:20.4pt" o:ole="">
            <v:imagedata r:id="rId238" o:title=""/>
          </v:shape>
          <o:OLEObject Type="Embed" ProgID="Equation.DSMT4" ShapeID="_x0000_i1094" DrawAspect="Content" ObjectID="_1334048275" r:id="rId239"/>
        </w:object>
      </w:r>
      <w:r w:rsidR="00EE1100" w:rsidRPr="009448FC">
        <w:rPr>
          <w:color w:val="000000"/>
          <w:sz w:val="24"/>
        </w:rPr>
        <w:t xml:space="preserve"> </w:t>
      </w:r>
      <w:r w:rsidRPr="009448FC">
        <w:rPr>
          <w:color w:val="000000"/>
          <w:sz w:val="24"/>
        </w:rPr>
        <w:t>by the following relation:</w:t>
      </w:r>
    </w:p>
    <w:p w:rsidR="00B243B6" w:rsidRPr="009448FC" w:rsidRDefault="00B243B6" w:rsidP="006222FE">
      <w:pPr>
        <w:pStyle w:val="IEEEStdsEquation"/>
        <w:rPr>
          <w:color w:val="000000"/>
        </w:rPr>
      </w:pPr>
      <w:r w:rsidRPr="009448FC">
        <w:rPr>
          <w:color w:val="000000"/>
        </w:rPr>
        <w:tab/>
      </w:r>
      <w:r w:rsidRPr="009448FC">
        <w:rPr>
          <w:color w:val="000000"/>
          <w:position w:val="-16"/>
        </w:rPr>
        <w:object w:dxaOrig="3300" w:dyaOrig="440">
          <v:shape id="_x0000_i1095" type="#_x0000_t75" style="width:164.4pt;height:21.3pt" o:ole="">
            <v:imagedata r:id="rId240" o:title=""/>
          </v:shape>
          <o:OLEObject Type="Embed" ProgID="Equation.DSMT4" ShapeID="_x0000_i1095" DrawAspect="Content" ObjectID="_1334048276" r:id="rId241"/>
        </w:object>
      </w:r>
      <w:r w:rsidRPr="009448FC">
        <w:rPr>
          <w:color w:val="000000"/>
        </w:rPr>
        <w:tab/>
        <w:t>(20-</w:t>
      </w:r>
      <w:fldSimple w:instr=" SEQ Equation \* MERGEFORMAT ">
        <w:r w:rsidR="003E4210" w:rsidRPr="003E4210">
          <w:rPr>
            <w:noProof/>
            <w:color w:val="000000"/>
          </w:rPr>
          <w:t>1</w:t>
        </w:r>
      </w:fldSimple>
      <w:r w:rsidRPr="009448FC">
        <w:rPr>
          <w:color w:val="000000"/>
        </w:rPr>
        <w:t>)</w:t>
      </w:r>
    </w:p>
    <w:p w:rsidR="00B243B6" w:rsidRPr="009448FC" w:rsidRDefault="00B243B6" w:rsidP="006222FE">
      <w:pPr>
        <w:pStyle w:val="IEEEStdsParagraph"/>
        <w:rPr>
          <w:color w:val="000000"/>
          <w:sz w:val="24"/>
        </w:rPr>
      </w:pPr>
      <w:r w:rsidRPr="009448FC">
        <w:rPr>
          <w:color w:val="000000"/>
          <w:sz w:val="24"/>
        </w:rPr>
        <w:t>where</w:t>
      </w:r>
    </w:p>
    <w:p w:rsidR="00B243B6" w:rsidRPr="009448FC" w:rsidRDefault="00B243B6" w:rsidP="006222FE">
      <w:pPr>
        <w:pStyle w:val="IEEEStdsEquationVariableList"/>
        <w:rPr>
          <w:color w:val="000000"/>
          <w:sz w:val="24"/>
        </w:rPr>
      </w:pPr>
      <w:r w:rsidRPr="009448FC">
        <w:rPr>
          <w:color w:val="000000"/>
          <w:position w:val="-14"/>
          <w:sz w:val="24"/>
        </w:rPr>
        <w:object w:dxaOrig="700" w:dyaOrig="400">
          <v:shape id="_x0000_i1096" type="#_x0000_t75" style="width:38.05pt;height:20.4pt" o:ole="">
            <v:imagedata r:id="rId242" o:title=""/>
          </v:shape>
          <o:OLEObject Type="Embed" ProgID="Equation.DSMT4" ShapeID="_x0000_i1096" DrawAspect="Content" ObjectID="_1334048277" r:id="rId243"/>
        </w:object>
      </w:r>
      <w:r w:rsidRPr="009448FC">
        <w:rPr>
          <w:color w:val="000000"/>
          <w:sz w:val="24"/>
        </w:rPr>
        <w:tab/>
        <w:t>represents the real part of a complex variable;</w:t>
      </w:r>
    </w:p>
    <w:p w:rsidR="00B243B6" w:rsidRPr="009448FC" w:rsidRDefault="00B243B6" w:rsidP="006222FE">
      <w:pPr>
        <w:pStyle w:val="IEEEStdsEquationVariableList"/>
        <w:rPr>
          <w:color w:val="000000"/>
          <w:sz w:val="24"/>
        </w:rPr>
      </w:pPr>
      <w:r w:rsidRPr="009448FC">
        <w:rPr>
          <w:color w:val="000000"/>
          <w:position w:val="-12"/>
          <w:sz w:val="24"/>
        </w:rPr>
        <w:object w:dxaOrig="260" w:dyaOrig="360">
          <v:shape id="_x0000_i1097" type="#_x0000_t75" style="width:13.15pt;height:17.65pt" o:ole="">
            <v:imagedata r:id="rId244" o:title=""/>
          </v:shape>
          <o:OLEObject Type="Embed" ProgID="Equation.DSMT4" ShapeID="_x0000_i1097" DrawAspect="Content" ObjectID="_1334048278" r:id="rId245"/>
        </w:object>
      </w:r>
      <w:r w:rsidRPr="009448FC">
        <w:rPr>
          <w:color w:val="000000"/>
          <w:sz w:val="24"/>
        </w:rPr>
        <w:tab/>
      </w:r>
      <w:r w:rsidRPr="009448FC">
        <w:rPr>
          <w:color w:val="000000"/>
          <w:sz w:val="24"/>
        </w:rPr>
        <w:tab/>
      </w:r>
      <w:r w:rsidRPr="009448FC">
        <w:rPr>
          <w:color w:val="000000"/>
          <w:sz w:val="24"/>
        </w:rPr>
        <w:tab/>
        <w:t>is the center frequency of the carrier.</w:t>
      </w:r>
    </w:p>
    <w:p w:rsidR="00B243B6" w:rsidRPr="009448FC" w:rsidRDefault="00B243B6" w:rsidP="009773E2">
      <w:pPr>
        <w:rPr>
          <w:color w:val="000000"/>
        </w:rPr>
      </w:pPr>
      <w:r w:rsidRPr="009448FC">
        <w:rPr>
          <w:color w:val="000000"/>
        </w:rPr>
        <w:t xml:space="preserve">The transmitted RF signal is </w:t>
      </w:r>
      <w:r w:rsidR="008B4C45" w:rsidRPr="009448FC">
        <w:rPr>
          <w:color w:val="000000"/>
        </w:rPr>
        <w:t xml:space="preserve">generated </w:t>
      </w:r>
      <w:r w:rsidRPr="009448FC">
        <w:rPr>
          <w:color w:val="000000"/>
        </w:rPr>
        <w:t>by modulating the complex baseband signal, which consists of several fields.</w:t>
      </w:r>
      <w:r w:rsidR="00281486" w:rsidRPr="009448FC">
        <w:rPr>
          <w:color w:val="000000"/>
        </w:rPr>
        <w:t xml:space="preserve"> </w:t>
      </w:r>
      <w:r w:rsidRPr="009448FC">
        <w:rPr>
          <w:color w:val="000000"/>
        </w:rPr>
        <w:t xml:space="preserve">The </w:t>
      </w:r>
      <w:r w:rsidR="006C25DD" w:rsidRPr="009448FC">
        <w:rPr>
          <w:color w:val="000000"/>
        </w:rPr>
        <w:t xml:space="preserve">fields and the </w:t>
      </w:r>
      <w:r w:rsidRPr="009448FC">
        <w:rPr>
          <w:color w:val="000000"/>
        </w:rPr>
        <w:t xml:space="preserve">timing boundaries for the various fields are shown in </w:t>
      </w:r>
      <w:r w:rsidR="00BD151C">
        <w:rPr>
          <w:color w:val="000000"/>
        </w:rPr>
        <w:fldChar w:fldCharType="begin"/>
      </w:r>
      <w:r w:rsidR="00074699">
        <w:rPr>
          <w:color w:val="000000"/>
        </w:rPr>
        <w:instrText xml:space="preserve"> REF _Ref236560729 \h </w:instrText>
      </w:r>
      <w:r w:rsidR="00BD151C">
        <w:rPr>
          <w:color w:val="000000"/>
        </w:rPr>
      </w:r>
      <w:r w:rsidR="00BD151C">
        <w:rPr>
          <w:color w:val="000000"/>
        </w:rPr>
        <w:fldChar w:fldCharType="separate"/>
      </w:r>
      <w:r w:rsidR="003E4210" w:rsidRPr="00066F65">
        <w:t xml:space="preserve">Figure </w:t>
      </w:r>
      <w:r w:rsidR="003E4210">
        <w:rPr>
          <w:noProof/>
        </w:rPr>
        <w:t>131</w:t>
      </w:r>
      <w:r w:rsidR="00BD151C">
        <w:rPr>
          <w:color w:val="000000"/>
        </w:rPr>
        <w:fldChar w:fldCharType="end"/>
      </w:r>
    </w:p>
    <w:p w:rsidR="0090561B" w:rsidRPr="009448FC" w:rsidRDefault="0090561B" w:rsidP="006222FE">
      <w:pPr>
        <w:keepNext/>
        <w:jc w:val="center"/>
      </w:pPr>
    </w:p>
    <w:p w:rsidR="00B243B6" w:rsidRPr="009448FC" w:rsidRDefault="00D04E29" w:rsidP="006222FE">
      <w:pPr>
        <w:keepNext/>
        <w:jc w:val="center"/>
      </w:pPr>
      <w:r w:rsidRPr="009448FC">
        <w:object w:dxaOrig="8834" w:dyaOrig="784">
          <v:shape id="_x0000_i1098" type="#_x0000_t75" style="width:440.15pt;height:40.3pt" o:ole="">
            <v:imagedata r:id="rId246" o:title=""/>
          </v:shape>
          <o:OLEObject Type="Embed" ProgID="Visio.Drawing.11" ShapeID="_x0000_i1098" DrawAspect="Content" ObjectID="_1334048279" r:id="rId247"/>
        </w:object>
      </w:r>
    </w:p>
    <w:p w:rsidR="00B243B6" w:rsidRPr="00066F65" w:rsidRDefault="006339CA" w:rsidP="00BA5BC4">
      <w:pPr>
        <w:pStyle w:val="Caption"/>
        <w:rPr>
          <w:rFonts w:cs="Arial"/>
          <w:noProof/>
        </w:rPr>
      </w:pPr>
      <w:bookmarkStart w:id="3140" w:name="_Ref236560729"/>
      <w:bookmarkStart w:id="3141" w:name="_Toc206227781"/>
      <w:bookmarkStart w:id="3142" w:name="_Toc206748186"/>
      <w:bookmarkStart w:id="3143" w:name="_Toc207100814"/>
      <w:bookmarkStart w:id="3144" w:name="_Toc259717563"/>
      <w:r w:rsidRPr="00066F65">
        <w:t xml:space="preserve">Figure </w:t>
      </w:r>
      <w:r w:rsidR="00BD151C">
        <w:fldChar w:fldCharType="begin"/>
      </w:r>
      <w:r w:rsidR="00801316">
        <w:instrText xml:space="preserve"> SEQ Figure \* ARABIC </w:instrText>
      </w:r>
      <w:r w:rsidR="00BD151C">
        <w:fldChar w:fldCharType="separate"/>
      </w:r>
      <w:r w:rsidR="003E4210">
        <w:rPr>
          <w:noProof/>
        </w:rPr>
        <w:t>131</w:t>
      </w:r>
      <w:r w:rsidR="00BD151C">
        <w:fldChar w:fldCharType="end"/>
      </w:r>
      <w:bookmarkEnd w:id="3140"/>
      <w:r w:rsidR="00784429" w:rsidRPr="00066F65">
        <w:t xml:space="preserve"> </w:t>
      </w:r>
      <w:r w:rsidR="00784429" w:rsidRPr="00066F65">
        <w:rPr>
          <w:rFonts w:cs="Arial"/>
        </w:rPr>
        <w:t xml:space="preserve">– </w:t>
      </w:r>
      <w:r w:rsidR="00B243B6" w:rsidRPr="00066F65">
        <w:rPr>
          <w:rFonts w:cs="Arial"/>
          <w:noProof/>
        </w:rPr>
        <w:t>Packet structure</w:t>
      </w:r>
      <w:bookmarkEnd w:id="3141"/>
      <w:bookmarkEnd w:id="3142"/>
      <w:bookmarkEnd w:id="3143"/>
      <w:bookmarkEnd w:id="3144"/>
      <w:r w:rsidR="00BE1F31">
        <w:rPr>
          <w:rFonts w:cs="Arial"/>
          <w:noProof/>
        </w:rPr>
        <w:t xml:space="preserve"> </w:t>
      </w:r>
    </w:p>
    <w:p w:rsidR="00B243B6" w:rsidRPr="009448FC" w:rsidRDefault="00B243B6" w:rsidP="006222FE">
      <w:pPr>
        <w:pStyle w:val="IEEEStdsParagraph"/>
      </w:pPr>
    </w:p>
    <w:p w:rsidR="00B243B6" w:rsidRPr="009448FC" w:rsidRDefault="00B243B6" w:rsidP="006222FE">
      <w:pPr>
        <w:rPr>
          <w:color w:val="000000"/>
        </w:rPr>
      </w:pPr>
      <w:r w:rsidRPr="009448FC">
        <w:rPr>
          <w:color w:val="000000"/>
        </w:rPr>
        <w:t xml:space="preserve">The time offset, </w:t>
      </w:r>
      <w:r w:rsidRPr="009448FC">
        <w:rPr>
          <w:color w:val="000000"/>
          <w:position w:val="-12"/>
        </w:rPr>
        <w:object w:dxaOrig="460" w:dyaOrig="360">
          <v:shape id="_x0000_i1099" type="#_x0000_t75" style="width:22.65pt;height:17.65pt" o:ole="">
            <v:imagedata r:id="rId248" o:title=""/>
          </v:shape>
          <o:OLEObject Type="Embed" ProgID="Equation.DSMT4" ShapeID="_x0000_i1099" DrawAspect="Content" ObjectID="_1334048280" r:id="rId249"/>
        </w:object>
      </w:r>
      <w:r w:rsidRPr="009448FC">
        <w:rPr>
          <w:color w:val="000000"/>
        </w:rPr>
        <w:t>, determines the starting time of the corresponding field.</w:t>
      </w:r>
      <w:r w:rsidR="001238F1" w:rsidRPr="009448FC">
        <w:rPr>
          <w:color w:val="000000"/>
        </w:rPr>
        <w:t xml:space="preserve"> </w:t>
      </w:r>
    </w:p>
    <w:p w:rsidR="00B243B6" w:rsidRPr="009448FC" w:rsidRDefault="001238F1" w:rsidP="006222FE">
      <w:pPr>
        <w:pStyle w:val="IEEEStdsEquation"/>
        <w:rPr>
          <w:color w:val="000000"/>
        </w:rPr>
      </w:pPr>
      <w:r w:rsidRPr="009448FC">
        <w:rPr>
          <w:color w:val="000000"/>
          <w:position w:val="-94"/>
        </w:rPr>
        <w:object w:dxaOrig="4040" w:dyaOrig="2000">
          <v:shape id="_x0000_i1100" type="#_x0000_t75" style="width:201.95pt;height:100.1pt" o:ole="">
            <v:imagedata r:id="rId250" o:title=""/>
          </v:shape>
          <o:OLEObject Type="Embed" ProgID="Equation.DSMT4" ShapeID="_x0000_i1100" DrawAspect="Content" ObjectID="_1334048281" r:id="rId251"/>
        </w:object>
      </w:r>
      <w:r w:rsidR="00B243B6" w:rsidRPr="009448FC">
        <w:rPr>
          <w:color w:val="000000"/>
        </w:rPr>
        <w:tab/>
        <w:t>(20-</w:t>
      </w:r>
      <w:fldSimple w:instr=" SEQ Equation \* MERGEFORMAT ">
        <w:r w:rsidR="003E4210" w:rsidRPr="003E4210">
          <w:rPr>
            <w:noProof/>
            <w:color w:val="000000"/>
          </w:rPr>
          <w:t>2</w:t>
        </w:r>
      </w:fldSimple>
      <w:r w:rsidR="00B243B6" w:rsidRPr="009448FC">
        <w:rPr>
          <w:color w:val="000000"/>
        </w:rPr>
        <w:t>)</w:t>
      </w:r>
    </w:p>
    <w:p w:rsidR="00B243B6" w:rsidRPr="009448FC" w:rsidRDefault="00B243B6" w:rsidP="006222FE">
      <w:pPr>
        <w:rPr>
          <w:color w:val="000000"/>
        </w:rPr>
      </w:pPr>
      <w:r w:rsidRPr="009448FC">
        <w:rPr>
          <w:color w:val="000000"/>
        </w:rPr>
        <w:t>Where</w:t>
      </w:r>
      <w:r w:rsidR="00784429" w:rsidRPr="009448FC">
        <w:rPr>
          <w:color w:val="000000"/>
        </w:rPr>
        <w:t>:</w:t>
      </w:r>
    </w:p>
    <w:p w:rsidR="00B243B6" w:rsidRPr="009448FC" w:rsidRDefault="001238F1" w:rsidP="006222FE">
      <w:r w:rsidRPr="009448FC">
        <w:rPr>
          <w:position w:val="-66"/>
        </w:rPr>
        <w:object w:dxaOrig="2000" w:dyaOrig="1440">
          <v:shape id="_x0000_i1101" type="#_x0000_t75" style="width:100.1pt;height:1in" o:ole="">
            <v:imagedata r:id="rId252" o:title=""/>
          </v:shape>
          <o:OLEObject Type="Embed" ProgID="Equation.DSMT4" ShapeID="_x0000_i1101" DrawAspect="Content" ObjectID="_1334048282" r:id="rId253"/>
        </w:object>
      </w:r>
    </w:p>
    <w:p w:rsidR="00B243B6" w:rsidRPr="009448FC" w:rsidRDefault="00B243B6" w:rsidP="00D04E29">
      <w:pPr>
        <w:outlineLvl w:val="0"/>
      </w:pPr>
      <w:r w:rsidRPr="009448FC">
        <w:t>Each OFDM base band waveform</w:t>
      </w:r>
      <w:r w:rsidR="00281486" w:rsidRPr="009448FC">
        <w:t xml:space="preserve"> </w:t>
      </w:r>
      <w:r w:rsidR="0055790F" w:rsidRPr="009448FC">
        <w:rPr>
          <w:position w:val="-14"/>
        </w:rPr>
        <w:object w:dxaOrig="1060" w:dyaOrig="400">
          <v:shape id="_x0000_i1102" type="#_x0000_t75" style="width:54.35pt;height:20.4pt" o:ole="">
            <v:imagedata r:id="rId254" o:title=""/>
          </v:shape>
          <o:OLEObject Type="Embed" ProgID="Equation.DSMT4" ShapeID="_x0000_i1102" DrawAspect="Content" ObjectID="_1334048283" r:id="rId255"/>
        </w:object>
      </w:r>
      <w:r w:rsidR="0055790F" w:rsidRPr="009448FC">
        <w:t xml:space="preserve">, for the fields above, is defined via the discrete inverse Fourier transform </w:t>
      </w:r>
      <w:r w:rsidRPr="009448FC">
        <w:t xml:space="preserve">as </w:t>
      </w:r>
    </w:p>
    <w:p w:rsidR="00B243B6" w:rsidRPr="009448FC" w:rsidRDefault="00480552" w:rsidP="006222FE">
      <w:r w:rsidRPr="009448FC">
        <w:rPr>
          <w:position w:val="-28"/>
        </w:rPr>
        <w:object w:dxaOrig="5360" w:dyaOrig="680">
          <v:shape id="_x0000_i1103" type="#_x0000_t75" style="width:266.7pt;height:33.95pt" o:ole="">
            <v:imagedata r:id="rId256" o:title=""/>
          </v:shape>
          <o:OLEObject Type="Embed" ProgID="Equation.DSMT4" ShapeID="_x0000_i1103" DrawAspect="Content" ObjectID="_1334048284" r:id="rId257"/>
        </w:object>
      </w:r>
      <w:r w:rsidR="00281486" w:rsidRPr="009448FC">
        <w:t xml:space="preserve"> </w:t>
      </w:r>
    </w:p>
    <w:p w:rsidR="0055790F" w:rsidRPr="009448FC" w:rsidRDefault="00B243B6" w:rsidP="00480552">
      <w:r w:rsidRPr="009448FC">
        <w:t xml:space="preserve">Where </w:t>
      </w:r>
      <w:r w:rsidRPr="009448FC">
        <w:rPr>
          <w:position w:val="-12"/>
        </w:rPr>
        <w:object w:dxaOrig="340" w:dyaOrig="360">
          <v:shape id="_x0000_i1104" type="#_x0000_t75" style="width:17.65pt;height:17.65pt" o:ole="">
            <v:imagedata r:id="rId258" o:title=""/>
          </v:shape>
          <o:OLEObject Type="Embed" ProgID="Equation.DSMT4" ShapeID="_x0000_i1104" DrawAspect="Content" ObjectID="_1334048285" r:id="rId259"/>
        </w:object>
      </w:r>
      <w:r w:rsidRPr="009448FC">
        <w:t xml:space="preserve">is the complex constellation point to be transmitted on subcarrier </w:t>
      </w:r>
      <w:r w:rsidRPr="009448FC">
        <w:rPr>
          <w:i/>
        </w:rPr>
        <w:t>k</w:t>
      </w:r>
      <w:r w:rsidR="00655EA4" w:rsidRPr="009448FC">
        <w:rPr>
          <w:i/>
        </w:rPr>
        <w:t>.</w:t>
      </w:r>
      <w:r w:rsidR="00281486" w:rsidRPr="009448FC">
        <w:t xml:space="preserve"> </w:t>
      </w:r>
      <w:r w:rsidR="0055790F" w:rsidRPr="009448FC">
        <w:rPr>
          <w:i/>
        </w:rPr>
        <w:t xml:space="preserve">n </w:t>
      </w:r>
      <w:r w:rsidR="0055790F" w:rsidRPr="009448FC">
        <w:t>is the discrete time index.</w:t>
      </w:r>
      <w:r w:rsidR="00EE1100" w:rsidRPr="009448FC">
        <w:t xml:space="preserve"> </w:t>
      </w:r>
      <w:r w:rsidRPr="009448FC">
        <w:t xml:space="preserve">The window </w:t>
      </w:r>
      <w:r w:rsidRPr="009448FC">
        <w:rPr>
          <w:position w:val="-16"/>
        </w:rPr>
        <w:object w:dxaOrig="880" w:dyaOrig="420">
          <v:shape id="_x0000_i1105" type="#_x0000_t75" style="width:44.85pt;height:20.4pt" o:ole="">
            <v:imagedata r:id="rId260" o:title=""/>
          </v:shape>
          <o:OLEObject Type="Embed" ProgID="Equation.DSMT4" ShapeID="_x0000_i1105" DrawAspect="Content" ObjectID="_1334048286" r:id="rId261"/>
        </w:object>
      </w:r>
      <w:r w:rsidRPr="009448FC">
        <w:t xml:space="preserve"> is user defined and is used to smooth the transition between fields.</w:t>
      </w:r>
      <w:r w:rsidR="0055790F" w:rsidRPr="009448FC">
        <w:t xml:space="preserve"> </w:t>
      </w:r>
    </w:p>
    <w:p w:rsidR="00B243B6" w:rsidRPr="009448FC" w:rsidRDefault="00B243B6" w:rsidP="006222FE"/>
    <w:p w:rsidR="00B243B6" w:rsidRPr="009448FC" w:rsidRDefault="00B243B6" w:rsidP="006222FE">
      <w:r w:rsidRPr="009448FC">
        <w:t>The base band waveform for fields defined by time domain sequences or for single carrier transmission is:</w:t>
      </w:r>
    </w:p>
    <w:p w:rsidR="00B243B6" w:rsidRPr="009448FC" w:rsidRDefault="00B243B6" w:rsidP="006222FE">
      <w:r w:rsidRPr="009448FC">
        <w:rPr>
          <w:position w:val="-14"/>
        </w:rPr>
        <w:object w:dxaOrig="1719" w:dyaOrig="400">
          <v:shape id="_x0000_i1106" type="#_x0000_t75" style="width:85.15pt;height:20.4pt" o:ole="">
            <v:imagedata r:id="rId262" o:title=""/>
          </v:shape>
          <o:OLEObject Type="Embed" ProgID="Equation.DSMT4" ShapeID="_x0000_i1106" DrawAspect="Content" ObjectID="_1334048287" r:id="rId263"/>
        </w:object>
      </w:r>
    </w:p>
    <w:p w:rsidR="00B243B6" w:rsidRPr="009448FC" w:rsidRDefault="00B243B6" w:rsidP="0090561B">
      <w:pPr>
        <w:outlineLvl w:val="0"/>
      </w:pPr>
      <w:r w:rsidRPr="009448FC">
        <w:t xml:space="preserve">Where </w:t>
      </w:r>
      <w:r w:rsidRPr="009448FC">
        <w:rPr>
          <w:position w:val="-14"/>
        </w:rPr>
        <w:object w:dxaOrig="540" w:dyaOrig="400">
          <v:shape id="_x0000_i1107" type="#_x0000_t75" style="width:27.15pt;height:20.4pt" o:ole="">
            <v:imagedata r:id="rId264" o:title=""/>
          </v:shape>
          <o:OLEObject Type="Embed" ProgID="Equation.DSMT4" ShapeID="_x0000_i1107" DrawAspect="Content" ObjectID="_1334048288" r:id="rId265"/>
        </w:object>
      </w:r>
      <w:r w:rsidRPr="009448FC">
        <w:t xml:space="preserve">is the </w:t>
      </w:r>
      <w:r w:rsidRPr="009448FC">
        <w:rPr>
          <w:i/>
        </w:rPr>
        <w:t>n</w:t>
      </w:r>
      <w:r w:rsidR="00D15603" w:rsidRPr="009448FC">
        <w:t>’th constellation point.</w:t>
      </w:r>
    </w:p>
    <w:p w:rsidR="00B243B6" w:rsidRPr="009448FC" w:rsidRDefault="00D87913" w:rsidP="00830AF4">
      <w:r w:rsidRPr="009448FC">
        <w:t xml:space="preserve"> </w:t>
      </w:r>
    </w:p>
    <w:p w:rsidR="00B243B6" w:rsidRPr="009448FC" w:rsidRDefault="00B243B6" w:rsidP="006222FE">
      <w:r w:rsidRPr="009448FC">
        <w:t>Conversion from the sampled digital domain to the continuous time domain is beyond the scope of this document.</w:t>
      </w:r>
      <w:r w:rsidR="00D15603" w:rsidRPr="009448FC">
        <w:t xml:space="preserve"> </w:t>
      </w:r>
      <w:r w:rsidRPr="009448FC">
        <w:t xml:space="preserve">Filtering for pulse shaping such as in GMSK is beyond the scope of this </w:t>
      </w:r>
      <w:r w:rsidR="00032059" w:rsidRPr="009448FC">
        <w:t>specification</w:t>
      </w:r>
      <w:r w:rsidRPr="009448FC">
        <w:t xml:space="preserve">. </w:t>
      </w:r>
    </w:p>
    <w:p w:rsidR="00677B9A" w:rsidRPr="009448FC" w:rsidRDefault="00677B9A" w:rsidP="006222FE"/>
    <w:p w:rsidR="00677B9A" w:rsidRPr="009448FC" w:rsidRDefault="00677B9A" w:rsidP="003701DB">
      <w:pPr>
        <w:pStyle w:val="Heading4"/>
        <w:numPr>
          <w:ilvl w:val="3"/>
          <w:numId w:val="39"/>
        </w:numPr>
      </w:pPr>
      <w:bookmarkStart w:id="3145" w:name="_Toc235400640"/>
      <w:bookmarkStart w:id="3146" w:name="_Toc259717325"/>
      <w:r w:rsidRPr="009448FC">
        <w:t>The windowing function</w:t>
      </w:r>
      <w:bookmarkEnd w:id="3145"/>
      <w:bookmarkEnd w:id="3146"/>
    </w:p>
    <w:p w:rsidR="00411681" w:rsidRDefault="00411681" w:rsidP="00411681"/>
    <w:p w:rsidR="003E4724" w:rsidRDefault="00E7528B">
      <w:r w:rsidRPr="009448FC">
        <w:t xml:space="preserve">The windowing function </w:t>
      </w:r>
      <w:r w:rsidRPr="009448FC">
        <w:rPr>
          <w:position w:val="-14"/>
        </w:rPr>
        <w:object w:dxaOrig="1100" w:dyaOrig="400">
          <v:shape id="_x0000_i1108" type="#_x0000_t75" style="width:54.35pt;height:20.4pt" o:ole="">
            <v:imagedata r:id="rId266" o:title=""/>
          </v:shape>
          <o:OLEObject Type="Embed" ProgID="Equation.DSMT4" ShapeID="_x0000_i1108" DrawAspect="Content" ObjectID="_1334048289" r:id="rId267"/>
        </w:object>
      </w:r>
      <w:r w:rsidRPr="009448FC">
        <w:t>is used to smooth the transition between adjacent fields in the packet</w:t>
      </w:r>
      <w:r w:rsidR="00411681" w:rsidRPr="00411681">
        <w:rPr>
          <w:b/>
        </w:rPr>
        <w:t xml:space="preserve"> </w:t>
      </w:r>
      <w:r w:rsidR="009D537D" w:rsidRPr="009D537D">
        <w:rPr>
          <w:bCs/>
        </w:rPr>
        <w:t>where OFDM modulation is employed.</w:t>
      </w:r>
      <w:r w:rsidR="005515A4">
        <w:rPr>
          <w:bCs/>
        </w:rPr>
        <w:t xml:space="preserve"> </w:t>
      </w:r>
      <w:r w:rsidR="009D537D" w:rsidRPr="009D537D">
        <w:rPr>
          <w:bCs/>
        </w:rPr>
        <w:t>No windowing is applied to preamble fields or to SC modulated fields</w:t>
      </w:r>
      <w:r w:rsidR="00411681" w:rsidRPr="00096F83">
        <w:rPr>
          <w:b/>
        </w:rPr>
        <w:t>.</w:t>
      </w:r>
      <w:r w:rsidR="00281486" w:rsidRPr="009448FC">
        <w:t xml:space="preserve"> </w:t>
      </w:r>
      <w:r w:rsidRPr="009448FC">
        <w:t>The windowing function is different from being equivalent to “1</w:t>
      </w:r>
      <w:r w:rsidR="00D15603" w:rsidRPr="009448FC">
        <w:t>” only in the transition region.</w:t>
      </w:r>
    </w:p>
    <w:p w:rsidR="00E7528B" w:rsidRPr="009448FC" w:rsidRDefault="00E7528B" w:rsidP="00E7528B"/>
    <w:p w:rsidR="00E7528B" w:rsidRPr="009448FC" w:rsidRDefault="00411681" w:rsidP="00E7528B">
      <w:pPr>
        <w:keepNext/>
        <w:jc w:val="center"/>
      </w:pPr>
      <w:r>
        <w:rPr>
          <w:lang w:eastAsia="ja-JP" w:bidi="ar-SA"/>
        </w:rPr>
        <w:object w:dxaOrig="7604" w:dyaOrig="1286">
          <v:shape id="_x0000_i1109" type="#_x0000_t75" style="width:476.85pt;height:80.15pt" o:ole="">
            <v:imagedata r:id="rId268" o:title=""/>
          </v:shape>
          <o:OLEObject Type="Embed" ProgID="Visio.Drawing.11" ShapeID="_x0000_i1109" DrawAspect="Content" ObjectID="_1334048290" r:id="rId269"/>
        </w:object>
      </w:r>
    </w:p>
    <w:p w:rsidR="00E7528B" w:rsidRPr="00066F65" w:rsidRDefault="00C07355" w:rsidP="00BA5BC4">
      <w:pPr>
        <w:pStyle w:val="Caption"/>
        <w:rPr>
          <w:noProof/>
        </w:rPr>
      </w:pPr>
      <w:bookmarkStart w:id="3147" w:name="_Toc259717564"/>
      <w:r w:rsidRPr="00066F65">
        <w:t xml:space="preserve">Figure </w:t>
      </w:r>
      <w:r w:rsidR="00BD151C">
        <w:fldChar w:fldCharType="begin"/>
      </w:r>
      <w:r w:rsidR="00801316">
        <w:instrText xml:space="preserve"> SEQ Figure \* ARABIC </w:instrText>
      </w:r>
      <w:r w:rsidR="00BD151C">
        <w:fldChar w:fldCharType="separate"/>
      </w:r>
      <w:r w:rsidR="003E4210">
        <w:rPr>
          <w:noProof/>
        </w:rPr>
        <w:t>132</w:t>
      </w:r>
      <w:r w:rsidR="00BD151C">
        <w:fldChar w:fldCharType="end"/>
      </w:r>
      <w:r w:rsidR="00E7528B" w:rsidRPr="00066F65">
        <w:rPr>
          <w:noProof/>
        </w:rPr>
        <w:t xml:space="preserve"> </w:t>
      </w:r>
      <w:r w:rsidR="00784429" w:rsidRPr="00066F65">
        <w:rPr>
          <w:noProof/>
        </w:rPr>
        <w:t xml:space="preserve">– </w:t>
      </w:r>
      <w:r w:rsidR="00E7528B" w:rsidRPr="00066F65">
        <w:rPr>
          <w:noProof/>
        </w:rPr>
        <w:t>Illustration of the windowing function</w:t>
      </w:r>
      <w:bookmarkEnd w:id="3147"/>
    </w:p>
    <w:p w:rsidR="00D15603" w:rsidRPr="009448FC" w:rsidRDefault="00D15603" w:rsidP="00E7528B"/>
    <w:p w:rsidR="00E7528B" w:rsidRPr="009448FC" w:rsidRDefault="00E7528B" w:rsidP="00E7528B">
      <w:r w:rsidRPr="009448FC">
        <w:t>An example of a windowing function is given by:</w:t>
      </w:r>
    </w:p>
    <w:p w:rsidR="00D15603" w:rsidRPr="009448FC" w:rsidRDefault="00D15603" w:rsidP="00E7528B"/>
    <w:p w:rsidR="00E7528B" w:rsidRPr="009448FC" w:rsidRDefault="00E7528B" w:rsidP="00E7528B">
      <w:r w:rsidRPr="009448FC">
        <w:rPr>
          <w:position w:val="-108"/>
        </w:rPr>
        <w:object w:dxaOrig="5300" w:dyaOrig="2280">
          <v:shape id="_x0000_i1110" type="#_x0000_t75" style="width:266.7pt;height:116.85pt" o:ole="">
            <v:imagedata r:id="rId270" o:title=""/>
          </v:shape>
          <o:OLEObject Type="Embed" ProgID="Equation.DSMT4" ShapeID="_x0000_i1110" DrawAspect="Content" ObjectID="_1334048291" r:id="rId271"/>
        </w:object>
      </w:r>
    </w:p>
    <w:p w:rsidR="00E7528B" w:rsidRPr="009448FC" w:rsidRDefault="00E7528B" w:rsidP="00E7528B">
      <w:r w:rsidRPr="009448FC">
        <w:t xml:space="preserve">The transition region creates an overlap (with length </w:t>
      </w:r>
      <w:r w:rsidRPr="009448FC">
        <w:rPr>
          <w:i/>
        </w:rPr>
        <w:t>T</w:t>
      </w:r>
      <w:r w:rsidRPr="009448FC">
        <w:rPr>
          <w:i/>
          <w:vertAlign w:val="subscript"/>
        </w:rPr>
        <w:t>R</w:t>
      </w:r>
      <w:r w:rsidRPr="009448FC">
        <w:t>) between adjacent fields.</w:t>
      </w:r>
      <w:r w:rsidR="00281486" w:rsidRPr="009448FC">
        <w:t xml:space="preserve"> </w:t>
      </w:r>
      <w:r w:rsidRPr="009448FC">
        <w:t xml:space="preserve">The field wave form </w:t>
      </w:r>
      <w:r w:rsidRPr="009448FC">
        <w:rPr>
          <w:position w:val="-14"/>
        </w:rPr>
        <w:object w:dxaOrig="1060" w:dyaOrig="400">
          <v:shape id="_x0000_i1111" type="#_x0000_t75" style="width:54.35pt;height:20.4pt" o:ole="">
            <v:imagedata r:id="rId254" o:title=""/>
          </v:shape>
          <o:OLEObject Type="Embed" ProgID="Equation.DSMT4" ShapeID="_x0000_i1111" DrawAspect="Content" ObjectID="_1334048292" r:id="rId272"/>
        </w:object>
      </w:r>
      <w:r w:rsidRPr="009448FC">
        <w:t xml:space="preserve"> is extended cyclically to fill the part of the transition region in which it is undefined.</w:t>
      </w:r>
      <w:r w:rsidR="00281486" w:rsidRPr="009448FC">
        <w:t xml:space="preserve"> </w:t>
      </w:r>
      <w:r w:rsidRPr="009448FC">
        <w:t>If the transition region vanishes (i.e.</w:t>
      </w:r>
      <w:r w:rsidR="00C956E1">
        <w:t>,</w:t>
      </w:r>
      <w:r w:rsidRPr="009448FC">
        <w:t xml:space="preserve"> </w:t>
      </w:r>
      <w:r w:rsidRPr="009448FC">
        <w:rPr>
          <w:i/>
        </w:rPr>
        <w:t>T</w:t>
      </w:r>
      <w:r w:rsidRPr="009448FC">
        <w:rPr>
          <w:i/>
          <w:vertAlign w:val="subscript"/>
        </w:rPr>
        <w:t>R</w:t>
      </w:r>
      <w:r w:rsidRPr="009448FC">
        <w:t xml:space="preserve">=0), the windowing function degenerates to a rectangular window. </w:t>
      </w:r>
    </w:p>
    <w:p w:rsidR="00E7528B" w:rsidRPr="009448FC" w:rsidRDefault="00E7528B" w:rsidP="006222FE"/>
    <w:p w:rsidR="00B243B6" w:rsidRPr="009448FC" w:rsidRDefault="00B243B6" w:rsidP="003701DB">
      <w:pPr>
        <w:pStyle w:val="Heading3"/>
        <w:keepLines w:val="0"/>
        <w:numPr>
          <w:ilvl w:val="2"/>
          <w:numId w:val="39"/>
        </w:numPr>
        <w:rPr>
          <w:rFonts w:ascii="Times New Roman" w:hAnsi="Times New Roman"/>
        </w:rPr>
      </w:pPr>
      <w:bookmarkStart w:id="3148" w:name="_Toc206227636"/>
      <w:bookmarkStart w:id="3149" w:name="_Toc206415583"/>
      <w:bookmarkStart w:id="3150" w:name="_Toc206418390"/>
      <w:bookmarkStart w:id="3151" w:name="_Toc207099145"/>
      <w:bookmarkStart w:id="3152" w:name="_Toc207099750"/>
      <w:bookmarkStart w:id="3153" w:name="_Toc207100669"/>
      <w:bookmarkStart w:id="3154" w:name="_Toc207348591"/>
      <w:bookmarkStart w:id="3155" w:name="_Toc215582948"/>
      <w:bookmarkStart w:id="3156" w:name="_Toc235400641"/>
      <w:bookmarkStart w:id="3157" w:name="_Toc259717326"/>
      <w:r w:rsidRPr="009448FC">
        <w:rPr>
          <w:rFonts w:ascii="Times New Roman" w:hAnsi="Times New Roman"/>
        </w:rPr>
        <w:t xml:space="preserve">A </w:t>
      </w:r>
      <w:r w:rsidR="0086020E" w:rsidRPr="009448FC">
        <w:rPr>
          <w:rFonts w:ascii="Times New Roman" w:hAnsi="Times New Roman"/>
        </w:rPr>
        <w:t xml:space="preserve">Common </w:t>
      </w:r>
      <w:r w:rsidRPr="009448FC">
        <w:rPr>
          <w:rFonts w:ascii="Times New Roman" w:hAnsi="Times New Roman"/>
        </w:rPr>
        <w:t>Preamble</w:t>
      </w:r>
      <w:bookmarkEnd w:id="3148"/>
      <w:bookmarkEnd w:id="3149"/>
      <w:bookmarkEnd w:id="3150"/>
      <w:bookmarkEnd w:id="3151"/>
      <w:bookmarkEnd w:id="3152"/>
      <w:bookmarkEnd w:id="3153"/>
      <w:bookmarkEnd w:id="3154"/>
      <w:bookmarkEnd w:id="3155"/>
      <w:bookmarkEnd w:id="3156"/>
      <w:bookmarkEnd w:id="3157"/>
    </w:p>
    <w:p w:rsidR="00B243B6" w:rsidRPr="009448FC" w:rsidRDefault="00B243B6" w:rsidP="00830AF4">
      <w:r w:rsidRPr="009448FC">
        <w:t xml:space="preserve">The preamble is the part of the PPDU that is used for packet detection, AGC, frequency offset estimation, synchronization, indication of modulation </w:t>
      </w:r>
      <w:r w:rsidR="00EF4D02" w:rsidRPr="009448FC">
        <w:t xml:space="preserve">(SC or OFDM) </w:t>
      </w:r>
      <w:r w:rsidRPr="009448FC">
        <w:t>and channel estimation.</w:t>
      </w:r>
      <w:r w:rsidR="00D15603" w:rsidRPr="009448FC">
        <w:t xml:space="preserve"> </w:t>
      </w:r>
      <w:r w:rsidRPr="009448FC">
        <w:t xml:space="preserve">The </w:t>
      </w:r>
      <w:r w:rsidR="0086020E" w:rsidRPr="009448FC">
        <w:t>format of the p</w:t>
      </w:r>
      <w:r w:rsidRPr="009448FC">
        <w:t>reamble is common to both OFDM packets and SC packets.</w:t>
      </w:r>
    </w:p>
    <w:p w:rsidR="00D15603" w:rsidRPr="009448FC" w:rsidRDefault="00D15603" w:rsidP="00830AF4"/>
    <w:p w:rsidR="00B243B6" w:rsidRPr="009448FC" w:rsidRDefault="00B243B6" w:rsidP="00CD2CFA">
      <w:r w:rsidRPr="009448FC">
        <w:t xml:space="preserve">The </w:t>
      </w:r>
      <w:r w:rsidR="000A4EA9">
        <w:t>p</w:t>
      </w:r>
      <w:r w:rsidRPr="009448FC">
        <w:t xml:space="preserve">reamble is composed of two parts: the </w:t>
      </w:r>
      <w:r w:rsidR="0086020E" w:rsidRPr="009448FC">
        <w:t xml:space="preserve">Short Training </w:t>
      </w:r>
      <w:r w:rsidR="00CD2CFA" w:rsidRPr="009448FC">
        <w:t>f</w:t>
      </w:r>
      <w:r w:rsidR="0086020E" w:rsidRPr="009448FC">
        <w:t xml:space="preserve">ield </w:t>
      </w:r>
      <w:r w:rsidRPr="009448FC">
        <w:t xml:space="preserve">and the </w:t>
      </w:r>
      <w:r w:rsidR="0086020E" w:rsidRPr="009448FC">
        <w:t xml:space="preserve">Channel Estimation </w:t>
      </w:r>
      <w:r w:rsidRPr="009448FC">
        <w:t>field.</w:t>
      </w:r>
    </w:p>
    <w:p w:rsidR="00B243B6" w:rsidRPr="009448FC" w:rsidRDefault="00B243B6" w:rsidP="006222FE">
      <w:pPr>
        <w:keepNext/>
      </w:pPr>
    </w:p>
    <w:p w:rsidR="0086020E" w:rsidRPr="009448FC" w:rsidRDefault="00FA4F1D" w:rsidP="000A4EA9">
      <w:pPr>
        <w:keepNext/>
        <w:jc w:val="center"/>
      </w:pPr>
      <w:r w:rsidRPr="009448FC">
        <w:object w:dxaOrig="8314" w:dyaOrig="1202">
          <v:shape id="_x0000_i1112" type="#_x0000_t75" style="width:374.05pt;height:54.35pt" o:ole="">
            <v:imagedata r:id="rId273" o:title=""/>
          </v:shape>
          <o:OLEObject Type="Embed" ProgID="Visio.Drawing.11" ShapeID="_x0000_i1112" DrawAspect="Content" ObjectID="_1334048293" r:id="rId274"/>
        </w:object>
      </w:r>
    </w:p>
    <w:p w:rsidR="00B243B6" w:rsidRPr="00066F65" w:rsidRDefault="008E663B" w:rsidP="00BA5BC4">
      <w:pPr>
        <w:pStyle w:val="Caption"/>
        <w:rPr>
          <w:rFonts w:ascii="Times New Roman" w:hAnsi="Times New Roman"/>
          <w:noProof/>
        </w:rPr>
      </w:pPr>
      <w:bookmarkStart w:id="3158" w:name="_Toc206227782"/>
      <w:bookmarkStart w:id="3159" w:name="_Toc206748187"/>
      <w:bookmarkStart w:id="3160" w:name="_Toc207100815"/>
      <w:bookmarkStart w:id="3161" w:name="_Toc259717565"/>
      <w:r w:rsidRPr="00066F65">
        <w:t xml:space="preserve">Figure </w:t>
      </w:r>
      <w:r w:rsidR="00BD151C">
        <w:fldChar w:fldCharType="begin"/>
      </w:r>
      <w:r w:rsidR="00801316">
        <w:instrText xml:space="preserve"> SEQ Figure \* ARABIC </w:instrText>
      </w:r>
      <w:r w:rsidR="00BD151C">
        <w:fldChar w:fldCharType="separate"/>
      </w:r>
      <w:r w:rsidR="003E4210">
        <w:rPr>
          <w:noProof/>
        </w:rPr>
        <w:t>133</w:t>
      </w:r>
      <w:r w:rsidR="00BD151C">
        <w:fldChar w:fldCharType="end"/>
      </w:r>
      <w:r w:rsidR="00B243B6" w:rsidRPr="00066F65">
        <w:rPr>
          <w:rFonts w:ascii="Times New Roman" w:hAnsi="Times New Roman"/>
          <w:noProof/>
        </w:rPr>
        <w:t xml:space="preserve"> </w:t>
      </w:r>
      <w:r w:rsidR="00784429" w:rsidRPr="00066F65">
        <w:rPr>
          <w:rFonts w:ascii="Times New Roman" w:hAnsi="Times New Roman"/>
          <w:noProof/>
        </w:rPr>
        <w:t>–</w:t>
      </w:r>
      <w:r w:rsidR="00784429" w:rsidRPr="00066F65">
        <w:rPr>
          <w:rFonts w:cs="Arial"/>
          <w:noProof/>
        </w:rPr>
        <w:t xml:space="preserve"> </w:t>
      </w:r>
      <w:r w:rsidR="00B243B6" w:rsidRPr="00066F65">
        <w:rPr>
          <w:rFonts w:cs="Arial"/>
          <w:noProof/>
        </w:rPr>
        <w:t>The preamble</w:t>
      </w:r>
      <w:bookmarkEnd w:id="3158"/>
      <w:bookmarkEnd w:id="3159"/>
      <w:bookmarkEnd w:id="3160"/>
      <w:bookmarkEnd w:id="3161"/>
    </w:p>
    <w:p w:rsidR="00520C76" w:rsidRPr="009448FC" w:rsidRDefault="00520C76" w:rsidP="00520C76"/>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162" w:name="_Toc206227637"/>
      <w:bookmarkStart w:id="3163" w:name="_Toc206415584"/>
      <w:bookmarkStart w:id="3164" w:name="_Toc206418391"/>
      <w:bookmarkStart w:id="3165" w:name="_Toc207099146"/>
      <w:bookmarkStart w:id="3166" w:name="_Toc207099751"/>
      <w:bookmarkStart w:id="3167" w:name="_Toc207100670"/>
      <w:bookmarkStart w:id="3168" w:name="_Toc207348592"/>
      <w:bookmarkStart w:id="3169" w:name="_Toc215582949"/>
      <w:bookmarkStart w:id="3170" w:name="_Ref221851396"/>
      <w:bookmarkStart w:id="3171" w:name="_Ref221851444"/>
      <w:bookmarkStart w:id="3172" w:name="_Ref221851823"/>
      <w:bookmarkStart w:id="3173" w:name="_Ref232828720"/>
      <w:bookmarkStart w:id="3174" w:name="_Ref233368764"/>
      <w:bookmarkStart w:id="3175" w:name="_Toc235400642"/>
      <w:bookmarkStart w:id="3176" w:name="_Toc259717327"/>
      <w:r w:rsidRPr="009448FC">
        <w:rPr>
          <w:rFonts w:ascii="Times New Roman" w:hAnsi="Times New Roman"/>
        </w:rPr>
        <w:t xml:space="preserve">The Short Training </w:t>
      </w:r>
      <w:r w:rsidR="00293BD2">
        <w:rPr>
          <w:rFonts w:ascii="Times New Roman" w:hAnsi="Times New Roman"/>
        </w:rPr>
        <w:t>f</w:t>
      </w:r>
      <w:r w:rsidR="000070C2" w:rsidRPr="009448FC">
        <w:rPr>
          <w:rFonts w:ascii="Times New Roman" w:hAnsi="Times New Roman"/>
        </w:rPr>
        <w:t>ield</w:t>
      </w:r>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rsidR="005515A4">
        <w:rPr>
          <w:rFonts w:ascii="Times New Roman" w:hAnsi="Times New Roman"/>
        </w:rPr>
        <w:t xml:space="preserve"> </w:t>
      </w:r>
    </w:p>
    <w:p w:rsidR="006A36CC" w:rsidRPr="009448FC" w:rsidRDefault="006F378F" w:rsidP="00FA4F1D">
      <w:pPr>
        <w:autoSpaceDE w:val="0"/>
        <w:autoSpaceDN w:val="0"/>
        <w:adjustRightInd w:val="0"/>
        <w:spacing w:before="240"/>
        <w:rPr>
          <w:rFonts w:eastAsia="MS Mincho"/>
          <w:sz w:val="23"/>
        </w:rPr>
      </w:pPr>
      <w:r w:rsidRPr="00240DC1">
        <w:t>The Short Training field is composed of 1</w:t>
      </w:r>
      <w:r w:rsidR="00FA4F1D">
        <w:t>4</w:t>
      </w:r>
      <w:r w:rsidR="00C73346">
        <w:t xml:space="preserve"> repetitions of sequences</w:t>
      </w:r>
      <w:r w:rsidRPr="00240DC1">
        <w:t xml:space="preserve"> Ga</w:t>
      </w:r>
      <w:r w:rsidRPr="00240DC1">
        <w:rPr>
          <w:vertAlign w:val="subscript"/>
        </w:rPr>
        <w:t>128</w:t>
      </w:r>
      <w:r w:rsidRPr="00240DC1">
        <w:t>(</w:t>
      </w:r>
      <w:r w:rsidRPr="00240DC1">
        <w:rPr>
          <w:i/>
          <w:iCs/>
        </w:rPr>
        <w:t>n</w:t>
      </w:r>
      <w:r w:rsidRPr="00240DC1">
        <w:t>) of length 128</w:t>
      </w:r>
      <w:r>
        <w:t xml:space="preserve"> defined in </w:t>
      </w:r>
      <w:r w:rsidR="00BD151C">
        <w:fldChar w:fldCharType="begin"/>
      </w:r>
      <w:r w:rsidR="00C73346">
        <w:instrText xml:space="preserve"> REF _Ref228173952 \r \h </w:instrText>
      </w:r>
      <w:r w:rsidR="00BD151C">
        <w:fldChar w:fldCharType="separate"/>
      </w:r>
      <w:r w:rsidR="003E4210">
        <w:t>21.9</w:t>
      </w:r>
      <w:r w:rsidR="00BD151C">
        <w:fldChar w:fldCharType="end"/>
      </w:r>
      <w:r w:rsidR="00C73346">
        <w:t>,</w:t>
      </w:r>
      <w:r w:rsidR="00FA4F1D">
        <w:t xml:space="preserve"> followed by a single repetition of –Ga</w:t>
      </w:r>
      <w:r w:rsidR="00FA4F1D">
        <w:rPr>
          <w:vertAlign w:val="subscript"/>
        </w:rPr>
        <w:t>128</w:t>
      </w:r>
      <w:r w:rsidR="00FA4F1D">
        <w:t>(</w:t>
      </w:r>
      <w:r w:rsidR="00FA4F1D">
        <w:rPr>
          <w:i/>
          <w:iCs/>
        </w:rPr>
        <w:t>n</w:t>
      </w:r>
      <w:r w:rsidR="00FA4F1D">
        <w:t>)</w:t>
      </w:r>
      <w:r w:rsidR="00C73346">
        <w:t>.</w:t>
      </w:r>
      <w:r w:rsidR="00BE1F31">
        <w:t xml:space="preserve"> </w:t>
      </w:r>
    </w:p>
    <w:p w:rsidR="00B243B6" w:rsidRPr="009448FC" w:rsidRDefault="00B243B6" w:rsidP="006A36CC"/>
    <w:p w:rsidR="00B243B6" w:rsidRPr="009448FC" w:rsidRDefault="00B243B6" w:rsidP="00FD5BD0">
      <w:r w:rsidRPr="009448FC">
        <w:t xml:space="preserve">The waveform for the </w:t>
      </w:r>
      <w:r w:rsidR="00CD2CFA" w:rsidRPr="009448FC">
        <w:t xml:space="preserve">Short Training </w:t>
      </w:r>
      <w:r w:rsidRPr="009448FC">
        <w:t>field is</w:t>
      </w:r>
      <w:r w:rsidR="00D15603" w:rsidRPr="009448FC">
        <w:t>:</w:t>
      </w:r>
      <w:r w:rsidR="00BE1F31">
        <w:t xml:space="preserve"> </w:t>
      </w:r>
    </w:p>
    <w:p w:rsidR="003E76CC" w:rsidRDefault="003E76CC" w:rsidP="00780C92">
      <w:pPr>
        <w:outlineLvl w:val="0"/>
        <w:rPr>
          <w:position w:val="-28"/>
        </w:rPr>
      </w:pPr>
    </w:p>
    <w:p w:rsidR="00FA4F1D" w:rsidRDefault="00F116D7" w:rsidP="00780C92">
      <w:pPr>
        <w:outlineLvl w:val="0"/>
        <w:rPr>
          <w:position w:val="-28"/>
        </w:rPr>
      </w:pPr>
      <w:r w:rsidRPr="00FA4F1D">
        <w:rPr>
          <w:position w:val="-62"/>
        </w:rPr>
        <w:object w:dxaOrig="6960" w:dyaOrig="1359">
          <v:shape id="_x0000_i1113" type="#_x0000_t75" style="width:348.25pt;height:69.75pt" o:ole="">
            <v:imagedata r:id="rId275" o:title=""/>
          </v:shape>
          <o:OLEObject Type="Embed" ProgID="Equation.3" ShapeID="_x0000_i1113" DrawAspect="Content" ObjectID="_1334048294" r:id="rId276"/>
        </w:object>
      </w:r>
    </w:p>
    <w:p w:rsidR="00FA4F1D" w:rsidRPr="009448FC" w:rsidRDefault="00FA4F1D" w:rsidP="00780C92">
      <w:pPr>
        <w:outlineLvl w:val="0"/>
      </w:pPr>
    </w:p>
    <w:p w:rsidR="00B243B6" w:rsidRPr="009448FC" w:rsidRDefault="00B243B6" w:rsidP="00780C92">
      <w:pPr>
        <w:outlineLvl w:val="0"/>
      </w:pPr>
      <w:r w:rsidRPr="009448FC">
        <w:t xml:space="preserve">Where </w:t>
      </w:r>
      <w:r w:rsidR="00EF4D02" w:rsidRPr="009448FC">
        <w:t>mod</w:t>
      </w:r>
      <w:r w:rsidRPr="009448FC">
        <w:t xml:space="preserve"> </w:t>
      </w:r>
      <w:r w:rsidR="00452CE3" w:rsidRPr="009448FC">
        <w:t xml:space="preserve">is </w:t>
      </w:r>
      <w:r w:rsidRPr="009448FC">
        <w:t>the modulus operation.</w:t>
      </w:r>
    </w:p>
    <w:p w:rsidR="00520C76" w:rsidRPr="009448FC" w:rsidRDefault="00520C76" w:rsidP="006222FE"/>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177" w:name="_Toc213490088"/>
      <w:bookmarkStart w:id="3178" w:name="_Toc213493037"/>
      <w:bookmarkStart w:id="3179" w:name="_Toc214613252"/>
      <w:bookmarkStart w:id="3180" w:name="_Toc214805803"/>
      <w:bookmarkStart w:id="3181" w:name="_Toc206227638"/>
      <w:bookmarkStart w:id="3182" w:name="_Toc206415585"/>
      <w:bookmarkStart w:id="3183" w:name="_Toc206418392"/>
      <w:bookmarkStart w:id="3184" w:name="_Toc207099147"/>
      <w:bookmarkStart w:id="3185" w:name="_Toc207099752"/>
      <w:bookmarkStart w:id="3186" w:name="_Toc207100671"/>
      <w:bookmarkStart w:id="3187" w:name="_Toc207348593"/>
      <w:bookmarkStart w:id="3188" w:name="_Toc215582951"/>
      <w:bookmarkStart w:id="3189" w:name="_Ref232828810"/>
      <w:bookmarkStart w:id="3190" w:name="_Toc235400643"/>
      <w:bookmarkStart w:id="3191" w:name="_Toc259717328"/>
      <w:bookmarkEnd w:id="3177"/>
      <w:bookmarkEnd w:id="3178"/>
      <w:bookmarkEnd w:id="3179"/>
      <w:bookmarkEnd w:id="3180"/>
      <w:r w:rsidRPr="009448FC">
        <w:rPr>
          <w:rFonts w:ascii="Times New Roman" w:hAnsi="Times New Roman"/>
        </w:rPr>
        <w:t xml:space="preserve">The Channel Estimation </w:t>
      </w:r>
      <w:r w:rsidR="00293BD2">
        <w:rPr>
          <w:rFonts w:ascii="Times New Roman" w:hAnsi="Times New Roman"/>
        </w:rPr>
        <w:t>f</w:t>
      </w:r>
      <w:r w:rsidRPr="009448FC">
        <w:rPr>
          <w:rFonts w:ascii="Times New Roman" w:hAnsi="Times New Roman"/>
        </w:rPr>
        <w:t>ield</w:t>
      </w:r>
      <w:bookmarkEnd w:id="3181"/>
      <w:bookmarkEnd w:id="3182"/>
      <w:bookmarkEnd w:id="3183"/>
      <w:bookmarkEnd w:id="3184"/>
      <w:bookmarkEnd w:id="3185"/>
      <w:bookmarkEnd w:id="3186"/>
      <w:bookmarkEnd w:id="3187"/>
      <w:bookmarkEnd w:id="3188"/>
      <w:bookmarkEnd w:id="3189"/>
      <w:bookmarkEnd w:id="3190"/>
      <w:bookmarkEnd w:id="3191"/>
    </w:p>
    <w:p w:rsidR="00B243B6" w:rsidRPr="009448FC" w:rsidRDefault="00B243B6" w:rsidP="006A271F">
      <w:r w:rsidRPr="009448FC">
        <w:t>The Channel Estimation field is used for channel estimation</w:t>
      </w:r>
      <w:r w:rsidR="00520C76" w:rsidRPr="009448FC">
        <w:t>, as well as</w:t>
      </w:r>
      <w:r w:rsidR="004D4B12" w:rsidRPr="009448FC">
        <w:t xml:space="preserve"> indication</w:t>
      </w:r>
      <w:r w:rsidR="00520C76" w:rsidRPr="009448FC">
        <w:t xml:space="preserve"> which modulation is going to be used for the packet.</w:t>
      </w:r>
      <w:r w:rsidR="00281486" w:rsidRPr="009448FC">
        <w:t xml:space="preserve"> </w:t>
      </w:r>
      <w:r w:rsidRPr="009448FC">
        <w:t xml:space="preserve">The </w:t>
      </w:r>
      <w:r w:rsidR="00520C76" w:rsidRPr="009448FC">
        <w:t>C</w:t>
      </w:r>
      <w:r w:rsidRPr="009448FC">
        <w:t xml:space="preserve">hannel </w:t>
      </w:r>
      <w:r w:rsidR="00520C76" w:rsidRPr="009448FC">
        <w:t>E</w:t>
      </w:r>
      <w:r w:rsidRPr="009448FC">
        <w:t xml:space="preserve">stimation field is composed of a concatenation of two </w:t>
      </w:r>
      <w:r w:rsidRPr="009448FC">
        <w:lastRenderedPageBreak/>
        <w:t xml:space="preserve">complementary Golay sequences, </w:t>
      </w:r>
      <w:r w:rsidR="00520C76" w:rsidRPr="009448FC">
        <w:t>Gu</w:t>
      </w:r>
      <w:r w:rsidR="00520C76" w:rsidRPr="009448FC">
        <w:rPr>
          <w:vertAlign w:val="subscript"/>
        </w:rPr>
        <w:t>512</w:t>
      </w:r>
      <w:r w:rsidRPr="009448FC">
        <w:t>(</w:t>
      </w:r>
      <w:r w:rsidRPr="009448FC">
        <w:rPr>
          <w:i/>
        </w:rPr>
        <w:t>n</w:t>
      </w:r>
      <w:r w:rsidRPr="009448FC">
        <w:t xml:space="preserve">) and </w:t>
      </w:r>
      <w:r w:rsidR="00520C76" w:rsidRPr="009448FC">
        <w:t>Gv</w:t>
      </w:r>
      <w:r w:rsidR="00520C76" w:rsidRPr="009448FC">
        <w:rPr>
          <w:vertAlign w:val="subscript"/>
        </w:rPr>
        <w:t>512</w:t>
      </w:r>
      <w:r w:rsidR="00520C76" w:rsidRPr="009448FC">
        <w:t xml:space="preserve">(n) </w:t>
      </w:r>
      <w:r w:rsidRPr="009448FC">
        <w:t>where the last 128 samples of G</w:t>
      </w:r>
      <w:r w:rsidR="00520C76" w:rsidRPr="009448FC">
        <w:t>u</w:t>
      </w:r>
      <w:r w:rsidRPr="009448FC">
        <w:rPr>
          <w:vertAlign w:val="subscript"/>
        </w:rPr>
        <w:t>512</w:t>
      </w:r>
      <w:r w:rsidRPr="009448FC">
        <w:t>(</w:t>
      </w:r>
      <w:r w:rsidRPr="009448FC">
        <w:rPr>
          <w:i/>
        </w:rPr>
        <w:t>n</w:t>
      </w:r>
      <w:r w:rsidRPr="009448FC">
        <w:t xml:space="preserve">) are equal to the last 128 samples used in </w:t>
      </w:r>
      <w:r w:rsidR="00520C76" w:rsidRPr="009448FC">
        <w:t>the Short Training field</w:t>
      </w:r>
      <w:r w:rsidRPr="009448FC">
        <w:t>.</w:t>
      </w:r>
      <w:r w:rsidR="005515A4">
        <w:t xml:space="preserve"> </w:t>
      </w:r>
      <w:r w:rsidRPr="009448FC">
        <w:t xml:space="preserve">They are followed by a 128 samples sequence </w:t>
      </w:r>
      <w:r w:rsidR="00520C76" w:rsidRPr="009448FC">
        <w:t>Gv</w:t>
      </w:r>
      <w:r w:rsidR="00520C76" w:rsidRPr="009448FC">
        <w:rPr>
          <w:vertAlign w:val="subscript"/>
        </w:rPr>
        <w:t>128</w:t>
      </w:r>
      <w:r w:rsidR="00520C76" w:rsidRPr="009448FC">
        <w:t xml:space="preserve">(n) </w:t>
      </w:r>
      <w:r w:rsidRPr="009448FC">
        <w:t xml:space="preserve">equal to the first 128 samples of </w:t>
      </w:r>
      <w:r w:rsidR="00520C76" w:rsidRPr="009448FC">
        <w:t>Gv</w:t>
      </w:r>
      <w:r w:rsidR="00520C76" w:rsidRPr="009448FC">
        <w:rPr>
          <w:vertAlign w:val="subscript"/>
        </w:rPr>
        <w:t>512</w:t>
      </w:r>
      <w:r w:rsidR="00520C76" w:rsidRPr="009448FC">
        <w:t>(n)</w:t>
      </w:r>
      <w:r w:rsidRPr="009448FC">
        <w:t>.</w:t>
      </w:r>
    </w:p>
    <w:p w:rsidR="00B243B6" w:rsidRPr="009448FC" w:rsidRDefault="00895ECB" w:rsidP="0091073E">
      <w:pPr>
        <w:outlineLvl w:val="0"/>
      </w:pPr>
      <w:r>
        <w:rPr>
          <w:lang w:eastAsia="ko-KR"/>
        </w:rPr>
        <w:t xml:space="preserve"> </w:t>
      </w:r>
    </w:p>
    <w:p w:rsidR="003C0A2E" w:rsidRDefault="003C0A2E" w:rsidP="003C0A2E">
      <w:r>
        <w:t>The Gu</w:t>
      </w:r>
      <w:r w:rsidRPr="0024350C">
        <w:rPr>
          <w:vertAlign w:val="subscript"/>
        </w:rPr>
        <w:t>512</w:t>
      </w:r>
      <w:r>
        <w:t xml:space="preserve"> and Gv</w:t>
      </w:r>
      <w:r w:rsidRPr="0024350C">
        <w:rPr>
          <w:vertAlign w:val="subscript"/>
        </w:rPr>
        <w:t>512</w:t>
      </w:r>
      <w:r>
        <w:t xml:space="preserve"> Golay sequences are defined as,</w:t>
      </w:r>
    </w:p>
    <w:p w:rsidR="003C0A2E" w:rsidRDefault="003C0A2E" w:rsidP="003C0A2E"/>
    <w:p w:rsidR="003C0A2E" w:rsidRDefault="003C0A2E" w:rsidP="003C0A2E">
      <w:pPr>
        <w:pStyle w:val="MTDisplayEquation"/>
      </w:pPr>
      <w:r w:rsidRPr="0024350C">
        <w:rPr>
          <w:position w:val="-34"/>
        </w:rPr>
        <w:object w:dxaOrig="4060" w:dyaOrig="800">
          <v:shape id="_x0000_i1114" type="#_x0000_t75" style="width:202.85pt;height:40.3pt" o:ole="">
            <v:imagedata r:id="rId277" o:title=""/>
          </v:shape>
          <o:OLEObject Type="Embed" ProgID="Equation.DSMT4" ShapeID="_x0000_i1114" DrawAspect="Content" ObjectID="_1334048295" r:id="rId278"/>
        </w:object>
      </w:r>
    </w:p>
    <w:p w:rsidR="003C0A2E" w:rsidRPr="0024350C" w:rsidRDefault="003C0A2E" w:rsidP="003C0A2E">
      <w:pPr>
        <w:rPr>
          <w:lang w:val="en-GB"/>
        </w:rPr>
      </w:pPr>
    </w:p>
    <w:p w:rsidR="003C0A2E" w:rsidRDefault="003C0A2E" w:rsidP="003C0A2E">
      <w:pPr>
        <w:autoSpaceDE w:val="0"/>
        <w:autoSpaceDN w:val="0"/>
        <w:adjustRightInd w:val="0"/>
        <w:rPr>
          <w:lang w:val="en-GB"/>
        </w:rPr>
      </w:pPr>
      <w:r>
        <w:rPr>
          <w:lang w:val="en-GB"/>
        </w:rPr>
        <w:t>where Ga</w:t>
      </w:r>
      <w:r w:rsidRPr="0024350C">
        <w:rPr>
          <w:vertAlign w:val="subscript"/>
          <w:lang w:val="en-GB"/>
        </w:rPr>
        <w:t>128</w:t>
      </w:r>
      <w:r>
        <w:rPr>
          <w:lang w:val="en-GB"/>
        </w:rPr>
        <w:t xml:space="preserve"> and Gb</w:t>
      </w:r>
      <w:r w:rsidRPr="0024350C">
        <w:rPr>
          <w:vertAlign w:val="subscript"/>
          <w:lang w:val="en-GB"/>
        </w:rPr>
        <w:t>128</w:t>
      </w:r>
      <w:r>
        <w:rPr>
          <w:lang w:val="en-GB"/>
        </w:rPr>
        <w:t xml:space="preserve"> are as defined in </w:t>
      </w:r>
      <w:r w:rsidR="00BD151C">
        <w:rPr>
          <w:lang w:val="en-GB"/>
        </w:rPr>
        <w:fldChar w:fldCharType="begin"/>
      </w:r>
      <w:r>
        <w:rPr>
          <w:lang w:val="en-GB"/>
        </w:rPr>
        <w:instrText xml:space="preserve"> REF _Ref228173952 \r \h </w:instrText>
      </w:r>
      <w:r w:rsidR="00BD151C">
        <w:rPr>
          <w:lang w:val="en-GB"/>
        </w:rPr>
      </w:r>
      <w:r w:rsidR="00BD151C">
        <w:rPr>
          <w:lang w:val="en-GB"/>
        </w:rPr>
        <w:fldChar w:fldCharType="separate"/>
      </w:r>
      <w:r w:rsidR="003E4210">
        <w:rPr>
          <w:lang w:val="en-GB"/>
        </w:rPr>
        <w:t>21.9</w:t>
      </w:r>
      <w:r w:rsidR="00BD151C">
        <w:rPr>
          <w:lang w:val="en-GB"/>
        </w:rPr>
        <w:fldChar w:fldCharType="end"/>
      </w:r>
      <w:r>
        <w:rPr>
          <w:lang w:val="en-GB"/>
        </w:rPr>
        <w:t>.</w:t>
      </w:r>
    </w:p>
    <w:p w:rsidR="003C0A2E" w:rsidRDefault="003C0A2E" w:rsidP="003C0A2E">
      <w:pPr>
        <w:autoSpaceDE w:val="0"/>
        <w:autoSpaceDN w:val="0"/>
        <w:adjustRightInd w:val="0"/>
        <w:rPr>
          <w:lang w:val="en-GB"/>
        </w:rPr>
      </w:pPr>
      <w:r>
        <w:rPr>
          <w:lang w:val="en-GB"/>
        </w:rPr>
        <w:t xml:space="preserve"> </w:t>
      </w:r>
    </w:p>
    <w:p w:rsidR="003C0A2E" w:rsidRDefault="003C0A2E" w:rsidP="003C0A2E">
      <w:pPr>
        <w:autoSpaceDE w:val="0"/>
        <w:autoSpaceDN w:val="0"/>
        <w:adjustRightInd w:val="0"/>
        <w:rPr>
          <w:lang w:val="en-GB"/>
        </w:rPr>
      </w:pPr>
      <w:r>
        <w:rPr>
          <w:lang w:val="en-GB"/>
        </w:rPr>
        <w:t>When the data field of the packet is modulated using single carrier, the Gu</w:t>
      </w:r>
      <w:r w:rsidRPr="0024350C">
        <w:rPr>
          <w:vertAlign w:val="subscript"/>
          <w:lang w:val="en-GB"/>
        </w:rPr>
        <w:t>512</w:t>
      </w:r>
      <w:r>
        <w:rPr>
          <w:lang w:val="en-GB"/>
        </w:rPr>
        <w:t xml:space="preserve"> and Gv</w:t>
      </w:r>
      <w:r w:rsidRPr="0024350C">
        <w:rPr>
          <w:vertAlign w:val="subscript"/>
          <w:lang w:val="en-GB"/>
        </w:rPr>
        <w:t>512</w:t>
      </w:r>
      <w:r>
        <w:rPr>
          <w:lang w:val="en-GB"/>
        </w:rPr>
        <w:t xml:space="preserve"> fields are concatenated in the order illustrated in </w:t>
      </w:r>
      <w:r w:rsidR="00BD151C">
        <w:rPr>
          <w:lang w:val="en-GB"/>
        </w:rPr>
        <w:fldChar w:fldCharType="begin"/>
      </w:r>
      <w:r>
        <w:rPr>
          <w:lang w:val="en-GB"/>
        </w:rPr>
        <w:instrText xml:space="preserve"> REF _Ref251942792 \h </w:instrText>
      </w:r>
      <w:r w:rsidR="00BD151C">
        <w:rPr>
          <w:lang w:val="en-GB"/>
        </w:rPr>
      </w:r>
      <w:r w:rsidR="00BD151C">
        <w:rPr>
          <w:lang w:val="en-GB"/>
        </w:rPr>
        <w:fldChar w:fldCharType="separate"/>
      </w:r>
      <w:r w:rsidR="003E4210" w:rsidRPr="00066F65">
        <w:t xml:space="preserve">Figure </w:t>
      </w:r>
      <w:r w:rsidR="003E4210">
        <w:rPr>
          <w:noProof/>
        </w:rPr>
        <w:t>134</w:t>
      </w:r>
      <w:r w:rsidR="00BD151C">
        <w:rPr>
          <w:lang w:val="en-GB"/>
        </w:rPr>
        <w:fldChar w:fldCharType="end"/>
      </w:r>
      <w:r>
        <w:rPr>
          <w:lang w:val="en-GB"/>
        </w:rPr>
        <w:t>.</w:t>
      </w:r>
      <w:r w:rsidR="005515A4">
        <w:rPr>
          <w:lang w:val="en-GB"/>
        </w:rPr>
        <w:t xml:space="preserve"> </w:t>
      </w:r>
      <w:r>
        <w:rPr>
          <w:lang w:val="en-GB"/>
        </w:rPr>
        <w:t>When the data field of the packet is modulated using OFDM, the Gu</w:t>
      </w:r>
      <w:r w:rsidRPr="0024350C">
        <w:rPr>
          <w:vertAlign w:val="subscript"/>
          <w:lang w:val="en-GB"/>
        </w:rPr>
        <w:t>512</w:t>
      </w:r>
      <w:r>
        <w:rPr>
          <w:lang w:val="en-GB"/>
        </w:rPr>
        <w:t xml:space="preserve"> and Gv</w:t>
      </w:r>
      <w:r w:rsidRPr="0024350C">
        <w:rPr>
          <w:vertAlign w:val="subscript"/>
          <w:lang w:val="en-GB"/>
        </w:rPr>
        <w:t>512</w:t>
      </w:r>
      <w:r>
        <w:rPr>
          <w:lang w:val="en-GB"/>
        </w:rPr>
        <w:t xml:space="preserve"> fields are concatenated in the order illustrated in </w:t>
      </w:r>
      <w:r w:rsidR="00BD151C">
        <w:rPr>
          <w:lang w:val="en-GB"/>
        </w:rPr>
        <w:fldChar w:fldCharType="begin"/>
      </w:r>
      <w:r>
        <w:rPr>
          <w:lang w:val="en-GB"/>
        </w:rPr>
        <w:instrText xml:space="preserve"> REF _Ref236560792 \h </w:instrText>
      </w:r>
      <w:r w:rsidR="00BD151C">
        <w:rPr>
          <w:lang w:val="en-GB"/>
        </w:rPr>
      </w:r>
      <w:r w:rsidR="00BD151C">
        <w:rPr>
          <w:lang w:val="en-GB"/>
        </w:rPr>
        <w:fldChar w:fldCharType="separate"/>
      </w:r>
      <w:r w:rsidR="003E4210" w:rsidRPr="00066F65">
        <w:t xml:space="preserve">Figure </w:t>
      </w:r>
      <w:r w:rsidR="003E4210">
        <w:rPr>
          <w:noProof/>
        </w:rPr>
        <w:t>135</w:t>
      </w:r>
      <w:r w:rsidR="00BD151C">
        <w:rPr>
          <w:lang w:val="en-GB"/>
        </w:rPr>
        <w:fldChar w:fldCharType="end"/>
      </w:r>
      <w:r>
        <w:rPr>
          <w:lang w:val="en-GB"/>
        </w:rPr>
        <w:t>.</w:t>
      </w:r>
    </w:p>
    <w:p w:rsidR="001F69E5" w:rsidRPr="0013322C" w:rsidRDefault="001F69E5" w:rsidP="006222FE">
      <w:bookmarkStart w:id="3192" w:name="_Ref236560772"/>
    </w:p>
    <w:p w:rsidR="001F69E5" w:rsidRPr="0013322C" w:rsidRDefault="003C0A2E" w:rsidP="001F69E5">
      <w:pPr>
        <w:keepNext/>
        <w:jc w:val="center"/>
      </w:pPr>
      <w:r>
        <w:object w:dxaOrig="12688" w:dyaOrig="1775">
          <v:shape id="_x0000_i1115" type="#_x0000_t75" style="width:494.95pt;height:69.75pt" o:ole="">
            <v:imagedata r:id="rId279" o:title=""/>
          </v:shape>
          <o:OLEObject Type="Embed" ProgID="Visio.Drawing.11" ShapeID="_x0000_i1115" DrawAspect="Content" ObjectID="_1334048296" r:id="rId280"/>
        </w:object>
      </w:r>
    </w:p>
    <w:p w:rsidR="001F69E5" w:rsidRPr="00066F65" w:rsidRDefault="00BA7766" w:rsidP="00BA5BC4">
      <w:pPr>
        <w:pStyle w:val="Caption"/>
      </w:pPr>
      <w:bookmarkStart w:id="3193" w:name="_Ref251942792"/>
      <w:bookmarkStart w:id="3194" w:name="_Toc259717566"/>
      <w:r w:rsidRPr="00066F65">
        <w:t xml:space="preserve">Figure </w:t>
      </w:r>
      <w:r w:rsidR="00BD151C">
        <w:fldChar w:fldCharType="begin"/>
      </w:r>
      <w:r w:rsidR="00801316">
        <w:instrText xml:space="preserve"> SEQ Figure \* ARABIC </w:instrText>
      </w:r>
      <w:r w:rsidR="00BD151C">
        <w:fldChar w:fldCharType="separate"/>
      </w:r>
      <w:r w:rsidR="003E4210">
        <w:rPr>
          <w:noProof/>
        </w:rPr>
        <w:t>134</w:t>
      </w:r>
      <w:r w:rsidR="00BD151C">
        <w:fldChar w:fldCharType="end"/>
      </w:r>
      <w:bookmarkEnd w:id="3192"/>
      <w:bookmarkEnd w:id="3193"/>
      <w:r w:rsidR="001F69E5" w:rsidRPr="00066F65">
        <w:rPr>
          <w:rFonts w:ascii="Times New Roman" w:hAnsi="Times New Roman"/>
        </w:rPr>
        <w:t xml:space="preserve"> </w:t>
      </w:r>
      <w:r w:rsidR="00784429" w:rsidRPr="00066F65">
        <w:rPr>
          <w:rFonts w:ascii="Times New Roman" w:hAnsi="Times New Roman"/>
        </w:rPr>
        <w:t>–</w:t>
      </w:r>
      <w:r w:rsidR="00784429" w:rsidRPr="00066F65">
        <w:t xml:space="preserve"> </w:t>
      </w:r>
      <w:r w:rsidR="001F69E5" w:rsidRPr="00066F65">
        <w:t>Chan</w:t>
      </w:r>
      <w:r w:rsidR="001B7DA1">
        <w:t>n</w:t>
      </w:r>
      <w:r w:rsidR="001F69E5" w:rsidRPr="00066F65">
        <w:t xml:space="preserve">el Estimation </w:t>
      </w:r>
      <w:r w:rsidR="00293BD2">
        <w:t>f</w:t>
      </w:r>
      <w:r w:rsidR="001F69E5" w:rsidRPr="00066F65">
        <w:t>ield for SC Packets</w:t>
      </w:r>
      <w:bookmarkEnd w:id="3194"/>
      <w:r w:rsidR="009B641B">
        <w:t xml:space="preserve"> </w:t>
      </w:r>
    </w:p>
    <w:p w:rsidR="001F69E5" w:rsidRPr="009448FC" w:rsidRDefault="003C0A2E" w:rsidP="001F69E5">
      <w:pPr>
        <w:keepNext/>
        <w:jc w:val="center"/>
      </w:pPr>
      <w:r>
        <w:object w:dxaOrig="12688" w:dyaOrig="2175">
          <v:shape id="_x0000_i1116" type="#_x0000_t75" style="width:494.95pt;height:85.15pt" o:ole="">
            <v:imagedata r:id="rId281" o:title=""/>
          </v:shape>
          <o:OLEObject Type="Embed" ProgID="Visio.Drawing.11" ShapeID="_x0000_i1116" DrawAspect="Content" ObjectID="_1334048297" r:id="rId282"/>
        </w:object>
      </w:r>
    </w:p>
    <w:p w:rsidR="001F69E5" w:rsidRPr="00066F65" w:rsidRDefault="005B31B9" w:rsidP="00BA5BC4">
      <w:pPr>
        <w:pStyle w:val="Caption"/>
      </w:pPr>
      <w:bookmarkStart w:id="3195" w:name="_Ref236560792"/>
      <w:bookmarkStart w:id="3196" w:name="_Toc259717567"/>
      <w:r w:rsidRPr="00066F65">
        <w:t xml:space="preserve">Figure </w:t>
      </w:r>
      <w:r w:rsidR="00BD151C">
        <w:fldChar w:fldCharType="begin"/>
      </w:r>
      <w:r w:rsidR="00801316">
        <w:instrText xml:space="preserve"> SEQ Figure \* ARABIC </w:instrText>
      </w:r>
      <w:r w:rsidR="00BD151C">
        <w:fldChar w:fldCharType="separate"/>
      </w:r>
      <w:r w:rsidR="003E4210">
        <w:rPr>
          <w:noProof/>
        </w:rPr>
        <w:t>135</w:t>
      </w:r>
      <w:r w:rsidR="00BD151C">
        <w:fldChar w:fldCharType="end"/>
      </w:r>
      <w:bookmarkEnd w:id="3195"/>
      <w:r w:rsidR="001F69E5" w:rsidRPr="00066F65">
        <w:rPr>
          <w:rFonts w:ascii="Times New Roman" w:hAnsi="Times New Roman"/>
        </w:rPr>
        <w:t xml:space="preserve"> </w:t>
      </w:r>
      <w:r w:rsidR="00784429" w:rsidRPr="00066F65">
        <w:t xml:space="preserve">– </w:t>
      </w:r>
      <w:r w:rsidR="001F69E5" w:rsidRPr="00066F65">
        <w:t xml:space="preserve">Channel Estimation </w:t>
      </w:r>
      <w:r w:rsidR="00293BD2">
        <w:t>f</w:t>
      </w:r>
      <w:r w:rsidR="001F69E5" w:rsidRPr="00066F65">
        <w:t>ield for OFDM Packets</w:t>
      </w:r>
      <w:bookmarkEnd w:id="3196"/>
      <w:r w:rsidR="009B641B">
        <w:t xml:space="preserve"> </w:t>
      </w:r>
    </w:p>
    <w:p w:rsidR="001F69E5" w:rsidRPr="009448FC" w:rsidRDefault="001F69E5" w:rsidP="001F69E5"/>
    <w:p w:rsidR="00B243B6" w:rsidRPr="009448FC" w:rsidRDefault="00B243B6" w:rsidP="006222FE">
      <w:r w:rsidRPr="009448FC">
        <w:t>The waveform for the channel estimation sequence is:</w:t>
      </w:r>
    </w:p>
    <w:p w:rsidR="003C0A2E" w:rsidRDefault="003C0A2E" w:rsidP="003C0A2E">
      <w:pPr>
        <w:autoSpaceDE w:val="0"/>
        <w:autoSpaceDN w:val="0"/>
        <w:adjustRightInd w:val="0"/>
        <w:rPr>
          <w:lang w:val="en-GB"/>
        </w:rPr>
      </w:pPr>
    </w:p>
    <w:p w:rsidR="00EF4D02" w:rsidRPr="009448FC" w:rsidRDefault="003C0A2E" w:rsidP="003C0A2E">
      <w:r w:rsidRPr="00C82181">
        <w:rPr>
          <w:position w:val="-60"/>
        </w:rPr>
        <w:object w:dxaOrig="8559" w:dyaOrig="1320">
          <v:shape id="_x0000_i1117" type="#_x0000_t75" style="width:428.4pt;height:67.45pt" o:ole="">
            <v:imagedata r:id="rId283" o:title=""/>
          </v:shape>
          <o:OLEObject Type="Embed" ProgID="Equation.DSMT4" ShapeID="_x0000_i1117" DrawAspect="Content" ObjectID="_1334048298" r:id="rId284"/>
        </w:object>
      </w:r>
    </w:p>
    <w:p w:rsidR="00D15603" w:rsidRPr="009448FC" w:rsidRDefault="00D15603" w:rsidP="00CD2CFA"/>
    <w:p w:rsidR="00B243B6" w:rsidRPr="009448FC" w:rsidRDefault="00B243B6" w:rsidP="00CD2CFA">
      <w:r w:rsidRPr="009448FC">
        <w:t xml:space="preserve">Note that sequences </w:t>
      </w:r>
      <w:r w:rsidR="00CD2CFA" w:rsidRPr="009448FC">
        <w:t>Gu</w:t>
      </w:r>
      <w:r w:rsidR="00CD2CFA" w:rsidRPr="009448FC">
        <w:rPr>
          <w:vertAlign w:val="subscript"/>
        </w:rPr>
        <w:t>512</w:t>
      </w:r>
      <w:r w:rsidR="00CD2CFA" w:rsidRPr="009448FC">
        <w:t>(</w:t>
      </w:r>
      <w:r w:rsidR="00CD2CFA" w:rsidRPr="009448FC">
        <w:rPr>
          <w:i/>
        </w:rPr>
        <w:t>n</w:t>
      </w:r>
      <w:r w:rsidR="00CD2CFA" w:rsidRPr="009448FC">
        <w:t>)</w:t>
      </w:r>
      <w:r w:rsidRPr="009448FC">
        <w:t xml:space="preserve"> and </w:t>
      </w:r>
      <w:r w:rsidR="00CD2CFA" w:rsidRPr="009448FC">
        <w:t>Gv</w:t>
      </w:r>
      <w:r w:rsidR="00CD2CFA" w:rsidRPr="009448FC">
        <w:rPr>
          <w:vertAlign w:val="subscript"/>
        </w:rPr>
        <w:t>512</w:t>
      </w:r>
      <w:r w:rsidR="00CD2CFA" w:rsidRPr="009448FC">
        <w:t>(</w:t>
      </w:r>
      <w:r w:rsidR="00CD2CFA" w:rsidRPr="009448FC">
        <w:rPr>
          <w:i/>
        </w:rPr>
        <w:t>n</w:t>
      </w:r>
      <w:r w:rsidR="00CD2CFA" w:rsidRPr="009448FC">
        <w:t>)</w:t>
      </w:r>
      <w:r w:rsidRPr="009448FC">
        <w:t xml:space="preserve"> are define</w:t>
      </w:r>
      <w:r w:rsidR="006A271F" w:rsidRPr="009448FC">
        <w:t>d</w:t>
      </w:r>
      <w:r w:rsidR="00D15603" w:rsidRPr="009448FC">
        <w:t xml:space="preserve"> </w:t>
      </w:r>
      <w:r w:rsidRPr="009448FC">
        <w:t>for 0≤</w:t>
      </w:r>
      <w:r w:rsidRPr="009448FC">
        <w:rPr>
          <w:i/>
        </w:rPr>
        <w:t>n</w:t>
      </w:r>
      <w:r w:rsidRPr="009448FC">
        <w:t>≤511.</w:t>
      </w:r>
      <w:r w:rsidR="00281486" w:rsidRPr="009448FC">
        <w:t xml:space="preserve"> </w:t>
      </w:r>
      <w:r w:rsidRPr="009448FC">
        <w:t xml:space="preserve">For other </w:t>
      </w:r>
      <w:r w:rsidRPr="009448FC">
        <w:rPr>
          <w:i/>
        </w:rPr>
        <w:t>n</w:t>
      </w:r>
      <w:r w:rsidRPr="009448FC">
        <w:t xml:space="preserve"> they are set to zero.</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197" w:name="_Toc206227639"/>
      <w:bookmarkStart w:id="3198" w:name="_Toc206415586"/>
      <w:bookmarkStart w:id="3199" w:name="_Toc206418393"/>
      <w:bookmarkStart w:id="3200" w:name="_Toc207099148"/>
      <w:bookmarkStart w:id="3201" w:name="_Toc207099753"/>
      <w:bookmarkStart w:id="3202" w:name="_Toc207100672"/>
      <w:bookmarkStart w:id="3203" w:name="_Toc207348594"/>
      <w:bookmarkStart w:id="3204" w:name="_Toc215582952"/>
      <w:bookmarkStart w:id="3205" w:name="_Toc235400644"/>
      <w:bookmarkStart w:id="3206" w:name="_Toc259717329"/>
      <w:r w:rsidRPr="009448FC">
        <w:rPr>
          <w:rFonts w:ascii="Times New Roman" w:hAnsi="Times New Roman"/>
        </w:rPr>
        <w:t>Transmission of the Preamble in an OFDM packet</w:t>
      </w:r>
      <w:bookmarkEnd w:id="3197"/>
      <w:bookmarkEnd w:id="3198"/>
      <w:bookmarkEnd w:id="3199"/>
      <w:bookmarkEnd w:id="3200"/>
      <w:bookmarkEnd w:id="3201"/>
      <w:bookmarkEnd w:id="3202"/>
      <w:bookmarkEnd w:id="3203"/>
      <w:bookmarkEnd w:id="3204"/>
      <w:bookmarkEnd w:id="3205"/>
      <w:bookmarkEnd w:id="3206"/>
    </w:p>
    <w:p w:rsidR="00B243B6" w:rsidRPr="009448FC" w:rsidRDefault="00B243B6" w:rsidP="00C912D6">
      <w:r w:rsidRPr="009448FC">
        <w:t xml:space="preserve">The preamble </w:t>
      </w:r>
      <w:r w:rsidR="00EF4D02" w:rsidRPr="009448FC">
        <w:t xml:space="preserve">sequence </w:t>
      </w:r>
      <w:r w:rsidRPr="009448FC">
        <w:t>defined in the above subclauses is specified at the SC chip rate (</w:t>
      </w:r>
      <w:r w:rsidRPr="009448FC">
        <w:rPr>
          <w:i/>
        </w:rPr>
        <w:t>T</w:t>
      </w:r>
      <w:r w:rsidRPr="009448FC">
        <w:rPr>
          <w:i/>
          <w:vertAlign w:val="subscript"/>
        </w:rPr>
        <w:t>c</w:t>
      </w:r>
      <w:r w:rsidRPr="009448FC">
        <w:rPr>
          <w:i/>
          <w:vertAlign w:val="subscript"/>
        </w:rPr>
        <w:softHyphen/>
      </w:r>
      <w:r w:rsidRPr="009448FC">
        <w:t>).</w:t>
      </w:r>
      <w:r w:rsidR="00281486" w:rsidRPr="009448FC">
        <w:t xml:space="preserve"> </w:t>
      </w:r>
      <w:r w:rsidRPr="009448FC">
        <w:t>For transmission in the OFDM (nominal) sample rate</w:t>
      </w:r>
      <w:r w:rsidR="00D15603" w:rsidRPr="009448FC">
        <w:t>,</w:t>
      </w:r>
      <w:r w:rsidRPr="009448FC">
        <w:t xml:space="preserve"> the signal </w:t>
      </w:r>
      <w:r w:rsidR="00D15603" w:rsidRPr="009448FC">
        <w:t xml:space="preserve">is resampled </w:t>
      </w:r>
      <w:r w:rsidRPr="009448FC">
        <w:t>with a 3/2 rate change.</w:t>
      </w:r>
      <w:r w:rsidR="00281486" w:rsidRPr="009448FC">
        <w:t xml:space="preserve"> </w:t>
      </w:r>
      <w:r w:rsidRPr="009448FC">
        <w:t xml:space="preserve">The resampling is done </w:t>
      </w:r>
      <w:r w:rsidR="007120A7" w:rsidRPr="009448FC">
        <w:t xml:space="preserve">by upsampling by a factor of 3, filtering by the filter </w:t>
      </w:r>
      <w:r w:rsidR="007120A7" w:rsidRPr="009448FC">
        <w:rPr>
          <w:position w:val="-12"/>
        </w:rPr>
        <w:object w:dxaOrig="400" w:dyaOrig="360">
          <v:shape id="_x0000_i1118" type="#_x0000_t75" style="width:20.4pt;height:17.65pt" o:ole="">
            <v:imagedata r:id="rId285" o:title=""/>
          </v:shape>
          <o:OLEObject Type="Embed" ProgID="Equation.DSMT4" ShapeID="_x0000_i1118" DrawAspect="Content" ObjectID="_1334048299" r:id="rId286"/>
        </w:object>
      </w:r>
      <w:r w:rsidR="007120A7" w:rsidRPr="009448FC">
        <w:t xml:space="preserve">defined in </w:t>
      </w:r>
      <w:r w:rsidR="00220AD9" w:rsidRPr="009448FC">
        <w:t>21.3.6.3.1</w:t>
      </w:r>
      <w:r w:rsidR="007120A7" w:rsidRPr="009448FC">
        <w:t>, an</w:t>
      </w:r>
      <w:r w:rsidR="00220AD9" w:rsidRPr="009448FC">
        <w:t>d downsampling by a factor of 2</w:t>
      </w:r>
      <w:r w:rsidR="00EE1100" w:rsidRPr="009448FC">
        <w:t xml:space="preserve"> </w:t>
      </w:r>
      <w:r w:rsidR="007120A7" w:rsidRPr="009448FC">
        <w:t>(</w:t>
      </w:r>
      <w:r w:rsidR="00220AD9" w:rsidRPr="009448FC">
        <w:t>s</w:t>
      </w:r>
      <w:r w:rsidR="007120A7" w:rsidRPr="009448FC">
        <w:t xml:space="preserve">ee equation </w:t>
      </w:r>
      <w:r w:rsidR="00C912D6" w:rsidRPr="009448FC">
        <w:t>below</w:t>
      </w:r>
      <w:r w:rsidR="007120A7" w:rsidRPr="009448FC">
        <w:t>)</w:t>
      </w:r>
      <w:r w:rsidR="00220AD9" w:rsidRPr="009448FC">
        <w:t>.</w:t>
      </w:r>
      <w:r w:rsidR="007120A7" w:rsidRPr="009448FC">
        <w:t xml:space="preserve"> The </w:t>
      </w:r>
      <w:r w:rsidR="00C912D6" w:rsidRPr="009448FC">
        <w:t>resampling is performed</w:t>
      </w:r>
      <w:r w:rsidR="00220AD9" w:rsidRPr="009448FC">
        <w:t xml:space="preserve"> </w:t>
      </w:r>
      <w:r w:rsidRPr="009448FC">
        <w:t xml:space="preserve">using a specific </w:t>
      </w:r>
      <w:r w:rsidRPr="009448FC">
        <w:lastRenderedPageBreak/>
        <w:t xml:space="preserve">filter </w:t>
      </w:r>
      <w:r w:rsidRPr="009448FC">
        <w:rPr>
          <w:position w:val="-12"/>
        </w:rPr>
        <w:object w:dxaOrig="400" w:dyaOrig="360">
          <v:shape id="_x0000_i1119" type="#_x0000_t75" style="width:20.4pt;height:17.65pt" o:ole="">
            <v:imagedata r:id="rId285" o:title=""/>
          </v:shape>
          <o:OLEObject Type="Embed" ProgID="Equation.DSMT4" ShapeID="_x0000_i1119" DrawAspect="Content" ObjectID="_1334048300" r:id="rId287"/>
        </w:object>
      </w:r>
      <w:r w:rsidRPr="009448FC">
        <w:t>since the OFDM receiver needs to know this filter to correct for its response during channel estimation.</w:t>
      </w:r>
      <w:r w:rsidR="00281486" w:rsidRPr="009448FC">
        <w:t xml:space="preserve"> </w:t>
      </w:r>
      <w:r w:rsidRPr="009448FC">
        <w:t>To define the transmission of the preamble when the packet is an OFDM packet</w:t>
      </w:r>
      <w:r w:rsidR="00497C53" w:rsidRPr="009448FC">
        <w:t>,</w:t>
      </w:r>
      <w:r w:rsidRPr="009448FC">
        <w:t xml:space="preserve"> the preamble wave form </w:t>
      </w:r>
      <w:r w:rsidR="00497C53" w:rsidRPr="009448FC">
        <w:t>is defined below.</w:t>
      </w:r>
    </w:p>
    <w:p w:rsidR="00497C53" w:rsidRPr="009448FC" w:rsidRDefault="00497C53" w:rsidP="00C912D6"/>
    <w:p w:rsidR="00B243B6" w:rsidRPr="009448FC" w:rsidRDefault="00B243B6" w:rsidP="00CF7ECA">
      <w:r w:rsidRPr="009448FC">
        <w:t xml:space="preserve">Let </w:t>
      </w:r>
      <w:r w:rsidR="00CF7ECA" w:rsidRPr="00C82181">
        <w:rPr>
          <w:i/>
          <w:position w:val="-14"/>
        </w:rPr>
        <w:object w:dxaOrig="8100" w:dyaOrig="400">
          <v:shape id="_x0000_i1120" type="#_x0000_t75" style="width:404.85pt;height:21.3pt" o:ole="">
            <v:imagedata r:id="rId288" o:title=""/>
          </v:shape>
          <o:OLEObject Type="Embed" ProgID="Equation.DSMT4" ShapeID="_x0000_i1120" DrawAspect="Content" ObjectID="_1334048301" r:id="rId289"/>
        </w:object>
      </w:r>
    </w:p>
    <w:p w:rsidR="00B243B6" w:rsidRPr="009448FC" w:rsidRDefault="00B243B6" w:rsidP="006222FE">
      <w:r w:rsidRPr="009448FC">
        <w:t>Then</w:t>
      </w:r>
      <w:r w:rsidR="00BE1F31">
        <w:t xml:space="preserve"> </w:t>
      </w:r>
    </w:p>
    <w:p w:rsidR="00B243B6" w:rsidRPr="009448FC" w:rsidRDefault="00B243B6" w:rsidP="00B32BA0"/>
    <w:p w:rsidR="0092134C" w:rsidRPr="009448FC" w:rsidRDefault="00D638E1" w:rsidP="00B32BA0">
      <w:r w:rsidRPr="0077436E">
        <w:rPr>
          <w:position w:val="-72"/>
        </w:rPr>
        <w:object w:dxaOrig="5140" w:dyaOrig="1920">
          <v:shape id="_x0000_i1121" type="#_x0000_t75" style="width:256.3pt;height:96.9pt" o:ole="">
            <v:imagedata r:id="rId290" o:title=""/>
          </v:shape>
          <o:OLEObject Type="Embed" ProgID="Equation.3" ShapeID="_x0000_i1121" DrawAspect="Content" ObjectID="_1334048302" r:id="rId291"/>
        </w:object>
      </w:r>
      <w:r w:rsidR="00DE584C">
        <w:rPr>
          <w:szCs w:val="20"/>
          <w:lang w:eastAsia="ja-JP" w:bidi="ar-SA"/>
        </w:rPr>
        <w:t xml:space="preserve"> </w:t>
      </w:r>
    </w:p>
    <w:p w:rsidR="0092134C" w:rsidRPr="002A1439" w:rsidRDefault="0057717B" w:rsidP="00B32BA0">
      <w:pPr>
        <w:rPr>
          <w:i/>
          <w:iCs/>
        </w:rPr>
      </w:pPr>
      <w:r>
        <w:rPr>
          <w:i/>
          <w:iCs/>
        </w:rPr>
        <w:t>K=73.</w:t>
      </w:r>
    </w:p>
    <w:p w:rsidR="004002E9" w:rsidRPr="009448FC" w:rsidRDefault="0092134C" w:rsidP="00972394">
      <w:pPr>
        <w:pStyle w:val="Heading5"/>
      </w:pPr>
      <w:bookmarkStart w:id="3207" w:name="_Toc259717330"/>
      <w:r w:rsidRPr="009448FC">
        <w:t xml:space="preserve">21.3.6.3.1 </w:t>
      </w:r>
      <w:r w:rsidR="00E253BE" w:rsidRPr="009448FC">
        <w:t>hfilt definition</w:t>
      </w:r>
      <w:bookmarkEnd w:id="3207"/>
    </w:p>
    <w:p w:rsidR="004002E9" w:rsidRPr="009448FC" w:rsidRDefault="004002E9" w:rsidP="004002E9">
      <w:r w:rsidRPr="009448FC">
        <w:t xml:space="preserve">The filter </w:t>
      </w:r>
      <w:r w:rsidRPr="009448FC">
        <w:rPr>
          <w:position w:val="-12"/>
        </w:rPr>
        <w:object w:dxaOrig="400" w:dyaOrig="360">
          <v:shape id="_x0000_i1122" type="#_x0000_t75" style="width:20.4pt;height:17.65pt" o:ole="">
            <v:imagedata r:id="rId292" o:title=""/>
          </v:shape>
          <o:OLEObject Type="Embed" ProgID="Equation.DSMT4" ShapeID="_x0000_i1122" DrawAspect="Content" ObjectID="_1334048303" r:id="rId293"/>
        </w:object>
      </w:r>
      <w:r w:rsidRPr="009448FC">
        <w:t xml:space="preserve"> is defined by the following coefficients (from h</w:t>
      </w:r>
      <w:r w:rsidRPr="009448FC">
        <w:rPr>
          <w:vertAlign w:val="subscript"/>
        </w:rPr>
        <w:t>0</w:t>
      </w:r>
      <w:r w:rsidRPr="009448FC">
        <w:t xml:space="preserve"> to h</w:t>
      </w:r>
      <w:r w:rsidRPr="009448FC">
        <w:rPr>
          <w:vertAlign w:val="subscript"/>
        </w:rPr>
        <w:t>72</w:t>
      </w:r>
      <w:r w:rsidRPr="009448FC">
        <w:t>):</w:t>
      </w:r>
    </w:p>
    <w:p w:rsidR="00656BB9" w:rsidRDefault="004002E9" w:rsidP="0097474E">
      <w:r w:rsidRPr="009448FC">
        <w:rPr>
          <w:b/>
        </w:rPr>
        <w:t>[</w:t>
      </w:r>
      <w:r w:rsidRPr="009448FC">
        <w:t>3,2,-1,-4,-3,2,5,3,-3,-6,-2,5,7,1,-6,-8,0,9,9,-2,-12,-10,4,16,11,-9,-22,-12,16,32,12,-32,-55,</w:t>
      </w:r>
      <w:r w:rsidR="00321864" w:rsidRPr="009448FC">
        <w:t xml:space="preserve"> </w:t>
      </w:r>
      <w:r w:rsidRPr="009448FC">
        <w:t>-12,</w:t>
      </w:r>
      <w:r w:rsidR="00321864" w:rsidRPr="009448FC">
        <w:t xml:space="preserve"> </w:t>
      </w:r>
      <w:r w:rsidRPr="009448FC">
        <w:t>94,207,256,207,94,-12,-55,-32,12,32,16,-12,-22,-9,11,16,4,-10,-1</w:t>
      </w:r>
      <w:r w:rsidR="00321864" w:rsidRPr="009448FC">
        <w:t xml:space="preserve">2,-2,9,9,0,-8,-6,1,7,5,-2,-6, </w:t>
      </w:r>
      <w:r w:rsidRPr="009448FC">
        <w:t>-3,3,5,2,-3,-4,-1,2,3</w:t>
      </w:r>
      <w:r w:rsidRPr="009448FC">
        <w:rPr>
          <w:b/>
        </w:rPr>
        <w:t>]</w:t>
      </w:r>
      <w:r w:rsidR="005515A4">
        <w:t xml:space="preserve"> </w:t>
      </w:r>
      <w:r w:rsidRPr="009448FC">
        <w:t xml:space="preserve">Normalized to have a norm of </w:t>
      </w:r>
      <w:r w:rsidRPr="009448FC">
        <w:rPr>
          <w:position w:val="-8"/>
        </w:rPr>
        <w:object w:dxaOrig="360" w:dyaOrig="360">
          <v:shape id="_x0000_i1123" type="#_x0000_t75" style="width:17.65pt;height:17.65pt" o:ole="">
            <v:imagedata r:id="rId294" o:title=""/>
          </v:shape>
          <o:OLEObject Type="Embed" ProgID="Equation.DSMT4" ShapeID="_x0000_i1123" DrawAspect="Content" ObjectID="_1334048304" r:id="rId295"/>
        </w:object>
      </w:r>
      <w:r w:rsidRPr="009448FC">
        <w:t xml:space="preserve"> so that</w:t>
      </w:r>
      <w:r w:rsidR="005515A4">
        <w:t xml:space="preserve"> </w:t>
      </w:r>
      <m:oMath>
        <m:sSub>
          <m:sSubPr>
            <m:ctrlPr>
              <w:rPr>
                <w:rFonts w:ascii="Cambria Math" w:hAnsi="Cambria Math"/>
                <w:i/>
              </w:rPr>
            </m:ctrlPr>
          </m:sSubPr>
          <m:e>
            <m:r>
              <w:rPr>
                <w:rFonts w:ascii="Cambria Math" w:hAnsi="Cambria Math"/>
              </w:rPr>
              <m:t>h</m:t>
            </m:r>
          </m:e>
          <m:sub>
            <m:r>
              <w:rPr>
                <w:rFonts w:ascii="Cambria Math" w:hAnsi="Cambria Math"/>
              </w:rPr>
              <m:t>Filt</m:t>
            </m:r>
          </m:sub>
        </m:sSub>
        <m:d>
          <m:dPr>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r>
                  <w:rPr>
                    <w:rFonts w:ascii="Cambria Math" w:hAnsi="Cambria Math"/>
                  </w:rPr>
                  <m:t>3</m:t>
                </m:r>
              </m:e>
            </m:rad>
            <m:sSub>
              <m:sSubPr>
                <m:ctrlPr>
                  <w:rPr>
                    <w:rFonts w:ascii="Cambria Math" w:hAnsi="Cambria Math"/>
                    <w:i/>
                  </w:rPr>
                </m:ctrlPr>
              </m:sSubPr>
              <m:e>
                <m:r>
                  <w:rPr>
                    <w:rFonts w:ascii="Cambria Math" w:hAnsi="Cambria Math"/>
                  </w:rPr>
                  <m:t>h</m:t>
                </m:r>
              </m:e>
              <m:sub>
                <m:r>
                  <w:rPr>
                    <w:rFonts w:ascii="Cambria Math" w:hAnsi="Cambria Math"/>
                  </w:rPr>
                  <m:t>k</m:t>
                </m:r>
              </m:sub>
            </m:sSub>
          </m:num>
          <m:den>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l=0</m:t>
                    </m:r>
                  </m:sub>
                  <m:sup>
                    <m:r>
                      <w:rPr>
                        <w:rFonts w:ascii="Cambria Math" w:hAnsi="Cambria Math"/>
                      </w:rPr>
                      <m:t>72</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l</m:t>
                                </m:r>
                              </m:sub>
                            </m:sSub>
                          </m:e>
                        </m:d>
                      </m:e>
                      <m:sup>
                        <m:r>
                          <w:rPr>
                            <w:rFonts w:ascii="Cambria Math" w:hAnsi="Cambria Math"/>
                          </w:rPr>
                          <m:t>2</m:t>
                        </m:r>
                      </m:sup>
                    </m:sSup>
                  </m:e>
                </m:nary>
              </m:e>
            </m:rad>
          </m:den>
        </m:f>
      </m:oMath>
      <w:r w:rsidR="0097474E">
        <w:t>.</w:t>
      </w:r>
    </w:p>
    <w:p w:rsidR="0097474E" w:rsidRDefault="0097474E" w:rsidP="0097474E"/>
    <w:p w:rsidR="001A3D5A" w:rsidRPr="009448FC" w:rsidRDefault="001A3D5A" w:rsidP="003701DB">
      <w:pPr>
        <w:pStyle w:val="Heading3"/>
        <w:numPr>
          <w:ilvl w:val="2"/>
          <w:numId w:val="39"/>
        </w:numPr>
      </w:pPr>
      <w:bookmarkStart w:id="3208" w:name="_Ref221600297"/>
      <w:bookmarkStart w:id="3209" w:name="_Toc235400645"/>
      <w:bookmarkStart w:id="3210" w:name="_Toc259717331"/>
      <w:r w:rsidRPr="009448FC">
        <w:t>HCS calculation for headers of OFDM PHY and SC PHY</w:t>
      </w:r>
      <w:bookmarkEnd w:id="3208"/>
      <w:bookmarkEnd w:id="3209"/>
      <w:bookmarkEnd w:id="3210"/>
    </w:p>
    <w:p w:rsidR="001A3D5A" w:rsidRPr="009448FC" w:rsidRDefault="001A3D5A" w:rsidP="002B66A6">
      <w:pPr>
        <w:pStyle w:val="IEEEStdsParagraph"/>
        <w:rPr>
          <w:color w:val="000000"/>
          <w:sz w:val="24"/>
        </w:rPr>
      </w:pPr>
      <w:r w:rsidRPr="009448FC">
        <w:rPr>
          <w:color w:val="000000"/>
          <w:sz w:val="24"/>
        </w:rPr>
        <w:t>The header check sequence (HCS) is a CRC of the header bits.</w:t>
      </w:r>
      <w:r w:rsidR="00EE1100" w:rsidRPr="009448FC">
        <w:rPr>
          <w:color w:val="000000"/>
          <w:sz w:val="24"/>
        </w:rPr>
        <w:t xml:space="preserve"> </w:t>
      </w:r>
      <w:r w:rsidRPr="009448FC">
        <w:rPr>
          <w:color w:val="000000"/>
          <w:sz w:val="24"/>
        </w:rPr>
        <w:t>The header is co</w:t>
      </w:r>
      <w:r w:rsidR="002B66A6" w:rsidRPr="009448FC">
        <w:rPr>
          <w:color w:val="000000"/>
          <w:sz w:val="24"/>
        </w:rPr>
        <w:t>nsidered to be a stream of bits</w:t>
      </w:r>
      <w:r w:rsidR="00EB4400" w:rsidRPr="009448FC">
        <w:rPr>
          <w:color w:val="000000"/>
          <w:sz w:val="24"/>
        </w:rPr>
        <w:t xml:space="preserve"> </w:t>
      </w:r>
      <w:r w:rsidR="00EB4400" w:rsidRPr="009448FC">
        <w:rPr>
          <w:i/>
          <w:color w:val="000000"/>
          <w:sz w:val="24"/>
        </w:rPr>
        <w:t>b</w:t>
      </w:r>
      <w:r w:rsidR="00EB4400" w:rsidRPr="009448FC">
        <w:rPr>
          <w:i/>
          <w:color w:val="000000"/>
          <w:sz w:val="24"/>
        </w:rPr>
        <w:softHyphen/>
      </w:r>
      <w:r w:rsidR="00EB4400" w:rsidRPr="009448FC">
        <w:rPr>
          <w:i/>
          <w:color w:val="000000"/>
          <w:sz w:val="24"/>
          <w:vertAlign w:val="subscript"/>
        </w:rPr>
        <w:t>0</w:t>
      </w:r>
      <w:r w:rsidRPr="009448FC">
        <w:rPr>
          <w:i/>
          <w:color w:val="000000"/>
          <w:sz w:val="24"/>
        </w:rPr>
        <w:t>,…,</w:t>
      </w:r>
      <w:r w:rsidR="00EB4400" w:rsidRPr="009448FC">
        <w:rPr>
          <w:i/>
          <w:color w:val="000000"/>
          <w:sz w:val="24"/>
        </w:rPr>
        <w:t>b</w:t>
      </w:r>
      <w:r w:rsidR="00EB4400" w:rsidRPr="009448FC">
        <w:rPr>
          <w:i/>
          <w:color w:val="000000"/>
          <w:sz w:val="24"/>
          <w:vertAlign w:val="subscript"/>
        </w:rPr>
        <w:t>M</w:t>
      </w:r>
      <w:r w:rsidRPr="009448FC">
        <w:rPr>
          <w:i/>
          <w:color w:val="000000"/>
          <w:sz w:val="24"/>
          <w:vertAlign w:val="subscript"/>
        </w:rPr>
        <w:t>-1</w:t>
      </w:r>
      <w:r w:rsidRPr="009448FC">
        <w:rPr>
          <w:i/>
          <w:color w:val="000000"/>
          <w:sz w:val="24"/>
        </w:rPr>
        <w:t>.</w:t>
      </w:r>
      <w:r w:rsidR="00281486" w:rsidRPr="009448FC">
        <w:rPr>
          <w:color w:val="000000"/>
          <w:sz w:val="24"/>
        </w:rPr>
        <w:t xml:space="preserve"> </w:t>
      </w:r>
      <w:r w:rsidRPr="009448FC">
        <w:rPr>
          <w:color w:val="000000"/>
          <w:sz w:val="24"/>
        </w:rPr>
        <w:t>The CRC is based on CRC 16-CCITT.</w:t>
      </w:r>
      <w:r w:rsidR="00EE1100" w:rsidRPr="009448FC">
        <w:rPr>
          <w:color w:val="000000"/>
          <w:sz w:val="24"/>
        </w:rPr>
        <w:t xml:space="preserve"> </w:t>
      </w:r>
      <w:r w:rsidRPr="009448FC">
        <w:rPr>
          <w:color w:val="000000"/>
          <w:sz w:val="24"/>
        </w:rPr>
        <w:t>The value of the CRC field is the ones complement of</w:t>
      </w:r>
    </w:p>
    <w:p w:rsidR="001A3D5A" w:rsidRPr="009448FC" w:rsidRDefault="001A3D5A" w:rsidP="001A3D5A">
      <w:pPr>
        <w:pStyle w:val="IEEEStdsEquation"/>
        <w:rPr>
          <w:color w:val="000000"/>
        </w:rPr>
      </w:pPr>
      <w:r w:rsidRPr="009448FC">
        <w:rPr>
          <w:color w:val="000000"/>
          <w:position w:val="-16"/>
        </w:rPr>
        <w:object w:dxaOrig="4239" w:dyaOrig="440">
          <v:shape id="_x0000_i1124" type="#_x0000_t75" style="width:210.1pt;height:21.3pt" o:ole="">
            <v:imagedata r:id="rId296" o:title=""/>
          </v:shape>
          <o:OLEObject Type="Embed" ProgID="Equation.DSMT4" ShapeID="_x0000_i1124" DrawAspect="Content" ObjectID="_1334048305" r:id="rId297"/>
        </w:object>
      </w:r>
      <w:r w:rsidRPr="009448FC">
        <w:rPr>
          <w:color w:val="000000"/>
        </w:rPr>
        <w:tab/>
      </w:r>
    </w:p>
    <w:p w:rsidR="001A3D5A" w:rsidRPr="009448FC" w:rsidRDefault="001A3D5A" w:rsidP="001A3D5A">
      <w:pPr>
        <w:pStyle w:val="IEEEStdsEquation"/>
        <w:rPr>
          <w:sz w:val="24"/>
        </w:rPr>
      </w:pPr>
      <w:r w:rsidRPr="009448FC">
        <w:rPr>
          <w:sz w:val="24"/>
        </w:rPr>
        <w:t>where</w:t>
      </w:r>
      <w:r w:rsidR="00F437AB" w:rsidRPr="009448FC">
        <w:rPr>
          <w:sz w:val="24"/>
        </w:rPr>
        <w:t>:</w:t>
      </w:r>
    </w:p>
    <w:p w:rsidR="001A3D5A" w:rsidRPr="009448FC" w:rsidRDefault="007120A7" w:rsidP="007120A7">
      <w:pPr>
        <w:pStyle w:val="IEEEStdsEquationVariableList"/>
        <w:rPr>
          <w:sz w:val="24"/>
        </w:rPr>
      </w:pPr>
      <w:r w:rsidRPr="009448FC">
        <w:rPr>
          <w:position w:val="-14"/>
          <w:sz w:val="24"/>
        </w:rPr>
        <w:object w:dxaOrig="3540" w:dyaOrig="400">
          <v:shape id="_x0000_i1125" type="#_x0000_t75" style="width:176.15pt;height:20.4pt" o:ole="">
            <v:imagedata r:id="rId298" o:title=""/>
          </v:shape>
          <o:OLEObject Type="Embed" ProgID="Equation.DSMT4" ShapeID="_x0000_i1125" DrawAspect="Content" ObjectID="_1334048306" r:id="rId299"/>
        </w:object>
      </w:r>
      <w:r w:rsidR="005515A4">
        <w:rPr>
          <w:sz w:val="24"/>
        </w:rPr>
        <w:t xml:space="preserve"> </w:t>
      </w:r>
      <w:r w:rsidR="001A3D5A" w:rsidRPr="009448FC">
        <w:rPr>
          <w:sz w:val="24"/>
        </w:rPr>
        <w:t xml:space="preserve">is the header bits represented as polynomial </w:t>
      </w:r>
      <w:r w:rsidR="0077227D" w:rsidRPr="009448FC">
        <w:rPr>
          <w:sz w:val="24"/>
        </w:rPr>
        <w:t>(over the binary field)</w:t>
      </w:r>
      <w:r w:rsidR="00281486" w:rsidRPr="009448FC">
        <w:rPr>
          <w:sz w:val="24"/>
        </w:rPr>
        <w:t xml:space="preserve"> </w:t>
      </w:r>
      <w:r w:rsidR="001A3D5A" w:rsidRPr="009448FC">
        <w:rPr>
          <w:sz w:val="24"/>
        </w:rPr>
        <w:t xml:space="preserve">where </w:t>
      </w:r>
      <w:r w:rsidRPr="009448FC">
        <w:rPr>
          <w:i/>
          <w:sz w:val="24"/>
        </w:rPr>
        <w:t>b</w:t>
      </w:r>
      <w:r w:rsidRPr="009448FC">
        <w:rPr>
          <w:i/>
          <w:sz w:val="24"/>
          <w:vertAlign w:val="subscript"/>
        </w:rPr>
        <w:t>0</w:t>
      </w:r>
      <w:r w:rsidRPr="009448FC">
        <w:rPr>
          <w:sz w:val="24"/>
        </w:rPr>
        <w:t xml:space="preserve"> </w:t>
      </w:r>
      <w:r w:rsidR="001A3D5A" w:rsidRPr="009448FC">
        <w:rPr>
          <w:sz w:val="24"/>
        </w:rPr>
        <w:t xml:space="preserve">is bit 0 of the header and </w:t>
      </w:r>
      <w:r w:rsidRPr="009448FC">
        <w:rPr>
          <w:i/>
          <w:sz w:val="24"/>
        </w:rPr>
        <w:t>b</w:t>
      </w:r>
      <w:r w:rsidRPr="009448FC">
        <w:rPr>
          <w:i/>
          <w:sz w:val="24"/>
          <w:vertAlign w:val="subscript"/>
        </w:rPr>
        <w:t>M</w:t>
      </w:r>
      <w:r w:rsidR="001A3D5A" w:rsidRPr="009448FC">
        <w:rPr>
          <w:i/>
          <w:sz w:val="24"/>
          <w:vertAlign w:val="subscript"/>
        </w:rPr>
        <w:t>-1</w:t>
      </w:r>
      <w:r w:rsidR="001A3D5A" w:rsidRPr="009448FC">
        <w:rPr>
          <w:sz w:val="24"/>
        </w:rPr>
        <w:t xml:space="preserve"> is bit </w:t>
      </w:r>
      <w:r w:rsidR="001A3D5A" w:rsidRPr="009448FC">
        <w:rPr>
          <w:i/>
          <w:sz w:val="24"/>
        </w:rPr>
        <w:t>M-1</w:t>
      </w:r>
      <w:r w:rsidR="001A3D5A" w:rsidRPr="009448FC">
        <w:rPr>
          <w:sz w:val="24"/>
        </w:rPr>
        <w:t xml:space="preserve"> of the header.</w:t>
      </w:r>
    </w:p>
    <w:p w:rsidR="001A3D5A" w:rsidRPr="009448FC" w:rsidRDefault="001A3D5A" w:rsidP="00D638E1">
      <w:pPr>
        <w:pStyle w:val="IEEEStdsEquationVariableList"/>
        <w:spacing w:line="360" w:lineRule="auto"/>
        <w:rPr>
          <w:sz w:val="24"/>
        </w:rPr>
      </w:pPr>
      <w:r w:rsidRPr="009448FC">
        <w:rPr>
          <w:position w:val="-28"/>
        </w:rPr>
        <w:object w:dxaOrig="1680" w:dyaOrig="680">
          <v:shape id="_x0000_i1126" type="#_x0000_t75" style="width:82.4pt;height:33.95pt" o:ole="">
            <v:imagedata r:id="rId300" o:title=""/>
          </v:shape>
          <o:OLEObject Type="Embed" ProgID="Equation.DSMT4" ShapeID="_x0000_i1126" DrawAspect="Content" ObjectID="_1334048307" r:id="rId301"/>
        </w:object>
      </w:r>
      <w:r w:rsidRPr="009448FC">
        <w:rPr>
          <w:sz w:val="24"/>
        </w:rPr>
        <w:t xml:space="preserve">is an initialization polynomial added to the first </w:t>
      </w:r>
      <w:r w:rsidR="004C187D">
        <w:rPr>
          <w:sz w:val="24"/>
        </w:rPr>
        <w:t xml:space="preserve">16 </w:t>
      </w:r>
      <w:r w:rsidRPr="009448FC">
        <w:rPr>
          <w:sz w:val="24"/>
        </w:rPr>
        <w:t>bits of the header (setting the shift register bits to 1)</w:t>
      </w:r>
    </w:p>
    <w:p w:rsidR="001A3D5A" w:rsidRPr="009448FC" w:rsidRDefault="001A3D5A" w:rsidP="001A3D5A">
      <w:pPr>
        <w:pStyle w:val="IEEEStdsEquationVariableList"/>
      </w:pPr>
      <w:r w:rsidRPr="009448FC">
        <w:rPr>
          <w:position w:val="-14"/>
        </w:rPr>
        <w:object w:dxaOrig="2580" w:dyaOrig="400">
          <v:shape id="_x0000_i1127" type="#_x0000_t75" style="width:129.95pt;height:20.4pt" o:ole="">
            <v:imagedata r:id="rId302" o:title=""/>
          </v:shape>
          <o:OLEObject Type="Embed" ProgID="Equation.DSMT4" ShapeID="_x0000_i1127" DrawAspect="Content" ObjectID="_1334048308" r:id="rId303"/>
        </w:object>
      </w:r>
      <w:r w:rsidRPr="009448FC">
        <w:rPr>
          <w:sz w:val="24"/>
        </w:rPr>
        <w:t xml:space="preserve"> is the CRC generating polynomial </w:t>
      </w:r>
    </w:p>
    <w:p w:rsidR="001A3D5A" w:rsidRPr="009448FC" w:rsidRDefault="007120A7" w:rsidP="001A3D5A">
      <w:pPr>
        <w:pStyle w:val="IEEEStdsEquationVariableList"/>
      </w:pPr>
      <w:r w:rsidRPr="009448FC">
        <w:rPr>
          <w:position w:val="-12"/>
        </w:rPr>
        <w:object w:dxaOrig="3760" w:dyaOrig="380">
          <v:shape id="_x0000_i1128" type="#_x0000_t75" style="width:187.9pt;height:17.65pt" o:ole="">
            <v:imagedata r:id="rId304" o:title=""/>
          </v:shape>
          <o:OLEObject Type="Embed" ProgID="Equation.DSMT4" ShapeID="_x0000_i1128" DrawAspect="Content" ObjectID="_1334048309" r:id="rId305"/>
        </w:object>
      </w:r>
      <w:r w:rsidRPr="009448FC">
        <w:t>(</w:t>
      </w:r>
      <w:r w:rsidR="00D926D0" w:rsidRPr="009448FC">
        <w:t xml:space="preserve"> </w:t>
      </w:r>
      <w:r w:rsidRPr="009448FC">
        <w:t>9)</w:t>
      </w:r>
    </w:p>
    <w:p w:rsidR="001A3D5A" w:rsidRPr="009448FC" w:rsidRDefault="001A3D5A" w:rsidP="001A3D5A">
      <w:pPr>
        <w:rPr>
          <w:color w:val="000000"/>
        </w:rPr>
      </w:pPr>
      <w:r w:rsidRPr="009448FC">
        <w:rPr>
          <w:color w:val="000000"/>
        </w:rPr>
        <w:lastRenderedPageBreak/>
        <w:t>The</w:t>
      </w:r>
      <w:r w:rsidR="00335FAF" w:rsidRPr="009448FC">
        <w:rPr>
          <w:color w:val="000000"/>
        </w:rPr>
        <w:t xml:space="preserve"> CRC field is transmitted with x</w:t>
      </w:r>
      <w:r w:rsidRPr="009448FC">
        <w:rPr>
          <w:color w:val="000000"/>
          <w:vertAlign w:val="subscript"/>
        </w:rPr>
        <w:t xml:space="preserve">15 </w:t>
      </w:r>
      <w:r w:rsidRPr="009448FC">
        <w:rPr>
          <w:color w:val="000000"/>
        </w:rPr>
        <w:t>first</w:t>
      </w:r>
      <w:r w:rsidR="00F437AB" w:rsidRPr="009448FC">
        <w:rPr>
          <w:color w:val="000000"/>
        </w:rPr>
        <w:t>.</w:t>
      </w:r>
    </w:p>
    <w:p w:rsidR="001A3D5A" w:rsidRPr="009448FC" w:rsidRDefault="001A3D5A" w:rsidP="001A3D5A">
      <w:pPr>
        <w:rPr>
          <w:color w:val="000000"/>
        </w:rPr>
      </w:pPr>
    </w:p>
    <w:p w:rsidR="00B243B6" w:rsidRPr="009448FC" w:rsidRDefault="001A3D5A" w:rsidP="00B32BA0">
      <w:r w:rsidRPr="009448FC">
        <w:t>For a block diagram and an example of how to calculate the CRC, see subclause 18.2.3.6 of IEEE802-11™-2007.</w:t>
      </w:r>
    </w:p>
    <w:p w:rsidR="00B243B6" w:rsidRPr="009448FC" w:rsidRDefault="009731CC" w:rsidP="003701DB">
      <w:pPr>
        <w:pStyle w:val="Heading3"/>
        <w:numPr>
          <w:ilvl w:val="2"/>
          <w:numId w:val="39"/>
        </w:numPr>
      </w:pPr>
      <w:bookmarkStart w:id="3211" w:name="_Ref221601216"/>
      <w:bookmarkStart w:id="3212" w:name="_Toc235400646"/>
      <w:bookmarkStart w:id="3213" w:name="_Toc259717332"/>
      <w:r w:rsidRPr="009448FC">
        <w:t>Common LDPC parity matrices</w:t>
      </w:r>
      <w:bookmarkEnd w:id="3211"/>
      <w:bookmarkEnd w:id="3212"/>
      <w:bookmarkEnd w:id="3213"/>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r w:rsidRPr="009448FC">
        <w:t>Four Low-Density Parity-Check (LDPC) codes are specified, each of a different rate but with a common codeword size of 672 bits.</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rPr>
          <w:rFonts w:ascii="Arial" w:eastAsia="MS Mincho" w:hAnsi="Arial"/>
          <w:sz w:val="20"/>
        </w:rPr>
      </w:pPr>
      <w:r w:rsidRPr="009448FC">
        <w:t>Each of the parity-check matrices</w:t>
      </w:r>
      <w:r w:rsidRPr="009448FC">
        <w:rPr>
          <w:rFonts w:ascii="Arial" w:eastAsia="MS Mincho" w:hAnsi="Arial"/>
          <w:sz w:val="20"/>
        </w:rPr>
        <w:t xml:space="preserve"> </w:t>
      </w:r>
      <w:r w:rsidRPr="009448FC">
        <w:rPr>
          <w:rFonts w:ascii="Arial" w:eastAsia="MS Mincho" w:hAnsi="Arial"/>
          <w:b/>
          <w:i/>
          <w:sz w:val="20"/>
        </w:rPr>
        <w:t>H</w:t>
      </w:r>
      <w:r w:rsidRPr="009448FC">
        <w:rPr>
          <w:rFonts w:ascii="Arial" w:eastAsia="MS Mincho" w:hAnsi="Arial"/>
          <w:sz w:val="20"/>
        </w:rPr>
        <w:t xml:space="preserve"> </w:t>
      </w:r>
      <w:r w:rsidRPr="009448FC">
        <w:t>is partitioned into square sub-matrices of size</w:t>
      </w:r>
      <w:r w:rsidRPr="009448FC">
        <w:rPr>
          <w:rFonts w:ascii="Arial" w:eastAsia="MS Mincho" w:hAnsi="Arial"/>
          <w:sz w:val="20"/>
        </w:rPr>
        <w:t xml:space="preserve"> </w:t>
      </w:r>
      <w:r w:rsidRPr="009448FC">
        <w:rPr>
          <w:rFonts w:ascii="Arial" w:eastAsia="MS Mincho" w:hAnsi="Arial"/>
          <w:i/>
          <w:sz w:val="20"/>
        </w:rPr>
        <w:t xml:space="preserve">Z x Z. </w:t>
      </w:r>
      <w:r w:rsidRPr="009448FC">
        <w:t>The sub-matrices are either cyclic-permutations of the identity matrix, or null sub-matrices with all zero entries.</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rPr>
          <w:rFonts w:ascii="Arial" w:eastAsia="MS Mincho" w:hAnsi="Arial"/>
          <w:sz w:val="20"/>
        </w:rPr>
      </w:pPr>
      <w:r w:rsidRPr="009448FC">
        <w:t>A location with integer</w:t>
      </w:r>
      <w:r w:rsidRPr="009448FC">
        <w:rPr>
          <w:rFonts w:ascii="Arial" w:eastAsia="MS Mincho" w:hAnsi="Arial"/>
          <w:sz w:val="20"/>
        </w:rPr>
        <w:t xml:space="preserve"> </w:t>
      </w:r>
      <w:r w:rsidRPr="009448FC">
        <w:rPr>
          <w:rFonts w:ascii="Arial" w:eastAsia="MS Mincho" w:hAnsi="Arial"/>
          <w:i/>
          <w:sz w:val="20"/>
        </w:rPr>
        <w:t>i</w:t>
      </w:r>
      <w:r w:rsidRPr="009448FC">
        <w:rPr>
          <w:rFonts w:ascii="Arial" w:eastAsia="MS Mincho" w:hAnsi="Arial"/>
          <w:sz w:val="20"/>
        </w:rPr>
        <w:t xml:space="preserve"> </w:t>
      </w:r>
      <w:r w:rsidRPr="009448FC">
        <w:t>denotes the cyclic-permutation sub-matrix</w:t>
      </w:r>
      <w:r w:rsidRPr="009448FC">
        <w:rPr>
          <w:rFonts w:ascii="Arial" w:eastAsia="MS Mincho" w:hAnsi="Arial"/>
          <w:sz w:val="20"/>
        </w:rPr>
        <w:t xml:space="preserve"> </w:t>
      </w:r>
      <w:r w:rsidRPr="009448FC">
        <w:rPr>
          <w:rFonts w:ascii="Arial" w:eastAsia="MS Mincho" w:hAnsi="Arial"/>
          <w:i/>
          <w:sz w:val="20"/>
        </w:rPr>
        <w:t>P</w:t>
      </w:r>
      <w:r w:rsidRPr="009448FC">
        <w:rPr>
          <w:rFonts w:ascii="Arial" w:eastAsia="MS Mincho" w:hAnsi="Arial"/>
          <w:i/>
          <w:sz w:val="20"/>
          <w:vertAlign w:val="subscript"/>
        </w:rPr>
        <w:t>i</w:t>
      </w:r>
      <w:r w:rsidRPr="009448FC">
        <w:rPr>
          <w:rFonts w:ascii="Arial" w:eastAsia="MS Mincho" w:hAnsi="Arial"/>
          <w:sz w:val="20"/>
        </w:rPr>
        <w:t xml:space="preserve"> </w:t>
      </w:r>
      <w:r w:rsidRPr="009448FC">
        <w:t>obtained from the</w:t>
      </w:r>
      <w:r w:rsidRPr="009448FC">
        <w:rPr>
          <w:rFonts w:ascii="Arial" w:eastAsia="MS Mincho" w:hAnsi="Arial"/>
          <w:sz w:val="20"/>
        </w:rPr>
        <w:t xml:space="preserve"> Z x Z </w:t>
      </w:r>
      <w:r w:rsidRPr="009448FC">
        <w:t>identity matrix by cyclically shifting the columns to the right by</w:t>
      </w:r>
      <w:r w:rsidRPr="009448FC">
        <w:rPr>
          <w:rFonts w:ascii="Arial" w:eastAsia="MS Mincho" w:hAnsi="Arial"/>
          <w:sz w:val="20"/>
        </w:rPr>
        <w:t xml:space="preserve"> </w:t>
      </w:r>
      <w:r w:rsidRPr="009448FC">
        <w:rPr>
          <w:rFonts w:ascii="Arial" w:eastAsia="MS Mincho" w:hAnsi="Arial"/>
          <w:i/>
          <w:sz w:val="20"/>
        </w:rPr>
        <w:t>i</w:t>
      </w:r>
      <w:r w:rsidRPr="009448FC">
        <w:rPr>
          <w:rFonts w:ascii="Arial" w:eastAsia="MS Mincho" w:hAnsi="Arial"/>
          <w:sz w:val="20"/>
        </w:rPr>
        <w:t xml:space="preserve"> </w:t>
      </w:r>
      <w:r w:rsidRPr="009448FC">
        <w:t>elements</w:t>
      </w:r>
      <w:r w:rsidRPr="009448FC">
        <w:rPr>
          <w:rFonts w:ascii="Arial" w:eastAsia="MS Mincho" w:hAnsi="Arial"/>
          <w:sz w:val="20"/>
        </w:rPr>
        <w:t xml:space="preserve">. </w:t>
      </w:r>
      <w:r w:rsidRPr="009448FC">
        <w:t>The matrix</w:t>
      </w:r>
      <w:r w:rsidRPr="009448FC">
        <w:rPr>
          <w:rFonts w:ascii="Arial" w:eastAsia="MS Mincho" w:hAnsi="Arial"/>
          <w:sz w:val="20"/>
        </w:rPr>
        <w:t xml:space="preserve"> </w:t>
      </w:r>
      <w:r w:rsidRPr="009448FC">
        <w:rPr>
          <w:rFonts w:ascii="Arial" w:eastAsia="MS Mincho" w:hAnsi="Arial"/>
          <w:i/>
          <w:sz w:val="20"/>
        </w:rPr>
        <w:t>P</w:t>
      </w:r>
      <w:r w:rsidRPr="009448FC">
        <w:rPr>
          <w:rFonts w:ascii="Arial" w:eastAsia="MS Mincho" w:hAnsi="Arial"/>
          <w:i/>
          <w:sz w:val="20"/>
          <w:vertAlign w:val="subscript"/>
        </w:rPr>
        <w:t>o</w:t>
      </w:r>
      <w:r w:rsidRPr="009448FC">
        <w:rPr>
          <w:rFonts w:ascii="Arial" w:eastAsia="MS Mincho" w:hAnsi="Arial"/>
          <w:sz w:val="20"/>
        </w:rPr>
        <w:t xml:space="preserve"> </w:t>
      </w:r>
      <w:r w:rsidRPr="009448FC">
        <w:t>is the</w:t>
      </w:r>
      <w:r w:rsidRPr="009448FC">
        <w:rPr>
          <w:rFonts w:ascii="Arial" w:eastAsia="MS Mincho" w:hAnsi="Arial"/>
          <w:sz w:val="20"/>
        </w:rPr>
        <w:t xml:space="preserve"> </w:t>
      </w:r>
      <w:r w:rsidRPr="009448FC">
        <w:rPr>
          <w:rFonts w:ascii="Arial" w:eastAsia="MS Mincho" w:hAnsi="Arial"/>
          <w:i/>
          <w:sz w:val="20"/>
        </w:rPr>
        <w:t>Z x Z</w:t>
      </w:r>
      <w:r w:rsidRPr="009448FC">
        <w:rPr>
          <w:rFonts w:ascii="Arial" w:eastAsia="MS Mincho" w:hAnsi="Arial"/>
          <w:sz w:val="20"/>
        </w:rPr>
        <w:t xml:space="preserve"> </w:t>
      </w:r>
      <w:r w:rsidRPr="009448FC">
        <w:t>identity matrix. An empty location denotes a null sub-matrix of size</w:t>
      </w:r>
      <w:r w:rsidRPr="009448FC">
        <w:rPr>
          <w:rFonts w:ascii="Arial" w:eastAsia="MS Mincho" w:hAnsi="Arial"/>
          <w:sz w:val="20"/>
        </w:rPr>
        <w:t xml:space="preserve"> </w:t>
      </w:r>
      <w:r w:rsidRPr="009448FC">
        <w:rPr>
          <w:rFonts w:ascii="Arial" w:eastAsia="MS Mincho" w:hAnsi="Arial"/>
          <w:i/>
          <w:sz w:val="20"/>
        </w:rPr>
        <w:t>Z x Z</w:t>
      </w:r>
      <w:r w:rsidRPr="009448FC">
        <w:rPr>
          <w:rFonts w:ascii="Arial" w:eastAsia="MS Mincho" w:hAnsi="Arial"/>
          <w:sz w:val="20"/>
        </w:rPr>
        <w:t>.</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rPr>
          <w:rFonts w:ascii="Arial" w:eastAsia="MS Mincho" w:hAnsi="Arial"/>
          <w:sz w:val="20"/>
        </w:rPr>
      </w:pPr>
      <w:r w:rsidRPr="009448FC">
        <w:t>Examples with</w:t>
      </w:r>
      <w:r w:rsidRPr="009448FC">
        <w:rPr>
          <w:rFonts w:ascii="Arial" w:eastAsia="MS Mincho" w:hAnsi="Arial"/>
          <w:sz w:val="20"/>
        </w:rPr>
        <w:t xml:space="preserve"> </w:t>
      </w:r>
      <w:r w:rsidRPr="009448FC">
        <w:rPr>
          <w:rFonts w:ascii="Arial" w:eastAsia="MS Mincho" w:hAnsi="Arial"/>
          <w:i/>
          <w:sz w:val="20"/>
        </w:rPr>
        <w:t>Z = 4</w:t>
      </w:r>
      <w:r w:rsidRPr="009448FC">
        <w:rPr>
          <w:rFonts w:ascii="Arial" w:eastAsia="MS Mincho" w:hAnsi="Arial"/>
          <w:sz w:val="20"/>
        </w:rPr>
        <w:t>:</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ind w:left="1440" w:firstLine="720"/>
        <w:rPr>
          <w:rFonts w:ascii="Arial" w:eastAsia="MS Mincho" w:hAnsi="Arial"/>
          <w:sz w:val="20"/>
        </w:rPr>
      </w:pPr>
      <w:r w:rsidRPr="009448FC">
        <w:rPr>
          <w:rFonts w:ascii="Arial" w:eastAsia="MS Mincho" w:hAnsi="Arial"/>
          <w:position w:val="-66"/>
          <w:sz w:val="20"/>
        </w:rPr>
        <w:object w:dxaOrig="5520" w:dyaOrig="1440">
          <v:shape id="_x0000_i1129" type="#_x0000_t75" style="width:277.6pt;height:1in" o:ole="">
            <v:imagedata r:id="rId306" o:title=""/>
          </v:shape>
          <o:OLEObject Type="Embed" ProgID="Equation.3" ShapeID="_x0000_i1129" DrawAspect="Content" ObjectID="_1334048310" r:id="rId307"/>
        </w:objec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3701DB">
      <w:pPr>
        <w:pStyle w:val="Heading4"/>
        <w:numPr>
          <w:ilvl w:val="3"/>
          <w:numId w:val="39"/>
        </w:numPr>
        <w:tabs>
          <w:tab w:val="clear" w:pos="907"/>
        </w:tabs>
        <w:spacing w:after="60"/>
        <w:ind w:left="864" w:hanging="864"/>
        <w:rPr>
          <w:rFonts w:ascii="Times New Roman" w:hAnsi="Times New Roman"/>
        </w:rPr>
      </w:pPr>
      <w:bookmarkStart w:id="3214" w:name="_Toc235400647"/>
      <w:bookmarkStart w:id="3215" w:name="_Toc259717333"/>
      <w:r w:rsidRPr="009448FC">
        <w:rPr>
          <w:rFonts w:ascii="Times New Roman" w:hAnsi="Times New Roman"/>
        </w:rPr>
        <w:t>Rate-1/2 LDPC code matrix H = 336 rows x 672 columns, Z = 42</w:t>
      </w:r>
      <w:bookmarkEnd w:id="3214"/>
      <w:bookmarkEnd w:id="3215"/>
    </w:p>
    <w:p w:rsidR="00F437AB" w:rsidRPr="009448FC" w:rsidRDefault="00F437AB" w:rsidP="00F437AB"/>
    <w:p w:rsidR="00727252" w:rsidRPr="00066F65" w:rsidRDefault="00727252" w:rsidP="009448FC">
      <w:pPr>
        <w:pStyle w:val="Caption"/>
        <w:keepNext/>
        <w:rPr>
          <w:lang w:val="fr-FR"/>
        </w:rPr>
      </w:pPr>
      <w:bookmarkStart w:id="3216" w:name="_Toc250654453"/>
      <w:bookmarkStart w:id="3217" w:name="_Toc259717647"/>
      <w:r w:rsidRPr="00066F65">
        <w:rPr>
          <w:lang w:val="fr-FR"/>
        </w:rPr>
        <w:t xml:space="preserve">Table </w:t>
      </w:r>
      <w:r w:rsidR="00BD151C" w:rsidRPr="00066F65">
        <w:fldChar w:fldCharType="begin"/>
      </w:r>
      <w:r w:rsidRPr="00066F65">
        <w:rPr>
          <w:lang w:val="fr-FR"/>
        </w:rPr>
        <w:instrText xml:space="preserve"> SEQ Table \* ARABIC </w:instrText>
      </w:r>
      <w:r w:rsidR="00BD151C" w:rsidRPr="00066F65">
        <w:fldChar w:fldCharType="separate"/>
      </w:r>
      <w:r w:rsidR="003E4210">
        <w:rPr>
          <w:noProof/>
          <w:lang w:val="fr-FR"/>
        </w:rPr>
        <w:t>69</w:t>
      </w:r>
      <w:r w:rsidR="00BD151C" w:rsidRPr="00066F65">
        <w:fldChar w:fldCharType="end"/>
      </w:r>
      <w:r w:rsidRPr="00066F65">
        <w:rPr>
          <w:lang w:val="fr-FR"/>
        </w:rPr>
        <w:t xml:space="preserve"> </w:t>
      </w:r>
      <w:r w:rsidR="00784429" w:rsidRPr="00066F65">
        <w:rPr>
          <w:lang w:val="fr-FR"/>
        </w:rPr>
        <w:t xml:space="preserve">– </w:t>
      </w:r>
      <w:r w:rsidRPr="00066F65">
        <w:rPr>
          <w:lang w:val="fr-FR"/>
        </w:rPr>
        <w:t>Rate 1/2 LDPC code matrix</w:t>
      </w:r>
      <w:bookmarkEnd w:id="3216"/>
      <w:bookmarkEnd w:id="3217"/>
      <w:r w:rsidRPr="00066F65">
        <w:rPr>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36</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39</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24</w:t>
            </w:r>
          </w:p>
        </w:tc>
      </w:tr>
    </w:tbl>
    <w:p w:rsidR="00727252" w:rsidRPr="009448FC" w:rsidRDefault="00727252" w:rsidP="00727252">
      <w:pPr>
        <w:rPr>
          <w:rFonts w:eastAsia="MS Mincho"/>
        </w:rPr>
      </w:pPr>
    </w:p>
    <w:p w:rsidR="00727252" w:rsidRPr="009448FC" w:rsidRDefault="0020582E" w:rsidP="003701DB">
      <w:pPr>
        <w:pStyle w:val="Heading4"/>
        <w:numPr>
          <w:ilvl w:val="3"/>
          <w:numId w:val="39"/>
        </w:numPr>
        <w:tabs>
          <w:tab w:val="clear" w:pos="907"/>
        </w:tabs>
        <w:spacing w:after="60"/>
        <w:ind w:left="864" w:hanging="864"/>
        <w:rPr>
          <w:rFonts w:ascii="Times New Roman" w:hAnsi="Times New Roman"/>
        </w:rPr>
      </w:pPr>
      <w:bookmarkStart w:id="3218" w:name="_Toc235400648"/>
      <w:bookmarkStart w:id="3219" w:name="_Toc259717334"/>
      <w:r w:rsidRPr="009448FC">
        <w:rPr>
          <w:rFonts w:ascii="Times New Roman" w:hAnsi="Times New Roman"/>
        </w:rPr>
        <w:t>Rate-5/8 LDPC code matrix H = 252 rows x 672 columns, Z = 42</w:t>
      </w:r>
      <w:bookmarkEnd w:id="3218"/>
      <w:bookmarkEnd w:id="3219"/>
    </w:p>
    <w:p w:rsidR="0020582E" w:rsidRPr="009448FC" w:rsidRDefault="0020582E" w:rsidP="0020582E">
      <w:pPr>
        <w:rPr>
          <w:rFonts w:eastAsia="MS Mincho"/>
        </w:rPr>
      </w:pPr>
    </w:p>
    <w:p w:rsidR="0020582E" w:rsidRPr="00066F65" w:rsidRDefault="0020582E" w:rsidP="009448FC">
      <w:pPr>
        <w:pStyle w:val="Caption"/>
        <w:keepNext/>
        <w:rPr>
          <w:lang w:val="fr-FR"/>
        </w:rPr>
      </w:pPr>
      <w:bookmarkStart w:id="3220" w:name="_Toc250654454"/>
      <w:bookmarkStart w:id="3221" w:name="_Toc259717648"/>
      <w:r w:rsidRPr="00066F65">
        <w:rPr>
          <w:lang w:val="fr-FR"/>
        </w:rPr>
        <w:t xml:space="preserve">Table </w:t>
      </w:r>
      <w:r w:rsidR="00BD151C" w:rsidRPr="00066F65">
        <w:fldChar w:fldCharType="begin"/>
      </w:r>
      <w:r w:rsidRPr="00066F65">
        <w:rPr>
          <w:lang w:val="fr-FR"/>
        </w:rPr>
        <w:instrText xml:space="preserve"> SEQ Table \* ARABIC </w:instrText>
      </w:r>
      <w:r w:rsidR="00BD151C" w:rsidRPr="00066F65">
        <w:fldChar w:fldCharType="separate"/>
      </w:r>
      <w:r w:rsidR="003E4210">
        <w:rPr>
          <w:noProof/>
          <w:lang w:val="fr-FR"/>
        </w:rPr>
        <w:t>70</w:t>
      </w:r>
      <w:r w:rsidR="00BD151C" w:rsidRPr="00066F65">
        <w:fldChar w:fldCharType="end"/>
      </w:r>
      <w:r w:rsidRPr="00066F65">
        <w:rPr>
          <w:lang w:val="fr-FR"/>
        </w:rPr>
        <w:t xml:space="preserve"> </w:t>
      </w:r>
      <w:r w:rsidR="00784429" w:rsidRPr="00066F65">
        <w:rPr>
          <w:lang w:val="fr-FR"/>
        </w:rPr>
        <w:t xml:space="preserve">– </w:t>
      </w:r>
      <w:r w:rsidRPr="00066F65">
        <w:rPr>
          <w:lang w:val="fr-FR"/>
        </w:rPr>
        <w:t>Rate 5/8 LDPC code matrix</w:t>
      </w:r>
      <w:bookmarkEnd w:id="3220"/>
      <w:bookmarkEnd w:id="3221"/>
      <w:r w:rsidRPr="00066F65">
        <w:rPr>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r>
    </w:tbl>
    <w:p w:rsidR="0020582E" w:rsidRPr="009448FC" w:rsidRDefault="0020582E" w:rsidP="0020582E">
      <w:pPr>
        <w:rPr>
          <w:rFonts w:eastAsia="MS Mincho"/>
        </w:rPr>
      </w:pPr>
    </w:p>
    <w:p w:rsidR="0020582E" w:rsidRPr="009448FC" w:rsidRDefault="0020582E" w:rsidP="003701DB">
      <w:pPr>
        <w:pStyle w:val="Heading4"/>
        <w:numPr>
          <w:ilvl w:val="3"/>
          <w:numId w:val="39"/>
        </w:numPr>
        <w:tabs>
          <w:tab w:val="clear" w:pos="907"/>
        </w:tabs>
        <w:spacing w:after="60"/>
        <w:ind w:left="864" w:hanging="864"/>
        <w:rPr>
          <w:rFonts w:ascii="Times New Roman" w:hAnsi="Times New Roman"/>
        </w:rPr>
      </w:pPr>
      <w:bookmarkStart w:id="3222" w:name="_Toc235400649"/>
      <w:bookmarkStart w:id="3223" w:name="_Toc259717335"/>
      <w:r w:rsidRPr="009448FC">
        <w:rPr>
          <w:rFonts w:ascii="Times New Roman" w:hAnsi="Times New Roman"/>
        </w:rPr>
        <w:t>Rate-3/4 LDPC code matrix H = 168 rows x 672 columns, Z = 42</w:t>
      </w:r>
      <w:bookmarkEnd w:id="3222"/>
      <w:bookmarkEnd w:id="3223"/>
    </w:p>
    <w:p w:rsidR="00DD28FC" w:rsidRPr="009448FC" w:rsidRDefault="00DD28FC" w:rsidP="0020582E">
      <w:pPr>
        <w:rPr>
          <w:rFonts w:eastAsia="MS Mincho"/>
        </w:rPr>
      </w:pPr>
    </w:p>
    <w:p w:rsidR="0020582E" w:rsidRPr="00066F65" w:rsidRDefault="0020582E" w:rsidP="009448FC">
      <w:pPr>
        <w:pStyle w:val="Caption"/>
        <w:keepNext/>
        <w:rPr>
          <w:lang w:val="fr-FR"/>
        </w:rPr>
      </w:pPr>
      <w:bookmarkStart w:id="3224" w:name="_Toc250654455"/>
      <w:bookmarkStart w:id="3225" w:name="_Toc259717649"/>
      <w:r w:rsidRPr="00066F65">
        <w:rPr>
          <w:lang w:val="fr-FR"/>
        </w:rPr>
        <w:t xml:space="preserve">Table </w:t>
      </w:r>
      <w:r w:rsidR="00BD151C" w:rsidRPr="00066F65">
        <w:fldChar w:fldCharType="begin"/>
      </w:r>
      <w:r w:rsidRPr="00066F65">
        <w:rPr>
          <w:lang w:val="fr-FR"/>
        </w:rPr>
        <w:instrText xml:space="preserve"> SEQ Table \* ARABIC </w:instrText>
      </w:r>
      <w:r w:rsidR="00BD151C" w:rsidRPr="00066F65">
        <w:fldChar w:fldCharType="separate"/>
      </w:r>
      <w:r w:rsidR="003E4210">
        <w:rPr>
          <w:noProof/>
          <w:lang w:val="fr-FR"/>
        </w:rPr>
        <w:t>71</w:t>
      </w:r>
      <w:r w:rsidR="00BD151C" w:rsidRPr="00066F65">
        <w:fldChar w:fldCharType="end"/>
      </w:r>
      <w:r w:rsidRPr="00066F65">
        <w:rPr>
          <w:lang w:val="fr-FR"/>
        </w:rPr>
        <w:t xml:space="preserve"> </w:t>
      </w:r>
      <w:r w:rsidR="00784429" w:rsidRPr="00066F65">
        <w:rPr>
          <w:lang w:val="fr-FR"/>
        </w:rPr>
        <w:t xml:space="preserve">– </w:t>
      </w:r>
      <w:r w:rsidRPr="00066F65">
        <w:rPr>
          <w:lang w:val="fr-FR"/>
        </w:rPr>
        <w:t>Rate 3/4 LPDC code matrix</w:t>
      </w:r>
      <w:bookmarkEnd w:id="3224"/>
      <w:bookmarkEnd w:id="3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r>
    </w:tbl>
    <w:p w:rsidR="0020582E" w:rsidRPr="009448FC" w:rsidRDefault="0020582E" w:rsidP="0020582E">
      <w:pPr>
        <w:rPr>
          <w:rFonts w:eastAsia="MS Mincho"/>
        </w:rPr>
      </w:pPr>
    </w:p>
    <w:p w:rsidR="00DD28FC" w:rsidRPr="009448FC" w:rsidRDefault="00DD28FC" w:rsidP="003701DB">
      <w:pPr>
        <w:pStyle w:val="Heading4"/>
        <w:numPr>
          <w:ilvl w:val="3"/>
          <w:numId w:val="39"/>
        </w:numPr>
        <w:tabs>
          <w:tab w:val="clear" w:pos="907"/>
        </w:tabs>
        <w:spacing w:after="60"/>
        <w:ind w:left="864" w:hanging="864"/>
        <w:rPr>
          <w:rFonts w:ascii="Times New Roman" w:hAnsi="Times New Roman"/>
        </w:rPr>
      </w:pPr>
      <w:bookmarkStart w:id="3226" w:name="_Toc235400650"/>
      <w:bookmarkStart w:id="3227" w:name="_Toc259717336"/>
      <w:r w:rsidRPr="009448FC">
        <w:rPr>
          <w:rFonts w:ascii="Times New Roman" w:hAnsi="Times New Roman"/>
        </w:rPr>
        <w:t>Rate-13/16 LDPC code matrix H = 126 rows x 672 columns, Z = 42</w:t>
      </w:r>
      <w:bookmarkEnd w:id="3226"/>
      <w:bookmarkEnd w:id="3227"/>
    </w:p>
    <w:p w:rsidR="00F437AB" w:rsidRPr="009448FC" w:rsidRDefault="00F437AB" w:rsidP="00F437AB"/>
    <w:p w:rsidR="00DD28FC" w:rsidRPr="00066F65" w:rsidRDefault="00DD28FC" w:rsidP="009448FC">
      <w:pPr>
        <w:pStyle w:val="Caption"/>
        <w:keepNext/>
        <w:rPr>
          <w:lang w:val="fr-FR"/>
        </w:rPr>
      </w:pPr>
      <w:bookmarkStart w:id="3228" w:name="_Toc250654456"/>
      <w:bookmarkStart w:id="3229" w:name="_Toc259717650"/>
      <w:r w:rsidRPr="00066F65">
        <w:rPr>
          <w:lang w:val="fr-FR"/>
        </w:rPr>
        <w:t xml:space="preserve">Table </w:t>
      </w:r>
      <w:r w:rsidR="00BD151C" w:rsidRPr="00066F65">
        <w:fldChar w:fldCharType="begin"/>
      </w:r>
      <w:r w:rsidRPr="00066F65">
        <w:rPr>
          <w:lang w:val="fr-FR"/>
        </w:rPr>
        <w:instrText xml:space="preserve"> SEQ Table \* ARABIC </w:instrText>
      </w:r>
      <w:r w:rsidR="00BD151C" w:rsidRPr="00066F65">
        <w:fldChar w:fldCharType="separate"/>
      </w:r>
      <w:r w:rsidR="003E4210">
        <w:rPr>
          <w:noProof/>
          <w:lang w:val="fr-FR"/>
        </w:rPr>
        <w:t>72</w:t>
      </w:r>
      <w:r w:rsidR="00BD151C" w:rsidRPr="00066F65">
        <w:fldChar w:fldCharType="end"/>
      </w:r>
      <w:r w:rsidRPr="00066F65">
        <w:rPr>
          <w:lang w:val="fr-FR"/>
        </w:rPr>
        <w:t xml:space="preserve"> </w:t>
      </w:r>
      <w:r w:rsidR="00784429" w:rsidRPr="00066F65">
        <w:rPr>
          <w:lang w:val="fr-FR"/>
        </w:rPr>
        <w:t xml:space="preserve">– </w:t>
      </w:r>
      <w:r w:rsidRPr="00066F65">
        <w:rPr>
          <w:lang w:val="fr-FR"/>
        </w:rPr>
        <w:t>Rate 13/16 LDPC code matrix</w:t>
      </w:r>
      <w:bookmarkEnd w:id="3228"/>
      <w:bookmarkEnd w:id="3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DD28FC" w:rsidRPr="00066F65" w:rsidTr="00DD28FC">
        <w:trPr>
          <w:trHeight w:val="255"/>
        </w:trPr>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p>
        </w:tc>
        <w:tc>
          <w:tcPr>
            <w:tcW w:w="305" w:type="pct"/>
            <w:shd w:val="clear" w:color="auto" w:fill="auto"/>
            <w:noWrap/>
            <w:vAlign w:val="center"/>
          </w:tcPr>
          <w:p w:rsidR="00DD28FC" w:rsidRPr="009448FC" w:rsidRDefault="00DD28FC" w:rsidP="002540BA">
            <w:pPr>
              <w:jc w:val="center"/>
              <w:rPr>
                <w:rFonts w:ascii="Arial" w:eastAsia="MS Mincho" w:hAnsi="Arial"/>
                <w:sz w:val="16"/>
              </w:rPr>
            </w:pPr>
          </w:p>
        </w:tc>
      </w:tr>
      <w:tr w:rsidR="00DD28FC" w:rsidRPr="00066F65" w:rsidTr="00DD28FC">
        <w:trPr>
          <w:trHeight w:val="255"/>
        </w:trPr>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9</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DD28FC" w:rsidRPr="009448FC" w:rsidRDefault="00DD28FC" w:rsidP="002540BA">
            <w:pPr>
              <w:jc w:val="center"/>
              <w:rPr>
                <w:rFonts w:ascii="Arial" w:eastAsia="MS Mincho" w:hAnsi="Arial"/>
                <w:sz w:val="16"/>
              </w:rPr>
            </w:pPr>
          </w:p>
        </w:tc>
      </w:tr>
      <w:tr w:rsidR="00DD28FC" w:rsidRPr="00066F65" w:rsidTr="00DD28FC">
        <w:trPr>
          <w:trHeight w:val="255"/>
        </w:trPr>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25</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24</w:t>
            </w:r>
          </w:p>
        </w:tc>
      </w:tr>
    </w:tbl>
    <w:p w:rsidR="0020582E" w:rsidRPr="009448FC" w:rsidRDefault="0020582E" w:rsidP="0020582E">
      <w:pPr>
        <w:rPr>
          <w:rFonts w:eastAsia="MS Mincho"/>
        </w:rPr>
      </w:pPr>
    </w:p>
    <w:p w:rsidR="007F08F0" w:rsidRPr="009448FC" w:rsidRDefault="007F08F0" w:rsidP="003701DB">
      <w:pPr>
        <w:pStyle w:val="Heading3"/>
        <w:numPr>
          <w:ilvl w:val="2"/>
          <w:numId w:val="39"/>
        </w:numPr>
      </w:pPr>
      <w:bookmarkStart w:id="3230" w:name="_Toc235390994"/>
      <w:bookmarkStart w:id="3231" w:name="_Toc235393192"/>
      <w:bookmarkStart w:id="3232" w:name="_Toc235394404"/>
      <w:bookmarkStart w:id="3233" w:name="_Toc235400651"/>
      <w:bookmarkStart w:id="3234" w:name="_Toc236397073"/>
      <w:bookmarkStart w:id="3235" w:name="_Ref221601546"/>
      <w:bookmarkStart w:id="3236" w:name="_Toc235400652"/>
      <w:bookmarkStart w:id="3237" w:name="_Toc259717337"/>
      <w:bookmarkEnd w:id="3230"/>
      <w:bookmarkEnd w:id="3231"/>
      <w:bookmarkEnd w:id="3232"/>
      <w:bookmarkEnd w:id="3233"/>
      <w:bookmarkEnd w:id="3234"/>
      <w:r w:rsidRPr="009448FC">
        <w:t>Scrambler</w:t>
      </w:r>
      <w:bookmarkEnd w:id="3235"/>
      <w:bookmarkEnd w:id="3236"/>
      <w:bookmarkEnd w:id="3237"/>
    </w:p>
    <w:p w:rsidR="007F08F0" w:rsidRPr="009448FC" w:rsidRDefault="007F08F0" w:rsidP="00E1393D">
      <w:r w:rsidRPr="009448FC">
        <w:t>The header and data fields (</w:t>
      </w:r>
      <w:r w:rsidR="00D3403F" w:rsidRPr="009448FC">
        <w:rPr>
          <w:sz w:val="23"/>
        </w:rPr>
        <w:t>including data padding bits but excluding the scrambler initialization field</w:t>
      </w:r>
      <w:r w:rsidRPr="009448FC">
        <w:t xml:space="preserve">), shall be scrambled by XORing each bit in turn with a length 127 periodic sequence generated by the polynomial </w:t>
      </w:r>
      <w:r w:rsidRPr="009448FC">
        <w:rPr>
          <w:position w:val="-10"/>
        </w:rPr>
        <w:object w:dxaOrig="1700" w:dyaOrig="360">
          <v:shape id="_x0000_i1130" type="#_x0000_t75" style="width:85.15pt;height:17.65pt" o:ole="">
            <v:imagedata r:id="rId308" o:title=""/>
          </v:shape>
          <o:OLEObject Type="Embed" ProgID="Equation.DSMT4" ShapeID="_x0000_i1130" DrawAspect="Content" ObjectID="_1334048311" r:id="rId309"/>
        </w:object>
      </w:r>
      <w:r w:rsidRPr="009448FC">
        <w:t>.</w:t>
      </w:r>
      <w:r w:rsidR="00497C53" w:rsidRPr="009448FC">
        <w:t xml:space="preserve"> </w:t>
      </w:r>
      <w:r w:rsidRPr="009448FC">
        <w:t>The PLCP header bits (with the exception of the first seven) will be placed one after the other, bit 7 first.</w:t>
      </w:r>
      <w:r w:rsidR="00EE1100" w:rsidRPr="009448FC">
        <w:t xml:space="preserve"> </w:t>
      </w:r>
      <w:r w:rsidRPr="009448FC">
        <w:t>The octets of the PSDU and the pad bits shall be placed into a bit stream with bit 0 (LSB) of each octet first and bit 7 of each octet (MSB) last.</w:t>
      </w:r>
      <w:r w:rsidR="00497C53" w:rsidRPr="009448FC">
        <w:t xml:space="preserve"> </w:t>
      </w:r>
      <w:r w:rsidRPr="009448FC">
        <w:t>The generation of the sequence and the XOR operation are defined in</w:t>
      </w:r>
      <w:r w:rsidR="00A11DF0" w:rsidRPr="009448FC">
        <w:t xml:space="preserve"> </w:t>
      </w:r>
      <w:r w:rsidR="00BD151C">
        <w:fldChar w:fldCharType="begin"/>
      </w:r>
      <w:r w:rsidR="00E1393D">
        <w:instrText xml:space="preserve"> REF _Ref246673406 \h </w:instrText>
      </w:r>
      <w:r w:rsidR="00BD151C">
        <w:fldChar w:fldCharType="separate"/>
      </w:r>
      <w:r w:rsidR="003E4210" w:rsidRPr="00066F65">
        <w:t xml:space="preserve">Figure </w:t>
      </w:r>
      <w:r w:rsidR="003E4210">
        <w:rPr>
          <w:noProof/>
        </w:rPr>
        <w:t>136</w:t>
      </w:r>
      <w:r w:rsidR="00BD151C">
        <w:fldChar w:fldCharType="end"/>
      </w:r>
      <w:r w:rsidR="00A11DF0" w:rsidRPr="009448FC">
        <w:t>.</w:t>
      </w:r>
    </w:p>
    <w:p w:rsidR="001F69E5" w:rsidRPr="009448FC" w:rsidRDefault="001F69E5" w:rsidP="006222FE"/>
    <w:p w:rsidR="001F69E5" w:rsidRPr="009448FC" w:rsidRDefault="00E56682" w:rsidP="001F69E5">
      <w:pPr>
        <w:keepNext/>
        <w:jc w:val="center"/>
      </w:pPr>
      <w:r w:rsidRPr="0013322C">
        <w:object w:dxaOrig="7265" w:dyaOrig="2334">
          <v:shape id="_x0000_i1131" type="#_x0000_t75" style="width:360.9pt;height:115.9pt" o:ole="">
            <v:imagedata r:id="rId310" o:title=""/>
          </v:shape>
          <o:OLEObject Type="Embed" ProgID="Visio.Drawing.11" ShapeID="_x0000_i1131" DrawAspect="Content" ObjectID="_1334048312" r:id="rId311"/>
        </w:object>
      </w:r>
    </w:p>
    <w:p w:rsidR="007F08F0" w:rsidRPr="00066F65" w:rsidRDefault="005B31B9" w:rsidP="00BA5BC4">
      <w:pPr>
        <w:pStyle w:val="Caption"/>
      </w:pPr>
      <w:bookmarkStart w:id="3238" w:name="_Ref246673406"/>
      <w:bookmarkStart w:id="3239" w:name="_Toc215555193"/>
      <w:bookmarkStart w:id="3240" w:name="_Toc259717568"/>
      <w:r w:rsidRPr="00066F65">
        <w:t xml:space="preserve">Figure </w:t>
      </w:r>
      <w:r w:rsidR="00BD151C">
        <w:fldChar w:fldCharType="begin"/>
      </w:r>
      <w:r w:rsidR="00801316">
        <w:instrText xml:space="preserve"> SEQ Figure \* ARABIC </w:instrText>
      </w:r>
      <w:r w:rsidR="00BD151C">
        <w:fldChar w:fldCharType="separate"/>
      </w:r>
      <w:r w:rsidR="003E4210">
        <w:rPr>
          <w:noProof/>
        </w:rPr>
        <w:t>136</w:t>
      </w:r>
      <w:r w:rsidR="00BD151C">
        <w:fldChar w:fldCharType="end"/>
      </w:r>
      <w:bookmarkEnd w:id="3238"/>
      <w:r w:rsidR="007F08F0" w:rsidRPr="00066F65">
        <w:t xml:space="preserve"> </w:t>
      </w:r>
      <w:r w:rsidR="00784429" w:rsidRPr="00066F65">
        <w:t xml:space="preserve">– </w:t>
      </w:r>
      <w:r w:rsidR="007F08F0" w:rsidRPr="00066F65">
        <w:t>Data scrambler</w:t>
      </w:r>
      <w:bookmarkEnd w:id="3239"/>
      <w:bookmarkEnd w:id="3240"/>
      <w:r w:rsidR="00BE1F31">
        <w:t xml:space="preserve">  </w:t>
      </w:r>
    </w:p>
    <w:p w:rsidR="00497C53" w:rsidRPr="009448FC" w:rsidRDefault="00497C53" w:rsidP="007F08F0"/>
    <w:p w:rsidR="007F08F0" w:rsidRPr="009448FC" w:rsidRDefault="007F08F0" w:rsidP="007F08F0">
      <w:r w:rsidRPr="009448FC">
        <w:t>For each PPDU, the transmitter selects values for bits x</w:t>
      </w:r>
      <w:r w:rsidRPr="009448FC">
        <w:rPr>
          <w:vertAlign w:val="subscript"/>
        </w:rPr>
        <w:t>1</w:t>
      </w:r>
      <w:r w:rsidRPr="009448FC">
        <w:t xml:space="preserve"> through x</w:t>
      </w:r>
      <w:r w:rsidRPr="009448FC">
        <w:rPr>
          <w:vertAlign w:val="subscript"/>
        </w:rPr>
        <w:t>7</w:t>
      </w:r>
      <w:r w:rsidRPr="009448FC">
        <w:t xml:space="preserve"> of the scrambler. The values selected for bits x</w:t>
      </w:r>
      <w:r w:rsidRPr="009448FC">
        <w:rPr>
          <w:vertAlign w:val="subscript"/>
        </w:rPr>
        <w:t>1</w:t>
      </w:r>
      <w:r w:rsidRPr="009448FC">
        <w:t xml:space="preserve"> through x</w:t>
      </w:r>
      <w:r w:rsidRPr="009448FC">
        <w:rPr>
          <w:vertAlign w:val="subscript"/>
        </w:rPr>
        <w:t>7</w:t>
      </w:r>
      <w:r w:rsidRPr="009448FC">
        <w:t xml:space="preserve"> should be such that a different combination of values is likely should the same PPDU be retransmitted. The values selected are sent in the Scrambler Initialization field. Each data bit in the data field of the PPDU is then XORed with the scrambler output (x</w:t>
      </w:r>
      <w:r w:rsidRPr="009448FC">
        <w:rPr>
          <w:vertAlign w:val="subscript"/>
        </w:rPr>
        <w:t xml:space="preserve">4 </w:t>
      </w:r>
      <w:r w:rsidRPr="009448FC">
        <w:t>XOR x</w:t>
      </w:r>
      <w:r w:rsidRPr="009448FC">
        <w:rPr>
          <w:vertAlign w:val="subscript"/>
        </w:rPr>
        <w:t>7</w:t>
      </w:r>
      <w:r w:rsidRPr="009448FC">
        <w:t>) and the scrambler content shifted once.</w:t>
      </w:r>
    </w:p>
    <w:p w:rsidR="007F08F0" w:rsidRPr="009448FC" w:rsidRDefault="007F08F0" w:rsidP="006222FE"/>
    <w:p w:rsidR="004E2479" w:rsidRPr="00066F65" w:rsidRDefault="008A192B" w:rsidP="003701DB">
      <w:pPr>
        <w:pStyle w:val="Heading2"/>
        <w:numPr>
          <w:ilvl w:val="1"/>
          <w:numId w:val="39"/>
        </w:numPr>
        <w:rPr>
          <w:rFonts w:eastAsia="MS Mincho"/>
        </w:rPr>
      </w:pPr>
      <w:bookmarkStart w:id="3241" w:name="_Toc235400653"/>
      <w:bookmarkStart w:id="3242" w:name="_Ref241478135"/>
      <w:bookmarkStart w:id="3243" w:name="_Ref243723820"/>
      <w:bookmarkStart w:id="3244" w:name="_Toc259717338"/>
      <w:bookmarkStart w:id="3245" w:name="_Toc199147328"/>
      <w:bookmarkStart w:id="3246" w:name="_Toc201721900"/>
      <w:bookmarkStart w:id="3247" w:name="_Toc206227640"/>
      <w:bookmarkStart w:id="3248" w:name="_Toc206415587"/>
      <w:bookmarkStart w:id="3249" w:name="_Toc206418394"/>
      <w:bookmarkStart w:id="3250" w:name="_Toc207099149"/>
      <w:bookmarkStart w:id="3251" w:name="_Toc207099754"/>
      <w:bookmarkStart w:id="3252" w:name="_Toc207100673"/>
      <w:bookmarkStart w:id="3253" w:name="_Toc207348595"/>
      <w:bookmarkStart w:id="3254" w:name="_Toc215582953"/>
      <w:r w:rsidRPr="00066F65">
        <w:rPr>
          <w:rFonts w:eastAsia="MS Mincho"/>
        </w:rPr>
        <w:lastRenderedPageBreak/>
        <w:t xml:space="preserve">mmWave </w:t>
      </w:r>
      <w:r w:rsidR="004E2479" w:rsidRPr="00066F65">
        <w:rPr>
          <w:rFonts w:eastAsia="MS Mincho"/>
        </w:rPr>
        <w:t>Control PHY</w:t>
      </w:r>
      <w:bookmarkEnd w:id="3241"/>
      <w:bookmarkEnd w:id="3242"/>
      <w:bookmarkEnd w:id="3243"/>
      <w:bookmarkEnd w:id="3244"/>
    </w:p>
    <w:p w:rsidR="004E2479" w:rsidRPr="009448FC" w:rsidRDefault="004E2479" w:rsidP="004E2479">
      <w:pPr>
        <w:autoSpaceDE w:val="0"/>
        <w:autoSpaceDN w:val="0"/>
        <w:adjustRightInd w:val="0"/>
        <w:rPr>
          <w:rFonts w:eastAsia="MS Mincho"/>
          <w:b/>
          <w:sz w:val="27"/>
        </w:rPr>
      </w:pPr>
    </w:p>
    <w:p w:rsidR="004E2479" w:rsidRPr="009448FC" w:rsidRDefault="004E2479" w:rsidP="003701DB">
      <w:pPr>
        <w:pStyle w:val="Heading3"/>
        <w:numPr>
          <w:ilvl w:val="2"/>
          <w:numId w:val="42"/>
        </w:numPr>
        <w:rPr>
          <w:rFonts w:eastAsia="MS Mincho"/>
        </w:rPr>
      </w:pPr>
      <w:bookmarkStart w:id="3255" w:name="_Toc235400654"/>
      <w:bookmarkStart w:id="3256" w:name="_Toc259717339"/>
      <w:r w:rsidRPr="009448FC">
        <w:rPr>
          <w:rFonts w:eastAsia="MS Mincho"/>
        </w:rPr>
        <w:t>Introduction</w:t>
      </w:r>
      <w:bookmarkEnd w:id="3255"/>
      <w:bookmarkEnd w:id="3256"/>
    </w:p>
    <w:p w:rsidR="004E2479" w:rsidRPr="009448FC" w:rsidRDefault="004E2479" w:rsidP="004E2479">
      <w:pPr>
        <w:autoSpaceDE w:val="0"/>
        <w:autoSpaceDN w:val="0"/>
        <w:adjustRightInd w:val="0"/>
        <w:rPr>
          <w:rFonts w:eastAsia="MS Mincho"/>
          <w:b/>
          <w:sz w:val="23"/>
        </w:rPr>
      </w:pPr>
    </w:p>
    <w:p w:rsidR="004E2479" w:rsidRPr="009448FC" w:rsidRDefault="007120A7" w:rsidP="004E2479">
      <w:pPr>
        <w:autoSpaceDE w:val="0"/>
        <w:autoSpaceDN w:val="0"/>
        <w:adjustRightInd w:val="0"/>
        <w:rPr>
          <w:rFonts w:eastAsia="MS Mincho"/>
        </w:rPr>
      </w:pPr>
      <w:r w:rsidRPr="009448FC">
        <w:t>Transmission and reception of Control PHY PPDUs is mandatory.</w:t>
      </w:r>
      <w:r w:rsidR="00EE1100" w:rsidRPr="009448FC">
        <w:rPr>
          <w:rFonts w:eastAsia="MS Mincho"/>
        </w:rPr>
        <w:t xml:space="preserve"> </w:t>
      </w:r>
      <w:r w:rsidR="004E2479" w:rsidRPr="009448FC">
        <w:rPr>
          <w:rFonts w:eastAsia="MS Mincho"/>
        </w:rPr>
        <w:t xml:space="preserve">Control PHY uses the same chip rate as </w:t>
      </w:r>
      <w:r w:rsidR="007A6553">
        <w:rPr>
          <w:rFonts w:eastAsia="MS Mincho"/>
        </w:rPr>
        <w:t xml:space="preserve">the </w:t>
      </w:r>
      <w:r w:rsidR="004E2479" w:rsidRPr="009448FC">
        <w:rPr>
          <w:rFonts w:eastAsia="MS Mincho"/>
        </w:rPr>
        <w:t>SC PHY.</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3"/>
        <w:numPr>
          <w:ilvl w:val="2"/>
          <w:numId w:val="42"/>
        </w:numPr>
        <w:rPr>
          <w:rFonts w:eastAsia="MS Mincho"/>
        </w:rPr>
      </w:pPr>
      <w:r w:rsidRPr="009448FC">
        <w:rPr>
          <w:rFonts w:eastAsia="MS Mincho"/>
        </w:rPr>
        <w:t xml:space="preserve"> </w:t>
      </w:r>
      <w:bookmarkStart w:id="3257" w:name="_Toc235400658"/>
      <w:bookmarkStart w:id="3258" w:name="_Toc259717340"/>
      <w:r w:rsidRPr="009448FC">
        <w:rPr>
          <w:rFonts w:eastAsia="MS Mincho"/>
        </w:rPr>
        <w:t>Frame Format</w:t>
      </w:r>
      <w:bookmarkEnd w:id="3257"/>
      <w:bookmarkEnd w:id="3258"/>
    </w:p>
    <w:p w:rsidR="004E2479" w:rsidRPr="009448FC" w:rsidRDefault="004E2479" w:rsidP="004E2479">
      <w:pPr>
        <w:autoSpaceDE w:val="0"/>
        <w:autoSpaceDN w:val="0"/>
        <w:adjustRightInd w:val="0"/>
      </w:pPr>
    </w:p>
    <w:p w:rsidR="004E2479" w:rsidRPr="009448FC" w:rsidRDefault="004E2479" w:rsidP="00AA0E45">
      <w:pPr>
        <w:autoSpaceDE w:val="0"/>
        <w:autoSpaceDN w:val="0"/>
        <w:adjustRightInd w:val="0"/>
      </w:pPr>
      <w:r w:rsidRPr="009448FC">
        <w:t>The Control PHY frame is composed of the Preamble, Header</w:t>
      </w:r>
      <w:r w:rsidR="00F10D30">
        <w:t>,</w:t>
      </w:r>
      <w:r w:rsidRPr="009448FC">
        <w:t xml:space="preserve"> Data</w:t>
      </w:r>
      <w:r w:rsidR="00AA0E45" w:rsidRPr="009448FC">
        <w:t xml:space="preserve"> field, and possib</w:t>
      </w:r>
      <w:r w:rsidR="00220AD9" w:rsidRPr="009448FC">
        <w:t>ly TRN-R/T field.</w:t>
      </w:r>
      <w:r w:rsidR="00F10D30">
        <w:t xml:space="preserve"> This is shown in </w:t>
      </w:r>
      <w:r w:rsidR="00BD151C">
        <w:fldChar w:fldCharType="begin"/>
      </w:r>
      <w:r w:rsidR="00F10D30">
        <w:instrText xml:space="preserve"> REF _Ref251942944 \h </w:instrText>
      </w:r>
      <w:r w:rsidR="00BD151C">
        <w:fldChar w:fldCharType="separate"/>
      </w:r>
      <w:r w:rsidR="003E4210" w:rsidRPr="00066F65">
        <w:t xml:space="preserve">Figure </w:t>
      </w:r>
      <w:r w:rsidR="003E4210">
        <w:rPr>
          <w:noProof/>
        </w:rPr>
        <w:t>137</w:t>
      </w:r>
      <w:r w:rsidR="00BD151C">
        <w:fldChar w:fldCharType="end"/>
      </w:r>
      <w:r w:rsidR="00F10D30">
        <w:t>.</w:t>
      </w:r>
    </w:p>
    <w:p w:rsidR="00317300" w:rsidRPr="009448FC" w:rsidRDefault="00317300" w:rsidP="00317300">
      <w:pPr>
        <w:autoSpaceDE w:val="0"/>
        <w:autoSpaceDN w:val="0"/>
        <w:adjustRightInd w:val="0"/>
      </w:pPr>
      <w:r w:rsidRPr="009448FC">
        <w:t xml:space="preserve"> </w:t>
      </w:r>
    </w:p>
    <w:p w:rsidR="009C5462" w:rsidRPr="009448FC" w:rsidRDefault="00281486" w:rsidP="00AA0E45">
      <w:pPr>
        <w:autoSpaceDE w:val="0"/>
        <w:autoSpaceDN w:val="0"/>
        <w:adjustRightInd w:val="0"/>
      </w:pPr>
      <w:r w:rsidRPr="009448FC">
        <w:t xml:space="preserve"> </w:t>
      </w:r>
      <w:r w:rsidR="004E2479" w:rsidRPr="009448FC">
        <w:tab/>
      </w:r>
      <w:r w:rsidR="004E2479" w:rsidRPr="009448FC">
        <w:tab/>
      </w:r>
      <w:r w:rsidR="004E2479" w:rsidRPr="009448FC">
        <w:tab/>
      </w:r>
      <w:r w:rsidR="00AA0E45" w:rsidRPr="009448FC">
        <w:object w:dxaOrig="8839" w:dyaOrig="632">
          <v:shape id="_x0000_i1132" type="#_x0000_t75" style="width:442.4pt;height:31.7pt" o:ole="">
            <v:imagedata r:id="rId312" o:title=""/>
          </v:shape>
          <o:OLEObject Type="Embed" ProgID="Visio.Drawing.11" ShapeID="_x0000_i1132" DrawAspect="Content" ObjectID="_1334048313" r:id="rId313"/>
        </w:object>
      </w:r>
      <w:r w:rsidR="00317300" w:rsidRPr="009448FC">
        <w:t xml:space="preserve"> </w:t>
      </w:r>
    </w:p>
    <w:p w:rsidR="004E2479" w:rsidRPr="00066F65" w:rsidRDefault="00BF47F1" w:rsidP="00BA5BC4">
      <w:pPr>
        <w:pStyle w:val="Caption"/>
      </w:pPr>
      <w:bookmarkStart w:id="3259" w:name="_Ref251942944"/>
      <w:bookmarkStart w:id="3260" w:name="_Toc259717569"/>
      <w:r w:rsidRPr="00066F65">
        <w:t xml:space="preserve">Figure </w:t>
      </w:r>
      <w:r w:rsidR="00BD151C">
        <w:fldChar w:fldCharType="begin"/>
      </w:r>
      <w:r w:rsidR="00801316">
        <w:instrText xml:space="preserve"> SEQ Figure \* ARABIC </w:instrText>
      </w:r>
      <w:r w:rsidR="00BD151C">
        <w:fldChar w:fldCharType="separate"/>
      </w:r>
      <w:r w:rsidR="003E4210">
        <w:rPr>
          <w:noProof/>
        </w:rPr>
        <w:t>137</w:t>
      </w:r>
      <w:r w:rsidR="00BD151C">
        <w:fldChar w:fldCharType="end"/>
      </w:r>
      <w:bookmarkEnd w:id="3259"/>
      <w:r w:rsidR="001622ED" w:rsidRPr="00066F65">
        <w:rPr>
          <w:bCs/>
          <w:lang w:eastAsia="ja-JP"/>
        </w:rPr>
        <w:t xml:space="preserve"> – </w:t>
      </w:r>
      <w:r w:rsidR="004E2479" w:rsidRPr="00066F65">
        <w:rPr>
          <w:bCs/>
          <w:lang w:eastAsia="ja-JP"/>
        </w:rPr>
        <w:t>Control PHY Frames</w:t>
      </w:r>
      <w:bookmarkEnd w:id="3260"/>
    </w:p>
    <w:p w:rsidR="004E2479" w:rsidRPr="009448FC" w:rsidRDefault="004E2479" w:rsidP="003701DB">
      <w:pPr>
        <w:pStyle w:val="Heading3"/>
        <w:numPr>
          <w:ilvl w:val="2"/>
          <w:numId w:val="42"/>
        </w:numPr>
        <w:rPr>
          <w:rFonts w:eastAsia="MS Mincho"/>
        </w:rPr>
      </w:pPr>
      <w:bookmarkStart w:id="3261" w:name="_Toc235400659"/>
      <w:bookmarkStart w:id="3262" w:name="_Toc259717341"/>
      <w:r w:rsidRPr="009448FC">
        <w:rPr>
          <w:rFonts w:eastAsia="MS Mincho"/>
        </w:rPr>
        <w:t>Transmission</w:t>
      </w:r>
      <w:bookmarkEnd w:id="3261"/>
      <w:bookmarkEnd w:id="3262"/>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4"/>
        <w:numPr>
          <w:ilvl w:val="3"/>
          <w:numId w:val="42"/>
        </w:numPr>
      </w:pPr>
      <w:bookmarkStart w:id="3263" w:name="_Toc235400660"/>
      <w:bookmarkStart w:id="3264" w:name="_Toc259717342"/>
      <w:r w:rsidRPr="009448FC">
        <w:t>Preamble</w:t>
      </w:r>
      <w:bookmarkEnd w:id="3263"/>
      <w:bookmarkEnd w:id="3264"/>
    </w:p>
    <w:p w:rsidR="004E2479" w:rsidRPr="009448FC" w:rsidRDefault="004E2479" w:rsidP="004E2479">
      <w:r w:rsidRPr="009448FC">
        <w:t>The preamble is the part of the Control PHY PPDU that is used for packet detection, AGC, frequency offset estimation, synchronization, indication of frame type and channel estimation.</w:t>
      </w:r>
      <w:r w:rsidR="00281486" w:rsidRPr="009448FC">
        <w:t xml:space="preserve"> </w:t>
      </w:r>
    </w:p>
    <w:p w:rsidR="004E2479" w:rsidRPr="009448FC" w:rsidRDefault="004E2479" w:rsidP="004E2479">
      <w:pPr>
        <w:autoSpaceDE w:val="0"/>
        <w:autoSpaceDN w:val="0"/>
        <w:adjustRightInd w:val="0"/>
        <w:rPr>
          <w:rFonts w:eastAsia="MS Mincho"/>
        </w:rPr>
      </w:pPr>
    </w:p>
    <w:p w:rsidR="004E2479" w:rsidRPr="009448FC" w:rsidRDefault="004E2479" w:rsidP="004E2479">
      <w:r w:rsidRPr="009448FC">
        <w:t>The preamble is composed of two parts</w:t>
      </w:r>
      <w:r w:rsidR="00F10D30">
        <w:t xml:space="preserve"> as shown in </w:t>
      </w:r>
      <w:r w:rsidR="00BD151C">
        <w:fldChar w:fldCharType="begin"/>
      </w:r>
      <w:r w:rsidR="00F10D30">
        <w:instrText xml:space="preserve"> REF _Ref251942977 \h </w:instrText>
      </w:r>
      <w:r w:rsidR="00BD151C">
        <w:fldChar w:fldCharType="separate"/>
      </w:r>
      <w:r w:rsidR="003E4210" w:rsidRPr="00066F65">
        <w:t xml:space="preserve">Figure </w:t>
      </w:r>
      <w:r w:rsidR="003E4210">
        <w:rPr>
          <w:noProof/>
        </w:rPr>
        <w:t>138</w:t>
      </w:r>
      <w:r w:rsidR="00BD151C">
        <w:fldChar w:fldCharType="end"/>
      </w:r>
      <w:r w:rsidRPr="009448FC">
        <w:t>: the Short Training field and the Channel Estimation field.</w:t>
      </w:r>
    </w:p>
    <w:p w:rsidR="004E2479" w:rsidRPr="009448FC" w:rsidRDefault="004E2479" w:rsidP="004E2479">
      <w:pPr>
        <w:autoSpaceDE w:val="0"/>
        <w:autoSpaceDN w:val="0"/>
        <w:adjustRightInd w:val="0"/>
        <w:rPr>
          <w:rFonts w:eastAsia="MS Mincho"/>
        </w:rPr>
      </w:pPr>
    </w:p>
    <w:p w:rsidR="001A2041" w:rsidRPr="009448FC" w:rsidRDefault="009B641B" w:rsidP="009B641B">
      <w:pPr>
        <w:jc w:val="center"/>
      </w:pPr>
      <w:r w:rsidRPr="009448FC">
        <w:object w:dxaOrig="7470" w:dyaOrig="1202">
          <v:shape id="_x0000_i1133" type="#_x0000_t75" style="width:375.4pt;height:60.25pt" o:ole="">
            <v:imagedata r:id="rId314" o:title=""/>
          </v:shape>
          <o:OLEObject Type="Embed" ProgID="Visio.Drawing.11" ShapeID="_x0000_i1133" DrawAspect="Content" ObjectID="_1334048314" r:id="rId315"/>
        </w:object>
      </w:r>
    </w:p>
    <w:p w:rsidR="004E2479" w:rsidRPr="00066F65" w:rsidRDefault="00BF47F1" w:rsidP="00BA5BC4">
      <w:pPr>
        <w:pStyle w:val="Caption"/>
      </w:pPr>
      <w:bookmarkStart w:id="3265" w:name="_Ref251942977"/>
      <w:bookmarkStart w:id="3266" w:name="_Toc259717570"/>
      <w:r w:rsidRPr="00066F65">
        <w:t xml:space="preserve">Figure </w:t>
      </w:r>
      <w:r w:rsidR="00BD151C">
        <w:fldChar w:fldCharType="begin"/>
      </w:r>
      <w:r w:rsidR="00801316">
        <w:instrText xml:space="preserve"> SEQ Figure \* ARABIC </w:instrText>
      </w:r>
      <w:r w:rsidR="00BD151C">
        <w:fldChar w:fldCharType="separate"/>
      </w:r>
      <w:r w:rsidR="003E4210">
        <w:rPr>
          <w:noProof/>
        </w:rPr>
        <w:t>138</w:t>
      </w:r>
      <w:r w:rsidR="00BD151C">
        <w:fldChar w:fldCharType="end"/>
      </w:r>
      <w:bookmarkEnd w:id="3265"/>
      <w:r w:rsidR="001622ED" w:rsidRPr="00066F65">
        <w:t xml:space="preserve"> – </w:t>
      </w:r>
      <w:r w:rsidR="004E2479" w:rsidRPr="00066F65">
        <w:t>Control PHY Preamble</w:t>
      </w:r>
      <w:bookmarkEnd w:id="3266"/>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67" w:name="_Toc235400661"/>
      <w:bookmarkStart w:id="3268" w:name="_Toc259717343"/>
      <w:r w:rsidRPr="009448FC">
        <w:t xml:space="preserve">Short Training </w:t>
      </w:r>
      <w:r w:rsidR="00293BD2">
        <w:t>f</w:t>
      </w:r>
      <w:r w:rsidRPr="009448FC">
        <w:t>ield</w:t>
      </w:r>
      <w:bookmarkEnd w:id="3267"/>
      <w:bookmarkEnd w:id="3268"/>
    </w:p>
    <w:p w:rsidR="004E2479" w:rsidRPr="009448FC" w:rsidRDefault="004E2479" w:rsidP="006F378F">
      <w:pPr>
        <w:autoSpaceDE w:val="0"/>
        <w:autoSpaceDN w:val="0"/>
        <w:adjustRightInd w:val="0"/>
      </w:pPr>
      <w:r w:rsidRPr="009448FC">
        <w:t xml:space="preserve">The Short Training field is composed of </w:t>
      </w:r>
      <w:r w:rsidR="004C1248" w:rsidRPr="009448FC">
        <w:t>38</w:t>
      </w:r>
      <w:r w:rsidRPr="009448FC">
        <w:t xml:space="preserve"> repetitions of sequences </w:t>
      </w:r>
      <w:r w:rsidR="004C1248" w:rsidRPr="009448FC">
        <w:t>Gb</w:t>
      </w:r>
      <w:r w:rsidR="004C1248" w:rsidRPr="009448FC">
        <w:rPr>
          <w:vertAlign w:val="subscript"/>
        </w:rPr>
        <w:t>128</w:t>
      </w:r>
      <w:r w:rsidR="004C1248" w:rsidRPr="009448FC">
        <w:t>(</w:t>
      </w:r>
      <w:r w:rsidR="004C1248" w:rsidRPr="009448FC">
        <w:rPr>
          <w:i/>
        </w:rPr>
        <w:t>n</w:t>
      </w:r>
      <w:r w:rsidR="004C1248" w:rsidRPr="009448FC">
        <w:t xml:space="preserve">) </w:t>
      </w:r>
      <w:r w:rsidRPr="009448FC">
        <w:t>of length 128</w:t>
      </w:r>
      <w:r w:rsidR="004C1248" w:rsidRPr="009448FC">
        <w:t>,</w:t>
      </w:r>
      <w:r w:rsidR="004C1248" w:rsidRPr="00066F65">
        <w:rPr>
          <w:rFonts w:eastAsia="MS Mincho"/>
          <w:u w:val="single"/>
        </w:rPr>
        <w:t xml:space="preserve"> </w:t>
      </w:r>
      <w:r w:rsidR="004C1248" w:rsidRPr="009448FC">
        <w:rPr>
          <w:rFonts w:eastAsia="MS Mincho"/>
        </w:rPr>
        <w:t xml:space="preserve">followed by a single -Gb128(n) sequence </w:t>
      </w:r>
      <w:r w:rsidR="002B66A6" w:rsidRPr="009448FC">
        <w:rPr>
          <w:rFonts w:eastAsia="MS Mincho"/>
        </w:rPr>
        <w:t xml:space="preserve">(for synchronization) </w:t>
      </w:r>
      <w:r w:rsidR="004C1248" w:rsidRPr="009448FC">
        <w:rPr>
          <w:rFonts w:eastAsia="MS Mincho"/>
        </w:rPr>
        <w:t xml:space="preserve">and then a single </w:t>
      </w:r>
      <w:r w:rsidR="00E56682">
        <w:rPr>
          <w:rFonts w:eastAsia="MS Mincho"/>
        </w:rPr>
        <w:t>-</w:t>
      </w:r>
      <w:r w:rsidR="004C1248" w:rsidRPr="009448FC">
        <w:rPr>
          <w:rFonts w:eastAsia="MS Mincho"/>
        </w:rPr>
        <w:t>Ga128(n) sequence</w:t>
      </w:r>
      <w:r w:rsidR="00F10D30">
        <w:rPr>
          <w:rFonts w:eastAsia="MS Mincho"/>
        </w:rPr>
        <w:t>.</w:t>
      </w:r>
      <w:r w:rsidR="004C1248" w:rsidRPr="009448FC">
        <w:t xml:space="preserve"> </w:t>
      </w:r>
      <w:r w:rsidR="00F10D30">
        <w:t>T</w:t>
      </w:r>
      <w:r w:rsidR="004C1248" w:rsidRPr="009448FC">
        <w:t>he sequences Ga</w:t>
      </w:r>
      <w:r w:rsidR="004C1248" w:rsidRPr="009448FC">
        <w:rPr>
          <w:vertAlign w:val="subscript"/>
        </w:rPr>
        <w:t>128</w:t>
      </w:r>
      <w:r w:rsidR="004C1248" w:rsidRPr="009448FC">
        <w:t>(</w:t>
      </w:r>
      <w:r w:rsidR="004C1248" w:rsidRPr="009448FC">
        <w:rPr>
          <w:i/>
        </w:rPr>
        <w:t>n</w:t>
      </w:r>
      <w:r w:rsidR="004C1248" w:rsidRPr="009448FC">
        <w:t>)</w:t>
      </w:r>
      <w:r w:rsidR="00281486" w:rsidRPr="009448FC">
        <w:t xml:space="preserve"> </w:t>
      </w:r>
      <w:r w:rsidR="004C1248" w:rsidRPr="009448FC">
        <w:t>and Gb</w:t>
      </w:r>
      <w:r w:rsidR="004C1248" w:rsidRPr="009448FC">
        <w:rPr>
          <w:vertAlign w:val="subscript"/>
        </w:rPr>
        <w:t>128</w:t>
      </w:r>
      <w:r w:rsidR="004C1248" w:rsidRPr="009448FC">
        <w:t>(</w:t>
      </w:r>
      <w:r w:rsidR="004C1248" w:rsidRPr="009448FC">
        <w:rPr>
          <w:i/>
        </w:rPr>
        <w:t>n</w:t>
      </w:r>
      <w:r w:rsidR="004C1248" w:rsidRPr="009448FC">
        <w:t>) are defined in subclaus</w:t>
      </w:r>
      <w:r w:rsidR="006F378F">
        <w:t xml:space="preserve">e </w:t>
      </w:r>
      <w:r w:rsidR="00BD151C">
        <w:fldChar w:fldCharType="begin"/>
      </w:r>
      <w:r w:rsidR="006F378F">
        <w:instrText xml:space="preserve"> REF _Ref228173952 \r \h </w:instrText>
      </w:r>
      <w:r w:rsidR="00BD151C">
        <w:fldChar w:fldCharType="separate"/>
      </w:r>
      <w:r w:rsidR="003E4210">
        <w:t>21.9</w:t>
      </w:r>
      <w:r w:rsidR="00BD151C">
        <w:fldChar w:fldCharType="end"/>
      </w:r>
      <w:r w:rsidR="006F378F">
        <w:t xml:space="preserve">. </w:t>
      </w:r>
    </w:p>
    <w:p w:rsidR="004E2479" w:rsidRPr="009448FC" w:rsidRDefault="004E2479" w:rsidP="004E2479">
      <w:pPr>
        <w:autoSpaceDE w:val="0"/>
        <w:autoSpaceDN w:val="0"/>
        <w:adjustRightInd w:val="0"/>
      </w:pPr>
    </w:p>
    <w:p w:rsidR="004C1248" w:rsidRDefault="004E2479" w:rsidP="004C187D">
      <w:pPr>
        <w:rPr>
          <w:position w:val="-102"/>
        </w:rPr>
      </w:pPr>
      <w:r w:rsidRPr="009448FC">
        <w:t>The waveform for the Short Training field is</w:t>
      </w:r>
      <w:r w:rsidR="00F437AB" w:rsidRPr="009448FC">
        <w:t>:</w:t>
      </w:r>
      <w:r w:rsidR="00A03C9C">
        <w:t xml:space="preserve"> </w:t>
      </w:r>
    </w:p>
    <w:p w:rsidR="00E56682" w:rsidRPr="009448FC" w:rsidRDefault="00BD151C" w:rsidP="00F116D7">
      <m:oMathPara>
        <m:oMath>
          <m:sSub>
            <m:sSubPr>
              <m:ctrlPr>
                <w:rPr>
                  <w:rFonts w:ascii="Cambria Math" w:hAnsi="Cambria Math"/>
                  <w:i/>
                </w:rPr>
              </m:ctrlPr>
            </m:sSubPr>
            <m:e>
              <m:r>
                <w:rPr>
                  <w:rFonts w:ascii="Cambria Math" w:hAnsi="Cambria Math"/>
                </w:rPr>
                <m:t>r</m:t>
              </m:r>
            </m:e>
            <m:sub>
              <m:r>
                <w:rPr>
                  <w:rFonts w:ascii="Cambria Math" w:hAnsi="Cambria Math"/>
                </w:rPr>
                <m:t>STF</m:t>
              </m:r>
            </m:sub>
          </m:sSub>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n=0,1,…,37×128-1</m:t>
                    </m:r>
                  </m:e>
                </m:m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n=37×128,…,38×128-1</m:t>
                    </m:r>
                  </m:e>
                </m:mr>
                <m:mr>
                  <m:e>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n=38×128,…,39×128-1</m:t>
                    </m:r>
                  </m:e>
                </m:mr>
              </m:m>
            </m:e>
          </m:d>
        </m:oMath>
      </m:oMathPara>
    </w:p>
    <w:p w:rsidR="004E2479" w:rsidRPr="009448FC" w:rsidRDefault="004E2479" w:rsidP="00A03C9C">
      <w:r w:rsidRPr="009448FC">
        <w:t xml:space="preserve">Where </w:t>
      </w:r>
      <w:r w:rsidR="00A03C9C">
        <w:t>mod i</w:t>
      </w:r>
      <w:r w:rsidRPr="009448FC">
        <w:t>s the modulus operation.</w:t>
      </w:r>
      <w:r w:rsidR="00281486" w:rsidRPr="009448FC">
        <w:t xml:space="preserve"> </w:t>
      </w:r>
      <w:r w:rsidR="004C1248" w:rsidRPr="009448FC">
        <w:t>Note that sequences Ga</w:t>
      </w:r>
      <w:r w:rsidR="004C1248" w:rsidRPr="009448FC">
        <w:rPr>
          <w:vertAlign w:val="subscript"/>
        </w:rPr>
        <w:t>128</w:t>
      </w:r>
      <w:r w:rsidR="004C1248" w:rsidRPr="009448FC">
        <w:t>(</w:t>
      </w:r>
      <w:r w:rsidR="004C1248" w:rsidRPr="009448FC">
        <w:rPr>
          <w:i/>
        </w:rPr>
        <w:t>n</w:t>
      </w:r>
      <w:r w:rsidR="004C1248" w:rsidRPr="009448FC">
        <w:t>)</w:t>
      </w:r>
      <w:r w:rsidR="00281486" w:rsidRPr="009448FC">
        <w:t xml:space="preserve"> </w:t>
      </w:r>
      <w:r w:rsidR="004C1248" w:rsidRPr="009448FC">
        <w:t>and Gb</w:t>
      </w:r>
      <w:r w:rsidR="004C1248" w:rsidRPr="009448FC">
        <w:rPr>
          <w:vertAlign w:val="subscript"/>
        </w:rPr>
        <w:t>128</w:t>
      </w:r>
      <w:r w:rsidR="004C1248" w:rsidRPr="009448FC">
        <w:t>(</w:t>
      </w:r>
      <w:r w:rsidR="004C1248" w:rsidRPr="009448FC">
        <w:rPr>
          <w:i/>
        </w:rPr>
        <w:t>n</w:t>
      </w:r>
      <w:r w:rsidR="004C1248" w:rsidRPr="009448FC">
        <w:t>) are defined for 0≤</w:t>
      </w:r>
      <w:r w:rsidR="004C1248" w:rsidRPr="009448FC">
        <w:rPr>
          <w:i/>
        </w:rPr>
        <w:t>n</w:t>
      </w:r>
      <w:r w:rsidR="004C1248" w:rsidRPr="009448FC">
        <w:t>≤127.</w:t>
      </w:r>
      <w:r w:rsidR="00281486" w:rsidRPr="009448FC">
        <w:t xml:space="preserve"> </w:t>
      </w:r>
      <w:r w:rsidR="004C1248" w:rsidRPr="009448FC">
        <w:t xml:space="preserve">For other </w:t>
      </w:r>
      <w:r w:rsidR="004C1248" w:rsidRPr="009448FC">
        <w:rPr>
          <w:i/>
        </w:rPr>
        <w:t>n</w:t>
      </w:r>
      <w:r w:rsidR="004C1248" w:rsidRPr="009448FC">
        <w:t xml:space="preserve"> they are set to zero.</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69" w:name="_Toc235400662"/>
      <w:bookmarkStart w:id="3270" w:name="_Toc259717344"/>
      <w:r w:rsidRPr="009448FC">
        <w:t xml:space="preserve">Channel Estimation </w:t>
      </w:r>
      <w:r w:rsidR="00293BD2">
        <w:t>f</w:t>
      </w:r>
      <w:r w:rsidRPr="009448FC">
        <w:t>ield</w:t>
      </w:r>
      <w:bookmarkEnd w:id="3269"/>
      <w:bookmarkEnd w:id="3270"/>
    </w:p>
    <w:p w:rsidR="004E2479" w:rsidRPr="009448FC" w:rsidRDefault="004E2479" w:rsidP="004E2479">
      <w:r w:rsidRPr="009448FC">
        <w:t xml:space="preserve">The Channel Estimation field is </w:t>
      </w:r>
      <w:r w:rsidR="004C1248" w:rsidRPr="009448FC">
        <w:t xml:space="preserve">the same as the Channel Estimation field of </w:t>
      </w:r>
      <w:r w:rsidR="007A6553">
        <w:t xml:space="preserve">the </w:t>
      </w:r>
      <w:r w:rsidR="004C1248" w:rsidRPr="009448FC">
        <w:t xml:space="preserve">SC PHY, as defined in </w:t>
      </w:r>
      <w:r w:rsidR="00BD151C">
        <w:fldChar w:fldCharType="begin"/>
      </w:r>
      <w:r w:rsidR="007A6553">
        <w:instrText xml:space="preserve"> REF _Ref251942792 \h </w:instrText>
      </w:r>
      <w:r w:rsidR="00BD151C">
        <w:fldChar w:fldCharType="separate"/>
      </w:r>
      <w:r w:rsidR="003E4210" w:rsidRPr="00066F65">
        <w:t xml:space="preserve">Figure </w:t>
      </w:r>
      <w:r w:rsidR="003E4210">
        <w:rPr>
          <w:noProof/>
        </w:rPr>
        <w:t>134</w:t>
      </w:r>
      <w:r w:rsidR="00BD151C">
        <w:fldChar w:fldCharType="end"/>
      </w:r>
      <w:r w:rsidR="007A6553">
        <w:t xml:space="preserve"> </w:t>
      </w:r>
      <w:r w:rsidR="004C1248" w:rsidRPr="009448FC">
        <w:t xml:space="preserve">of subclause </w:t>
      </w:r>
      <w:r w:rsidR="00BD151C">
        <w:rPr>
          <w:b/>
        </w:rPr>
        <w:fldChar w:fldCharType="begin"/>
      </w:r>
      <w:r w:rsidR="007837CE">
        <w:instrText xml:space="preserve"> REF _Ref232828810 \r \h </w:instrText>
      </w:r>
      <w:r w:rsidR="00BD151C">
        <w:rPr>
          <w:b/>
        </w:rPr>
      </w:r>
      <w:r w:rsidR="00BD151C">
        <w:rPr>
          <w:b/>
        </w:rPr>
        <w:fldChar w:fldCharType="separate"/>
      </w:r>
      <w:r w:rsidR="003E4210">
        <w:t>21.3.6.2</w:t>
      </w:r>
      <w:r w:rsidR="00BD151C">
        <w:rPr>
          <w:b/>
        </w:rPr>
        <w:fldChar w:fldCharType="end"/>
      </w:r>
      <w:r w:rsidR="004C1248" w:rsidRPr="009448FC">
        <w:t>.</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4"/>
        <w:numPr>
          <w:ilvl w:val="3"/>
          <w:numId w:val="42"/>
        </w:numPr>
      </w:pPr>
      <w:bookmarkStart w:id="3271" w:name="_Toc235400663"/>
      <w:bookmarkStart w:id="3272" w:name="_Toc259717345"/>
      <w:r w:rsidRPr="009448FC">
        <w:t>Header</w:t>
      </w:r>
      <w:bookmarkEnd w:id="3271"/>
      <w:bookmarkEnd w:id="3272"/>
    </w:p>
    <w:p w:rsidR="00631FB9" w:rsidRPr="009448FC" w:rsidRDefault="00631FB9" w:rsidP="00631FB9">
      <w:pPr>
        <w:autoSpaceDE w:val="0"/>
        <w:autoSpaceDN w:val="0"/>
        <w:adjustRightInd w:val="0"/>
        <w:rPr>
          <w:color w:val="000000"/>
        </w:rPr>
      </w:pPr>
      <w:r w:rsidRPr="009448FC">
        <w:rPr>
          <w:color w:val="000000"/>
        </w:rPr>
        <w:t xml:space="preserve">In the Control PHY, the preamble is followed by the header block. The header consists of several fields which define the details of the PPDU to be transmitted. </w:t>
      </w:r>
    </w:p>
    <w:p w:rsidR="00F437AB" w:rsidRPr="009448FC" w:rsidRDefault="00F437AB" w:rsidP="00631FB9">
      <w:pPr>
        <w:autoSpaceDE w:val="0"/>
        <w:autoSpaceDN w:val="0"/>
        <w:adjustRightInd w:val="0"/>
        <w:rPr>
          <w:color w:val="000000"/>
        </w:rPr>
      </w:pPr>
    </w:p>
    <w:p w:rsidR="00631FB9" w:rsidRPr="009448FC" w:rsidRDefault="00631FB9" w:rsidP="009773E2">
      <w:pPr>
        <w:autoSpaceDE w:val="0"/>
        <w:autoSpaceDN w:val="0"/>
        <w:adjustRightInd w:val="0"/>
        <w:rPr>
          <w:color w:val="000000"/>
        </w:rPr>
      </w:pPr>
      <w:r w:rsidRPr="009448FC">
        <w:rPr>
          <w:color w:val="000000"/>
        </w:rPr>
        <w:t xml:space="preserve">The header fields are described in </w:t>
      </w:r>
      <w:fldSimple w:instr=" REF _Ref236710736 \h  \* MERGEFORMAT ">
        <w:r w:rsidR="003E4210" w:rsidRPr="00066F65">
          <w:t xml:space="preserve">Table </w:t>
        </w:r>
        <w:r w:rsidR="003E4210">
          <w:rPr>
            <w:noProof/>
          </w:rPr>
          <w:t>73</w:t>
        </w:r>
      </w:fldSimple>
      <w:r w:rsidRPr="009448FC">
        <w:rPr>
          <w:color w:val="000000"/>
        </w:rPr>
        <w:t>.</w:t>
      </w:r>
    </w:p>
    <w:p w:rsidR="004E2479" w:rsidRPr="009448FC" w:rsidRDefault="004E2479" w:rsidP="004E2479">
      <w:pPr>
        <w:jc w:val="both"/>
      </w:pPr>
    </w:p>
    <w:p w:rsidR="00631FB9" w:rsidRPr="00066F65" w:rsidRDefault="00631FB9" w:rsidP="009448FC">
      <w:pPr>
        <w:pStyle w:val="Caption"/>
        <w:keepNext/>
      </w:pPr>
      <w:bookmarkStart w:id="3273" w:name="_Ref236710736"/>
      <w:bookmarkStart w:id="3274" w:name="_Toc250654457"/>
      <w:bookmarkStart w:id="3275" w:name="_Toc259717651"/>
      <w:r w:rsidRPr="00066F65">
        <w:t xml:space="preserve">Table </w:t>
      </w:r>
      <w:r w:rsidR="00BD151C">
        <w:fldChar w:fldCharType="begin"/>
      </w:r>
      <w:r w:rsidR="00801316">
        <w:instrText xml:space="preserve"> SEQ Table \* ARABIC </w:instrText>
      </w:r>
      <w:r w:rsidR="00BD151C">
        <w:fldChar w:fldCharType="separate"/>
      </w:r>
      <w:r w:rsidR="003E4210">
        <w:rPr>
          <w:noProof/>
        </w:rPr>
        <w:t>73</w:t>
      </w:r>
      <w:r w:rsidR="00BD151C">
        <w:fldChar w:fldCharType="end"/>
      </w:r>
      <w:bookmarkEnd w:id="3273"/>
      <w:r w:rsidRPr="00066F65">
        <w:t xml:space="preserve"> </w:t>
      </w:r>
      <w:r w:rsidR="00784429" w:rsidRPr="00066F65">
        <w:t>– C</w:t>
      </w:r>
      <w:r w:rsidRPr="00066F65">
        <w:t>ontrol PHY header fields</w:t>
      </w:r>
      <w:bookmarkEnd w:id="3274"/>
      <w:bookmarkEnd w:id="3275"/>
      <w:r w:rsidR="00BE1F31">
        <w:t xml:space="preserve">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1975"/>
        <w:gridCol w:w="1446"/>
        <w:gridCol w:w="1260"/>
        <w:gridCol w:w="5507"/>
      </w:tblGrid>
      <w:tr w:rsidR="00AA0E45" w:rsidRPr="00066F65" w:rsidTr="003C282E">
        <w:trPr>
          <w:tblHeader/>
        </w:trPr>
        <w:tc>
          <w:tcPr>
            <w:tcW w:w="0" w:type="auto"/>
            <w:shd w:val="clear" w:color="auto" w:fill="auto"/>
            <w:tcMar>
              <w:top w:w="72" w:type="dxa"/>
              <w:left w:w="144" w:type="dxa"/>
              <w:bottom w:w="72" w:type="dxa"/>
              <w:right w:w="144" w:type="dxa"/>
            </w:tcMar>
          </w:tcPr>
          <w:p w:rsidR="00AA0E45" w:rsidRPr="003C282E" w:rsidRDefault="00AA0E45" w:rsidP="00727252">
            <w:pPr>
              <w:autoSpaceDE w:val="0"/>
              <w:autoSpaceDN w:val="0"/>
              <w:adjustRightInd w:val="0"/>
              <w:rPr>
                <w:b/>
                <w:color w:val="000000"/>
                <w:sz w:val="23"/>
              </w:rPr>
            </w:pPr>
            <w:r w:rsidRPr="003C282E">
              <w:rPr>
                <w:b/>
                <w:color w:val="000000"/>
                <w:sz w:val="23"/>
              </w:rPr>
              <w:t>Field Name</w:t>
            </w:r>
          </w:p>
        </w:tc>
        <w:tc>
          <w:tcPr>
            <w:tcW w:w="0" w:type="auto"/>
            <w:shd w:val="clear" w:color="auto" w:fill="auto"/>
            <w:tcMar>
              <w:top w:w="72" w:type="dxa"/>
              <w:left w:w="144" w:type="dxa"/>
              <w:bottom w:w="72" w:type="dxa"/>
              <w:right w:w="144" w:type="dxa"/>
            </w:tcMar>
          </w:tcPr>
          <w:p w:rsidR="00AA0E45" w:rsidRPr="003C282E" w:rsidRDefault="003C282E" w:rsidP="00727252">
            <w:pPr>
              <w:autoSpaceDE w:val="0"/>
              <w:autoSpaceDN w:val="0"/>
              <w:adjustRightInd w:val="0"/>
              <w:rPr>
                <w:b/>
                <w:color w:val="000000"/>
                <w:sz w:val="23"/>
              </w:rPr>
            </w:pPr>
            <w:r>
              <w:rPr>
                <w:b/>
                <w:color w:val="000000"/>
                <w:sz w:val="23"/>
              </w:rPr>
              <w:t>N</w:t>
            </w:r>
            <w:r w:rsidR="00AA0E45" w:rsidRPr="003C282E">
              <w:rPr>
                <w:b/>
                <w:color w:val="000000"/>
                <w:sz w:val="23"/>
              </w:rPr>
              <w:t>umber of bits</w:t>
            </w:r>
          </w:p>
        </w:tc>
        <w:tc>
          <w:tcPr>
            <w:tcW w:w="0" w:type="auto"/>
            <w:shd w:val="clear" w:color="auto" w:fill="auto"/>
            <w:tcMar>
              <w:top w:w="72" w:type="dxa"/>
              <w:left w:w="144" w:type="dxa"/>
              <w:bottom w:w="72" w:type="dxa"/>
              <w:right w:w="144" w:type="dxa"/>
            </w:tcMar>
          </w:tcPr>
          <w:p w:rsidR="00AA0E45" w:rsidRPr="003C282E" w:rsidRDefault="003C282E" w:rsidP="00727252">
            <w:pPr>
              <w:autoSpaceDE w:val="0"/>
              <w:autoSpaceDN w:val="0"/>
              <w:adjustRightInd w:val="0"/>
              <w:rPr>
                <w:b/>
                <w:color w:val="000000"/>
                <w:sz w:val="23"/>
              </w:rPr>
            </w:pPr>
            <w:r>
              <w:rPr>
                <w:b/>
                <w:color w:val="000000"/>
                <w:sz w:val="23"/>
              </w:rPr>
              <w:t>S</w:t>
            </w:r>
            <w:r w:rsidR="00AA0E45" w:rsidRPr="003C282E">
              <w:rPr>
                <w:b/>
                <w:color w:val="000000"/>
                <w:sz w:val="23"/>
              </w:rPr>
              <w:t>tarting bit</w:t>
            </w:r>
          </w:p>
        </w:tc>
        <w:tc>
          <w:tcPr>
            <w:tcW w:w="0" w:type="auto"/>
            <w:shd w:val="clear" w:color="auto" w:fill="auto"/>
            <w:tcMar>
              <w:top w:w="72" w:type="dxa"/>
              <w:left w:w="144" w:type="dxa"/>
              <w:bottom w:w="72" w:type="dxa"/>
              <w:right w:w="144" w:type="dxa"/>
            </w:tcMar>
          </w:tcPr>
          <w:p w:rsidR="00AA0E45" w:rsidRPr="003C282E" w:rsidRDefault="00AA0E45" w:rsidP="00727252">
            <w:pPr>
              <w:autoSpaceDE w:val="0"/>
              <w:autoSpaceDN w:val="0"/>
              <w:adjustRightInd w:val="0"/>
              <w:rPr>
                <w:b/>
                <w:color w:val="000000"/>
                <w:sz w:val="23"/>
              </w:rPr>
            </w:pPr>
            <w:r w:rsidRPr="003C282E">
              <w:rPr>
                <w:b/>
                <w:color w:val="000000"/>
                <w:sz w:val="23"/>
              </w:rPr>
              <w:t>Description</w:t>
            </w:r>
          </w:p>
        </w:tc>
      </w:tr>
      <w:tr w:rsidR="0058161F" w:rsidRPr="00066F65" w:rsidTr="003C282E">
        <w:trPr>
          <w:tblHeader/>
        </w:trPr>
        <w:tc>
          <w:tcPr>
            <w:tcW w:w="0" w:type="auto"/>
            <w:shd w:val="clear" w:color="auto" w:fill="auto"/>
            <w:tcMar>
              <w:top w:w="72" w:type="dxa"/>
              <w:left w:w="144" w:type="dxa"/>
              <w:bottom w:w="72" w:type="dxa"/>
              <w:right w:w="144" w:type="dxa"/>
            </w:tcMar>
          </w:tcPr>
          <w:p w:rsidR="0058161F" w:rsidRPr="009448FC" w:rsidRDefault="0058161F" w:rsidP="00727252">
            <w:pPr>
              <w:autoSpaceDE w:val="0"/>
              <w:autoSpaceDN w:val="0"/>
              <w:adjustRightInd w:val="0"/>
              <w:rPr>
                <w:color w:val="000000"/>
                <w:sz w:val="23"/>
              </w:rPr>
            </w:pPr>
            <w:r>
              <w:rPr>
                <w:color w:val="000000"/>
                <w:sz w:val="23"/>
              </w:rPr>
              <w:t>Reserved</w:t>
            </w:r>
          </w:p>
        </w:tc>
        <w:tc>
          <w:tcPr>
            <w:tcW w:w="0" w:type="auto"/>
            <w:shd w:val="clear" w:color="auto" w:fill="auto"/>
            <w:tcMar>
              <w:top w:w="72" w:type="dxa"/>
              <w:left w:w="144" w:type="dxa"/>
              <w:bottom w:w="72" w:type="dxa"/>
              <w:right w:w="144" w:type="dxa"/>
            </w:tcMar>
          </w:tcPr>
          <w:p w:rsidR="0058161F" w:rsidRPr="009448FC" w:rsidRDefault="0058161F" w:rsidP="00727252">
            <w:pPr>
              <w:autoSpaceDE w:val="0"/>
              <w:autoSpaceDN w:val="0"/>
              <w:adjustRightInd w:val="0"/>
              <w:rPr>
                <w:color w:val="000000"/>
                <w:sz w:val="23"/>
              </w:rPr>
            </w:pPr>
            <w:r>
              <w:rPr>
                <w:color w:val="000000"/>
                <w:sz w:val="23"/>
              </w:rPr>
              <w:t>1</w:t>
            </w:r>
          </w:p>
        </w:tc>
        <w:tc>
          <w:tcPr>
            <w:tcW w:w="0" w:type="auto"/>
            <w:shd w:val="clear" w:color="auto" w:fill="auto"/>
            <w:tcMar>
              <w:top w:w="72" w:type="dxa"/>
              <w:left w:w="144" w:type="dxa"/>
              <w:bottom w:w="72" w:type="dxa"/>
              <w:right w:w="144" w:type="dxa"/>
            </w:tcMar>
          </w:tcPr>
          <w:p w:rsidR="0058161F" w:rsidRPr="009448FC" w:rsidRDefault="0058161F" w:rsidP="00727252">
            <w:pPr>
              <w:autoSpaceDE w:val="0"/>
              <w:autoSpaceDN w:val="0"/>
              <w:adjustRightInd w:val="0"/>
              <w:rPr>
                <w:color w:val="000000"/>
                <w:sz w:val="23"/>
              </w:rPr>
            </w:pPr>
            <w:r>
              <w:rPr>
                <w:color w:val="000000"/>
                <w:sz w:val="23"/>
              </w:rPr>
              <w:t>0</w:t>
            </w:r>
          </w:p>
        </w:tc>
        <w:tc>
          <w:tcPr>
            <w:tcW w:w="0" w:type="auto"/>
            <w:shd w:val="clear" w:color="auto" w:fill="auto"/>
            <w:tcMar>
              <w:top w:w="72" w:type="dxa"/>
              <w:left w:w="144" w:type="dxa"/>
              <w:bottom w:w="72" w:type="dxa"/>
              <w:right w:w="144" w:type="dxa"/>
            </w:tcMar>
          </w:tcPr>
          <w:p w:rsidR="0058161F" w:rsidRPr="009448FC" w:rsidRDefault="0058161F" w:rsidP="0058161F">
            <w:pPr>
              <w:autoSpaceDE w:val="0"/>
              <w:autoSpaceDN w:val="0"/>
              <w:adjustRightInd w:val="0"/>
              <w:rPr>
                <w:color w:val="000000"/>
                <w:sz w:val="23"/>
              </w:rPr>
            </w:pPr>
            <w:r>
              <w:rPr>
                <w:color w:val="000000"/>
                <w:sz w:val="23"/>
              </w:rPr>
              <w:t>Set to zero (differential detector initialization.)</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Scrambler Initialization </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4</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1</w:t>
            </w:r>
          </w:p>
        </w:tc>
        <w:tc>
          <w:tcPr>
            <w:tcW w:w="0" w:type="auto"/>
            <w:shd w:val="clear" w:color="auto" w:fill="auto"/>
            <w:tcMar>
              <w:top w:w="72" w:type="dxa"/>
              <w:left w:w="144" w:type="dxa"/>
              <w:bottom w:w="72" w:type="dxa"/>
              <w:right w:w="144" w:type="dxa"/>
            </w:tcMar>
          </w:tcPr>
          <w:p w:rsidR="00631FB9" w:rsidRPr="009448FC" w:rsidRDefault="00631FB9" w:rsidP="0058161F">
            <w:pPr>
              <w:autoSpaceDE w:val="0"/>
              <w:autoSpaceDN w:val="0"/>
              <w:adjustRightInd w:val="0"/>
              <w:rPr>
                <w:color w:val="000000"/>
                <w:sz w:val="23"/>
              </w:rPr>
            </w:pPr>
            <w:r w:rsidRPr="009448FC">
              <w:rPr>
                <w:color w:val="000000"/>
                <w:sz w:val="23"/>
              </w:rPr>
              <w:t>bits X1-X</w:t>
            </w:r>
            <w:r w:rsidR="0058161F">
              <w:rPr>
                <w:color w:val="000000"/>
                <w:sz w:val="23"/>
              </w:rPr>
              <w:t>4</w:t>
            </w:r>
            <w:r w:rsidRPr="009448FC">
              <w:rPr>
                <w:color w:val="000000"/>
                <w:sz w:val="23"/>
              </w:rPr>
              <w:t xml:space="preserve"> of the initial scrambler state.</w:t>
            </w:r>
            <w:r w:rsidR="00281486" w:rsidRPr="009448FC">
              <w:rPr>
                <w:color w:val="000000"/>
                <w:sz w:val="23"/>
              </w:rPr>
              <w:t xml:space="preserve"> </w:t>
            </w:r>
            <w:r w:rsidRPr="009448FC">
              <w:rPr>
                <w:color w:val="000000"/>
                <w:sz w:val="23"/>
              </w:rPr>
              <w:t xml:space="preserve">The rest of the bits are set to </w:t>
            </w:r>
            <w:r w:rsidR="003C282E">
              <w:rPr>
                <w:color w:val="000000"/>
                <w:sz w:val="23"/>
              </w:rPr>
              <w:t>one</w:t>
            </w:r>
            <w:r w:rsidRPr="009448FC">
              <w:rPr>
                <w:color w:val="000000"/>
                <w:sz w:val="23"/>
              </w:rPr>
              <w:t xml:space="preserve">. </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Length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10 </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5</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Number of data octets in the PSDU.</w:t>
            </w:r>
            <w:r w:rsidR="00281486" w:rsidRPr="009448FC">
              <w:rPr>
                <w:color w:val="000000"/>
                <w:sz w:val="23"/>
              </w:rPr>
              <w:t xml:space="preserve"> </w:t>
            </w:r>
            <w:r w:rsidRPr="009448FC">
              <w:rPr>
                <w:color w:val="000000"/>
                <w:sz w:val="23"/>
              </w:rPr>
              <w:t>Range 1</w:t>
            </w:r>
            <w:r w:rsidR="00CF0E84">
              <w:rPr>
                <w:color w:val="000000"/>
                <w:sz w:val="23"/>
              </w:rPr>
              <w:t>4</w:t>
            </w:r>
            <w:r w:rsidR="003C282E">
              <w:rPr>
                <w:color w:val="000000"/>
                <w:sz w:val="23"/>
              </w:rPr>
              <w:t xml:space="preserve">-1023. </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Packet type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1</w:t>
            </w:r>
          </w:p>
        </w:tc>
        <w:tc>
          <w:tcPr>
            <w:tcW w:w="0" w:type="auto"/>
            <w:shd w:val="clear" w:color="auto" w:fill="auto"/>
            <w:tcMar>
              <w:top w:w="72" w:type="dxa"/>
              <w:left w:w="144" w:type="dxa"/>
              <w:bottom w:w="72" w:type="dxa"/>
              <w:right w:w="144" w:type="dxa"/>
            </w:tcMar>
          </w:tcPr>
          <w:p w:rsidR="00631FB9" w:rsidRPr="009448FC" w:rsidRDefault="00631FB9" w:rsidP="0058161F">
            <w:pPr>
              <w:autoSpaceDE w:val="0"/>
              <w:autoSpaceDN w:val="0"/>
              <w:adjustRightInd w:val="0"/>
              <w:rPr>
                <w:color w:val="000000"/>
                <w:sz w:val="23"/>
              </w:rPr>
            </w:pPr>
            <w:r w:rsidRPr="009448FC">
              <w:rPr>
                <w:color w:val="000000"/>
                <w:sz w:val="23"/>
              </w:rPr>
              <w:t>1</w:t>
            </w:r>
            <w:r w:rsidR="0058161F">
              <w:rPr>
                <w:color w:val="000000"/>
                <w:sz w:val="23"/>
              </w:rPr>
              <w:t>5</w:t>
            </w:r>
            <w:r w:rsidRPr="009448FC">
              <w:rPr>
                <w:color w:val="000000"/>
                <w:sz w:val="23"/>
              </w:rPr>
              <w:t xml:space="preserve"> </w:t>
            </w:r>
          </w:p>
        </w:tc>
        <w:tc>
          <w:tcPr>
            <w:tcW w:w="0" w:type="auto"/>
            <w:shd w:val="clear" w:color="auto" w:fill="auto"/>
            <w:tcMar>
              <w:top w:w="72" w:type="dxa"/>
              <w:left w:w="144" w:type="dxa"/>
              <w:bottom w:w="72" w:type="dxa"/>
              <w:right w:w="144" w:type="dxa"/>
            </w:tcMar>
          </w:tcPr>
          <w:p w:rsidR="00631FB9" w:rsidRPr="009448FC" w:rsidRDefault="00631FB9" w:rsidP="00497C53">
            <w:pPr>
              <w:autoSpaceDE w:val="0"/>
              <w:autoSpaceDN w:val="0"/>
              <w:adjustRightInd w:val="0"/>
              <w:rPr>
                <w:color w:val="000000"/>
                <w:sz w:val="23"/>
              </w:rPr>
            </w:pPr>
            <w:r w:rsidRPr="009448FC">
              <w:rPr>
                <w:color w:val="000000"/>
                <w:sz w:val="23"/>
              </w:rPr>
              <w:t>TRN packet type:</w:t>
            </w:r>
            <w:r w:rsidRPr="009448FC">
              <w:rPr>
                <w:color w:val="000000"/>
                <w:sz w:val="23"/>
              </w:rPr>
              <w:br/>
              <w:t>0 - TRN-R packet</w:t>
            </w:r>
            <w:r w:rsidRPr="009448FC">
              <w:rPr>
                <w:color w:val="000000"/>
                <w:sz w:val="23"/>
              </w:rPr>
              <w:br/>
              <w:t>1 - TRN-T packet</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Training Length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5 </w:t>
            </w:r>
          </w:p>
        </w:tc>
        <w:tc>
          <w:tcPr>
            <w:tcW w:w="0" w:type="auto"/>
            <w:shd w:val="clear" w:color="auto" w:fill="auto"/>
            <w:tcMar>
              <w:top w:w="72" w:type="dxa"/>
              <w:left w:w="144" w:type="dxa"/>
              <w:bottom w:w="72" w:type="dxa"/>
              <w:right w:w="144" w:type="dxa"/>
            </w:tcMar>
          </w:tcPr>
          <w:p w:rsidR="00631FB9" w:rsidRPr="009448FC" w:rsidRDefault="00631FB9" w:rsidP="0058161F">
            <w:pPr>
              <w:autoSpaceDE w:val="0"/>
              <w:autoSpaceDN w:val="0"/>
              <w:adjustRightInd w:val="0"/>
              <w:rPr>
                <w:color w:val="000000"/>
                <w:sz w:val="23"/>
              </w:rPr>
            </w:pPr>
            <w:r w:rsidRPr="009448FC">
              <w:rPr>
                <w:color w:val="000000"/>
                <w:sz w:val="23"/>
              </w:rPr>
              <w:t>1</w:t>
            </w:r>
            <w:r w:rsidR="0058161F">
              <w:rPr>
                <w:color w:val="000000"/>
                <w:sz w:val="23"/>
              </w:rPr>
              <w:t>6</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Length of the training field - the use of this field is define in subclause </w:t>
            </w:r>
            <w:r w:rsidR="00BD151C" w:rsidRPr="009448FC">
              <w:rPr>
                <w:color w:val="000000"/>
                <w:sz w:val="23"/>
              </w:rPr>
              <w:fldChar w:fldCharType="begin"/>
            </w:r>
            <w:r w:rsidR="00BF5394" w:rsidRPr="009448FC">
              <w:rPr>
                <w:color w:val="000000"/>
                <w:sz w:val="23"/>
              </w:rPr>
              <w:instrText xml:space="preserve"> REF _Ref225238451 \r \h </w:instrText>
            </w:r>
            <w:r w:rsidR="00BD151C" w:rsidRPr="009448FC">
              <w:rPr>
                <w:color w:val="000000"/>
                <w:sz w:val="23"/>
              </w:rPr>
            </w:r>
            <w:r w:rsidR="00BD151C" w:rsidRPr="009448FC">
              <w:rPr>
                <w:color w:val="000000"/>
                <w:sz w:val="23"/>
              </w:rPr>
              <w:fldChar w:fldCharType="separate"/>
            </w:r>
            <w:r w:rsidR="003E4210">
              <w:rPr>
                <w:color w:val="000000"/>
                <w:sz w:val="23"/>
              </w:rPr>
              <w:t>21.8.2.2.2</w:t>
            </w:r>
            <w:r w:rsidR="00BD151C" w:rsidRPr="009448FC">
              <w:rPr>
                <w:color w:val="000000"/>
                <w:sz w:val="23"/>
              </w:rPr>
              <w:fldChar w:fldCharType="end"/>
            </w:r>
            <w:r w:rsidR="003C282E">
              <w:rPr>
                <w:color w:val="000000"/>
                <w:sz w:val="23"/>
              </w:rPr>
              <w:t>.</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Reserved bits</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3</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21</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HCS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16 </w:t>
            </w:r>
          </w:p>
        </w:tc>
        <w:tc>
          <w:tcPr>
            <w:tcW w:w="0" w:type="auto"/>
            <w:shd w:val="clear" w:color="auto" w:fill="auto"/>
            <w:tcMar>
              <w:top w:w="72" w:type="dxa"/>
              <w:left w:w="144" w:type="dxa"/>
              <w:bottom w:w="72" w:type="dxa"/>
              <w:right w:w="144" w:type="dxa"/>
            </w:tcMar>
          </w:tcPr>
          <w:p w:rsidR="00631FB9" w:rsidRPr="009448FC" w:rsidRDefault="00631FB9" w:rsidP="00CF0E84">
            <w:pPr>
              <w:autoSpaceDE w:val="0"/>
              <w:autoSpaceDN w:val="0"/>
              <w:adjustRightInd w:val="0"/>
              <w:rPr>
                <w:color w:val="000000"/>
                <w:sz w:val="23"/>
              </w:rPr>
            </w:pPr>
            <w:r w:rsidRPr="009448FC">
              <w:rPr>
                <w:color w:val="000000"/>
                <w:sz w:val="23"/>
              </w:rPr>
              <w:t>2</w:t>
            </w:r>
            <w:r w:rsidR="00CF0E84">
              <w:rPr>
                <w:color w:val="000000"/>
                <w:sz w:val="23"/>
              </w:rPr>
              <w:t>4</w:t>
            </w:r>
            <w:r w:rsidRPr="009448FC">
              <w:rPr>
                <w:color w:val="000000"/>
                <w:sz w:val="23"/>
              </w:rPr>
              <w:t xml:space="preserve">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Header Check sequence.</w:t>
            </w:r>
            <w:r w:rsidR="00281486" w:rsidRPr="009448FC">
              <w:rPr>
                <w:color w:val="000000"/>
                <w:sz w:val="23"/>
              </w:rPr>
              <w:t xml:space="preserve"> </w:t>
            </w:r>
            <w:r w:rsidRPr="009448FC">
              <w:rPr>
                <w:color w:val="000000"/>
                <w:sz w:val="23"/>
              </w:rPr>
              <w:t xml:space="preserve">Calculation of the header check sequence is defined in subclause </w:t>
            </w:r>
            <w:r w:rsidR="00BD151C" w:rsidRPr="009448FC">
              <w:rPr>
                <w:color w:val="000000"/>
                <w:sz w:val="23"/>
              </w:rPr>
              <w:fldChar w:fldCharType="begin"/>
            </w:r>
            <w:r w:rsidR="00BF5394" w:rsidRPr="009448FC">
              <w:rPr>
                <w:color w:val="000000"/>
                <w:sz w:val="23"/>
              </w:rPr>
              <w:instrText xml:space="preserve"> REF _Ref221600297 \r \h </w:instrText>
            </w:r>
            <w:r w:rsidR="00BD151C" w:rsidRPr="009448FC">
              <w:rPr>
                <w:color w:val="000000"/>
                <w:sz w:val="23"/>
              </w:rPr>
            </w:r>
            <w:r w:rsidR="00BD151C" w:rsidRPr="009448FC">
              <w:rPr>
                <w:color w:val="000000"/>
                <w:sz w:val="23"/>
              </w:rPr>
              <w:fldChar w:fldCharType="separate"/>
            </w:r>
            <w:r w:rsidR="003E4210">
              <w:rPr>
                <w:color w:val="000000"/>
                <w:sz w:val="23"/>
              </w:rPr>
              <w:t>21.3.7</w:t>
            </w:r>
            <w:r w:rsidR="00BD151C" w:rsidRPr="009448FC">
              <w:rPr>
                <w:color w:val="000000"/>
                <w:sz w:val="23"/>
              </w:rPr>
              <w:fldChar w:fldCharType="end"/>
            </w:r>
            <w:r w:rsidR="003C282E">
              <w:rPr>
                <w:color w:val="000000"/>
                <w:sz w:val="23"/>
              </w:rPr>
              <w:t>.</w:t>
            </w:r>
          </w:p>
        </w:tc>
      </w:tr>
    </w:tbl>
    <w:p w:rsidR="00631FB9" w:rsidRPr="009448FC" w:rsidRDefault="00631FB9" w:rsidP="004E2479">
      <w:pPr>
        <w:jc w:val="both"/>
      </w:pPr>
    </w:p>
    <w:p w:rsidR="00BF5394" w:rsidRPr="009448FC" w:rsidRDefault="00BF5394" w:rsidP="00BF5394">
      <w:pPr>
        <w:autoSpaceDE w:val="0"/>
        <w:autoSpaceDN w:val="0"/>
        <w:adjustRightInd w:val="0"/>
        <w:rPr>
          <w:color w:val="000000"/>
        </w:rPr>
      </w:pPr>
      <w:r w:rsidRPr="009448FC">
        <w:rPr>
          <w:color w:val="000000"/>
        </w:rPr>
        <w:t>All the numeric fields are encoded in unsigned binary, least significant bit first.</w:t>
      </w:r>
    </w:p>
    <w:p w:rsidR="004E2479" w:rsidRPr="009448FC" w:rsidRDefault="004E2479" w:rsidP="004E2479"/>
    <w:p w:rsidR="004E2479" w:rsidRPr="009448FC" w:rsidRDefault="004E2479" w:rsidP="003701DB">
      <w:pPr>
        <w:pStyle w:val="Heading5"/>
        <w:numPr>
          <w:ilvl w:val="4"/>
          <w:numId w:val="42"/>
        </w:numPr>
      </w:pPr>
      <w:bookmarkStart w:id="3276" w:name="_Toc235400664"/>
      <w:bookmarkStart w:id="3277" w:name="_Toc259717346"/>
      <w:r w:rsidRPr="009448FC">
        <w:t>Generation of HCS bits</w:t>
      </w:r>
      <w:bookmarkEnd w:id="3276"/>
      <w:bookmarkEnd w:id="3277"/>
    </w:p>
    <w:p w:rsidR="004E2479" w:rsidRPr="009448FC" w:rsidRDefault="004E2479" w:rsidP="004E2479">
      <w:pPr>
        <w:autoSpaceDE w:val="0"/>
        <w:autoSpaceDN w:val="0"/>
        <w:adjustRightInd w:val="0"/>
        <w:rPr>
          <w:rFonts w:eastAsia="MS Mincho"/>
          <w:b/>
        </w:rPr>
      </w:pPr>
    </w:p>
    <w:p w:rsidR="004E2479" w:rsidRPr="009448FC" w:rsidRDefault="004E2479" w:rsidP="003C6A4D">
      <w:pPr>
        <w:autoSpaceDE w:val="0"/>
        <w:autoSpaceDN w:val="0"/>
        <w:adjustRightInd w:val="0"/>
        <w:rPr>
          <w:rFonts w:eastAsia="MS Mincho"/>
        </w:rPr>
      </w:pPr>
      <w:r w:rsidRPr="009448FC">
        <w:rPr>
          <w:rFonts w:eastAsia="MS Mincho"/>
        </w:rPr>
        <w:t xml:space="preserve">The header check sequence (HCS) uses CRC 16-CCITT the same as that in SC PHY, as described in subclause </w:t>
      </w:r>
      <w:r w:rsidR="00BD151C">
        <w:rPr>
          <w:rFonts w:eastAsia="MS Mincho"/>
          <w:b/>
          <w:lang w:eastAsia="ja-JP" w:bidi="ar-SA"/>
        </w:rPr>
        <w:fldChar w:fldCharType="begin"/>
      </w:r>
      <w:r w:rsidR="003C6A4D">
        <w:rPr>
          <w:rFonts w:eastAsia="MS Mincho"/>
          <w:lang w:eastAsia="ja-JP" w:bidi="ar-SA"/>
        </w:rPr>
        <w:instrText xml:space="preserve"> REF _Ref221851511 \r \h </w:instrText>
      </w:r>
      <w:r w:rsidR="00BD151C">
        <w:rPr>
          <w:rFonts w:eastAsia="MS Mincho"/>
          <w:b/>
          <w:lang w:eastAsia="ja-JP" w:bidi="ar-SA"/>
        </w:rPr>
      </w:r>
      <w:r w:rsidR="00BD151C">
        <w:rPr>
          <w:rFonts w:eastAsia="MS Mincho"/>
          <w:b/>
          <w:lang w:eastAsia="ja-JP" w:bidi="ar-SA"/>
        </w:rPr>
        <w:fldChar w:fldCharType="separate"/>
      </w:r>
      <w:r w:rsidR="003E4210">
        <w:rPr>
          <w:rFonts w:eastAsia="MS Mincho"/>
          <w:lang w:eastAsia="ja-JP" w:bidi="ar-SA"/>
        </w:rPr>
        <w:t>21.6.3.1.2</w:t>
      </w:r>
      <w:r w:rsidR="00BD151C">
        <w:rPr>
          <w:rFonts w:eastAsia="MS Mincho"/>
          <w:b/>
          <w:lang w:eastAsia="ja-JP" w:bidi="ar-SA"/>
        </w:rPr>
        <w:fldChar w:fldCharType="end"/>
      </w:r>
      <w:r w:rsidRPr="009448FC">
        <w:rPr>
          <w:rFonts w:eastAsia="MS Mincho"/>
        </w:rPr>
        <w:t>.</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78" w:name="_Toc235400665"/>
      <w:bookmarkStart w:id="3279" w:name="_Toc259717347"/>
      <w:r w:rsidRPr="009448FC">
        <w:t>Header Encoding and Modulation</w:t>
      </w:r>
      <w:bookmarkEnd w:id="3278"/>
      <w:bookmarkEnd w:id="3279"/>
    </w:p>
    <w:p w:rsidR="00BF5394" w:rsidRPr="009448FC" w:rsidRDefault="00BF5394" w:rsidP="00BF5394">
      <w:r w:rsidRPr="009448FC">
        <w:t xml:space="preserve">The header bits followed by the HCS bits are prepended to the data field bits and passed into the data field encoder per subclause </w:t>
      </w:r>
      <w:r w:rsidR="00BD151C" w:rsidRPr="009448FC">
        <w:fldChar w:fldCharType="begin"/>
      </w:r>
      <w:r w:rsidRPr="009448FC">
        <w:instrText xml:space="preserve"> REF _Ref235282301 \r \h </w:instrText>
      </w:r>
      <w:r w:rsidR="00BD151C" w:rsidRPr="009448FC">
        <w:fldChar w:fldCharType="separate"/>
      </w:r>
      <w:r w:rsidR="003E4210">
        <w:t>21.4.3.3</w:t>
      </w:r>
      <w:r w:rsidR="00BD151C" w:rsidRPr="009448FC">
        <w:fldChar w:fldCharType="end"/>
      </w:r>
      <w:r w:rsidRPr="009448FC">
        <w:t>. The minimal payload length is 14 octets.</w:t>
      </w:r>
    </w:p>
    <w:p w:rsidR="004E2479" w:rsidRPr="009448FC" w:rsidRDefault="004E2479" w:rsidP="004E2479">
      <w:pPr>
        <w:autoSpaceDE w:val="0"/>
        <w:autoSpaceDN w:val="0"/>
        <w:adjustRightInd w:val="0"/>
        <w:rPr>
          <w:rFonts w:eastAsia="MS Mincho"/>
        </w:rPr>
      </w:pPr>
    </w:p>
    <w:p w:rsidR="004E2479" w:rsidRPr="009448FC" w:rsidRDefault="004E2479" w:rsidP="003701DB">
      <w:pPr>
        <w:pStyle w:val="Heading4"/>
        <w:numPr>
          <w:ilvl w:val="3"/>
          <w:numId w:val="42"/>
        </w:numPr>
      </w:pPr>
      <w:bookmarkStart w:id="3280" w:name="_Ref235282301"/>
      <w:bookmarkStart w:id="3281" w:name="_Toc235400666"/>
      <w:bookmarkStart w:id="3282" w:name="_Toc259717348"/>
      <w:r w:rsidRPr="009448FC">
        <w:t xml:space="preserve">Data </w:t>
      </w:r>
      <w:r w:rsidR="00293BD2">
        <w:t>f</w:t>
      </w:r>
      <w:r w:rsidRPr="009448FC">
        <w:t>ield</w:t>
      </w:r>
      <w:bookmarkEnd w:id="3280"/>
      <w:bookmarkEnd w:id="3281"/>
      <w:bookmarkEnd w:id="3282"/>
    </w:p>
    <w:p w:rsidR="004E2479" w:rsidRPr="009448FC" w:rsidRDefault="004E2479" w:rsidP="004E2479">
      <w:pPr>
        <w:autoSpaceDE w:val="0"/>
        <w:autoSpaceDN w:val="0"/>
        <w:adjustRightInd w:val="0"/>
        <w:rPr>
          <w:rFonts w:eastAsia="MS Mincho"/>
        </w:rPr>
      </w:pPr>
      <w:r w:rsidRPr="009448FC">
        <w:rPr>
          <w:rFonts w:eastAsia="MS Mincho"/>
        </w:rPr>
        <w:t>The Data field consists of the payload data of the PSDU. The PSDU is scrambled, encoded, modulated and spread as described in the following subclauses.</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83" w:name="_Toc235400667"/>
      <w:bookmarkStart w:id="3284" w:name="_Toc259717349"/>
      <w:r w:rsidRPr="009448FC">
        <w:t>Scrambler</w:t>
      </w:r>
      <w:bookmarkEnd w:id="3283"/>
      <w:bookmarkEnd w:id="3284"/>
    </w:p>
    <w:p w:rsidR="00890C02" w:rsidRPr="00066F65" w:rsidRDefault="00A7376C" w:rsidP="0058161F">
      <w:pPr>
        <w:autoSpaceDE w:val="0"/>
        <w:autoSpaceDN w:val="0"/>
        <w:adjustRightInd w:val="0"/>
        <w:rPr>
          <w:u w:val="single"/>
        </w:rPr>
      </w:pPr>
      <w:r w:rsidRPr="009448FC">
        <w:t xml:space="preserve">The operation of the scrambler is defined in </w:t>
      </w:r>
      <w:r w:rsidR="00BD151C" w:rsidRPr="009448FC">
        <w:fldChar w:fldCharType="begin"/>
      </w:r>
      <w:r w:rsidRPr="009448FC">
        <w:instrText xml:space="preserve"> REF _Ref221601546 \r \h </w:instrText>
      </w:r>
      <w:r w:rsidR="00BD151C" w:rsidRPr="009448FC">
        <w:fldChar w:fldCharType="separate"/>
      </w:r>
      <w:r w:rsidR="003E4210">
        <w:t>21.3.9</w:t>
      </w:r>
      <w:r w:rsidR="00BD151C" w:rsidRPr="009448FC">
        <w:fldChar w:fldCharType="end"/>
      </w:r>
      <w:r w:rsidRPr="009448FC">
        <w:t>.</w:t>
      </w:r>
      <w:r w:rsidR="005515A4">
        <w:t xml:space="preserve"> </w:t>
      </w:r>
      <w:r w:rsidR="00890C02" w:rsidRPr="009448FC">
        <w:t>Bits x1, x2, x3</w:t>
      </w:r>
      <w:r w:rsidR="0058161F">
        <w:t>, x4</w:t>
      </w:r>
      <w:r w:rsidR="00890C02" w:rsidRPr="009448FC">
        <w:t xml:space="preserve"> of the scrambler shift register are initialized using the bits in the scrambler initialization bits from the header, bits x5, x6, x7 are set to 1.</w:t>
      </w:r>
      <w:r w:rsidR="00281486" w:rsidRPr="009448FC">
        <w:t xml:space="preserve"> </w:t>
      </w:r>
      <w:r w:rsidR="002B25C7">
        <w:t>The scrambling of the data field continues the scrambling of the header with no reset.</w:t>
      </w:r>
    </w:p>
    <w:p w:rsidR="004E2479" w:rsidRPr="009448FC" w:rsidRDefault="004E2479" w:rsidP="00BF5394">
      <w:pPr>
        <w:autoSpaceDE w:val="0"/>
        <w:autoSpaceDN w:val="0"/>
        <w:adjustRightInd w:val="0"/>
        <w:rPr>
          <w:rFonts w:eastAsia="MS Mincho"/>
        </w:rPr>
      </w:pPr>
    </w:p>
    <w:p w:rsidR="004E2479" w:rsidRPr="009448FC" w:rsidRDefault="004E2479" w:rsidP="003701DB">
      <w:pPr>
        <w:pStyle w:val="Heading5"/>
        <w:numPr>
          <w:ilvl w:val="4"/>
          <w:numId w:val="42"/>
        </w:numPr>
      </w:pPr>
      <w:bookmarkStart w:id="3285" w:name="_Toc235400668"/>
      <w:bookmarkStart w:id="3286" w:name="_Ref255114795"/>
      <w:bookmarkStart w:id="3287" w:name="_Toc259717350"/>
      <w:r w:rsidRPr="009448FC">
        <w:t>Encoder</w:t>
      </w:r>
      <w:bookmarkEnd w:id="3285"/>
      <w:bookmarkEnd w:id="3286"/>
      <w:bookmarkEnd w:id="3287"/>
      <w:r w:rsidR="00BE1F31">
        <w:t xml:space="preserve"> </w:t>
      </w:r>
    </w:p>
    <w:p w:rsidR="00F33D00" w:rsidRPr="009448FC" w:rsidRDefault="00F33D00" w:rsidP="00F33D00">
      <w:pPr>
        <w:autoSpaceDE w:val="0"/>
        <w:autoSpaceDN w:val="0"/>
        <w:adjustRightInd w:val="0"/>
      </w:pPr>
      <w:r w:rsidRPr="009448FC">
        <w:t>The control PHY header and data should be encoded using an effective LDPC code rate of ½, generated from the data PHY rate ¾ LDPC parity check matrix, with shortening.</w:t>
      </w:r>
      <w:r w:rsidR="00281486" w:rsidRPr="009448FC">
        <w:t xml:space="preserve"> </w:t>
      </w:r>
      <w:r w:rsidRPr="009448FC">
        <w:t>The following steps are used for the encoding:</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rPr>
          <w:position w:val="-12"/>
        </w:rPr>
        <w:object w:dxaOrig="1140" w:dyaOrig="360">
          <v:shape id="_x0000_i1134" type="#_x0000_t75" style="width:57.5pt;height:17.65pt" o:ole="">
            <v:imagedata r:id="rId316" o:title=""/>
          </v:shape>
          <o:OLEObject Type="Embed" ProgID="Equation.3" ShapeID="_x0000_i1134" DrawAspect="Content" ObjectID="_1334048315" r:id="rId317"/>
        </w:object>
      </w:r>
      <w:r w:rsidRPr="009448FC">
        <w:t xml:space="preserve"> is the maximal number of data bits in each LDPC codeword. Define </w:t>
      </w:r>
      <w:r w:rsidRPr="009448FC">
        <w:rPr>
          <w:position w:val="-10"/>
        </w:rPr>
        <w:object w:dxaOrig="520" w:dyaOrig="340">
          <v:shape id="_x0000_i1135" type="#_x0000_t75" style="width:27.15pt;height:17.65pt" o:ole="">
            <v:imagedata r:id="rId318" o:title=""/>
          </v:shape>
          <o:OLEObject Type="Embed" ProgID="Equation.3" ShapeID="_x0000_i1135" DrawAspect="Content" ObjectID="_1334048316" r:id="rId319"/>
        </w:object>
      </w:r>
      <w:r w:rsidR="0002455D">
        <w:t>=</w:t>
      </w:r>
      <w:r w:rsidRPr="009448FC">
        <w:t>5</w:t>
      </w:r>
      <w:r w:rsidR="00281486" w:rsidRPr="009448FC">
        <w:t xml:space="preserve"> </w:t>
      </w:r>
      <w:r w:rsidRPr="009448FC">
        <w:t xml:space="preserve">as the length of the header (including header CRC), and </w:t>
      </w:r>
      <w:r w:rsidRPr="009448FC">
        <w:rPr>
          <w:position w:val="-12"/>
        </w:rPr>
        <w:object w:dxaOrig="639" w:dyaOrig="360">
          <v:shape id="_x0000_i1136" type="#_x0000_t75" style="width:31.7pt;height:17.65pt" o:ole="">
            <v:imagedata r:id="rId320" o:title=""/>
          </v:shape>
          <o:OLEObject Type="Embed" ProgID="Equation.3" ShapeID="_x0000_i1136" DrawAspect="Content" ObjectID="_1334048317" r:id="rId321"/>
        </w:object>
      </w:r>
      <w:r w:rsidRPr="009448FC">
        <w:t xml:space="preserve"> is the length of the additional data in the header LDPC codeword in octets.</w:t>
      </w:r>
      <w:r w:rsidR="00281486" w:rsidRPr="009448FC">
        <w:t xml:space="preserve"> </w:t>
      </w:r>
      <w:r w:rsidRPr="009448FC">
        <w:t>Define the number of header and data bits in the first LDPC codeword as</w:t>
      </w:r>
      <w:r w:rsidRPr="009448FC">
        <w:rPr>
          <w:position w:val="-12"/>
        </w:rPr>
        <w:object w:dxaOrig="3240" w:dyaOrig="360">
          <v:shape id="_x0000_i1137" type="#_x0000_t75" style="width:163pt;height:17.65pt" o:ole="">
            <v:imagedata r:id="rId322" o:title=""/>
          </v:shape>
          <o:OLEObject Type="Embed" ProgID="Equation.3" ShapeID="_x0000_i1137" DrawAspect="Content" ObjectID="_1334048318" r:id="rId323"/>
        </w:object>
      </w:r>
      <w:r w:rsidRPr="009448FC">
        <w:t>.</w:t>
      </w:r>
      <w:r w:rsidR="00281486" w:rsidRPr="009448FC">
        <w:t xml:space="preserve"> </w:t>
      </w:r>
      <w:r w:rsidRPr="009448FC">
        <w:t>The number of LDPC code words is calculated</w:t>
      </w:r>
      <w:r w:rsidR="0002455D" w:rsidRPr="009448FC">
        <w:rPr>
          <w:position w:val="-32"/>
        </w:rPr>
        <w:object w:dxaOrig="2740" w:dyaOrig="760">
          <v:shape id="_x0000_i1138" type="#_x0000_t75" style="width:135.85pt;height:37.6pt" o:ole="">
            <v:imagedata r:id="rId324" o:title=""/>
          </v:shape>
          <o:OLEObject Type="Embed" ProgID="Equation.3" ShapeID="_x0000_i1138" DrawAspect="Content" ObjectID="_1334048319" r:id="rId325"/>
        </w:object>
      </w:r>
      <w:r w:rsidRPr="009448FC">
        <w:t xml:space="preserve">. </w:t>
      </w:r>
    </w:p>
    <w:p w:rsidR="00F33D00" w:rsidRPr="009448FC" w:rsidRDefault="00F33D00" w:rsidP="00F33D00">
      <w:pPr>
        <w:tabs>
          <w:tab w:val="left" w:pos="1080"/>
          <w:tab w:val="left" w:pos="3915"/>
        </w:tabs>
        <w:autoSpaceDE w:val="0"/>
        <w:autoSpaceDN w:val="0"/>
        <w:adjustRightInd w:val="0"/>
      </w:pPr>
      <w:r w:rsidRPr="009448FC">
        <w:tab/>
      </w:r>
      <w:r w:rsidRPr="009448FC">
        <w:tab/>
      </w:r>
    </w:p>
    <w:p w:rsidR="00F33D00" w:rsidRPr="009448FC" w:rsidRDefault="00F33D00" w:rsidP="00F33D00">
      <w:pPr>
        <w:autoSpaceDE w:val="0"/>
        <w:autoSpaceDN w:val="0"/>
        <w:adjustRightInd w:val="0"/>
      </w:pPr>
      <w:r w:rsidRPr="009448FC">
        <w:t xml:space="preserve">The number of bits in the second and any subsequent codeword (if present), except the last, is </w:t>
      </w:r>
      <w:r w:rsidR="0002455D" w:rsidRPr="009448FC">
        <w:rPr>
          <w:position w:val="-32"/>
        </w:rPr>
        <w:object w:dxaOrig="2640" w:dyaOrig="760">
          <v:shape id="_x0000_i1139" type="#_x0000_t75" style="width:132.25pt;height:37.6pt" o:ole="">
            <v:imagedata r:id="rId326" o:title=""/>
          </v:shape>
          <o:OLEObject Type="Embed" ProgID="Equation.3" ShapeID="_x0000_i1139" DrawAspect="Content" ObjectID="_1334048320" r:id="rId327"/>
        </w:object>
      </w:r>
    </w:p>
    <w:p w:rsidR="00F33D00" w:rsidRPr="009448FC" w:rsidRDefault="00F33D00" w:rsidP="003701DB">
      <w:pPr>
        <w:numPr>
          <w:ilvl w:val="0"/>
          <w:numId w:val="45"/>
        </w:numPr>
        <w:autoSpaceDE w:val="0"/>
        <w:autoSpaceDN w:val="0"/>
        <w:adjustRightInd w:val="0"/>
      </w:pPr>
      <w:r w:rsidRPr="009448FC">
        <w:t xml:space="preserve">The number of bits in the last codeword, is defined as </w:t>
      </w:r>
      <w:r w:rsidR="0002455D" w:rsidRPr="009448FC">
        <w:rPr>
          <w:position w:val="-12"/>
        </w:rPr>
        <w:object w:dxaOrig="4320" w:dyaOrig="360">
          <v:shape id="_x0000_i1140" type="#_x0000_t75" style="width:215.55pt;height:17.65pt" o:ole="">
            <v:imagedata r:id="rId328" o:title=""/>
          </v:shape>
          <o:OLEObject Type="Embed" ProgID="Equation.3" ShapeID="_x0000_i1140" DrawAspect="Content" ObjectID="_1334048321" r:id="rId329"/>
        </w:object>
      </w:r>
      <w:r w:rsidRPr="009448FC">
        <w:t>.</w:t>
      </w:r>
    </w:p>
    <w:p w:rsidR="00F33D00" w:rsidRPr="009448FC" w:rsidRDefault="00281486" w:rsidP="00F33D00">
      <w:pPr>
        <w:autoSpaceDE w:val="0"/>
        <w:autoSpaceDN w:val="0"/>
        <w:adjustRightInd w:val="0"/>
      </w:pPr>
      <w:r w:rsidRPr="009448FC">
        <w:t xml:space="preserve"> </w:t>
      </w:r>
    </w:p>
    <w:p w:rsidR="00F33D00" w:rsidRPr="009448FC" w:rsidRDefault="00F33D00" w:rsidP="003701DB">
      <w:pPr>
        <w:numPr>
          <w:ilvl w:val="0"/>
          <w:numId w:val="45"/>
        </w:numPr>
        <w:autoSpaceDE w:val="0"/>
        <w:autoSpaceDN w:val="0"/>
        <w:adjustRightInd w:val="0"/>
      </w:pPr>
      <w:r w:rsidRPr="009448FC">
        <w:t>The output stream of the scrambler is broken into blocks of L = L</w:t>
      </w:r>
      <w:r w:rsidRPr="009448FC">
        <w:rPr>
          <w:vertAlign w:val="subscript"/>
        </w:rPr>
        <w:t>DPFCW</w:t>
      </w:r>
      <w:r w:rsidRPr="009448FC">
        <w:t>, L</w:t>
      </w:r>
      <w:r w:rsidRPr="009448FC">
        <w:rPr>
          <w:vertAlign w:val="subscript"/>
        </w:rPr>
        <w:t>DPCW</w:t>
      </w:r>
      <w:r w:rsidRPr="009448FC">
        <w:t>, or L</w:t>
      </w:r>
      <w:r w:rsidRPr="009448FC">
        <w:rPr>
          <w:vertAlign w:val="subscript"/>
        </w:rPr>
        <w:t>DPLCW</w:t>
      </w:r>
      <w:r w:rsidRPr="009448FC">
        <w:t xml:space="preserve"> bits (depending on the codeword index) such that the m</w:t>
      </w:r>
      <w:r w:rsidRPr="009448FC">
        <w:rPr>
          <w:vertAlign w:val="superscript"/>
        </w:rPr>
        <w:t>th</w:t>
      </w:r>
      <w:r w:rsidRPr="009448FC">
        <w:t xml:space="preserve"> data word is </w:t>
      </w:r>
      <w:r w:rsidRPr="009448FC">
        <w:rPr>
          <w:position w:val="-10"/>
        </w:rPr>
        <w:object w:dxaOrig="1760" w:dyaOrig="360">
          <v:shape id="_x0000_i1141" type="#_x0000_t75" style="width:86.5pt;height:17.65pt" o:ole="">
            <v:imagedata r:id="rId330" o:title=""/>
          </v:shape>
          <o:OLEObject Type="Embed" ProgID="Equation.3" ShapeID="_x0000_i1141" DrawAspect="Content" ObjectID="_1334048322" r:id="rId331"/>
        </w:object>
      </w:r>
      <w:r w:rsidRPr="009448FC">
        <w:t>.</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t xml:space="preserve">Each data word is padded with zeros to create </w:t>
      </w:r>
      <w:r w:rsidR="00890C02" w:rsidRPr="009448FC">
        <w:t>504</w:t>
      </w:r>
      <w:r w:rsidR="00281486" w:rsidRPr="009448FC">
        <w:t xml:space="preserve"> </w:t>
      </w:r>
      <w:r w:rsidRPr="009448FC">
        <w:t>total bits.</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t>To each data word, L</w:t>
      </w:r>
      <w:r w:rsidRPr="009448FC">
        <w:rPr>
          <w:vertAlign w:val="subscript"/>
        </w:rPr>
        <w:t>CWD</w:t>
      </w:r>
      <w:r w:rsidRPr="009448FC">
        <w:t xml:space="preserve"> parity bits </w:t>
      </w:r>
      <w:r w:rsidRPr="009448FC">
        <w:rPr>
          <w:position w:val="-14"/>
        </w:rPr>
        <w:object w:dxaOrig="2824" w:dyaOrig="389">
          <v:shape id="_x0000_i1142" type="#_x0000_t75" style="width:143.1pt;height:19.9pt" o:ole="">
            <v:imagedata r:id="rId332" o:title=""/>
          </v:shape>
          <o:OLEObject Type="Embed" ProgID="Equation.3" ShapeID="_x0000_i1142" DrawAspect="Content" ObjectID="_1334048323" r:id="rId333"/>
        </w:object>
      </w:r>
      <w:r w:rsidRPr="009448FC">
        <w:t xml:space="preserve"> are added to create the codeword </w:t>
      </w:r>
      <w:r w:rsidRPr="009448FC">
        <w:rPr>
          <w:position w:val="-14"/>
        </w:rPr>
        <w:object w:dxaOrig="4840" w:dyaOrig="400">
          <v:shape id="_x0000_i1143" type="#_x0000_t75" style="width:240.9pt;height:20.4pt" o:ole="">
            <v:imagedata r:id="rId334" o:title=""/>
          </v:shape>
          <o:OLEObject Type="Embed" ProgID="Equation.3" ShapeID="_x0000_i1143" DrawAspect="Content" ObjectID="_1334048324" r:id="rId335"/>
        </w:object>
      </w:r>
      <w:r w:rsidRPr="009448FC">
        <w:t xml:space="preserve"> such that </w:t>
      </w:r>
      <w:r w:rsidRPr="009448FC">
        <w:rPr>
          <w:position w:val="-6"/>
        </w:rPr>
        <w:object w:dxaOrig="1100" w:dyaOrig="360">
          <v:shape id="_x0000_i1144" type="#_x0000_t75" style="width:54.35pt;height:17.65pt" o:ole="">
            <v:imagedata r:id="rId336" o:title=""/>
          </v:shape>
          <o:OLEObject Type="Embed" ProgID="Equation.3" ShapeID="_x0000_i1144" DrawAspect="Content" ObjectID="_1334048325" r:id="rId337"/>
        </w:object>
      </w:r>
      <w:r w:rsidRPr="009448FC">
        <w:t>.</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t xml:space="preserve">The output is the stream bits generated from the codewords, with the zero padding removed </w:t>
      </w:r>
      <w:r w:rsidRPr="007A6553">
        <w:t>from all codewords</w:t>
      </w:r>
      <w:r w:rsidRPr="009448FC">
        <w:t>.</w:t>
      </w:r>
    </w:p>
    <w:p w:rsidR="00F33D00" w:rsidRPr="009448FC" w:rsidRDefault="00F33D00" w:rsidP="00F33D00">
      <w:pPr>
        <w:autoSpaceDE w:val="0"/>
        <w:autoSpaceDN w:val="0"/>
        <w:adjustRightInd w:val="0"/>
      </w:pPr>
    </w:p>
    <w:p w:rsidR="004510BC" w:rsidRPr="009448FC" w:rsidRDefault="00F33D00" w:rsidP="0002455D">
      <w:pPr>
        <w:autoSpaceDE w:val="0"/>
        <w:autoSpaceDN w:val="0"/>
        <w:adjustRightInd w:val="0"/>
      </w:pPr>
      <w:r w:rsidRPr="009448FC">
        <w:t xml:space="preserve">Example: If </w:t>
      </w:r>
      <w:r w:rsidRPr="009448FC">
        <w:rPr>
          <w:position w:val="-10"/>
        </w:rPr>
        <w:object w:dxaOrig="1340" w:dyaOrig="320">
          <v:shape id="_x0000_i1145" type="#_x0000_t75" style="width:67.45pt;height:15.4pt" o:ole="">
            <v:imagedata r:id="rId338" o:title=""/>
          </v:shape>
          <o:OLEObject Type="Embed" ProgID="Equation.3" ShapeID="_x0000_i1145" DrawAspect="Content" ObjectID="_1334048326" r:id="rId339"/>
        </w:object>
      </w:r>
      <w:r w:rsidRPr="009448FC">
        <w:t xml:space="preserve">, then </w:t>
      </w:r>
      <w:r w:rsidR="0002455D" w:rsidRPr="009448FC">
        <w:rPr>
          <w:position w:val="-32"/>
        </w:rPr>
        <w:object w:dxaOrig="2780" w:dyaOrig="760">
          <v:shape id="_x0000_i1146" type="#_x0000_t75" style="width:139.45pt;height:37.6pt" o:ole="">
            <v:imagedata r:id="rId340" o:title=""/>
          </v:shape>
          <o:OLEObject Type="Embed" ProgID="Equation.3" ShapeID="_x0000_i1146" DrawAspect="Content" ObjectID="_1334048327" r:id="rId341"/>
        </w:object>
      </w:r>
      <w:r w:rsidRPr="009448FC">
        <w:t xml:space="preserve">, </w:t>
      </w:r>
      <w:r w:rsidR="0002455D" w:rsidRPr="009448FC">
        <w:rPr>
          <w:position w:val="-28"/>
        </w:rPr>
        <w:object w:dxaOrig="2880" w:dyaOrig="680">
          <v:shape id="_x0000_i1147" type="#_x0000_t75" style="width:145.35pt;height:33.95pt" o:ole="">
            <v:imagedata r:id="rId342" o:title=""/>
          </v:shape>
          <o:OLEObject Type="Embed" ProgID="Equation.3" ShapeID="_x0000_i1147" DrawAspect="Content" ObjectID="_1334048328" r:id="rId343"/>
        </w:object>
      </w:r>
      <w:r w:rsidRPr="009448FC">
        <w:t xml:space="preserve">, and </w:t>
      </w:r>
      <w:r w:rsidR="00FD7DB3" w:rsidRPr="009448FC">
        <w:rPr>
          <w:position w:val="-12"/>
        </w:rPr>
        <w:object w:dxaOrig="4000" w:dyaOrig="360">
          <v:shape id="_x0000_i1148" type="#_x0000_t75" style="width:200.6pt;height:17.65pt" o:ole="">
            <v:imagedata r:id="rId344" o:title=""/>
          </v:shape>
          <o:OLEObject Type="Embed" ProgID="Equation.3" ShapeID="_x0000_i1148" DrawAspect="Content" ObjectID="_1334048329" r:id="rId345"/>
        </w:object>
      </w:r>
      <w:r w:rsidRPr="009448FC">
        <w:t xml:space="preserve">. In the first LDPC block the </w:t>
      </w:r>
      <w:r w:rsidR="0002455D">
        <w:t>40</w:t>
      </w:r>
      <w:r w:rsidRPr="009448FC">
        <w:t xml:space="preserve"> header+HCS bits are encoded along with additional </w:t>
      </w:r>
      <w:r w:rsidR="0002455D">
        <w:t>48</w:t>
      </w:r>
      <w:r w:rsidRPr="009448FC">
        <w:t xml:space="preserve"> bits of the data.</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88" w:name="_Ref221851553"/>
      <w:bookmarkStart w:id="3289" w:name="_Toc235400669"/>
      <w:bookmarkStart w:id="3290" w:name="_Toc259717351"/>
      <w:r w:rsidRPr="009448FC">
        <w:t>Modulation</w:t>
      </w:r>
      <w:bookmarkEnd w:id="3288"/>
      <w:bookmarkEnd w:id="3289"/>
      <w:bookmarkEnd w:id="3290"/>
    </w:p>
    <w:p w:rsidR="004510BC" w:rsidRPr="009448FC" w:rsidRDefault="004E2479" w:rsidP="004510BC">
      <w:pPr>
        <w:autoSpaceDE w:val="0"/>
        <w:autoSpaceDN w:val="0"/>
        <w:adjustRightInd w:val="0"/>
        <w:rPr>
          <w:rFonts w:eastAsia="MS Mincho"/>
        </w:rPr>
      </w:pPr>
      <w:r w:rsidRPr="009448FC">
        <w:rPr>
          <w:rFonts w:eastAsia="MS Mincho"/>
        </w:rPr>
        <w:t xml:space="preserve">The scrambled and coded bit stream is converted into a stream of complex constellation points using </w:t>
      </w:r>
      <w:r w:rsidR="004510BC" w:rsidRPr="009448FC">
        <w:rPr>
          <w:rFonts w:eastAsia="MS Mincho"/>
        </w:rPr>
        <w:t xml:space="preserve">differential binary phase </w:t>
      </w:r>
      <w:r w:rsidR="00497C53" w:rsidRPr="009448FC">
        <w:rPr>
          <w:rFonts w:eastAsia="MS Mincho"/>
        </w:rPr>
        <w:t>shift keying (DBPSK) as follows.</w:t>
      </w:r>
    </w:p>
    <w:p w:rsidR="00F437AB" w:rsidRPr="009448FC" w:rsidRDefault="00F437AB" w:rsidP="004510BC">
      <w:pPr>
        <w:autoSpaceDE w:val="0"/>
        <w:autoSpaceDN w:val="0"/>
        <w:adjustRightInd w:val="0"/>
        <w:rPr>
          <w:rFonts w:eastAsia="MS Mincho"/>
        </w:rPr>
      </w:pPr>
    </w:p>
    <w:p w:rsidR="004510BC" w:rsidRPr="009448FC" w:rsidRDefault="004510BC" w:rsidP="008C3E63">
      <w:pPr>
        <w:autoSpaceDE w:val="0"/>
        <w:autoSpaceDN w:val="0"/>
        <w:adjustRightInd w:val="0"/>
        <w:rPr>
          <w:rFonts w:eastAsia="MS Mincho"/>
        </w:rPr>
      </w:pPr>
      <w:r w:rsidRPr="009448FC">
        <w:rPr>
          <w:rFonts w:eastAsia="MS Mincho"/>
        </w:rPr>
        <w:t xml:space="preserve">The encoded bit stream </w:t>
      </w:r>
      <w:r w:rsidRPr="009448FC">
        <w:rPr>
          <w:rFonts w:eastAsia="MS Mincho"/>
          <w:position w:val="-14"/>
        </w:rPr>
        <w:object w:dxaOrig="2240" w:dyaOrig="400">
          <v:shape id="_x0000_i1149" type="#_x0000_t75" style="width:112.3pt;height:20.4pt" o:ole="">
            <v:imagedata r:id="rId346" o:title=""/>
          </v:shape>
          <o:OLEObject Type="Embed" ProgID="Equation.DSMT4" ShapeID="_x0000_i1149" DrawAspect="Content" ObjectID="_1334048330" r:id="rId347"/>
        </w:object>
      </w:r>
      <w:r w:rsidRPr="009448FC">
        <w:rPr>
          <w:rFonts w:eastAsia="MS Mincho"/>
        </w:rPr>
        <w:t xml:space="preserve">is converted the non-differential stream </w:t>
      </w:r>
      <w:r w:rsidRPr="009448FC">
        <w:rPr>
          <w:rFonts w:eastAsia="MS Mincho"/>
          <w:position w:val="-14"/>
        </w:rPr>
        <w:object w:dxaOrig="1380" w:dyaOrig="400">
          <v:shape id="_x0000_i1150" type="#_x0000_t75" style="width:70.65pt;height:20.4pt" o:ole="">
            <v:imagedata r:id="rId348" o:title=""/>
          </v:shape>
          <o:OLEObject Type="Embed" ProgID="Equation.DSMT4" ShapeID="_x0000_i1150" DrawAspect="Content" ObjectID="_1334048331" r:id="rId349"/>
        </w:object>
      </w:r>
      <w:r w:rsidRPr="009448FC">
        <w:rPr>
          <w:rFonts w:eastAsia="MS Mincho"/>
        </w:rPr>
        <w:t>.</w:t>
      </w:r>
      <w:r w:rsidR="00281486" w:rsidRPr="009448FC">
        <w:rPr>
          <w:rFonts w:eastAsia="MS Mincho"/>
        </w:rPr>
        <w:t xml:space="preserve"> </w:t>
      </w:r>
      <w:r w:rsidRPr="009448FC">
        <w:rPr>
          <w:rFonts w:eastAsia="MS Mincho"/>
        </w:rPr>
        <w:t xml:space="preserve">The differential sequence is created by setting </w:t>
      </w:r>
      <w:r w:rsidR="000A5253" w:rsidRPr="009448FC">
        <w:rPr>
          <w:rFonts w:eastAsia="MS Mincho"/>
          <w:position w:val="-10"/>
        </w:rPr>
        <w:object w:dxaOrig="2020" w:dyaOrig="340">
          <v:shape id="_x0000_i1151" type="#_x0000_t75" style="width:100.1pt;height:17.65pt" o:ole="">
            <v:imagedata r:id="rId350" o:title=""/>
          </v:shape>
          <o:OLEObject Type="Embed" ProgID="Equation.3" ShapeID="_x0000_i1151" DrawAspect="Content" ObjectID="_1334048332" r:id="rId351"/>
        </w:object>
      </w:r>
      <w:r w:rsidRPr="009448FC">
        <w:rPr>
          <w:rFonts w:eastAsia="MS Mincho"/>
        </w:rPr>
        <w:t>.</w:t>
      </w:r>
      <w:r w:rsidR="005515A4">
        <w:rPr>
          <w:rFonts w:eastAsia="MS Mincho"/>
        </w:rPr>
        <w:t xml:space="preserve"> </w:t>
      </w:r>
      <w:r w:rsidRPr="009448FC">
        <w:rPr>
          <w:rFonts w:eastAsia="MS Mincho"/>
        </w:rPr>
        <w:t>For the differential encoding purposes</w:t>
      </w:r>
      <w:r w:rsidR="00B54614">
        <w:rPr>
          <w:rFonts w:eastAsia="MS Mincho"/>
        </w:rPr>
        <w:t xml:space="preserve"> </w:t>
      </w:r>
      <m:oMath>
        <m:r>
          <w:rPr>
            <w:rFonts w:ascii="Cambria Math" w:eastAsia="MS Mincho" w:hAnsi="Cambria Math"/>
          </w:rPr>
          <m:t>d</m:t>
        </m:r>
        <m:d>
          <m:dPr>
            <m:ctrlPr>
              <w:rPr>
                <w:rFonts w:ascii="Cambria Math" w:eastAsia="MS Mincho" w:hAnsi="Cambria Math"/>
                <w:i/>
              </w:rPr>
            </m:ctrlPr>
          </m:dPr>
          <m:e>
            <m:r>
              <w:rPr>
                <w:rFonts w:ascii="Cambria Math" w:eastAsia="MS Mincho" w:hAnsi="Cambria Math"/>
              </w:rPr>
              <m:t>-1</m:t>
            </m:r>
          </m:e>
        </m:d>
      </m:oMath>
      <w:r w:rsidR="00B54614">
        <w:rPr>
          <w:rFonts w:eastAsia="MS Mincho"/>
        </w:rPr>
        <w:t xml:space="preserve"> i</w:t>
      </w:r>
      <w:r w:rsidRPr="009448FC">
        <w:rPr>
          <w:rFonts w:eastAsia="MS Mincho"/>
        </w:rPr>
        <w:t>s defined to be 1.</w:t>
      </w:r>
      <w:r w:rsidR="00281486" w:rsidRPr="009448FC">
        <w:rPr>
          <w:rFonts w:eastAsia="MS Mincho"/>
        </w:rPr>
        <w:t xml:space="preserve"> </w:t>
      </w:r>
      <w:r w:rsidRPr="009448FC">
        <w:rPr>
          <w:rFonts w:eastAsia="MS Mincho"/>
          <w:position w:val="-14"/>
        </w:rPr>
        <w:object w:dxaOrig="499" w:dyaOrig="400">
          <v:shape id="_x0000_i1152" type="#_x0000_t75" style="width:25.8pt;height:20.4pt" o:ole="">
            <v:imagedata r:id="rId352" o:title=""/>
          </v:shape>
          <o:OLEObject Type="Embed" ProgID="Equation.DSMT4" ShapeID="_x0000_i1152" DrawAspect="Content" ObjectID="_1334048333" r:id="rId353"/>
        </w:object>
      </w:r>
      <w:r w:rsidRPr="009448FC">
        <w:rPr>
          <w:rFonts w:eastAsia="MS Mincho"/>
        </w:rPr>
        <w:t xml:space="preserve"> is the first bit of the encoded header bi</w:t>
      </w:r>
      <w:r w:rsidR="007837CE" w:rsidRPr="009448FC">
        <w:rPr>
          <w:rFonts w:eastAsia="MS Mincho"/>
        </w:rPr>
        <w:t>t</w:t>
      </w:r>
      <w:r w:rsidRPr="009448FC">
        <w:rPr>
          <w:rFonts w:eastAsia="MS Mincho"/>
        </w:rPr>
        <w:t>s.</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rPr>
          <w:b w:val="0"/>
        </w:rPr>
      </w:pPr>
      <w:bookmarkStart w:id="3291" w:name="_Ref221851570"/>
      <w:bookmarkStart w:id="3292" w:name="_Toc235400670"/>
      <w:bookmarkStart w:id="3293" w:name="_Toc259717352"/>
      <w:r w:rsidRPr="009448FC">
        <w:t>Spreading</w:t>
      </w:r>
      <w:bookmarkEnd w:id="3291"/>
      <w:bookmarkEnd w:id="3292"/>
      <w:bookmarkEnd w:id="3293"/>
    </w:p>
    <w:p w:rsidR="004E2479" w:rsidRPr="009448FC" w:rsidRDefault="004E2479" w:rsidP="000A5253">
      <w:pPr>
        <w:autoSpaceDE w:val="0"/>
        <w:autoSpaceDN w:val="0"/>
        <w:adjustRightInd w:val="0"/>
        <w:rPr>
          <w:i/>
        </w:rPr>
      </w:pPr>
      <w:r w:rsidRPr="009448FC">
        <w:rPr>
          <w:rFonts w:eastAsia="MS Mincho"/>
        </w:rPr>
        <w:t xml:space="preserve">The constellation points are spread using the </w:t>
      </w:r>
      <w:r w:rsidRPr="009448FC">
        <w:t>sequence</w:t>
      </w:r>
      <w:r w:rsidR="00D82EC0" w:rsidRPr="009448FC">
        <w:t xml:space="preserve"> </w:t>
      </w:r>
      <w:r w:rsidR="000A5253" w:rsidRPr="009448FC">
        <w:t>Ga</w:t>
      </w:r>
      <w:r w:rsidR="000A5253" w:rsidRPr="009448FC">
        <w:rPr>
          <w:vertAlign w:val="subscript"/>
        </w:rPr>
        <w:t>32</w:t>
      </w:r>
      <w:r w:rsidR="000A5253" w:rsidRPr="009448FC">
        <w:t>(n) which is defined in</w:t>
      </w:r>
      <w:r w:rsidR="005515A4">
        <w:t xml:space="preserve"> </w:t>
      </w:r>
      <w:fldSimple w:instr=" REF _Ref228173952 \r \h  \* MERGEFORMAT ">
        <w:r w:rsidR="003E4210">
          <w:t>21.9</w:t>
        </w:r>
      </w:fldSimple>
      <w:r w:rsidR="00497C53" w:rsidRPr="009448FC">
        <w:t>.</w:t>
      </w:r>
    </w:p>
    <w:p w:rsidR="004E2479" w:rsidRPr="009448FC" w:rsidRDefault="004E2479" w:rsidP="004E2479">
      <w:pPr>
        <w:autoSpaceDE w:val="0"/>
        <w:autoSpaceDN w:val="0"/>
        <w:adjustRightInd w:val="0"/>
      </w:pPr>
    </w:p>
    <w:p w:rsidR="004E2479" w:rsidRPr="009448FC" w:rsidRDefault="004E2479" w:rsidP="008C3E63">
      <w:pPr>
        <w:autoSpaceDE w:val="0"/>
        <w:autoSpaceDN w:val="0"/>
        <w:adjustRightInd w:val="0"/>
      </w:pPr>
      <w:r w:rsidRPr="009448FC">
        <w:t>The waveform for the mod</w:t>
      </w:r>
      <w:r w:rsidR="008C3E63">
        <w:t>ulated and spread data field is</w:t>
      </w:r>
      <w:r w:rsidR="00BE1F31">
        <w:t xml:space="preserve"> </w:t>
      </w:r>
    </w:p>
    <w:p w:rsidR="00D82EC0" w:rsidRDefault="00D82EC0" w:rsidP="004E2479">
      <w:pPr>
        <w:autoSpaceDE w:val="0"/>
        <w:autoSpaceDN w:val="0"/>
        <w:adjustRightInd w:val="0"/>
        <w:rPr>
          <w:position w:val="-28"/>
        </w:rPr>
      </w:pPr>
    </w:p>
    <w:p w:rsidR="00B54614" w:rsidRPr="009448FC" w:rsidRDefault="00BD151C" w:rsidP="00F116D7">
      <w:pPr>
        <w:autoSpaceDE w:val="0"/>
        <w:autoSpaceDN w:val="0"/>
        <w:adjustRightInd w:val="0"/>
      </w:pPr>
      <m:oMathPara>
        <m:oMath>
          <m:sSub>
            <m:sSubPr>
              <m:ctrlPr>
                <w:rPr>
                  <w:rFonts w:ascii="Cambria Math" w:hAnsi="Cambria Math"/>
                  <w:i/>
                </w:rPr>
              </m:ctrlPr>
            </m:sSubPr>
            <m:e>
              <m:r>
                <w:rPr>
                  <w:rFonts w:ascii="Cambria Math" w:hAnsi="Cambria Math"/>
                </w:rPr>
                <m:t>r</m:t>
              </m:r>
            </m:e>
            <m:sub>
              <m:r>
                <w:rPr>
                  <w:rFonts w:ascii="Cambria Math" w:hAnsi="Cambria Math"/>
                </w:rPr>
                <m:t>DATA</m:t>
              </m:r>
            </m:sub>
          </m:sSub>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c</m:t>
                  </m:r>
                </m:sub>
              </m:sSub>
            </m:e>
          </m:d>
          <m:d>
            <m:dPr>
              <m:ctrlPr>
                <w:rPr>
                  <w:rFonts w:ascii="Cambria Math" w:hAnsi="Cambria Math"/>
                  <w:i/>
                </w:rPr>
              </m:ctrlPr>
            </m:dPr>
            <m:e>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32</m:t>
                  </m:r>
                </m:sub>
              </m:sSub>
              <m:d>
                <m:dPr>
                  <m:ctrlPr>
                    <w:rPr>
                      <w:rFonts w:ascii="Cambria Math" w:hAnsi="Cambria Math"/>
                      <w:i/>
                    </w:rPr>
                  </m:ctrlPr>
                </m:dPr>
                <m:e>
                  <m:r>
                    <w:rPr>
                      <w:rFonts w:ascii="Cambria Math" w:hAnsi="Cambria Math"/>
                    </w:rPr>
                    <m:t>n mod 32</m:t>
                  </m:r>
                </m:e>
              </m:d>
              <m:r>
                <w:rPr>
                  <w:rFonts w:ascii="Cambria Math" w:hAnsi="Cambria Math"/>
                </w:rPr>
                <m:t>∙d</m:t>
              </m:r>
              <m:d>
                <m:dPr>
                  <m:ctrlPr>
                    <w:rPr>
                      <w:rFonts w:ascii="Cambria Math" w:hAnsi="Cambria Math"/>
                      <w:i/>
                    </w:rPr>
                  </m:ctrlPr>
                </m:dPr>
                <m:e>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32</m:t>
                              </m:r>
                            </m:den>
                          </m:f>
                        </m:e>
                      </m:box>
                    </m:e>
                  </m:d>
                </m:e>
              </m:d>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r>
                <w:rPr>
                  <w:rFonts w:ascii="Cambria Math" w:hAnsi="Cambria Math"/>
                </w:rPr>
                <m:t>, n=0,1,2,…</m:t>
              </m:r>
            </m:e>
          </m:func>
        </m:oMath>
      </m:oMathPara>
    </w:p>
    <w:p w:rsidR="004E2479" w:rsidRPr="009448FC" w:rsidRDefault="004E2479" w:rsidP="004510BC">
      <w:pPr>
        <w:autoSpaceDE w:val="0"/>
        <w:autoSpaceDN w:val="0"/>
        <w:adjustRightInd w:val="0"/>
        <w:rPr>
          <w:rFonts w:eastAsia="MS Mincho"/>
          <w:b/>
        </w:rPr>
      </w:pPr>
      <w:r w:rsidRPr="009448FC">
        <w:t xml:space="preserve">where </w:t>
      </w:r>
      <w:r w:rsidRPr="009448FC">
        <w:rPr>
          <w:position w:val="-14"/>
        </w:rPr>
        <w:object w:dxaOrig="420" w:dyaOrig="400">
          <v:shape id="_x0000_i1153" type="#_x0000_t75" style="width:20.4pt;height:20.4pt" o:ole="">
            <v:imagedata r:id="rId354" o:title=""/>
          </v:shape>
          <o:OLEObject Type="Embed" ProgID="Equation.DSMT4" ShapeID="_x0000_i1153" DrawAspect="Content" ObjectID="_1334048334" r:id="rId355"/>
        </w:object>
      </w:r>
      <w:r w:rsidRPr="009448FC">
        <w:t xml:space="preserve"> means the largest integer smaller than a real number </w:t>
      </w:r>
      <w:r w:rsidRPr="009448FC">
        <w:rPr>
          <w:i/>
        </w:rPr>
        <w:t>x</w:t>
      </w:r>
      <w:r w:rsidRPr="009448FC">
        <w:t xml:space="preserve">, and </w:t>
      </w:r>
      <w:r w:rsidR="004510BC" w:rsidRPr="009448FC">
        <w:rPr>
          <w:position w:val="-10"/>
        </w:rPr>
        <w:object w:dxaOrig="520" w:dyaOrig="320">
          <v:shape id="_x0000_i1154" type="#_x0000_t75" style="width:27.15pt;height:15.4pt" o:ole="">
            <v:imagedata r:id="rId356" o:title=""/>
          </v:shape>
          <o:OLEObject Type="Embed" ProgID="Equation.DSMT4" ShapeID="_x0000_i1154" DrawAspect="Content" ObjectID="_1334048335" r:id="rId357"/>
        </w:object>
      </w:r>
      <w:r w:rsidRPr="009448FC">
        <w:t xml:space="preserve">is the </w:t>
      </w:r>
      <w:r w:rsidRPr="009448FC">
        <w:rPr>
          <w:i/>
        </w:rPr>
        <w:t>k</w:t>
      </w:r>
      <w:r w:rsidRPr="009448FC">
        <w:t xml:space="preserve">-th modulated constellation point. </w:t>
      </w:r>
    </w:p>
    <w:p w:rsidR="005477EB" w:rsidRPr="009448FC" w:rsidRDefault="006066B3" w:rsidP="00450796">
      <w:pPr>
        <w:autoSpaceDE w:val="0"/>
        <w:autoSpaceDN w:val="0"/>
        <w:adjustRightInd w:val="0"/>
        <w:rPr>
          <w:rFonts w:eastAsia="MS Mincho"/>
          <w:b/>
        </w:rPr>
      </w:pPr>
      <w:r w:rsidRPr="009448FC">
        <w:rPr>
          <w:rFonts w:eastAsia="MS Mincho"/>
          <w:b/>
        </w:rPr>
        <w:t xml:space="preserve"> </w:t>
      </w:r>
    </w:p>
    <w:p w:rsidR="004E2479" w:rsidRPr="009448FC" w:rsidRDefault="004E2479" w:rsidP="003701DB">
      <w:pPr>
        <w:pStyle w:val="Heading3"/>
        <w:numPr>
          <w:ilvl w:val="2"/>
          <w:numId w:val="42"/>
        </w:numPr>
        <w:rPr>
          <w:rFonts w:eastAsia="MS Mincho"/>
        </w:rPr>
      </w:pPr>
      <w:bookmarkStart w:id="3294" w:name="_Toc235400672"/>
      <w:bookmarkStart w:id="3295" w:name="_Toc259717353"/>
      <w:r w:rsidRPr="009448FC">
        <w:rPr>
          <w:rFonts w:eastAsia="MS Mincho"/>
        </w:rPr>
        <w:t>Performance requirements</w:t>
      </w:r>
      <w:bookmarkEnd w:id="3294"/>
      <w:bookmarkEnd w:id="3295"/>
      <w:r w:rsidR="001E6075" w:rsidRPr="009448FC">
        <w:rPr>
          <w:rFonts w:eastAsia="MS Mincho"/>
        </w:rPr>
        <w:t xml:space="preserve"> </w:t>
      </w:r>
    </w:p>
    <w:p w:rsidR="001E6075" w:rsidRPr="009448FC" w:rsidRDefault="001E6075" w:rsidP="001E6075">
      <w:pPr>
        <w:rPr>
          <w:rFonts w:eastAsia="MS Mincho"/>
        </w:rPr>
      </w:pPr>
      <w:r w:rsidRPr="009448FC">
        <w:rPr>
          <w:rFonts w:eastAsia="MS Mincho"/>
        </w:rPr>
        <w:t xml:space="preserve">This section describes the performance requirement </w:t>
      </w:r>
      <w:r w:rsidR="007A6553">
        <w:rPr>
          <w:rFonts w:eastAsia="MS Mincho"/>
        </w:rPr>
        <w:t>of</w:t>
      </w:r>
      <w:r w:rsidRPr="009448FC">
        <w:rPr>
          <w:rFonts w:eastAsia="MS Mincho"/>
        </w:rPr>
        <w:t xml:space="preserve"> the </w:t>
      </w:r>
      <w:r w:rsidR="007A6553">
        <w:rPr>
          <w:rFonts w:eastAsia="MS Mincho"/>
        </w:rPr>
        <w:t>Control</w:t>
      </w:r>
      <w:r w:rsidRPr="009448FC">
        <w:rPr>
          <w:rFonts w:eastAsia="MS Mincho"/>
        </w:rPr>
        <w:t xml:space="preserve"> PHY</w:t>
      </w:r>
      <w:r w:rsidR="007A6553">
        <w:rPr>
          <w:rFonts w:eastAsia="MS Mincho"/>
        </w:rPr>
        <w:t xml:space="preserve"> (CP)</w:t>
      </w:r>
      <w:r w:rsidRPr="009448FC">
        <w:rPr>
          <w:rFonts w:eastAsia="MS Mincho"/>
        </w:rPr>
        <w:t>.</w:t>
      </w:r>
    </w:p>
    <w:p w:rsidR="001E6075" w:rsidRPr="009448FC" w:rsidRDefault="001E6075" w:rsidP="001E6075">
      <w:pPr>
        <w:rPr>
          <w:rFonts w:eastAsia="MS Mincho"/>
        </w:rPr>
      </w:pPr>
    </w:p>
    <w:p w:rsidR="004E2479" w:rsidRPr="009448FC" w:rsidRDefault="004E2479" w:rsidP="003701DB">
      <w:pPr>
        <w:pStyle w:val="Heading4"/>
        <w:numPr>
          <w:ilvl w:val="3"/>
          <w:numId w:val="42"/>
        </w:numPr>
      </w:pPr>
      <w:bookmarkStart w:id="3296" w:name="_Toc235400673"/>
      <w:bookmarkStart w:id="3297" w:name="_Toc259717354"/>
      <w:r w:rsidRPr="009448FC">
        <w:t>Transmit Requirements</w:t>
      </w:r>
      <w:bookmarkEnd w:id="3296"/>
      <w:bookmarkEnd w:id="3297"/>
      <w:r w:rsidR="001E6075" w:rsidRPr="009448FC">
        <w:t xml:space="preserve"> </w:t>
      </w:r>
    </w:p>
    <w:p w:rsidR="001E6075" w:rsidRPr="009448FC" w:rsidRDefault="001E6075" w:rsidP="001E6075">
      <w:pPr>
        <w:rPr>
          <w:rFonts w:eastAsia="MS Mincho"/>
        </w:rPr>
      </w:pPr>
      <w:r w:rsidRPr="009448FC">
        <w:rPr>
          <w:rFonts w:eastAsia="MS Mincho"/>
        </w:rPr>
        <w:t xml:space="preserve">This section describes the transmitter performance requirement </w:t>
      </w:r>
      <w:r w:rsidR="007A6553">
        <w:rPr>
          <w:rFonts w:eastAsia="MS Mincho"/>
        </w:rPr>
        <w:t>of</w:t>
      </w:r>
      <w:r w:rsidRPr="009448FC">
        <w:rPr>
          <w:rFonts w:eastAsia="MS Mincho"/>
        </w:rPr>
        <w:t xml:space="preserve"> the C</w:t>
      </w:r>
      <w:r w:rsidR="00766EB4">
        <w:rPr>
          <w:rFonts w:eastAsia="MS Mincho"/>
        </w:rPr>
        <w:t>ontrol</w:t>
      </w:r>
      <w:r w:rsidRPr="009448FC">
        <w:rPr>
          <w:rFonts w:eastAsia="MS Mincho"/>
        </w:rPr>
        <w:t xml:space="preserve"> PHY</w:t>
      </w:r>
      <w:r w:rsidR="00497C53" w:rsidRPr="009448FC">
        <w:rPr>
          <w:rFonts w:eastAsia="MS Mincho"/>
        </w:rPr>
        <w:t>.</w:t>
      </w:r>
    </w:p>
    <w:p w:rsidR="001E6075" w:rsidRPr="009448FC" w:rsidRDefault="001E6075" w:rsidP="001E6075"/>
    <w:p w:rsidR="004E2479" w:rsidRPr="009448FC" w:rsidRDefault="004E2479" w:rsidP="003701DB">
      <w:pPr>
        <w:pStyle w:val="Heading5"/>
        <w:numPr>
          <w:ilvl w:val="4"/>
          <w:numId w:val="42"/>
        </w:numPr>
      </w:pPr>
      <w:bookmarkStart w:id="3298" w:name="_Toc235400674"/>
      <w:bookmarkStart w:id="3299" w:name="_Toc259717355"/>
      <w:r w:rsidRPr="009448FC">
        <w:t>Transmit EVM</w:t>
      </w:r>
      <w:bookmarkEnd w:id="3298"/>
      <w:bookmarkEnd w:id="3299"/>
    </w:p>
    <w:p w:rsidR="001E6075" w:rsidRPr="009448FC" w:rsidRDefault="001E6075" w:rsidP="001E6075">
      <w:pPr>
        <w:rPr>
          <w:rFonts w:eastAsia="MS Mincho"/>
        </w:rPr>
      </w:pPr>
      <w:r w:rsidRPr="009448FC">
        <w:rPr>
          <w:rFonts w:eastAsia="MS Mincho"/>
        </w:rPr>
        <w:t>The transmit EVM</w:t>
      </w:r>
      <w:r w:rsidR="00281486" w:rsidRPr="009448FC">
        <w:rPr>
          <w:rFonts w:eastAsia="MS Mincho"/>
        </w:rPr>
        <w:t xml:space="preserve"> </w:t>
      </w:r>
      <w:r w:rsidRPr="009448FC">
        <w:rPr>
          <w:rFonts w:eastAsia="MS Mincho"/>
        </w:rPr>
        <w:t>accuracy test shall be performed by instrumentation capable of converting the transmitted signal into a stream of complex samples, with sufficient accuracy in</w:t>
      </w:r>
      <w:r w:rsidR="00387412" w:rsidRPr="009448FC">
        <w:rPr>
          <w:rFonts w:eastAsia="MS Mincho"/>
        </w:rPr>
        <w:t xml:space="preserve"> </w:t>
      </w:r>
      <w:r w:rsidRPr="009448FC">
        <w:rPr>
          <w:rFonts w:eastAsia="MS Mincho"/>
        </w:rPr>
        <w:t xml:space="preserve">terms of I/Q arm amplitude and phase balance, dc offsets, phase noise, etc. </w:t>
      </w:r>
    </w:p>
    <w:p w:rsidR="00387412" w:rsidRPr="009448FC" w:rsidRDefault="00387412" w:rsidP="001E6075">
      <w:pPr>
        <w:rPr>
          <w:rFonts w:eastAsia="MS Mincho"/>
        </w:rPr>
      </w:pPr>
    </w:p>
    <w:p w:rsidR="001E6075" w:rsidRDefault="001E6075" w:rsidP="001E6075">
      <w:r w:rsidRPr="009448FC">
        <w:rPr>
          <w:rFonts w:eastAsia="MS Mincho"/>
        </w:rPr>
        <w:lastRenderedPageBreak/>
        <w:t xml:space="preserve">The sampled signal shall be processed by </w:t>
      </w:r>
      <w:r w:rsidRPr="009448FC">
        <w:t>a receiver that is capable of converting the transmitted signal into a stream of complex samples at sufficient rate or more, with sufficient accuracy in terms of I/Q arm amplitude and phase balance, DC offsets, and phase noise. It shall perform carrier lock, symbol timing recovery and amplitude adjustment while making the measurements. For the CP PHY EVM, measuring Ns samples at the sample rate, the measured chips should not contain the first and the last hundred chips of a given packet (ramp up/down) the EVM will be calculated according to the formula below:</w:t>
      </w:r>
    </w:p>
    <w:p w:rsidR="001E6075" w:rsidRDefault="001E6075" w:rsidP="000D1CC2">
      <w:pPr>
        <w:jc w:val="center"/>
        <w:rPr>
          <w:position w:val="-42"/>
        </w:rPr>
      </w:pPr>
    </w:p>
    <w:p w:rsidR="00000C5F" w:rsidRDefault="00097541">
      <w:pPr>
        <w:pStyle w:val="ListBullet"/>
        <w:jc w:val="center"/>
      </w:pPr>
      <w:r w:rsidRPr="00686AD4">
        <w:rPr>
          <w:position w:val="-42"/>
        </w:rPr>
        <w:object w:dxaOrig="5200" w:dyaOrig="960">
          <v:shape id="_x0000_i1155" type="#_x0000_t75" style="width:260.4pt;height:47.1pt" o:ole="">
            <v:imagedata r:id="rId358" o:title=""/>
          </v:shape>
          <o:OLEObject Type="Embed" ProgID="Equation.3" ShapeID="_x0000_i1155" DrawAspect="Content" ObjectID="_1334048336" r:id="rId359"/>
        </w:object>
      </w:r>
    </w:p>
    <w:p w:rsidR="001E6075" w:rsidRPr="009448FC" w:rsidRDefault="001E6075" w:rsidP="001E6075"/>
    <w:p w:rsidR="001E6075" w:rsidRPr="009448FC" w:rsidRDefault="001E6075" w:rsidP="006D4086">
      <w:r w:rsidRPr="009448FC">
        <w:t xml:space="preserve">Where </w:t>
      </w:r>
      <w:r w:rsidR="00316789" w:rsidRPr="009448FC">
        <w:rPr>
          <w:position w:val="-12"/>
        </w:rPr>
        <w:object w:dxaOrig="340" w:dyaOrig="360">
          <v:shape id="_x0000_i1156" type="#_x0000_t75" style="width:17.65pt;height:17.65pt" o:ole="">
            <v:imagedata r:id="rId360" o:title=""/>
          </v:shape>
          <o:OLEObject Type="Embed" ProgID="Equation.DSMT4" ShapeID="_x0000_i1156" DrawAspect="Content" ObjectID="_1334048337" r:id="rId361"/>
        </w:object>
      </w:r>
      <w:r w:rsidRPr="009448FC">
        <w:t xml:space="preserve"> is the number of samples to be measured </w:t>
      </w:r>
      <w:r w:rsidR="00E55F9F" w:rsidRPr="009448FC">
        <w:t xml:space="preserve">and </w:t>
      </w:r>
      <w:r w:rsidRPr="009448FC">
        <w:t>N</w:t>
      </w:r>
      <w:r w:rsidRPr="009448FC">
        <w:rPr>
          <w:vertAlign w:val="subscript"/>
        </w:rPr>
        <w:t>s</w:t>
      </w:r>
      <w:r w:rsidR="00E55F9F" w:rsidRPr="009448FC">
        <w:t xml:space="preserve"> should be bigger than 8000, </w:t>
      </w:r>
      <w:r w:rsidR="00316789" w:rsidRPr="009448FC">
        <w:rPr>
          <w:position w:val="-14"/>
        </w:rPr>
        <w:object w:dxaOrig="400" w:dyaOrig="380">
          <v:shape id="_x0000_i1157" type="#_x0000_t75" style="width:20.4pt;height:17.65pt" o:ole="">
            <v:imagedata r:id="rId362" o:title=""/>
          </v:shape>
          <o:OLEObject Type="Embed" ProgID="Equation.DSMT4" ShapeID="_x0000_i1157" DrawAspect="Content" ObjectID="_1334048338" r:id="rId363"/>
        </w:object>
      </w:r>
      <w:r w:rsidRPr="009448FC">
        <w:t xml:space="preserve">is the average power of the constellation, </w:t>
      </w:r>
      <w:r w:rsidR="00316789" w:rsidRPr="009448FC">
        <w:rPr>
          <w:position w:val="-16"/>
        </w:rPr>
        <w:object w:dxaOrig="800" w:dyaOrig="440">
          <v:shape id="_x0000_i1158" type="#_x0000_t75" style="width:40.3pt;height:21.3pt" o:ole="">
            <v:imagedata r:id="rId364" o:title=""/>
          </v:shape>
          <o:OLEObject Type="Embed" ProgID="Equation.DSMT4" ShapeID="_x0000_i1158" DrawAspect="Content" ObjectID="_1334048339" r:id="rId365"/>
        </w:object>
      </w:r>
      <w:r w:rsidRPr="009448FC">
        <w:t>is the complex coordinates of the i</w:t>
      </w:r>
      <w:r w:rsidRPr="009448FC">
        <w:rPr>
          <w:sz w:val="16"/>
        </w:rPr>
        <w:t>th</w:t>
      </w:r>
      <w:r w:rsidRPr="009448FC">
        <w:t xml:space="preserve"> measured chip, and </w:t>
      </w:r>
      <w:r w:rsidR="00316789" w:rsidRPr="009448FC">
        <w:rPr>
          <w:position w:val="-14"/>
        </w:rPr>
        <w:object w:dxaOrig="740" w:dyaOrig="400">
          <v:shape id="_x0000_i1159" type="#_x0000_t75" style="width:37.6pt;height:20.4pt" o:ole="">
            <v:imagedata r:id="rId366" o:title=""/>
          </v:shape>
          <o:OLEObject Type="Embed" ProgID="Equation.DSMT4" ShapeID="_x0000_i1159" DrawAspect="Content" ObjectID="_1334048340" r:id="rId367"/>
        </w:object>
      </w:r>
      <w:r w:rsidR="00316789" w:rsidRPr="009448FC">
        <w:t xml:space="preserve"> </w:t>
      </w: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oMath>
      <w:r w:rsidRPr="009448FC">
        <w:t xml:space="preserve">is the complex coordinates of the </w:t>
      </w:r>
      <w:r w:rsidR="00C10C2F">
        <w:t xml:space="preserve">ideal </w:t>
      </w:r>
      <w:r w:rsidRPr="009448FC">
        <w:t>constellation point for the i</w:t>
      </w:r>
      <w:r w:rsidRPr="009448FC">
        <w:rPr>
          <w:sz w:val="14"/>
        </w:rPr>
        <w:t>th</w:t>
      </w:r>
      <w:r w:rsidRPr="009448FC">
        <w:t xml:space="preserve"> measured chip.</w:t>
      </w:r>
    </w:p>
    <w:p w:rsidR="00387412" w:rsidRPr="009448FC" w:rsidRDefault="00387412" w:rsidP="001E6075"/>
    <w:p w:rsidR="001E6075" w:rsidRPr="009448FC" w:rsidRDefault="001E6075" w:rsidP="001E6075">
      <w:r w:rsidRPr="009448FC">
        <w:t>The measuring device should have the accuracy of at least 20 dB better than the EVM value to be measured. The test equipment should use a root-raised cosine filter with roll-off factor of 0.25 for the pulse shaping filter when conducting EVM measurement.</w:t>
      </w:r>
    </w:p>
    <w:p w:rsidR="001E6075" w:rsidRDefault="0058161F" w:rsidP="001E6075">
      <w:r w:rsidRPr="00C314F2">
        <w:t>The transmit pulse shaping used is left to the implementer</w:t>
      </w:r>
      <w:r>
        <w:t>.</w:t>
      </w:r>
    </w:p>
    <w:p w:rsidR="0058161F" w:rsidRPr="009448FC" w:rsidRDefault="0058161F" w:rsidP="001E6075"/>
    <w:p w:rsidR="001E6075" w:rsidRPr="009448FC" w:rsidRDefault="001E6075" w:rsidP="00316789">
      <w:r w:rsidRPr="009448FC">
        <w:t xml:space="preserve">The EVM shall not exceed a data-rate dependent value according to </w:t>
      </w:r>
      <w:r w:rsidR="00BD151C">
        <w:fldChar w:fldCharType="begin"/>
      </w:r>
      <w:r w:rsidR="00316789">
        <w:instrText xml:space="preserve"> REF _Ref243029350 \h </w:instrText>
      </w:r>
      <w:r w:rsidR="00BD151C">
        <w:fldChar w:fldCharType="separate"/>
      </w:r>
      <w:r w:rsidR="003E4210" w:rsidRPr="00066F65">
        <w:t xml:space="preserve">Table </w:t>
      </w:r>
      <w:r w:rsidR="003E4210">
        <w:rPr>
          <w:noProof/>
        </w:rPr>
        <w:t>74</w:t>
      </w:r>
      <w:r w:rsidR="00BD151C">
        <w:fldChar w:fldCharType="end"/>
      </w:r>
      <w:r w:rsidR="00F437AB" w:rsidRPr="009448FC">
        <w:t>.</w:t>
      </w:r>
    </w:p>
    <w:p w:rsidR="001E6075" w:rsidRPr="009448FC" w:rsidRDefault="001E6075" w:rsidP="001E6075"/>
    <w:p w:rsidR="00316789" w:rsidRPr="00066F65" w:rsidRDefault="00316789" w:rsidP="009448FC">
      <w:pPr>
        <w:pStyle w:val="Caption"/>
        <w:keepNext/>
      </w:pPr>
      <w:bookmarkStart w:id="3300" w:name="_Ref243029350"/>
      <w:bookmarkStart w:id="3301" w:name="_Toc250654458"/>
      <w:bookmarkStart w:id="3302" w:name="_Toc259717652"/>
      <w:r w:rsidRPr="00066F65">
        <w:t xml:space="preserve">Table </w:t>
      </w:r>
      <w:r w:rsidR="00BD151C">
        <w:fldChar w:fldCharType="begin"/>
      </w:r>
      <w:r w:rsidR="00801316">
        <w:instrText xml:space="preserve"> SEQ Table \* ARABIC </w:instrText>
      </w:r>
      <w:r w:rsidR="00BD151C">
        <w:fldChar w:fldCharType="separate"/>
      </w:r>
      <w:r w:rsidR="003E4210">
        <w:rPr>
          <w:noProof/>
        </w:rPr>
        <w:t>74</w:t>
      </w:r>
      <w:r w:rsidR="00BD151C">
        <w:fldChar w:fldCharType="end"/>
      </w:r>
      <w:bookmarkEnd w:id="3300"/>
      <w:r w:rsidR="00784429" w:rsidRPr="00066F65">
        <w:rPr>
          <w:noProof/>
        </w:rPr>
        <w:t xml:space="preserve"> – </w:t>
      </w:r>
      <w:r w:rsidRPr="00066F65">
        <w:rPr>
          <w:noProof/>
        </w:rPr>
        <w:t>EVM requirement for control PHY</w:t>
      </w:r>
      <w:bookmarkEnd w:id="3301"/>
      <w:bookmarkEnd w:id="3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0"/>
        <w:gridCol w:w="2470"/>
        <w:gridCol w:w="2470"/>
      </w:tblGrid>
      <w:tr w:rsidR="001E6075" w:rsidRPr="00066F65" w:rsidTr="001E6075">
        <w:trPr>
          <w:trHeight w:val="302"/>
          <w:jc w:val="center"/>
        </w:trPr>
        <w:tc>
          <w:tcPr>
            <w:tcW w:w="2470" w:type="dxa"/>
          </w:tcPr>
          <w:p w:rsidR="001E6075" w:rsidRPr="009448FC" w:rsidRDefault="001E6075" w:rsidP="001E6075">
            <w:pPr>
              <w:jc w:val="center"/>
              <w:rPr>
                <w:b/>
              </w:rPr>
            </w:pPr>
            <w:r w:rsidRPr="009448FC">
              <w:rPr>
                <w:b/>
              </w:rPr>
              <w:t>MCS Index</w:t>
            </w:r>
          </w:p>
        </w:tc>
        <w:tc>
          <w:tcPr>
            <w:tcW w:w="2470" w:type="dxa"/>
          </w:tcPr>
          <w:p w:rsidR="001E6075" w:rsidRPr="009448FC" w:rsidRDefault="001E6075" w:rsidP="001E6075">
            <w:pPr>
              <w:jc w:val="center"/>
              <w:rPr>
                <w:b/>
              </w:rPr>
            </w:pPr>
            <w:r w:rsidRPr="009448FC">
              <w:rPr>
                <w:b/>
              </w:rPr>
              <w:t>Description</w:t>
            </w:r>
          </w:p>
        </w:tc>
        <w:tc>
          <w:tcPr>
            <w:tcW w:w="2470" w:type="dxa"/>
          </w:tcPr>
          <w:p w:rsidR="001E6075" w:rsidRPr="009448FC" w:rsidRDefault="001E6075" w:rsidP="001E6075">
            <w:pPr>
              <w:jc w:val="center"/>
              <w:rPr>
                <w:b/>
              </w:rPr>
            </w:pPr>
            <w:r w:rsidRPr="009448FC">
              <w:rPr>
                <w:b/>
              </w:rPr>
              <w:t>EVM Value [dB]</w:t>
            </w:r>
          </w:p>
        </w:tc>
      </w:tr>
      <w:tr w:rsidR="001E6075" w:rsidRPr="00066F65" w:rsidTr="001E6075">
        <w:trPr>
          <w:trHeight w:val="302"/>
          <w:jc w:val="center"/>
        </w:trPr>
        <w:tc>
          <w:tcPr>
            <w:tcW w:w="2470" w:type="dxa"/>
          </w:tcPr>
          <w:p w:rsidR="001E6075" w:rsidRPr="009448FC" w:rsidRDefault="001E6075" w:rsidP="001E6075">
            <w:pPr>
              <w:jc w:val="center"/>
            </w:pPr>
            <w:r w:rsidRPr="009448FC">
              <w:t>0</w:t>
            </w:r>
          </w:p>
        </w:tc>
        <w:tc>
          <w:tcPr>
            <w:tcW w:w="2470" w:type="dxa"/>
          </w:tcPr>
          <w:p w:rsidR="001E6075" w:rsidRPr="009448FC" w:rsidRDefault="001E6075" w:rsidP="001E6075">
            <w:pPr>
              <w:jc w:val="center"/>
            </w:pPr>
            <w:r w:rsidRPr="009448FC">
              <w:t>CP Modulation</w:t>
            </w:r>
          </w:p>
        </w:tc>
        <w:tc>
          <w:tcPr>
            <w:tcW w:w="2470" w:type="dxa"/>
          </w:tcPr>
          <w:p w:rsidR="001E6075" w:rsidRPr="009448FC" w:rsidRDefault="009A19B3" w:rsidP="001E6075">
            <w:pPr>
              <w:jc w:val="center"/>
            </w:pPr>
            <w:r w:rsidRPr="009448FC">
              <w:t xml:space="preserve">-6 </w:t>
            </w:r>
          </w:p>
        </w:tc>
      </w:tr>
    </w:tbl>
    <w:p w:rsidR="00316789" w:rsidRPr="009448FC" w:rsidRDefault="00316789" w:rsidP="00316789">
      <w:pPr>
        <w:pStyle w:val="NormalIndent"/>
      </w:pPr>
    </w:p>
    <w:p w:rsidR="004E2479" w:rsidRPr="009448FC" w:rsidRDefault="004E2479" w:rsidP="003701DB">
      <w:pPr>
        <w:pStyle w:val="Heading4"/>
        <w:numPr>
          <w:ilvl w:val="3"/>
          <w:numId w:val="42"/>
        </w:numPr>
      </w:pPr>
      <w:bookmarkStart w:id="3303" w:name="_Toc235400676"/>
      <w:bookmarkStart w:id="3304" w:name="_Toc259717356"/>
      <w:r w:rsidRPr="009448FC">
        <w:t>Rx Requirements</w:t>
      </w:r>
      <w:bookmarkEnd w:id="3303"/>
      <w:bookmarkEnd w:id="3304"/>
      <w:r w:rsidR="00316789" w:rsidRPr="009448FC">
        <w:t xml:space="preserve"> </w:t>
      </w:r>
    </w:p>
    <w:p w:rsidR="00316789" w:rsidRDefault="00316789" w:rsidP="00316789">
      <w:pPr>
        <w:rPr>
          <w:rFonts w:eastAsia="MS Mincho"/>
        </w:rPr>
      </w:pPr>
      <w:r w:rsidRPr="009448FC">
        <w:rPr>
          <w:rFonts w:eastAsia="MS Mincho"/>
        </w:rPr>
        <w:t>This section describes the performance requirement from the CP PHY receiver.</w:t>
      </w:r>
    </w:p>
    <w:p w:rsidR="00316789" w:rsidRPr="009448FC" w:rsidRDefault="00316789" w:rsidP="00316789">
      <w:pPr>
        <w:pStyle w:val="NormalIndent"/>
      </w:pPr>
    </w:p>
    <w:p w:rsidR="004E2479" w:rsidRDefault="004E2479" w:rsidP="003701DB">
      <w:pPr>
        <w:pStyle w:val="Heading5"/>
        <w:numPr>
          <w:ilvl w:val="4"/>
          <w:numId w:val="42"/>
        </w:numPr>
      </w:pPr>
      <w:bookmarkStart w:id="3305" w:name="_Toc235400679"/>
      <w:bookmarkStart w:id="3306" w:name="_Toc259717357"/>
      <w:r w:rsidRPr="009448FC">
        <w:t>CCA</w:t>
      </w:r>
      <w:bookmarkEnd w:id="3305"/>
      <w:bookmarkEnd w:id="3306"/>
    </w:p>
    <w:p w:rsidR="00BD6DCC" w:rsidRDefault="00BD6DCC" w:rsidP="00BD6DCC"/>
    <w:p w:rsidR="00BD6DCC" w:rsidRPr="00BD6DCC" w:rsidRDefault="00BD6DCC" w:rsidP="00BD6DCC">
      <w:r w:rsidRPr="009448FC">
        <w:t xml:space="preserve">The start of a valid mmWave </w:t>
      </w:r>
      <w:r>
        <w:t xml:space="preserve">Control </w:t>
      </w:r>
      <w:r w:rsidRPr="009448FC">
        <w:t xml:space="preserve">PHY transmission at a receive level greater than the minimum sensitivity for </w:t>
      </w:r>
      <w:r>
        <w:t>control PHY</w:t>
      </w:r>
      <w:r w:rsidRPr="009448FC">
        <w:t xml:space="preserve"> (-</w:t>
      </w:r>
      <w:r>
        <w:t>7</w:t>
      </w:r>
      <w:r w:rsidRPr="009448FC">
        <w:t>8dBm), shall cause CCA to indicate busy with a probability &gt;</w:t>
      </w:r>
      <w:r w:rsidR="000A4EA9">
        <w:t xml:space="preserve"> </w:t>
      </w:r>
      <w:r w:rsidRPr="009448FC">
        <w:t xml:space="preserve">90% within </w:t>
      </w:r>
      <w:r>
        <w:t>3</w:t>
      </w:r>
      <w:r w:rsidRPr="009448FC">
        <w:t>usec.</w:t>
      </w:r>
      <w:r w:rsidR="005515A4">
        <w:t xml:space="preserve"> </w:t>
      </w:r>
    </w:p>
    <w:p w:rsidR="00FB13BF" w:rsidRPr="009448FC" w:rsidRDefault="00FB13BF" w:rsidP="00FB13BF">
      <w:pPr>
        <w:pStyle w:val="NormalIndent"/>
      </w:pPr>
    </w:p>
    <w:p w:rsidR="00FB13BF" w:rsidRPr="00066F65" w:rsidRDefault="008A192B" w:rsidP="003701DB">
      <w:pPr>
        <w:pStyle w:val="Heading2"/>
        <w:numPr>
          <w:ilvl w:val="1"/>
          <w:numId w:val="42"/>
        </w:numPr>
        <w:rPr>
          <w:lang w:eastAsia="ja-JP"/>
        </w:rPr>
      </w:pPr>
      <w:bookmarkStart w:id="3307" w:name="_Toc235400681"/>
      <w:bookmarkStart w:id="3308" w:name="_Ref243723935"/>
      <w:bookmarkStart w:id="3309" w:name="_Toc259717358"/>
      <w:r w:rsidRPr="00066F65">
        <w:rPr>
          <w:lang w:eastAsia="ja-JP"/>
        </w:rPr>
        <w:lastRenderedPageBreak/>
        <w:t xml:space="preserve">mmWave </w:t>
      </w:r>
      <w:r w:rsidR="00FB13BF" w:rsidRPr="00066F65">
        <w:rPr>
          <w:lang w:eastAsia="ja-JP"/>
        </w:rPr>
        <w:t>OFDM PHY</w:t>
      </w:r>
      <w:bookmarkEnd w:id="3307"/>
      <w:bookmarkEnd w:id="3308"/>
      <w:bookmarkEnd w:id="3309"/>
    </w:p>
    <w:p w:rsidR="00FB13BF" w:rsidRPr="009448FC" w:rsidRDefault="00FB13BF" w:rsidP="003701DB">
      <w:pPr>
        <w:pStyle w:val="Heading3"/>
        <w:numPr>
          <w:ilvl w:val="2"/>
          <w:numId w:val="42"/>
        </w:numPr>
      </w:pPr>
      <w:bookmarkStart w:id="3310" w:name="_Toc235400682"/>
      <w:bookmarkStart w:id="3311" w:name="_Toc259717359"/>
      <w:r w:rsidRPr="009448FC">
        <w:t>Introduction</w:t>
      </w:r>
      <w:bookmarkEnd w:id="3310"/>
      <w:bookmarkEnd w:id="3311"/>
    </w:p>
    <w:p w:rsidR="00B243B6" w:rsidRDefault="00B243B6" w:rsidP="003701DB">
      <w:pPr>
        <w:pStyle w:val="Heading3"/>
        <w:numPr>
          <w:ilvl w:val="2"/>
          <w:numId w:val="42"/>
        </w:numPr>
      </w:pPr>
      <w:bookmarkStart w:id="3312" w:name="_Toc233430687"/>
      <w:bookmarkStart w:id="3313" w:name="_Toc233432819"/>
      <w:bookmarkStart w:id="3314" w:name="_Toc234224824"/>
      <w:bookmarkStart w:id="3315" w:name="_Toc234225447"/>
      <w:bookmarkStart w:id="3316" w:name="_Toc235391026"/>
      <w:bookmarkStart w:id="3317" w:name="_Toc235393224"/>
      <w:bookmarkStart w:id="3318" w:name="_Toc235394436"/>
      <w:bookmarkStart w:id="3319" w:name="_Toc235400683"/>
      <w:bookmarkStart w:id="3320" w:name="_Toc236397105"/>
      <w:bookmarkStart w:id="3321" w:name="_Toc201721941"/>
      <w:bookmarkStart w:id="3322" w:name="_Toc206227681"/>
      <w:bookmarkStart w:id="3323" w:name="_Toc206415628"/>
      <w:bookmarkStart w:id="3324" w:name="_Toc206418435"/>
      <w:bookmarkStart w:id="3325" w:name="_Toc207099190"/>
      <w:bookmarkStart w:id="3326" w:name="_Toc207099795"/>
      <w:bookmarkStart w:id="3327" w:name="_Toc207100714"/>
      <w:bookmarkStart w:id="3328" w:name="_Toc207348636"/>
      <w:bookmarkStart w:id="3329" w:name="_Toc215582994"/>
      <w:bookmarkStart w:id="3330" w:name="_Toc235400691"/>
      <w:bookmarkStart w:id="3331" w:name="_Toc259717360"/>
      <w:bookmarkEnd w:id="3245"/>
      <w:bookmarkEnd w:id="3246"/>
      <w:bookmarkEnd w:id="3247"/>
      <w:bookmarkEnd w:id="3248"/>
      <w:bookmarkEnd w:id="3249"/>
      <w:bookmarkEnd w:id="3250"/>
      <w:bookmarkEnd w:id="3251"/>
      <w:bookmarkEnd w:id="3252"/>
      <w:bookmarkEnd w:id="3253"/>
      <w:bookmarkEnd w:id="3254"/>
      <w:bookmarkEnd w:id="3312"/>
      <w:bookmarkEnd w:id="3313"/>
      <w:bookmarkEnd w:id="3314"/>
      <w:bookmarkEnd w:id="3315"/>
      <w:bookmarkEnd w:id="3316"/>
      <w:bookmarkEnd w:id="3317"/>
      <w:bookmarkEnd w:id="3318"/>
      <w:bookmarkEnd w:id="3319"/>
      <w:bookmarkEnd w:id="3320"/>
      <w:r w:rsidRPr="009448FC">
        <w:t>Frame Format</w:t>
      </w:r>
      <w:bookmarkEnd w:id="3321"/>
      <w:bookmarkEnd w:id="3322"/>
      <w:bookmarkEnd w:id="3323"/>
      <w:bookmarkEnd w:id="3324"/>
      <w:bookmarkEnd w:id="3325"/>
      <w:bookmarkEnd w:id="3326"/>
      <w:bookmarkEnd w:id="3327"/>
      <w:bookmarkEnd w:id="3328"/>
      <w:bookmarkEnd w:id="3329"/>
      <w:bookmarkEnd w:id="3330"/>
      <w:bookmarkEnd w:id="3331"/>
    </w:p>
    <w:p w:rsidR="006D4086" w:rsidRDefault="006D4086" w:rsidP="00970962">
      <w:r>
        <w:t xml:space="preserve">The </w:t>
      </w:r>
      <w:r w:rsidRPr="00970962">
        <w:t>OFDM frame is composed of the Short Training Field (STF), the channel estimation field (CE), the</w:t>
      </w:r>
      <w:r>
        <w:t xml:space="preserve"> Header, OFDM symbols and optional training fields, as shown in </w:t>
      </w:r>
      <w:fldSimple w:instr=" REF _Ref254886058 \h  \* MERGEFORMAT ">
        <w:r w:rsidR="003E4210">
          <w:t>Figure 139</w:t>
        </w:r>
      </w:fldSimple>
      <w:r w:rsidR="004007C0">
        <w:t>.</w:t>
      </w:r>
    </w:p>
    <w:p w:rsidR="004007C0" w:rsidRDefault="004007C0" w:rsidP="00970962"/>
    <w:p w:rsidR="006D4086" w:rsidRDefault="00D05D1B" w:rsidP="00970962">
      <w:pPr>
        <w:jc w:val="center"/>
      </w:pPr>
      <w:r>
        <w:object w:dxaOrig="9272" w:dyaOrig="343">
          <v:shape id="_x0000_i1160" type="#_x0000_t75" style="width:464.15pt;height:17.65pt" o:ole="">
            <v:imagedata r:id="rId368" o:title=""/>
          </v:shape>
          <o:OLEObject Type="Embed" ProgID="Visio.Drawing.11" ShapeID="_x0000_i1160" DrawAspect="Content" ObjectID="_1334048341" r:id="rId369"/>
        </w:object>
      </w:r>
    </w:p>
    <w:p w:rsidR="006D4086" w:rsidRPr="0091784F" w:rsidRDefault="006D4086" w:rsidP="00970962">
      <w:pPr>
        <w:pStyle w:val="Caption"/>
      </w:pPr>
      <w:bookmarkStart w:id="3332" w:name="_Ref254886058"/>
      <w:bookmarkStart w:id="3333" w:name="_Toc259717571"/>
      <w:r>
        <w:t xml:space="preserve">Figure </w:t>
      </w:r>
      <w:r w:rsidR="00BD151C">
        <w:fldChar w:fldCharType="begin"/>
      </w:r>
      <w:r w:rsidR="00801316">
        <w:instrText xml:space="preserve"> SEQ Figure \* ARABIC </w:instrText>
      </w:r>
      <w:r w:rsidR="00BD151C">
        <w:fldChar w:fldCharType="separate"/>
      </w:r>
      <w:r w:rsidR="003E4210">
        <w:rPr>
          <w:noProof/>
        </w:rPr>
        <w:t>139</w:t>
      </w:r>
      <w:r w:rsidR="00BD151C">
        <w:fldChar w:fldCharType="end"/>
      </w:r>
      <w:bookmarkEnd w:id="3332"/>
      <w:r w:rsidR="004007C0">
        <w:rPr>
          <w:noProof/>
        </w:rPr>
        <w:t xml:space="preserve"> – </w:t>
      </w:r>
      <w:r>
        <w:rPr>
          <w:noProof/>
        </w:rPr>
        <w:t>OFDM frame format</w:t>
      </w:r>
      <w:bookmarkEnd w:id="3333"/>
    </w:p>
    <w:p w:rsidR="006D4086" w:rsidRPr="006D4086" w:rsidRDefault="006D4086" w:rsidP="006D4086"/>
    <w:p w:rsidR="00B243B6" w:rsidRPr="009448FC" w:rsidRDefault="00B243B6" w:rsidP="003701DB">
      <w:pPr>
        <w:pStyle w:val="Heading3"/>
        <w:numPr>
          <w:ilvl w:val="2"/>
          <w:numId w:val="42"/>
        </w:numPr>
      </w:pPr>
      <w:bookmarkStart w:id="3334" w:name="_Toc201721942"/>
      <w:bookmarkStart w:id="3335" w:name="_Toc206227682"/>
      <w:bookmarkStart w:id="3336" w:name="_Toc206415629"/>
      <w:bookmarkStart w:id="3337" w:name="_Toc206418436"/>
      <w:bookmarkStart w:id="3338" w:name="_Toc207099191"/>
      <w:bookmarkStart w:id="3339" w:name="_Toc207099796"/>
      <w:bookmarkStart w:id="3340" w:name="_Toc207100715"/>
      <w:bookmarkStart w:id="3341" w:name="_Toc207348637"/>
      <w:bookmarkStart w:id="3342" w:name="_Toc215582995"/>
      <w:bookmarkStart w:id="3343" w:name="_Toc235400692"/>
      <w:bookmarkStart w:id="3344" w:name="_Toc259717361"/>
      <w:r w:rsidRPr="009448FC">
        <w:t>Transmission</w:t>
      </w:r>
      <w:bookmarkEnd w:id="3334"/>
      <w:bookmarkEnd w:id="3335"/>
      <w:bookmarkEnd w:id="3336"/>
      <w:bookmarkEnd w:id="3337"/>
      <w:bookmarkEnd w:id="3338"/>
      <w:bookmarkEnd w:id="3339"/>
      <w:bookmarkEnd w:id="3340"/>
      <w:bookmarkEnd w:id="3341"/>
      <w:bookmarkEnd w:id="3342"/>
      <w:bookmarkEnd w:id="3343"/>
      <w:bookmarkEnd w:id="3344"/>
    </w:p>
    <w:p w:rsidR="00C024E7" w:rsidRPr="009448FC" w:rsidRDefault="00C024E7" w:rsidP="003701DB">
      <w:pPr>
        <w:pStyle w:val="Heading4"/>
        <w:numPr>
          <w:ilvl w:val="3"/>
          <w:numId w:val="42"/>
        </w:numPr>
      </w:pPr>
      <w:bookmarkStart w:id="3345" w:name="_Toc215583001"/>
      <w:bookmarkStart w:id="3346" w:name="_Toc235400693"/>
      <w:bookmarkStart w:id="3347" w:name="_Toc259717362"/>
      <w:bookmarkStart w:id="3348" w:name="_Toc201721947"/>
      <w:bookmarkStart w:id="3349" w:name="_Toc206227687"/>
      <w:bookmarkStart w:id="3350" w:name="_Toc206415634"/>
      <w:bookmarkStart w:id="3351" w:name="_Toc206418441"/>
      <w:bookmarkStart w:id="3352" w:name="_Toc207099196"/>
      <w:bookmarkStart w:id="3353" w:name="_Toc207099801"/>
      <w:bookmarkStart w:id="3354" w:name="_Toc207100720"/>
      <w:bookmarkStart w:id="3355" w:name="_Toc207348642"/>
      <w:r w:rsidRPr="009448FC">
        <w:t>PLCP Header</w:t>
      </w:r>
      <w:bookmarkEnd w:id="3345"/>
      <w:bookmarkEnd w:id="3346"/>
      <w:bookmarkEnd w:id="3347"/>
    </w:p>
    <w:p w:rsidR="00C024E7" w:rsidRPr="009448FC" w:rsidRDefault="00C024E7" w:rsidP="00C024E7">
      <w:r w:rsidRPr="009448FC">
        <w:t>In the OFDM PHY, the preamble is followed by the PLCP header.</w:t>
      </w:r>
      <w:r w:rsidR="00281486" w:rsidRPr="009448FC">
        <w:t xml:space="preserve"> </w:t>
      </w:r>
      <w:r w:rsidRPr="009448FC">
        <w:t>The PLCP header consists of several fields which define the details of the PPDU being transmitted.</w:t>
      </w:r>
      <w:r w:rsidR="00281486" w:rsidRPr="009448FC">
        <w:t xml:space="preserve"> </w:t>
      </w:r>
      <w:r w:rsidRPr="009448FC">
        <w:t>The encoding and modulation of the header is described in subclause</w:t>
      </w:r>
      <w:r w:rsidR="00281486" w:rsidRPr="009448FC">
        <w:t xml:space="preserve"> </w:t>
      </w:r>
      <w:fldSimple w:instr=" REF _Ref207349498 \r \h  \* MERGEFORMAT ">
        <w:r w:rsidR="003E4210">
          <w:t>21.5.3.1.3</w:t>
        </w:r>
      </w:fldSimple>
      <w:r w:rsidRPr="009448FC">
        <w:t>.</w:t>
      </w:r>
    </w:p>
    <w:p w:rsidR="00C458A7" w:rsidRPr="009448FC" w:rsidRDefault="00C458A7" w:rsidP="00C024E7"/>
    <w:p w:rsidR="00C024E7" w:rsidRPr="009448FC" w:rsidRDefault="00C024E7" w:rsidP="0091073E">
      <w:pPr>
        <w:outlineLvl w:val="0"/>
      </w:pPr>
      <w:r w:rsidRPr="009448FC">
        <w:t xml:space="preserve">The header fields are described in </w:t>
      </w:r>
      <w:fldSimple w:instr=" REF _Ref207352135 \h  \* MERGEFORMAT ">
        <w:r w:rsidR="003E4210" w:rsidRPr="00066F65">
          <w:t xml:space="preserve">Table </w:t>
        </w:r>
        <w:r w:rsidR="003E4210">
          <w:rPr>
            <w:noProof/>
          </w:rPr>
          <w:t>75</w:t>
        </w:r>
      </w:fldSimple>
      <w:r w:rsidRPr="009448FC">
        <w:t>.</w:t>
      </w:r>
    </w:p>
    <w:p w:rsidR="00C024E7" w:rsidRPr="009448FC" w:rsidRDefault="00C024E7" w:rsidP="00C024E7"/>
    <w:p w:rsidR="00C024E7" w:rsidRPr="00066F65" w:rsidRDefault="00C024E7" w:rsidP="009448FC">
      <w:pPr>
        <w:pStyle w:val="Caption"/>
        <w:keepNext/>
        <w:outlineLvl w:val="0"/>
      </w:pPr>
      <w:bookmarkStart w:id="3356" w:name="_Ref207352135"/>
      <w:bookmarkStart w:id="3357" w:name="_Toc225065790"/>
      <w:bookmarkStart w:id="3358" w:name="_Toc250654460"/>
      <w:bookmarkStart w:id="3359" w:name="_Toc259717653"/>
      <w:r w:rsidRPr="00066F65">
        <w:t>Table</w:t>
      </w:r>
      <w:r w:rsidR="00EE1100" w:rsidRPr="00066F65">
        <w:t xml:space="preserve"> </w:t>
      </w:r>
      <w:r w:rsidR="00BD151C">
        <w:fldChar w:fldCharType="begin"/>
      </w:r>
      <w:r w:rsidR="00801316">
        <w:instrText xml:space="preserve"> SEQ Table \* ARABIC </w:instrText>
      </w:r>
      <w:r w:rsidR="00BD151C">
        <w:fldChar w:fldCharType="separate"/>
      </w:r>
      <w:r w:rsidR="003E4210">
        <w:rPr>
          <w:noProof/>
        </w:rPr>
        <w:t>75</w:t>
      </w:r>
      <w:r w:rsidR="00BD151C">
        <w:fldChar w:fldCharType="end"/>
      </w:r>
      <w:bookmarkEnd w:id="3356"/>
      <w:r w:rsidRPr="00066F65">
        <w:t xml:space="preserve"> </w:t>
      </w:r>
      <w:r w:rsidR="00784429" w:rsidRPr="00066F65">
        <w:t xml:space="preserve">– </w:t>
      </w:r>
      <w:r w:rsidRPr="00066F65">
        <w:t xml:space="preserve">Header </w:t>
      </w:r>
      <w:r w:rsidR="00293BD2">
        <w:t>f</w:t>
      </w:r>
      <w:r w:rsidRPr="00066F65">
        <w:t>ields</w:t>
      </w:r>
      <w:bookmarkEnd w:id="3357"/>
      <w:bookmarkEnd w:id="3358"/>
      <w:bookmarkEnd w:id="3359"/>
      <w:r w:rsidR="00970962">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58"/>
        <w:gridCol w:w="1131"/>
        <w:gridCol w:w="757"/>
        <w:gridCol w:w="6670"/>
      </w:tblGrid>
      <w:tr w:rsidR="00C024E7" w:rsidRPr="00066F65" w:rsidTr="003C282E">
        <w:trPr>
          <w:trHeight w:val="540"/>
        </w:trPr>
        <w:tc>
          <w:tcPr>
            <w:tcW w:w="0" w:type="auto"/>
            <w:shd w:val="clear" w:color="auto" w:fill="auto"/>
          </w:tcPr>
          <w:p w:rsidR="00C024E7" w:rsidRPr="007A6553" w:rsidRDefault="00C024E7" w:rsidP="000C1C55">
            <w:pPr>
              <w:rPr>
                <w:b/>
                <w:sz w:val="20"/>
              </w:rPr>
            </w:pPr>
            <w:r w:rsidRPr="007A6553">
              <w:rPr>
                <w:b/>
                <w:sz w:val="20"/>
              </w:rPr>
              <w:t>Field Name</w:t>
            </w:r>
          </w:p>
        </w:tc>
        <w:tc>
          <w:tcPr>
            <w:tcW w:w="0" w:type="auto"/>
            <w:shd w:val="clear" w:color="auto" w:fill="auto"/>
          </w:tcPr>
          <w:p w:rsidR="00C024E7" w:rsidRPr="007A6553" w:rsidRDefault="00C024E7" w:rsidP="000C1C55">
            <w:pPr>
              <w:rPr>
                <w:b/>
                <w:sz w:val="20"/>
              </w:rPr>
            </w:pPr>
            <w:r w:rsidRPr="007A6553">
              <w:rPr>
                <w:b/>
                <w:sz w:val="20"/>
              </w:rPr>
              <w:t>Number of bits</w:t>
            </w:r>
          </w:p>
        </w:tc>
        <w:tc>
          <w:tcPr>
            <w:tcW w:w="0" w:type="auto"/>
            <w:shd w:val="clear" w:color="auto" w:fill="auto"/>
          </w:tcPr>
          <w:p w:rsidR="00C024E7" w:rsidRPr="007A6553" w:rsidRDefault="00C024E7" w:rsidP="000C1C55">
            <w:pPr>
              <w:rPr>
                <w:b/>
                <w:sz w:val="20"/>
              </w:rPr>
            </w:pPr>
            <w:r w:rsidRPr="007A6553">
              <w:rPr>
                <w:b/>
                <w:sz w:val="20"/>
              </w:rPr>
              <w:t>Start Bit</w:t>
            </w:r>
          </w:p>
        </w:tc>
        <w:tc>
          <w:tcPr>
            <w:tcW w:w="0" w:type="auto"/>
            <w:shd w:val="clear" w:color="auto" w:fill="auto"/>
          </w:tcPr>
          <w:p w:rsidR="00C024E7" w:rsidRPr="007A6553" w:rsidRDefault="00C024E7" w:rsidP="000C1C55">
            <w:pPr>
              <w:rPr>
                <w:b/>
                <w:sz w:val="20"/>
              </w:rPr>
            </w:pPr>
            <w:r w:rsidRPr="007A6553">
              <w:rPr>
                <w:b/>
                <w:sz w:val="20"/>
              </w:rPr>
              <w:t>Description</w:t>
            </w:r>
          </w:p>
        </w:tc>
      </w:tr>
      <w:tr w:rsidR="00C024E7" w:rsidRPr="00066F65" w:rsidTr="003C282E">
        <w:trPr>
          <w:trHeight w:val="525"/>
        </w:trPr>
        <w:tc>
          <w:tcPr>
            <w:tcW w:w="0" w:type="auto"/>
            <w:shd w:val="clear" w:color="auto" w:fill="auto"/>
          </w:tcPr>
          <w:p w:rsidR="00C024E7" w:rsidRPr="009448FC" w:rsidRDefault="00C024E7" w:rsidP="000C1C55">
            <w:pPr>
              <w:rPr>
                <w:sz w:val="20"/>
              </w:rPr>
            </w:pPr>
            <w:r w:rsidRPr="009448FC">
              <w:rPr>
                <w:sz w:val="20"/>
              </w:rPr>
              <w:t>Scrambler Initialization</w:t>
            </w:r>
          </w:p>
        </w:tc>
        <w:tc>
          <w:tcPr>
            <w:tcW w:w="0" w:type="auto"/>
            <w:shd w:val="clear" w:color="auto" w:fill="auto"/>
          </w:tcPr>
          <w:p w:rsidR="00C024E7" w:rsidRPr="009448FC" w:rsidRDefault="00C024E7" w:rsidP="000C1C55">
            <w:pPr>
              <w:jc w:val="right"/>
              <w:rPr>
                <w:sz w:val="20"/>
              </w:rPr>
            </w:pPr>
            <w:r w:rsidRPr="009448FC">
              <w:rPr>
                <w:sz w:val="20"/>
              </w:rPr>
              <w:t>7</w:t>
            </w:r>
          </w:p>
        </w:tc>
        <w:tc>
          <w:tcPr>
            <w:tcW w:w="0" w:type="auto"/>
            <w:shd w:val="clear" w:color="auto" w:fill="auto"/>
          </w:tcPr>
          <w:p w:rsidR="00C024E7" w:rsidRPr="009448FC" w:rsidRDefault="00C024E7" w:rsidP="000C1C55">
            <w:pPr>
              <w:jc w:val="right"/>
              <w:rPr>
                <w:sz w:val="20"/>
              </w:rPr>
            </w:pPr>
            <w:r w:rsidRPr="009448FC">
              <w:rPr>
                <w:sz w:val="20"/>
              </w:rPr>
              <w:t>0</w:t>
            </w:r>
          </w:p>
        </w:tc>
        <w:tc>
          <w:tcPr>
            <w:tcW w:w="0" w:type="auto"/>
            <w:shd w:val="clear" w:color="auto" w:fill="auto"/>
          </w:tcPr>
          <w:p w:rsidR="00C024E7" w:rsidRPr="009448FC" w:rsidRDefault="00C024E7" w:rsidP="000C1C55">
            <w:pPr>
              <w:rPr>
                <w:sz w:val="20"/>
              </w:rPr>
            </w:pPr>
            <w:r w:rsidRPr="009448FC">
              <w:rPr>
                <w:sz w:val="20"/>
              </w:rPr>
              <w:t>bits X1-X7 of the initial scrambler state.</w:t>
            </w:r>
            <w:r w:rsidR="00281486" w:rsidRPr="009448FC">
              <w:rPr>
                <w:sz w:val="20"/>
              </w:rPr>
              <w:t xml:space="preserve"> </w:t>
            </w:r>
          </w:p>
        </w:tc>
      </w:tr>
      <w:tr w:rsidR="00C024E7" w:rsidRPr="00066F65" w:rsidTr="003C282E">
        <w:trPr>
          <w:trHeight w:val="510"/>
        </w:trPr>
        <w:tc>
          <w:tcPr>
            <w:tcW w:w="0" w:type="auto"/>
            <w:shd w:val="clear" w:color="auto" w:fill="auto"/>
          </w:tcPr>
          <w:p w:rsidR="00C024E7" w:rsidRPr="009448FC" w:rsidRDefault="00C024E7" w:rsidP="000C1C55">
            <w:pPr>
              <w:rPr>
                <w:sz w:val="20"/>
              </w:rPr>
            </w:pPr>
            <w:r w:rsidRPr="009448FC">
              <w:rPr>
                <w:sz w:val="20"/>
              </w:rPr>
              <w:t>MCS</w:t>
            </w:r>
          </w:p>
        </w:tc>
        <w:tc>
          <w:tcPr>
            <w:tcW w:w="0" w:type="auto"/>
            <w:shd w:val="clear" w:color="auto" w:fill="auto"/>
          </w:tcPr>
          <w:p w:rsidR="00C024E7" w:rsidRPr="009448FC" w:rsidRDefault="00C024E7" w:rsidP="000C1C55">
            <w:pPr>
              <w:jc w:val="right"/>
              <w:rPr>
                <w:sz w:val="20"/>
              </w:rPr>
            </w:pPr>
            <w:r w:rsidRPr="009448FC">
              <w:rPr>
                <w:sz w:val="20"/>
              </w:rPr>
              <w:t>5</w:t>
            </w:r>
          </w:p>
        </w:tc>
        <w:tc>
          <w:tcPr>
            <w:tcW w:w="0" w:type="auto"/>
            <w:shd w:val="clear" w:color="auto" w:fill="auto"/>
          </w:tcPr>
          <w:p w:rsidR="00C024E7" w:rsidRPr="009448FC" w:rsidRDefault="00C024E7" w:rsidP="000C1C55">
            <w:pPr>
              <w:jc w:val="right"/>
              <w:rPr>
                <w:sz w:val="20"/>
              </w:rPr>
            </w:pPr>
            <w:r w:rsidRPr="009448FC">
              <w:rPr>
                <w:sz w:val="20"/>
              </w:rPr>
              <w:t>7</w:t>
            </w:r>
          </w:p>
        </w:tc>
        <w:tc>
          <w:tcPr>
            <w:tcW w:w="0" w:type="auto"/>
            <w:shd w:val="clear" w:color="auto" w:fill="auto"/>
          </w:tcPr>
          <w:p w:rsidR="00C024E7" w:rsidRPr="009448FC" w:rsidRDefault="00C024E7" w:rsidP="000C1C55">
            <w:pPr>
              <w:rPr>
                <w:sz w:val="20"/>
              </w:rPr>
            </w:pPr>
            <w:r w:rsidRPr="009448FC">
              <w:rPr>
                <w:sz w:val="20"/>
              </w:rPr>
              <w:t>Index into the Modulation and Coding Scheme table</w:t>
            </w:r>
          </w:p>
        </w:tc>
      </w:tr>
      <w:tr w:rsidR="00C024E7" w:rsidRPr="00066F65" w:rsidTr="003C282E">
        <w:trPr>
          <w:trHeight w:val="480"/>
        </w:trPr>
        <w:tc>
          <w:tcPr>
            <w:tcW w:w="0" w:type="auto"/>
            <w:shd w:val="clear" w:color="auto" w:fill="auto"/>
          </w:tcPr>
          <w:p w:rsidR="00C024E7" w:rsidRPr="009448FC" w:rsidRDefault="00C024E7" w:rsidP="000C1C55">
            <w:pPr>
              <w:rPr>
                <w:sz w:val="20"/>
              </w:rPr>
            </w:pPr>
            <w:r w:rsidRPr="009448FC">
              <w:rPr>
                <w:sz w:val="20"/>
              </w:rPr>
              <w:t>Length</w:t>
            </w:r>
          </w:p>
        </w:tc>
        <w:tc>
          <w:tcPr>
            <w:tcW w:w="0" w:type="auto"/>
            <w:shd w:val="clear" w:color="auto" w:fill="auto"/>
          </w:tcPr>
          <w:p w:rsidR="00C024E7" w:rsidRPr="009448FC" w:rsidRDefault="00C024E7" w:rsidP="000C1C55">
            <w:pPr>
              <w:jc w:val="right"/>
              <w:rPr>
                <w:sz w:val="20"/>
              </w:rPr>
            </w:pPr>
            <w:r w:rsidRPr="009448FC">
              <w:rPr>
                <w:sz w:val="20"/>
              </w:rPr>
              <w:t>18</w:t>
            </w:r>
          </w:p>
        </w:tc>
        <w:tc>
          <w:tcPr>
            <w:tcW w:w="0" w:type="auto"/>
            <w:shd w:val="clear" w:color="auto" w:fill="auto"/>
          </w:tcPr>
          <w:p w:rsidR="00C024E7" w:rsidRPr="009448FC" w:rsidRDefault="00C024E7" w:rsidP="000C1C55">
            <w:pPr>
              <w:jc w:val="right"/>
              <w:rPr>
                <w:sz w:val="20"/>
              </w:rPr>
            </w:pPr>
            <w:r w:rsidRPr="009448FC">
              <w:rPr>
                <w:sz w:val="20"/>
              </w:rPr>
              <w:t>12</w:t>
            </w:r>
          </w:p>
        </w:tc>
        <w:tc>
          <w:tcPr>
            <w:tcW w:w="0" w:type="auto"/>
            <w:shd w:val="clear" w:color="auto" w:fill="auto"/>
          </w:tcPr>
          <w:p w:rsidR="00C024E7" w:rsidRPr="009448FC" w:rsidRDefault="00C024E7" w:rsidP="000C1C55">
            <w:pPr>
              <w:rPr>
                <w:sz w:val="20"/>
              </w:rPr>
            </w:pPr>
            <w:r w:rsidRPr="009448FC">
              <w:rPr>
                <w:sz w:val="20"/>
              </w:rPr>
              <w:t>Number of data octets in the PSDU.</w:t>
            </w:r>
            <w:r w:rsidR="00281486" w:rsidRPr="009448FC">
              <w:rPr>
                <w:sz w:val="20"/>
              </w:rPr>
              <w:t xml:space="preserve"> </w:t>
            </w:r>
            <w:r w:rsidRPr="009448FC">
              <w:rPr>
                <w:sz w:val="20"/>
              </w:rPr>
              <w:t>Range 0-262143</w:t>
            </w:r>
            <w:r w:rsidR="00DF54A1">
              <w:rPr>
                <w:sz w:val="20"/>
              </w:rPr>
              <w:t>.</w:t>
            </w:r>
          </w:p>
        </w:tc>
      </w:tr>
      <w:tr w:rsidR="00C024E7" w:rsidRPr="00066F65" w:rsidTr="003C282E">
        <w:trPr>
          <w:trHeight w:val="714"/>
        </w:trPr>
        <w:tc>
          <w:tcPr>
            <w:tcW w:w="0" w:type="auto"/>
            <w:shd w:val="clear" w:color="auto" w:fill="auto"/>
          </w:tcPr>
          <w:p w:rsidR="00C024E7" w:rsidRPr="009448FC" w:rsidRDefault="00C024E7" w:rsidP="000C1C55">
            <w:pPr>
              <w:rPr>
                <w:sz w:val="20"/>
              </w:rPr>
            </w:pPr>
            <w:r w:rsidRPr="009448FC">
              <w:rPr>
                <w:sz w:val="20"/>
              </w:rPr>
              <w:t>Additional PPDU</w:t>
            </w:r>
          </w:p>
        </w:tc>
        <w:tc>
          <w:tcPr>
            <w:tcW w:w="0" w:type="auto"/>
            <w:shd w:val="clear" w:color="auto" w:fill="auto"/>
          </w:tcPr>
          <w:p w:rsidR="00C024E7" w:rsidRPr="009448FC" w:rsidRDefault="00C024E7" w:rsidP="000C1C55">
            <w:pPr>
              <w:jc w:val="right"/>
              <w:rPr>
                <w:sz w:val="20"/>
              </w:rPr>
            </w:pPr>
            <w:r w:rsidRPr="009448FC">
              <w:rPr>
                <w:sz w:val="20"/>
              </w:rPr>
              <w:t>1</w:t>
            </w:r>
          </w:p>
        </w:tc>
        <w:tc>
          <w:tcPr>
            <w:tcW w:w="0" w:type="auto"/>
            <w:shd w:val="clear" w:color="auto" w:fill="auto"/>
          </w:tcPr>
          <w:p w:rsidR="00C024E7" w:rsidRPr="009448FC" w:rsidRDefault="00C024E7" w:rsidP="000C1C55">
            <w:pPr>
              <w:jc w:val="right"/>
              <w:rPr>
                <w:sz w:val="20"/>
              </w:rPr>
            </w:pPr>
            <w:r w:rsidRPr="009448FC">
              <w:rPr>
                <w:sz w:val="20"/>
              </w:rPr>
              <w:t>3</w:t>
            </w:r>
            <w:r w:rsidR="00480552" w:rsidRPr="009448FC">
              <w:rPr>
                <w:sz w:val="20"/>
              </w:rPr>
              <w:t>0</w:t>
            </w:r>
          </w:p>
        </w:tc>
        <w:tc>
          <w:tcPr>
            <w:tcW w:w="0" w:type="auto"/>
            <w:shd w:val="clear" w:color="auto" w:fill="auto"/>
            <w:vAlign w:val="bottom"/>
          </w:tcPr>
          <w:p w:rsidR="00C024E7" w:rsidRPr="009448FC" w:rsidRDefault="00C024E7" w:rsidP="00DF54A1">
            <w:pPr>
              <w:rPr>
                <w:sz w:val="20"/>
              </w:rPr>
            </w:pPr>
            <w:r w:rsidRPr="009448FC">
              <w:rPr>
                <w:sz w:val="20"/>
              </w:rPr>
              <w:t xml:space="preserve">A value of 1 </w:t>
            </w:r>
            <w:r w:rsidR="00DF54A1">
              <w:rPr>
                <w:sz w:val="20"/>
              </w:rPr>
              <w:t>i</w:t>
            </w:r>
            <w:r w:rsidRPr="009448FC">
              <w:rPr>
                <w:sz w:val="20"/>
              </w:rPr>
              <w:t>ndicates that this PPDU is immediately followed by another PPDU with no IFS or preamble on the subsequent PPDU.</w:t>
            </w:r>
            <w:r w:rsidR="00281486" w:rsidRPr="009448FC">
              <w:rPr>
                <w:sz w:val="20"/>
              </w:rPr>
              <w:t xml:space="preserve"> </w:t>
            </w:r>
            <w:r w:rsidRPr="009448FC">
              <w:rPr>
                <w:sz w:val="20"/>
              </w:rPr>
              <w:t xml:space="preserve">A value of 0 indicates that no additional PPDU follows this PPDU. </w:t>
            </w:r>
          </w:p>
        </w:tc>
      </w:tr>
      <w:tr w:rsidR="00DF653F" w:rsidRPr="00066F65" w:rsidTr="003C282E">
        <w:trPr>
          <w:trHeight w:val="255"/>
        </w:trPr>
        <w:tc>
          <w:tcPr>
            <w:tcW w:w="0" w:type="auto"/>
            <w:shd w:val="clear" w:color="auto" w:fill="auto"/>
          </w:tcPr>
          <w:p w:rsidR="00DF653F" w:rsidRPr="009448FC" w:rsidRDefault="00DF653F" w:rsidP="000C1C55">
            <w:pPr>
              <w:rPr>
                <w:sz w:val="20"/>
              </w:rPr>
            </w:pPr>
            <w:r w:rsidRPr="009448FC">
              <w:rPr>
                <w:sz w:val="20"/>
              </w:rPr>
              <w:t>Packet type</w:t>
            </w:r>
          </w:p>
        </w:tc>
        <w:tc>
          <w:tcPr>
            <w:tcW w:w="0" w:type="auto"/>
            <w:shd w:val="clear" w:color="auto" w:fill="auto"/>
          </w:tcPr>
          <w:p w:rsidR="00DF653F" w:rsidRPr="009448FC" w:rsidRDefault="00BE1F31" w:rsidP="000C1C55">
            <w:pPr>
              <w:jc w:val="right"/>
              <w:rPr>
                <w:sz w:val="20"/>
              </w:rPr>
            </w:pPr>
            <w:r>
              <w:rPr>
                <w:sz w:val="20"/>
              </w:rPr>
              <w:t xml:space="preserve"> </w:t>
            </w:r>
            <w:r w:rsidR="003C3976" w:rsidRPr="009448FC">
              <w:rPr>
                <w:sz w:val="20"/>
              </w:rPr>
              <w:t>1</w:t>
            </w:r>
          </w:p>
        </w:tc>
        <w:tc>
          <w:tcPr>
            <w:tcW w:w="0" w:type="auto"/>
            <w:shd w:val="clear" w:color="auto" w:fill="auto"/>
          </w:tcPr>
          <w:p w:rsidR="00DF653F" w:rsidRPr="009448FC" w:rsidRDefault="00DF653F" w:rsidP="000C1C55">
            <w:pPr>
              <w:jc w:val="right"/>
              <w:rPr>
                <w:sz w:val="20"/>
              </w:rPr>
            </w:pPr>
            <w:r w:rsidRPr="009448FC">
              <w:rPr>
                <w:sz w:val="20"/>
              </w:rPr>
              <w:t>3</w:t>
            </w:r>
            <w:r w:rsidR="00480552" w:rsidRPr="009448FC">
              <w:rPr>
                <w:sz w:val="20"/>
              </w:rPr>
              <w:t>1</w:t>
            </w:r>
          </w:p>
        </w:tc>
        <w:tc>
          <w:tcPr>
            <w:tcW w:w="0" w:type="auto"/>
            <w:shd w:val="clear" w:color="auto" w:fill="auto"/>
          </w:tcPr>
          <w:p w:rsidR="00DF653F" w:rsidRPr="009448FC" w:rsidRDefault="00DF653F" w:rsidP="003C3976">
            <w:pPr>
              <w:rPr>
                <w:sz w:val="20"/>
              </w:rPr>
            </w:pPr>
            <w:r w:rsidRPr="009448FC">
              <w:rPr>
                <w:sz w:val="20"/>
              </w:rPr>
              <w:t>packet type:</w:t>
            </w:r>
            <w:r w:rsidR="005515A4">
              <w:rPr>
                <w:sz w:val="20"/>
              </w:rPr>
              <w:t xml:space="preserve"> </w:t>
            </w:r>
            <w:r w:rsidRPr="009448FC">
              <w:rPr>
                <w:sz w:val="20"/>
              </w:rPr>
              <w:br/>
            </w:r>
            <w:r w:rsidR="00AA0E45" w:rsidRPr="009448FC">
              <w:rPr>
                <w:sz w:val="20"/>
              </w:rPr>
              <w:t xml:space="preserve">0 </w:t>
            </w:r>
            <w:r w:rsidRPr="009448FC">
              <w:rPr>
                <w:sz w:val="20"/>
              </w:rPr>
              <w:t>- TRN-R packet</w:t>
            </w:r>
            <w:r w:rsidRPr="009448FC">
              <w:rPr>
                <w:sz w:val="20"/>
              </w:rPr>
              <w:br/>
            </w:r>
            <w:r w:rsidR="00AA0E45" w:rsidRPr="009448FC">
              <w:rPr>
                <w:sz w:val="20"/>
              </w:rPr>
              <w:t xml:space="preserve">1 </w:t>
            </w:r>
            <w:r w:rsidRPr="009448FC">
              <w:rPr>
                <w:sz w:val="20"/>
              </w:rPr>
              <w:t>- TRN-T packet</w:t>
            </w:r>
            <w:r w:rsidRPr="009448FC">
              <w:rPr>
                <w:sz w:val="20"/>
              </w:rPr>
              <w:br/>
            </w:r>
          </w:p>
        </w:tc>
      </w:tr>
      <w:tr w:rsidR="00DF653F" w:rsidRPr="00066F65" w:rsidTr="003C282E">
        <w:trPr>
          <w:trHeight w:val="255"/>
        </w:trPr>
        <w:tc>
          <w:tcPr>
            <w:tcW w:w="0" w:type="auto"/>
            <w:shd w:val="clear" w:color="auto" w:fill="auto"/>
          </w:tcPr>
          <w:p w:rsidR="00DF653F" w:rsidRPr="009448FC" w:rsidRDefault="00DF653F" w:rsidP="000C1C55">
            <w:pPr>
              <w:rPr>
                <w:sz w:val="20"/>
              </w:rPr>
            </w:pPr>
            <w:r w:rsidRPr="009448FC">
              <w:rPr>
                <w:sz w:val="20"/>
              </w:rPr>
              <w:t>Training Length</w:t>
            </w:r>
          </w:p>
        </w:tc>
        <w:tc>
          <w:tcPr>
            <w:tcW w:w="0" w:type="auto"/>
            <w:shd w:val="clear" w:color="auto" w:fill="auto"/>
          </w:tcPr>
          <w:p w:rsidR="00DF653F" w:rsidRPr="009448FC" w:rsidRDefault="00DF653F" w:rsidP="000C1C55">
            <w:pPr>
              <w:jc w:val="right"/>
              <w:rPr>
                <w:sz w:val="20"/>
              </w:rPr>
            </w:pPr>
            <w:r w:rsidRPr="009448FC">
              <w:rPr>
                <w:sz w:val="20"/>
              </w:rPr>
              <w:t>5</w:t>
            </w:r>
          </w:p>
        </w:tc>
        <w:tc>
          <w:tcPr>
            <w:tcW w:w="0" w:type="auto"/>
            <w:shd w:val="clear" w:color="auto" w:fill="auto"/>
          </w:tcPr>
          <w:p w:rsidR="00DF653F" w:rsidRPr="009448FC" w:rsidRDefault="00DF653F" w:rsidP="003C3976">
            <w:pPr>
              <w:jc w:val="right"/>
              <w:rPr>
                <w:sz w:val="20"/>
              </w:rPr>
            </w:pPr>
            <w:r w:rsidRPr="009448FC">
              <w:rPr>
                <w:sz w:val="20"/>
              </w:rPr>
              <w:t>3</w:t>
            </w:r>
            <w:r w:rsidR="003C3976" w:rsidRPr="009448FC">
              <w:rPr>
                <w:sz w:val="20"/>
              </w:rPr>
              <w:t>2</w:t>
            </w:r>
          </w:p>
        </w:tc>
        <w:tc>
          <w:tcPr>
            <w:tcW w:w="0" w:type="auto"/>
            <w:shd w:val="clear" w:color="auto" w:fill="auto"/>
          </w:tcPr>
          <w:p w:rsidR="00DF653F" w:rsidRPr="009448FC" w:rsidRDefault="00DF54A1" w:rsidP="00DF54A1">
            <w:pPr>
              <w:rPr>
                <w:sz w:val="20"/>
              </w:rPr>
            </w:pPr>
            <w:r>
              <w:rPr>
                <w:sz w:val="20"/>
              </w:rPr>
              <w:t>Indicates the l</w:t>
            </w:r>
            <w:r w:rsidR="00DF653F" w:rsidRPr="009448FC">
              <w:rPr>
                <w:sz w:val="20"/>
              </w:rPr>
              <w:t>ength of the training field</w:t>
            </w:r>
            <w:r>
              <w:rPr>
                <w:sz w:val="20"/>
              </w:rPr>
              <w:t>.</w:t>
            </w:r>
            <w:r w:rsidR="00DF653F" w:rsidRPr="009448FC">
              <w:rPr>
                <w:sz w:val="20"/>
              </w:rPr>
              <w:t xml:space="preserve"> </w:t>
            </w:r>
            <w:r>
              <w:rPr>
                <w:sz w:val="20"/>
              </w:rPr>
              <w:t>T</w:t>
            </w:r>
            <w:r w:rsidR="00DF653F" w:rsidRPr="009448FC">
              <w:rPr>
                <w:sz w:val="20"/>
              </w:rPr>
              <w:t xml:space="preserve">he use of this field is define in subclause </w:t>
            </w:r>
            <w:fldSimple w:instr=" REF _Ref225238451 \r \h  \* MERGEFORMAT ">
              <w:r w:rsidR="003E4210" w:rsidRPr="003E4210">
                <w:rPr>
                  <w:sz w:val="20"/>
                  <w:szCs w:val="20"/>
                </w:rPr>
                <w:t>21.8.2.2.2</w:t>
              </w:r>
            </w:fldSimple>
            <w:r w:rsidR="005A3CF5" w:rsidRPr="009448FC">
              <w:rPr>
                <w:sz w:val="20"/>
              </w:rPr>
              <w:t>.</w:t>
            </w:r>
            <w:r w:rsidR="005515A4">
              <w:rPr>
                <w:sz w:val="20"/>
              </w:rPr>
              <w:t xml:space="preserve"> </w:t>
            </w:r>
            <w:r w:rsidR="005A3CF5" w:rsidRPr="009448FC">
              <w:rPr>
                <w:sz w:val="20"/>
              </w:rPr>
              <w:t>A value of zero indicates that this packet does not have any training field.</w:t>
            </w:r>
            <w:r w:rsidR="005515A4">
              <w:rPr>
                <w:sz w:val="20"/>
              </w:rPr>
              <w:t xml:space="preserve"> </w:t>
            </w:r>
          </w:p>
        </w:tc>
      </w:tr>
      <w:tr w:rsidR="00BB5354" w:rsidRPr="00066F65" w:rsidTr="003C282E">
        <w:trPr>
          <w:trHeight w:val="255"/>
        </w:trPr>
        <w:tc>
          <w:tcPr>
            <w:tcW w:w="0" w:type="auto"/>
            <w:shd w:val="clear" w:color="auto" w:fill="auto"/>
          </w:tcPr>
          <w:p w:rsidR="00BB5354" w:rsidRPr="009448FC" w:rsidRDefault="00BB5354" w:rsidP="000C1C55">
            <w:pPr>
              <w:rPr>
                <w:sz w:val="20"/>
              </w:rPr>
            </w:pPr>
            <w:r w:rsidRPr="009448FC">
              <w:rPr>
                <w:sz w:val="20"/>
              </w:rPr>
              <w:t>Aggregation</w:t>
            </w:r>
          </w:p>
        </w:tc>
        <w:tc>
          <w:tcPr>
            <w:tcW w:w="0" w:type="auto"/>
            <w:shd w:val="clear" w:color="auto" w:fill="auto"/>
          </w:tcPr>
          <w:p w:rsidR="00BB5354" w:rsidRPr="009448FC" w:rsidRDefault="00BB5354" w:rsidP="000C1C55">
            <w:pPr>
              <w:jc w:val="right"/>
              <w:rPr>
                <w:sz w:val="20"/>
              </w:rPr>
            </w:pPr>
            <w:r w:rsidRPr="009448FC">
              <w:rPr>
                <w:sz w:val="20"/>
              </w:rPr>
              <w:t>1</w:t>
            </w:r>
          </w:p>
        </w:tc>
        <w:tc>
          <w:tcPr>
            <w:tcW w:w="0" w:type="auto"/>
            <w:shd w:val="clear" w:color="auto" w:fill="auto"/>
          </w:tcPr>
          <w:p w:rsidR="00BB5354" w:rsidRPr="009448FC" w:rsidRDefault="00BB5354" w:rsidP="003C3976">
            <w:pPr>
              <w:jc w:val="right"/>
              <w:rPr>
                <w:sz w:val="20"/>
              </w:rPr>
            </w:pPr>
            <w:r w:rsidRPr="009448FC">
              <w:rPr>
                <w:sz w:val="20"/>
              </w:rPr>
              <w:t>3</w:t>
            </w:r>
            <w:r w:rsidR="003C3976" w:rsidRPr="009448FC">
              <w:rPr>
                <w:sz w:val="20"/>
              </w:rPr>
              <w:t>7</w:t>
            </w:r>
          </w:p>
        </w:tc>
        <w:tc>
          <w:tcPr>
            <w:tcW w:w="0" w:type="auto"/>
            <w:shd w:val="clear" w:color="auto" w:fill="auto"/>
          </w:tcPr>
          <w:p w:rsidR="00BB5354" w:rsidRPr="009448FC" w:rsidRDefault="00BB5354" w:rsidP="00BB5354">
            <w:pPr>
              <w:rPr>
                <w:sz w:val="20"/>
              </w:rPr>
            </w:pPr>
            <w:r w:rsidRPr="00ED3780">
              <w:rPr>
                <w:sz w:val="20"/>
              </w:rPr>
              <w:t>Set to 1 to indicate that the PPDU in the data portion of the packet contains an A</w:t>
            </w:r>
            <w:r w:rsidR="008B08F4" w:rsidRPr="00ED3780">
              <w:rPr>
                <w:sz w:val="20"/>
              </w:rPr>
              <w:t>-</w:t>
            </w:r>
            <w:r w:rsidRPr="00ED3780">
              <w:rPr>
                <w:sz w:val="20"/>
              </w:rPr>
              <w:t>MPDU;</w:t>
            </w:r>
            <w:r w:rsidR="008B08F4" w:rsidRPr="00ED3780">
              <w:rPr>
                <w:sz w:val="20"/>
              </w:rPr>
              <w:t xml:space="preserve"> </w:t>
            </w:r>
            <w:r w:rsidRPr="00ED3780">
              <w:rPr>
                <w:sz w:val="20"/>
              </w:rPr>
              <w:t>otherwise, set to 0.</w:t>
            </w:r>
          </w:p>
        </w:tc>
      </w:tr>
      <w:tr w:rsidR="00DC55B7" w:rsidRPr="00066F65" w:rsidTr="003C282E">
        <w:trPr>
          <w:trHeight w:val="255"/>
        </w:trPr>
        <w:tc>
          <w:tcPr>
            <w:tcW w:w="0" w:type="auto"/>
            <w:shd w:val="clear" w:color="auto" w:fill="auto"/>
          </w:tcPr>
          <w:p w:rsidR="00DC55B7" w:rsidRPr="009448FC" w:rsidRDefault="00DC55B7" w:rsidP="003C6A0C">
            <w:pPr>
              <w:rPr>
                <w:sz w:val="20"/>
              </w:rPr>
            </w:pPr>
            <w:r w:rsidRPr="009448FC">
              <w:rPr>
                <w:sz w:val="20"/>
              </w:rPr>
              <w:t>Beam</w:t>
            </w:r>
            <w:r w:rsidR="003C6A0C">
              <w:rPr>
                <w:sz w:val="20"/>
              </w:rPr>
              <w:t xml:space="preserve"> T</w:t>
            </w:r>
            <w:r w:rsidRPr="009448FC">
              <w:rPr>
                <w:sz w:val="20"/>
              </w:rPr>
              <w:t>racking</w:t>
            </w:r>
            <w:r w:rsidR="003C6A0C">
              <w:rPr>
                <w:sz w:val="20"/>
              </w:rPr>
              <w:t xml:space="preserve"> Request</w:t>
            </w:r>
          </w:p>
        </w:tc>
        <w:tc>
          <w:tcPr>
            <w:tcW w:w="0" w:type="auto"/>
            <w:shd w:val="clear" w:color="auto" w:fill="auto"/>
          </w:tcPr>
          <w:p w:rsidR="00DC55B7" w:rsidRPr="009448FC" w:rsidRDefault="00DC55B7" w:rsidP="000C1C55">
            <w:pPr>
              <w:jc w:val="right"/>
              <w:rPr>
                <w:sz w:val="20"/>
              </w:rPr>
            </w:pPr>
            <w:r w:rsidRPr="009448FC">
              <w:rPr>
                <w:sz w:val="20"/>
              </w:rPr>
              <w:t>1</w:t>
            </w:r>
          </w:p>
        </w:tc>
        <w:tc>
          <w:tcPr>
            <w:tcW w:w="0" w:type="auto"/>
            <w:shd w:val="clear" w:color="auto" w:fill="auto"/>
          </w:tcPr>
          <w:p w:rsidR="00DC55B7" w:rsidRPr="009448FC" w:rsidRDefault="00DC55B7" w:rsidP="003C3976">
            <w:pPr>
              <w:jc w:val="right"/>
              <w:rPr>
                <w:sz w:val="20"/>
              </w:rPr>
            </w:pPr>
            <w:r w:rsidRPr="009448FC">
              <w:rPr>
                <w:sz w:val="20"/>
              </w:rPr>
              <w:t>3</w:t>
            </w:r>
            <w:r w:rsidR="003C3976" w:rsidRPr="009448FC">
              <w:rPr>
                <w:sz w:val="20"/>
              </w:rPr>
              <w:t>8</w:t>
            </w:r>
          </w:p>
        </w:tc>
        <w:tc>
          <w:tcPr>
            <w:tcW w:w="0" w:type="auto"/>
            <w:shd w:val="clear" w:color="auto" w:fill="auto"/>
          </w:tcPr>
          <w:p w:rsidR="00DC55B7" w:rsidRPr="009448FC" w:rsidRDefault="00DC55B7" w:rsidP="00EC36DA">
            <w:pPr>
              <w:rPr>
                <w:sz w:val="20"/>
              </w:rPr>
            </w:pPr>
            <w:r w:rsidRPr="009448FC">
              <w:rPr>
                <w:sz w:val="20"/>
              </w:rPr>
              <w:t>Set to 1 to indicate the need for beam tracking (</w:t>
            </w:r>
            <w:r w:rsidR="00BD151C">
              <w:rPr>
                <w:sz w:val="20"/>
              </w:rPr>
              <w:fldChar w:fldCharType="begin"/>
            </w:r>
            <w:r w:rsidR="00EC36DA">
              <w:rPr>
                <w:sz w:val="20"/>
              </w:rPr>
              <w:instrText xml:space="preserve"> REF _Ref251767219 \r \h </w:instrText>
            </w:r>
            <w:r w:rsidR="00BD151C">
              <w:rPr>
                <w:sz w:val="20"/>
              </w:rPr>
            </w:r>
            <w:r w:rsidR="00BD151C">
              <w:rPr>
                <w:sz w:val="20"/>
              </w:rPr>
              <w:fldChar w:fldCharType="separate"/>
            </w:r>
            <w:r w:rsidR="003E4210">
              <w:rPr>
                <w:sz w:val="20"/>
              </w:rPr>
              <w:t>9.25.6</w:t>
            </w:r>
            <w:r w:rsidR="00BD151C">
              <w:rPr>
                <w:sz w:val="20"/>
              </w:rPr>
              <w:fldChar w:fldCharType="end"/>
            </w:r>
            <w:r w:rsidRPr="009448FC">
              <w:rPr>
                <w:sz w:val="20"/>
              </w:rPr>
              <w:t>); otherwise, set to zero.</w:t>
            </w:r>
          </w:p>
        </w:tc>
      </w:tr>
      <w:tr w:rsidR="009E006D" w:rsidRPr="00066F65" w:rsidTr="003C282E">
        <w:trPr>
          <w:trHeight w:val="255"/>
        </w:trPr>
        <w:tc>
          <w:tcPr>
            <w:tcW w:w="0" w:type="auto"/>
            <w:shd w:val="clear" w:color="auto" w:fill="auto"/>
          </w:tcPr>
          <w:p w:rsidR="009E006D" w:rsidRPr="009E006D" w:rsidRDefault="009E006D" w:rsidP="0065405C">
            <w:pPr>
              <w:rPr>
                <w:sz w:val="20"/>
                <w:szCs w:val="20"/>
              </w:rPr>
            </w:pPr>
            <w:r w:rsidRPr="009E006D">
              <w:rPr>
                <w:sz w:val="20"/>
                <w:szCs w:val="20"/>
              </w:rPr>
              <w:t>Tone Pairing Type</w:t>
            </w:r>
            <w:r w:rsidR="00BE1F31">
              <w:rPr>
                <w:sz w:val="20"/>
                <w:szCs w:val="20"/>
              </w:rPr>
              <w:t xml:space="preserve"> </w:t>
            </w:r>
          </w:p>
        </w:tc>
        <w:tc>
          <w:tcPr>
            <w:tcW w:w="0" w:type="auto"/>
            <w:shd w:val="clear" w:color="auto" w:fill="auto"/>
          </w:tcPr>
          <w:p w:rsidR="009E006D" w:rsidRPr="009E006D" w:rsidRDefault="009E006D" w:rsidP="0065405C">
            <w:pPr>
              <w:jc w:val="right"/>
              <w:rPr>
                <w:sz w:val="20"/>
                <w:szCs w:val="20"/>
              </w:rPr>
            </w:pPr>
            <w:r w:rsidRPr="009E006D">
              <w:rPr>
                <w:sz w:val="20"/>
                <w:szCs w:val="20"/>
              </w:rPr>
              <w:t>1</w:t>
            </w:r>
          </w:p>
        </w:tc>
        <w:tc>
          <w:tcPr>
            <w:tcW w:w="0" w:type="auto"/>
            <w:shd w:val="clear" w:color="auto" w:fill="auto"/>
          </w:tcPr>
          <w:p w:rsidR="009E006D" w:rsidRPr="009E006D" w:rsidRDefault="00970962" w:rsidP="0065405C">
            <w:pPr>
              <w:jc w:val="right"/>
              <w:rPr>
                <w:sz w:val="20"/>
                <w:szCs w:val="20"/>
              </w:rPr>
            </w:pPr>
            <w:r>
              <w:rPr>
                <w:sz w:val="20"/>
                <w:szCs w:val="20"/>
              </w:rPr>
              <w:t>39</w:t>
            </w:r>
          </w:p>
        </w:tc>
        <w:tc>
          <w:tcPr>
            <w:tcW w:w="0" w:type="auto"/>
            <w:shd w:val="clear" w:color="auto" w:fill="auto"/>
          </w:tcPr>
          <w:p w:rsidR="009E006D" w:rsidRPr="009E006D" w:rsidRDefault="009E006D" w:rsidP="0065405C">
            <w:pPr>
              <w:rPr>
                <w:sz w:val="20"/>
              </w:rPr>
            </w:pPr>
            <w:r w:rsidRPr="009E006D">
              <w:rPr>
                <w:sz w:val="20"/>
              </w:rPr>
              <w:t>Set to 0 to indicate Static Tone Pairing (</w:t>
            </w:r>
            <w:r w:rsidR="00BD151C">
              <w:rPr>
                <w:sz w:val="20"/>
              </w:rPr>
              <w:fldChar w:fldCharType="begin"/>
            </w:r>
            <w:r w:rsidR="00EC36DA">
              <w:rPr>
                <w:sz w:val="20"/>
              </w:rPr>
              <w:instrText xml:space="preserve"> REF _Ref251767274 \r \h </w:instrText>
            </w:r>
            <w:r w:rsidR="00BD151C">
              <w:rPr>
                <w:sz w:val="20"/>
              </w:rPr>
            </w:r>
            <w:r w:rsidR="00BD151C">
              <w:rPr>
                <w:sz w:val="20"/>
              </w:rPr>
              <w:fldChar w:fldCharType="separate"/>
            </w:r>
            <w:r w:rsidR="003E4210">
              <w:rPr>
                <w:sz w:val="20"/>
              </w:rPr>
              <w:t>21.5.3.2.3.5.1</w:t>
            </w:r>
            <w:r w:rsidR="00BD151C">
              <w:rPr>
                <w:sz w:val="20"/>
              </w:rPr>
              <w:fldChar w:fldCharType="end"/>
            </w:r>
            <w:r w:rsidRPr="009E006D">
              <w:rPr>
                <w:sz w:val="20"/>
              </w:rPr>
              <w:t>);</w:t>
            </w:r>
          </w:p>
          <w:p w:rsidR="009E006D" w:rsidRPr="009E006D" w:rsidRDefault="009E006D" w:rsidP="0065405C">
            <w:pPr>
              <w:rPr>
                <w:sz w:val="20"/>
              </w:rPr>
            </w:pPr>
            <w:r w:rsidRPr="009E006D">
              <w:rPr>
                <w:sz w:val="20"/>
              </w:rPr>
              <w:t>Set to 1 to indicate Dynamic Tone Pairing (</w:t>
            </w:r>
            <w:r w:rsidR="00BD151C">
              <w:rPr>
                <w:sz w:val="20"/>
              </w:rPr>
              <w:fldChar w:fldCharType="begin"/>
            </w:r>
            <w:r w:rsidR="00EC36DA">
              <w:rPr>
                <w:sz w:val="20"/>
              </w:rPr>
              <w:instrText xml:space="preserve"> REF _Ref251766478 \r \h </w:instrText>
            </w:r>
            <w:r w:rsidR="00BD151C">
              <w:rPr>
                <w:sz w:val="20"/>
              </w:rPr>
            </w:r>
            <w:r w:rsidR="00BD151C">
              <w:rPr>
                <w:sz w:val="20"/>
              </w:rPr>
              <w:fldChar w:fldCharType="separate"/>
            </w:r>
            <w:r w:rsidR="003E4210">
              <w:rPr>
                <w:sz w:val="20"/>
              </w:rPr>
              <w:t>21.5.3.2.3.5.2</w:t>
            </w:r>
            <w:r w:rsidR="00BD151C">
              <w:rPr>
                <w:sz w:val="20"/>
              </w:rPr>
              <w:fldChar w:fldCharType="end"/>
            </w:r>
            <w:r w:rsidRPr="009E006D">
              <w:rPr>
                <w:sz w:val="20"/>
              </w:rPr>
              <w:t>).</w:t>
            </w:r>
          </w:p>
          <w:p w:rsidR="00EC36DA" w:rsidRDefault="00EC36DA" w:rsidP="0065405C">
            <w:pPr>
              <w:rPr>
                <w:sz w:val="20"/>
              </w:rPr>
            </w:pPr>
          </w:p>
          <w:p w:rsidR="003E4724" w:rsidRDefault="009E006D">
            <w:pPr>
              <w:rPr>
                <w:sz w:val="20"/>
              </w:rPr>
            </w:pPr>
            <w:r w:rsidRPr="009E006D">
              <w:rPr>
                <w:sz w:val="20"/>
              </w:rPr>
              <w:t xml:space="preserve">Only valid if MCS field value </w:t>
            </w:r>
            <w:r>
              <w:rPr>
                <w:sz w:val="20"/>
              </w:rPr>
              <w:t>is in the range of 1</w:t>
            </w:r>
            <w:r w:rsidR="00701138">
              <w:rPr>
                <w:sz w:val="20"/>
              </w:rPr>
              <w:t>3</w:t>
            </w:r>
            <w:r>
              <w:rPr>
                <w:sz w:val="20"/>
              </w:rPr>
              <w:t>-</w:t>
            </w:r>
            <w:r w:rsidR="00701138">
              <w:rPr>
                <w:sz w:val="20"/>
              </w:rPr>
              <w:t>1</w:t>
            </w:r>
            <w:r w:rsidR="00F7686A">
              <w:rPr>
                <w:sz w:val="20"/>
              </w:rPr>
              <w:t>7</w:t>
            </w:r>
            <w:r w:rsidRPr="009E006D">
              <w:rPr>
                <w:sz w:val="20"/>
              </w:rPr>
              <w:t>; otherwise ignored.</w:t>
            </w:r>
          </w:p>
        </w:tc>
      </w:tr>
      <w:tr w:rsidR="009E006D" w:rsidRPr="00066F65" w:rsidTr="003C282E">
        <w:trPr>
          <w:trHeight w:val="255"/>
        </w:trPr>
        <w:tc>
          <w:tcPr>
            <w:tcW w:w="0" w:type="auto"/>
            <w:shd w:val="clear" w:color="auto" w:fill="auto"/>
          </w:tcPr>
          <w:p w:rsidR="009E006D" w:rsidRPr="009E006D" w:rsidRDefault="009E006D" w:rsidP="0065405C">
            <w:pPr>
              <w:rPr>
                <w:sz w:val="20"/>
                <w:szCs w:val="20"/>
              </w:rPr>
            </w:pPr>
            <w:r w:rsidRPr="009E006D">
              <w:rPr>
                <w:sz w:val="20"/>
                <w:szCs w:val="20"/>
              </w:rPr>
              <w:t>DTP Indicator</w:t>
            </w:r>
            <w:r w:rsidR="00BE1F31">
              <w:rPr>
                <w:sz w:val="20"/>
                <w:szCs w:val="20"/>
              </w:rPr>
              <w:t xml:space="preserve"> </w:t>
            </w:r>
          </w:p>
        </w:tc>
        <w:tc>
          <w:tcPr>
            <w:tcW w:w="0" w:type="auto"/>
            <w:shd w:val="clear" w:color="auto" w:fill="auto"/>
          </w:tcPr>
          <w:p w:rsidR="009E006D" w:rsidRPr="009E006D" w:rsidRDefault="009E006D" w:rsidP="0065405C">
            <w:pPr>
              <w:jc w:val="right"/>
              <w:rPr>
                <w:sz w:val="20"/>
                <w:szCs w:val="20"/>
              </w:rPr>
            </w:pPr>
            <w:r w:rsidRPr="009E006D">
              <w:rPr>
                <w:sz w:val="20"/>
                <w:szCs w:val="20"/>
              </w:rPr>
              <w:t>1</w:t>
            </w:r>
          </w:p>
        </w:tc>
        <w:tc>
          <w:tcPr>
            <w:tcW w:w="0" w:type="auto"/>
            <w:shd w:val="clear" w:color="auto" w:fill="auto"/>
          </w:tcPr>
          <w:p w:rsidR="009E006D" w:rsidRPr="009E006D" w:rsidRDefault="009E006D" w:rsidP="00970962">
            <w:pPr>
              <w:jc w:val="right"/>
              <w:rPr>
                <w:sz w:val="20"/>
                <w:szCs w:val="20"/>
              </w:rPr>
            </w:pPr>
            <w:r w:rsidRPr="009E006D">
              <w:rPr>
                <w:sz w:val="20"/>
                <w:szCs w:val="20"/>
              </w:rPr>
              <w:t>4</w:t>
            </w:r>
            <w:r w:rsidR="00970962">
              <w:rPr>
                <w:sz w:val="20"/>
                <w:szCs w:val="20"/>
              </w:rPr>
              <w:t>0</w:t>
            </w:r>
          </w:p>
        </w:tc>
        <w:tc>
          <w:tcPr>
            <w:tcW w:w="0" w:type="auto"/>
            <w:shd w:val="clear" w:color="auto" w:fill="auto"/>
          </w:tcPr>
          <w:p w:rsidR="009E006D" w:rsidRPr="009E006D" w:rsidRDefault="009E006D" w:rsidP="0065405C">
            <w:pPr>
              <w:rPr>
                <w:sz w:val="20"/>
              </w:rPr>
            </w:pPr>
            <w:r w:rsidRPr="009E006D">
              <w:rPr>
                <w:sz w:val="20"/>
              </w:rPr>
              <w:t>Bit flip used to indicate DTP update.</w:t>
            </w:r>
          </w:p>
          <w:p w:rsidR="009E006D" w:rsidRPr="009E006D" w:rsidRDefault="009E006D" w:rsidP="0065405C">
            <w:pPr>
              <w:rPr>
                <w:sz w:val="20"/>
              </w:rPr>
            </w:pPr>
          </w:p>
          <w:p w:rsidR="003E4724" w:rsidRDefault="009E006D">
            <w:pPr>
              <w:rPr>
                <w:sz w:val="20"/>
              </w:rPr>
            </w:pPr>
            <w:r w:rsidRPr="009E006D">
              <w:rPr>
                <w:sz w:val="20"/>
              </w:rPr>
              <w:t xml:space="preserve">Only valid when </w:t>
            </w:r>
            <w:r w:rsidR="00ED3780">
              <w:rPr>
                <w:sz w:val="20"/>
              </w:rPr>
              <w:t xml:space="preserve">the </w:t>
            </w:r>
            <w:r w:rsidRPr="00ED3780">
              <w:rPr>
                <w:sz w:val="20"/>
              </w:rPr>
              <w:t>Tone Pairing Type</w:t>
            </w:r>
            <w:r w:rsidRPr="009E006D">
              <w:rPr>
                <w:sz w:val="20"/>
              </w:rPr>
              <w:t xml:space="preserve"> field is set to 1 and </w:t>
            </w:r>
            <w:r w:rsidR="00ED3780">
              <w:rPr>
                <w:sz w:val="20"/>
              </w:rPr>
              <w:t xml:space="preserve">the </w:t>
            </w:r>
            <w:r w:rsidRPr="009E006D">
              <w:rPr>
                <w:sz w:val="20"/>
              </w:rPr>
              <w:t xml:space="preserve">MCS field value is in the range of </w:t>
            </w:r>
            <w:r w:rsidR="00701138" w:rsidRPr="009E006D">
              <w:rPr>
                <w:sz w:val="20"/>
              </w:rPr>
              <w:t>1</w:t>
            </w:r>
            <w:r w:rsidR="00701138">
              <w:rPr>
                <w:sz w:val="20"/>
              </w:rPr>
              <w:t>3</w:t>
            </w:r>
            <w:r w:rsidRPr="009E006D">
              <w:rPr>
                <w:sz w:val="20"/>
              </w:rPr>
              <w:t>-</w:t>
            </w:r>
            <w:r w:rsidR="00701138">
              <w:rPr>
                <w:sz w:val="20"/>
              </w:rPr>
              <w:t>1</w:t>
            </w:r>
            <w:r w:rsidR="00F7686A">
              <w:rPr>
                <w:sz w:val="20"/>
              </w:rPr>
              <w:t>7</w:t>
            </w:r>
            <w:r w:rsidRPr="009E006D">
              <w:rPr>
                <w:sz w:val="20"/>
              </w:rPr>
              <w:t>; otherwise ignored.</w:t>
            </w:r>
          </w:p>
        </w:tc>
      </w:tr>
      <w:tr w:rsidR="00DF653F" w:rsidRPr="00066F65" w:rsidTr="003C282E">
        <w:trPr>
          <w:trHeight w:val="255"/>
        </w:trPr>
        <w:tc>
          <w:tcPr>
            <w:tcW w:w="0" w:type="auto"/>
            <w:shd w:val="clear" w:color="auto" w:fill="auto"/>
          </w:tcPr>
          <w:p w:rsidR="00DF653F" w:rsidRPr="009448FC" w:rsidRDefault="00DF653F" w:rsidP="000C1C55">
            <w:pPr>
              <w:rPr>
                <w:sz w:val="20"/>
              </w:rPr>
            </w:pPr>
            <w:r w:rsidRPr="009448FC">
              <w:rPr>
                <w:sz w:val="20"/>
              </w:rPr>
              <w:lastRenderedPageBreak/>
              <w:t>Reserved</w:t>
            </w:r>
          </w:p>
        </w:tc>
        <w:tc>
          <w:tcPr>
            <w:tcW w:w="0" w:type="auto"/>
            <w:shd w:val="clear" w:color="auto" w:fill="auto"/>
          </w:tcPr>
          <w:p w:rsidR="00DF653F" w:rsidRPr="009448FC" w:rsidRDefault="00970962" w:rsidP="000C1C55">
            <w:pPr>
              <w:jc w:val="right"/>
              <w:rPr>
                <w:sz w:val="20"/>
              </w:rPr>
            </w:pPr>
            <w:r>
              <w:rPr>
                <w:sz w:val="20"/>
              </w:rPr>
              <w:t>7</w:t>
            </w:r>
          </w:p>
        </w:tc>
        <w:tc>
          <w:tcPr>
            <w:tcW w:w="0" w:type="auto"/>
            <w:shd w:val="clear" w:color="auto" w:fill="auto"/>
          </w:tcPr>
          <w:p w:rsidR="00DF653F" w:rsidRPr="009448FC" w:rsidRDefault="00970962" w:rsidP="000C1C55">
            <w:pPr>
              <w:jc w:val="right"/>
              <w:rPr>
                <w:sz w:val="20"/>
              </w:rPr>
            </w:pPr>
            <w:r>
              <w:rPr>
                <w:sz w:val="20"/>
              </w:rPr>
              <w:t>41</w:t>
            </w:r>
          </w:p>
        </w:tc>
        <w:tc>
          <w:tcPr>
            <w:tcW w:w="0" w:type="auto"/>
            <w:shd w:val="clear" w:color="auto" w:fill="auto"/>
          </w:tcPr>
          <w:p w:rsidR="00DF653F" w:rsidRPr="009448FC" w:rsidRDefault="00DF653F" w:rsidP="000C1C55">
            <w:pPr>
              <w:rPr>
                <w:sz w:val="20"/>
              </w:rPr>
            </w:pPr>
            <w:r w:rsidRPr="009448FC">
              <w:rPr>
                <w:sz w:val="20"/>
              </w:rPr>
              <w:t>Set to 0</w:t>
            </w:r>
            <w:r w:rsidR="00655EA4" w:rsidRPr="009448FC">
              <w:rPr>
                <w:sz w:val="20"/>
              </w:rPr>
              <w:t>,</w:t>
            </w:r>
            <w:r w:rsidRPr="009448FC">
              <w:rPr>
                <w:sz w:val="20"/>
              </w:rPr>
              <w:t xml:space="preserve"> ignored by receiver</w:t>
            </w:r>
          </w:p>
        </w:tc>
      </w:tr>
      <w:tr w:rsidR="00C024E7" w:rsidRPr="00066F65" w:rsidTr="003C282E">
        <w:trPr>
          <w:trHeight w:val="525"/>
        </w:trPr>
        <w:tc>
          <w:tcPr>
            <w:tcW w:w="0" w:type="auto"/>
            <w:shd w:val="clear" w:color="auto" w:fill="auto"/>
          </w:tcPr>
          <w:p w:rsidR="00C024E7" w:rsidRPr="009448FC" w:rsidRDefault="00C024E7" w:rsidP="000C1C55">
            <w:pPr>
              <w:rPr>
                <w:sz w:val="20"/>
              </w:rPr>
            </w:pPr>
            <w:r w:rsidRPr="009448FC">
              <w:rPr>
                <w:sz w:val="20"/>
              </w:rPr>
              <w:t>HCS</w:t>
            </w:r>
          </w:p>
        </w:tc>
        <w:tc>
          <w:tcPr>
            <w:tcW w:w="0" w:type="auto"/>
            <w:shd w:val="clear" w:color="auto" w:fill="auto"/>
          </w:tcPr>
          <w:p w:rsidR="00C024E7" w:rsidRPr="009448FC" w:rsidRDefault="00C024E7" w:rsidP="000C1C55">
            <w:pPr>
              <w:jc w:val="right"/>
              <w:rPr>
                <w:sz w:val="20"/>
              </w:rPr>
            </w:pPr>
            <w:r w:rsidRPr="009448FC">
              <w:rPr>
                <w:sz w:val="20"/>
              </w:rPr>
              <w:t>16</w:t>
            </w:r>
          </w:p>
        </w:tc>
        <w:tc>
          <w:tcPr>
            <w:tcW w:w="0" w:type="auto"/>
            <w:shd w:val="clear" w:color="auto" w:fill="auto"/>
          </w:tcPr>
          <w:p w:rsidR="00C024E7" w:rsidRPr="009448FC" w:rsidRDefault="007F1723" w:rsidP="008B08F4">
            <w:pPr>
              <w:jc w:val="right"/>
              <w:rPr>
                <w:sz w:val="20"/>
              </w:rPr>
            </w:pPr>
            <w:r w:rsidRPr="009448FC">
              <w:rPr>
                <w:sz w:val="20"/>
              </w:rPr>
              <w:t xml:space="preserve"> </w:t>
            </w:r>
            <w:r w:rsidR="008B08F4" w:rsidRPr="009448FC">
              <w:rPr>
                <w:sz w:val="20"/>
              </w:rPr>
              <w:t>4</w:t>
            </w:r>
            <w:r w:rsidR="004002E9" w:rsidRPr="009448FC">
              <w:rPr>
                <w:sz w:val="20"/>
              </w:rPr>
              <w:t>8</w:t>
            </w:r>
          </w:p>
        </w:tc>
        <w:tc>
          <w:tcPr>
            <w:tcW w:w="0" w:type="auto"/>
            <w:shd w:val="clear" w:color="auto" w:fill="auto"/>
          </w:tcPr>
          <w:p w:rsidR="00C024E7" w:rsidRPr="009448FC" w:rsidRDefault="007921F3" w:rsidP="000C1C55">
            <w:pPr>
              <w:rPr>
                <w:sz w:val="20"/>
              </w:rPr>
            </w:pPr>
            <w:r w:rsidRPr="009448FC">
              <w:rPr>
                <w:sz w:val="20"/>
              </w:rPr>
              <w:t xml:space="preserve">Header check sequence. Definition of this field calculation is in the subclause </w:t>
            </w:r>
            <w:r w:rsidR="00BD151C" w:rsidRPr="009448FC">
              <w:rPr>
                <w:sz w:val="20"/>
              </w:rPr>
              <w:fldChar w:fldCharType="begin"/>
            </w:r>
            <w:r w:rsidRPr="009448FC">
              <w:rPr>
                <w:sz w:val="20"/>
              </w:rPr>
              <w:instrText xml:space="preserve"> REF _Ref246681686 \r \h </w:instrText>
            </w:r>
            <w:r w:rsidR="00BD151C" w:rsidRPr="009448FC">
              <w:rPr>
                <w:sz w:val="20"/>
              </w:rPr>
            </w:r>
            <w:r w:rsidR="00BD151C" w:rsidRPr="009448FC">
              <w:rPr>
                <w:sz w:val="20"/>
              </w:rPr>
              <w:fldChar w:fldCharType="separate"/>
            </w:r>
            <w:r w:rsidR="003E4210">
              <w:rPr>
                <w:sz w:val="20"/>
              </w:rPr>
              <w:t>21.5.3.1.2</w:t>
            </w:r>
            <w:r w:rsidR="00BD151C" w:rsidRPr="009448FC">
              <w:rPr>
                <w:sz w:val="20"/>
              </w:rPr>
              <w:fldChar w:fldCharType="end"/>
            </w:r>
            <w:r w:rsidRPr="009448FC">
              <w:rPr>
                <w:sz w:val="20"/>
              </w:rPr>
              <w:t xml:space="preserve">. </w:t>
            </w:r>
          </w:p>
        </w:tc>
      </w:tr>
    </w:tbl>
    <w:p w:rsidR="004002E9" w:rsidRPr="00066F65" w:rsidRDefault="00C55E59" w:rsidP="00C024E7">
      <w:pPr>
        <w:rPr>
          <w:b/>
          <w:i/>
          <w:color w:val="FF0000"/>
          <w:u w:val="single"/>
        </w:rPr>
      </w:pPr>
      <w:r w:rsidRPr="00066F65">
        <w:rPr>
          <w:b/>
          <w:i/>
          <w:color w:val="FF0000"/>
          <w:u w:val="single"/>
        </w:rPr>
        <w:t xml:space="preserve"> </w:t>
      </w:r>
    </w:p>
    <w:p w:rsidR="00C024E7" w:rsidRPr="009448FC" w:rsidRDefault="00C024E7" w:rsidP="0091073E">
      <w:pPr>
        <w:outlineLvl w:val="0"/>
      </w:pPr>
      <w:r w:rsidRPr="009448FC">
        <w:t>All the numeric fields are encoded in unsigned binary, least significant bit first.</w:t>
      </w:r>
    </w:p>
    <w:p w:rsidR="00C024E7" w:rsidRPr="009448FC" w:rsidRDefault="00C024E7" w:rsidP="00C024E7"/>
    <w:p w:rsidR="00C024E7" w:rsidRPr="009448FC" w:rsidRDefault="00C024E7" w:rsidP="003701DB">
      <w:pPr>
        <w:pStyle w:val="Heading5"/>
        <w:keepNext w:val="0"/>
        <w:numPr>
          <w:ilvl w:val="4"/>
          <w:numId w:val="42"/>
        </w:numPr>
        <w:tabs>
          <w:tab w:val="clear" w:pos="1152"/>
        </w:tabs>
        <w:spacing w:after="60"/>
        <w:jc w:val="left"/>
      </w:pPr>
      <w:bookmarkStart w:id="3360" w:name="_Toc215583002"/>
      <w:bookmarkStart w:id="3361" w:name="_Toc235400694"/>
      <w:bookmarkStart w:id="3362" w:name="_Ref253498078"/>
      <w:bookmarkStart w:id="3363" w:name="_Toc259717363"/>
      <w:r w:rsidRPr="009448FC">
        <w:t>Modulation and Coding Scheme</w:t>
      </w:r>
      <w:bookmarkEnd w:id="3360"/>
      <w:bookmarkEnd w:id="3361"/>
      <w:bookmarkEnd w:id="3362"/>
      <w:bookmarkEnd w:id="3363"/>
    </w:p>
    <w:p w:rsidR="00C024E7" w:rsidRPr="009448FC" w:rsidRDefault="00C024E7" w:rsidP="00C024E7">
      <w:r w:rsidRPr="009448FC">
        <w:t>The modulation and coding scheme (MCS) field specifies the modulation and code rate used in the PPDU.</w:t>
      </w:r>
      <w:r w:rsidR="00281486" w:rsidRPr="009448FC">
        <w:t xml:space="preserve"> </w:t>
      </w:r>
      <w:r w:rsidRPr="009448FC">
        <w:t xml:space="preserve">The modulation and coding schemes for OFDM modulations are defined in </w:t>
      </w:r>
      <w:fldSimple w:instr=" REF _Ref207354664 \h  \* MERGEFORMAT ">
        <w:r w:rsidR="003E4210" w:rsidRPr="00066F65">
          <w:t xml:space="preserve">Table </w:t>
        </w:r>
        <w:r w:rsidR="003E4210">
          <w:rPr>
            <w:noProof/>
          </w:rPr>
          <w:t>76</w:t>
        </w:r>
      </w:fldSimple>
      <w:r w:rsidRPr="009448FC">
        <w:t>.</w:t>
      </w:r>
    </w:p>
    <w:p w:rsidR="00C024E7" w:rsidRPr="009448FC" w:rsidRDefault="00C024E7" w:rsidP="00C024E7"/>
    <w:p w:rsidR="00C024E7" w:rsidRPr="00066F65" w:rsidRDefault="00C024E7" w:rsidP="00855343">
      <w:pPr>
        <w:pStyle w:val="Caption"/>
        <w:keepNext/>
        <w:outlineLvl w:val="0"/>
      </w:pPr>
      <w:bookmarkStart w:id="3364" w:name="_Ref207354664"/>
      <w:bookmarkStart w:id="3365" w:name="_Toc225065791"/>
      <w:bookmarkStart w:id="3366" w:name="_Toc250654461"/>
      <w:bookmarkStart w:id="3367" w:name="_Toc259717654"/>
      <w:r w:rsidRPr="00066F65">
        <w:t>Table</w:t>
      </w:r>
      <w:r w:rsidR="00EE1100" w:rsidRPr="00066F65">
        <w:t xml:space="preserve"> </w:t>
      </w:r>
      <w:r w:rsidR="00BD151C">
        <w:fldChar w:fldCharType="begin"/>
      </w:r>
      <w:r w:rsidR="00801316">
        <w:instrText xml:space="preserve"> SEQ Table \* ARABIC </w:instrText>
      </w:r>
      <w:r w:rsidR="00BD151C">
        <w:fldChar w:fldCharType="separate"/>
      </w:r>
      <w:r w:rsidR="003E4210">
        <w:rPr>
          <w:noProof/>
        </w:rPr>
        <w:t>76</w:t>
      </w:r>
      <w:r w:rsidR="00BD151C">
        <w:fldChar w:fldCharType="end"/>
      </w:r>
      <w:bookmarkEnd w:id="3364"/>
      <w:r w:rsidRPr="00066F65">
        <w:t xml:space="preserve"> </w:t>
      </w:r>
      <w:r w:rsidR="00A719A1" w:rsidRPr="00066F65">
        <w:t xml:space="preserve">– </w:t>
      </w:r>
      <w:r w:rsidRPr="00066F65">
        <w:t>Modulation and Coding Scheme for OFDM</w:t>
      </w:r>
      <w:bookmarkEnd w:id="3365"/>
      <w:bookmarkEnd w:id="3366"/>
      <w:bookmarkEnd w:id="3367"/>
      <w:r w:rsidR="00BE1F31">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527"/>
        <w:gridCol w:w="1527"/>
        <w:gridCol w:w="1319"/>
        <w:gridCol w:w="1244"/>
        <w:gridCol w:w="1373"/>
        <w:gridCol w:w="1244"/>
        <w:gridCol w:w="1684"/>
      </w:tblGrid>
      <w:tr w:rsidR="00212C3E" w:rsidRPr="00066F65" w:rsidTr="00711CC0">
        <w:trPr>
          <w:trHeight w:val="270"/>
        </w:trPr>
        <w:tc>
          <w:tcPr>
            <w:tcW w:w="770"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MCS index</w:t>
            </w:r>
          </w:p>
        </w:tc>
        <w:tc>
          <w:tcPr>
            <w:tcW w:w="770"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Modulation</w:t>
            </w:r>
          </w:p>
        </w:tc>
        <w:tc>
          <w:tcPr>
            <w:tcW w:w="665"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Code Rate</w:t>
            </w:r>
          </w:p>
        </w:tc>
        <w:tc>
          <w:tcPr>
            <w:tcW w:w="627"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NBPSC</w:t>
            </w:r>
          </w:p>
        </w:tc>
        <w:tc>
          <w:tcPr>
            <w:tcW w:w="692"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NCBPS</w:t>
            </w:r>
          </w:p>
        </w:tc>
        <w:tc>
          <w:tcPr>
            <w:tcW w:w="627"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NDBPS</w:t>
            </w:r>
          </w:p>
        </w:tc>
        <w:tc>
          <w:tcPr>
            <w:tcW w:w="849"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Data Rate</w:t>
            </w:r>
            <w:r w:rsidR="00711CC0" w:rsidRPr="009448FC">
              <w:rPr>
                <w:b/>
                <w:sz w:val="22"/>
              </w:rPr>
              <w:t xml:space="preserve"> (Mbps)</w:t>
            </w:r>
          </w:p>
        </w:tc>
      </w:tr>
      <w:tr w:rsidR="00212C3E" w:rsidRPr="00066F65" w:rsidTr="00711CC0">
        <w:trPr>
          <w:trHeight w:val="270"/>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3</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SQPSK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336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168</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693.00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4</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SQPSK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336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210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866.25</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5</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336</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1386.00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6</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420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1732.50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7</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504</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2079.00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8</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2772.00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9</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840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3465.00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E5471F" w:rsidP="00F201E6">
            <w:pPr>
              <w:jc w:val="center"/>
              <w:rPr>
                <w:sz w:val="22"/>
              </w:rPr>
            </w:pPr>
            <w:r>
              <w:rPr>
                <w:sz w:val="22"/>
              </w:rPr>
              <w:t>20</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1008</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4158.00</w:t>
            </w:r>
          </w:p>
        </w:tc>
      </w:tr>
      <w:tr w:rsidR="00582CE1" w:rsidRPr="00066F65" w:rsidTr="00711CC0">
        <w:trPr>
          <w:trHeight w:val="255"/>
        </w:trPr>
        <w:tc>
          <w:tcPr>
            <w:tcW w:w="770" w:type="pct"/>
            <w:shd w:val="clear" w:color="auto" w:fill="auto"/>
            <w:tcMar>
              <w:top w:w="9" w:type="dxa"/>
              <w:left w:w="9" w:type="dxa"/>
              <w:bottom w:w="0" w:type="dxa"/>
              <w:right w:w="9" w:type="dxa"/>
            </w:tcMar>
            <w:vAlign w:val="bottom"/>
          </w:tcPr>
          <w:p w:rsidR="00582CE1" w:rsidRPr="009448FC" w:rsidRDefault="00E5471F" w:rsidP="00F201E6">
            <w:pPr>
              <w:jc w:val="center"/>
              <w:rPr>
                <w:sz w:val="22"/>
              </w:rPr>
            </w:pPr>
            <w:r>
              <w:rPr>
                <w:sz w:val="22"/>
              </w:rPr>
              <w:t>21</w:t>
            </w:r>
          </w:p>
        </w:tc>
        <w:tc>
          <w:tcPr>
            <w:tcW w:w="770"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13/16</w:t>
            </w:r>
          </w:p>
        </w:tc>
        <w:tc>
          <w:tcPr>
            <w:tcW w:w="627"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1092</w:t>
            </w:r>
          </w:p>
        </w:tc>
        <w:tc>
          <w:tcPr>
            <w:tcW w:w="849"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4504.50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E5471F" w:rsidP="00F201E6">
            <w:pPr>
              <w:jc w:val="center"/>
              <w:rPr>
                <w:sz w:val="22"/>
              </w:rPr>
            </w:pPr>
            <w:r>
              <w:rPr>
                <w:sz w:val="22"/>
              </w:rPr>
              <w:t>22</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64-QAM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2016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1260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5197.50</w:t>
            </w:r>
          </w:p>
        </w:tc>
      </w:tr>
      <w:tr w:rsidR="00212C3E" w:rsidRPr="00066F65" w:rsidTr="00711CC0">
        <w:trPr>
          <w:trHeight w:val="270"/>
        </w:trPr>
        <w:tc>
          <w:tcPr>
            <w:tcW w:w="770" w:type="pct"/>
            <w:shd w:val="clear" w:color="auto" w:fill="auto"/>
            <w:tcMar>
              <w:top w:w="9" w:type="dxa"/>
              <w:left w:w="9" w:type="dxa"/>
              <w:bottom w:w="0" w:type="dxa"/>
              <w:right w:w="9" w:type="dxa"/>
            </w:tcMar>
            <w:vAlign w:val="bottom"/>
          </w:tcPr>
          <w:p w:rsidR="00212C3E" w:rsidRPr="009448FC" w:rsidRDefault="00386A1C" w:rsidP="00F201E6">
            <w:pPr>
              <w:jc w:val="center"/>
              <w:rPr>
                <w:sz w:val="22"/>
              </w:rPr>
            </w:pPr>
            <w:r>
              <w:rPr>
                <w:sz w:val="22"/>
              </w:rPr>
              <w:t>23</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64-QAM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2016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1512</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6237.00</w:t>
            </w:r>
          </w:p>
        </w:tc>
      </w:tr>
      <w:tr w:rsidR="000E2312" w:rsidRPr="00066F65" w:rsidTr="00711CC0">
        <w:trPr>
          <w:trHeight w:val="270"/>
        </w:trPr>
        <w:tc>
          <w:tcPr>
            <w:tcW w:w="770" w:type="pct"/>
            <w:shd w:val="clear" w:color="auto" w:fill="auto"/>
            <w:tcMar>
              <w:top w:w="9" w:type="dxa"/>
              <w:left w:w="9" w:type="dxa"/>
              <w:bottom w:w="0" w:type="dxa"/>
              <w:right w:w="9" w:type="dxa"/>
            </w:tcMar>
          </w:tcPr>
          <w:p w:rsidR="000E2312" w:rsidRPr="009448FC" w:rsidRDefault="00386A1C" w:rsidP="00F201E6">
            <w:pPr>
              <w:jc w:val="center"/>
              <w:rPr>
                <w:sz w:val="22"/>
              </w:rPr>
            </w:pPr>
            <w:r>
              <w:rPr>
                <w:sz w:val="22"/>
              </w:rPr>
              <w:t>24</w:t>
            </w:r>
          </w:p>
        </w:tc>
        <w:tc>
          <w:tcPr>
            <w:tcW w:w="770"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64-QAM</w:t>
            </w:r>
          </w:p>
        </w:tc>
        <w:tc>
          <w:tcPr>
            <w:tcW w:w="665"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13/16</w:t>
            </w:r>
          </w:p>
        </w:tc>
        <w:tc>
          <w:tcPr>
            <w:tcW w:w="627"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6</w:t>
            </w:r>
          </w:p>
        </w:tc>
        <w:tc>
          <w:tcPr>
            <w:tcW w:w="692"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2016</w:t>
            </w:r>
          </w:p>
        </w:tc>
        <w:tc>
          <w:tcPr>
            <w:tcW w:w="627"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1638</w:t>
            </w:r>
          </w:p>
        </w:tc>
        <w:tc>
          <w:tcPr>
            <w:tcW w:w="849"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6756.75</w:t>
            </w:r>
          </w:p>
        </w:tc>
      </w:tr>
    </w:tbl>
    <w:p w:rsidR="002F7CB1" w:rsidRDefault="002F7CB1" w:rsidP="00C024E7"/>
    <w:p w:rsidR="003E4724" w:rsidRDefault="005A3CF5">
      <w:r w:rsidRPr="009448FC">
        <w:t xml:space="preserve">MCS </w:t>
      </w:r>
      <w:r w:rsidR="003828C2" w:rsidRPr="009448FC">
        <w:t>1</w:t>
      </w:r>
      <w:r w:rsidR="003828C2">
        <w:t>7</w:t>
      </w:r>
      <w:r w:rsidR="003828C2" w:rsidRPr="009448FC">
        <w:t xml:space="preserve"> </w:t>
      </w:r>
      <w:r w:rsidRPr="009448FC">
        <w:t xml:space="preserve">and below are mandatory for </w:t>
      </w:r>
      <w:r w:rsidR="0077650E">
        <w:t xml:space="preserve">each Tx and Rx of </w:t>
      </w:r>
      <w:r w:rsidRPr="009448FC">
        <w:t>a device that supports OFDM.</w:t>
      </w:r>
      <w:r w:rsidR="0077650E">
        <w:t xml:space="preserve"> </w:t>
      </w:r>
    </w:p>
    <w:p w:rsidR="001A3D5A" w:rsidRPr="009448FC" w:rsidRDefault="00C024E7" w:rsidP="003701DB">
      <w:pPr>
        <w:pStyle w:val="Heading5"/>
        <w:keepNext w:val="0"/>
        <w:numPr>
          <w:ilvl w:val="4"/>
          <w:numId w:val="42"/>
        </w:numPr>
        <w:tabs>
          <w:tab w:val="clear" w:pos="1152"/>
        </w:tabs>
        <w:spacing w:after="60"/>
        <w:jc w:val="left"/>
      </w:pPr>
      <w:bookmarkStart w:id="3368" w:name="_Ref246680786"/>
      <w:bookmarkStart w:id="3369" w:name="_Ref246681686"/>
      <w:bookmarkStart w:id="3370" w:name="_Toc259717364"/>
      <w:r w:rsidRPr="009448FC">
        <w:t>Generation of the HCS bits</w:t>
      </w:r>
      <w:bookmarkEnd w:id="3368"/>
      <w:bookmarkEnd w:id="3369"/>
      <w:bookmarkEnd w:id="3370"/>
    </w:p>
    <w:p w:rsidR="001A3D5A" w:rsidRPr="009448FC" w:rsidRDefault="001A3D5A" w:rsidP="00970962">
      <w:r w:rsidRPr="009448FC">
        <w:t>Calculation of the HCS for bits 0-</w:t>
      </w:r>
      <w:r w:rsidR="00970962">
        <w:t>47</w:t>
      </w:r>
      <w:r w:rsidR="00BE1F31">
        <w:t xml:space="preserve"> </w:t>
      </w:r>
      <w:r w:rsidRPr="009448FC">
        <w:t xml:space="preserve">of the header is defined in subclause </w:t>
      </w:r>
      <w:r w:rsidR="00BD151C">
        <w:fldChar w:fldCharType="begin"/>
      </w:r>
      <w:r>
        <w:instrText xml:space="preserve"> REF _Ref221600297 \r \h </w:instrText>
      </w:r>
      <w:r w:rsidR="00BD151C">
        <w:fldChar w:fldCharType="separate"/>
      </w:r>
      <w:r w:rsidR="003E4210">
        <w:t>21.3.7</w:t>
      </w:r>
      <w:r w:rsidR="00BD151C">
        <w:fldChar w:fldCharType="end"/>
      </w:r>
      <w:r w:rsidRPr="009448FC">
        <w:t>.</w:t>
      </w:r>
    </w:p>
    <w:p w:rsidR="00C024E7" w:rsidRPr="009448FC" w:rsidRDefault="00C024E7" w:rsidP="003701DB">
      <w:pPr>
        <w:pStyle w:val="Heading5"/>
        <w:keepNext w:val="0"/>
        <w:numPr>
          <w:ilvl w:val="4"/>
          <w:numId w:val="42"/>
        </w:numPr>
        <w:tabs>
          <w:tab w:val="clear" w:pos="1152"/>
        </w:tabs>
        <w:spacing w:after="60"/>
        <w:jc w:val="left"/>
      </w:pPr>
      <w:bookmarkStart w:id="3371" w:name="_Ref207349498"/>
      <w:bookmarkStart w:id="3372" w:name="_Toc215583004"/>
      <w:bookmarkStart w:id="3373" w:name="_Toc235400696"/>
      <w:bookmarkStart w:id="3374" w:name="_Toc259717365"/>
      <w:r w:rsidRPr="009448FC">
        <w:t>Header encoding and modulation</w:t>
      </w:r>
      <w:bookmarkEnd w:id="3371"/>
      <w:bookmarkEnd w:id="3372"/>
      <w:bookmarkEnd w:id="3373"/>
      <w:bookmarkEnd w:id="3374"/>
    </w:p>
    <w:p w:rsidR="007F1723" w:rsidRPr="009448FC" w:rsidRDefault="007F1723" w:rsidP="007F1723">
      <w:pPr>
        <w:pStyle w:val="NormalIndent"/>
      </w:pPr>
    </w:p>
    <w:p w:rsidR="007F1723" w:rsidRPr="009448FC" w:rsidRDefault="007F1723" w:rsidP="007F1723">
      <w:pPr>
        <w:autoSpaceDE w:val="0"/>
        <w:autoSpaceDN w:val="0"/>
        <w:adjustRightInd w:val="0"/>
        <w:rPr>
          <w:rFonts w:eastAsia="MS Mincho"/>
        </w:rPr>
      </w:pPr>
      <w:r w:rsidRPr="009448FC">
        <w:rPr>
          <w:rFonts w:eastAsia="MS Mincho"/>
        </w:rPr>
        <w:t xml:space="preserve">The header </w:t>
      </w:r>
      <w:r w:rsidR="00C458A7" w:rsidRPr="009448FC">
        <w:rPr>
          <w:rFonts w:eastAsia="MS Mincho"/>
        </w:rPr>
        <w:t>is</w:t>
      </w:r>
      <w:r w:rsidRPr="009448FC">
        <w:rPr>
          <w:rFonts w:eastAsia="MS Mincho"/>
        </w:rPr>
        <w:t xml:space="preserve"> encoded using a single OFDM symbol. The bits are scrambled and encoded as follows:</w:t>
      </w:r>
    </w:p>
    <w:p w:rsidR="007F1723" w:rsidRPr="009448FC" w:rsidRDefault="007F1723" w:rsidP="007F1723">
      <w:pPr>
        <w:autoSpaceDE w:val="0"/>
        <w:autoSpaceDN w:val="0"/>
        <w:adjustRightInd w:val="0"/>
        <w:rPr>
          <w:rFonts w:eastAsia="MS Mincho"/>
        </w:rPr>
      </w:pP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The 64 header bits (</w:t>
      </w:r>
      <w:r w:rsidRPr="009448FC">
        <w:t>b</w:t>
      </w:r>
      <w:r w:rsidRPr="009448FC">
        <w:rPr>
          <w:vertAlign w:val="subscript"/>
        </w:rPr>
        <w:t>1</w:t>
      </w:r>
      <w:r w:rsidRPr="009448FC">
        <w:t>, b</w:t>
      </w:r>
      <w:r w:rsidRPr="009448FC">
        <w:rPr>
          <w:vertAlign w:val="subscript"/>
        </w:rPr>
        <w:t>2</w:t>
      </w:r>
      <w:r w:rsidRPr="009448FC">
        <w:t>, …, b</w:t>
      </w:r>
      <w:r w:rsidRPr="009448FC">
        <w:rPr>
          <w:vertAlign w:val="subscript"/>
        </w:rPr>
        <w:t>LH</w:t>
      </w:r>
      <w:r w:rsidRPr="009448FC">
        <w:rPr>
          <w:rFonts w:eastAsia="MS Mincho"/>
        </w:rPr>
        <w:t xml:space="preserve">), where LH = 64, are scrambled as described in </w:t>
      </w:r>
      <w:fldSimple w:instr=" REF _Ref221601546 \r \h  \* MERGEFORMAT ">
        <w:r w:rsidR="003E4210" w:rsidRPr="003E4210">
          <w:rPr>
            <w:rFonts w:eastAsia="MS Mincho"/>
          </w:rPr>
          <w:t>21.3.9</w:t>
        </w:r>
      </w:fldSimple>
      <w:r w:rsidRPr="009448FC">
        <w:rPr>
          <w:rFonts w:eastAsia="MS Mincho"/>
        </w:rPr>
        <w:t xml:space="preserve">, starting from the eighth bit, to create </w:t>
      </w:r>
      <w:r w:rsidRPr="009448FC">
        <w:rPr>
          <w:rFonts w:eastAsia="MS Mincho"/>
          <w:b/>
        </w:rPr>
        <w:t>q</w:t>
      </w:r>
      <w:r w:rsidRPr="009448FC">
        <w:rPr>
          <w:rFonts w:eastAsia="MS Mincho"/>
        </w:rPr>
        <w:t>=(q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003C282E">
        <w:rPr>
          <w:rFonts w:eastAsia="MS Mincho"/>
        </w:rPr>
        <w:t>).</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The sequence </w:t>
      </w:r>
      <w:r w:rsidRPr="009448FC">
        <w:rPr>
          <w:rFonts w:eastAsia="MS Mincho"/>
          <w:b/>
        </w:rPr>
        <w:t>q</w:t>
      </w:r>
      <w:r w:rsidRPr="009448FC">
        <w:rPr>
          <w:rFonts w:eastAsia="MS Mincho"/>
        </w:rPr>
        <w:t xml:space="preserve"> is padded with 440 zeros to obtain a total of 504 bits,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,0</w:t>
      </w:r>
      <w:r w:rsidRPr="009448FC">
        <w:rPr>
          <w:rFonts w:eastAsia="MS Mincho"/>
          <w:vertAlign w:val="subscript"/>
        </w:rPr>
        <w:t>LH+1</w:t>
      </w:r>
      <w:r w:rsidRPr="009448FC">
        <w:rPr>
          <w:rFonts w:eastAsia="MS Mincho"/>
        </w:rPr>
        <w:t>,0</w:t>
      </w:r>
      <w:r w:rsidRPr="009448FC">
        <w:rPr>
          <w:rFonts w:eastAsia="MS Mincho"/>
          <w:vertAlign w:val="subscript"/>
        </w:rPr>
        <w:t>LH+2</w:t>
      </w:r>
      <w:r w:rsidRPr="009448FC">
        <w:rPr>
          <w:rFonts w:eastAsia="MS Mincho"/>
        </w:rPr>
        <w:t>,…0</w:t>
      </w:r>
      <w:r w:rsidRPr="009448FC">
        <w:rPr>
          <w:rFonts w:eastAsia="MS Mincho"/>
          <w:vertAlign w:val="subscript"/>
        </w:rPr>
        <w:t>504</w:t>
      </w:r>
      <w:r w:rsidRPr="009448FC">
        <w:rPr>
          <w:rFonts w:eastAsia="MS Mincho"/>
        </w:rPr>
        <w:t xml:space="preserve">), which are then encoded using the rate-3/4 LDPC code as described in </w:t>
      </w:r>
      <w:r w:rsidR="00BD151C" w:rsidRPr="009448FC">
        <w:rPr>
          <w:rFonts w:eastAsia="MS Mincho"/>
        </w:rPr>
        <w:fldChar w:fldCharType="begin"/>
      </w:r>
      <w:r w:rsidR="006752CC" w:rsidRPr="009448FC">
        <w:rPr>
          <w:rFonts w:eastAsia="MS Mincho"/>
        </w:rPr>
        <w:instrText xml:space="preserve"> REF _Ref207611114 \r \h </w:instrText>
      </w:r>
      <w:r w:rsidR="00BD151C" w:rsidRPr="009448FC">
        <w:rPr>
          <w:rFonts w:eastAsia="MS Mincho"/>
        </w:rPr>
      </w:r>
      <w:r w:rsidR="00BD151C" w:rsidRPr="009448FC">
        <w:rPr>
          <w:rFonts w:eastAsia="MS Mincho"/>
        </w:rPr>
        <w:fldChar w:fldCharType="separate"/>
      </w:r>
      <w:r w:rsidR="003E4210">
        <w:rPr>
          <w:rFonts w:eastAsia="MS Mincho"/>
        </w:rPr>
        <w:t>21.5.3.2.2.2</w:t>
      </w:r>
      <w:r w:rsidR="00BD151C" w:rsidRPr="009448FC">
        <w:rPr>
          <w:rFonts w:eastAsia="MS Mincho"/>
        </w:rPr>
        <w:fldChar w:fldCharType="end"/>
      </w:r>
      <w:r w:rsidRPr="009448FC">
        <w:rPr>
          <w:rFonts w:eastAsia="MS Mincho"/>
        </w:rPr>
        <w:t>.</w:t>
      </w:r>
      <w:r w:rsidR="00281486" w:rsidRPr="009448FC">
        <w:rPr>
          <w:rFonts w:eastAsia="MS Mincho"/>
        </w:rPr>
        <w:t xml:space="preserve"> </w:t>
      </w:r>
      <w:r w:rsidRPr="009448FC">
        <w:rPr>
          <w:rFonts w:eastAsia="MS Mincho"/>
        </w:rPr>
        <w:t>168 parity bits, 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168</w:t>
      </w:r>
      <w:r w:rsidRPr="009448FC">
        <w:rPr>
          <w:rFonts w:eastAsia="MS Mincho"/>
        </w:rPr>
        <w:t>, are generated.</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A sequence </w:t>
      </w:r>
      <w:r w:rsidRPr="009448FC">
        <w:rPr>
          <w:rFonts w:eastAsia="MS Mincho"/>
          <w:b/>
        </w:rPr>
        <w:t>c</w:t>
      </w:r>
      <w:r w:rsidRPr="009448FC">
        <w:rPr>
          <w:rFonts w:eastAsia="MS Mincho"/>
          <w:b/>
          <w:vertAlign w:val="subscript"/>
        </w:rPr>
        <w:t>1</w:t>
      </w:r>
      <w:r w:rsidRPr="009448FC">
        <w:rPr>
          <w:rFonts w:eastAsia="MS Mincho"/>
        </w:rPr>
        <w:t xml:space="preserve"> is generated as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9</w:t>
      </w:r>
      <w:r w:rsidRPr="009448FC">
        <w:rPr>
          <w:rFonts w:eastAsia="MS Mincho"/>
        </w:rPr>
        <w:t>,p</w:t>
      </w:r>
      <w:r w:rsidRPr="009448FC">
        <w:rPr>
          <w:rFonts w:eastAsia="MS Mincho"/>
          <w:vertAlign w:val="subscript"/>
        </w:rPr>
        <w:t>10</w:t>
      </w:r>
      <w:r w:rsidRPr="009448FC">
        <w:rPr>
          <w:rFonts w:eastAsia="MS Mincho"/>
        </w:rPr>
        <w:t>,…p</w:t>
      </w:r>
      <w:r w:rsidRPr="009448FC">
        <w:rPr>
          <w:rFonts w:eastAsia="MS Mincho"/>
          <w:vertAlign w:val="subscript"/>
        </w:rPr>
        <w:t>168</w:t>
      </w:r>
      <w:r w:rsidRPr="009448FC">
        <w:rPr>
          <w:rFonts w:eastAsia="MS Mincho"/>
        </w:rPr>
        <w:t>).</w:t>
      </w:r>
    </w:p>
    <w:p w:rsidR="007F1723" w:rsidRPr="009448FC" w:rsidRDefault="007F1723" w:rsidP="003701DB">
      <w:pPr>
        <w:numPr>
          <w:ilvl w:val="0"/>
          <w:numId w:val="91"/>
        </w:numPr>
        <w:autoSpaceDE w:val="0"/>
        <w:autoSpaceDN w:val="0"/>
        <w:adjustRightInd w:val="0"/>
        <w:rPr>
          <w:rFonts w:eastAsia="MS Mincho"/>
        </w:rPr>
      </w:pPr>
      <w:bookmarkStart w:id="3375" w:name="_Ref249678321"/>
      <w:r w:rsidRPr="009448FC">
        <w:rPr>
          <w:rFonts w:eastAsia="MS Mincho"/>
        </w:rPr>
        <w:lastRenderedPageBreak/>
        <w:t xml:space="preserve">A sequence </w:t>
      </w:r>
      <w:r w:rsidRPr="009448FC">
        <w:rPr>
          <w:rFonts w:eastAsia="MS Mincho"/>
          <w:b/>
        </w:rPr>
        <w:t>c</w:t>
      </w:r>
      <w:r w:rsidRPr="009448FC">
        <w:rPr>
          <w:rFonts w:eastAsia="MS Mincho"/>
          <w:b/>
          <w:vertAlign w:val="subscript"/>
        </w:rPr>
        <w:t>2</w:t>
      </w:r>
      <w:r w:rsidRPr="009448FC">
        <w:rPr>
          <w:rFonts w:eastAsia="MS Mincho"/>
        </w:rPr>
        <w:t xml:space="preserve"> is generated as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84</w:t>
      </w:r>
      <w:r w:rsidRPr="009448FC">
        <w:rPr>
          <w:rFonts w:eastAsia="MS Mincho"/>
        </w:rPr>
        <w:t>, p</w:t>
      </w:r>
      <w:r w:rsidRPr="009448FC">
        <w:rPr>
          <w:rFonts w:eastAsia="MS Mincho"/>
          <w:vertAlign w:val="subscript"/>
        </w:rPr>
        <w:t>93</w:t>
      </w:r>
      <w:r w:rsidRPr="009448FC">
        <w:rPr>
          <w:rFonts w:eastAsia="MS Mincho"/>
        </w:rPr>
        <w:t>,p</w:t>
      </w:r>
      <w:r w:rsidRPr="009448FC">
        <w:rPr>
          <w:rFonts w:eastAsia="MS Mincho"/>
          <w:vertAlign w:val="subscript"/>
        </w:rPr>
        <w:t>94</w:t>
      </w:r>
      <w:r w:rsidRPr="009448FC">
        <w:rPr>
          <w:rFonts w:eastAsia="MS Mincho"/>
        </w:rPr>
        <w:t>,…p</w:t>
      </w:r>
      <w:r w:rsidRPr="009448FC">
        <w:rPr>
          <w:rFonts w:eastAsia="MS Mincho"/>
          <w:vertAlign w:val="subscript"/>
        </w:rPr>
        <w:t>168</w:t>
      </w:r>
      <w:r w:rsidRPr="009448FC">
        <w:rPr>
          <w:rFonts w:eastAsia="MS Mincho"/>
        </w:rPr>
        <w:t xml:space="preserve">) XORed with the one-time pad sequence </w:t>
      </w:r>
      <w:r w:rsidR="006752CC" w:rsidRPr="009448FC">
        <w:rPr>
          <w:rFonts w:eastAsia="MS Mincho"/>
        </w:rPr>
        <w:t xml:space="preserve">generated using the scrambler defined in </w:t>
      </w:r>
      <w:r w:rsidR="00BD151C" w:rsidRPr="009448FC">
        <w:rPr>
          <w:rFonts w:eastAsia="MS Mincho"/>
        </w:rPr>
        <w:fldChar w:fldCharType="begin"/>
      </w:r>
      <w:r w:rsidR="006752CC" w:rsidRPr="009448FC">
        <w:rPr>
          <w:rFonts w:eastAsia="MS Mincho"/>
        </w:rPr>
        <w:instrText xml:space="preserve"> REF _Ref221601546 \r \h </w:instrText>
      </w:r>
      <w:r w:rsidR="00BD151C" w:rsidRPr="009448FC">
        <w:rPr>
          <w:rFonts w:eastAsia="MS Mincho"/>
        </w:rPr>
      </w:r>
      <w:r w:rsidR="00BD151C" w:rsidRPr="009448FC">
        <w:rPr>
          <w:rFonts w:eastAsia="MS Mincho"/>
        </w:rPr>
        <w:fldChar w:fldCharType="separate"/>
      </w:r>
      <w:r w:rsidR="003E4210">
        <w:rPr>
          <w:rFonts w:eastAsia="MS Mincho"/>
        </w:rPr>
        <w:t>21.3.9</w:t>
      </w:r>
      <w:r w:rsidR="00BD151C" w:rsidRPr="009448FC">
        <w:rPr>
          <w:rFonts w:eastAsia="MS Mincho"/>
        </w:rPr>
        <w:fldChar w:fldCharType="end"/>
      </w:r>
      <w:r w:rsidR="006752CC" w:rsidRPr="009448FC">
        <w:rPr>
          <w:rFonts w:eastAsia="MS Mincho"/>
        </w:rPr>
        <w:t xml:space="preserve">, </w:t>
      </w:r>
      <w:r w:rsidR="00685D41" w:rsidRPr="009448FC">
        <w:rPr>
          <w:rFonts w:eastAsia="MS Mincho"/>
        </w:rPr>
        <w:t>with the shift register is initialized to all ones.</w:t>
      </w:r>
      <w:bookmarkEnd w:id="3375"/>
      <w:r w:rsidR="00BE1F31">
        <w:rPr>
          <w:rFonts w:eastAsia="MS Mincho"/>
        </w:rPr>
        <w:t xml:space="preserve"> </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A sequence </w:t>
      </w:r>
      <w:r w:rsidRPr="009448FC">
        <w:rPr>
          <w:rFonts w:eastAsia="MS Mincho"/>
          <w:b/>
        </w:rPr>
        <w:t>c</w:t>
      </w:r>
      <w:r w:rsidRPr="009448FC">
        <w:rPr>
          <w:rFonts w:eastAsia="MS Mincho"/>
          <w:b/>
          <w:vertAlign w:val="subscript"/>
        </w:rPr>
        <w:t>3</w:t>
      </w:r>
      <w:r w:rsidRPr="009448FC">
        <w:rPr>
          <w:rFonts w:eastAsia="MS Mincho"/>
        </w:rPr>
        <w:t xml:space="preserve"> is generated as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160</w:t>
      </w:r>
      <w:r w:rsidRPr="009448FC">
        <w:rPr>
          <w:rFonts w:eastAsia="MS Mincho"/>
        </w:rPr>
        <w:t>) XORed with the one-time pad sequence</w:t>
      </w:r>
      <w:r w:rsidR="00685D41" w:rsidRPr="009448FC">
        <w:rPr>
          <w:rFonts w:eastAsia="MS Mincho"/>
        </w:rPr>
        <w:t xml:space="preserve">, generated using the scrambler defined in </w:t>
      </w:r>
      <w:r w:rsidR="00BD151C" w:rsidRPr="009448FC">
        <w:rPr>
          <w:rFonts w:eastAsia="MS Mincho"/>
        </w:rPr>
        <w:fldChar w:fldCharType="begin"/>
      </w:r>
      <w:r w:rsidR="00685D41" w:rsidRPr="009448FC">
        <w:rPr>
          <w:rFonts w:eastAsia="MS Mincho"/>
        </w:rPr>
        <w:instrText xml:space="preserve"> REF _Ref221601546 \r \h </w:instrText>
      </w:r>
      <w:r w:rsidR="00BD151C" w:rsidRPr="009448FC">
        <w:rPr>
          <w:rFonts w:eastAsia="MS Mincho"/>
        </w:rPr>
      </w:r>
      <w:r w:rsidR="00BD151C" w:rsidRPr="009448FC">
        <w:rPr>
          <w:rFonts w:eastAsia="MS Mincho"/>
        </w:rPr>
        <w:fldChar w:fldCharType="separate"/>
      </w:r>
      <w:r w:rsidR="003E4210">
        <w:rPr>
          <w:rFonts w:eastAsia="MS Mincho"/>
        </w:rPr>
        <w:t>21.3.9</w:t>
      </w:r>
      <w:r w:rsidR="00BD151C" w:rsidRPr="009448FC">
        <w:rPr>
          <w:rFonts w:eastAsia="MS Mincho"/>
        </w:rPr>
        <w:fldChar w:fldCharType="end"/>
      </w:r>
      <w:r w:rsidR="00685D41" w:rsidRPr="009448FC">
        <w:rPr>
          <w:rFonts w:eastAsia="MS Mincho"/>
        </w:rPr>
        <w:t xml:space="preserve">, as a continuation to of the sequence used in step </w:t>
      </w:r>
      <w:r w:rsidR="00BD151C" w:rsidRPr="009448FC">
        <w:rPr>
          <w:rFonts w:eastAsia="MS Mincho"/>
        </w:rPr>
        <w:fldChar w:fldCharType="begin"/>
      </w:r>
      <w:r w:rsidR="00685D41" w:rsidRPr="009448FC">
        <w:rPr>
          <w:rFonts w:eastAsia="MS Mincho"/>
        </w:rPr>
        <w:instrText xml:space="preserve"> REF _Ref249678321 \r \h </w:instrText>
      </w:r>
      <w:r w:rsidR="00BD151C" w:rsidRPr="009448FC">
        <w:rPr>
          <w:rFonts w:eastAsia="MS Mincho"/>
        </w:rPr>
      </w:r>
      <w:r w:rsidR="00BD151C" w:rsidRPr="009448FC">
        <w:rPr>
          <w:rFonts w:eastAsia="MS Mincho"/>
        </w:rPr>
        <w:fldChar w:fldCharType="separate"/>
      </w:r>
      <w:r w:rsidR="003E4210">
        <w:rPr>
          <w:rFonts w:eastAsia="MS Mincho"/>
        </w:rPr>
        <w:t>(4)</w:t>
      </w:r>
      <w:r w:rsidR="00BD151C" w:rsidRPr="009448FC">
        <w:rPr>
          <w:rFonts w:eastAsia="MS Mincho"/>
        </w:rPr>
        <w:fldChar w:fldCharType="end"/>
      </w:r>
      <w:r w:rsidR="00685D41" w:rsidRPr="009448FC">
        <w:rPr>
          <w:rFonts w:eastAsia="MS Mincho"/>
        </w:rPr>
        <w:t>.</w:t>
      </w:r>
      <w:r w:rsidRPr="009448FC">
        <w:rPr>
          <w:rFonts w:eastAsia="MS Mincho"/>
        </w:rPr>
        <w:t xml:space="preserve"> </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The sequences </w:t>
      </w:r>
      <w:r w:rsidRPr="009448FC">
        <w:rPr>
          <w:rFonts w:eastAsia="MS Mincho"/>
          <w:b/>
        </w:rPr>
        <w:t>c</w:t>
      </w:r>
      <w:r w:rsidRPr="009448FC">
        <w:rPr>
          <w:rFonts w:eastAsia="MS Mincho"/>
          <w:b/>
          <w:vertAlign w:val="subscript"/>
        </w:rPr>
        <w:t>1</w:t>
      </w:r>
      <w:r w:rsidRPr="009448FC">
        <w:rPr>
          <w:rFonts w:eastAsia="MS Mincho"/>
        </w:rPr>
        <w:t>,</w:t>
      </w:r>
      <w:r w:rsidRPr="009448FC">
        <w:rPr>
          <w:rFonts w:eastAsia="MS Mincho"/>
          <w:b/>
        </w:rPr>
        <w:t>c</w:t>
      </w:r>
      <w:r w:rsidRPr="009448FC">
        <w:rPr>
          <w:rFonts w:eastAsia="MS Mincho"/>
          <w:b/>
          <w:vertAlign w:val="subscript"/>
        </w:rPr>
        <w:t>2</w:t>
      </w:r>
      <w:r w:rsidRPr="009448FC">
        <w:rPr>
          <w:rFonts w:eastAsia="MS Mincho"/>
        </w:rPr>
        <w:t xml:space="preserve"> and </w:t>
      </w:r>
      <w:r w:rsidRPr="009448FC">
        <w:rPr>
          <w:rFonts w:eastAsia="MS Mincho"/>
          <w:b/>
        </w:rPr>
        <w:t>c</w:t>
      </w:r>
      <w:r w:rsidRPr="009448FC">
        <w:rPr>
          <w:rFonts w:eastAsia="MS Mincho"/>
          <w:b/>
          <w:vertAlign w:val="subscript"/>
        </w:rPr>
        <w:t>3</w:t>
      </w:r>
      <w:r w:rsidRPr="009448FC">
        <w:rPr>
          <w:rFonts w:eastAsia="MS Mincho"/>
        </w:rPr>
        <w:t xml:space="preserve"> are concatenated to form the 672-bit sequence </w:t>
      </w:r>
      <w:r w:rsidRPr="009448FC">
        <w:rPr>
          <w:rFonts w:eastAsia="MS Mincho"/>
          <w:b/>
        </w:rPr>
        <w:t>d</w:t>
      </w:r>
      <w:r w:rsidRPr="009448FC">
        <w:rPr>
          <w:rFonts w:eastAsia="MS Mincho"/>
        </w:rPr>
        <w:t>=(d</w:t>
      </w:r>
      <w:r w:rsidRPr="009448FC">
        <w:rPr>
          <w:rFonts w:eastAsia="MS Mincho"/>
          <w:vertAlign w:val="subscript"/>
        </w:rPr>
        <w:t>1</w:t>
      </w:r>
      <w:r w:rsidRPr="009448FC">
        <w:rPr>
          <w:rFonts w:eastAsia="MS Mincho"/>
        </w:rPr>
        <w:t>,d</w:t>
      </w:r>
      <w:r w:rsidRPr="009448FC">
        <w:rPr>
          <w:rFonts w:eastAsia="MS Mincho"/>
          <w:vertAlign w:val="subscript"/>
        </w:rPr>
        <w:t>2</w:t>
      </w:r>
      <w:r w:rsidRPr="009448FC">
        <w:rPr>
          <w:rFonts w:eastAsia="MS Mincho"/>
        </w:rPr>
        <w:t>,d</w:t>
      </w:r>
      <w:r w:rsidRPr="009448FC">
        <w:rPr>
          <w:rFonts w:eastAsia="MS Mincho"/>
          <w:vertAlign w:val="subscript"/>
        </w:rPr>
        <w:t>3</w:t>
      </w:r>
      <w:r w:rsidRPr="009448FC">
        <w:rPr>
          <w:rFonts w:eastAsia="MS Mincho"/>
        </w:rPr>
        <w:t>,…,d</w:t>
      </w:r>
      <w:r w:rsidRPr="009448FC">
        <w:rPr>
          <w:rFonts w:eastAsia="MS Mincho"/>
          <w:vertAlign w:val="subscript"/>
        </w:rPr>
        <w:t>672</w:t>
      </w:r>
      <w:r w:rsidRPr="009448FC">
        <w:rPr>
          <w:rFonts w:eastAsia="MS Mincho"/>
        </w:rPr>
        <w:t>)=(</w:t>
      </w:r>
      <w:r w:rsidRPr="009448FC">
        <w:rPr>
          <w:rFonts w:eastAsia="MS Mincho"/>
          <w:b/>
        </w:rPr>
        <w:t>c</w:t>
      </w:r>
      <w:r w:rsidRPr="009448FC">
        <w:rPr>
          <w:rFonts w:eastAsia="MS Mincho"/>
          <w:b/>
          <w:vertAlign w:val="subscript"/>
        </w:rPr>
        <w:t>1</w:t>
      </w:r>
      <w:r w:rsidRPr="009448FC">
        <w:rPr>
          <w:rFonts w:eastAsia="MS Mincho"/>
        </w:rPr>
        <w:t>,</w:t>
      </w:r>
      <w:r w:rsidRPr="009448FC">
        <w:rPr>
          <w:rFonts w:eastAsia="MS Mincho"/>
          <w:b/>
        </w:rPr>
        <w:t>c</w:t>
      </w:r>
      <w:r w:rsidRPr="009448FC">
        <w:rPr>
          <w:rFonts w:eastAsia="MS Mincho"/>
          <w:b/>
          <w:vertAlign w:val="subscript"/>
        </w:rPr>
        <w:t>2</w:t>
      </w:r>
      <w:r w:rsidRPr="009448FC">
        <w:rPr>
          <w:rFonts w:eastAsia="MS Mincho"/>
        </w:rPr>
        <w:t>,</w:t>
      </w:r>
      <w:r w:rsidRPr="009448FC">
        <w:rPr>
          <w:rFonts w:eastAsia="MS Mincho"/>
          <w:b/>
        </w:rPr>
        <w:t>c</w:t>
      </w:r>
      <w:r w:rsidRPr="009448FC">
        <w:rPr>
          <w:rFonts w:eastAsia="MS Mincho"/>
          <w:b/>
          <w:vertAlign w:val="subscript"/>
        </w:rPr>
        <w:t>3</w:t>
      </w:r>
      <w:r w:rsidR="003C282E">
        <w:rPr>
          <w:rFonts w:eastAsia="MS Mincho"/>
        </w:rPr>
        <w:t>).</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The 672-bit sequence, </w:t>
      </w:r>
      <w:r w:rsidRPr="009448FC">
        <w:rPr>
          <w:rFonts w:eastAsia="MS Mincho"/>
          <w:b/>
        </w:rPr>
        <w:t>d</w:t>
      </w:r>
      <w:r w:rsidRPr="009448FC">
        <w:rPr>
          <w:rFonts w:eastAsia="MS Mincho"/>
        </w:rPr>
        <w:t xml:space="preserve">, is then mapped as QPSK as described in </w:t>
      </w:r>
      <w:fldSimple w:instr=" REF _Ref242786514 \r \h  \* MERGEFORMAT ">
        <w:r w:rsidR="003E4210" w:rsidRPr="003E4210">
          <w:rPr>
            <w:rFonts w:eastAsia="MS Mincho"/>
          </w:rPr>
          <w:t>21.5.3.2.3.2</w:t>
        </w:r>
      </w:fldSimple>
      <w:r w:rsidRPr="009448FC">
        <w:rPr>
          <w:rFonts w:eastAsia="MS Mincho"/>
        </w:rPr>
        <w:t xml:space="preserve">, pilots are inserted as described in </w:t>
      </w:r>
      <w:fldSimple w:instr=" REF _Ref207536165 \r \h  \* MERGEFORMAT ">
        <w:r w:rsidR="003E4210" w:rsidRPr="003E4210">
          <w:rPr>
            <w:rFonts w:eastAsia="MS Mincho"/>
          </w:rPr>
          <w:t>21.5.3.2.4</w:t>
        </w:r>
      </w:fldSimple>
      <w:r w:rsidRPr="009448FC">
        <w:rPr>
          <w:rFonts w:eastAsia="MS Mincho"/>
        </w:rPr>
        <w:t xml:space="preserve"> and the resulting sequence is modulated as an OFDM symbol as described in </w:t>
      </w:r>
      <w:fldSimple w:instr=" REF _Ref208137223 \r \h  \* MERGEFORMAT ">
        <w:r w:rsidR="003E4210" w:rsidRPr="003E4210">
          <w:rPr>
            <w:rFonts w:eastAsia="MS Mincho"/>
          </w:rPr>
          <w:t>21.5.3.2.5</w:t>
        </w:r>
      </w:fldSimple>
      <w:r w:rsidRPr="009448FC">
        <w:rPr>
          <w:rFonts w:eastAsia="MS Mincho"/>
        </w:rPr>
        <w:t>.</w:t>
      </w:r>
      <w:r w:rsidRPr="009448FC">
        <w:t xml:space="preserve"> </w:t>
      </w:r>
    </w:p>
    <w:p w:rsidR="00C024E7" w:rsidRPr="009448FC" w:rsidRDefault="00C024E7" w:rsidP="00C024E7">
      <w:pPr>
        <w:rPr>
          <w:b/>
        </w:rPr>
      </w:pPr>
    </w:p>
    <w:p w:rsidR="00C024E7" w:rsidRPr="009448FC" w:rsidRDefault="00C024E7" w:rsidP="003701DB">
      <w:pPr>
        <w:pStyle w:val="Heading4"/>
        <w:numPr>
          <w:ilvl w:val="3"/>
          <w:numId w:val="42"/>
        </w:numPr>
      </w:pPr>
      <w:bookmarkStart w:id="3376" w:name="_Toc215555092"/>
      <w:bookmarkStart w:id="3377" w:name="_Toc215583006"/>
      <w:bookmarkStart w:id="3378" w:name="_Toc215583008"/>
      <w:bookmarkStart w:id="3379" w:name="_Toc235400697"/>
      <w:bookmarkStart w:id="3380" w:name="_Toc259717366"/>
      <w:bookmarkStart w:id="3381" w:name="_Toc201721951"/>
      <w:bookmarkStart w:id="3382" w:name="_Toc206227691"/>
      <w:bookmarkStart w:id="3383" w:name="_Toc206415638"/>
      <w:bookmarkStart w:id="3384" w:name="_Toc206418445"/>
      <w:bookmarkStart w:id="3385" w:name="_Toc207099200"/>
      <w:bookmarkStart w:id="3386" w:name="_Toc207099805"/>
      <w:bookmarkStart w:id="3387" w:name="_Toc207100724"/>
      <w:bookmarkStart w:id="3388" w:name="_Toc207348646"/>
      <w:bookmarkEnd w:id="3348"/>
      <w:bookmarkEnd w:id="3349"/>
      <w:bookmarkEnd w:id="3350"/>
      <w:bookmarkEnd w:id="3351"/>
      <w:bookmarkEnd w:id="3352"/>
      <w:bookmarkEnd w:id="3353"/>
      <w:bookmarkEnd w:id="3354"/>
      <w:bookmarkEnd w:id="3355"/>
      <w:bookmarkEnd w:id="3376"/>
      <w:bookmarkEnd w:id="3377"/>
      <w:r w:rsidRPr="009448FC">
        <w:t xml:space="preserve">The Data </w:t>
      </w:r>
      <w:r w:rsidR="00293BD2">
        <w:t>f</w:t>
      </w:r>
      <w:r w:rsidRPr="009448FC">
        <w:t>ield</w:t>
      </w:r>
      <w:bookmarkEnd w:id="3378"/>
      <w:bookmarkEnd w:id="3379"/>
      <w:bookmarkEnd w:id="3380"/>
    </w:p>
    <w:p w:rsidR="00C024E7" w:rsidRPr="009448FC" w:rsidRDefault="00C024E7" w:rsidP="00C024E7">
      <w:r w:rsidRPr="009448FC">
        <w:t>The data field consists of the payload data of the PSDU and possible padding.</w:t>
      </w:r>
      <w:r w:rsidR="00281486" w:rsidRPr="009448FC">
        <w:t xml:space="preserve"> </w:t>
      </w:r>
      <w:r w:rsidRPr="009448FC">
        <w:t>The data are padded with zeros, scrambled, encoded and modulated as described in the following subclauses.</w:t>
      </w:r>
      <w:r w:rsidR="00281486" w:rsidRPr="009448FC">
        <w:t xml:space="preserve"> </w:t>
      </w:r>
      <w:r w:rsidRPr="009448FC">
        <w:t xml:space="preserve">The amount of padding is defined in subclause </w:t>
      </w:r>
      <w:fldSimple w:instr=" REF _Ref207421616 \r \h  \* MERGEFORMAT ">
        <w:r w:rsidR="003E4210">
          <w:t>21.5.3.2.2</w:t>
        </w:r>
      </w:fldSimple>
      <w:r w:rsidR="00321864" w:rsidRPr="009448FC">
        <w:t>.</w:t>
      </w:r>
    </w:p>
    <w:p w:rsidR="007F08F0" w:rsidRPr="009448FC" w:rsidRDefault="00C024E7" w:rsidP="003701DB">
      <w:pPr>
        <w:pStyle w:val="Heading5"/>
        <w:keepNext w:val="0"/>
        <w:numPr>
          <w:ilvl w:val="4"/>
          <w:numId w:val="42"/>
        </w:numPr>
        <w:tabs>
          <w:tab w:val="clear" w:pos="1152"/>
        </w:tabs>
        <w:spacing w:after="60"/>
        <w:jc w:val="left"/>
      </w:pPr>
      <w:bookmarkStart w:id="3389" w:name="_Ref207533275"/>
      <w:bookmarkStart w:id="3390" w:name="_Toc215583009"/>
      <w:bookmarkStart w:id="3391" w:name="_Toc235400698"/>
      <w:bookmarkStart w:id="3392" w:name="_Toc259717367"/>
      <w:r w:rsidRPr="009448FC">
        <w:t>Scrambler</w:t>
      </w:r>
      <w:bookmarkEnd w:id="3389"/>
      <w:bookmarkEnd w:id="3390"/>
      <w:bookmarkEnd w:id="3391"/>
      <w:bookmarkEnd w:id="3392"/>
    </w:p>
    <w:p w:rsidR="00C024E7" w:rsidRPr="009448FC" w:rsidRDefault="00C024E7" w:rsidP="00C024E7"/>
    <w:p w:rsidR="007F08F0" w:rsidRPr="009448FC" w:rsidRDefault="007F08F0" w:rsidP="002B25C7">
      <w:r w:rsidRPr="009448FC">
        <w:t xml:space="preserve">The operation of the scrambler is defined in </w:t>
      </w:r>
      <w:r w:rsidR="00BD151C" w:rsidRPr="009448FC">
        <w:fldChar w:fldCharType="begin"/>
      </w:r>
      <w:r w:rsidRPr="009448FC">
        <w:instrText xml:space="preserve"> REF _Ref221601546 \r \h </w:instrText>
      </w:r>
      <w:r w:rsidR="00BD151C" w:rsidRPr="009448FC">
        <w:fldChar w:fldCharType="separate"/>
      </w:r>
      <w:r w:rsidR="003E4210">
        <w:t>21.3.9</w:t>
      </w:r>
      <w:r w:rsidR="00BD151C" w:rsidRPr="009448FC">
        <w:fldChar w:fldCharType="end"/>
      </w:r>
      <w:r w:rsidRPr="009448FC">
        <w:t>.</w:t>
      </w:r>
      <w:r w:rsidR="002B25C7">
        <w:t xml:space="preserve"> The scrambling of the data field continues the scrambling of the header with no reset.</w:t>
      </w:r>
    </w:p>
    <w:p w:rsidR="00C024E7" w:rsidRPr="009448FC" w:rsidRDefault="00C024E7" w:rsidP="00C024E7"/>
    <w:p w:rsidR="00C024E7" w:rsidRPr="009448FC" w:rsidRDefault="00C024E7" w:rsidP="003701DB">
      <w:pPr>
        <w:pStyle w:val="Heading5"/>
        <w:keepNext w:val="0"/>
        <w:numPr>
          <w:ilvl w:val="4"/>
          <w:numId w:val="42"/>
        </w:numPr>
        <w:tabs>
          <w:tab w:val="clear" w:pos="1152"/>
        </w:tabs>
        <w:spacing w:after="60"/>
        <w:jc w:val="left"/>
      </w:pPr>
      <w:bookmarkStart w:id="3393" w:name="_Ref207421616"/>
      <w:bookmarkStart w:id="3394" w:name="_Toc215583010"/>
      <w:bookmarkStart w:id="3395" w:name="_Toc235400699"/>
      <w:bookmarkStart w:id="3396" w:name="_Toc259717368"/>
      <w:r w:rsidRPr="009448FC">
        <w:t>Encoding</w:t>
      </w:r>
      <w:bookmarkEnd w:id="3393"/>
      <w:bookmarkEnd w:id="3394"/>
      <w:bookmarkEnd w:id="3395"/>
      <w:bookmarkEnd w:id="3396"/>
    </w:p>
    <w:p w:rsidR="00C024E7" w:rsidRPr="009448FC" w:rsidRDefault="00C024E7" w:rsidP="004F7748">
      <w:r w:rsidRPr="009448FC">
        <w:t>The data are encoded by a systematic LDPC encoder.</w:t>
      </w:r>
      <w:r w:rsidR="00281486" w:rsidRPr="009448FC">
        <w:t xml:space="preserve"> </w:t>
      </w:r>
      <w:r w:rsidRPr="009448FC">
        <w:t>LDPC (Low Density Parity Check) is a block code.</w:t>
      </w:r>
      <w:r w:rsidR="00281486" w:rsidRPr="009448FC">
        <w:t xml:space="preserve"> </w:t>
      </w:r>
      <w:r w:rsidRPr="009448FC">
        <w:t xml:space="preserve">Each block of bits </w:t>
      </w:r>
      <w:r w:rsidRPr="009448FC">
        <w:rPr>
          <w:i/>
        </w:rPr>
        <w:t>(b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w:t>
      </w:r>
      <w:r w:rsidRPr="009448FC">
        <w:t xml:space="preserve"> is concatenated with a block of parity bits </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to create a codeword </w:t>
      </w:r>
      <w:r w:rsidRPr="009448FC">
        <w:rPr>
          <w:b/>
          <w:i/>
        </w:rPr>
        <w:t>c</w:t>
      </w:r>
      <w:r w:rsidRPr="009448FC">
        <w:rPr>
          <w:i/>
        </w:rPr>
        <w:t>=( 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such that </w:t>
      </w:r>
      <w:r w:rsidRPr="009448FC">
        <w:rPr>
          <w:b/>
        </w:rPr>
        <w:t>Hc</w:t>
      </w:r>
      <w:r w:rsidRPr="009448FC">
        <w:rPr>
          <w:b/>
          <w:vertAlign w:val="superscript"/>
        </w:rPr>
        <w:t>T</w:t>
      </w:r>
      <w:r w:rsidRPr="009448FC">
        <w:t>=</w:t>
      </w:r>
      <w:r w:rsidRPr="009448FC">
        <w:rPr>
          <w:b/>
        </w:rPr>
        <w:t>0</w:t>
      </w:r>
      <w:r w:rsidRPr="009448FC">
        <w:t>.</w:t>
      </w:r>
      <w:r w:rsidR="005515A4">
        <w:t xml:space="preserve"> </w:t>
      </w:r>
      <w:r w:rsidRPr="009448FC">
        <w:rPr>
          <w:b/>
        </w:rPr>
        <w:t xml:space="preserve">H </w:t>
      </w:r>
      <w:r w:rsidRPr="009448FC">
        <w:t xml:space="preserve">is an </w:t>
      </w:r>
      <w:r w:rsidRPr="009448FC">
        <w:rPr>
          <w:i/>
        </w:rPr>
        <w:t>(n-k)×n</w:t>
      </w:r>
      <w:r w:rsidRPr="009448FC">
        <w:t xml:space="preserve"> parity check</w:t>
      </w:r>
      <w:r w:rsidR="00281486" w:rsidRPr="009448FC">
        <w:t xml:space="preserve"> </w:t>
      </w:r>
      <w:r w:rsidRPr="009448FC">
        <w:t>matrix.</w:t>
      </w:r>
      <w:r w:rsidR="00281486" w:rsidRPr="009448FC">
        <w:t xml:space="preserve"> </w:t>
      </w:r>
      <w:r w:rsidRPr="009448FC">
        <w:t xml:space="preserve">The block size </w:t>
      </w:r>
      <w:r w:rsidRPr="009448FC">
        <w:rPr>
          <w:i/>
        </w:rPr>
        <w:t>n</w:t>
      </w:r>
      <w:r w:rsidRPr="009448FC">
        <w:t xml:space="preserve"> is 672 bits.</w:t>
      </w:r>
      <w:r w:rsidR="00281486" w:rsidRPr="009448FC">
        <w:t xml:space="preserve"> </w:t>
      </w:r>
      <w:r w:rsidRPr="009448FC">
        <w:t>The code rate is R is equal to k/n.</w:t>
      </w:r>
      <w:r w:rsidR="00281486" w:rsidRPr="009448FC">
        <w:t xml:space="preserve"> </w:t>
      </w:r>
      <w:r w:rsidRPr="009448FC">
        <w:t xml:space="preserve">The set of code rates is defined in </w:t>
      </w:r>
      <w:fldSimple w:instr=" REF _Ref207427541 \h  \* MERGEFORMAT ">
        <w:r w:rsidR="003E4210" w:rsidRPr="00066F65">
          <w:t xml:space="preserve">Table </w:t>
        </w:r>
        <w:r w:rsidR="003E4210">
          <w:rPr>
            <w:noProof/>
          </w:rPr>
          <w:t>77</w:t>
        </w:r>
      </w:fldSimple>
      <w:r w:rsidRPr="009448FC">
        <w:t>.</w:t>
      </w:r>
      <w:r w:rsidR="00E55F9F" w:rsidRPr="009448FC">
        <w:t xml:space="preserve"> </w:t>
      </w:r>
      <w:r w:rsidRPr="009448FC">
        <w:t xml:space="preserve">The parity check matrices are defined in subclause </w:t>
      </w:r>
      <w:fldSimple w:instr=" REF _Ref207611099 \r \h  \* MERGEFORMAT ">
        <w:r w:rsidR="003E4210">
          <w:t>21.5.3.2.2.1</w:t>
        </w:r>
      </w:fldSimple>
      <w:r w:rsidRPr="009448FC">
        <w:t xml:space="preserve">. The encoding process is defined in subclause </w:t>
      </w:r>
      <w:fldSimple w:instr=" REF _Ref207611114 \r \h  \* MERGEFORMAT ">
        <w:r w:rsidR="003E4210">
          <w:t>21.5.3.2.2.2</w:t>
        </w:r>
      </w:fldSimple>
      <w:r w:rsidRPr="009448FC">
        <w:t>.</w:t>
      </w:r>
    </w:p>
    <w:p w:rsidR="00C024E7" w:rsidRPr="009448FC" w:rsidRDefault="00C024E7" w:rsidP="00C024E7">
      <w:pPr>
        <w:jc w:val="center"/>
      </w:pPr>
    </w:p>
    <w:p w:rsidR="00C024E7" w:rsidRPr="00066F65" w:rsidRDefault="00C024E7" w:rsidP="009448FC">
      <w:pPr>
        <w:pStyle w:val="Caption"/>
        <w:keepNext/>
        <w:outlineLvl w:val="0"/>
      </w:pPr>
      <w:bookmarkStart w:id="3397" w:name="_Ref207427541"/>
      <w:bookmarkStart w:id="3398" w:name="_Toc225065792"/>
      <w:bookmarkStart w:id="3399" w:name="_Toc250654462"/>
      <w:bookmarkStart w:id="3400" w:name="_Toc259717655"/>
      <w:r w:rsidRPr="00066F65">
        <w:t>Table</w:t>
      </w:r>
      <w:r w:rsidR="003B34EB" w:rsidRPr="00066F65">
        <w:t xml:space="preserve"> </w:t>
      </w:r>
      <w:r w:rsidR="00BD151C">
        <w:fldChar w:fldCharType="begin"/>
      </w:r>
      <w:r w:rsidR="00801316">
        <w:instrText xml:space="preserve"> SEQ Table \* ARABIC </w:instrText>
      </w:r>
      <w:r w:rsidR="00BD151C">
        <w:fldChar w:fldCharType="separate"/>
      </w:r>
      <w:r w:rsidR="003E4210">
        <w:rPr>
          <w:noProof/>
        </w:rPr>
        <w:t>77</w:t>
      </w:r>
      <w:r w:rsidR="00BD151C">
        <w:fldChar w:fldCharType="end"/>
      </w:r>
      <w:bookmarkEnd w:id="3397"/>
      <w:r w:rsidRPr="00066F65">
        <w:rPr>
          <w:noProof/>
        </w:rPr>
        <w:t xml:space="preserve"> </w:t>
      </w:r>
      <w:r w:rsidR="00A719A1" w:rsidRPr="00066F65">
        <w:rPr>
          <w:noProof/>
        </w:rPr>
        <w:t xml:space="preserve">– </w:t>
      </w:r>
      <w:r w:rsidRPr="00066F65">
        <w:rPr>
          <w:noProof/>
        </w:rPr>
        <w:t>LDPC code rates</w:t>
      </w:r>
      <w:bookmarkEnd w:id="3398"/>
      <w:bookmarkEnd w:id="3399"/>
      <w:bookmarkEnd w:id="3400"/>
    </w:p>
    <w:tbl>
      <w:tblPr>
        <w:tblW w:w="6120" w:type="dxa"/>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gridCol w:w="2340"/>
      </w:tblGrid>
      <w:tr w:rsidR="00C024E7" w:rsidRPr="00066F65" w:rsidTr="00E55F9F">
        <w:trPr>
          <w:cantSplit/>
          <w:trHeight w:val="285"/>
          <w:tblHeader/>
        </w:trPr>
        <w:tc>
          <w:tcPr>
            <w:tcW w:w="1980" w:type="dxa"/>
            <w:shd w:val="clear" w:color="auto" w:fill="auto"/>
            <w:noWrap/>
            <w:vAlign w:val="bottom"/>
          </w:tcPr>
          <w:p w:rsidR="00C024E7" w:rsidRPr="009448FC" w:rsidRDefault="00C024E7" w:rsidP="000C1C55">
            <w:pPr>
              <w:jc w:val="center"/>
              <w:rPr>
                <w:sz w:val="20"/>
              </w:rPr>
            </w:pPr>
            <w:r w:rsidRPr="009448FC">
              <w:rPr>
                <w:sz w:val="20"/>
              </w:rPr>
              <w:t>Code Rate</w:t>
            </w:r>
          </w:p>
        </w:tc>
        <w:tc>
          <w:tcPr>
            <w:tcW w:w="1800" w:type="dxa"/>
            <w:shd w:val="clear" w:color="auto" w:fill="auto"/>
            <w:noWrap/>
            <w:vAlign w:val="bottom"/>
          </w:tcPr>
          <w:p w:rsidR="00C024E7" w:rsidRPr="009448FC" w:rsidRDefault="00C024E7" w:rsidP="000C1C55">
            <w:pPr>
              <w:jc w:val="center"/>
              <w:rPr>
                <w:sz w:val="20"/>
              </w:rPr>
            </w:pPr>
            <w:r w:rsidRPr="009448FC">
              <w:rPr>
                <w:sz w:val="20"/>
              </w:rPr>
              <w:t>Codeword size</w:t>
            </w:r>
          </w:p>
        </w:tc>
        <w:tc>
          <w:tcPr>
            <w:tcW w:w="2340" w:type="dxa"/>
            <w:shd w:val="clear" w:color="auto" w:fill="auto"/>
            <w:noWrap/>
            <w:vAlign w:val="bottom"/>
          </w:tcPr>
          <w:p w:rsidR="00C024E7" w:rsidRPr="009448FC" w:rsidRDefault="00C024E7" w:rsidP="000C1C55">
            <w:pPr>
              <w:jc w:val="center"/>
              <w:rPr>
                <w:sz w:val="20"/>
              </w:rPr>
            </w:pPr>
            <w:r w:rsidRPr="009448FC">
              <w:rPr>
                <w:sz w:val="20"/>
              </w:rPr>
              <w:t>Number of data bits</w:t>
            </w:r>
          </w:p>
        </w:tc>
      </w:tr>
      <w:tr w:rsidR="00C024E7" w:rsidRPr="00066F65" w:rsidTr="00E55F9F">
        <w:trPr>
          <w:trHeight w:val="270"/>
          <w:tblHeader/>
        </w:trPr>
        <w:tc>
          <w:tcPr>
            <w:tcW w:w="1980" w:type="dxa"/>
            <w:shd w:val="clear" w:color="auto" w:fill="auto"/>
            <w:noWrap/>
            <w:vAlign w:val="bottom"/>
          </w:tcPr>
          <w:p w:rsidR="00C024E7" w:rsidRPr="009448FC" w:rsidRDefault="00C024E7" w:rsidP="000C1C55">
            <w:pPr>
              <w:jc w:val="center"/>
              <w:rPr>
                <w:sz w:val="20"/>
              </w:rPr>
            </w:pPr>
            <w:r w:rsidRPr="009448FC">
              <w:rPr>
                <w:sz w:val="20"/>
              </w:rPr>
              <w:t>1/2</w:t>
            </w:r>
          </w:p>
        </w:tc>
        <w:tc>
          <w:tcPr>
            <w:tcW w:w="1800" w:type="dxa"/>
            <w:shd w:val="clear" w:color="auto" w:fill="auto"/>
            <w:noWrap/>
            <w:vAlign w:val="bottom"/>
          </w:tcPr>
          <w:p w:rsidR="00C024E7" w:rsidRPr="009448FC" w:rsidRDefault="00C024E7" w:rsidP="000C1C55">
            <w:pPr>
              <w:jc w:val="center"/>
              <w:rPr>
                <w:sz w:val="20"/>
              </w:rPr>
            </w:pPr>
            <w:r w:rsidRPr="009448FC">
              <w:rPr>
                <w:sz w:val="20"/>
              </w:rPr>
              <w:t>672</w:t>
            </w:r>
          </w:p>
        </w:tc>
        <w:tc>
          <w:tcPr>
            <w:tcW w:w="2340" w:type="dxa"/>
            <w:shd w:val="clear" w:color="auto" w:fill="auto"/>
            <w:noWrap/>
            <w:vAlign w:val="bottom"/>
          </w:tcPr>
          <w:p w:rsidR="00C024E7" w:rsidRPr="009448FC" w:rsidRDefault="00C024E7" w:rsidP="000C1C55">
            <w:pPr>
              <w:jc w:val="center"/>
              <w:rPr>
                <w:sz w:val="20"/>
              </w:rPr>
            </w:pPr>
            <w:r w:rsidRPr="009448FC">
              <w:rPr>
                <w:sz w:val="20"/>
              </w:rPr>
              <w:t>336</w:t>
            </w:r>
          </w:p>
        </w:tc>
      </w:tr>
      <w:tr w:rsidR="00A7376C" w:rsidRPr="00066F65" w:rsidTr="00E55F9F">
        <w:trPr>
          <w:trHeight w:val="255"/>
          <w:tblHeader/>
        </w:trPr>
        <w:tc>
          <w:tcPr>
            <w:tcW w:w="1980" w:type="dxa"/>
            <w:shd w:val="clear" w:color="auto" w:fill="auto"/>
            <w:noWrap/>
            <w:vAlign w:val="bottom"/>
          </w:tcPr>
          <w:p w:rsidR="00A7376C" w:rsidRPr="009448FC" w:rsidRDefault="00A7376C" w:rsidP="000C1C55">
            <w:pPr>
              <w:jc w:val="center"/>
              <w:rPr>
                <w:sz w:val="20"/>
              </w:rPr>
            </w:pPr>
            <w:r w:rsidRPr="009448FC">
              <w:rPr>
                <w:sz w:val="20"/>
              </w:rPr>
              <w:t>5/8</w:t>
            </w:r>
          </w:p>
        </w:tc>
        <w:tc>
          <w:tcPr>
            <w:tcW w:w="1800" w:type="dxa"/>
            <w:shd w:val="clear" w:color="auto" w:fill="auto"/>
            <w:noWrap/>
            <w:vAlign w:val="bottom"/>
          </w:tcPr>
          <w:p w:rsidR="00A7376C" w:rsidRPr="009448FC" w:rsidRDefault="00A7376C" w:rsidP="000C1C55">
            <w:pPr>
              <w:jc w:val="center"/>
              <w:rPr>
                <w:sz w:val="20"/>
              </w:rPr>
            </w:pPr>
            <w:r w:rsidRPr="009448FC">
              <w:rPr>
                <w:sz w:val="20"/>
              </w:rPr>
              <w:t>672</w:t>
            </w:r>
          </w:p>
        </w:tc>
        <w:tc>
          <w:tcPr>
            <w:tcW w:w="2340" w:type="dxa"/>
            <w:shd w:val="clear" w:color="auto" w:fill="auto"/>
            <w:noWrap/>
            <w:vAlign w:val="bottom"/>
          </w:tcPr>
          <w:p w:rsidR="00A7376C" w:rsidRPr="009448FC" w:rsidRDefault="00A7376C" w:rsidP="000C1C55">
            <w:pPr>
              <w:jc w:val="center"/>
              <w:rPr>
                <w:sz w:val="20"/>
              </w:rPr>
            </w:pPr>
            <w:r w:rsidRPr="009448FC">
              <w:rPr>
                <w:sz w:val="20"/>
              </w:rPr>
              <w:t>420</w:t>
            </w:r>
          </w:p>
        </w:tc>
      </w:tr>
      <w:tr w:rsidR="00C024E7" w:rsidRPr="00066F65" w:rsidTr="00E55F9F">
        <w:trPr>
          <w:trHeight w:val="255"/>
          <w:tblHeader/>
        </w:trPr>
        <w:tc>
          <w:tcPr>
            <w:tcW w:w="1980" w:type="dxa"/>
            <w:shd w:val="clear" w:color="auto" w:fill="auto"/>
            <w:noWrap/>
            <w:vAlign w:val="bottom"/>
          </w:tcPr>
          <w:p w:rsidR="00C024E7" w:rsidRPr="009448FC" w:rsidRDefault="00C024E7" w:rsidP="000C1C55">
            <w:pPr>
              <w:jc w:val="center"/>
              <w:rPr>
                <w:sz w:val="20"/>
              </w:rPr>
            </w:pPr>
            <w:r w:rsidRPr="009448FC">
              <w:rPr>
                <w:sz w:val="20"/>
              </w:rPr>
              <w:t>3/4</w:t>
            </w:r>
          </w:p>
        </w:tc>
        <w:tc>
          <w:tcPr>
            <w:tcW w:w="1800" w:type="dxa"/>
            <w:shd w:val="clear" w:color="auto" w:fill="auto"/>
            <w:noWrap/>
            <w:vAlign w:val="bottom"/>
          </w:tcPr>
          <w:p w:rsidR="00C024E7" w:rsidRPr="009448FC" w:rsidRDefault="00C024E7" w:rsidP="000C1C55">
            <w:pPr>
              <w:jc w:val="center"/>
              <w:rPr>
                <w:sz w:val="20"/>
              </w:rPr>
            </w:pPr>
            <w:r w:rsidRPr="009448FC">
              <w:rPr>
                <w:sz w:val="20"/>
              </w:rPr>
              <w:t>672</w:t>
            </w:r>
          </w:p>
        </w:tc>
        <w:tc>
          <w:tcPr>
            <w:tcW w:w="2340" w:type="dxa"/>
            <w:shd w:val="clear" w:color="auto" w:fill="auto"/>
            <w:noWrap/>
            <w:vAlign w:val="bottom"/>
          </w:tcPr>
          <w:p w:rsidR="00C024E7" w:rsidRPr="009448FC" w:rsidRDefault="00C024E7" w:rsidP="000C1C55">
            <w:pPr>
              <w:jc w:val="center"/>
              <w:rPr>
                <w:sz w:val="20"/>
              </w:rPr>
            </w:pPr>
            <w:r w:rsidRPr="009448FC">
              <w:rPr>
                <w:sz w:val="20"/>
              </w:rPr>
              <w:t>504</w:t>
            </w:r>
          </w:p>
        </w:tc>
      </w:tr>
      <w:tr w:rsidR="000E2312" w:rsidRPr="00066F65" w:rsidTr="00E55F9F">
        <w:trPr>
          <w:trHeight w:val="255"/>
          <w:tblHeader/>
        </w:trPr>
        <w:tc>
          <w:tcPr>
            <w:tcW w:w="1980" w:type="dxa"/>
            <w:shd w:val="clear" w:color="auto" w:fill="auto"/>
            <w:noWrap/>
          </w:tcPr>
          <w:p w:rsidR="000E2312" w:rsidRPr="009448FC" w:rsidRDefault="000E2312" w:rsidP="000C1C55">
            <w:pPr>
              <w:jc w:val="center"/>
              <w:rPr>
                <w:sz w:val="20"/>
              </w:rPr>
            </w:pPr>
            <w:r w:rsidRPr="009448FC">
              <w:rPr>
                <w:sz w:val="20"/>
              </w:rPr>
              <w:t>13/16</w:t>
            </w:r>
          </w:p>
        </w:tc>
        <w:tc>
          <w:tcPr>
            <w:tcW w:w="1800" w:type="dxa"/>
            <w:shd w:val="clear" w:color="auto" w:fill="auto"/>
            <w:noWrap/>
          </w:tcPr>
          <w:p w:rsidR="000E2312" w:rsidRPr="009448FC" w:rsidRDefault="000E2312" w:rsidP="000C1C55">
            <w:pPr>
              <w:jc w:val="center"/>
              <w:rPr>
                <w:sz w:val="20"/>
              </w:rPr>
            </w:pPr>
            <w:r w:rsidRPr="009448FC">
              <w:rPr>
                <w:sz w:val="20"/>
              </w:rPr>
              <w:t>672</w:t>
            </w:r>
          </w:p>
        </w:tc>
        <w:tc>
          <w:tcPr>
            <w:tcW w:w="2340" w:type="dxa"/>
            <w:shd w:val="clear" w:color="auto" w:fill="auto"/>
            <w:noWrap/>
          </w:tcPr>
          <w:p w:rsidR="000E2312" w:rsidRPr="009448FC" w:rsidRDefault="000E2312" w:rsidP="000C1C55">
            <w:pPr>
              <w:jc w:val="center"/>
              <w:rPr>
                <w:sz w:val="20"/>
              </w:rPr>
            </w:pPr>
            <w:r w:rsidRPr="009448FC">
              <w:rPr>
                <w:sz w:val="20"/>
              </w:rPr>
              <w:t>546</w:t>
            </w:r>
          </w:p>
        </w:tc>
      </w:tr>
    </w:tbl>
    <w:p w:rsidR="00C024E7" w:rsidRPr="009448FC" w:rsidRDefault="00D926D0" w:rsidP="00C024E7">
      <w:pPr>
        <w:jc w:val="center"/>
      </w:pPr>
      <w:r w:rsidRPr="009448FC">
        <w:t xml:space="preserve"> </w:t>
      </w:r>
    </w:p>
    <w:p w:rsidR="00C024E7" w:rsidRPr="009448FC" w:rsidRDefault="00C024E7" w:rsidP="003701DB">
      <w:pPr>
        <w:pStyle w:val="Heading6"/>
        <w:numPr>
          <w:ilvl w:val="5"/>
          <w:numId w:val="42"/>
        </w:numPr>
      </w:pPr>
      <w:bookmarkStart w:id="3401" w:name="_Ref207611099"/>
      <w:r w:rsidRPr="009448FC">
        <w:t>Parity Check Matrices</w:t>
      </w:r>
      <w:bookmarkEnd w:id="3401"/>
    </w:p>
    <w:p w:rsidR="009731CC" w:rsidRPr="009448FC" w:rsidRDefault="009731CC" w:rsidP="0091073E">
      <w:pPr>
        <w:outlineLvl w:val="0"/>
        <w:rPr>
          <w:b/>
        </w:rPr>
      </w:pPr>
    </w:p>
    <w:p w:rsidR="00C024E7" w:rsidRPr="009448FC" w:rsidRDefault="009731CC" w:rsidP="0091073E">
      <w:pPr>
        <w:outlineLvl w:val="0"/>
      </w:pPr>
      <w:r w:rsidRPr="009448FC">
        <w:t xml:space="preserve">See </w:t>
      </w:r>
      <w:fldSimple w:instr=" REF _Ref221601216 \r \h  \* MERGEFORMAT ">
        <w:r w:rsidR="003E4210" w:rsidRPr="003E4210">
          <w:rPr>
            <w:bCs/>
          </w:rPr>
          <w:t>21.3.8</w:t>
        </w:r>
      </w:fldSimple>
      <w:r w:rsidR="00C458A7" w:rsidRPr="009448FC">
        <w:t>.</w:t>
      </w:r>
    </w:p>
    <w:p w:rsidR="00C024E7" w:rsidRPr="009448FC" w:rsidRDefault="00C024E7" w:rsidP="00C024E7">
      <w:pPr>
        <w:rPr>
          <w:b/>
        </w:rPr>
      </w:pPr>
    </w:p>
    <w:p w:rsidR="00C024E7" w:rsidRPr="009448FC" w:rsidRDefault="00C024E7" w:rsidP="003701DB">
      <w:pPr>
        <w:pStyle w:val="Heading6"/>
        <w:numPr>
          <w:ilvl w:val="5"/>
          <w:numId w:val="42"/>
        </w:numPr>
      </w:pPr>
      <w:bookmarkStart w:id="3402" w:name="_Ref207611114"/>
      <w:r w:rsidRPr="009448FC">
        <w:lastRenderedPageBreak/>
        <w:t>LDPC encoding process</w:t>
      </w:r>
      <w:bookmarkEnd w:id="3402"/>
    </w:p>
    <w:p w:rsidR="00C024E7" w:rsidRPr="009448FC" w:rsidRDefault="00C024E7" w:rsidP="00C024E7">
      <w:r w:rsidRPr="009448FC">
        <w:t>The LDPC encoding process is composed of several steps including determining the number of padding bits, padding with zeros and the coding of every word.</w:t>
      </w:r>
    </w:p>
    <w:p w:rsidR="005721B6" w:rsidRPr="009448FC" w:rsidRDefault="00C024E7" w:rsidP="003701DB">
      <w:pPr>
        <w:numPr>
          <w:ilvl w:val="0"/>
          <w:numId w:val="7"/>
        </w:numPr>
      </w:pPr>
      <w:r w:rsidRPr="009448FC">
        <w:t xml:space="preserve">First the total number of padding bits </w:t>
      </w:r>
      <w:r w:rsidRPr="009448FC">
        <w:rPr>
          <w:i/>
        </w:rPr>
        <w:t>N</w:t>
      </w:r>
      <w:r w:rsidRPr="009448FC">
        <w:rPr>
          <w:i/>
          <w:vertAlign w:val="subscript"/>
        </w:rPr>
        <w:t>PAD</w:t>
      </w:r>
      <w:r w:rsidRPr="009448FC">
        <w:rPr>
          <w:i/>
        </w:rPr>
        <w:t xml:space="preserve"> </w:t>
      </w:r>
      <w:r w:rsidRPr="009448FC">
        <w:t xml:space="preserve">is calculated, using the number of LDPC codeword </w:t>
      </w:r>
      <w:r w:rsidRPr="009448FC">
        <w:rPr>
          <w:i/>
        </w:rPr>
        <w:t>N</w:t>
      </w:r>
      <w:r w:rsidRPr="009448FC">
        <w:rPr>
          <w:i/>
          <w:vertAlign w:val="subscript"/>
        </w:rPr>
        <w:t>CW</w:t>
      </w:r>
      <w:r w:rsidRPr="009448FC">
        <w:rPr>
          <w:i/>
        </w:rPr>
        <w:t xml:space="preserve"> </w:t>
      </w:r>
      <w:r w:rsidRPr="009448FC">
        <w:t>and the number of</w:t>
      </w:r>
      <w:r w:rsidRPr="009448FC">
        <w:rPr>
          <w:i/>
        </w:rPr>
        <w:t xml:space="preserve"> </w:t>
      </w:r>
      <w:r w:rsidRPr="009448FC">
        <w:t xml:space="preserve">OFDM symbols </w:t>
      </w:r>
      <w:r w:rsidRPr="009448FC">
        <w:rPr>
          <w:i/>
        </w:rPr>
        <w:t>N</w:t>
      </w:r>
      <w:r w:rsidRPr="009448FC">
        <w:rPr>
          <w:i/>
          <w:vertAlign w:val="subscript"/>
        </w:rPr>
        <w:t>SYM</w:t>
      </w:r>
      <w:r w:rsidRPr="009448FC">
        <w:t>:</w:t>
      </w:r>
    </w:p>
    <w:p w:rsidR="00386BEE" w:rsidRPr="009448FC" w:rsidRDefault="00C024E7" w:rsidP="00386BEE">
      <w:pPr>
        <w:ind w:left="720"/>
      </w:pPr>
      <w:r w:rsidRPr="009448FC">
        <w:t xml:space="preserve"> </w:t>
      </w:r>
      <w:r w:rsidR="001A2137" w:rsidRPr="009448FC">
        <w:rPr>
          <w:position w:val="-68"/>
        </w:rPr>
        <w:object w:dxaOrig="3600" w:dyaOrig="1900">
          <v:shape id="_x0000_i1161" type="#_x0000_t75" style="width:180.25pt;height:93.3pt" o:ole="">
            <v:imagedata r:id="rId370" o:title=""/>
          </v:shape>
          <o:OLEObject Type="Embed" ProgID="Equation.3" ShapeID="_x0000_i1161" DrawAspect="Content" ObjectID="_1334048342" r:id="rId371"/>
        </w:object>
      </w:r>
      <w:r w:rsidR="00E2534F">
        <w:t xml:space="preserve"> </w:t>
      </w:r>
    </w:p>
    <w:p w:rsidR="009F1FC0" w:rsidRPr="00FE57AD" w:rsidRDefault="009F1FC0" w:rsidP="00E2147C">
      <w:pPr>
        <w:ind w:left="720"/>
      </w:pPr>
      <w:r>
        <w:t xml:space="preserve">Recalculate </w:t>
      </w:r>
      <w:r w:rsidR="000D41C6" w:rsidRPr="00E2147C">
        <w:rPr>
          <w:position w:val="-30"/>
        </w:rPr>
        <w:object w:dxaOrig="2000" w:dyaOrig="680">
          <v:shape id="_x0000_i1162" type="#_x0000_t75" style="width:100.1pt;height:35.3pt" o:ole="">
            <v:imagedata r:id="rId372" o:title=""/>
          </v:shape>
          <o:OLEObject Type="Embed" ProgID="Equation.3" ShapeID="_x0000_i1162" DrawAspect="Content" ObjectID="_1334048343" r:id="rId373"/>
        </w:object>
      </w:r>
      <w:r w:rsidR="005515A4">
        <w:t xml:space="preserve"> </w:t>
      </w:r>
    </w:p>
    <w:p w:rsidR="009F1FC0" w:rsidRDefault="009F1FC0" w:rsidP="00C024E7">
      <w:pPr>
        <w:ind w:left="720"/>
      </w:pPr>
    </w:p>
    <w:p w:rsidR="00C024E7" w:rsidRPr="009448FC" w:rsidRDefault="00C024E7" w:rsidP="00C024E7">
      <w:pPr>
        <w:ind w:left="720"/>
      </w:pPr>
      <w:r w:rsidRPr="009448FC">
        <w:t xml:space="preserve">Where </w:t>
      </w:r>
      <w:r w:rsidRPr="009448FC">
        <w:rPr>
          <w:i/>
        </w:rPr>
        <w:t>L</w:t>
      </w:r>
      <w:r w:rsidRPr="009448FC">
        <w:rPr>
          <w:i/>
          <w:vertAlign w:val="subscript"/>
        </w:rPr>
        <w:t>CW</w:t>
      </w:r>
      <w:r w:rsidRPr="009448FC">
        <w:t xml:space="preserve">=672 is the LDPC code word length, </w:t>
      </w:r>
      <w:r w:rsidRPr="009448FC">
        <w:rPr>
          <w:i/>
        </w:rPr>
        <w:t>Length</w:t>
      </w:r>
      <w:r w:rsidRPr="009448FC">
        <w:t xml:space="preserve"> is the length of the PSDU defined in the header field, </w:t>
      </w:r>
      <w:r w:rsidRPr="009448FC">
        <w:rPr>
          <w:i/>
        </w:rPr>
        <w:t>R</w:t>
      </w:r>
      <w:r w:rsidRPr="009448FC">
        <w:t xml:space="preserve"> is the code rate and </w:t>
      </w:r>
      <w:r w:rsidRPr="009448FC">
        <w:rPr>
          <w:i/>
        </w:rPr>
        <w:t>N</w:t>
      </w:r>
      <w:r w:rsidRPr="009448FC">
        <w:rPr>
          <w:i/>
          <w:vertAlign w:val="subscript"/>
        </w:rPr>
        <w:t>CBPS</w:t>
      </w:r>
      <w:r w:rsidRPr="009448FC">
        <w:t xml:space="preserve"> is the number of code bits per symbol as defined in the MCS table.</w:t>
      </w:r>
    </w:p>
    <w:p w:rsidR="00C024E7" w:rsidRPr="009448FC" w:rsidRDefault="00C024E7" w:rsidP="00C024E7">
      <w:pPr>
        <w:ind w:left="360"/>
        <w:rPr>
          <w:i/>
        </w:rPr>
      </w:pPr>
    </w:p>
    <w:p w:rsidR="00C024E7" w:rsidRPr="009448FC" w:rsidRDefault="00C024E7" w:rsidP="003701DB">
      <w:pPr>
        <w:numPr>
          <w:ilvl w:val="0"/>
          <w:numId w:val="7"/>
        </w:numPr>
      </w:pPr>
      <w:r w:rsidRPr="009448FC">
        <w:t xml:space="preserve">The PSDU is concatenated with </w:t>
      </w:r>
      <w:r w:rsidRPr="009448FC">
        <w:rPr>
          <w:i/>
        </w:rPr>
        <w:t>N</w:t>
      </w:r>
      <w:r w:rsidRPr="009448FC">
        <w:rPr>
          <w:i/>
          <w:vertAlign w:val="subscript"/>
        </w:rPr>
        <w:t>PAD</w:t>
      </w:r>
      <w:r w:rsidRPr="009448FC">
        <w:rPr>
          <w:i/>
        </w:rPr>
        <w:t xml:space="preserve"> </w:t>
      </w:r>
      <w:r w:rsidRPr="009448FC">
        <w:t>zeros.</w:t>
      </w:r>
      <w:r w:rsidR="005515A4">
        <w:t xml:space="preserve"> </w:t>
      </w:r>
      <w:r w:rsidRPr="009448FC">
        <w:t xml:space="preserve">They are scrambled using the continuation of the scrambler sequence that scrambled the PSDU. </w:t>
      </w:r>
    </w:p>
    <w:p w:rsidR="00C024E7" w:rsidRPr="009448FC" w:rsidRDefault="00C024E7" w:rsidP="003701DB">
      <w:pPr>
        <w:numPr>
          <w:ilvl w:val="0"/>
          <w:numId w:val="7"/>
        </w:numPr>
        <w:rPr>
          <w:i/>
        </w:rPr>
      </w:pPr>
      <w:r w:rsidRPr="009448FC">
        <w:t xml:space="preserve">The output stream of the scrambler is broken into blocks of </w:t>
      </w:r>
      <w:r w:rsidRPr="009448FC">
        <w:rPr>
          <w:i/>
        </w:rPr>
        <w:t>L</w:t>
      </w:r>
      <w:r w:rsidRPr="009448FC">
        <w:rPr>
          <w:i/>
          <w:vertAlign w:val="subscript"/>
        </w:rPr>
        <w:t>CWD</w:t>
      </w:r>
      <w:r w:rsidRPr="009448FC">
        <w:rPr>
          <w:i/>
        </w:rPr>
        <w:t>= R×L</w:t>
      </w:r>
      <w:r w:rsidRPr="009448FC">
        <w:rPr>
          <w:i/>
          <w:vertAlign w:val="subscript"/>
        </w:rPr>
        <w:t>CW</w:t>
      </w:r>
      <w:r w:rsidRPr="009448FC">
        <w:t xml:space="preserve"> bits such as the </w:t>
      </w:r>
      <w:r w:rsidRPr="009448FC">
        <w:rPr>
          <w:i/>
        </w:rPr>
        <w:t>m’th</w:t>
      </w:r>
      <w:r w:rsidRPr="009448FC">
        <w:t xml:space="preserve"> data word is</w:t>
      </w:r>
      <w:r w:rsidR="00281486" w:rsidRPr="009448FC">
        <w:t xml:space="preserve"> </w:t>
      </w:r>
      <w:r w:rsidRPr="009448FC">
        <w:rPr>
          <w:position w:val="-18"/>
        </w:rPr>
        <w:object w:dxaOrig="1900" w:dyaOrig="480">
          <v:shape id="_x0000_i1163" type="#_x0000_t75" style="width:93.3pt;height:25.8pt" o:ole="">
            <v:imagedata r:id="rId374" o:title=""/>
          </v:shape>
          <o:OLEObject Type="Embed" ProgID="Equation.DSMT4" ShapeID="_x0000_i1163" DrawAspect="Content" ObjectID="_1334048344" r:id="rId375"/>
        </w:object>
      </w:r>
      <w:r w:rsidRPr="009448FC">
        <w:t>.</w:t>
      </w:r>
      <w:r w:rsidR="005515A4">
        <w:t xml:space="preserve"> </w:t>
      </w:r>
    </w:p>
    <w:p w:rsidR="00C024E7" w:rsidRPr="009448FC" w:rsidRDefault="00C024E7" w:rsidP="003701DB">
      <w:pPr>
        <w:numPr>
          <w:ilvl w:val="0"/>
          <w:numId w:val="7"/>
        </w:numPr>
      </w:pPr>
      <w:r w:rsidRPr="009448FC">
        <w:t xml:space="preserve">To each data word, </w:t>
      </w:r>
      <w:r w:rsidRPr="009448FC">
        <w:rPr>
          <w:i/>
        </w:rPr>
        <w:t>n-k</w:t>
      </w:r>
      <w:r w:rsidRPr="009448FC">
        <w:t>=</w:t>
      </w:r>
      <w:r w:rsidRPr="009448FC">
        <w:rPr>
          <w:i/>
        </w:rPr>
        <w:t>L</w:t>
      </w:r>
      <w:r w:rsidRPr="009448FC">
        <w:rPr>
          <w:i/>
          <w:vertAlign w:val="subscript"/>
        </w:rPr>
        <w:t>CW</w:t>
      </w:r>
      <w:r w:rsidRPr="009448FC">
        <w:rPr>
          <w:i/>
        </w:rPr>
        <w:t>-R×L</w:t>
      </w:r>
      <w:r w:rsidRPr="009448FC">
        <w:rPr>
          <w:i/>
          <w:vertAlign w:val="subscript"/>
        </w:rPr>
        <w:t>CW</w:t>
      </w:r>
      <w:r w:rsidRPr="009448FC">
        <w:t xml:space="preserve"> parity bits </w:t>
      </w:r>
      <w:r w:rsidRPr="009448FC">
        <w:rPr>
          <w:position w:val="-18"/>
        </w:rPr>
        <w:object w:dxaOrig="1960" w:dyaOrig="480">
          <v:shape id="_x0000_i1164" type="#_x0000_t75" style="width:97.8pt;height:25.8pt" o:ole="">
            <v:imagedata r:id="rId376" o:title=""/>
          </v:shape>
          <o:OLEObject Type="Embed" ProgID="Equation.DSMT4" ShapeID="_x0000_i1164" DrawAspect="Content" ObjectID="_1334048345" r:id="rId377"/>
        </w:object>
      </w:r>
      <w:r w:rsidRPr="009448FC">
        <w:t xml:space="preserve">are added to create the code word </w:t>
      </w:r>
      <w:r w:rsidRPr="009448FC">
        <w:rPr>
          <w:position w:val="-18"/>
        </w:rPr>
        <w:object w:dxaOrig="3720" w:dyaOrig="480">
          <v:shape id="_x0000_i1165" type="#_x0000_t75" style="width:185.65pt;height:25.8pt" o:ole="">
            <v:imagedata r:id="rId378" o:title=""/>
          </v:shape>
          <o:OLEObject Type="Embed" ProgID="Equation.DSMT4" ShapeID="_x0000_i1165" DrawAspect="Content" ObjectID="_1334048346" r:id="rId379"/>
        </w:object>
      </w:r>
      <w:r w:rsidRPr="009448FC">
        <w:t xml:space="preserve"> such that</w:t>
      </w:r>
      <w:r w:rsidRPr="009448FC">
        <w:rPr>
          <w:position w:val="-6"/>
        </w:rPr>
        <w:object w:dxaOrig="1060" w:dyaOrig="380">
          <v:shape id="_x0000_i1166" type="#_x0000_t75" style="width:54.35pt;height:17.65pt" o:ole="">
            <v:imagedata r:id="rId380" o:title=""/>
          </v:shape>
          <o:OLEObject Type="Embed" ProgID="Equation.DSMT4" ShapeID="_x0000_i1166" DrawAspect="Content" ObjectID="_1334048347" r:id="rId381"/>
        </w:object>
      </w:r>
      <w:r w:rsidRPr="009448FC">
        <w:t>.</w:t>
      </w:r>
      <w:r w:rsidR="00281486" w:rsidRPr="009448FC">
        <w:t xml:space="preserve"> </w:t>
      </w:r>
    </w:p>
    <w:p w:rsidR="00C024E7" w:rsidRPr="009448FC" w:rsidRDefault="00C024E7" w:rsidP="003701DB">
      <w:pPr>
        <w:numPr>
          <w:ilvl w:val="0"/>
          <w:numId w:val="7"/>
        </w:numPr>
      </w:pPr>
      <w:r w:rsidRPr="009448FC">
        <w:t xml:space="preserve">The code words are the concatenated one after the other to create the coded bits stream </w:t>
      </w:r>
      <w:r w:rsidRPr="009448FC">
        <w:rPr>
          <w:position w:val="-18"/>
        </w:rPr>
        <w:object w:dxaOrig="1939" w:dyaOrig="480">
          <v:shape id="_x0000_i1167" type="#_x0000_t75" style="width:97.8pt;height:25.8pt" o:ole="">
            <v:imagedata r:id="rId382" o:title=""/>
          </v:shape>
          <o:OLEObject Type="Embed" ProgID="Equation.DSMT4" ShapeID="_x0000_i1167" DrawAspect="Content" ObjectID="_1334048348" r:id="rId383"/>
        </w:object>
      </w:r>
      <w:r w:rsidRPr="009448FC">
        <w:t>.</w:t>
      </w:r>
    </w:p>
    <w:p w:rsidR="00C024E7" w:rsidRPr="009448FC" w:rsidRDefault="00C024E7" w:rsidP="003701DB">
      <w:pPr>
        <w:pStyle w:val="Heading5"/>
        <w:keepNext w:val="0"/>
        <w:numPr>
          <w:ilvl w:val="4"/>
          <w:numId w:val="42"/>
        </w:numPr>
        <w:tabs>
          <w:tab w:val="clear" w:pos="1152"/>
        </w:tabs>
        <w:spacing w:after="60"/>
        <w:jc w:val="left"/>
      </w:pPr>
      <w:bookmarkStart w:id="3403" w:name="_Toc215583011"/>
      <w:bookmarkStart w:id="3404" w:name="_Toc235400700"/>
      <w:bookmarkStart w:id="3405" w:name="_Toc259717369"/>
      <w:r w:rsidRPr="009448FC">
        <w:t>Modulation Mapping</w:t>
      </w:r>
      <w:bookmarkEnd w:id="3403"/>
      <w:bookmarkEnd w:id="3404"/>
      <w:bookmarkEnd w:id="3405"/>
    </w:p>
    <w:p w:rsidR="00C024E7" w:rsidRPr="009448FC" w:rsidRDefault="00C024E7" w:rsidP="00C024E7">
      <w:r w:rsidRPr="009448FC">
        <w:t>The coded bits are mapped to complex constellation points for the modulation specified in the MCS as described in the following subclauses.</w:t>
      </w:r>
    </w:p>
    <w:p w:rsidR="00606A04" w:rsidRPr="009448FC" w:rsidRDefault="00C024E7" w:rsidP="003701DB">
      <w:pPr>
        <w:pStyle w:val="Heading6"/>
        <w:numPr>
          <w:ilvl w:val="5"/>
          <w:numId w:val="42"/>
        </w:numPr>
      </w:pPr>
      <w:bookmarkStart w:id="3406" w:name="_Ref207615045"/>
      <w:r w:rsidRPr="009448FC">
        <w:t>SQPSK Modulation</w:t>
      </w:r>
      <w:bookmarkEnd w:id="3406"/>
    </w:p>
    <w:p w:rsidR="00C024E7" w:rsidRPr="009448FC" w:rsidRDefault="00C024E7" w:rsidP="00BB70C0">
      <w:r w:rsidRPr="009448FC">
        <w:t xml:space="preserve">In SQPSK (Spread QPSK) modulation, the input stream is broken into groups of </w:t>
      </w:r>
      <w:r w:rsidRPr="009448FC">
        <w:rPr>
          <w:i/>
        </w:rPr>
        <w:t>N</w:t>
      </w:r>
      <w:r w:rsidRPr="009448FC">
        <w:rPr>
          <w:i/>
          <w:vertAlign w:val="subscript"/>
        </w:rPr>
        <w:t>CBPS</w:t>
      </w:r>
      <w:r w:rsidRPr="009448FC">
        <w:t xml:space="preserve"> bits -</w:t>
      </w:r>
      <w:r w:rsidR="00281486" w:rsidRPr="009448FC">
        <w:t xml:space="preserve"> </w:t>
      </w:r>
      <w:r w:rsidR="00606A04" w:rsidRPr="009448FC">
        <w:rPr>
          <w:position w:val="-18"/>
        </w:rPr>
        <w:object w:dxaOrig="2079" w:dyaOrig="480">
          <v:shape id="_x0000_i1168" type="#_x0000_t75" style="width:103.7pt;height:25.8pt" o:ole="">
            <v:imagedata r:id="rId384" o:title=""/>
          </v:shape>
          <o:OLEObject Type="Embed" ProgID="Equation.DSMT4" ShapeID="_x0000_i1168" DrawAspect="Content" ObjectID="_1334048349" r:id="rId385"/>
        </w:object>
      </w:r>
      <w:r w:rsidRPr="009448FC">
        <w:t>.</w:t>
      </w:r>
      <w:r w:rsidR="00281486" w:rsidRPr="009448FC">
        <w:t xml:space="preserve"> </w:t>
      </w:r>
      <w:r w:rsidR="00606A04" w:rsidRPr="009448FC">
        <w:t>E</w:t>
      </w:r>
      <w:r w:rsidRPr="009448FC">
        <w:t xml:space="preserve">ach pair of bits </w:t>
      </w:r>
      <w:r w:rsidR="00606A04" w:rsidRPr="009448FC">
        <w:rPr>
          <w:position w:val="-18"/>
        </w:rPr>
        <w:object w:dxaOrig="3040" w:dyaOrig="480">
          <v:shape id="_x0000_i1169" type="#_x0000_t75" style="width:154.4pt;height:25.8pt" o:ole="">
            <v:imagedata r:id="rId386" o:title=""/>
          </v:shape>
          <o:OLEObject Type="Embed" ProgID="Equation.DSMT4" ShapeID="_x0000_i1169" DrawAspect="Content" ObjectID="_1334048350" r:id="rId387"/>
        </w:object>
      </w:r>
      <w:r w:rsidRPr="009448FC">
        <w:t xml:space="preserve"> is converted into a complex constellation point</w:t>
      </w:r>
      <w:r w:rsidR="007F08F0" w:rsidRPr="009448FC">
        <w:t xml:space="preserve"> </w:t>
      </w:r>
      <w:r w:rsidR="007F08F0" w:rsidRPr="009448FC">
        <w:rPr>
          <w:position w:val="-28"/>
        </w:rPr>
        <w:object w:dxaOrig="3519" w:dyaOrig="660">
          <v:shape id="_x0000_i1170" type="#_x0000_t75" style="width:175.7pt;height:31.7pt" o:ole="">
            <v:imagedata r:id="rId388" o:title=""/>
          </v:shape>
          <o:OLEObject Type="Embed" ProgID="Equation.DSMT4" ShapeID="_x0000_i1170" DrawAspect="Content" ObjectID="_1334048351" r:id="rId389"/>
        </w:object>
      </w:r>
      <w:r w:rsidRPr="009448FC">
        <w:t>.</w:t>
      </w:r>
      <w:r w:rsidR="00281486" w:rsidRPr="009448FC">
        <w:t xml:space="preserve"> </w:t>
      </w:r>
      <w:r w:rsidRPr="009448FC">
        <w:t>This generates the constellation points for half the OFDM subcarriers.</w:t>
      </w:r>
      <w:r w:rsidR="00281486" w:rsidRPr="009448FC">
        <w:t xml:space="preserve"> </w:t>
      </w:r>
      <w:r w:rsidR="00BB70C0" w:rsidRPr="00BB70C0">
        <w:t xml:space="preserve">For the other subcarriers, </w:t>
      </w:r>
      <w:r w:rsidR="00BB70C0" w:rsidRPr="00BB70C0">
        <w:rPr>
          <w:position w:val="-14"/>
        </w:rPr>
        <w:object w:dxaOrig="4060" w:dyaOrig="400">
          <v:shape id="_x0000_i1171" type="#_x0000_t75" style="width:202.85pt;height:20.4pt" o:ole="">
            <v:imagedata r:id="rId390" o:title=""/>
          </v:shape>
          <o:OLEObject Type="Embed" ProgID="Equation.3" ShapeID="_x0000_i1171" DrawAspect="Content" ObjectID="_1334048352" r:id="rId391"/>
        </w:object>
      </w:r>
      <w:r w:rsidR="00BB70C0" w:rsidRPr="00BB70C0">
        <w:t xml:space="preserve">where the indices </w:t>
      </w:r>
      <w:r w:rsidR="00BB70C0" w:rsidRPr="00BB70C0">
        <w:rPr>
          <w:i/>
        </w:rPr>
        <w:t xml:space="preserve">P(k), </w:t>
      </w:r>
      <w:r w:rsidR="00BB70C0" w:rsidRPr="00BB70C0">
        <w:t>in the range</w:t>
      </w:r>
      <w:r w:rsidR="00BB70C0" w:rsidRPr="00BB70C0">
        <w:rPr>
          <w:i/>
        </w:rPr>
        <w:t xml:space="preserve"> N</w:t>
      </w:r>
      <w:r w:rsidR="00BB70C0" w:rsidRPr="00BB70C0">
        <w:rPr>
          <w:i/>
          <w:vertAlign w:val="subscript"/>
        </w:rPr>
        <w:t>CBPS</w:t>
      </w:r>
      <w:r w:rsidR="00BB70C0" w:rsidRPr="00BB70C0">
        <w:rPr>
          <w:i/>
        </w:rPr>
        <w:t xml:space="preserve"> /2 to N</w:t>
      </w:r>
      <w:r w:rsidR="00BB70C0" w:rsidRPr="00BB70C0">
        <w:rPr>
          <w:i/>
          <w:vertAlign w:val="subscript"/>
        </w:rPr>
        <w:t>CBPS</w:t>
      </w:r>
      <w:r w:rsidR="00BB70C0" w:rsidRPr="00BB70C0">
        <w:t>-1</w:t>
      </w:r>
      <w:r w:rsidR="00BB70C0" w:rsidRPr="00BB70C0">
        <w:rPr>
          <w:i/>
        </w:rPr>
        <w:t>,</w:t>
      </w:r>
      <w:r w:rsidR="00BB70C0" w:rsidRPr="00BB70C0">
        <w:t xml:space="preserve"> are as defined in </w:t>
      </w:r>
      <w:r w:rsidR="00BD151C">
        <w:fldChar w:fldCharType="begin"/>
      </w:r>
      <w:r w:rsidR="00EC36DA">
        <w:instrText xml:space="preserve"> REF _Ref208137223 \r \h </w:instrText>
      </w:r>
      <w:r w:rsidR="00BD151C">
        <w:fldChar w:fldCharType="separate"/>
      </w:r>
      <w:r w:rsidR="003E4210">
        <w:t>21.5.3.2.5</w:t>
      </w:r>
      <w:r w:rsidR="00BD151C">
        <w:fldChar w:fldCharType="end"/>
      </w:r>
      <w:r w:rsidR="00BB70C0" w:rsidRPr="00B3468C">
        <w:t>.</w:t>
      </w:r>
      <w:r w:rsidRPr="00B3468C">
        <w:t xml:space="preserve"> </w:t>
      </w:r>
    </w:p>
    <w:p w:rsidR="00C024E7" w:rsidRPr="009448FC" w:rsidRDefault="00C024E7" w:rsidP="00C024E7"/>
    <w:p w:rsidR="00C024E7" w:rsidRDefault="00C024E7" w:rsidP="003701DB">
      <w:pPr>
        <w:pStyle w:val="Heading6"/>
        <w:numPr>
          <w:ilvl w:val="5"/>
          <w:numId w:val="42"/>
        </w:numPr>
      </w:pPr>
      <w:bookmarkStart w:id="3407" w:name="_Ref242786514"/>
      <w:r w:rsidRPr="009448FC">
        <w:lastRenderedPageBreak/>
        <w:t>QPSK modulation</w:t>
      </w:r>
      <w:bookmarkEnd w:id="3407"/>
    </w:p>
    <w:p w:rsidR="002F5369" w:rsidRDefault="002F5369" w:rsidP="003701DB">
      <w:pPr>
        <w:pStyle w:val="ListParagraph"/>
        <w:numPr>
          <w:ilvl w:val="0"/>
          <w:numId w:val="219"/>
        </w:numPr>
        <w:contextualSpacing/>
      </w:pPr>
      <w:r>
        <w:t xml:space="preserve">The input stream is broken into groups of </w:t>
      </w:r>
      <w:r>
        <w:rPr>
          <w:i/>
          <w:iCs/>
        </w:rPr>
        <w:t>N</w:t>
      </w:r>
      <w:r>
        <w:rPr>
          <w:i/>
          <w:iCs/>
          <w:vertAlign w:val="subscript"/>
        </w:rPr>
        <w:t>CBPS</w:t>
      </w:r>
      <w:r>
        <w:t xml:space="preserve"> bits -</w:t>
      </w:r>
      <w:r w:rsidRPr="003A288C">
        <w:rPr>
          <w:rFonts w:eastAsia="Times New Roman"/>
          <w:position w:val="-18"/>
          <w:szCs w:val="20"/>
          <w:lang w:eastAsia="ja-JP" w:bidi="ar-SA"/>
        </w:rPr>
        <w:object w:dxaOrig="2020" w:dyaOrig="480">
          <v:shape id="_x0000_i1172" type="#_x0000_t75" style="width:100.1pt;height:24.9pt" o:ole="">
            <v:imagedata r:id="rId392" o:title=""/>
          </v:shape>
          <o:OLEObject Type="Embed" ProgID="Equation.DSMT4" ShapeID="_x0000_i1172" DrawAspect="Content" ObjectID="_1334048353" r:id="rId393"/>
        </w:object>
      </w:r>
      <w:r>
        <w:t xml:space="preserve">. Each group of four bits </w:t>
      </w:r>
      <w:r w:rsidRPr="003A288C">
        <w:rPr>
          <w:rFonts w:eastAsia="Times New Roman"/>
          <w:position w:val="-18"/>
          <w:szCs w:val="20"/>
          <w:lang w:eastAsia="ja-JP" w:bidi="ar-SA"/>
        </w:rPr>
        <w:object w:dxaOrig="2139" w:dyaOrig="480">
          <v:shape id="_x0000_i1173" type="#_x0000_t75" style="width:107.3pt;height:24.9pt" o:ole="">
            <v:imagedata r:id="rId394" o:title=""/>
          </v:shape>
          <o:OLEObject Type="Embed" ProgID="Equation.DSMT4" ShapeID="_x0000_i1173" DrawAspect="Content" ObjectID="_1334048354" r:id="rId395"/>
        </w:object>
      </w:r>
      <w:r>
        <w:t xml:space="preserve"> is converted into two complex constellation points</w:t>
      </w:r>
      <w:r w:rsidRPr="003A288C">
        <w:rPr>
          <w:rFonts w:eastAsia="Times New Roman"/>
          <w:position w:val="-28"/>
          <w:szCs w:val="20"/>
          <w:lang w:eastAsia="ja-JP" w:bidi="ar-SA"/>
        </w:rPr>
        <w:object w:dxaOrig="7280" w:dyaOrig="660">
          <v:shape id="_x0000_i1174" type="#_x0000_t75" style="width:364.55pt;height:31.7pt" o:ole="">
            <v:imagedata r:id="rId396" o:title=""/>
          </v:shape>
          <o:OLEObject Type="Embed" ProgID="Equation.DSMT4" ShapeID="_x0000_i1174" DrawAspect="Content" ObjectID="_1334048355" r:id="rId397"/>
        </w:object>
      </w:r>
      <w:r>
        <w:t>.</w:t>
      </w:r>
      <w:r w:rsidR="005515A4">
        <w:t xml:space="preserve"> </w:t>
      </w:r>
      <w:r>
        <w:t xml:space="preserve">The block </w:t>
      </w:r>
      <w:r w:rsidRPr="003A288C">
        <w:rPr>
          <w:rFonts w:eastAsia="Times New Roman"/>
          <w:position w:val="-20"/>
          <w:szCs w:val="20"/>
          <w:lang w:eastAsia="ja-JP" w:bidi="ar-SA"/>
        </w:rPr>
        <w:object w:dxaOrig="2120" w:dyaOrig="520">
          <v:shape id="_x0000_i1175" type="#_x0000_t75" style="width:105.95pt;height:25.8pt" o:ole="">
            <v:imagedata r:id="rId398" o:title=""/>
          </v:shape>
          <o:OLEObject Type="Embed" ProgID="Equation.DSMT4" ShapeID="_x0000_i1175" DrawAspect="Content" ObjectID="_1334048356" r:id="rId399"/>
        </w:object>
      </w:r>
      <w:r>
        <w:t xml:space="preserve"> is created.</w:t>
      </w:r>
    </w:p>
    <w:p w:rsidR="002F5369" w:rsidRDefault="002F5369" w:rsidP="002F5369">
      <w:pPr>
        <w:ind w:left="360"/>
      </w:pPr>
    </w:p>
    <w:p w:rsidR="002F5369" w:rsidRDefault="002F5369" w:rsidP="003701DB">
      <w:pPr>
        <w:numPr>
          <w:ilvl w:val="0"/>
          <w:numId w:val="220"/>
        </w:numPr>
      </w:pPr>
      <w:r>
        <w:t xml:space="preserve">Each pair of constellation points </w:t>
      </w:r>
      <w:r w:rsidRPr="003A288C">
        <w:rPr>
          <w:position w:val="-18"/>
          <w:szCs w:val="20"/>
          <w:lang w:eastAsia="ja-JP" w:bidi="ar-SA"/>
        </w:rPr>
        <w:object w:dxaOrig="2900" w:dyaOrig="480">
          <v:shape id="_x0000_i1176" type="#_x0000_t75" style="width:145.35pt;height:24.9pt" o:ole="">
            <v:imagedata r:id="rId400" o:title=""/>
          </v:shape>
          <o:OLEObject Type="Embed" ProgID="Equation.DSMT4" ShapeID="_x0000_i1176" DrawAspect="Content" ObjectID="_1334048357" r:id="rId401"/>
        </w:object>
      </w:r>
      <w:r>
        <w:t>is converted into</w:t>
      </w:r>
      <w:r w:rsidR="005515A4">
        <w:t xml:space="preserve"> </w:t>
      </w:r>
      <w:r w:rsidRPr="007C58E9">
        <w:rPr>
          <w:position w:val="-14"/>
          <w:szCs w:val="20"/>
          <w:lang w:eastAsia="ja-JP" w:bidi="ar-SA"/>
        </w:rPr>
        <w:object w:dxaOrig="2700" w:dyaOrig="460">
          <v:shape id="_x0000_i1177" type="#_x0000_t75" style="width:134.95pt;height:22.65pt" o:ole="">
            <v:imagedata r:id="rId402" o:title=""/>
          </v:shape>
          <o:OLEObject Type="Embed" ProgID="Equation.3" ShapeID="_x0000_i1177" DrawAspect="Content" ObjectID="_1334048358" r:id="rId403"/>
        </w:object>
      </w:r>
      <w:r>
        <w:t xml:space="preserve">where </w:t>
      </w:r>
      <w:r w:rsidR="009D537D" w:rsidRPr="009D537D">
        <w:t>the matrix</w:t>
      </w:r>
      <w:r w:rsidRPr="007C58E9">
        <w:t xml:space="preserve"> </w:t>
      </w:r>
      <w:r w:rsidRPr="007C58E9">
        <w:rPr>
          <w:position w:val="-30"/>
          <w:szCs w:val="20"/>
          <w:lang w:eastAsia="ja-JP" w:bidi="ar-SA"/>
        </w:rPr>
        <w:object w:dxaOrig="1660" w:dyaOrig="720">
          <v:shape id="_x0000_i1178" type="#_x0000_t75" style="width:82.4pt;height:38.05pt" o:ole="">
            <v:imagedata r:id="rId404" o:title=""/>
          </v:shape>
          <o:OLEObject Type="Embed" ProgID="Equation.DSMT4" ShapeID="_x0000_i1178" DrawAspect="Content" ObjectID="_1334048359" r:id="rId405"/>
        </w:object>
      </w:r>
      <w:r w:rsidRPr="007C58E9">
        <w:t xml:space="preserve"> </w:t>
      </w:r>
      <w:r w:rsidR="009D537D" w:rsidRPr="009D537D">
        <w:t xml:space="preserve">and the indices </w:t>
      </w:r>
      <w:r w:rsidR="009D537D" w:rsidRPr="009D537D">
        <w:rPr>
          <w:i/>
        </w:rPr>
        <w:t xml:space="preserve">P(k), </w:t>
      </w:r>
      <w:r w:rsidR="009D537D" w:rsidRPr="009D537D">
        <w:t>in the range</w:t>
      </w:r>
      <w:r w:rsidR="009D537D" w:rsidRPr="009D537D">
        <w:rPr>
          <w:i/>
        </w:rPr>
        <w:t xml:space="preserve"> N</w:t>
      </w:r>
      <w:r w:rsidR="009D537D" w:rsidRPr="009D537D">
        <w:rPr>
          <w:i/>
          <w:vertAlign w:val="subscript"/>
        </w:rPr>
        <w:t>SD</w:t>
      </w:r>
      <w:r w:rsidR="009D537D" w:rsidRPr="009D537D">
        <w:rPr>
          <w:i/>
        </w:rPr>
        <w:t xml:space="preserve"> /2 to N</w:t>
      </w:r>
      <w:r w:rsidR="009D537D" w:rsidRPr="009D537D">
        <w:rPr>
          <w:i/>
          <w:vertAlign w:val="subscript"/>
        </w:rPr>
        <w:t>SD</w:t>
      </w:r>
      <w:r w:rsidR="009D537D" w:rsidRPr="009D537D">
        <w:t>-1</w:t>
      </w:r>
      <w:r w:rsidR="009D537D" w:rsidRPr="009D537D">
        <w:rPr>
          <w:i/>
        </w:rPr>
        <w:t xml:space="preserve">, </w:t>
      </w:r>
      <w:r w:rsidR="009D537D" w:rsidRPr="009D537D">
        <w:t>are as defined in 21.5.3.2.5</w:t>
      </w:r>
      <w:r>
        <w:rPr>
          <w:u w:val="single"/>
        </w:rPr>
        <w:t>.</w:t>
      </w:r>
    </w:p>
    <w:p w:rsidR="002F5369" w:rsidRDefault="002F5369" w:rsidP="003701DB">
      <w:pPr>
        <w:numPr>
          <w:ilvl w:val="0"/>
          <w:numId w:val="220"/>
        </w:numPr>
      </w:pPr>
      <w:r>
        <w:t xml:space="preserve">The output is the stream of blocks </w:t>
      </w:r>
      <w:r w:rsidRPr="003A288C">
        <w:rPr>
          <w:position w:val="-18"/>
          <w:szCs w:val="20"/>
          <w:lang w:eastAsia="ja-JP" w:bidi="ar-SA"/>
        </w:rPr>
        <w:object w:dxaOrig="3640" w:dyaOrig="480">
          <v:shape id="_x0000_i1179" type="#_x0000_t75" style="width:182.05pt;height:24.9pt" o:ole="">
            <v:imagedata r:id="rId406" o:title=""/>
          </v:shape>
          <o:OLEObject Type="Embed" ProgID="Equation.DSMT4" ShapeID="_x0000_i1179" DrawAspect="Content" ObjectID="_1334048360" r:id="rId407"/>
        </w:object>
      </w:r>
      <w:r>
        <w:t>.</w:t>
      </w:r>
    </w:p>
    <w:p w:rsidR="00C024E7" w:rsidRPr="009448FC" w:rsidRDefault="00C024E7" w:rsidP="00B3468C"/>
    <w:p w:rsidR="00C024E7" w:rsidRPr="009448FC" w:rsidRDefault="00C024E7" w:rsidP="003701DB">
      <w:pPr>
        <w:pStyle w:val="Heading6"/>
        <w:numPr>
          <w:ilvl w:val="5"/>
          <w:numId w:val="42"/>
        </w:numPr>
      </w:pPr>
      <w:r w:rsidRPr="009448FC">
        <w:t>16-QAM Modulation</w:t>
      </w:r>
    </w:p>
    <w:p w:rsidR="00B5708B" w:rsidRPr="009448FC" w:rsidRDefault="00B5708B" w:rsidP="00B5708B">
      <w:pPr>
        <w:pStyle w:val="NormalIndent"/>
      </w:pPr>
    </w:p>
    <w:p w:rsidR="00B5708B" w:rsidRPr="009448FC" w:rsidRDefault="00B5708B" w:rsidP="00B5708B">
      <w:r w:rsidRPr="009448FC">
        <w:t xml:space="preserve">The input stream is broken into groups of </w:t>
      </w:r>
      <w:r w:rsidRPr="009448FC">
        <w:rPr>
          <w:i/>
        </w:rPr>
        <w:t>N</w:t>
      </w:r>
      <w:r w:rsidRPr="009448FC">
        <w:rPr>
          <w:i/>
          <w:vertAlign w:val="subscript"/>
        </w:rPr>
        <w:t>CBPS</w:t>
      </w:r>
      <w:r w:rsidRPr="009448FC">
        <w:t xml:space="preserve"> bits </w:t>
      </w:r>
      <w:r w:rsidRPr="009448FC">
        <w:rPr>
          <w:position w:val="-18"/>
        </w:rPr>
        <w:object w:dxaOrig="2079" w:dyaOrig="480">
          <v:shape id="_x0000_i1180" type="#_x0000_t75" style="width:102.8pt;height:25.8pt" o:ole="">
            <v:imagedata r:id="rId408" o:title=""/>
          </v:shape>
          <o:OLEObject Type="Embed" ProgID="Equation.DSMT4" ShapeID="_x0000_i1180" DrawAspect="Content" ObjectID="_1334048361" r:id="rId409"/>
        </w:object>
      </w:r>
      <w:r w:rsidRPr="009448FC">
        <w:t xml:space="preserve">. Each group of eight bits </w:t>
      </w:r>
      <w:r w:rsidRPr="009448FC">
        <w:rPr>
          <w:position w:val="-14"/>
        </w:rPr>
        <w:object w:dxaOrig="8080" w:dyaOrig="400">
          <v:shape id="_x0000_i1181" type="#_x0000_t75" style="width:404.85pt;height:20.4pt" o:ole="">
            <v:imagedata r:id="rId410" o:title=""/>
          </v:shape>
          <o:OLEObject Type="Embed" ProgID="Equation.DSMT4" ShapeID="_x0000_i1181" DrawAspect="Content" ObjectID="_1334048362" r:id="rId411"/>
        </w:object>
      </w:r>
      <w:r w:rsidRPr="009448FC">
        <w:t xml:space="preserve"> is converted into two complex constellation points </w:t>
      </w:r>
      <w:r w:rsidRPr="009448FC">
        <w:rPr>
          <w:position w:val="-12"/>
        </w:rPr>
        <w:object w:dxaOrig="1080" w:dyaOrig="380">
          <v:shape id="_x0000_i1182" type="#_x0000_t75" style="width:54.35pt;height:17.65pt" o:ole="">
            <v:imagedata r:id="rId412" o:title=""/>
          </v:shape>
          <o:OLEObject Type="Embed" ProgID="Equation.DSMT4" ShapeID="_x0000_i1182" DrawAspect="Content" ObjectID="_1334048363" r:id="rId413"/>
        </w:object>
      </w:r>
      <w:r w:rsidRPr="009448FC">
        <w:t xml:space="preserve"> such that</w:t>
      </w:r>
    </w:p>
    <w:p w:rsidR="00B5708B" w:rsidRPr="009448FC" w:rsidRDefault="00C335CC" w:rsidP="00C335CC">
      <w:pPr>
        <w:ind w:left="-450" w:firstLine="90"/>
      </w:pPr>
      <w:r w:rsidRPr="009448FC">
        <w:rPr>
          <w:position w:val="-56"/>
        </w:rPr>
        <w:object w:dxaOrig="10680" w:dyaOrig="1240">
          <v:shape id="_x0000_i1183" type="#_x0000_t75" style="width:503.1pt;height:62.5pt" o:ole="">
            <v:imagedata r:id="rId414" o:title=""/>
          </v:shape>
          <o:OLEObject Type="Embed" ProgID="Equation.DSMT4" ShapeID="_x0000_i1183" DrawAspect="Content" ObjectID="_1334048364" r:id="rId415"/>
        </w:object>
      </w:r>
      <w:r w:rsidR="0072097A" w:rsidRPr="009448FC">
        <w:t xml:space="preserve"> </w:t>
      </w:r>
    </w:p>
    <w:p w:rsidR="00B5708B" w:rsidRPr="00066F65" w:rsidRDefault="00B5708B" w:rsidP="0072097A">
      <w:pPr>
        <w:rPr>
          <w:bCs/>
          <w:iCs/>
          <w:u w:val="single"/>
        </w:rPr>
      </w:pPr>
      <w:r w:rsidRPr="009448FC">
        <w:t>The output is the stream of blocks</w:t>
      </w:r>
      <w:r w:rsidR="0072097A">
        <w:t xml:space="preserve"> </w:t>
      </w:r>
      <w:r w:rsidR="0045439D" w:rsidRPr="0072097A">
        <w:rPr>
          <w:position w:val="-14"/>
        </w:rPr>
        <w:object w:dxaOrig="4280" w:dyaOrig="400">
          <v:shape id="_x0000_i1184" type="#_x0000_t75" style="width:214.65pt;height:20.4pt" o:ole="">
            <v:imagedata r:id="rId416" o:title=""/>
          </v:shape>
          <o:OLEObject Type="Embed" ProgID="Equation.3" ShapeID="_x0000_i1184" DrawAspect="Content" ObjectID="_1334048365" r:id="rId417"/>
        </w:object>
      </w:r>
      <w:r w:rsidR="0045439D">
        <w:t>.</w:t>
      </w:r>
      <w:r w:rsidR="00BE1F31">
        <w:t xml:space="preserve"> </w:t>
      </w:r>
    </w:p>
    <w:p w:rsidR="00C024E7" w:rsidRPr="0072097A" w:rsidRDefault="00C024E7" w:rsidP="00C024E7"/>
    <w:p w:rsidR="00C024E7" w:rsidRPr="009448FC" w:rsidRDefault="00C024E7" w:rsidP="003701DB">
      <w:pPr>
        <w:pStyle w:val="Heading6"/>
        <w:numPr>
          <w:ilvl w:val="5"/>
          <w:numId w:val="42"/>
        </w:numPr>
      </w:pPr>
      <w:r w:rsidRPr="009448FC">
        <w:t>64-QAM Modulation</w:t>
      </w:r>
    </w:p>
    <w:p w:rsidR="00C024E7" w:rsidRPr="009448FC" w:rsidRDefault="00C024E7" w:rsidP="00FA0881">
      <w:r w:rsidRPr="009448FC">
        <w:t xml:space="preserve">The input stream is broken into groups of </w:t>
      </w:r>
      <w:r w:rsidR="00494EF2" w:rsidRPr="009448FC">
        <w:rPr>
          <w:i/>
        </w:rPr>
        <w:t>N</w:t>
      </w:r>
      <w:r w:rsidR="00494EF2" w:rsidRPr="009448FC">
        <w:rPr>
          <w:i/>
          <w:vertAlign w:val="subscript"/>
        </w:rPr>
        <w:t>CBPS</w:t>
      </w:r>
      <w:r w:rsidR="00494EF2" w:rsidRPr="009448FC">
        <w:t xml:space="preserve"> </w:t>
      </w:r>
      <w:r w:rsidRPr="009448FC">
        <w:t xml:space="preserve">bits </w:t>
      </w:r>
      <w:r w:rsidR="00494EF2" w:rsidRPr="009448FC">
        <w:rPr>
          <w:position w:val="-18"/>
        </w:rPr>
        <w:object w:dxaOrig="2079" w:dyaOrig="480">
          <v:shape id="_x0000_i1185" type="#_x0000_t75" style="width:103.7pt;height:25.8pt" o:ole="">
            <v:imagedata r:id="rId418" o:title=""/>
          </v:shape>
          <o:OLEObject Type="Embed" ProgID="Equation.DSMT4" ShapeID="_x0000_i1185" DrawAspect="Content" ObjectID="_1334048366" r:id="rId419"/>
        </w:object>
      </w:r>
      <w:r w:rsidRPr="009448FC">
        <w:t>.</w:t>
      </w:r>
      <w:r w:rsidR="00281486" w:rsidRPr="009448FC">
        <w:t xml:space="preserve"> </w:t>
      </w:r>
      <w:r w:rsidR="00FA0881" w:rsidRPr="009448FC">
        <w:t xml:space="preserve">The constellation point for the </w:t>
      </w:r>
      <w:r w:rsidR="00FA0881" w:rsidRPr="009448FC">
        <w:rPr>
          <w:i/>
        </w:rPr>
        <w:t>k</w:t>
      </w:r>
      <w:r w:rsidR="00FA0881" w:rsidRPr="009448FC">
        <w:t xml:space="preserve">’th subcarrier in the </w:t>
      </w:r>
      <w:r w:rsidR="00FA0881" w:rsidRPr="009448FC">
        <w:rPr>
          <w:i/>
        </w:rPr>
        <w:t>q</w:t>
      </w:r>
      <w:r w:rsidR="00FA0881" w:rsidRPr="009448FC">
        <w:t>’th symbol is:</w:t>
      </w:r>
      <w:r w:rsidRPr="009448FC">
        <w:t xml:space="preserve"> </w:t>
      </w:r>
    </w:p>
    <w:p w:rsidR="00C024E7" w:rsidRPr="009448FC" w:rsidRDefault="00C024E7" w:rsidP="00C024E7"/>
    <w:p w:rsidR="00C024E7" w:rsidRPr="009448FC" w:rsidRDefault="00FA0881" w:rsidP="00C024E7">
      <w:r w:rsidRPr="009448FC">
        <w:rPr>
          <w:position w:val="-62"/>
        </w:rPr>
        <w:object w:dxaOrig="8040" w:dyaOrig="1500">
          <v:shape id="_x0000_i1186" type="#_x0000_t75" style="width:403.45pt;height:72.9pt" o:ole="">
            <v:imagedata r:id="rId420" o:title=""/>
          </v:shape>
          <o:OLEObject Type="Embed" ProgID="Equation.DSMT4" ShapeID="_x0000_i1186" DrawAspect="Content" ObjectID="_1334048367" r:id="rId421"/>
        </w:object>
      </w:r>
    </w:p>
    <w:p w:rsidR="00220AD9" w:rsidRPr="009448FC" w:rsidRDefault="00220AD9" w:rsidP="0091073E">
      <w:pPr>
        <w:outlineLvl w:val="0"/>
      </w:pPr>
    </w:p>
    <w:p w:rsidR="00FA0881" w:rsidRPr="009448FC" w:rsidRDefault="00220AD9" w:rsidP="0091073E">
      <w:pPr>
        <w:outlineLvl w:val="0"/>
        <w:rPr>
          <w:sz w:val="20"/>
        </w:rPr>
      </w:pPr>
      <w:r w:rsidRPr="009448FC">
        <w:rPr>
          <w:sz w:val="20"/>
        </w:rPr>
        <w:t xml:space="preserve">NOTE – </w:t>
      </w:r>
      <w:r w:rsidR="00FA0881" w:rsidRPr="009448FC">
        <w:rPr>
          <w:sz w:val="20"/>
        </w:rPr>
        <w:t>This mapping provides interleaving between three LDPC codewords on a subcarrier basis.</w:t>
      </w:r>
    </w:p>
    <w:p w:rsidR="00220AD9" w:rsidRPr="009448FC" w:rsidRDefault="00220AD9" w:rsidP="0091073E">
      <w:pPr>
        <w:outlineLvl w:val="0"/>
      </w:pPr>
    </w:p>
    <w:p w:rsidR="00C024E7" w:rsidRPr="009448FC" w:rsidRDefault="00C024E7" w:rsidP="00FE7F45">
      <w:pPr>
        <w:outlineLvl w:val="0"/>
      </w:pPr>
      <w:r w:rsidRPr="009448FC">
        <w:lastRenderedPageBreak/>
        <w:t xml:space="preserve">The mapping is shown in </w:t>
      </w:r>
      <w:r w:rsidR="00BD151C">
        <w:fldChar w:fldCharType="begin"/>
      </w:r>
      <w:r w:rsidR="00FE7F45">
        <w:instrText xml:space="preserve"> REF _Ref236560882 \h </w:instrText>
      </w:r>
      <w:r w:rsidR="00BD151C">
        <w:fldChar w:fldCharType="separate"/>
      </w:r>
      <w:r w:rsidR="003E4210" w:rsidRPr="00066F65">
        <w:t xml:space="preserve">Figure </w:t>
      </w:r>
      <w:r w:rsidR="003E4210">
        <w:rPr>
          <w:noProof/>
        </w:rPr>
        <w:t>140</w:t>
      </w:r>
      <w:r w:rsidR="00BD151C">
        <w:fldChar w:fldCharType="end"/>
      </w:r>
      <w:r w:rsidR="00220AD9" w:rsidRPr="009448FC">
        <w:t>.</w:t>
      </w:r>
    </w:p>
    <w:p w:rsidR="00C024E7" w:rsidRPr="009448FC" w:rsidRDefault="00C024E7" w:rsidP="00C024E7">
      <w:pPr>
        <w:keepNext/>
        <w:jc w:val="center"/>
      </w:pPr>
      <w:r w:rsidRPr="009448FC">
        <w:object w:dxaOrig="6983" w:dyaOrig="6799">
          <v:shape id="_x0000_i1187" type="#_x0000_t75" style="width:349.6pt;height:341pt" o:ole="">
            <v:imagedata r:id="rId422" o:title=""/>
          </v:shape>
          <o:OLEObject Type="Embed" ProgID="Visio.Drawing.11" ShapeID="_x0000_i1187" DrawAspect="Content" ObjectID="_1334048368" r:id="rId423"/>
        </w:object>
      </w:r>
    </w:p>
    <w:p w:rsidR="00C024E7" w:rsidRPr="00066F65" w:rsidRDefault="00BF47F1" w:rsidP="00BA5BC4">
      <w:pPr>
        <w:pStyle w:val="Caption"/>
      </w:pPr>
      <w:bookmarkStart w:id="3408" w:name="_Ref236560882"/>
      <w:bookmarkStart w:id="3409" w:name="_Ref207514796"/>
      <w:bookmarkStart w:id="3410" w:name="_Toc259717572"/>
      <w:r w:rsidRPr="00066F65">
        <w:t xml:space="preserve">Figure </w:t>
      </w:r>
      <w:r w:rsidR="00BD151C">
        <w:fldChar w:fldCharType="begin"/>
      </w:r>
      <w:r w:rsidR="00801316">
        <w:instrText xml:space="preserve"> SEQ Figure \* ARABIC </w:instrText>
      </w:r>
      <w:r w:rsidR="00BD151C">
        <w:fldChar w:fldCharType="separate"/>
      </w:r>
      <w:r w:rsidR="003E4210">
        <w:rPr>
          <w:noProof/>
        </w:rPr>
        <w:t>140</w:t>
      </w:r>
      <w:r w:rsidR="00BD151C">
        <w:fldChar w:fldCharType="end"/>
      </w:r>
      <w:bookmarkEnd w:id="3408"/>
      <w:r w:rsidR="00C024E7" w:rsidRPr="00066F65">
        <w:t xml:space="preserve"> </w:t>
      </w:r>
      <w:r w:rsidR="00A719A1" w:rsidRPr="00066F65">
        <w:t xml:space="preserve">– </w:t>
      </w:r>
      <w:r w:rsidR="00C024E7" w:rsidRPr="00066F65">
        <w:t>64-QAM modulation mapping</w:t>
      </w:r>
      <w:bookmarkEnd w:id="3409"/>
      <w:bookmarkEnd w:id="3410"/>
    </w:p>
    <w:p w:rsidR="00C024E7" w:rsidRDefault="00E2534F" w:rsidP="00C024E7">
      <w:r>
        <w:t xml:space="preserve"> </w:t>
      </w:r>
    </w:p>
    <w:p w:rsidR="00BB70C0" w:rsidRPr="00960F1F" w:rsidRDefault="00BB70C0" w:rsidP="003701DB">
      <w:pPr>
        <w:pStyle w:val="Heading6"/>
        <w:numPr>
          <w:ilvl w:val="5"/>
          <w:numId w:val="42"/>
        </w:numPr>
        <w:rPr>
          <w:bCs/>
          <w:iCs/>
        </w:rPr>
      </w:pPr>
      <w:r w:rsidRPr="004C1A52">
        <w:rPr>
          <w:iCs/>
        </w:rPr>
        <w:t xml:space="preserve">Tone </w:t>
      </w:r>
      <w:r w:rsidRPr="00BB70C0">
        <w:t>Pairing</w:t>
      </w:r>
      <w:r w:rsidRPr="004C1A52">
        <w:rPr>
          <w:iCs/>
        </w:rPr>
        <w:t xml:space="preserve"> for SQPSK</w:t>
      </w:r>
      <w:r w:rsidR="0043766C">
        <w:rPr>
          <w:iCs/>
        </w:rPr>
        <w:t xml:space="preserve"> and QPSK</w:t>
      </w:r>
    </w:p>
    <w:p w:rsidR="00BB70C0" w:rsidRPr="00960F1F" w:rsidRDefault="00BB70C0" w:rsidP="00BB70C0"/>
    <w:p w:rsidR="00BB70C0" w:rsidRPr="00960F1F" w:rsidRDefault="00BB70C0" w:rsidP="0043766C">
      <w:r>
        <w:t xml:space="preserve">When </w:t>
      </w:r>
      <w:r w:rsidRPr="00960F1F">
        <w:t xml:space="preserve">SQPSK </w:t>
      </w:r>
      <w:r w:rsidR="0043766C">
        <w:t xml:space="preserve">or QPSK </w:t>
      </w:r>
      <w:r w:rsidR="0065405C">
        <w:t xml:space="preserve">modulations </w:t>
      </w:r>
      <w:r w:rsidR="0043766C">
        <w:t xml:space="preserve">are </w:t>
      </w:r>
      <w:r>
        <w:t xml:space="preserve">employed </w:t>
      </w:r>
      <w:r w:rsidRPr="00960F1F">
        <w:t xml:space="preserve">in OFDM, bit sequences are mapped to pairs of symbols </w:t>
      </w:r>
      <w:r w:rsidRPr="00960F1F">
        <w:rPr>
          <w:position w:val="-14"/>
        </w:rPr>
        <w:object w:dxaOrig="1120" w:dyaOrig="400">
          <v:shape id="_x0000_i1188" type="#_x0000_t75" style="width:54.35pt;height:20.4pt" o:ole="">
            <v:imagedata r:id="rId424" o:title=""/>
          </v:shape>
          <o:OLEObject Type="Embed" ProgID="Equation.3" ShapeID="_x0000_i1188" DrawAspect="Content" ObjectID="_1334048369" r:id="rId425"/>
        </w:object>
      </w:r>
      <w:r w:rsidRPr="00960F1F">
        <w:t xml:space="preserve"> where </w:t>
      </w:r>
      <w:r w:rsidRPr="00960F1F">
        <w:rPr>
          <w:i/>
        </w:rPr>
        <w:t>k</w:t>
      </w:r>
      <w:r w:rsidRPr="00960F1F">
        <w:t xml:space="preserve"> is in the range </w:t>
      </w:r>
      <w:r w:rsidRPr="00960F1F">
        <w:rPr>
          <w:position w:val="-18"/>
        </w:rPr>
        <w:object w:dxaOrig="1680" w:dyaOrig="540">
          <v:shape id="_x0000_i1189" type="#_x0000_t75" style="width:85.15pt;height:27.15pt" o:ole="">
            <v:imagedata r:id="rId426" o:title=""/>
          </v:shape>
          <o:OLEObject Type="Embed" ProgID="Equation.3" ShapeID="_x0000_i1189" DrawAspect="Content" ObjectID="_1334048370" r:id="rId427"/>
        </w:object>
      </w:r>
      <w:r w:rsidRPr="00960F1F">
        <w:t xml:space="preserve"> and </w:t>
      </w:r>
      <w:r w:rsidRPr="00960F1F">
        <w:rPr>
          <w:i/>
        </w:rPr>
        <w:t>P(k)</w:t>
      </w:r>
      <w:r w:rsidRPr="00960F1F">
        <w:t xml:space="preserve"> is in the range of </w:t>
      </w:r>
      <w:r w:rsidRPr="00960F1F">
        <w:rPr>
          <w:position w:val="-18"/>
        </w:rPr>
        <w:object w:dxaOrig="2280" w:dyaOrig="540">
          <v:shape id="_x0000_i1190" type="#_x0000_t75" style="width:112.3pt;height:27.15pt" o:ole="">
            <v:imagedata r:id="rId428" o:title=""/>
          </v:shape>
          <o:OLEObject Type="Embed" ProgID="Equation.3" ShapeID="_x0000_i1190" DrawAspect="Content" ObjectID="_1334048371" r:id="rId429"/>
        </w:object>
      </w:r>
      <w:r>
        <w:t>, in order to exploit frequency diversity</w:t>
      </w:r>
      <w:r w:rsidRPr="00960F1F">
        <w:t xml:space="preserve">. The indices </w:t>
      </w:r>
      <w:r w:rsidRPr="00960F1F">
        <w:rPr>
          <w:i/>
        </w:rPr>
        <w:t>k</w:t>
      </w:r>
      <w:r w:rsidRPr="00960F1F">
        <w:t xml:space="preserve"> and </w:t>
      </w:r>
      <w:r w:rsidRPr="00960F1F">
        <w:rPr>
          <w:i/>
        </w:rPr>
        <w:t>P(k)</w:t>
      </w:r>
      <w:r w:rsidRPr="00960F1F">
        <w:t xml:space="preserve"> determine which pair of OFDM subcarriers each pair of symbols are carried on.</w:t>
      </w:r>
    </w:p>
    <w:p w:rsidR="00BB70C0" w:rsidRPr="00960F1F" w:rsidRDefault="00BB70C0" w:rsidP="00BB70C0"/>
    <w:p w:rsidR="00BB70C0" w:rsidRPr="00960F1F" w:rsidRDefault="00BB70C0" w:rsidP="00BB70C0">
      <w:r w:rsidRPr="00960F1F">
        <w:t xml:space="preserve">All STAs shall support </w:t>
      </w:r>
      <w:r w:rsidRPr="00CB19AC">
        <w:t>Static Tone Pairing (STP</w:t>
      </w:r>
      <w:r w:rsidRPr="00960F1F">
        <w:rPr>
          <w:i/>
        </w:rPr>
        <w:t>)</w:t>
      </w:r>
      <w:r w:rsidRPr="00960F1F">
        <w:t xml:space="preserve"> where a constant mapping between </w:t>
      </w:r>
      <w:r w:rsidRPr="00960F1F">
        <w:rPr>
          <w:i/>
        </w:rPr>
        <w:t>k</w:t>
      </w:r>
      <w:r w:rsidRPr="00960F1F">
        <w:t xml:space="preserve"> and </w:t>
      </w:r>
      <w:r w:rsidRPr="00960F1F">
        <w:rPr>
          <w:i/>
        </w:rPr>
        <w:t>P(k)</w:t>
      </w:r>
      <w:r w:rsidRPr="00960F1F">
        <w:t xml:space="preserve"> is employed. The PHY header is always encoded using STP. </w:t>
      </w:r>
    </w:p>
    <w:p w:rsidR="00BB70C0" w:rsidRPr="00960F1F" w:rsidRDefault="00BB70C0" w:rsidP="00BB70C0"/>
    <w:p w:rsidR="00BB70C0" w:rsidRPr="00960F1F" w:rsidRDefault="00CB19AC" w:rsidP="00BB70C0">
      <w:r>
        <w:t>A STA</w:t>
      </w:r>
      <w:r w:rsidR="00BB70C0" w:rsidRPr="00960F1F">
        <w:t xml:space="preserve"> may employ </w:t>
      </w:r>
      <w:r w:rsidR="00BB70C0" w:rsidRPr="00CB19AC">
        <w:t>Dynamic Tone Pairing</w:t>
      </w:r>
      <w:r w:rsidR="00220AF4">
        <w:t xml:space="preserve"> </w:t>
      </w:r>
      <w:r w:rsidR="00BB70C0" w:rsidRPr="00CB19AC">
        <w:t>(DTP)</w:t>
      </w:r>
      <w:r w:rsidR="00BB70C0" w:rsidRPr="00960F1F">
        <w:t xml:space="preserve"> where the mapping between </w:t>
      </w:r>
      <w:r w:rsidR="00BB70C0" w:rsidRPr="00960F1F">
        <w:rPr>
          <w:i/>
        </w:rPr>
        <w:t>k</w:t>
      </w:r>
      <w:r w:rsidR="00BB70C0" w:rsidRPr="00960F1F">
        <w:t xml:space="preserve"> and </w:t>
      </w:r>
      <w:r w:rsidR="00BB70C0" w:rsidRPr="00960F1F">
        <w:rPr>
          <w:i/>
        </w:rPr>
        <w:t>P(k)</w:t>
      </w:r>
      <w:r w:rsidR="00BB70C0" w:rsidRPr="00960F1F">
        <w:t xml:space="preserve"> are determined by the receiving STA and fed back to the transmitting STA. An STA may use DTP when transmitting to a DTP-capable STA, from which it has received DTP feedback.</w:t>
      </w:r>
      <w:r w:rsidR="005515A4">
        <w:t xml:space="preserve"> </w:t>
      </w:r>
      <w:r>
        <w:t>A STA is DTP-capable if the DTP Supported field within the STA’s mmWave Capability element is set to one (</w:t>
      </w:r>
      <w:r w:rsidR="00BD151C">
        <w:fldChar w:fldCharType="begin"/>
      </w:r>
      <w:r>
        <w:instrText xml:space="preserve"> REF _Ref244244226 \r \h </w:instrText>
      </w:r>
      <w:r w:rsidR="00BD151C">
        <w:fldChar w:fldCharType="separate"/>
      </w:r>
      <w:r w:rsidR="003E4210">
        <w:t>7.3.2.91</w:t>
      </w:r>
      <w:r w:rsidR="00BD151C">
        <w:fldChar w:fldCharType="end"/>
      </w:r>
      <w:r>
        <w:t>). The STA is not DTP-capable otherwise.</w:t>
      </w:r>
    </w:p>
    <w:p w:rsidR="00BB70C0" w:rsidRDefault="00BB70C0" w:rsidP="00BB70C0">
      <w:pPr>
        <w:rPr>
          <w:b/>
        </w:rPr>
      </w:pPr>
      <w:r>
        <w:rPr>
          <w:b/>
        </w:rPr>
        <w:br w:type="page"/>
      </w:r>
    </w:p>
    <w:p w:rsidR="00BB70C0" w:rsidRPr="00960F1F" w:rsidRDefault="00BB70C0" w:rsidP="003701DB">
      <w:pPr>
        <w:pStyle w:val="Heading6"/>
        <w:numPr>
          <w:ilvl w:val="6"/>
          <w:numId w:val="42"/>
        </w:numPr>
        <w:rPr>
          <w:b w:val="0"/>
        </w:rPr>
      </w:pPr>
      <w:bookmarkStart w:id="3411" w:name="_Ref251767274"/>
      <w:r w:rsidRPr="00960F1F">
        <w:lastRenderedPageBreak/>
        <w:t xml:space="preserve">Static </w:t>
      </w:r>
      <w:r w:rsidRPr="00BB70C0">
        <w:rPr>
          <w:iCs/>
        </w:rPr>
        <w:t>Tone</w:t>
      </w:r>
      <w:r w:rsidRPr="00960F1F">
        <w:t xml:space="preserve"> Pairing (STP)</w:t>
      </w:r>
      <w:bookmarkEnd w:id="3411"/>
    </w:p>
    <w:p w:rsidR="00BB70C0" w:rsidRPr="00960F1F" w:rsidRDefault="00BB70C0" w:rsidP="00BB70C0"/>
    <w:p w:rsidR="00BB70C0" w:rsidRPr="00960F1F" w:rsidRDefault="00BB70C0" w:rsidP="00BB70C0">
      <w:r w:rsidRPr="00960F1F">
        <w:t xml:space="preserve">When applied to the payload, STP is indicated by the </w:t>
      </w:r>
      <w:r w:rsidRPr="00EA2B35">
        <w:t>Tone Pairing Type</w:t>
      </w:r>
      <w:r w:rsidRPr="00960F1F">
        <w:t xml:space="preserve"> field in the PHY header set to 0. STP is always applied to the PHY header.</w:t>
      </w:r>
    </w:p>
    <w:p w:rsidR="00BB70C0" w:rsidRPr="00960F1F" w:rsidRDefault="00BB70C0" w:rsidP="00BB70C0"/>
    <w:p w:rsidR="00BB70C0" w:rsidRPr="00960F1F" w:rsidRDefault="00EA2B35" w:rsidP="0065405C">
      <w:r>
        <w:t>When STP is applied, the SQPSK</w:t>
      </w:r>
      <w:r w:rsidR="00BB70C0" w:rsidRPr="00960F1F">
        <w:t xml:space="preserve"> symbol-pair indices </w:t>
      </w:r>
      <w:r w:rsidR="00BB70C0" w:rsidRPr="00960F1F">
        <w:rPr>
          <w:i/>
        </w:rPr>
        <w:t>k</w:t>
      </w:r>
      <w:r w:rsidR="00BB70C0" w:rsidRPr="00960F1F">
        <w:t xml:space="preserve"> and </w:t>
      </w:r>
      <w:r w:rsidR="00BB70C0" w:rsidRPr="00960F1F">
        <w:rPr>
          <w:i/>
        </w:rPr>
        <w:t>P(k)</w:t>
      </w:r>
      <w:r w:rsidR="00BB70C0" w:rsidRPr="00960F1F">
        <w:t xml:space="preserve"> are such that</w:t>
      </w:r>
    </w:p>
    <w:p w:rsidR="00BB70C0" w:rsidRPr="00960F1F" w:rsidRDefault="00BB70C0" w:rsidP="00BB70C0"/>
    <w:p w:rsidR="00BB70C0" w:rsidRDefault="00BB70C0" w:rsidP="00BB70C0">
      <w:pPr>
        <w:jc w:val="center"/>
      </w:pPr>
      <w:r w:rsidRPr="00960F1F">
        <w:rPr>
          <w:position w:val="-24"/>
        </w:rPr>
        <w:object w:dxaOrig="3780" w:dyaOrig="639">
          <v:shape id="_x0000_i1191" type="#_x0000_t75" style="width:191.1pt;height:31.7pt" o:ole="">
            <v:imagedata r:id="rId430" o:title=""/>
          </v:shape>
          <o:OLEObject Type="Embed" ProgID="Equation.3" ShapeID="_x0000_i1191" DrawAspect="Content" ObjectID="_1334048372" r:id="rId431"/>
        </w:object>
      </w:r>
      <w:r>
        <w:t>.</w:t>
      </w:r>
    </w:p>
    <w:p w:rsidR="00BB70C0" w:rsidRPr="002E2AB7" w:rsidRDefault="00BB70C0" w:rsidP="003701DB">
      <w:pPr>
        <w:pStyle w:val="Heading6"/>
        <w:numPr>
          <w:ilvl w:val="6"/>
          <w:numId w:val="42"/>
        </w:numPr>
      </w:pPr>
      <w:bookmarkStart w:id="3412" w:name="_Ref251766478"/>
      <w:r w:rsidRPr="00BB70C0">
        <w:rPr>
          <w:iCs/>
        </w:rPr>
        <w:t>Dynamic</w:t>
      </w:r>
      <w:r w:rsidRPr="00960F1F">
        <w:t xml:space="preserve"> </w:t>
      </w:r>
      <w:r w:rsidRPr="00BB70C0">
        <w:rPr>
          <w:iCs/>
        </w:rPr>
        <w:t>Tone</w:t>
      </w:r>
      <w:r w:rsidRPr="00960F1F">
        <w:t xml:space="preserve"> Pairing (DTP)</w:t>
      </w:r>
      <w:bookmarkEnd w:id="3412"/>
    </w:p>
    <w:p w:rsidR="00BB70C0" w:rsidRPr="00960F1F" w:rsidRDefault="00BB70C0" w:rsidP="00BB70C0">
      <w:pPr>
        <w:rPr>
          <w:b/>
        </w:rPr>
      </w:pPr>
    </w:p>
    <w:p w:rsidR="003E4724" w:rsidRDefault="00BB70C0">
      <w:r w:rsidRPr="00960F1F">
        <w:t xml:space="preserve">When applied, DTP is indicated by the </w:t>
      </w:r>
      <w:r w:rsidRPr="00EA2B35">
        <w:t>Tone Pairing Type</w:t>
      </w:r>
      <w:r w:rsidRPr="00960F1F">
        <w:t xml:space="preserve"> field in the PHY header set to 1. DTP can only be applied to the payload of a PPDU employing MCS </w:t>
      </w:r>
      <w:r w:rsidR="00F7686A" w:rsidRPr="00960F1F">
        <w:t>1</w:t>
      </w:r>
      <w:r w:rsidR="00F7686A">
        <w:t>3</w:t>
      </w:r>
      <w:r w:rsidRPr="00960F1F">
        <w:t>-</w:t>
      </w:r>
      <w:r w:rsidR="00BE1F31">
        <w:t>17</w:t>
      </w:r>
      <w:r w:rsidRPr="00960F1F">
        <w:t xml:space="preserve">. </w:t>
      </w:r>
    </w:p>
    <w:p w:rsidR="00BB70C0" w:rsidRPr="00960F1F" w:rsidRDefault="00BB70C0" w:rsidP="00BB70C0"/>
    <w:p w:rsidR="00BB70C0" w:rsidRPr="00960F1F" w:rsidRDefault="00BB70C0" w:rsidP="0065405C">
      <w:r w:rsidRPr="00960F1F">
        <w:t xml:space="preserve">When </w:t>
      </w:r>
      <w:r w:rsidR="00220AF4">
        <w:t>D</w:t>
      </w:r>
      <w:r w:rsidRPr="00960F1F">
        <w:t xml:space="preserve">TP is applied, the SQPSK symbol-pair indices, </w:t>
      </w:r>
      <w:r w:rsidRPr="00960F1F">
        <w:rPr>
          <w:i/>
        </w:rPr>
        <w:t>k</w:t>
      </w:r>
      <w:r w:rsidRPr="00960F1F">
        <w:t xml:space="preserve"> and </w:t>
      </w:r>
      <w:r w:rsidRPr="00960F1F">
        <w:rPr>
          <w:i/>
        </w:rPr>
        <w:t>P(k),</w:t>
      </w:r>
      <w:r w:rsidRPr="00960F1F">
        <w:t xml:space="preserve"> are such that</w:t>
      </w:r>
    </w:p>
    <w:p w:rsidR="00BB70C0" w:rsidRPr="00960F1F" w:rsidRDefault="00BB70C0" w:rsidP="00BB70C0">
      <w:pPr>
        <w:jc w:val="center"/>
      </w:pPr>
      <w:r w:rsidRPr="00960F1F">
        <w:rPr>
          <w:position w:val="-34"/>
        </w:rPr>
        <w:object w:dxaOrig="7200" w:dyaOrig="800">
          <v:shape id="_x0000_i1192" type="#_x0000_t75" style="width:5in;height:40.3pt" o:ole="">
            <v:imagedata r:id="rId432" o:title=""/>
          </v:shape>
          <o:OLEObject Type="Embed" ProgID="Equation.3" ShapeID="_x0000_i1192" DrawAspect="Content" ObjectID="_1334048373" r:id="rId433"/>
        </w:object>
      </w:r>
    </w:p>
    <w:p w:rsidR="00BB70C0" w:rsidRPr="00960F1F" w:rsidRDefault="00BB70C0" w:rsidP="00BB70C0">
      <w:r w:rsidRPr="00960F1F">
        <w:t xml:space="preserve">where </w:t>
      </w:r>
      <w:r w:rsidRPr="00960F1F">
        <w:rPr>
          <w:i/>
        </w:rPr>
        <w:t>N</w:t>
      </w:r>
      <w:r w:rsidRPr="00960F1F">
        <w:rPr>
          <w:i/>
          <w:vertAlign w:val="subscript"/>
        </w:rPr>
        <w:t>TPG</w:t>
      </w:r>
      <w:r w:rsidRPr="00960F1F">
        <w:t xml:space="preserve"> denotes the number of tones per group and ToneIndexOffset(</w:t>
      </w:r>
      <w:r w:rsidRPr="00960F1F">
        <w:rPr>
          <w:i/>
        </w:rPr>
        <w:t>l</w:t>
      </w:r>
      <w:r w:rsidRPr="00960F1F">
        <w:t xml:space="preserve">) denotes the starting index of the </w:t>
      </w:r>
      <w:r w:rsidRPr="00960F1F">
        <w:rPr>
          <w:i/>
        </w:rPr>
        <w:t>l</w:t>
      </w:r>
      <w:r w:rsidRPr="00960F1F">
        <w:t>-th group of tone pairs, for</w:t>
      </w:r>
      <w:r w:rsidR="005515A4">
        <w:t xml:space="preserve"> </w:t>
      </w:r>
      <w:r w:rsidRPr="00960F1F">
        <w:rPr>
          <w:position w:val="-30"/>
        </w:rPr>
        <w:object w:dxaOrig="1960" w:dyaOrig="680">
          <v:shape id="_x0000_i1193" type="#_x0000_t75" style="width:97.8pt;height:35.3pt" o:ole="">
            <v:imagedata r:id="rId434" o:title=""/>
          </v:shape>
          <o:OLEObject Type="Embed" ProgID="Equation.3" ShapeID="_x0000_i1193" DrawAspect="Content" ObjectID="_1334048374" r:id="rId435"/>
        </w:object>
      </w:r>
      <w:r w:rsidRPr="00960F1F">
        <w:t>.</w:t>
      </w:r>
    </w:p>
    <w:p w:rsidR="00BB70C0" w:rsidRPr="00960F1F" w:rsidRDefault="00BB70C0" w:rsidP="00BB70C0"/>
    <w:p w:rsidR="00BB70C0" w:rsidRPr="00960F1F" w:rsidRDefault="00BB70C0" w:rsidP="00BB70C0">
      <w:r w:rsidRPr="00960F1F">
        <w:t xml:space="preserve">The values of </w:t>
      </w:r>
      <w:r w:rsidRPr="00960F1F">
        <w:rPr>
          <w:i/>
        </w:rPr>
        <w:t>N</w:t>
      </w:r>
      <w:r w:rsidRPr="00960F1F">
        <w:rPr>
          <w:i/>
          <w:vertAlign w:val="subscript"/>
        </w:rPr>
        <w:t xml:space="preserve">TPG </w:t>
      </w:r>
      <w:r w:rsidRPr="00960F1F">
        <w:t>and ToneIndexOffset(</w:t>
      </w:r>
      <w:r w:rsidRPr="00960F1F">
        <w:rPr>
          <w:i/>
        </w:rPr>
        <w:t>l</w:t>
      </w:r>
      <w:r w:rsidRPr="00960F1F">
        <w:t>) for</w:t>
      </w:r>
      <w:r w:rsidR="005515A4">
        <w:t xml:space="preserve"> </w:t>
      </w:r>
      <w:r w:rsidRPr="00960F1F">
        <w:rPr>
          <w:position w:val="-30"/>
        </w:rPr>
        <w:object w:dxaOrig="1960" w:dyaOrig="680">
          <v:shape id="_x0000_i1194" type="#_x0000_t75" style="width:97.8pt;height:35.3pt" o:ole="">
            <v:imagedata r:id="rId434" o:title=""/>
          </v:shape>
          <o:OLEObject Type="Embed" ProgID="Equation.3" ShapeID="_x0000_i1194" DrawAspect="Content" ObjectID="_1334048375" r:id="rId436"/>
        </w:object>
      </w:r>
      <w:r w:rsidRPr="00960F1F">
        <w:t xml:space="preserve"> are derived from the </w:t>
      </w:r>
      <w:r w:rsidRPr="00EA2B35">
        <w:t xml:space="preserve">DTP Report </w:t>
      </w:r>
      <w:r w:rsidR="00EA2B35">
        <w:t>e</w:t>
      </w:r>
      <w:r w:rsidRPr="00EA2B35">
        <w:t>lement</w:t>
      </w:r>
      <w:r w:rsidRPr="00960F1F">
        <w:t xml:space="preserve"> (</w:t>
      </w:r>
      <w:r w:rsidR="00BD151C">
        <w:fldChar w:fldCharType="begin"/>
      </w:r>
      <w:r w:rsidR="00EA2B35">
        <w:instrText xml:space="preserve"> REF _Ref251666007 \r \h </w:instrText>
      </w:r>
      <w:r w:rsidR="00BD151C">
        <w:fldChar w:fldCharType="separate"/>
      </w:r>
      <w:r w:rsidR="003E4210">
        <w:t>7.3.2.108</w:t>
      </w:r>
      <w:r w:rsidR="00BD151C">
        <w:fldChar w:fldCharType="end"/>
      </w:r>
      <w:r w:rsidRPr="00960F1F">
        <w:t xml:space="preserve">) </w:t>
      </w:r>
      <w:r>
        <w:t>included</w:t>
      </w:r>
      <w:r w:rsidRPr="00960F1F">
        <w:t xml:space="preserve"> in the </w:t>
      </w:r>
      <w:r w:rsidR="00EA2B35">
        <w:t>last</w:t>
      </w:r>
      <w:r>
        <w:t xml:space="preserve"> </w:t>
      </w:r>
      <w:r w:rsidR="00EA2B35">
        <w:t xml:space="preserve">received </w:t>
      </w:r>
      <w:r w:rsidRPr="00EA2B35">
        <w:t xml:space="preserve">DTP Report </w:t>
      </w:r>
      <w:r w:rsidR="00EA2B35">
        <w:t>f</w:t>
      </w:r>
      <w:r w:rsidRPr="00EA2B35">
        <w:t>rame</w:t>
      </w:r>
      <w:r w:rsidRPr="00960F1F">
        <w:t xml:space="preserve"> (</w:t>
      </w:r>
      <w:r w:rsidR="00BD151C">
        <w:fldChar w:fldCharType="begin"/>
      </w:r>
      <w:r w:rsidR="00EA2B35">
        <w:instrText xml:space="preserve"> REF _Ref251767828 \r \h </w:instrText>
      </w:r>
      <w:r w:rsidR="00BD151C">
        <w:fldChar w:fldCharType="separate"/>
      </w:r>
      <w:r w:rsidR="003E4210">
        <w:t>7.4.13.13</w:t>
      </w:r>
      <w:r w:rsidR="00BD151C">
        <w:fldChar w:fldCharType="end"/>
      </w:r>
      <w:r w:rsidR="00EA2B35">
        <w:t>).</w:t>
      </w:r>
    </w:p>
    <w:p w:rsidR="00BB70C0" w:rsidRPr="00960F1F" w:rsidRDefault="00BB70C0" w:rsidP="00BB70C0"/>
    <w:p w:rsidR="00BB70C0" w:rsidRPr="00960F1F" w:rsidRDefault="00BB70C0" w:rsidP="00BB70C0">
      <w:r w:rsidRPr="00960F1F">
        <w:t xml:space="preserve">The number of tone-pairs per group, </w:t>
      </w:r>
      <w:r w:rsidRPr="00960F1F">
        <w:rPr>
          <w:i/>
        </w:rPr>
        <w:t>N</w:t>
      </w:r>
      <w:r w:rsidRPr="00960F1F">
        <w:rPr>
          <w:i/>
          <w:vertAlign w:val="subscript"/>
        </w:rPr>
        <w:t>TPG,</w:t>
      </w:r>
      <w:r w:rsidRPr="00960F1F">
        <w:t xml:space="preserve"> is derived as</w:t>
      </w:r>
    </w:p>
    <w:p w:rsidR="00BB70C0" w:rsidRPr="00960F1F" w:rsidRDefault="00BB70C0" w:rsidP="00BB70C0">
      <w:pPr>
        <w:jc w:val="center"/>
      </w:pPr>
      <w:r w:rsidRPr="00960F1F">
        <w:rPr>
          <w:position w:val="-30"/>
        </w:rPr>
        <w:object w:dxaOrig="1280" w:dyaOrig="680">
          <v:shape id="_x0000_i1195" type="#_x0000_t75" style="width:63.85pt;height:35.3pt" o:ole="">
            <v:imagedata r:id="rId437" o:title=""/>
          </v:shape>
          <o:OLEObject Type="Embed" ProgID="Equation.3" ShapeID="_x0000_i1195" DrawAspect="Content" ObjectID="_1334048376" r:id="rId438"/>
        </w:object>
      </w:r>
    </w:p>
    <w:p w:rsidR="00BB70C0" w:rsidRDefault="00BB70C0" w:rsidP="00BB70C0">
      <w:pPr>
        <w:rPr>
          <w:i/>
        </w:rPr>
      </w:pPr>
      <w:r w:rsidRPr="00960F1F">
        <w:t xml:space="preserve">where </w:t>
      </w:r>
      <w:r w:rsidRPr="00960F1F">
        <w:rPr>
          <w:i/>
        </w:rPr>
        <w:t>N</w:t>
      </w:r>
      <w:r w:rsidRPr="00960F1F">
        <w:rPr>
          <w:i/>
          <w:vertAlign w:val="subscript"/>
        </w:rPr>
        <w:t>G</w:t>
      </w:r>
      <w:r w:rsidRPr="00960F1F">
        <w:t xml:space="preserve"> is the </w:t>
      </w:r>
      <w:r>
        <w:t>number of</w:t>
      </w:r>
      <w:r w:rsidRPr="00960F1F">
        <w:t xml:space="preserve"> </w:t>
      </w:r>
      <w:r>
        <w:t>number of DTP groups, which is equal to 42.</w:t>
      </w:r>
    </w:p>
    <w:p w:rsidR="00BB70C0" w:rsidRPr="00960F1F" w:rsidRDefault="00BB70C0" w:rsidP="00BB70C0"/>
    <w:p w:rsidR="00BB70C0" w:rsidRPr="00960F1F" w:rsidRDefault="00BB70C0" w:rsidP="00BB70C0">
      <w:r w:rsidRPr="00960F1F">
        <w:t>The tone index offsets, ToneIndexOffset(</w:t>
      </w:r>
      <w:r w:rsidRPr="00960F1F">
        <w:rPr>
          <w:i/>
        </w:rPr>
        <w:t>l</w:t>
      </w:r>
      <w:r w:rsidRPr="00960F1F">
        <w:t>), are derived as</w:t>
      </w:r>
    </w:p>
    <w:p w:rsidR="00BB70C0" w:rsidRPr="00960F1F" w:rsidRDefault="00BB70C0" w:rsidP="00BB70C0">
      <w:pPr>
        <w:jc w:val="center"/>
      </w:pPr>
      <w:r w:rsidRPr="00960F1F">
        <w:rPr>
          <w:position w:val="-12"/>
        </w:rPr>
        <w:object w:dxaOrig="5520" w:dyaOrig="360">
          <v:shape id="_x0000_i1196" type="#_x0000_t75" style="width:278.05pt;height:17.65pt" o:ole="">
            <v:imagedata r:id="rId439" o:title=""/>
          </v:shape>
          <o:OLEObject Type="Embed" ProgID="Equation.3" ShapeID="_x0000_i1196" DrawAspect="Content" ObjectID="_1334048377" r:id="rId440"/>
        </w:object>
      </w:r>
    </w:p>
    <w:p w:rsidR="00BB70C0" w:rsidRPr="00960F1F" w:rsidRDefault="00BB70C0" w:rsidP="00BB70C0">
      <w:r w:rsidRPr="00960F1F">
        <w:t>where</w:t>
      </w:r>
      <w:r w:rsidR="005515A4">
        <w:t xml:space="preserve"> </w:t>
      </w:r>
      <w:r w:rsidRPr="00960F1F">
        <w:t>GroupPairIndex(</w:t>
      </w:r>
      <w:r w:rsidRPr="00960F1F">
        <w:rPr>
          <w:i/>
        </w:rPr>
        <w:t>l</w:t>
      </w:r>
      <w:r w:rsidRPr="00960F1F">
        <w:t>)</w:t>
      </w:r>
      <w:r w:rsidR="005515A4">
        <w:t xml:space="preserve"> </w:t>
      </w:r>
      <w:r w:rsidRPr="00960F1F">
        <w:t xml:space="preserve">is the value of </w:t>
      </w:r>
      <w:r w:rsidR="00B3468C">
        <w:t xml:space="preserve">the </w:t>
      </w:r>
      <w:r w:rsidRPr="00B3468C">
        <w:t>GroupPairIndex(l)</w:t>
      </w:r>
      <w:r w:rsidRPr="00960F1F">
        <w:t xml:space="preserve"> subfield of the DTP Report Element. </w:t>
      </w:r>
    </w:p>
    <w:p w:rsidR="00BB70C0" w:rsidRPr="009448FC" w:rsidRDefault="00BB70C0" w:rsidP="00C024E7"/>
    <w:p w:rsidR="00C024E7" w:rsidRPr="009448FC" w:rsidRDefault="00C024E7" w:rsidP="003701DB">
      <w:pPr>
        <w:pStyle w:val="Heading5"/>
        <w:keepNext w:val="0"/>
        <w:numPr>
          <w:ilvl w:val="4"/>
          <w:numId w:val="42"/>
        </w:numPr>
        <w:tabs>
          <w:tab w:val="clear" w:pos="1152"/>
        </w:tabs>
        <w:spacing w:after="60"/>
        <w:jc w:val="left"/>
      </w:pPr>
      <w:bookmarkStart w:id="3413" w:name="_Ref207536165"/>
      <w:bookmarkStart w:id="3414" w:name="_Toc215583012"/>
      <w:bookmarkStart w:id="3415" w:name="_Toc235400701"/>
      <w:bookmarkStart w:id="3416" w:name="_Toc259717370"/>
      <w:r w:rsidRPr="009448FC">
        <w:t>Pilot Sequence</w:t>
      </w:r>
      <w:bookmarkEnd w:id="3413"/>
      <w:bookmarkEnd w:id="3414"/>
      <w:bookmarkEnd w:id="3415"/>
      <w:bookmarkEnd w:id="3416"/>
    </w:p>
    <w:p w:rsidR="00C024E7" w:rsidRPr="009448FC" w:rsidRDefault="00C024E7" w:rsidP="00C024E7">
      <w:r w:rsidRPr="009448FC">
        <w:t>Pilot tones are inserted at tones -150, -130, -110, -90, -70, -50, -30, -10, 10, 30, 50, 70, 90, 110, 130,150.</w:t>
      </w:r>
      <w:r w:rsidR="00281486" w:rsidRPr="009448FC">
        <w:t xml:space="preserve"> </w:t>
      </w:r>
      <w:r w:rsidRPr="009448FC">
        <w:t>The values of the pilots at these tones is [-1, 1, -1, 1, 1, -1, -1, -1, -1, -1, 1, 1, 1, -1, 1, 1] respectively.</w:t>
      </w:r>
      <w:r w:rsidR="00281486" w:rsidRPr="009448FC">
        <w:t xml:space="preserve"> </w:t>
      </w:r>
      <w:r w:rsidRPr="009448FC">
        <w:t xml:space="preserve">The pilot sequence </w:t>
      </w:r>
      <w:r w:rsidRPr="009448FC">
        <w:rPr>
          <w:i/>
        </w:rPr>
        <w:t>P</w:t>
      </w:r>
      <w:r w:rsidRPr="009448FC">
        <w:t xml:space="preserve"> is created by creating a sequence of zeros corresponding to tones </w:t>
      </w:r>
      <w:r w:rsidRPr="009448FC">
        <w:rPr>
          <w:i/>
        </w:rPr>
        <w:t>–N</w:t>
      </w:r>
      <w:r w:rsidRPr="009448FC">
        <w:rPr>
          <w:i/>
          <w:vertAlign w:val="subscript"/>
        </w:rPr>
        <w:t>SR</w:t>
      </w:r>
      <w:r w:rsidRPr="009448FC">
        <w:rPr>
          <w:i/>
        </w:rPr>
        <w:t xml:space="preserve"> </w:t>
      </w:r>
      <w:r w:rsidRPr="009448FC">
        <w:t xml:space="preserve">to </w:t>
      </w:r>
      <w:r w:rsidRPr="009448FC">
        <w:rPr>
          <w:i/>
        </w:rPr>
        <w:t>N</w:t>
      </w:r>
      <w:r w:rsidRPr="009448FC">
        <w:rPr>
          <w:i/>
          <w:vertAlign w:val="subscript"/>
        </w:rPr>
        <w:t>SR</w:t>
      </w:r>
      <w:r w:rsidRPr="009448FC">
        <w:t>.</w:t>
      </w:r>
      <w:r w:rsidR="00281486" w:rsidRPr="009448FC">
        <w:t xml:space="preserve"> </w:t>
      </w:r>
      <w:r w:rsidRPr="009448FC">
        <w:t>The pilots are then inserted at the corresponding tones with the values specified above.</w:t>
      </w:r>
    </w:p>
    <w:p w:rsidR="00E55F9F" w:rsidRPr="009448FC" w:rsidRDefault="00E55F9F" w:rsidP="00C024E7"/>
    <w:p w:rsidR="00C024E7" w:rsidRPr="009448FC" w:rsidRDefault="00E55F9F" w:rsidP="00C024E7">
      <w:r w:rsidRPr="009448FC">
        <w:lastRenderedPageBreak/>
        <w:t>A</w:t>
      </w:r>
      <w:r w:rsidR="00C024E7" w:rsidRPr="009448FC">
        <w:t xml:space="preserve">t OFDM symbol </w:t>
      </w:r>
      <w:r w:rsidR="00C024E7" w:rsidRPr="009448FC">
        <w:rPr>
          <w:i/>
        </w:rPr>
        <w:t>n</w:t>
      </w:r>
      <w:r w:rsidR="00C024E7" w:rsidRPr="009448FC">
        <w:t xml:space="preserve"> the pilot sequence is multiplied by the value </w:t>
      </w:r>
      <w:r w:rsidR="00DE584C">
        <w:t>2×</w:t>
      </w:r>
      <w:r w:rsidR="00C024E7" w:rsidRPr="009448FC">
        <w:rPr>
          <w:i/>
        </w:rPr>
        <w:t>p</w:t>
      </w:r>
      <w:r w:rsidR="00C024E7" w:rsidRPr="009448FC">
        <w:rPr>
          <w:i/>
          <w:vertAlign w:val="subscript"/>
        </w:rPr>
        <w:t>n</w:t>
      </w:r>
      <w:r w:rsidR="00DE584C">
        <w:rPr>
          <w:i/>
        </w:rPr>
        <w:t>-</w:t>
      </w:r>
      <w:r w:rsidR="00DE584C" w:rsidRPr="00DE584C">
        <w:rPr>
          <w:iCs/>
        </w:rPr>
        <w:t>1</w:t>
      </w:r>
      <w:r w:rsidRPr="009448FC">
        <w:t>,</w:t>
      </w:r>
      <w:r w:rsidR="00BE1F31">
        <w:t xml:space="preserve"> </w:t>
      </w:r>
      <w:r w:rsidRPr="009448FC">
        <w:t>w</w:t>
      </w:r>
      <w:r w:rsidR="00C024E7" w:rsidRPr="009448FC">
        <w:t xml:space="preserve">here </w:t>
      </w:r>
      <w:r w:rsidR="00C024E7" w:rsidRPr="009448FC">
        <w:rPr>
          <w:i/>
        </w:rPr>
        <w:t>p</w:t>
      </w:r>
      <w:r w:rsidR="00C024E7" w:rsidRPr="009448FC">
        <w:rPr>
          <w:i/>
          <w:vertAlign w:val="subscript"/>
        </w:rPr>
        <w:t>n</w:t>
      </w:r>
      <w:r w:rsidR="00C024E7" w:rsidRPr="009448FC">
        <w:t xml:space="preserve"> is the value generated by the shift register defined in subclause </w:t>
      </w:r>
      <w:fldSimple w:instr=" REF _Ref207533275 \r \h  \* MERGEFORMAT ">
        <w:r w:rsidR="003E4210">
          <w:t>21.5.3.2.1</w:t>
        </w:r>
      </w:fldSimple>
      <w:r w:rsidR="00C024E7" w:rsidRPr="009448FC">
        <w:t xml:space="preserve"> if x</w:t>
      </w:r>
      <w:r w:rsidR="00C024E7" w:rsidRPr="009448FC">
        <w:rPr>
          <w:vertAlign w:val="subscript"/>
        </w:rPr>
        <w:t>1</w:t>
      </w:r>
      <w:r w:rsidR="00C024E7" w:rsidRPr="009448FC">
        <w:t>,x</w:t>
      </w:r>
      <w:r w:rsidR="00C024E7" w:rsidRPr="009448FC">
        <w:rPr>
          <w:vertAlign w:val="subscript"/>
        </w:rPr>
        <w:t>2</w:t>
      </w:r>
      <w:r w:rsidR="00C024E7" w:rsidRPr="009448FC">
        <w:t>,…x</w:t>
      </w:r>
      <w:r w:rsidR="00C024E7" w:rsidRPr="009448FC">
        <w:rPr>
          <w:vertAlign w:val="subscript"/>
        </w:rPr>
        <w:t>7</w:t>
      </w:r>
      <w:r w:rsidR="00C024E7" w:rsidRPr="009448FC">
        <w:t xml:space="preserve"> are all set to 1 at the first </w:t>
      </w:r>
      <w:r w:rsidR="00C25B4C">
        <w:t>OFDM</w:t>
      </w:r>
      <w:r w:rsidR="00BE1F31">
        <w:t xml:space="preserve"> </w:t>
      </w:r>
      <w:r w:rsidR="00C024E7" w:rsidRPr="009448FC">
        <w:t>symbol.</w:t>
      </w:r>
    </w:p>
    <w:p w:rsidR="00C024E7" w:rsidRPr="009448FC" w:rsidRDefault="00C024E7" w:rsidP="00C024E7"/>
    <w:p w:rsidR="004002E9" w:rsidRPr="009448FC" w:rsidRDefault="00C024E7" w:rsidP="003701DB">
      <w:pPr>
        <w:pStyle w:val="Heading5"/>
        <w:keepNext w:val="0"/>
        <w:numPr>
          <w:ilvl w:val="4"/>
          <w:numId w:val="42"/>
        </w:numPr>
        <w:tabs>
          <w:tab w:val="clear" w:pos="1152"/>
        </w:tabs>
        <w:spacing w:after="60"/>
        <w:jc w:val="left"/>
      </w:pPr>
      <w:bookmarkStart w:id="3417" w:name="_Ref208137223"/>
      <w:bookmarkStart w:id="3418" w:name="_Toc215583013"/>
      <w:bookmarkStart w:id="3419" w:name="_Toc235400702"/>
      <w:bookmarkStart w:id="3420" w:name="_Toc259717371"/>
      <w:r w:rsidRPr="009448FC">
        <w:t>OFDM modulation</w:t>
      </w:r>
      <w:bookmarkEnd w:id="3417"/>
      <w:bookmarkEnd w:id="3418"/>
      <w:bookmarkEnd w:id="3419"/>
      <w:bookmarkEnd w:id="3420"/>
    </w:p>
    <w:p w:rsidR="00C024E7" w:rsidRDefault="00C024E7" w:rsidP="00C024E7">
      <w:r w:rsidRPr="009448FC">
        <w:t xml:space="preserve">The stream of complex constellation points </w:t>
      </w:r>
      <w:r w:rsidRPr="009448FC">
        <w:rPr>
          <w:i/>
        </w:rPr>
        <w:t>d</w:t>
      </w:r>
      <w:r w:rsidRPr="009448FC">
        <w:rPr>
          <w:i/>
          <w:vertAlign w:val="subscript"/>
        </w:rPr>
        <w:t>k</w:t>
      </w:r>
      <w:r w:rsidR="00281486" w:rsidRPr="009448FC">
        <w:rPr>
          <w:i/>
        </w:rPr>
        <w:t xml:space="preserve"> </w:t>
      </w:r>
      <w:r w:rsidRPr="009448FC">
        <w:t xml:space="preserve">is broken into groups of </w:t>
      </w:r>
      <w:r w:rsidRPr="009448FC">
        <w:rPr>
          <w:i/>
        </w:rPr>
        <w:t>N</w:t>
      </w:r>
      <w:r w:rsidRPr="009448FC">
        <w:rPr>
          <w:i/>
          <w:vertAlign w:val="subscript"/>
        </w:rPr>
        <w:t>SD</w:t>
      </w:r>
      <w:r w:rsidRPr="009448FC">
        <w:rPr>
          <w:i/>
        </w:rPr>
        <w:t xml:space="preserve"> </w:t>
      </w:r>
      <w:r w:rsidRPr="009448FC">
        <w:t xml:space="preserve">points </w:t>
      </w:r>
      <w:r w:rsidRPr="009448FC">
        <w:rPr>
          <w:i/>
        </w:rPr>
        <w:t>d</w:t>
      </w:r>
      <w:r w:rsidRPr="009448FC">
        <w:rPr>
          <w:i/>
          <w:vertAlign w:val="subscript"/>
        </w:rPr>
        <w:t>m,n</w:t>
      </w:r>
      <w:r w:rsidRPr="009448FC">
        <w:rPr>
          <w:i/>
        </w:rPr>
        <w:t xml:space="preserve"> </w:t>
      </w:r>
      <w:r w:rsidRPr="009448FC">
        <w:t xml:space="preserve">where </w:t>
      </w:r>
      <w:r w:rsidRPr="009448FC">
        <w:rPr>
          <w:i/>
        </w:rPr>
        <w:t>m=</w:t>
      </w:r>
      <w:r w:rsidRPr="009448FC">
        <w:t>1,2,…,</w:t>
      </w:r>
      <w:r w:rsidRPr="009448FC">
        <w:rPr>
          <w:i/>
        </w:rPr>
        <w:t>N</w:t>
      </w:r>
      <w:r w:rsidRPr="009448FC">
        <w:rPr>
          <w:i/>
          <w:vertAlign w:val="subscript"/>
        </w:rPr>
        <w:t>SD</w:t>
      </w:r>
      <w:r w:rsidRPr="009448FC">
        <w:t xml:space="preserve"> and </w:t>
      </w:r>
      <w:r w:rsidRPr="009448FC">
        <w:rPr>
          <w:i/>
        </w:rPr>
        <w:t>n=</w:t>
      </w:r>
      <w:r w:rsidRPr="009448FC">
        <w:t>1,2,…,</w:t>
      </w:r>
      <w:r w:rsidRPr="009448FC">
        <w:rPr>
          <w:i/>
        </w:rPr>
        <w:t>N</w:t>
      </w:r>
      <w:r w:rsidRPr="009448FC">
        <w:rPr>
          <w:i/>
          <w:vertAlign w:val="subscript"/>
        </w:rPr>
        <w:t>SYM</w:t>
      </w:r>
      <w:r w:rsidRPr="009448FC">
        <w:t>.</w:t>
      </w:r>
      <w:r w:rsidR="005515A4">
        <w:rPr>
          <w:vertAlign w:val="subscript"/>
        </w:rPr>
        <w:t xml:space="preserve"> </w:t>
      </w:r>
      <w:r w:rsidRPr="009448FC">
        <w:t>The baseband signal for the data phase is:</w:t>
      </w:r>
    </w:p>
    <w:p w:rsidR="00686AD4" w:rsidRPr="009448FC" w:rsidRDefault="00686AD4" w:rsidP="00C024E7"/>
    <w:p w:rsidR="00C024E7" w:rsidRDefault="00C024E7" w:rsidP="00C024E7">
      <w:pPr>
        <w:rPr>
          <w:i/>
          <w:position w:val="-34"/>
          <w:vertAlign w:val="subscript"/>
        </w:rPr>
      </w:pPr>
    </w:p>
    <w:p w:rsidR="00686AD4" w:rsidRPr="009448FC" w:rsidRDefault="00686AD4" w:rsidP="00C024E7">
      <w:pPr>
        <w:rPr>
          <w:i/>
          <w:vertAlign w:val="subscript"/>
        </w:rPr>
      </w:pPr>
      <w:r w:rsidRPr="003A288C">
        <w:rPr>
          <w:iCs/>
          <w:position w:val="-34"/>
          <w:szCs w:val="20"/>
          <w:lang w:eastAsia="ja-JP" w:bidi="ar-SA"/>
        </w:rPr>
        <w:object w:dxaOrig="9100" w:dyaOrig="760">
          <v:shape id="_x0000_i1197" type="#_x0000_t75" style="width:455.55pt;height:37.6pt" o:ole="">
            <v:imagedata r:id="rId441" o:title=""/>
          </v:shape>
          <o:OLEObject Type="Embed" ProgID="Equation.3" ShapeID="_x0000_i1197" DrawAspect="Content" ObjectID="_1334048378" r:id="rId442"/>
        </w:object>
      </w:r>
    </w:p>
    <w:p w:rsidR="00C024E7" w:rsidRPr="009448FC" w:rsidRDefault="00C024E7" w:rsidP="0091073E">
      <w:pPr>
        <w:outlineLvl w:val="0"/>
      </w:pPr>
      <w:r w:rsidRPr="009448FC">
        <w:t xml:space="preserve">Where </w:t>
      </w:r>
      <w:r w:rsidRPr="009448FC">
        <w:rPr>
          <w:i/>
        </w:rPr>
        <w:t>p</w:t>
      </w:r>
      <w:r w:rsidRPr="009448FC">
        <w:rPr>
          <w:i/>
          <w:vertAlign w:val="subscript"/>
        </w:rPr>
        <w:t>n</w:t>
      </w:r>
      <w:r w:rsidRPr="009448FC">
        <w:rPr>
          <w:i/>
        </w:rPr>
        <w:t>, P</w:t>
      </w:r>
      <w:r w:rsidRPr="009448FC">
        <w:rPr>
          <w:i/>
          <w:vertAlign w:val="subscript"/>
        </w:rPr>
        <w:t xml:space="preserve"> </w:t>
      </w:r>
      <w:r w:rsidRPr="009448FC">
        <w:t xml:space="preserve">are defined in </w:t>
      </w:r>
      <w:fldSimple w:instr=" REF _Ref207536165 \r \h  \* MERGEFORMAT ">
        <w:r w:rsidR="003E4210">
          <w:t>21.5.3.2.4</w:t>
        </w:r>
      </w:fldSimple>
      <w:r w:rsidR="004002E9" w:rsidRPr="009448FC">
        <w:t>,</w:t>
      </w:r>
      <w:r w:rsidRPr="009448FC">
        <w:t xml:space="preserve"> </w:t>
      </w:r>
      <w:r w:rsidR="004002E9" w:rsidRPr="009448FC">
        <w:rPr>
          <w:position w:val="-12"/>
        </w:rPr>
        <w:object w:dxaOrig="1840" w:dyaOrig="360">
          <v:shape id="_x0000_i1198" type="#_x0000_t75" style="width:94.65pt;height:17.65pt" o:ole="">
            <v:imagedata r:id="rId443" o:title=""/>
          </v:shape>
          <o:OLEObject Type="Embed" ProgID="Equation.DSMT4" ShapeID="_x0000_i1198" DrawAspect="Content" ObjectID="_1334048379" r:id="rId444"/>
        </w:object>
      </w:r>
      <w:r w:rsidR="004002E9" w:rsidRPr="009448FC">
        <w:t xml:space="preserve"> is the number of active subcarriers, </w:t>
      </w:r>
      <w:r w:rsidRPr="009448FC">
        <w:t>and</w:t>
      </w:r>
    </w:p>
    <w:p w:rsidR="00B243B6" w:rsidRPr="009448FC" w:rsidRDefault="00C024E7" w:rsidP="00C024E7">
      <w:pPr>
        <w:jc w:val="center"/>
      </w:pPr>
      <w:r w:rsidRPr="009448FC">
        <w:rPr>
          <w:position w:val="-104"/>
        </w:rPr>
        <w:object w:dxaOrig="6360" w:dyaOrig="7320">
          <v:shape id="_x0000_i1199" type="#_x0000_t75" style="width:319.7pt;height:366.35pt" o:ole="">
            <v:imagedata r:id="rId445" o:title=""/>
          </v:shape>
          <o:OLEObject Type="Embed" ProgID="Equation.DSMT4" ShapeID="_x0000_i1199" DrawAspect="Content" ObjectID="_1334048380" r:id="rId446"/>
        </w:object>
      </w:r>
      <w:bookmarkEnd w:id="3381"/>
      <w:bookmarkEnd w:id="3382"/>
      <w:bookmarkEnd w:id="3383"/>
      <w:bookmarkEnd w:id="3384"/>
      <w:bookmarkEnd w:id="3385"/>
      <w:bookmarkEnd w:id="3386"/>
      <w:bookmarkEnd w:id="3387"/>
      <w:bookmarkEnd w:id="3388"/>
    </w:p>
    <w:p w:rsidR="00B243B6" w:rsidRPr="009448FC" w:rsidRDefault="00B243B6" w:rsidP="003701DB">
      <w:pPr>
        <w:pStyle w:val="Heading3"/>
        <w:numPr>
          <w:ilvl w:val="2"/>
          <w:numId w:val="42"/>
        </w:numPr>
      </w:pPr>
      <w:bookmarkStart w:id="3421" w:name="_Toc215555100"/>
      <w:bookmarkStart w:id="3422" w:name="_Toc215583014"/>
      <w:bookmarkStart w:id="3423" w:name="_Toc201721959"/>
      <w:bookmarkStart w:id="3424" w:name="_Toc206227699"/>
      <w:bookmarkStart w:id="3425" w:name="_Toc206415646"/>
      <w:bookmarkStart w:id="3426" w:name="_Toc206418453"/>
      <w:bookmarkStart w:id="3427" w:name="_Toc207099208"/>
      <w:bookmarkStart w:id="3428" w:name="_Toc207099813"/>
      <w:bookmarkStart w:id="3429" w:name="_Toc207100732"/>
      <w:bookmarkStart w:id="3430" w:name="_Toc207348654"/>
      <w:bookmarkStart w:id="3431" w:name="_Toc215583015"/>
      <w:bookmarkStart w:id="3432" w:name="_Toc235400703"/>
      <w:bookmarkStart w:id="3433" w:name="_Toc259717372"/>
      <w:bookmarkEnd w:id="3421"/>
      <w:bookmarkEnd w:id="3422"/>
      <w:r w:rsidRPr="009448FC">
        <w:t>Performance requirements</w:t>
      </w:r>
      <w:bookmarkEnd w:id="3423"/>
      <w:bookmarkEnd w:id="3424"/>
      <w:bookmarkEnd w:id="3425"/>
      <w:bookmarkEnd w:id="3426"/>
      <w:bookmarkEnd w:id="3427"/>
      <w:bookmarkEnd w:id="3428"/>
      <w:bookmarkEnd w:id="3429"/>
      <w:bookmarkEnd w:id="3430"/>
      <w:bookmarkEnd w:id="3431"/>
      <w:bookmarkEnd w:id="3432"/>
      <w:bookmarkEnd w:id="3433"/>
      <w:r w:rsidR="00B8205F" w:rsidRPr="009448FC">
        <w:t xml:space="preserve"> </w:t>
      </w:r>
    </w:p>
    <w:p w:rsidR="00B8205F" w:rsidRPr="009448FC" w:rsidRDefault="00B8205F" w:rsidP="00C25B4C">
      <w:pPr>
        <w:rPr>
          <w:rFonts w:eastAsia="MS Mincho"/>
        </w:rPr>
      </w:pPr>
      <w:r w:rsidRPr="009448FC">
        <w:rPr>
          <w:rFonts w:eastAsia="MS Mincho"/>
        </w:rPr>
        <w:t xml:space="preserve">This </w:t>
      </w:r>
      <w:r w:rsidR="002D2A31">
        <w:rPr>
          <w:rFonts w:eastAsia="MS Mincho"/>
        </w:rPr>
        <w:t xml:space="preserve">subclause </w:t>
      </w:r>
      <w:r w:rsidRPr="009448FC">
        <w:rPr>
          <w:rFonts w:eastAsia="MS Mincho"/>
        </w:rPr>
        <w:t>describes the performance requirement from the OFDM PHY.</w:t>
      </w:r>
    </w:p>
    <w:p w:rsidR="00B243B6" w:rsidRPr="009448FC" w:rsidRDefault="00B243B6" w:rsidP="003701DB">
      <w:pPr>
        <w:pStyle w:val="Heading4"/>
        <w:numPr>
          <w:ilvl w:val="3"/>
          <w:numId w:val="42"/>
        </w:numPr>
      </w:pPr>
      <w:bookmarkStart w:id="3434" w:name="_Toc201721960"/>
      <w:bookmarkStart w:id="3435" w:name="_Toc206227700"/>
      <w:bookmarkStart w:id="3436" w:name="_Toc206415647"/>
      <w:bookmarkStart w:id="3437" w:name="_Toc206418454"/>
      <w:bookmarkStart w:id="3438" w:name="_Toc207099209"/>
      <w:bookmarkStart w:id="3439" w:name="_Toc207099814"/>
      <w:bookmarkStart w:id="3440" w:name="_Toc207100733"/>
      <w:bookmarkStart w:id="3441" w:name="_Toc207348655"/>
      <w:bookmarkStart w:id="3442" w:name="_Toc215583016"/>
      <w:bookmarkStart w:id="3443" w:name="_Toc235400704"/>
      <w:bookmarkStart w:id="3444" w:name="_Toc259717373"/>
      <w:r w:rsidRPr="009448FC">
        <w:t>Transmit Requirements</w:t>
      </w:r>
      <w:bookmarkEnd w:id="3434"/>
      <w:bookmarkEnd w:id="3435"/>
      <w:bookmarkEnd w:id="3436"/>
      <w:bookmarkEnd w:id="3437"/>
      <w:bookmarkEnd w:id="3438"/>
      <w:bookmarkEnd w:id="3439"/>
      <w:bookmarkEnd w:id="3440"/>
      <w:bookmarkEnd w:id="3441"/>
      <w:bookmarkEnd w:id="3442"/>
      <w:bookmarkEnd w:id="3443"/>
      <w:bookmarkEnd w:id="3444"/>
    </w:p>
    <w:p w:rsidR="00B8205F" w:rsidRPr="009448FC" w:rsidRDefault="00B8205F" w:rsidP="00C25B4C">
      <w:pPr>
        <w:rPr>
          <w:rFonts w:eastAsia="MS Mincho"/>
        </w:rPr>
      </w:pPr>
      <w:r w:rsidRPr="009448FC">
        <w:rPr>
          <w:rFonts w:eastAsia="MS Mincho"/>
        </w:rPr>
        <w:t xml:space="preserve">This </w:t>
      </w:r>
      <w:r w:rsidR="006F7667">
        <w:rPr>
          <w:rFonts w:eastAsia="MS Mincho"/>
        </w:rPr>
        <w:t xml:space="preserve">subclause </w:t>
      </w:r>
      <w:r w:rsidRPr="009448FC">
        <w:rPr>
          <w:rFonts w:eastAsia="MS Mincho"/>
        </w:rPr>
        <w:t>describes the performance requirement from the OFDM PHY transmitter.</w:t>
      </w:r>
    </w:p>
    <w:p w:rsidR="00B243B6" w:rsidRPr="009448FC" w:rsidRDefault="00B243B6" w:rsidP="003701DB">
      <w:pPr>
        <w:pStyle w:val="Heading5"/>
        <w:keepNext w:val="0"/>
        <w:numPr>
          <w:ilvl w:val="4"/>
          <w:numId w:val="42"/>
        </w:numPr>
        <w:tabs>
          <w:tab w:val="clear" w:pos="1152"/>
        </w:tabs>
        <w:spacing w:after="60"/>
        <w:jc w:val="left"/>
      </w:pPr>
      <w:bookmarkStart w:id="3445" w:name="_Toc201721961"/>
      <w:bookmarkStart w:id="3446" w:name="_Toc206227701"/>
      <w:bookmarkStart w:id="3447" w:name="_Toc206415648"/>
      <w:bookmarkStart w:id="3448" w:name="_Toc206418455"/>
      <w:bookmarkStart w:id="3449" w:name="_Toc207099210"/>
      <w:bookmarkStart w:id="3450" w:name="_Toc207099815"/>
      <w:bookmarkStart w:id="3451" w:name="_Toc207100734"/>
      <w:bookmarkStart w:id="3452" w:name="_Toc207348656"/>
      <w:bookmarkStart w:id="3453" w:name="_Toc215583017"/>
      <w:bookmarkStart w:id="3454" w:name="_Toc235400705"/>
      <w:bookmarkStart w:id="3455" w:name="_Toc259717374"/>
      <w:r w:rsidRPr="009448FC">
        <w:lastRenderedPageBreak/>
        <w:t>Transmit EVM</w:t>
      </w:r>
      <w:bookmarkEnd w:id="3445"/>
      <w:bookmarkEnd w:id="3446"/>
      <w:bookmarkEnd w:id="3447"/>
      <w:bookmarkEnd w:id="3448"/>
      <w:bookmarkEnd w:id="3449"/>
      <w:bookmarkEnd w:id="3450"/>
      <w:bookmarkEnd w:id="3451"/>
      <w:bookmarkEnd w:id="3452"/>
      <w:bookmarkEnd w:id="3453"/>
      <w:bookmarkEnd w:id="3454"/>
      <w:bookmarkEnd w:id="3455"/>
      <w:r w:rsidR="00281486" w:rsidRPr="009448FC">
        <w:t xml:space="preserve"> </w:t>
      </w:r>
    </w:p>
    <w:p w:rsidR="00B8205F" w:rsidRPr="009448FC" w:rsidRDefault="00B8205F" w:rsidP="00B8205F">
      <w:pPr>
        <w:rPr>
          <w:rFonts w:eastAsia="MS Mincho"/>
        </w:rPr>
      </w:pPr>
      <w:r w:rsidRPr="009448FC">
        <w:rPr>
          <w:rFonts w:eastAsia="MS Mincho"/>
        </w:rPr>
        <w:t>The transmit EVM accuracy test shall be performed by instrumentation capable of converting the transmitted signal into a stream of complex samples, with sufficient accuracy in</w:t>
      </w:r>
      <w:r w:rsidR="00B63F3C" w:rsidRPr="009448FC">
        <w:rPr>
          <w:rFonts w:eastAsia="MS Mincho"/>
        </w:rPr>
        <w:t xml:space="preserve"> </w:t>
      </w:r>
      <w:r w:rsidRPr="009448FC">
        <w:rPr>
          <w:rFonts w:eastAsia="MS Mincho"/>
        </w:rPr>
        <w:t xml:space="preserve">terms of I/Q arm amplitude and phase balance, dc offsets, phase noise, etc. </w:t>
      </w:r>
    </w:p>
    <w:p w:rsidR="00B63F3C" w:rsidRPr="009448FC" w:rsidRDefault="00B63F3C" w:rsidP="00B8205F">
      <w:pPr>
        <w:rPr>
          <w:rFonts w:eastAsia="MS Mincho"/>
        </w:rPr>
      </w:pPr>
    </w:p>
    <w:p w:rsidR="00B8205F" w:rsidRPr="009448FC" w:rsidRDefault="00B8205F" w:rsidP="00B8205F">
      <w:pPr>
        <w:rPr>
          <w:rFonts w:eastAsia="MS Mincho"/>
        </w:rPr>
      </w:pPr>
      <w:r w:rsidRPr="009448FC">
        <w:rPr>
          <w:rFonts w:eastAsia="MS Mincho"/>
        </w:rPr>
        <w:t>The sampled signal shall be processed in a manner similar to an actual receiver, according to the following steps, or an equivalent procedure:</w:t>
      </w:r>
    </w:p>
    <w:p w:rsidR="00B8205F" w:rsidRPr="009448FC" w:rsidRDefault="00B8205F" w:rsidP="00B8205F">
      <w:pPr>
        <w:tabs>
          <w:tab w:val="left" w:pos="720"/>
          <w:tab w:val="left" w:pos="1440"/>
          <w:tab w:val="left" w:pos="2160"/>
          <w:tab w:val="left" w:pos="2880"/>
          <w:tab w:val="left" w:pos="3600"/>
          <w:tab w:val="left" w:pos="4320"/>
          <w:tab w:val="right" w:pos="9360"/>
        </w:tabs>
        <w:ind w:firstLine="720"/>
        <w:rPr>
          <w:rFonts w:eastAsia="MS Mincho"/>
        </w:rPr>
      </w:pPr>
      <w:r w:rsidRPr="009448FC">
        <w:rPr>
          <w:rFonts w:eastAsia="MS Mincho"/>
        </w:rPr>
        <w:t xml:space="preserve">a) </w:t>
      </w:r>
      <w:r w:rsidRPr="009448FC">
        <w:rPr>
          <w:rFonts w:eastAsia="MS Mincho"/>
        </w:rPr>
        <w:tab/>
        <w:t>Start of frame shall be detected.</w:t>
      </w:r>
    </w:p>
    <w:p w:rsidR="00B8205F" w:rsidRPr="009448FC" w:rsidRDefault="00B8205F" w:rsidP="000D1CC2">
      <w:pPr>
        <w:ind w:left="1440" w:hanging="720"/>
        <w:rPr>
          <w:rFonts w:eastAsia="MS Mincho"/>
        </w:rPr>
      </w:pPr>
      <w:r w:rsidRPr="009448FC">
        <w:rPr>
          <w:rFonts w:eastAsia="MS Mincho"/>
        </w:rPr>
        <w:t xml:space="preserve">b) </w:t>
      </w:r>
      <w:r w:rsidRPr="009448FC">
        <w:rPr>
          <w:rFonts w:eastAsia="MS Mincho"/>
        </w:rPr>
        <w:tab/>
        <w:t>Transition from short sequences to channel estimation sequences shall be detected, and fine timing</w:t>
      </w:r>
      <w:r w:rsidR="000D1CC2" w:rsidRPr="009448FC">
        <w:rPr>
          <w:rFonts w:eastAsia="MS Mincho"/>
        </w:rPr>
        <w:t xml:space="preserve"> </w:t>
      </w:r>
      <w:r w:rsidRPr="009448FC">
        <w:rPr>
          <w:rFonts w:eastAsia="MS Mincho"/>
        </w:rPr>
        <w:t>(with one sample resolution) shall be established.</w:t>
      </w:r>
    </w:p>
    <w:p w:rsidR="00B8205F" w:rsidRPr="009448FC" w:rsidRDefault="00B8205F" w:rsidP="00B8205F">
      <w:pPr>
        <w:ind w:firstLine="720"/>
        <w:rPr>
          <w:rFonts w:eastAsia="MS Mincho"/>
        </w:rPr>
      </w:pPr>
      <w:r w:rsidRPr="009448FC">
        <w:rPr>
          <w:rFonts w:eastAsia="MS Mincho"/>
        </w:rPr>
        <w:t xml:space="preserve">c) </w:t>
      </w:r>
      <w:r w:rsidRPr="009448FC">
        <w:rPr>
          <w:rFonts w:eastAsia="MS Mincho"/>
        </w:rPr>
        <w:tab/>
        <w:t>frequency offsets shall be estimated and corrected.</w:t>
      </w:r>
    </w:p>
    <w:p w:rsidR="00B8205F" w:rsidRPr="009448FC" w:rsidRDefault="00B8205F" w:rsidP="00B8205F">
      <w:pPr>
        <w:ind w:firstLine="720"/>
        <w:rPr>
          <w:rFonts w:eastAsia="MS Mincho"/>
        </w:rPr>
      </w:pPr>
      <w:r w:rsidRPr="009448FC">
        <w:rPr>
          <w:rFonts w:eastAsia="MS Mincho"/>
        </w:rPr>
        <w:t>d)</w:t>
      </w:r>
      <w:r w:rsidRPr="009448FC">
        <w:rPr>
          <w:rFonts w:eastAsia="MS Mincho"/>
        </w:rPr>
        <w:tab/>
        <w:t>The frame shall be de-rotated according to estimated frequency offset.</w:t>
      </w:r>
    </w:p>
    <w:p w:rsidR="00B8205F" w:rsidRPr="009448FC" w:rsidRDefault="00B8205F" w:rsidP="00B8205F">
      <w:pPr>
        <w:ind w:left="1440" w:hanging="720"/>
        <w:rPr>
          <w:rFonts w:eastAsia="MS Mincho"/>
        </w:rPr>
      </w:pPr>
      <w:r w:rsidRPr="009448FC">
        <w:rPr>
          <w:rFonts w:eastAsia="MS Mincho"/>
        </w:rPr>
        <w:t xml:space="preserve">e) </w:t>
      </w:r>
      <w:r w:rsidRPr="009448FC">
        <w:rPr>
          <w:rFonts w:eastAsia="MS Mincho"/>
        </w:rPr>
        <w:tab/>
        <w:t>The complex channel response coefficients shall be estimated for each of the subcarriers.</w:t>
      </w:r>
    </w:p>
    <w:p w:rsidR="00B8205F" w:rsidRPr="009448FC" w:rsidRDefault="00B8205F" w:rsidP="00B8205F">
      <w:pPr>
        <w:ind w:left="1440" w:hanging="720"/>
        <w:rPr>
          <w:rFonts w:eastAsia="MS Mincho"/>
        </w:rPr>
      </w:pPr>
      <w:r w:rsidRPr="009448FC">
        <w:rPr>
          <w:rFonts w:eastAsia="MS Mincho"/>
        </w:rPr>
        <w:t>f)</w:t>
      </w:r>
      <w:r w:rsidRPr="009448FC">
        <w:rPr>
          <w:rFonts w:eastAsia="MS Mincho"/>
        </w:rPr>
        <w:tab/>
        <w:t>For each of the data OFDM symbols: transform the symbol into subcarrier received values, estimate the phase from the pilot subcarriers, derotate the subcarrier values according to estimated phase, and divide each subcarrier value with a complex estimated channel response coefficient.</w:t>
      </w:r>
    </w:p>
    <w:p w:rsidR="00B8205F" w:rsidRPr="009448FC" w:rsidRDefault="00B8205F" w:rsidP="00B8205F">
      <w:pPr>
        <w:ind w:left="1440" w:hanging="720"/>
        <w:rPr>
          <w:rFonts w:eastAsia="MS Mincho"/>
        </w:rPr>
      </w:pPr>
      <w:r w:rsidRPr="009448FC">
        <w:rPr>
          <w:rFonts w:eastAsia="MS Mincho"/>
        </w:rPr>
        <w:t>g)</w:t>
      </w:r>
      <w:r w:rsidRPr="009448FC">
        <w:rPr>
          <w:rFonts w:eastAsia="MS Mincho"/>
        </w:rPr>
        <w:tab/>
        <w:t>For each data-carrying subcarrier, find the closest constellation point and compute the Euclidean distance from it.</w:t>
      </w:r>
    </w:p>
    <w:p w:rsidR="00B8205F" w:rsidRPr="009448FC" w:rsidRDefault="00B8205F" w:rsidP="00B8205F">
      <w:pPr>
        <w:ind w:firstLine="720"/>
        <w:rPr>
          <w:rFonts w:eastAsia="MS Mincho"/>
        </w:rPr>
      </w:pPr>
      <w:r w:rsidRPr="009448FC">
        <w:rPr>
          <w:rFonts w:eastAsia="MS Mincho"/>
        </w:rPr>
        <w:t>h)</w:t>
      </w:r>
      <w:r w:rsidRPr="009448FC">
        <w:rPr>
          <w:rFonts w:eastAsia="MS Mincho"/>
        </w:rPr>
        <w:tab/>
        <w:t>Compute the RMS average of all errors in a packet. It is given by:</w:t>
      </w:r>
    </w:p>
    <w:p w:rsidR="00B8205F" w:rsidRPr="009448FC" w:rsidRDefault="00B8205F" w:rsidP="00B8205F">
      <w:pPr>
        <w:ind w:firstLine="720"/>
        <w:rPr>
          <w:rFonts w:eastAsia="MS Mincho"/>
        </w:rPr>
      </w:pPr>
    </w:p>
    <w:p w:rsidR="00B8205F" w:rsidRPr="009448FC" w:rsidRDefault="00B8205F" w:rsidP="00B8205F">
      <w:pPr>
        <w:ind w:firstLine="720"/>
        <w:rPr>
          <w:rFonts w:eastAsia="MS Mincho"/>
        </w:rPr>
      </w:pPr>
      <w:r w:rsidRPr="009448FC">
        <w:rPr>
          <w:rFonts w:eastAsia="MS Mincho"/>
          <w:position w:val="-32"/>
        </w:rPr>
        <w:object w:dxaOrig="7560" w:dyaOrig="1160">
          <v:shape id="_x0000_i1200" type="#_x0000_t75" style="width:379.9pt;height:58.85pt" o:ole="">
            <v:imagedata r:id="rId447" o:title=""/>
          </v:shape>
          <o:OLEObject Type="Embed" ProgID="Equation.DSMT4" ShapeID="_x0000_i1200" DrawAspect="Content" ObjectID="_1334048381" r:id="rId448"/>
        </w:object>
      </w:r>
    </w:p>
    <w:p w:rsidR="00B8205F" w:rsidRPr="009448FC" w:rsidRDefault="00B8205F" w:rsidP="00B8205F">
      <w:pPr>
        <w:ind w:firstLine="720"/>
        <w:rPr>
          <w:rFonts w:eastAsia="MS Mincho"/>
        </w:rPr>
      </w:pPr>
    </w:p>
    <w:p w:rsidR="00B8205F" w:rsidRPr="009448FC" w:rsidRDefault="00B8205F" w:rsidP="00B8205F">
      <w:pPr>
        <w:ind w:firstLine="720"/>
        <w:rPr>
          <w:rFonts w:eastAsia="MS Mincho"/>
        </w:rPr>
      </w:pPr>
      <w:r w:rsidRPr="009448FC">
        <w:rPr>
          <w:rFonts w:eastAsia="MS Mincho"/>
          <w:position w:val="-14"/>
        </w:rPr>
        <w:object w:dxaOrig="360" w:dyaOrig="380">
          <v:shape id="_x0000_i1201" type="#_x0000_t75" style="width:17.65pt;height:17.65pt" o:ole="">
            <v:imagedata r:id="rId449" o:title=""/>
          </v:shape>
          <o:OLEObject Type="Embed" ProgID="Equation.DSMT4" ShapeID="_x0000_i1201" DrawAspect="Content" ObjectID="_1334048382" r:id="rId450"/>
        </w:object>
      </w:r>
      <w:r w:rsidRPr="009448FC">
        <w:rPr>
          <w:rFonts w:eastAsia="MS Mincho"/>
        </w:rPr>
        <w:t>- Number of frames</w:t>
      </w:r>
    </w:p>
    <w:p w:rsidR="00B8205F" w:rsidRPr="009448FC" w:rsidRDefault="00B8205F" w:rsidP="00B8205F">
      <w:pPr>
        <w:ind w:firstLine="720"/>
        <w:rPr>
          <w:rFonts w:eastAsia="MS Mincho"/>
        </w:rPr>
      </w:pPr>
      <w:r w:rsidRPr="009448FC">
        <w:rPr>
          <w:rFonts w:eastAsia="MS Mincho"/>
          <w:i/>
        </w:rPr>
        <w:t>i</w:t>
      </w:r>
      <w:r w:rsidRPr="009448FC">
        <w:rPr>
          <w:rFonts w:eastAsia="MS Mincho"/>
        </w:rPr>
        <w:t>-frame index</w:t>
      </w:r>
    </w:p>
    <w:p w:rsidR="00B8205F" w:rsidRPr="009448FC" w:rsidRDefault="00B8205F" w:rsidP="00B8205F">
      <w:pPr>
        <w:ind w:firstLine="720"/>
        <w:rPr>
          <w:rFonts w:eastAsia="MS Mincho"/>
        </w:rPr>
      </w:pPr>
      <w:r w:rsidRPr="009448FC">
        <w:rPr>
          <w:rFonts w:eastAsia="MS Mincho"/>
          <w:i/>
        </w:rPr>
        <w:t>k</w:t>
      </w:r>
      <w:r w:rsidRPr="009448FC">
        <w:rPr>
          <w:rFonts w:eastAsia="MS Mincho"/>
        </w:rPr>
        <w:t>-carrier index</w:t>
      </w:r>
    </w:p>
    <w:p w:rsidR="00B8205F" w:rsidRPr="009448FC" w:rsidRDefault="00B8205F" w:rsidP="00B8205F">
      <w:pPr>
        <w:ind w:firstLine="720"/>
        <w:rPr>
          <w:rFonts w:eastAsia="MS Mincho"/>
        </w:rPr>
      </w:pPr>
      <w:r w:rsidRPr="009448FC">
        <w:rPr>
          <w:rFonts w:eastAsia="MS Mincho"/>
          <w:i/>
        </w:rPr>
        <w:t>j</w:t>
      </w:r>
      <w:r w:rsidRPr="009448FC">
        <w:rPr>
          <w:rFonts w:eastAsia="MS Mincho"/>
        </w:rPr>
        <w:t>-Symbol index</w:t>
      </w:r>
    </w:p>
    <w:p w:rsidR="00B8205F" w:rsidRPr="009448FC" w:rsidRDefault="00B8205F" w:rsidP="00B8205F">
      <w:pPr>
        <w:ind w:firstLine="720"/>
        <w:rPr>
          <w:rFonts w:eastAsia="MS Mincho"/>
        </w:rPr>
      </w:pPr>
      <w:r w:rsidRPr="009448FC">
        <w:rPr>
          <w:rFonts w:eastAsia="MS Mincho"/>
          <w:position w:val="-12"/>
        </w:rPr>
        <w:object w:dxaOrig="540" w:dyaOrig="360">
          <v:shape id="_x0000_i1202" type="#_x0000_t75" style="width:27.15pt;height:17.65pt" o:ole="">
            <v:imagedata r:id="rId451" o:title=""/>
          </v:shape>
          <o:OLEObject Type="Embed" ProgID="Equation.DSMT4" ShapeID="_x0000_i1202" DrawAspect="Content" ObjectID="_1334048383" r:id="rId452"/>
        </w:object>
      </w:r>
      <w:r w:rsidRPr="009448FC">
        <w:rPr>
          <w:rFonts w:eastAsia="MS Mincho"/>
        </w:rPr>
        <w:t xml:space="preserve"> numer of symbols</w:t>
      </w:r>
    </w:p>
    <w:p w:rsidR="00B8205F" w:rsidRPr="009448FC" w:rsidRDefault="000D1CC2" w:rsidP="000D1CC2">
      <w:pPr>
        <w:ind w:firstLine="720"/>
        <w:rPr>
          <w:rFonts w:eastAsia="MS Mincho"/>
        </w:rPr>
      </w:pPr>
      <w:r w:rsidRPr="009448FC">
        <w:rPr>
          <w:rFonts w:eastAsia="MS Mincho"/>
          <w:position w:val="-12"/>
        </w:rPr>
        <w:object w:dxaOrig="440" w:dyaOrig="360">
          <v:shape id="_x0000_i1203" type="#_x0000_t75" style="width:21.3pt;height:17.65pt" o:ole="">
            <v:imagedata r:id="rId453" o:title=""/>
          </v:shape>
          <o:OLEObject Type="Embed" ProgID="Equation.DSMT4" ShapeID="_x0000_i1203" DrawAspect="Content" ObjectID="_1334048384" r:id="rId454"/>
        </w:object>
      </w:r>
      <w:r w:rsidR="00260AA4" w:rsidRPr="009448FC">
        <w:rPr>
          <w:rFonts w:eastAsia="MS Mincho"/>
        </w:rPr>
        <w:t xml:space="preserve"> Total number of subcarriers.</w:t>
      </w:r>
      <w:r w:rsidR="00BE1F31">
        <w:rPr>
          <w:rFonts w:eastAsia="MS Mincho"/>
        </w:rPr>
        <w:t xml:space="preserve"> </w:t>
      </w:r>
    </w:p>
    <w:p w:rsidR="00B8205F" w:rsidRPr="009448FC" w:rsidRDefault="00B8205F" w:rsidP="00B8205F">
      <w:pPr>
        <w:ind w:firstLine="720"/>
        <w:rPr>
          <w:rFonts w:eastAsia="MS Mincho"/>
        </w:rPr>
      </w:pPr>
      <w:r w:rsidRPr="009448FC">
        <w:rPr>
          <w:rFonts w:eastAsia="MS Mincho"/>
          <w:i/>
        </w:rPr>
        <w:t>I</w:t>
      </w:r>
      <w:r w:rsidRPr="009448FC">
        <w:rPr>
          <w:rFonts w:eastAsia="MS Mincho"/>
          <w:i/>
          <w:vertAlign w:val="subscript"/>
        </w:rPr>
        <w:t>0</w:t>
      </w:r>
      <w:r w:rsidRPr="009448FC">
        <w:rPr>
          <w:rFonts w:eastAsia="MS Mincho"/>
          <w:i/>
        </w:rPr>
        <w:t>,Q</w:t>
      </w:r>
      <w:r w:rsidRPr="009448FC">
        <w:rPr>
          <w:rFonts w:eastAsia="MS Mincho"/>
          <w:i/>
          <w:vertAlign w:val="subscript"/>
        </w:rPr>
        <w:t>0</w:t>
      </w:r>
      <w:r w:rsidRPr="009448FC">
        <w:rPr>
          <w:rFonts w:eastAsia="MS Mincho"/>
        </w:rPr>
        <w:t>- the ideal constellation point, for I and Q respectively.</w:t>
      </w:r>
    </w:p>
    <w:p w:rsidR="00B8205F" w:rsidRPr="009448FC" w:rsidRDefault="00B8205F" w:rsidP="00B8205F">
      <w:pPr>
        <w:rPr>
          <w:rFonts w:eastAsia="MS Mincho"/>
        </w:rPr>
      </w:pPr>
    </w:p>
    <w:p w:rsidR="00B8205F" w:rsidRPr="009448FC" w:rsidRDefault="00B8205F" w:rsidP="00B8205F">
      <w:pPr>
        <w:rPr>
          <w:rFonts w:eastAsia="MS Mincho"/>
        </w:rPr>
      </w:pPr>
      <w:r w:rsidRPr="009448FC">
        <w:rPr>
          <w:rFonts w:eastAsia="MS Mincho"/>
        </w:rPr>
        <w:t>The measurements shall occur only on the OFDM symbols, the measurement shall be performed on at least 10 frames with 16 symbols at least in each of them. Random data shall be used.</w:t>
      </w:r>
    </w:p>
    <w:p w:rsidR="00B8205F" w:rsidRPr="009448FC" w:rsidRDefault="00B8205F" w:rsidP="00B8205F">
      <w:pPr>
        <w:rPr>
          <w:rFonts w:eastAsia="MS Mincho"/>
        </w:rPr>
      </w:pPr>
    </w:p>
    <w:p w:rsidR="00B8205F" w:rsidRPr="009448FC" w:rsidRDefault="00B8205F" w:rsidP="007C6BA2">
      <w:pPr>
        <w:rPr>
          <w:rFonts w:eastAsia="MS Mincho"/>
        </w:rPr>
      </w:pPr>
      <w:r w:rsidRPr="009448FC">
        <w:rPr>
          <w:rFonts w:eastAsia="MS Mincho"/>
        </w:rPr>
        <w:t>The EVM RMS error shall not exceed a</w:t>
      </w:r>
      <w:r w:rsidR="00C25B4C">
        <w:rPr>
          <w:rFonts w:eastAsia="MS Mincho"/>
        </w:rPr>
        <w:t>n MCS</w:t>
      </w:r>
      <w:r w:rsidR="006F7667">
        <w:rPr>
          <w:rFonts w:eastAsia="MS Mincho"/>
        </w:rPr>
        <w:t xml:space="preserve"> </w:t>
      </w:r>
      <w:r w:rsidRPr="009448FC">
        <w:rPr>
          <w:rFonts w:eastAsia="MS Mincho"/>
        </w:rPr>
        <w:t>dependent value as found in the table below:</w:t>
      </w:r>
    </w:p>
    <w:p w:rsidR="00B8205F" w:rsidRPr="009448FC" w:rsidRDefault="00B8205F" w:rsidP="00B8205F">
      <w:pPr>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2420"/>
        <w:gridCol w:w="2363"/>
        <w:gridCol w:w="2391"/>
      </w:tblGrid>
      <w:tr w:rsidR="00260AA4" w:rsidRPr="00066F65" w:rsidTr="00A9692C">
        <w:trPr>
          <w:trHeight w:val="302"/>
          <w:jc w:val="center"/>
        </w:trPr>
        <w:tc>
          <w:tcPr>
            <w:tcW w:w="2402" w:type="dxa"/>
          </w:tcPr>
          <w:p w:rsidR="00260AA4" w:rsidRPr="009448FC" w:rsidRDefault="00260AA4" w:rsidP="00A9692C">
            <w:pPr>
              <w:jc w:val="center"/>
              <w:rPr>
                <w:b/>
              </w:rPr>
            </w:pPr>
            <w:r w:rsidRPr="009448FC">
              <w:rPr>
                <w:b/>
              </w:rPr>
              <w:t>MCS Index</w:t>
            </w:r>
          </w:p>
        </w:tc>
        <w:tc>
          <w:tcPr>
            <w:tcW w:w="2420" w:type="dxa"/>
          </w:tcPr>
          <w:p w:rsidR="00260AA4" w:rsidRPr="009448FC" w:rsidRDefault="00260AA4" w:rsidP="00A9692C">
            <w:pPr>
              <w:jc w:val="center"/>
              <w:rPr>
                <w:b/>
              </w:rPr>
            </w:pPr>
            <w:r w:rsidRPr="009448FC">
              <w:rPr>
                <w:b/>
              </w:rPr>
              <w:t>Modulation</w:t>
            </w:r>
          </w:p>
        </w:tc>
        <w:tc>
          <w:tcPr>
            <w:tcW w:w="2363" w:type="dxa"/>
          </w:tcPr>
          <w:p w:rsidR="00260AA4" w:rsidRPr="009448FC" w:rsidRDefault="00260AA4" w:rsidP="00A9692C">
            <w:pPr>
              <w:jc w:val="center"/>
              <w:rPr>
                <w:b/>
              </w:rPr>
            </w:pPr>
            <w:r w:rsidRPr="009448FC">
              <w:rPr>
                <w:b/>
              </w:rPr>
              <w:t>Coding Rate</w:t>
            </w:r>
          </w:p>
        </w:tc>
        <w:tc>
          <w:tcPr>
            <w:tcW w:w="2391" w:type="dxa"/>
          </w:tcPr>
          <w:p w:rsidR="00260AA4" w:rsidRPr="009448FC" w:rsidRDefault="00260AA4" w:rsidP="00A9692C">
            <w:pPr>
              <w:jc w:val="center"/>
              <w:rPr>
                <w:b/>
              </w:rPr>
            </w:pPr>
            <w:r w:rsidRPr="009448FC">
              <w:rPr>
                <w:b/>
              </w:rPr>
              <w:t>EVM Value [dB]</w:t>
            </w:r>
          </w:p>
        </w:tc>
      </w:tr>
      <w:tr w:rsidR="00260AA4" w:rsidRPr="00066F65" w:rsidTr="00A9692C">
        <w:trPr>
          <w:trHeight w:val="302"/>
          <w:jc w:val="center"/>
        </w:trPr>
        <w:tc>
          <w:tcPr>
            <w:tcW w:w="2402" w:type="dxa"/>
          </w:tcPr>
          <w:p w:rsidR="003E4724" w:rsidRDefault="00D203CB">
            <w:pPr>
              <w:jc w:val="center"/>
            </w:pPr>
            <w:r w:rsidRPr="009448FC">
              <w:t>1</w:t>
            </w:r>
            <w:r>
              <w:t>3</w:t>
            </w:r>
          </w:p>
        </w:tc>
        <w:tc>
          <w:tcPr>
            <w:tcW w:w="2420" w:type="dxa"/>
          </w:tcPr>
          <w:p w:rsidR="00260AA4" w:rsidRPr="009448FC" w:rsidRDefault="00260AA4" w:rsidP="00A9692C">
            <w:pPr>
              <w:jc w:val="center"/>
            </w:pPr>
            <w:r w:rsidRPr="009448FC">
              <w:t>SQPSK</w:t>
            </w:r>
          </w:p>
        </w:tc>
        <w:tc>
          <w:tcPr>
            <w:tcW w:w="2363" w:type="dxa"/>
          </w:tcPr>
          <w:p w:rsidR="00260AA4" w:rsidRPr="009448FC" w:rsidRDefault="00260AA4" w:rsidP="00A9692C">
            <w:pPr>
              <w:jc w:val="center"/>
            </w:pPr>
            <w:r w:rsidRPr="009448FC">
              <w:t>½</w:t>
            </w:r>
          </w:p>
        </w:tc>
        <w:tc>
          <w:tcPr>
            <w:tcW w:w="2391" w:type="dxa"/>
            <w:vAlign w:val="bottom"/>
          </w:tcPr>
          <w:p w:rsidR="00260AA4" w:rsidRPr="009448FC" w:rsidRDefault="00A70AA6" w:rsidP="00A9692C">
            <w:pPr>
              <w:jc w:val="center"/>
            </w:pPr>
            <w:r>
              <w:t>-</w:t>
            </w:r>
            <w:r w:rsidR="00260AA4" w:rsidRPr="00B3468C">
              <w:t>7</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4</w:t>
            </w:r>
          </w:p>
        </w:tc>
        <w:tc>
          <w:tcPr>
            <w:tcW w:w="2420" w:type="dxa"/>
          </w:tcPr>
          <w:p w:rsidR="00260AA4" w:rsidRPr="009448FC" w:rsidRDefault="00260AA4" w:rsidP="00A9692C">
            <w:pPr>
              <w:jc w:val="center"/>
            </w:pPr>
            <w:r w:rsidRPr="009448FC">
              <w:t xml:space="preserve">SQPSK </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9</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5</w:t>
            </w:r>
          </w:p>
        </w:tc>
        <w:tc>
          <w:tcPr>
            <w:tcW w:w="2420" w:type="dxa"/>
          </w:tcPr>
          <w:p w:rsidR="00260AA4" w:rsidRPr="009448FC" w:rsidRDefault="00260AA4" w:rsidP="00A9692C">
            <w:pPr>
              <w:jc w:val="center"/>
            </w:pPr>
            <w:r w:rsidRPr="009448FC">
              <w:t>QPSK</w:t>
            </w:r>
          </w:p>
        </w:tc>
        <w:tc>
          <w:tcPr>
            <w:tcW w:w="2363" w:type="dxa"/>
          </w:tcPr>
          <w:p w:rsidR="00260AA4" w:rsidRPr="009448FC" w:rsidRDefault="00260AA4" w:rsidP="00A9692C">
            <w:pPr>
              <w:jc w:val="center"/>
            </w:pPr>
            <w:r w:rsidRPr="009448FC">
              <w:t>½</w:t>
            </w:r>
          </w:p>
        </w:tc>
        <w:tc>
          <w:tcPr>
            <w:tcW w:w="2391" w:type="dxa"/>
            <w:vAlign w:val="bottom"/>
          </w:tcPr>
          <w:p w:rsidR="00260AA4" w:rsidRPr="009448FC" w:rsidRDefault="00A70AA6" w:rsidP="00A9692C">
            <w:pPr>
              <w:jc w:val="center"/>
            </w:pPr>
            <w:r>
              <w:t>-</w:t>
            </w:r>
            <w:r w:rsidR="00260AA4" w:rsidRPr="00B3468C">
              <w:t>10</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6</w:t>
            </w:r>
          </w:p>
        </w:tc>
        <w:tc>
          <w:tcPr>
            <w:tcW w:w="2420" w:type="dxa"/>
          </w:tcPr>
          <w:p w:rsidR="00260AA4" w:rsidRPr="009448FC" w:rsidRDefault="00260AA4" w:rsidP="00A9692C">
            <w:pPr>
              <w:jc w:val="center"/>
            </w:pPr>
            <w:r w:rsidRPr="009448FC">
              <w:t>QPSK</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11</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7</w:t>
            </w:r>
          </w:p>
        </w:tc>
        <w:tc>
          <w:tcPr>
            <w:tcW w:w="2420" w:type="dxa"/>
          </w:tcPr>
          <w:p w:rsidR="00260AA4" w:rsidRPr="009448FC" w:rsidRDefault="00260AA4" w:rsidP="00A9692C">
            <w:pPr>
              <w:jc w:val="center"/>
            </w:pPr>
            <w:r w:rsidRPr="009448FC">
              <w:t>QPSK</w:t>
            </w:r>
          </w:p>
        </w:tc>
        <w:tc>
          <w:tcPr>
            <w:tcW w:w="2363" w:type="dxa"/>
          </w:tcPr>
          <w:p w:rsidR="00260AA4" w:rsidRPr="009448FC" w:rsidRDefault="00260AA4" w:rsidP="00A9692C">
            <w:pPr>
              <w:jc w:val="center"/>
            </w:pPr>
            <w:r w:rsidRPr="009448FC">
              <w:t>¾</w:t>
            </w:r>
          </w:p>
        </w:tc>
        <w:tc>
          <w:tcPr>
            <w:tcW w:w="2391" w:type="dxa"/>
            <w:vAlign w:val="bottom"/>
          </w:tcPr>
          <w:p w:rsidR="00260AA4" w:rsidRPr="009448FC" w:rsidRDefault="00A70AA6" w:rsidP="00A9692C">
            <w:pPr>
              <w:jc w:val="center"/>
            </w:pPr>
            <w:r>
              <w:t>-</w:t>
            </w:r>
            <w:r w:rsidR="00260AA4" w:rsidRPr="00B3468C">
              <w:t>13</w:t>
            </w:r>
          </w:p>
        </w:tc>
      </w:tr>
      <w:tr w:rsidR="00260AA4" w:rsidRPr="00066F65" w:rsidTr="00A9692C">
        <w:trPr>
          <w:trHeight w:val="302"/>
          <w:jc w:val="center"/>
        </w:trPr>
        <w:tc>
          <w:tcPr>
            <w:tcW w:w="2402" w:type="dxa"/>
          </w:tcPr>
          <w:p w:rsidR="00260AA4" w:rsidRPr="009448FC" w:rsidRDefault="00260AA4" w:rsidP="00A9692C">
            <w:pPr>
              <w:jc w:val="center"/>
            </w:pPr>
            <w:r w:rsidRPr="009448FC">
              <w:lastRenderedPageBreak/>
              <w:t>1</w:t>
            </w:r>
            <w:r w:rsidR="00D203CB">
              <w:t>8</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½</w:t>
            </w:r>
          </w:p>
        </w:tc>
        <w:tc>
          <w:tcPr>
            <w:tcW w:w="2391" w:type="dxa"/>
            <w:vAlign w:val="bottom"/>
          </w:tcPr>
          <w:p w:rsidR="00260AA4" w:rsidRPr="009448FC" w:rsidRDefault="00A70AA6" w:rsidP="00A9692C">
            <w:pPr>
              <w:jc w:val="center"/>
            </w:pPr>
            <w:r>
              <w:t>-</w:t>
            </w:r>
            <w:r w:rsidR="00260AA4" w:rsidRPr="00B3468C">
              <w:t>15</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9</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17</w:t>
            </w:r>
          </w:p>
        </w:tc>
      </w:tr>
      <w:tr w:rsidR="00260AA4" w:rsidRPr="00066F65" w:rsidTr="00A9692C">
        <w:trPr>
          <w:trHeight w:val="302"/>
          <w:jc w:val="center"/>
        </w:trPr>
        <w:tc>
          <w:tcPr>
            <w:tcW w:w="2402" w:type="dxa"/>
          </w:tcPr>
          <w:p w:rsidR="00260AA4" w:rsidRPr="009448FC" w:rsidRDefault="00D203CB" w:rsidP="00A9692C">
            <w:pPr>
              <w:jc w:val="center"/>
            </w:pPr>
            <w:r>
              <w:t>20</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¾</w:t>
            </w:r>
          </w:p>
        </w:tc>
        <w:tc>
          <w:tcPr>
            <w:tcW w:w="2391" w:type="dxa"/>
            <w:vAlign w:val="bottom"/>
          </w:tcPr>
          <w:p w:rsidR="00260AA4" w:rsidRPr="009448FC" w:rsidRDefault="00A70AA6" w:rsidP="00A9692C">
            <w:pPr>
              <w:jc w:val="center"/>
            </w:pPr>
            <w:r>
              <w:t>-</w:t>
            </w:r>
            <w:r w:rsidR="00260AA4" w:rsidRPr="00B3468C">
              <w:t>19</w:t>
            </w:r>
          </w:p>
        </w:tc>
      </w:tr>
      <w:tr w:rsidR="00260AA4" w:rsidRPr="00066F65" w:rsidTr="00A9692C">
        <w:trPr>
          <w:trHeight w:val="302"/>
          <w:jc w:val="center"/>
        </w:trPr>
        <w:tc>
          <w:tcPr>
            <w:tcW w:w="2402" w:type="dxa"/>
          </w:tcPr>
          <w:p w:rsidR="00260AA4" w:rsidRPr="009448FC" w:rsidRDefault="00D203CB" w:rsidP="00A9692C">
            <w:pPr>
              <w:jc w:val="center"/>
            </w:pPr>
            <w:r>
              <w:t>21</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13/16</w:t>
            </w:r>
          </w:p>
        </w:tc>
        <w:tc>
          <w:tcPr>
            <w:tcW w:w="2391" w:type="dxa"/>
            <w:vAlign w:val="bottom"/>
          </w:tcPr>
          <w:p w:rsidR="00260AA4" w:rsidRPr="009448FC" w:rsidRDefault="00A70AA6" w:rsidP="00A9692C">
            <w:pPr>
              <w:jc w:val="center"/>
            </w:pPr>
            <w:r>
              <w:t>-</w:t>
            </w:r>
            <w:r w:rsidR="00260AA4" w:rsidRPr="00B3468C">
              <w:t>20</w:t>
            </w:r>
          </w:p>
        </w:tc>
      </w:tr>
      <w:tr w:rsidR="00260AA4" w:rsidRPr="00066F65" w:rsidTr="00A9692C">
        <w:trPr>
          <w:trHeight w:val="302"/>
          <w:jc w:val="center"/>
        </w:trPr>
        <w:tc>
          <w:tcPr>
            <w:tcW w:w="2402" w:type="dxa"/>
          </w:tcPr>
          <w:p w:rsidR="00260AA4" w:rsidRPr="009448FC" w:rsidRDefault="00D203CB" w:rsidP="00A9692C">
            <w:pPr>
              <w:jc w:val="center"/>
            </w:pPr>
            <w:r>
              <w:t>22</w:t>
            </w:r>
          </w:p>
        </w:tc>
        <w:tc>
          <w:tcPr>
            <w:tcW w:w="2420" w:type="dxa"/>
          </w:tcPr>
          <w:p w:rsidR="00260AA4" w:rsidRPr="009448FC" w:rsidRDefault="00260AA4" w:rsidP="00A9692C">
            <w:pPr>
              <w:jc w:val="center"/>
            </w:pPr>
            <w:r w:rsidRPr="009448FC">
              <w:t>64QAM</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24</w:t>
            </w:r>
          </w:p>
        </w:tc>
      </w:tr>
      <w:tr w:rsidR="00260AA4" w:rsidRPr="00066F65" w:rsidTr="00A9692C">
        <w:trPr>
          <w:trHeight w:val="302"/>
          <w:jc w:val="center"/>
        </w:trPr>
        <w:tc>
          <w:tcPr>
            <w:tcW w:w="2402" w:type="dxa"/>
          </w:tcPr>
          <w:p w:rsidR="00260AA4" w:rsidRPr="009448FC" w:rsidRDefault="00D203CB" w:rsidP="00A9692C">
            <w:pPr>
              <w:jc w:val="center"/>
            </w:pPr>
            <w:r>
              <w:t>23</w:t>
            </w:r>
          </w:p>
        </w:tc>
        <w:tc>
          <w:tcPr>
            <w:tcW w:w="2420" w:type="dxa"/>
          </w:tcPr>
          <w:p w:rsidR="00260AA4" w:rsidRPr="009448FC" w:rsidRDefault="00260AA4" w:rsidP="00A9692C">
            <w:pPr>
              <w:jc w:val="center"/>
            </w:pPr>
            <w:r w:rsidRPr="009448FC">
              <w:t>64QAM</w:t>
            </w:r>
          </w:p>
        </w:tc>
        <w:tc>
          <w:tcPr>
            <w:tcW w:w="2363" w:type="dxa"/>
          </w:tcPr>
          <w:p w:rsidR="00260AA4" w:rsidRPr="009448FC" w:rsidRDefault="00260AA4" w:rsidP="00A9692C">
            <w:pPr>
              <w:jc w:val="center"/>
            </w:pPr>
            <w:r w:rsidRPr="009448FC">
              <w:t>¾</w:t>
            </w:r>
          </w:p>
        </w:tc>
        <w:tc>
          <w:tcPr>
            <w:tcW w:w="2391" w:type="dxa"/>
            <w:vAlign w:val="bottom"/>
          </w:tcPr>
          <w:p w:rsidR="00260AA4" w:rsidRPr="009448FC" w:rsidRDefault="00A70AA6" w:rsidP="00A9692C">
            <w:pPr>
              <w:jc w:val="center"/>
            </w:pPr>
            <w:r>
              <w:t>-</w:t>
            </w:r>
            <w:r w:rsidR="00260AA4" w:rsidRPr="00B3468C">
              <w:t>24</w:t>
            </w:r>
          </w:p>
        </w:tc>
      </w:tr>
      <w:tr w:rsidR="00260AA4" w:rsidRPr="00066F65" w:rsidTr="00A9692C">
        <w:trPr>
          <w:trHeight w:val="302"/>
          <w:jc w:val="center"/>
        </w:trPr>
        <w:tc>
          <w:tcPr>
            <w:tcW w:w="2402" w:type="dxa"/>
          </w:tcPr>
          <w:p w:rsidR="00260AA4" w:rsidRPr="009448FC" w:rsidRDefault="00D203CB" w:rsidP="00A9692C">
            <w:pPr>
              <w:jc w:val="center"/>
            </w:pPr>
            <w:r>
              <w:t>24</w:t>
            </w:r>
          </w:p>
        </w:tc>
        <w:tc>
          <w:tcPr>
            <w:tcW w:w="2420" w:type="dxa"/>
          </w:tcPr>
          <w:p w:rsidR="00260AA4" w:rsidRPr="009448FC" w:rsidRDefault="00260AA4" w:rsidP="00A9692C">
            <w:pPr>
              <w:jc w:val="center"/>
            </w:pPr>
            <w:r w:rsidRPr="009448FC">
              <w:t>64QAM</w:t>
            </w:r>
          </w:p>
        </w:tc>
        <w:tc>
          <w:tcPr>
            <w:tcW w:w="2363" w:type="dxa"/>
          </w:tcPr>
          <w:p w:rsidR="00260AA4" w:rsidRPr="009448FC" w:rsidRDefault="00260AA4" w:rsidP="00A9692C">
            <w:pPr>
              <w:jc w:val="center"/>
            </w:pPr>
            <w:r w:rsidRPr="009448FC">
              <w:t>13/16</w:t>
            </w:r>
          </w:p>
        </w:tc>
        <w:tc>
          <w:tcPr>
            <w:tcW w:w="2391" w:type="dxa"/>
            <w:vAlign w:val="bottom"/>
          </w:tcPr>
          <w:p w:rsidR="00260AA4" w:rsidRPr="009448FC" w:rsidRDefault="00A70AA6" w:rsidP="00A9692C">
            <w:pPr>
              <w:jc w:val="center"/>
            </w:pPr>
            <w:r>
              <w:t>-</w:t>
            </w:r>
            <w:r w:rsidR="00260AA4" w:rsidRPr="00B3468C">
              <w:t>25</w:t>
            </w:r>
          </w:p>
        </w:tc>
      </w:tr>
    </w:tbl>
    <w:p w:rsidR="00B8205F" w:rsidRPr="009448FC" w:rsidRDefault="00E2534F" w:rsidP="00B8205F">
      <w:pPr>
        <w:pStyle w:val="NormalIndent"/>
        <w:ind w:left="0"/>
      </w:pPr>
      <w:r>
        <w:t xml:space="preserve"> </w:t>
      </w:r>
    </w:p>
    <w:p w:rsidR="00B243B6" w:rsidRPr="009448FC" w:rsidRDefault="00B243B6" w:rsidP="003701DB">
      <w:pPr>
        <w:pStyle w:val="Heading5"/>
        <w:keepNext w:val="0"/>
        <w:numPr>
          <w:ilvl w:val="4"/>
          <w:numId w:val="42"/>
        </w:numPr>
        <w:tabs>
          <w:tab w:val="clear" w:pos="1152"/>
        </w:tabs>
        <w:spacing w:after="60"/>
        <w:jc w:val="left"/>
      </w:pPr>
      <w:bookmarkStart w:id="3456" w:name="_Toc201721962"/>
      <w:bookmarkStart w:id="3457" w:name="_Toc206227702"/>
      <w:bookmarkStart w:id="3458" w:name="_Toc206415649"/>
      <w:bookmarkStart w:id="3459" w:name="_Toc206418456"/>
      <w:bookmarkStart w:id="3460" w:name="_Toc207099211"/>
      <w:bookmarkStart w:id="3461" w:name="_Toc207099816"/>
      <w:bookmarkStart w:id="3462" w:name="_Toc207100735"/>
      <w:bookmarkStart w:id="3463" w:name="_Toc207348657"/>
      <w:bookmarkStart w:id="3464" w:name="_Toc215583018"/>
      <w:bookmarkStart w:id="3465" w:name="_Toc235400706"/>
      <w:bookmarkStart w:id="3466" w:name="_Toc259717375"/>
      <w:r w:rsidRPr="009448FC">
        <w:t>Tx Flatness</w:t>
      </w:r>
      <w:bookmarkEnd w:id="3456"/>
      <w:bookmarkEnd w:id="3457"/>
      <w:bookmarkEnd w:id="3458"/>
      <w:bookmarkEnd w:id="3459"/>
      <w:bookmarkEnd w:id="3460"/>
      <w:bookmarkEnd w:id="3461"/>
      <w:bookmarkEnd w:id="3462"/>
      <w:bookmarkEnd w:id="3463"/>
      <w:bookmarkEnd w:id="3464"/>
      <w:bookmarkEnd w:id="3465"/>
      <w:bookmarkEnd w:id="3466"/>
      <w:r w:rsidR="000D1CC2" w:rsidRPr="009448FC">
        <w:t xml:space="preserve"> </w:t>
      </w:r>
    </w:p>
    <w:p w:rsidR="000D1CC2" w:rsidRPr="009448FC" w:rsidRDefault="000D1CC2" w:rsidP="000D1CC2">
      <w:pPr>
        <w:rPr>
          <w:rFonts w:eastAsia="MS Mincho"/>
        </w:rPr>
      </w:pPr>
      <w:r w:rsidRPr="009448FC">
        <w:rPr>
          <w:rFonts w:eastAsia="MS Mincho"/>
        </w:rPr>
        <w:t>When using the OFDM PHY and only while transmitting OFDM symbols the average energy of the OFDM Symbols constellations in each of the subcarriers with indices –146 to –2 and +2 to +145 shall deviate no more than ± 2 dB from their average energy. The average energy of the constellations in each of</w:t>
      </w:r>
      <w:r w:rsidR="00037AD7">
        <w:rPr>
          <w:rFonts w:eastAsia="MS Mincho"/>
        </w:rPr>
        <w:t xml:space="preserve"> the subcarriers with indices –</w:t>
      </w:r>
      <w:r w:rsidRPr="009448FC">
        <w:rPr>
          <w:rFonts w:eastAsia="MS Mincho"/>
        </w:rPr>
        <w:t>147 to –177 and +147 to +177 shall deviate no more than +2/–4 dB from the average energy of subcarriers with indices –177 to –2 and +2 to +177.</w:t>
      </w:r>
    </w:p>
    <w:p w:rsidR="008A192B" w:rsidRPr="009448FC" w:rsidRDefault="008A192B" w:rsidP="008A192B">
      <w:pPr>
        <w:pStyle w:val="NormalIndent"/>
      </w:pPr>
    </w:p>
    <w:p w:rsidR="008A192B" w:rsidRPr="009448FC" w:rsidRDefault="008A192B" w:rsidP="003701DB">
      <w:pPr>
        <w:pStyle w:val="Heading5"/>
        <w:keepNext w:val="0"/>
        <w:numPr>
          <w:ilvl w:val="4"/>
          <w:numId w:val="42"/>
        </w:numPr>
        <w:tabs>
          <w:tab w:val="clear" w:pos="1152"/>
        </w:tabs>
        <w:spacing w:after="60"/>
        <w:jc w:val="left"/>
      </w:pPr>
      <w:bookmarkStart w:id="3467" w:name="_Toc259717376"/>
      <w:r w:rsidRPr="009448FC">
        <w:t>Time of Departure accuracy</w:t>
      </w:r>
      <w:bookmarkEnd w:id="3467"/>
    </w:p>
    <w:p w:rsidR="008A192B" w:rsidRPr="009448FC" w:rsidRDefault="008A192B" w:rsidP="008A192B">
      <w:pPr>
        <w:autoSpaceDE w:val="0"/>
        <w:autoSpaceDN w:val="0"/>
        <w:adjustRightInd w:val="0"/>
        <w:rPr>
          <w:rFonts w:ascii="TimesNewRomanPSMT" w:eastAsia="MS Mincho" w:hAnsi="TimesNewRomanPSMT"/>
        </w:rPr>
      </w:pPr>
      <w:r w:rsidRPr="009448FC">
        <w:rPr>
          <w:rFonts w:ascii="TimesNewRomanPSMT" w:eastAsia="MS Mincho" w:hAnsi="TimesNewRomanPSMT"/>
        </w:rPr>
        <w:t>The Time of Departure accuracy test evaluates TIME_OF_DEPARTURE against aTxPmdTxStartRMS and</w:t>
      </w:r>
      <w:r w:rsidR="00C458A7" w:rsidRPr="009448FC">
        <w:rPr>
          <w:rFonts w:ascii="TimesNewRomanPSMT" w:eastAsia="MS Mincho" w:hAnsi="TimesNewRomanPSMT"/>
        </w:rPr>
        <w:t xml:space="preserve"> </w:t>
      </w:r>
      <w:r w:rsidRPr="009448FC">
        <w:rPr>
          <w:rFonts w:ascii="TimesNewRomanPSMT" w:eastAsia="MS Mincho" w:hAnsi="TimesNewRomanPSMT"/>
        </w:rPr>
        <w:t>aTxPmdTxStartRMS against TIME_OF_DEPARTURE_ACCURACY_TEST_THRESH as defined in</w:t>
      </w:r>
      <w:r w:rsidR="00C458A7" w:rsidRPr="009448FC">
        <w:rPr>
          <w:rFonts w:ascii="TimesNewRomanPSMT" w:eastAsia="MS Mincho" w:hAnsi="TimesNewRomanPSMT"/>
        </w:rPr>
        <w:t xml:space="preserve"> </w:t>
      </w:r>
      <w:r w:rsidRPr="009448FC">
        <w:rPr>
          <w:rFonts w:ascii="TimesNewRomanPSMT" w:eastAsia="MS Mincho" w:hAnsi="TimesNewRomanPSMT"/>
        </w:rPr>
        <w:t>Annex V with the following test parameters:</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MULTICHANNEL_SAMPLING_RATE is 2640x10</w:t>
      </w:r>
      <w:r w:rsidRPr="009448FC">
        <w:rPr>
          <w:rFonts w:ascii="TimesNewRomanPSMT" w:eastAsia="MS Mincho" w:hAnsi="TimesNewRomanPSMT"/>
          <w:vertAlign w:val="superscript"/>
        </w:rPr>
        <w:t>6</w:t>
      </w:r>
      <w:r w:rsidRPr="009448FC">
        <w:rPr>
          <w:rFonts w:ascii="TimesNewRomanPSMT" w:eastAsia="MS Mincho" w:hAnsi="TimesNewRomanPSMT"/>
        </w:rPr>
        <w:t xml:space="preserve"> sample/s </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FIRST_TRANSITION_FIELD is Short Training </w:t>
      </w:r>
      <w:r w:rsidR="00293BD2">
        <w:rPr>
          <w:rFonts w:ascii="TimesNewRomanPSMT" w:eastAsia="MS Mincho" w:hAnsi="TimesNewRomanPSMT"/>
        </w:rPr>
        <w:t>f</w:t>
      </w:r>
      <w:r w:rsidRPr="009448FC">
        <w:rPr>
          <w:rFonts w:ascii="TimesNewRomanPSMT" w:eastAsia="MS Mincho" w:hAnsi="TimesNewRomanPSMT"/>
        </w:rPr>
        <w:t xml:space="preserve">ield </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SECOND_TRANSITION_FIELD is Channel Estimation </w:t>
      </w:r>
      <w:r w:rsidR="00293BD2">
        <w:rPr>
          <w:rFonts w:ascii="TimesNewRomanPSMT" w:eastAsia="MS Mincho" w:hAnsi="TimesNewRomanPSMT"/>
        </w:rPr>
        <w:t>f</w:t>
      </w:r>
      <w:r w:rsidRPr="009448FC">
        <w:rPr>
          <w:rFonts w:ascii="TimesNewRomanPSMT" w:eastAsia="MS Mincho" w:hAnsi="TimesNewRomanPSMT"/>
        </w:rPr>
        <w:t>ield</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TRAINING_FIELD is Channel Estimation </w:t>
      </w:r>
      <w:r w:rsidR="00293BD2">
        <w:rPr>
          <w:rFonts w:ascii="TimesNewRomanPSMT" w:eastAsia="MS Mincho" w:hAnsi="TimesNewRomanPSMT"/>
        </w:rPr>
        <w:t>f</w:t>
      </w:r>
      <w:r w:rsidRPr="009448FC">
        <w:rPr>
          <w:rFonts w:ascii="TimesNewRomanPSMT" w:eastAsia="MS Mincho" w:hAnsi="TimesNewRomanPSMT"/>
        </w:rPr>
        <w:t xml:space="preserve">ield </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TIME_OF_DEPARTURE_ACCURACY_TEST_THRESH is 80 ns </w:t>
      </w:r>
    </w:p>
    <w:p w:rsidR="00037AD7" w:rsidRDefault="00037AD7" w:rsidP="00C458A7">
      <w:pPr>
        <w:autoSpaceDE w:val="0"/>
        <w:autoSpaceDN w:val="0"/>
        <w:adjustRightInd w:val="0"/>
        <w:rPr>
          <w:rFonts w:ascii="TimesNewRomanPSMT" w:eastAsia="MS Mincho" w:hAnsi="TimesNewRomanPSMT"/>
          <w:sz w:val="20"/>
        </w:rPr>
      </w:pPr>
    </w:p>
    <w:p w:rsidR="008A192B" w:rsidRPr="009448FC" w:rsidRDefault="008A192B" w:rsidP="00C458A7">
      <w:pPr>
        <w:autoSpaceDE w:val="0"/>
        <w:autoSpaceDN w:val="0"/>
        <w:adjustRightInd w:val="0"/>
        <w:rPr>
          <w:rFonts w:ascii="TimesNewRomanPSMT" w:eastAsia="MS Mincho" w:hAnsi="TimesNewRomanPSMT"/>
          <w:sz w:val="20"/>
        </w:rPr>
      </w:pPr>
      <w:r w:rsidRPr="009448FC">
        <w:rPr>
          <w:rFonts w:ascii="TimesNewRomanPSMT" w:eastAsia="MS Mincho" w:hAnsi="TimesNewRomanPSMT"/>
          <w:sz w:val="20"/>
        </w:rPr>
        <w:t>NOTE — The indicated windowing applies to the time of departure accuracy test equipment, and not the transmitter or</w:t>
      </w:r>
      <w:r w:rsidR="00C458A7" w:rsidRPr="009448FC">
        <w:rPr>
          <w:rFonts w:ascii="TimesNewRomanPSMT" w:eastAsia="MS Mincho" w:hAnsi="TimesNewRomanPSMT"/>
          <w:sz w:val="20"/>
        </w:rPr>
        <w:t xml:space="preserve"> </w:t>
      </w:r>
      <w:r w:rsidRPr="009448FC">
        <w:rPr>
          <w:rFonts w:ascii="TimesNewRomanPSMT" w:eastAsia="MS Mincho" w:hAnsi="TimesNewRomanPSMT"/>
          <w:sz w:val="20"/>
        </w:rPr>
        <w:t>receiver.</w:t>
      </w:r>
    </w:p>
    <w:p w:rsidR="00B243B6" w:rsidRPr="009448FC" w:rsidRDefault="00B243B6" w:rsidP="001A20F2"/>
    <w:p w:rsidR="00B243B6" w:rsidRPr="009448FC" w:rsidRDefault="00B243B6" w:rsidP="003701DB">
      <w:pPr>
        <w:pStyle w:val="Heading4"/>
        <w:numPr>
          <w:ilvl w:val="3"/>
          <w:numId w:val="42"/>
        </w:numPr>
      </w:pPr>
      <w:bookmarkStart w:id="3468" w:name="_Toc201721963"/>
      <w:bookmarkStart w:id="3469" w:name="_Toc206227703"/>
      <w:bookmarkStart w:id="3470" w:name="_Toc206415650"/>
      <w:bookmarkStart w:id="3471" w:name="_Toc206418457"/>
      <w:bookmarkStart w:id="3472" w:name="_Toc207099212"/>
      <w:bookmarkStart w:id="3473" w:name="_Toc207099817"/>
      <w:bookmarkStart w:id="3474" w:name="_Toc207100736"/>
      <w:bookmarkStart w:id="3475" w:name="_Toc207348658"/>
      <w:bookmarkStart w:id="3476" w:name="_Toc215583019"/>
      <w:bookmarkStart w:id="3477" w:name="_Toc235400707"/>
      <w:bookmarkStart w:id="3478" w:name="_Toc259717377"/>
      <w:r w:rsidRPr="009448FC">
        <w:t>Rx Requirements</w:t>
      </w:r>
      <w:bookmarkEnd w:id="3468"/>
      <w:bookmarkEnd w:id="3469"/>
      <w:bookmarkEnd w:id="3470"/>
      <w:bookmarkEnd w:id="3471"/>
      <w:bookmarkEnd w:id="3472"/>
      <w:bookmarkEnd w:id="3473"/>
      <w:bookmarkEnd w:id="3474"/>
      <w:bookmarkEnd w:id="3475"/>
      <w:bookmarkEnd w:id="3476"/>
      <w:bookmarkEnd w:id="3477"/>
      <w:bookmarkEnd w:id="3478"/>
      <w:r w:rsidR="000D1CC2" w:rsidRPr="009448FC">
        <w:t xml:space="preserve"> </w:t>
      </w:r>
    </w:p>
    <w:p w:rsidR="000D1CC2" w:rsidRDefault="000D1CC2" w:rsidP="000D1CC2">
      <w:pPr>
        <w:rPr>
          <w:rFonts w:eastAsia="MS Mincho"/>
        </w:rPr>
      </w:pPr>
      <w:r w:rsidRPr="009448FC">
        <w:rPr>
          <w:rFonts w:eastAsia="MS Mincho"/>
        </w:rPr>
        <w:t xml:space="preserve">This section describes the performance requirement for </w:t>
      </w:r>
      <w:r w:rsidR="00CB4BB7" w:rsidRPr="009448FC">
        <w:rPr>
          <w:rFonts w:eastAsia="MS Mincho"/>
        </w:rPr>
        <w:t xml:space="preserve">an </w:t>
      </w:r>
      <w:r w:rsidRPr="009448FC">
        <w:rPr>
          <w:rFonts w:eastAsia="MS Mincho"/>
        </w:rPr>
        <w:t>OFDM receiver</w:t>
      </w:r>
      <w:r w:rsidR="00CB4BB7" w:rsidRPr="009448FC">
        <w:rPr>
          <w:rFonts w:eastAsia="MS Mincho"/>
        </w:rPr>
        <w:t>.</w:t>
      </w:r>
    </w:p>
    <w:p w:rsidR="00C54B8D" w:rsidRDefault="00BE1F31" w:rsidP="00C54B8D">
      <w:bookmarkStart w:id="3479" w:name="_Toc201721965"/>
      <w:bookmarkStart w:id="3480" w:name="_Toc206227705"/>
      <w:bookmarkStart w:id="3481" w:name="_Toc206415652"/>
      <w:bookmarkStart w:id="3482" w:name="_Toc206418459"/>
      <w:bookmarkStart w:id="3483" w:name="_Toc207099214"/>
      <w:bookmarkStart w:id="3484" w:name="_Toc207099819"/>
      <w:bookmarkStart w:id="3485" w:name="_Toc207100738"/>
      <w:bookmarkStart w:id="3486" w:name="_Toc207348660"/>
      <w:bookmarkStart w:id="3487" w:name="_Toc215583021"/>
      <w:bookmarkStart w:id="3488" w:name="_Toc235400709"/>
      <w:r>
        <w:t xml:space="preserve"> </w:t>
      </w:r>
    </w:p>
    <w:p w:rsidR="00B243B6" w:rsidRPr="009448FC" w:rsidRDefault="00B243B6" w:rsidP="003701DB">
      <w:pPr>
        <w:pStyle w:val="Heading5"/>
        <w:keepNext w:val="0"/>
        <w:numPr>
          <w:ilvl w:val="4"/>
          <w:numId w:val="42"/>
        </w:numPr>
        <w:tabs>
          <w:tab w:val="clear" w:pos="1152"/>
        </w:tabs>
        <w:spacing w:after="60"/>
        <w:jc w:val="left"/>
      </w:pPr>
      <w:bookmarkStart w:id="3489" w:name="_Toc201721966"/>
      <w:bookmarkStart w:id="3490" w:name="_Toc206227706"/>
      <w:bookmarkStart w:id="3491" w:name="_Toc206415653"/>
      <w:bookmarkStart w:id="3492" w:name="_Toc206418460"/>
      <w:bookmarkStart w:id="3493" w:name="_Toc207099215"/>
      <w:bookmarkStart w:id="3494" w:name="_Toc207099820"/>
      <w:bookmarkStart w:id="3495" w:name="_Toc207100739"/>
      <w:bookmarkStart w:id="3496" w:name="_Toc207348661"/>
      <w:bookmarkStart w:id="3497" w:name="_Toc215583022"/>
      <w:bookmarkStart w:id="3498" w:name="_Toc235400710"/>
      <w:bookmarkStart w:id="3499" w:name="_Toc259717378"/>
      <w:bookmarkEnd w:id="3479"/>
      <w:bookmarkEnd w:id="3480"/>
      <w:bookmarkEnd w:id="3481"/>
      <w:bookmarkEnd w:id="3482"/>
      <w:bookmarkEnd w:id="3483"/>
      <w:bookmarkEnd w:id="3484"/>
      <w:bookmarkEnd w:id="3485"/>
      <w:bookmarkEnd w:id="3486"/>
      <w:bookmarkEnd w:id="3487"/>
      <w:bookmarkEnd w:id="3488"/>
      <w:r w:rsidRPr="009448FC">
        <w:t>CCA</w:t>
      </w:r>
      <w:bookmarkEnd w:id="3489"/>
      <w:bookmarkEnd w:id="3490"/>
      <w:bookmarkEnd w:id="3491"/>
      <w:bookmarkEnd w:id="3492"/>
      <w:bookmarkEnd w:id="3493"/>
      <w:bookmarkEnd w:id="3494"/>
      <w:bookmarkEnd w:id="3495"/>
      <w:bookmarkEnd w:id="3496"/>
      <w:bookmarkEnd w:id="3497"/>
      <w:bookmarkEnd w:id="3498"/>
      <w:bookmarkEnd w:id="3499"/>
      <w:r w:rsidR="005515A4">
        <w:t xml:space="preserve"> </w:t>
      </w:r>
    </w:p>
    <w:p w:rsidR="003E4724" w:rsidRDefault="006721D4">
      <w:r w:rsidRPr="009448FC">
        <w:t>The start of a valid mmWave</w:t>
      </w:r>
      <w:r w:rsidR="005515A4">
        <w:t xml:space="preserve"> </w:t>
      </w:r>
      <w:r w:rsidRPr="009448FC">
        <w:t xml:space="preserve">OFDM PHY or mmWave SC PHY transmission at a receive level greater than the minimum sensitivity for MCS </w:t>
      </w:r>
      <w:r w:rsidR="00F7686A" w:rsidRPr="009448FC">
        <w:t>1</w:t>
      </w:r>
      <w:r w:rsidR="00F7686A">
        <w:t>3</w:t>
      </w:r>
      <w:r w:rsidR="00F7686A" w:rsidRPr="009448FC">
        <w:t xml:space="preserve"> </w:t>
      </w:r>
      <w:r w:rsidRPr="009448FC">
        <w:t>(-66dBm), shall cause CCA to indicate busy with a probability &gt;90% within 1usec.</w:t>
      </w:r>
      <w:r w:rsidR="005515A4">
        <w:t xml:space="preserve"> </w:t>
      </w:r>
    </w:p>
    <w:p w:rsidR="00C97D4F" w:rsidRDefault="00C97D4F">
      <w:r>
        <w:br w:type="page"/>
      </w:r>
    </w:p>
    <w:p w:rsidR="00B243B6" w:rsidRPr="00066F65" w:rsidRDefault="008A192B" w:rsidP="003701DB">
      <w:pPr>
        <w:pStyle w:val="Heading2"/>
        <w:numPr>
          <w:ilvl w:val="1"/>
          <w:numId w:val="42"/>
        </w:numPr>
        <w:rPr>
          <w:lang w:eastAsia="ja-JP"/>
        </w:rPr>
      </w:pPr>
      <w:bookmarkStart w:id="3500" w:name="_Toc201721968"/>
      <w:bookmarkStart w:id="3501" w:name="_Toc206227708"/>
      <w:bookmarkStart w:id="3502" w:name="_Toc206415655"/>
      <w:bookmarkStart w:id="3503" w:name="_Toc206418462"/>
      <w:bookmarkStart w:id="3504" w:name="_Toc207099217"/>
      <w:bookmarkStart w:id="3505" w:name="_Toc207099822"/>
      <w:bookmarkStart w:id="3506" w:name="_Toc207100741"/>
      <w:bookmarkStart w:id="3507" w:name="_Toc207348663"/>
      <w:bookmarkStart w:id="3508" w:name="_Toc215583024"/>
      <w:bookmarkStart w:id="3509" w:name="_Toc235400712"/>
      <w:bookmarkStart w:id="3510" w:name="_Ref243723887"/>
      <w:bookmarkStart w:id="3511" w:name="_Toc259717379"/>
      <w:r w:rsidRPr="00066F65">
        <w:rPr>
          <w:lang w:eastAsia="ja-JP"/>
        </w:rPr>
        <w:lastRenderedPageBreak/>
        <w:t xml:space="preserve">mmWave </w:t>
      </w:r>
      <w:r w:rsidR="00B243B6" w:rsidRPr="00066F65">
        <w:rPr>
          <w:lang w:eastAsia="ja-JP"/>
        </w:rPr>
        <w:t>SC PHY</w:t>
      </w:r>
      <w:bookmarkEnd w:id="3500"/>
      <w:bookmarkEnd w:id="3501"/>
      <w:bookmarkEnd w:id="3502"/>
      <w:bookmarkEnd w:id="3503"/>
      <w:bookmarkEnd w:id="3504"/>
      <w:bookmarkEnd w:id="3505"/>
      <w:bookmarkEnd w:id="3506"/>
      <w:bookmarkEnd w:id="3507"/>
      <w:bookmarkEnd w:id="3508"/>
      <w:bookmarkEnd w:id="3509"/>
      <w:bookmarkEnd w:id="3510"/>
      <w:bookmarkEnd w:id="3511"/>
    </w:p>
    <w:p w:rsidR="00B243B6" w:rsidRPr="009448FC" w:rsidRDefault="00B243B6" w:rsidP="001A20F2"/>
    <w:p w:rsidR="008A192B" w:rsidRPr="009448FC" w:rsidRDefault="00B243B6" w:rsidP="003701DB">
      <w:pPr>
        <w:pStyle w:val="Heading3"/>
        <w:numPr>
          <w:ilvl w:val="2"/>
          <w:numId w:val="42"/>
        </w:numPr>
      </w:pPr>
      <w:bookmarkStart w:id="3512" w:name="_Toc201721969"/>
      <w:bookmarkStart w:id="3513" w:name="_Toc206227709"/>
      <w:bookmarkStart w:id="3514" w:name="_Toc206415656"/>
      <w:bookmarkStart w:id="3515" w:name="_Toc206418463"/>
      <w:bookmarkStart w:id="3516" w:name="_Toc207099218"/>
      <w:bookmarkStart w:id="3517" w:name="_Toc207099823"/>
      <w:bookmarkStart w:id="3518" w:name="_Toc207100742"/>
      <w:bookmarkStart w:id="3519" w:name="_Toc207348664"/>
      <w:bookmarkStart w:id="3520" w:name="_Toc215583025"/>
      <w:bookmarkStart w:id="3521" w:name="_Toc235400713"/>
      <w:bookmarkStart w:id="3522" w:name="_Toc259717380"/>
      <w:r w:rsidRPr="009448FC">
        <w:t>Introduction</w:t>
      </w:r>
      <w:bookmarkEnd w:id="3512"/>
      <w:bookmarkEnd w:id="3513"/>
      <w:bookmarkEnd w:id="3514"/>
      <w:bookmarkEnd w:id="3515"/>
      <w:bookmarkEnd w:id="3516"/>
      <w:bookmarkEnd w:id="3517"/>
      <w:bookmarkEnd w:id="3518"/>
      <w:bookmarkEnd w:id="3519"/>
      <w:bookmarkEnd w:id="3520"/>
      <w:bookmarkEnd w:id="3521"/>
      <w:bookmarkEnd w:id="3522"/>
    </w:p>
    <w:p w:rsidR="00B243B6" w:rsidRDefault="00B243B6" w:rsidP="003701DB">
      <w:pPr>
        <w:pStyle w:val="Heading3"/>
        <w:numPr>
          <w:ilvl w:val="2"/>
          <w:numId w:val="42"/>
        </w:numPr>
      </w:pPr>
      <w:bookmarkStart w:id="3523" w:name="_Toc201721976"/>
      <w:bookmarkStart w:id="3524" w:name="_Toc206227716"/>
      <w:bookmarkStart w:id="3525" w:name="_Toc206415663"/>
      <w:bookmarkStart w:id="3526" w:name="_Toc206418470"/>
      <w:bookmarkStart w:id="3527" w:name="_Toc207099225"/>
      <w:bookmarkStart w:id="3528" w:name="_Toc207099830"/>
      <w:bookmarkStart w:id="3529" w:name="_Toc207100749"/>
      <w:bookmarkStart w:id="3530" w:name="_Toc207348671"/>
      <w:bookmarkStart w:id="3531" w:name="_Toc215583032"/>
      <w:bookmarkStart w:id="3532" w:name="_Toc235400719"/>
      <w:bookmarkStart w:id="3533" w:name="_Toc259717381"/>
      <w:r w:rsidRPr="009448FC">
        <w:t xml:space="preserve">Frame </w:t>
      </w:r>
      <w:r w:rsidR="002578A4">
        <w:t>f</w:t>
      </w:r>
      <w:r w:rsidRPr="009448FC">
        <w:t>ormat</w:t>
      </w:r>
      <w:bookmarkEnd w:id="3523"/>
      <w:bookmarkEnd w:id="3524"/>
      <w:bookmarkEnd w:id="3525"/>
      <w:bookmarkEnd w:id="3526"/>
      <w:bookmarkEnd w:id="3527"/>
      <w:bookmarkEnd w:id="3528"/>
      <w:bookmarkEnd w:id="3529"/>
      <w:bookmarkEnd w:id="3530"/>
      <w:bookmarkEnd w:id="3531"/>
      <w:bookmarkEnd w:id="3532"/>
      <w:bookmarkEnd w:id="3533"/>
    </w:p>
    <w:p w:rsidR="00D05D1B" w:rsidRDefault="00D05D1B" w:rsidP="00D05D1B">
      <w:r>
        <w:t>The SC frame is composed of the Short Training Field (STF), the channel estimation field (CE), the Header, SC blocks and optional training fields, as shown in</w:t>
      </w:r>
      <w:r w:rsidR="004007C0">
        <w:t xml:space="preserve"> </w:t>
      </w:r>
      <w:r w:rsidR="00BD151C">
        <w:fldChar w:fldCharType="begin"/>
      </w:r>
      <w:r w:rsidR="004007C0">
        <w:instrText xml:space="preserve"> REF _Ref255225533 \h </w:instrText>
      </w:r>
      <w:r w:rsidR="00BD151C">
        <w:fldChar w:fldCharType="separate"/>
      </w:r>
      <w:r w:rsidR="003E4210">
        <w:t xml:space="preserve">Figure </w:t>
      </w:r>
      <w:r w:rsidR="003E4210">
        <w:rPr>
          <w:noProof/>
        </w:rPr>
        <w:t>141</w:t>
      </w:r>
      <w:r w:rsidR="00BD151C">
        <w:fldChar w:fldCharType="end"/>
      </w:r>
      <w:r w:rsidR="004007C0">
        <w:t>.</w:t>
      </w:r>
    </w:p>
    <w:p w:rsidR="004007C0" w:rsidRDefault="004007C0" w:rsidP="00D05D1B"/>
    <w:p w:rsidR="00D05D1B" w:rsidRDefault="00D05D1B" w:rsidP="00D05D1B">
      <w:pPr>
        <w:keepNext/>
      </w:pPr>
      <w:r>
        <w:object w:dxaOrig="9848" w:dyaOrig="343">
          <v:shape id="_x0000_i1204" type="#_x0000_t75" style="width:493.6pt;height:17.65pt" o:ole="">
            <v:imagedata r:id="rId455" o:title=""/>
          </v:shape>
          <o:OLEObject Type="Embed" ProgID="Visio.Drawing.11" ShapeID="_x0000_i1204" DrawAspect="Content" ObjectID="_1334048385" r:id="rId456"/>
        </w:object>
      </w:r>
    </w:p>
    <w:p w:rsidR="00D05D1B" w:rsidRPr="0091784F" w:rsidRDefault="00D05D1B" w:rsidP="00D05D1B">
      <w:pPr>
        <w:pStyle w:val="Caption"/>
      </w:pPr>
      <w:bookmarkStart w:id="3534" w:name="_Ref255225533"/>
      <w:bookmarkStart w:id="3535" w:name="_Toc259717573"/>
      <w:r>
        <w:t xml:space="preserve">Figure </w:t>
      </w:r>
      <w:r w:rsidR="00BD151C">
        <w:fldChar w:fldCharType="begin"/>
      </w:r>
      <w:r w:rsidR="00801316">
        <w:instrText xml:space="preserve"> SEQ Figure \* ARABIC </w:instrText>
      </w:r>
      <w:r w:rsidR="00BD151C">
        <w:fldChar w:fldCharType="separate"/>
      </w:r>
      <w:r w:rsidR="003E4210">
        <w:rPr>
          <w:noProof/>
        </w:rPr>
        <w:t>141</w:t>
      </w:r>
      <w:r w:rsidR="00BD151C">
        <w:fldChar w:fldCharType="end"/>
      </w:r>
      <w:bookmarkEnd w:id="3534"/>
      <w:r w:rsidR="004007C0">
        <w:rPr>
          <w:noProof/>
        </w:rPr>
        <w:t xml:space="preserve"> – </w:t>
      </w:r>
      <w:r>
        <w:rPr>
          <w:noProof/>
        </w:rPr>
        <w:t>SC frame format</w:t>
      </w:r>
      <w:bookmarkEnd w:id="3535"/>
    </w:p>
    <w:p w:rsidR="00D05D1B" w:rsidRPr="00D05D1B" w:rsidRDefault="00D05D1B" w:rsidP="00D05D1B"/>
    <w:p w:rsidR="00B243B6" w:rsidRPr="009448FC" w:rsidRDefault="00B243B6" w:rsidP="003701DB">
      <w:pPr>
        <w:pStyle w:val="Heading3"/>
        <w:numPr>
          <w:ilvl w:val="2"/>
          <w:numId w:val="42"/>
        </w:numPr>
      </w:pPr>
      <w:bookmarkStart w:id="3536" w:name="_Toc201721977"/>
      <w:bookmarkStart w:id="3537" w:name="_Toc206227717"/>
      <w:bookmarkStart w:id="3538" w:name="_Toc206415664"/>
      <w:bookmarkStart w:id="3539" w:name="_Toc206418471"/>
      <w:bookmarkStart w:id="3540" w:name="_Toc207099226"/>
      <w:bookmarkStart w:id="3541" w:name="_Toc207099831"/>
      <w:bookmarkStart w:id="3542" w:name="_Toc207100750"/>
      <w:bookmarkStart w:id="3543" w:name="_Toc207348672"/>
      <w:bookmarkStart w:id="3544" w:name="_Toc215583033"/>
      <w:bookmarkStart w:id="3545" w:name="_Toc235400720"/>
      <w:bookmarkStart w:id="3546" w:name="_Toc259717382"/>
      <w:r w:rsidRPr="009448FC">
        <w:t>Transmission</w:t>
      </w:r>
      <w:bookmarkEnd w:id="3536"/>
      <w:bookmarkEnd w:id="3537"/>
      <w:bookmarkEnd w:id="3538"/>
      <w:bookmarkEnd w:id="3539"/>
      <w:bookmarkEnd w:id="3540"/>
      <w:bookmarkEnd w:id="3541"/>
      <w:bookmarkEnd w:id="3542"/>
      <w:bookmarkEnd w:id="3543"/>
      <w:bookmarkEnd w:id="3544"/>
      <w:bookmarkEnd w:id="3545"/>
      <w:bookmarkEnd w:id="3546"/>
    </w:p>
    <w:p w:rsidR="00505F5F" w:rsidRPr="009448FC" w:rsidRDefault="00505F5F" w:rsidP="003701DB">
      <w:pPr>
        <w:pStyle w:val="Heading4"/>
        <w:numPr>
          <w:ilvl w:val="3"/>
          <w:numId w:val="42"/>
        </w:numPr>
      </w:pPr>
      <w:bookmarkStart w:id="3547" w:name="_Toc233430725"/>
      <w:bookmarkStart w:id="3548" w:name="_Toc233432857"/>
      <w:bookmarkStart w:id="3549" w:name="_Toc234224862"/>
      <w:bookmarkStart w:id="3550" w:name="_Toc234225485"/>
      <w:bookmarkStart w:id="3551" w:name="_Toc235391064"/>
      <w:bookmarkStart w:id="3552" w:name="_Toc235393262"/>
      <w:bookmarkStart w:id="3553" w:name="_Toc235394474"/>
      <w:bookmarkStart w:id="3554" w:name="_Toc235400721"/>
      <w:bookmarkStart w:id="3555" w:name="_Toc236397143"/>
      <w:bookmarkStart w:id="3556" w:name="_Toc233430729"/>
      <w:bookmarkStart w:id="3557" w:name="_Toc233432861"/>
      <w:bookmarkStart w:id="3558" w:name="_Toc234224866"/>
      <w:bookmarkStart w:id="3559" w:name="_Toc234225489"/>
      <w:bookmarkStart w:id="3560" w:name="_Toc235391068"/>
      <w:bookmarkStart w:id="3561" w:name="_Toc235393266"/>
      <w:bookmarkStart w:id="3562" w:name="_Toc235394478"/>
      <w:bookmarkStart w:id="3563" w:name="_Toc235400725"/>
      <w:bookmarkStart w:id="3564" w:name="_Toc236397147"/>
      <w:bookmarkStart w:id="3565" w:name="_Toc233430730"/>
      <w:bookmarkStart w:id="3566" w:name="_Toc233432862"/>
      <w:bookmarkStart w:id="3567" w:name="_Toc234224867"/>
      <w:bookmarkStart w:id="3568" w:name="_Toc234225490"/>
      <w:bookmarkStart w:id="3569" w:name="_Toc235391069"/>
      <w:bookmarkStart w:id="3570" w:name="_Toc235393267"/>
      <w:bookmarkStart w:id="3571" w:name="_Toc235394479"/>
      <w:bookmarkStart w:id="3572" w:name="_Toc235400726"/>
      <w:bookmarkStart w:id="3573" w:name="_Toc236397148"/>
      <w:bookmarkStart w:id="3574" w:name="_Toc215583038"/>
      <w:bookmarkStart w:id="3575" w:name="_Toc235400727"/>
      <w:bookmarkStart w:id="3576" w:name="_Ref251864033"/>
      <w:bookmarkStart w:id="3577" w:name="_Toc259717383"/>
      <w:bookmarkStart w:id="3578" w:name="_Toc201721982"/>
      <w:bookmarkStart w:id="3579" w:name="_Toc206227722"/>
      <w:bookmarkStart w:id="3580" w:name="_Toc206415669"/>
      <w:bookmarkStart w:id="3581" w:name="_Toc206418476"/>
      <w:bookmarkStart w:id="3582" w:name="_Toc207099231"/>
      <w:bookmarkStart w:id="3583" w:name="_Toc207099836"/>
      <w:bookmarkStart w:id="3584" w:name="_Toc207100755"/>
      <w:bookmarkStart w:id="3585" w:name="_Toc207348677"/>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rsidRPr="009448FC">
        <w:t>Header</w:t>
      </w:r>
      <w:bookmarkEnd w:id="3574"/>
      <w:bookmarkEnd w:id="3575"/>
      <w:bookmarkEnd w:id="3576"/>
      <w:bookmarkEnd w:id="3577"/>
    </w:p>
    <w:p w:rsidR="00505F5F" w:rsidRPr="009448FC" w:rsidRDefault="00766EB4" w:rsidP="00DD6B4F">
      <w:r>
        <w:t>In the SC</w:t>
      </w:r>
      <w:r w:rsidR="00505F5F" w:rsidRPr="009448FC">
        <w:t xml:space="preserve"> PHY, the preamble is followed by the header.</w:t>
      </w:r>
      <w:r w:rsidR="00281486" w:rsidRPr="009448FC">
        <w:t xml:space="preserve"> </w:t>
      </w:r>
      <w:r w:rsidR="00505F5F" w:rsidRPr="009448FC">
        <w:t xml:space="preserve">The header consists of several fields which define the details </w:t>
      </w:r>
      <w:r w:rsidR="002B66A6" w:rsidRPr="009448FC">
        <w:t xml:space="preserve">of the PPDU to be transmitted. </w:t>
      </w:r>
      <w:r w:rsidR="00505F5F" w:rsidRPr="009448FC">
        <w:t xml:space="preserve">The encoding and modulation of the header is described in subclause </w:t>
      </w:r>
      <w:r w:rsidR="00BD151C">
        <w:fldChar w:fldCharType="begin"/>
      </w:r>
      <w:r w:rsidR="00DD6B4F">
        <w:instrText xml:space="preserve"> REF _Ref233370434 \r \h </w:instrText>
      </w:r>
      <w:r w:rsidR="00BD151C">
        <w:fldChar w:fldCharType="separate"/>
      </w:r>
      <w:r w:rsidR="003E4210">
        <w:t>21.6.3.1.3</w:t>
      </w:r>
      <w:r w:rsidR="00BD151C">
        <w:fldChar w:fldCharType="end"/>
      </w:r>
      <w:r w:rsidR="00505F5F" w:rsidRPr="009448FC">
        <w:t>.</w:t>
      </w:r>
    </w:p>
    <w:p w:rsidR="00A719A1" w:rsidRPr="009448FC" w:rsidRDefault="00A719A1" w:rsidP="004F7748"/>
    <w:p w:rsidR="00505F5F" w:rsidRPr="009448FC" w:rsidRDefault="00505F5F" w:rsidP="004F7748">
      <w:r w:rsidRPr="009448FC">
        <w:t xml:space="preserve">The header fields are described in </w:t>
      </w:r>
      <w:fldSimple w:instr=" REF _Ref236711061 \h  \* MERGEFORMAT ">
        <w:r w:rsidR="003E4210" w:rsidRPr="00066F65">
          <w:t xml:space="preserve">Table </w:t>
        </w:r>
        <w:r w:rsidR="003E4210">
          <w:t>78</w:t>
        </w:r>
      </w:fldSimple>
      <w:r w:rsidRPr="009448FC">
        <w:t>.</w:t>
      </w:r>
    </w:p>
    <w:p w:rsidR="00505F5F" w:rsidRPr="009448FC" w:rsidRDefault="00505F5F" w:rsidP="00505F5F"/>
    <w:p w:rsidR="00505F5F" w:rsidRPr="00066F65" w:rsidRDefault="00505F5F" w:rsidP="009448FC">
      <w:pPr>
        <w:pStyle w:val="Caption"/>
        <w:keepNext/>
      </w:pPr>
      <w:bookmarkStart w:id="3586" w:name="_Ref236711061"/>
      <w:bookmarkStart w:id="3587" w:name="_Toc225065793"/>
      <w:bookmarkStart w:id="3588" w:name="_Toc250654463"/>
      <w:bookmarkStart w:id="3589" w:name="_Toc259717656"/>
      <w:r w:rsidRPr="00066F65">
        <w:t>Table</w:t>
      </w:r>
      <w:r w:rsidR="00EE1100" w:rsidRPr="00066F65">
        <w:t xml:space="preserve"> </w:t>
      </w:r>
      <w:r w:rsidR="00BD151C">
        <w:fldChar w:fldCharType="begin"/>
      </w:r>
      <w:r w:rsidR="00801316">
        <w:instrText xml:space="preserve"> SEQ Table \* ARABIC </w:instrText>
      </w:r>
      <w:r w:rsidR="00BD151C">
        <w:fldChar w:fldCharType="separate"/>
      </w:r>
      <w:r w:rsidR="003E4210">
        <w:rPr>
          <w:noProof/>
        </w:rPr>
        <w:t>78</w:t>
      </w:r>
      <w:r w:rsidR="00BD151C">
        <w:fldChar w:fldCharType="end"/>
      </w:r>
      <w:bookmarkEnd w:id="3586"/>
      <w:r w:rsidRPr="00066F65">
        <w:t xml:space="preserve"> </w:t>
      </w:r>
      <w:r w:rsidR="00A719A1" w:rsidRPr="00066F65">
        <w:t xml:space="preserve">– </w:t>
      </w:r>
      <w:r w:rsidRPr="00066F65">
        <w:t xml:space="preserve">Header </w:t>
      </w:r>
      <w:r w:rsidR="00293BD2">
        <w:t>f</w:t>
      </w:r>
      <w:r w:rsidRPr="00066F65">
        <w:t>ields</w:t>
      </w:r>
      <w:bookmarkEnd w:id="3587"/>
      <w:bookmarkEnd w:id="3588"/>
      <w:bookmarkEnd w:id="3589"/>
      <w:r w:rsidR="00F35EDE" w:rsidRPr="00066F65">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739"/>
        <w:gridCol w:w="1264"/>
        <w:gridCol w:w="835"/>
        <w:gridCol w:w="6278"/>
      </w:tblGrid>
      <w:tr w:rsidR="00D24A09" w:rsidRPr="00066F65" w:rsidTr="00711CC0">
        <w:trPr>
          <w:trHeight w:val="540"/>
        </w:trPr>
        <w:tc>
          <w:tcPr>
            <w:tcW w:w="0" w:type="auto"/>
            <w:shd w:val="clear" w:color="auto" w:fill="auto"/>
          </w:tcPr>
          <w:p w:rsidR="00D24A09" w:rsidRPr="009448FC" w:rsidRDefault="00D24A09" w:rsidP="00AF0869">
            <w:pPr>
              <w:rPr>
                <w:b/>
              </w:rPr>
            </w:pPr>
            <w:r w:rsidRPr="009448FC">
              <w:rPr>
                <w:b/>
              </w:rPr>
              <w:t>Field Name</w:t>
            </w:r>
          </w:p>
        </w:tc>
        <w:tc>
          <w:tcPr>
            <w:tcW w:w="0" w:type="auto"/>
            <w:shd w:val="clear" w:color="auto" w:fill="auto"/>
          </w:tcPr>
          <w:p w:rsidR="00D24A09" w:rsidRPr="009448FC" w:rsidRDefault="00D24A09" w:rsidP="00AF0869">
            <w:pPr>
              <w:rPr>
                <w:b/>
              </w:rPr>
            </w:pPr>
            <w:r w:rsidRPr="009448FC">
              <w:rPr>
                <w:b/>
              </w:rPr>
              <w:t>Number of Bits</w:t>
            </w:r>
          </w:p>
        </w:tc>
        <w:tc>
          <w:tcPr>
            <w:tcW w:w="0" w:type="auto"/>
            <w:shd w:val="clear" w:color="auto" w:fill="auto"/>
          </w:tcPr>
          <w:p w:rsidR="00D24A09" w:rsidRPr="009448FC" w:rsidRDefault="00D24A09" w:rsidP="00AF0869">
            <w:pPr>
              <w:rPr>
                <w:b/>
              </w:rPr>
            </w:pPr>
            <w:r w:rsidRPr="009448FC">
              <w:rPr>
                <w:b/>
              </w:rPr>
              <w:t>Start Bit</w:t>
            </w:r>
          </w:p>
        </w:tc>
        <w:tc>
          <w:tcPr>
            <w:tcW w:w="0" w:type="auto"/>
            <w:shd w:val="clear" w:color="auto" w:fill="auto"/>
          </w:tcPr>
          <w:p w:rsidR="00D24A09" w:rsidRPr="009448FC" w:rsidRDefault="00D24A09" w:rsidP="00AF0869">
            <w:pPr>
              <w:rPr>
                <w:b/>
              </w:rPr>
            </w:pPr>
            <w:r w:rsidRPr="009448FC">
              <w:rPr>
                <w:b/>
              </w:rPr>
              <w:t>Description</w:t>
            </w:r>
          </w:p>
        </w:tc>
      </w:tr>
      <w:tr w:rsidR="00D24A09" w:rsidRPr="00066F65" w:rsidTr="00711CC0">
        <w:trPr>
          <w:trHeight w:val="525"/>
        </w:trPr>
        <w:tc>
          <w:tcPr>
            <w:tcW w:w="0" w:type="auto"/>
            <w:shd w:val="clear" w:color="auto" w:fill="auto"/>
          </w:tcPr>
          <w:p w:rsidR="00D24A09" w:rsidRPr="009448FC" w:rsidRDefault="00D24A09" w:rsidP="00AF0869">
            <w:r w:rsidRPr="009448FC">
              <w:t>Scrambler Initialization</w:t>
            </w:r>
          </w:p>
        </w:tc>
        <w:tc>
          <w:tcPr>
            <w:tcW w:w="0" w:type="auto"/>
            <w:shd w:val="clear" w:color="auto" w:fill="auto"/>
          </w:tcPr>
          <w:p w:rsidR="00D24A09" w:rsidRPr="009448FC" w:rsidRDefault="00D24A09" w:rsidP="00AF0869">
            <w:r w:rsidRPr="009448FC">
              <w:t>7</w:t>
            </w:r>
          </w:p>
        </w:tc>
        <w:tc>
          <w:tcPr>
            <w:tcW w:w="0" w:type="auto"/>
            <w:shd w:val="clear" w:color="auto" w:fill="auto"/>
          </w:tcPr>
          <w:p w:rsidR="00D24A09" w:rsidRPr="009448FC" w:rsidRDefault="00D24A09" w:rsidP="00AF0869">
            <w:r w:rsidRPr="009448FC">
              <w:t>0</w:t>
            </w:r>
          </w:p>
        </w:tc>
        <w:tc>
          <w:tcPr>
            <w:tcW w:w="0" w:type="auto"/>
            <w:shd w:val="clear" w:color="auto" w:fill="auto"/>
          </w:tcPr>
          <w:p w:rsidR="00D24A09" w:rsidRPr="009448FC" w:rsidRDefault="00D24A09" w:rsidP="00AF0869">
            <w:r w:rsidRPr="009448FC">
              <w:t>Bits X1-X7 of the initial scrambler state.</w:t>
            </w:r>
          </w:p>
        </w:tc>
      </w:tr>
      <w:tr w:rsidR="00D24A09" w:rsidRPr="00066F65" w:rsidTr="00711CC0">
        <w:trPr>
          <w:trHeight w:val="510"/>
        </w:trPr>
        <w:tc>
          <w:tcPr>
            <w:tcW w:w="0" w:type="auto"/>
            <w:shd w:val="clear" w:color="auto" w:fill="auto"/>
          </w:tcPr>
          <w:p w:rsidR="00D24A09" w:rsidRPr="009448FC" w:rsidRDefault="00D24A09" w:rsidP="00AF0869">
            <w:r w:rsidRPr="009448FC">
              <w:t>MCS</w:t>
            </w:r>
          </w:p>
        </w:tc>
        <w:tc>
          <w:tcPr>
            <w:tcW w:w="0" w:type="auto"/>
            <w:shd w:val="clear" w:color="auto" w:fill="auto"/>
          </w:tcPr>
          <w:p w:rsidR="00D24A09" w:rsidRPr="009448FC" w:rsidRDefault="00D24A09" w:rsidP="00AF0869">
            <w:r w:rsidRPr="009448FC">
              <w:t>5</w:t>
            </w:r>
          </w:p>
        </w:tc>
        <w:tc>
          <w:tcPr>
            <w:tcW w:w="0" w:type="auto"/>
            <w:shd w:val="clear" w:color="auto" w:fill="auto"/>
          </w:tcPr>
          <w:p w:rsidR="00D24A09" w:rsidRPr="009448FC" w:rsidRDefault="00D24A09" w:rsidP="00AF0869">
            <w:r w:rsidRPr="009448FC">
              <w:t>7</w:t>
            </w:r>
          </w:p>
        </w:tc>
        <w:tc>
          <w:tcPr>
            <w:tcW w:w="0" w:type="auto"/>
            <w:shd w:val="clear" w:color="auto" w:fill="auto"/>
          </w:tcPr>
          <w:p w:rsidR="00D24A09" w:rsidRPr="009448FC" w:rsidRDefault="00D24A09" w:rsidP="00AF0869">
            <w:r w:rsidRPr="009448FC">
              <w:t>Index into the Modulation and Coding Scheme table</w:t>
            </w:r>
          </w:p>
        </w:tc>
      </w:tr>
      <w:tr w:rsidR="00D24A09" w:rsidRPr="00066F65" w:rsidTr="00711CC0">
        <w:trPr>
          <w:trHeight w:val="510"/>
        </w:trPr>
        <w:tc>
          <w:tcPr>
            <w:tcW w:w="0" w:type="auto"/>
            <w:shd w:val="clear" w:color="auto" w:fill="auto"/>
          </w:tcPr>
          <w:p w:rsidR="00D24A09" w:rsidRPr="009448FC" w:rsidRDefault="00D24A09" w:rsidP="00AF0869">
            <w:r w:rsidRPr="009448FC">
              <w:t>Length</w:t>
            </w:r>
          </w:p>
        </w:tc>
        <w:tc>
          <w:tcPr>
            <w:tcW w:w="0" w:type="auto"/>
            <w:shd w:val="clear" w:color="auto" w:fill="auto"/>
          </w:tcPr>
          <w:p w:rsidR="00D24A09" w:rsidRPr="009448FC" w:rsidRDefault="00D24A09" w:rsidP="00AF0869">
            <w:r w:rsidRPr="009448FC">
              <w:t>18</w:t>
            </w:r>
          </w:p>
        </w:tc>
        <w:tc>
          <w:tcPr>
            <w:tcW w:w="0" w:type="auto"/>
            <w:shd w:val="clear" w:color="auto" w:fill="auto"/>
          </w:tcPr>
          <w:p w:rsidR="00D24A09" w:rsidRPr="009448FC" w:rsidRDefault="00D24A09" w:rsidP="00AF0869">
            <w:r w:rsidRPr="009448FC">
              <w:t>12</w:t>
            </w:r>
          </w:p>
        </w:tc>
        <w:tc>
          <w:tcPr>
            <w:tcW w:w="0" w:type="auto"/>
            <w:shd w:val="clear" w:color="auto" w:fill="auto"/>
          </w:tcPr>
          <w:p w:rsidR="00D24A09" w:rsidRPr="009448FC" w:rsidRDefault="00D24A09" w:rsidP="00AF0869">
            <w:pPr>
              <w:autoSpaceDE w:val="0"/>
              <w:autoSpaceDN w:val="0"/>
              <w:adjustRightInd w:val="0"/>
            </w:pPr>
            <w:r w:rsidRPr="009448FC">
              <w:t>Number of data octets in the PSDU.</w:t>
            </w:r>
          </w:p>
          <w:p w:rsidR="00D24A09" w:rsidRPr="009448FC" w:rsidRDefault="00D24A09" w:rsidP="00AF0869">
            <w:r w:rsidRPr="009448FC">
              <w:t>Range 0-262143</w:t>
            </w:r>
          </w:p>
        </w:tc>
      </w:tr>
      <w:tr w:rsidR="00D24A09" w:rsidRPr="00066F65" w:rsidTr="00711CC0">
        <w:trPr>
          <w:trHeight w:val="765"/>
        </w:trPr>
        <w:tc>
          <w:tcPr>
            <w:tcW w:w="0" w:type="auto"/>
            <w:shd w:val="clear" w:color="auto" w:fill="auto"/>
          </w:tcPr>
          <w:p w:rsidR="00D24A09" w:rsidRPr="009448FC" w:rsidRDefault="00D24A09" w:rsidP="00AF0869">
            <w:r w:rsidRPr="009448FC">
              <w:t>Additional PPDU</w:t>
            </w:r>
          </w:p>
        </w:tc>
        <w:tc>
          <w:tcPr>
            <w:tcW w:w="0" w:type="auto"/>
            <w:shd w:val="clear" w:color="auto" w:fill="auto"/>
          </w:tcPr>
          <w:p w:rsidR="00D24A09" w:rsidRPr="009448FC" w:rsidRDefault="00D24A09" w:rsidP="00AF0869">
            <w:r w:rsidRPr="009448FC">
              <w:t>1</w:t>
            </w:r>
          </w:p>
        </w:tc>
        <w:tc>
          <w:tcPr>
            <w:tcW w:w="0" w:type="auto"/>
            <w:shd w:val="clear" w:color="auto" w:fill="auto"/>
          </w:tcPr>
          <w:p w:rsidR="00D24A09" w:rsidRPr="009448FC" w:rsidRDefault="00D24A09" w:rsidP="00AF0869">
            <w:r w:rsidRPr="009448FC">
              <w:t>30</w:t>
            </w:r>
          </w:p>
        </w:tc>
        <w:tc>
          <w:tcPr>
            <w:tcW w:w="0" w:type="auto"/>
            <w:shd w:val="clear" w:color="auto" w:fill="auto"/>
          </w:tcPr>
          <w:p w:rsidR="00D24A09" w:rsidRPr="009448FC" w:rsidRDefault="00D24A09" w:rsidP="00AF0869">
            <w:r w:rsidRPr="009448FC">
              <w:t>A value of 1 indicates that this PDDU is immediately followed by another PPDU with no IFS or preamble on the subsequent PPDU. A value of 0 indicates that no additional PPDU follows this PPDU.</w:t>
            </w:r>
          </w:p>
        </w:tc>
      </w:tr>
      <w:tr w:rsidR="00D24A09" w:rsidRPr="00066F65" w:rsidTr="00711CC0">
        <w:trPr>
          <w:trHeight w:val="845"/>
        </w:trPr>
        <w:tc>
          <w:tcPr>
            <w:tcW w:w="0" w:type="auto"/>
            <w:shd w:val="clear" w:color="auto" w:fill="auto"/>
          </w:tcPr>
          <w:p w:rsidR="00D24A09" w:rsidRPr="009448FC" w:rsidRDefault="00D24A09" w:rsidP="00AF0869">
            <w:r w:rsidRPr="009448FC">
              <w:t>Packet Type</w:t>
            </w:r>
          </w:p>
        </w:tc>
        <w:tc>
          <w:tcPr>
            <w:tcW w:w="0" w:type="auto"/>
            <w:shd w:val="clear" w:color="auto" w:fill="auto"/>
          </w:tcPr>
          <w:p w:rsidR="00D24A09" w:rsidRPr="009448FC" w:rsidRDefault="006721D4" w:rsidP="00AF0869">
            <w:r w:rsidRPr="009448FC">
              <w:t>1</w:t>
            </w:r>
          </w:p>
        </w:tc>
        <w:tc>
          <w:tcPr>
            <w:tcW w:w="0" w:type="auto"/>
            <w:shd w:val="clear" w:color="auto" w:fill="auto"/>
          </w:tcPr>
          <w:p w:rsidR="00D24A09" w:rsidRPr="009448FC" w:rsidRDefault="00D24A09" w:rsidP="00AF0869">
            <w:r w:rsidRPr="009448FC">
              <w:t>31</w:t>
            </w:r>
          </w:p>
        </w:tc>
        <w:tc>
          <w:tcPr>
            <w:tcW w:w="0" w:type="auto"/>
            <w:shd w:val="clear" w:color="auto" w:fill="auto"/>
          </w:tcPr>
          <w:p w:rsidR="00D24A09" w:rsidRPr="009448FC" w:rsidRDefault="00D24A09" w:rsidP="00AF0869">
            <w:pPr>
              <w:autoSpaceDE w:val="0"/>
              <w:autoSpaceDN w:val="0"/>
              <w:adjustRightInd w:val="0"/>
              <w:rPr>
                <w:lang w:val="sv-SE"/>
              </w:rPr>
            </w:pPr>
            <w:r w:rsidRPr="009448FC">
              <w:rPr>
                <w:lang w:val="sv-SE"/>
              </w:rPr>
              <w:t>Packet Type :</w:t>
            </w:r>
            <w:r w:rsidR="00AA0E45" w:rsidRPr="009448FC">
              <w:rPr>
                <w:lang w:val="sv-SE"/>
              </w:rPr>
              <w:t xml:space="preserve"> </w:t>
            </w:r>
          </w:p>
          <w:p w:rsidR="00D24A09" w:rsidRPr="009448FC" w:rsidRDefault="00AA0E45" w:rsidP="00AF0869">
            <w:pPr>
              <w:autoSpaceDE w:val="0"/>
              <w:autoSpaceDN w:val="0"/>
              <w:adjustRightInd w:val="0"/>
              <w:rPr>
                <w:lang w:val="sv-SE"/>
              </w:rPr>
            </w:pPr>
            <w:r w:rsidRPr="009448FC">
              <w:rPr>
                <w:lang w:val="sv-SE"/>
              </w:rPr>
              <w:t>0</w:t>
            </w:r>
            <w:r w:rsidR="00D24A09" w:rsidRPr="009448FC">
              <w:rPr>
                <w:lang w:val="sv-SE"/>
              </w:rPr>
              <w:t xml:space="preserve"> – TRN-R packet</w:t>
            </w:r>
          </w:p>
          <w:p w:rsidR="00D24A09" w:rsidRPr="009448FC" w:rsidRDefault="00AA0E45" w:rsidP="00AF0869">
            <w:pPr>
              <w:autoSpaceDE w:val="0"/>
              <w:autoSpaceDN w:val="0"/>
              <w:adjustRightInd w:val="0"/>
            </w:pPr>
            <w:r w:rsidRPr="009448FC">
              <w:rPr>
                <w:lang w:val="sv-SE"/>
              </w:rPr>
              <w:t>1</w:t>
            </w:r>
            <w:r w:rsidR="00D24A09" w:rsidRPr="009448FC">
              <w:rPr>
                <w:lang w:val="sv-SE"/>
              </w:rPr>
              <w:t xml:space="preserve"> – TRN-T packet</w:t>
            </w:r>
          </w:p>
        </w:tc>
      </w:tr>
      <w:tr w:rsidR="00D24A09" w:rsidRPr="00066F65" w:rsidTr="00711CC0">
        <w:trPr>
          <w:trHeight w:val="629"/>
        </w:trPr>
        <w:tc>
          <w:tcPr>
            <w:tcW w:w="0" w:type="auto"/>
            <w:shd w:val="clear" w:color="auto" w:fill="auto"/>
          </w:tcPr>
          <w:p w:rsidR="00D24A09" w:rsidRPr="009448FC" w:rsidRDefault="00D24A09" w:rsidP="00AF0869">
            <w:r w:rsidRPr="009448FC">
              <w:rPr>
                <w:lang w:val="sv-SE"/>
              </w:rPr>
              <w:t>Training Length</w:t>
            </w:r>
          </w:p>
        </w:tc>
        <w:tc>
          <w:tcPr>
            <w:tcW w:w="0" w:type="auto"/>
            <w:shd w:val="clear" w:color="auto" w:fill="auto"/>
          </w:tcPr>
          <w:p w:rsidR="00D24A09" w:rsidRPr="009448FC" w:rsidRDefault="00890C02" w:rsidP="00AF0869">
            <w:r w:rsidRPr="009448FC">
              <w:rPr>
                <w:lang w:val="sv-SE"/>
              </w:rPr>
              <w:t xml:space="preserve">5 </w:t>
            </w:r>
          </w:p>
        </w:tc>
        <w:tc>
          <w:tcPr>
            <w:tcW w:w="0" w:type="auto"/>
            <w:shd w:val="clear" w:color="auto" w:fill="auto"/>
          </w:tcPr>
          <w:p w:rsidR="00D24A09" w:rsidRPr="009448FC" w:rsidRDefault="00D24A09" w:rsidP="006721D4">
            <w:r w:rsidRPr="009448FC">
              <w:rPr>
                <w:lang w:val="sv-SE"/>
              </w:rPr>
              <w:t>3</w:t>
            </w:r>
            <w:r w:rsidR="006721D4" w:rsidRPr="009448FC">
              <w:rPr>
                <w:lang w:val="sv-SE"/>
              </w:rPr>
              <w:t>2</w:t>
            </w:r>
          </w:p>
        </w:tc>
        <w:tc>
          <w:tcPr>
            <w:tcW w:w="0" w:type="auto"/>
            <w:shd w:val="clear" w:color="auto" w:fill="auto"/>
          </w:tcPr>
          <w:p w:rsidR="00D24A09" w:rsidRPr="009448FC" w:rsidRDefault="00D24A09" w:rsidP="00AF0869">
            <w:r w:rsidRPr="009448FC">
              <w:t xml:space="preserve">Length of the training field – the use of this field is defined in subclause </w:t>
            </w:r>
            <w:fldSimple w:instr=" REF _Ref243724602 \r \h  \* MERGEFORMAT ">
              <w:r w:rsidR="003E4210" w:rsidRPr="003E4210">
                <w:rPr>
                  <w:bCs/>
                  <w:lang w:bidi="ar-SA"/>
                </w:rPr>
                <w:t>21.6.3.2.2</w:t>
              </w:r>
            </w:fldSimple>
          </w:p>
        </w:tc>
      </w:tr>
      <w:tr w:rsidR="00D24A09" w:rsidRPr="00066F65" w:rsidTr="00711CC0">
        <w:trPr>
          <w:trHeight w:val="525"/>
        </w:trPr>
        <w:tc>
          <w:tcPr>
            <w:tcW w:w="0" w:type="auto"/>
            <w:shd w:val="clear" w:color="auto" w:fill="auto"/>
          </w:tcPr>
          <w:p w:rsidR="00D24A09" w:rsidRPr="009448FC" w:rsidRDefault="00D24A09" w:rsidP="00AF0869">
            <w:r w:rsidRPr="009448FC">
              <w:t>Aggregation</w:t>
            </w:r>
          </w:p>
        </w:tc>
        <w:tc>
          <w:tcPr>
            <w:tcW w:w="0" w:type="auto"/>
            <w:shd w:val="clear" w:color="auto" w:fill="auto"/>
          </w:tcPr>
          <w:p w:rsidR="00D24A09" w:rsidRPr="009448FC" w:rsidRDefault="00D24A09" w:rsidP="00AF0869">
            <w:r w:rsidRPr="009448FC">
              <w:t>1</w:t>
            </w:r>
          </w:p>
        </w:tc>
        <w:tc>
          <w:tcPr>
            <w:tcW w:w="0" w:type="auto"/>
            <w:shd w:val="clear" w:color="auto" w:fill="auto"/>
          </w:tcPr>
          <w:p w:rsidR="00D24A09" w:rsidRPr="009448FC" w:rsidDel="00C45AAE" w:rsidRDefault="00D24A09" w:rsidP="006721D4">
            <w:r w:rsidRPr="009448FC">
              <w:t>3</w:t>
            </w:r>
            <w:r w:rsidR="006721D4" w:rsidRPr="009448FC">
              <w:t>7</w:t>
            </w:r>
          </w:p>
        </w:tc>
        <w:tc>
          <w:tcPr>
            <w:tcW w:w="0" w:type="auto"/>
            <w:shd w:val="clear" w:color="auto" w:fill="auto"/>
          </w:tcPr>
          <w:p w:rsidR="00D24A09" w:rsidRPr="009448FC" w:rsidRDefault="00D24A09" w:rsidP="00AF0869">
            <w:pPr>
              <w:autoSpaceDE w:val="0"/>
              <w:autoSpaceDN w:val="0"/>
              <w:adjustRightInd w:val="0"/>
              <w:rPr>
                <w:rFonts w:eastAsia="Batang"/>
              </w:rPr>
            </w:pPr>
            <w:r w:rsidRPr="009448FC">
              <w:rPr>
                <w:rFonts w:eastAsia="Batang"/>
              </w:rPr>
              <w:t>Set to 1 to indicate that the PPDU in the data portion of the packet contains an A</w:t>
            </w:r>
            <w:r w:rsidR="00A02F30" w:rsidRPr="009448FC">
              <w:rPr>
                <w:rFonts w:eastAsia="Batang"/>
              </w:rPr>
              <w:t>-</w:t>
            </w:r>
            <w:r w:rsidRPr="009448FC">
              <w:rPr>
                <w:rFonts w:eastAsia="Batang"/>
              </w:rPr>
              <w:t>MPDU;</w:t>
            </w:r>
          </w:p>
          <w:p w:rsidR="00D24A09" w:rsidRPr="009448FC" w:rsidRDefault="00D24A09" w:rsidP="00AF0869">
            <w:r w:rsidRPr="009448FC">
              <w:rPr>
                <w:rFonts w:eastAsia="Batang"/>
              </w:rPr>
              <w:t>otherwise, set to 0.</w:t>
            </w:r>
          </w:p>
        </w:tc>
      </w:tr>
      <w:tr w:rsidR="00FE2E49" w:rsidRPr="00066F65" w:rsidTr="00711CC0">
        <w:trPr>
          <w:trHeight w:val="525"/>
        </w:trPr>
        <w:tc>
          <w:tcPr>
            <w:tcW w:w="0" w:type="auto"/>
            <w:shd w:val="clear" w:color="auto" w:fill="auto"/>
          </w:tcPr>
          <w:p w:rsidR="00FE2E49" w:rsidRPr="009448FC" w:rsidRDefault="003C6A0C" w:rsidP="003C6A0C">
            <w:r>
              <w:t>Beam Tracking R</w:t>
            </w:r>
            <w:r w:rsidR="00FE2E49" w:rsidRPr="009448FC">
              <w:t>eq</w:t>
            </w:r>
            <w:r>
              <w:t>uest</w:t>
            </w:r>
          </w:p>
        </w:tc>
        <w:tc>
          <w:tcPr>
            <w:tcW w:w="0" w:type="auto"/>
            <w:shd w:val="clear" w:color="auto" w:fill="auto"/>
          </w:tcPr>
          <w:p w:rsidR="00FE2E49" w:rsidRPr="009448FC" w:rsidRDefault="00FE2E49" w:rsidP="00AF0869">
            <w:r w:rsidRPr="009448FC">
              <w:t>1</w:t>
            </w:r>
          </w:p>
        </w:tc>
        <w:tc>
          <w:tcPr>
            <w:tcW w:w="0" w:type="auto"/>
            <w:shd w:val="clear" w:color="auto" w:fill="auto"/>
          </w:tcPr>
          <w:p w:rsidR="00FE2E49" w:rsidRPr="009448FC" w:rsidRDefault="00FE2E49" w:rsidP="006721D4">
            <w:r w:rsidRPr="009448FC">
              <w:t>3</w:t>
            </w:r>
            <w:r w:rsidR="006721D4" w:rsidRPr="009448FC">
              <w:t>8</w:t>
            </w:r>
          </w:p>
        </w:tc>
        <w:tc>
          <w:tcPr>
            <w:tcW w:w="0" w:type="auto"/>
            <w:shd w:val="clear" w:color="auto" w:fill="auto"/>
          </w:tcPr>
          <w:p w:rsidR="00FE2E49" w:rsidRPr="009448FC" w:rsidRDefault="00FE2E49" w:rsidP="00AF0869">
            <w:r w:rsidRPr="009448FC">
              <w:t>Set to 1 to indicate the need for beam tracking (9.25.6); otherwise, set to zero.</w:t>
            </w:r>
          </w:p>
        </w:tc>
      </w:tr>
      <w:tr w:rsidR="00AF0869" w:rsidRPr="00066F65" w:rsidTr="00711CC0">
        <w:trPr>
          <w:trHeight w:val="525"/>
        </w:trPr>
        <w:tc>
          <w:tcPr>
            <w:tcW w:w="0" w:type="auto"/>
            <w:shd w:val="clear" w:color="auto" w:fill="auto"/>
          </w:tcPr>
          <w:p w:rsidR="00AF0869" w:rsidRPr="009448FC" w:rsidRDefault="00AF0869" w:rsidP="00AF0869">
            <w:r w:rsidRPr="009448FC">
              <w:lastRenderedPageBreak/>
              <w:t>Reserved</w:t>
            </w:r>
          </w:p>
        </w:tc>
        <w:tc>
          <w:tcPr>
            <w:tcW w:w="0" w:type="auto"/>
            <w:shd w:val="clear" w:color="auto" w:fill="auto"/>
          </w:tcPr>
          <w:p w:rsidR="00AF0869" w:rsidRPr="009448FC" w:rsidRDefault="006721D4" w:rsidP="00AF0869">
            <w:r w:rsidRPr="009448FC">
              <w:t>9</w:t>
            </w:r>
          </w:p>
        </w:tc>
        <w:tc>
          <w:tcPr>
            <w:tcW w:w="0" w:type="auto"/>
            <w:shd w:val="clear" w:color="auto" w:fill="auto"/>
          </w:tcPr>
          <w:p w:rsidR="00AF0869" w:rsidRPr="009448FC" w:rsidRDefault="000B40BF" w:rsidP="006721D4">
            <w:r>
              <w:t>3</w:t>
            </w:r>
            <w:r w:rsidR="006721D4" w:rsidRPr="009448FC">
              <w:t>9</w:t>
            </w:r>
            <w:r>
              <w:t xml:space="preserve"> </w:t>
            </w:r>
          </w:p>
        </w:tc>
        <w:tc>
          <w:tcPr>
            <w:tcW w:w="0" w:type="auto"/>
            <w:shd w:val="clear" w:color="auto" w:fill="auto"/>
          </w:tcPr>
          <w:p w:rsidR="00AF0869" w:rsidRPr="009448FC" w:rsidRDefault="00AF0869" w:rsidP="00AF0869">
            <w:r w:rsidRPr="009448FC">
              <w:t>Set to 0, ignored by the receiver</w:t>
            </w:r>
          </w:p>
        </w:tc>
      </w:tr>
      <w:tr w:rsidR="00AF0869" w:rsidRPr="00066F65" w:rsidTr="00711CC0">
        <w:trPr>
          <w:trHeight w:val="525"/>
        </w:trPr>
        <w:tc>
          <w:tcPr>
            <w:tcW w:w="0" w:type="auto"/>
            <w:shd w:val="clear" w:color="auto" w:fill="auto"/>
          </w:tcPr>
          <w:p w:rsidR="00AF0869" w:rsidRPr="009448FC" w:rsidRDefault="00AF0869" w:rsidP="00AF0869">
            <w:r w:rsidRPr="009448FC">
              <w:t>HCS</w:t>
            </w:r>
          </w:p>
        </w:tc>
        <w:tc>
          <w:tcPr>
            <w:tcW w:w="0" w:type="auto"/>
            <w:shd w:val="clear" w:color="auto" w:fill="auto"/>
          </w:tcPr>
          <w:p w:rsidR="00AF0869" w:rsidRPr="009448FC" w:rsidRDefault="00AF0869" w:rsidP="00AF0869">
            <w:r w:rsidRPr="009448FC">
              <w:t>16</w:t>
            </w:r>
          </w:p>
        </w:tc>
        <w:tc>
          <w:tcPr>
            <w:tcW w:w="0" w:type="auto"/>
            <w:shd w:val="clear" w:color="auto" w:fill="auto"/>
          </w:tcPr>
          <w:p w:rsidR="00AF0869" w:rsidRPr="009448FC" w:rsidRDefault="00654513" w:rsidP="00AF0869">
            <w:r w:rsidRPr="009448FC">
              <w:t>48</w:t>
            </w:r>
          </w:p>
        </w:tc>
        <w:tc>
          <w:tcPr>
            <w:tcW w:w="0" w:type="auto"/>
            <w:shd w:val="clear" w:color="auto" w:fill="auto"/>
          </w:tcPr>
          <w:p w:rsidR="00AF0869" w:rsidRPr="009448FC" w:rsidRDefault="00AF0869" w:rsidP="00AF0869">
            <w:r w:rsidRPr="009448FC">
              <w:t>Header check sequence</w:t>
            </w:r>
          </w:p>
        </w:tc>
      </w:tr>
    </w:tbl>
    <w:p w:rsidR="00654513" w:rsidRPr="00066F65" w:rsidRDefault="00654513" w:rsidP="00505F5F">
      <w:pPr>
        <w:rPr>
          <w:b/>
          <w:i/>
          <w:color w:val="FF0000"/>
          <w:u w:val="single"/>
        </w:rPr>
      </w:pPr>
    </w:p>
    <w:p w:rsidR="00505F5F" w:rsidRPr="009448FC" w:rsidRDefault="00505F5F" w:rsidP="00505F5F">
      <w:r w:rsidRPr="009448FC">
        <w:t>All the numeric fields are encoded in unsigned binary, least significant bit first.</w:t>
      </w:r>
    </w:p>
    <w:p w:rsidR="00505F5F" w:rsidRPr="009448FC" w:rsidRDefault="00505F5F" w:rsidP="00505F5F"/>
    <w:p w:rsidR="00505F5F" w:rsidRPr="009448FC" w:rsidRDefault="00505F5F" w:rsidP="003701DB">
      <w:pPr>
        <w:pStyle w:val="Heading5"/>
        <w:keepNext w:val="0"/>
        <w:numPr>
          <w:ilvl w:val="4"/>
          <w:numId w:val="42"/>
        </w:numPr>
        <w:tabs>
          <w:tab w:val="clear" w:pos="1152"/>
        </w:tabs>
        <w:spacing w:after="60"/>
        <w:jc w:val="left"/>
      </w:pPr>
      <w:bookmarkStart w:id="3590" w:name="_Toc215583039"/>
      <w:bookmarkStart w:id="3591" w:name="_Toc235400728"/>
      <w:bookmarkStart w:id="3592" w:name="_Toc259717384"/>
      <w:r w:rsidRPr="009448FC">
        <w:t>Modulation and Coding Scheme</w:t>
      </w:r>
      <w:bookmarkEnd w:id="3590"/>
      <w:bookmarkEnd w:id="3591"/>
      <w:bookmarkEnd w:id="3592"/>
    </w:p>
    <w:p w:rsidR="00505F5F" w:rsidRPr="009448FC" w:rsidRDefault="00505F5F" w:rsidP="004F7748">
      <w:r w:rsidRPr="009448FC">
        <w:t>The modulation and coding scheme defines the modulation and code rate that is used in the PPDU.</w:t>
      </w:r>
      <w:r w:rsidR="00C458A7" w:rsidRPr="009448FC">
        <w:t xml:space="preserve"> </w:t>
      </w:r>
      <w:r w:rsidRPr="009448FC">
        <w:t>The modul</w:t>
      </w:r>
      <w:r w:rsidR="00766EB4">
        <w:t>ation and coding schemes for SC</w:t>
      </w:r>
      <w:r w:rsidRPr="009448FC">
        <w:t xml:space="preserve"> are defined in </w:t>
      </w:r>
      <w:fldSimple w:instr=" REF _Ref236711090 \h  \* MERGEFORMAT ">
        <w:r w:rsidR="003E4210" w:rsidRPr="00066F65">
          <w:t xml:space="preserve">Table </w:t>
        </w:r>
        <w:r w:rsidR="003E4210">
          <w:t>79</w:t>
        </w:r>
      </w:fldSimple>
      <w:r w:rsidRPr="009448FC">
        <w:t>.</w:t>
      </w:r>
    </w:p>
    <w:p w:rsidR="00505F5F" w:rsidRPr="009448FC" w:rsidRDefault="00505F5F" w:rsidP="00505F5F"/>
    <w:p w:rsidR="00505F5F" w:rsidRPr="00066F65" w:rsidRDefault="00505F5F" w:rsidP="009448FC">
      <w:pPr>
        <w:pStyle w:val="Caption"/>
        <w:keepNext/>
      </w:pPr>
      <w:bookmarkStart w:id="3593" w:name="_Ref236711090"/>
      <w:bookmarkStart w:id="3594" w:name="_Toc225065794"/>
      <w:bookmarkStart w:id="3595" w:name="_Toc250654464"/>
      <w:bookmarkStart w:id="3596" w:name="_Toc259717657"/>
      <w:r w:rsidRPr="00066F65">
        <w:t>Table</w:t>
      </w:r>
      <w:r w:rsidR="007C0913" w:rsidRPr="00066F65">
        <w:t xml:space="preserve"> </w:t>
      </w:r>
      <w:r w:rsidR="00BD151C">
        <w:fldChar w:fldCharType="begin"/>
      </w:r>
      <w:r w:rsidR="00801316">
        <w:instrText xml:space="preserve"> SEQ Table \* ARABIC </w:instrText>
      </w:r>
      <w:r w:rsidR="00BD151C">
        <w:fldChar w:fldCharType="separate"/>
      </w:r>
      <w:r w:rsidR="003E4210">
        <w:rPr>
          <w:noProof/>
        </w:rPr>
        <w:t>79</w:t>
      </w:r>
      <w:r w:rsidR="00BD151C">
        <w:fldChar w:fldCharType="end"/>
      </w:r>
      <w:bookmarkEnd w:id="3593"/>
      <w:r w:rsidRPr="00066F65">
        <w:t xml:space="preserve"> </w:t>
      </w:r>
      <w:r w:rsidR="00A719A1" w:rsidRPr="00066F65">
        <w:t xml:space="preserve">– </w:t>
      </w:r>
      <w:r w:rsidRPr="00066F65">
        <w:t>Modulation and Coding Scheme for SC</w:t>
      </w:r>
      <w:bookmarkEnd w:id="3594"/>
      <w:bookmarkEnd w:id="3595"/>
      <w:bookmarkEnd w:id="3596"/>
      <w:r w:rsidR="00E5471F">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340"/>
        <w:gridCol w:w="2370"/>
        <w:gridCol w:w="1537"/>
        <w:gridCol w:w="1537"/>
        <w:gridCol w:w="1541"/>
        <w:gridCol w:w="1591"/>
      </w:tblGrid>
      <w:tr w:rsidR="00505F5F" w:rsidRPr="00066F65" w:rsidTr="00E5471F">
        <w:trPr>
          <w:cantSplit/>
          <w:trHeight w:val="369"/>
          <w:tblHeader/>
        </w:trPr>
        <w:tc>
          <w:tcPr>
            <w:tcW w:w="676"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MCS Index</w:t>
            </w:r>
          </w:p>
        </w:tc>
        <w:tc>
          <w:tcPr>
            <w:tcW w:w="1195"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Modulation</w:t>
            </w:r>
          </w:p>
        </w:tc>
        <w:tc>
          <w:tcPr>
            <w:tcW w:w="775" w:type="pct"/>
          </w:tcPr>
          <w:p w:rsidR="00945E99" w:rsidRPr="009448FC" w:rsidRDefault="00945E99" w:rsidP="00E52BF0">
            <w:pPr>
              <w:jc w:val="center"/>
              <w:rPr>
                <w:b/>
              </w:rPr>
            </w:pPr>
          </w:p>
          <w:p w:rsidR="00505F5F" w:rsidRPr="009448FC" w:rsidRDefault="00505F5F" w:rsidP="00E52BF0">
            <w:pPr>
              <w:jc w:val="center"/>
              <w:rPr>
                <w:b/>
              </w:rPr>
            </w:pPr>
            <w:r w:rsidRPr="009448FC">
              <w:rPr>
                <w:b/>
              </w:rPr>
              <w:t>N</w:t>
            </w:r>
            <w:r w:rsidRPr="009448FC">
              <w:rPr>
                <w:b/>
                <w:vertAlign w:val="subscript"/>
              </w:rPr>
              <w:t>CBPS</w:t>
            </w:r>
          </w:p>
        </w:tc>
        <w:tc>
          <w:tcPr>
            <w:tcW w:w="775"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Repetition</w:t>
            </w:r>
          </w:p>
        </w:tc>
        <w:tc>
          <w:tcPr>
            <w:tcW w:w="777"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Code Rate</w:t>
            </w:r>
          </w:p>
        </w:tc>
        <w:tc>
          <w:tcPr>
            <w:tcW w:w="802"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Data Rate (Mbps)</w:t>
            </w:r>
          </w:p>
        </w:tc>
      </w:tr>
      <w:tr w:rsidR="00B932A1" w:rsidRPr="00066F65" w:rsidTr="00E5471F">
        <w:trPr>
          <w:cantSplit/>
          <w:trHeight w:val="270"/>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2</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1/2</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385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2</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1/2</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770</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3</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5/8</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962.5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4</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3/4</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1155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5</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13/16</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1251.25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6</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π/2-QPSK</w:t>
            </w:r>
          </w:p>
        </w:tc>
        <w:tc>
          <w:tcPr>
            <w:tcW w:w="775" w:type="pct"/>
            <w:vAlign w:val="bottom"/>
          </w:tcPr>
          <w:p w:rsidR="00B932A1" w:rsidRPr="009448FC" w:rsidRDefault="00B932A1" w:rsidP="00E52BF0">
            <w:pPr>
              <w:jc w:val="center"/>
            </w:pPr>
            <w:r w:rsidRPr="009448FC">
              <w:t>2</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1/2</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1540</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7</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π/2-QPSK</w:t>
            </w:r>
          </w:p>
        </w:tc>
        <w:tc>
          <w:tcPr>
            <w:tcW w:w="775" w:type="pct"/>
            <w:vAlign w:val="bottom"/>
          </w:tcPr>
          <w:p w:rsidR="00B932A1" w:rsidRPr="009448FC" w:rsidRDefault="00B932A1" w:rsidP="00E52BF0">
            <w:pPr>
              <w:jc w:val="center"/>
            </w:pPr>
            <w:r w:rsidRPr="009448FC">
              <w:t>2</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5/8</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1925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8</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π/2-QPSK</w:t>
            </w:r>
          </w:p>
        </w:tc>
        <w:tc>
          <w:tcPr>
            <w:tcW w:w="775" w:type="pct"/>
            <w:vAlign w:val="bottom"/>
          </w:tcPr>
          <w:p w:rsidR="00B932A1" w:rsidRPr="009448FC" w:rsidRDefault="00B932A1" w:rsidP="00E52BF0">
            <w:pPr>
              <w:jc w:val="center"/>
            </w:pPr>
            <w:r w:rsidRPr="009448FC">
              <w:t>2</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3/4</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2310</w:t>
            </w:r>
          </w:p>
        </w:tc>
      </w:tr>
      <w:tr w:rsidR="00340346"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9</w:t>
            </w:r>
          </w:p>
        </w:tc>
        <w:tc>
          <w:tcPr>
            <w:tcW w:w="1195"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π/2-QPSK</w:t>
            </w:r>
          </w:p>
        </w:tc>
        <w:tc>
          <w:tcPr>
            <w:tcW w:w="775" w:type="pct"/>
            <w:vAlign w:val="bottom"/>
          </w:tcPr>
          <w:p w:rsidR="00340346" w:rsidRPr="009448FC" w:rsidRDefault="00340346" w:rsidP="00E52BF0">
            <w:pPr>
              <w:jc w:val="center"/>
            </w:pPr>
            <w:r w:rsidRPr="009448FC">
              <w:t>2</w:t>
            </w:r>
          </w:p>
        </w:tc>
        <w:tc>
          <w:tcPr>
            <w:tcW w:w="775"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1</w:t>
            </w:r>
          </w:p>
        </w:tc>
        <w:tc>
          <w:tcPr>
            <w:tcW w:w="777"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13/16</w:t>
            </w:r>
          </w:p>
        </w:tc>
        <w:tc>
          <w:tcPr>
            <w:tcW w:w="802" w:type="pct"/>
            <w:shd w:val="clear" w:color="auto" w:fill="auto"/>
            <w:tcMar>
              <w:top w:w="8" w:type="dxa"/>
              <w:left w:w="8" w:type="dxa"/>
              <w:bottom w:w="0" w:type="dxa"/>
              <w:right w:w="8" w:type="dxa"/>
            </w:tcMar>
            <w:vAlign w:val="bottom"/>
          </w:tcPr>
          <w:p w:rsidR="00340346" w:rsidRPr="009448FC" w:rsidRDefault="00340346" w:rsidP="00E52BF0">
            <w:pPr>
              <w:jc w:val="center"/>
              <w:rPr>
                <w:rFonts w:ascii="Arial" w:hAnsi="Arial"/>
                <w:sz w:val="20"/>
              </w:rPr>
            </w:pPr>
            <w:r w:rsidRPr="009448FC">
              <w:rPr>
                <w:rFonts w:ascii="Arial" w:hAnsi="Arial"/>
                <w:sz w:val="20"/>
              </w:rPr>
              <w:t>2502.5</w:t>
            </w:r>
          </w:p>
        </w:tc>
      </w:tr>
      <w:tr w:rsidR="00E5471F" w:rsidRPr="00066F65" w:rsidTr="00E5471F">
        <w:trPr>
          <w:cantSplit/>
          <w:trHeight w:val="255"/>
          <w:tblHeader/>
        </w:trPr>
        <w:tc>
          <w:tcPr>
            <w:tcW w:w="676" w:type="pct"/>
            <w:shd w:val="clear" w:color="auto" w:fill="auto"/>
            <w:tcMar>
              <w:top w:w="8" w:type="dxa"/>
              <w:left w:w="8" w:type="dxa"/>
              <w:bottom w:w="0" w:type="dxa"/>
              <w:right w:w="8" w:type="dxa"/>
            </w:tcMar>
          </w:tcPr>
          <w:p w:rsidR="00E5471F" w:rsidRPr="009448FC" w:rsidRDefault="009D537D" w:rsidP="00E52BF0">
            <w:pPr>
              <w:jc w:val="center"/>
            </w:pPr>
            <w:r w:rsidRPr="009D537D">
              <w:t>10</w:t>
            </w:r>
          </w:p>
        </w:tc>
        <w:tc>
          <w:tcPr>
            <w:tcW w:w="1195" w:type="pct"/>
            <w:shd w:val="clear" w:color="auto" w:fill="auto"/>
            <w:tcMar>
              <w:top w:w="8" w:type="dxa"/>
              <w:left w:w="8" w:type="dxa"/>
              <w:bottom w:w="0" w:type="dxa"/>
              <w:right w:w="8" w:type="dxa"/>
            </w:tcMar>
          </w:tcPr>
          <w:p w:rsidR="00E5471F" w:rsidRPr="009448FC" w:rsidRDefault="009D537D" w:rsidP="00E52BF0">
            <w:pPr>
              <w:jc w:val="center"/>
            </w:pPr>
            <w:r w:rsidRPr="009D537D">
              <w:t>π/2-16QAM</w:t>
            </w:r>
          </w:p>
        </w:tc>
        <w:tc>
          <w:tcPr>
            <w:tcW w:w="775" w:type="pct"/>
          </w:tcPr>
          <w:p w:rsidR="00E5471F" w:rsidRPr="009448FC" w:rsidRDefault="009D537D" w:rsidP="00E52BF0">
            <w:pPr>
              <w:jc w:val="center"/>
            </w:pPr>
            <w:r w:rsidRPr="009D537D">
              <w:t>4</w:t>
            </w:r>
          </w:p>
        </w:tc>
        <w:tc>
          <w:tcPr>
            <w:tcW w:w="775" w:type="pct"/>
            <w:shd w:val="clear" w:color="auto" w:fill="auto"/>
            <w:tcMar>
              <w:top w:w="8" w:type="dxa"/>
              <w:left w:w="8" w:type="dxa"/>
              <w:bottom w:w="0" w:type="dxa"/>
              <w:right w:w="8" w:type="dxa"/>
            </w:tcMar>
          </w:tcPr>
          <w:p w:rsidR="00E5471F" w:rsidRPr="009448FC" w:rsidRDefault="009D537D" w:rsidP="00E52BF0">
            <w:pPr>
              <w:jc w:val="center"/>
            </w:pPr>
            <w:r w:rsidRPr="009D537D">
              <w:t>1</w:t>
            </w:r>
          </w:p>
        </w:tc>
        <w:tc>
          <w:tcPr>
            <w:tcW w:w="777" w:type="pct"/>
            <w:shd w:val="clear" w:color="auto" w:fill="auto"/>
            <w:tcMar>
              <w:top w:w="8" w:type="dxa"/>
              <w:left w:w="8" w:type="dxa"/>
              <w:bottom w:w="0" w:type="dxa"/>
              <w:right w:w="8" w:type="dxa"/>
            </w:tcMar>
          </w:tcPr>
          <w:p w:rsidR="00E5471F" w:rsidRPr="009448FC" w:rsidRDefault="009D537D" w:rsidP="00E52BF0">
            <w:pPr>
              <w:jc w:val="center"/>
            </w:pPr>
            <w:r w:rsidRPr="009D537D">
              <w:t>1/2</w:t>
            </w:r>
          </w:p>
        </w:tc>
        <w:tc>
          <w:tcPr>
            <w:tcW w:w="802" w:type="pct"/>
            <w:shd w:val="clear" w:color="auto" w:fill="auto"/>
            <w:tcMar>
              <w:top w:w="8" w:type="dxa"/>
              <w:left w:w="8" w:type="dxa"/>
              <w:bottom w:w="0" w:type="dxa"/>
              <w:right w:w="8" w:type="dxa"/>
            </w:tcMar>
          </w:tcPr>
          <w:p w:rsidR="00E5471F" w:rsidRPr="00E5471F" w:rsidRDefault="009D537D" w:rsidP="00E52BF0">
            <w:pPr>
              <w:jc w:val="center"/>
            </w:pPr>
            <w:r w:rsidRPr="009D537D">
              <w:t xml:space="preserve">3080 </w:t>
            </w:r>
          </w:p>
        </w:tc>
      </w:tr>
      <w:tr w:rsidR="00E5471F" w:rsidRPr="00066F65" w:rsidTr="00E5471F">
        <w:trPr>
          <w:cantSplit/>
          <w:trHeight w:val="255"/>
          <w:tblHeader/>
        </w:trPr>
        <w:tc>
          <w:tcPr>
            <w:tcW w:w="676" w:type="pct"/>
            <w:shd w:val="clear" w:color="auto" w:fill="auto"/>
            <w:tcMar>
              <w:top w:w="8" w:type="dxa"/>
              <w:left w:w="8" w:type="dxa"/>
              <w:bottom w:w="0" w:type="dxa"/>
              <w:right w:w="8" w:type="dxa"/>
            </w:tcMar>
          </w:tcPr>
          <w:p w:rsidR="00E5471F" w:rsidRPr="009448FC" w:rsidRDefault="009D537D" w:rsidP="00E52BF0">
            <w:pPr>
              <w:jc w:val="center"/>
            </w:pPr>
            <w:r w:rsidRPr="009D537D">
              <w:t>11</w:t>
            </w:r>
          </w:p>
        </w:tc>
        <w:tc>
          <w:tcPr>
            <w:tcW w:w="1195" w:type="pct"/>
            <w:shd w:val="clear" w:color="auto" w:fill="auto"/>
            <w:tcMar>
              <w:top w:w="8" w:type="dxa"/>
              <w:left w:w="8" w:type="dxa"/>
              <w:bottom w:w="0" w:type="dxa"/>
              <w:right w:w="8" w:type="dxa"/>
            </w:tcMar>
          </w:tcPr>
          <w:p w:rsidR="00E5471F" w:rsidRPr="009448FC" w:rsidRDefault="009D537D" w:rsidP="00E52BF0">
            <w:pPr>
              <w:jc w:val="center"/>
            </w:pPr>
            <w:r w:rsidRPr="009D537D">
              <w:t>π/2-16QAM</w:t>
            </w:r>
          </w:p>
        </w:tc>
        <w:tc>
          <w:tcPr>
            <w:tcW w:w="775" w:type="pct"/>
          </w:tcPr>
          <w:p w:rsidR="00E5471F" w:rsidRPr="009448FC" w:rsidRDefault="009D537D" w:rsidP="00E52BF0">
            <w:pPr>
              <w:jc w:val="center"/>
            </w:pPr>
            <w:r w:rsidRPr="009D537D">
              <w:t>4</w:t>
            </w:r>
          </w:p>
        </w:tc>
        <w:tc>
          <w:tcPr>
            <w:tcW w:w="775" w:type="pct"/>
            <w:shd w:val="clear" w:color="auto" w:fill="auto"/>
            <w:tcMar>
              <w:top w:w="8" w:type="dxa"/>
              <w:left w:w="8" w:type="dxa"/>
              <w:bottom w:w="0" w:type="dxa"/>
              <w:right w:w="8" w:type="dxa"/>
            </w:tcMar>
          </w:tcPr>
          <w:p w:rsidR="00E5471F" w:rsidRPr="009448FC" w:rsidRDefault="009D537D" w:rsidP="00E52BF0">
            <w:pPr>
              <w:jc w:val="center"/>
            </w:pPr>
            <w:r w:rsidRPr="009D537D">
              <w:t>1</w:t>
            </w:r>
          </w:p>
        </w:tc>
        <w:tc>
          <w:tcPr>
            <w:tcW w:w="777" w:type="pct"/>
            <w:shd w:val="clear" w:color="auto" w:fill="auto"/>
            <w:tcMar>
              <w:top w:w="8" w:type="dxa"/>
              <w:left w:w="8" w:type="dxa"/>
              <w:bottom w:w="0" w:type="dxa"/>
              <w:right w:w="8" w:type="dxa"/>
            </w:tcMar>
          </w:tcPr>
          <w:p w:rsidR="00E5471F" w:rsidRPr="009448FC" w:rsidRDefault="009D537D" w:rsidP="00E52BF0">
            <w:pPr>
              <w:jc w:val="center"/>
            </w:pPr>
            <w:r w:rsidRPr="009D537D">
              <w:t xml:space="preserve">5/8 </w:t>
            </w:r>
          </w:p>
        </w:tc>
        <w:tc>
          <w:tcPr>
            <w:tcW w:w="802" w:type="pct"/>
            <w:shd w:val="clear" w:color="auto" w:fill="auto"/>
            <w:tcMar>
              <w:top w:w="8" w:type="dxa"/>
              <w:left w:w="8" w:type="dxa"/>
              <w:bottom w:w="0" w:type="dxa"/>
              <w:right w:w="8" w:type="dxa"/>
            </w:tcMar>
          </w:tcPr>
          <w:p w:rsidR="00E5471F" w:rsidRPr="00E5471F" w:rsidRDefault="009D537D" w:rsidP="00E52BF0">
            <w:pPr>
              <w:jc w:val="center"/>
            </w:pPr>
            <w:r w:rsidRPr="009D537D">
              <w:t>3850</w:t>
            </w:r>
          </w:p>
        </w:tc>
      </w:tr>
      <w:tr w:rsidR="00E5471F" w:rsidRPr="00066F65" w:rsidTr="00E5471F">
        <w:trPr>
          <w:cantSplit/>
          <w:trHeight w:val="255"/>
          <w:tblHeader/>
        </w:trPr>
        <w:tc>
          <w:tcPr>
            <w:tcW w:w="676" w:type="pct"/>
            <w:shd w:val="clear" w:color="auto" w:fill="auto"/>
            <w:tcMar>
              <w:top w:w="8" w:type="dxa"/>
              <w:left w:w="8" w:type="dxa"/>
              <w:bottom w:w="0" w:type="dxa"/>
              <w:right w:w="8" w:type="dxa"/>
            </w:tcMar>
          </w:tcPr>
          <w:p w:rsidR="00E5471F" w:rsidRPr="009448FC" w:rsidRDefault="009D537D" w:rsidP="00E52BF0">
            <w:pPr>
              <w:jc w:val="center"/>
            </w:pPr>
            <w:r w:rsidRPr="009D537D">
              <w:t>12</w:t>
            </w:r>
          </w:p>
        </w:tc>
        <w:tc>
          <w:tcPr>
            <w:tcW w:w="1195" w:type="pct"/>
            <w:shd w:val="clear" w:color="auto" w:fill="auto"/>
            <w:tcMar>
              <w:top w:w="8" w:type="dxa"/>
              <w:left w:w="8" w:type="dxa"/>
              <w:bottom w:w="0" w:type="dxa"/>
              <w:right w:w="8" w:type="dxa"/>
            </w:tcMar>
          </w:tcPr>
          <w:p w:rsidR="00E5471F" w:rsidRPr="009448FC" w:rsidRDefault="009D537D" w:rsidP="00E52BF0">
            <w:pPr>
              <w:jc w:val="center"/>
            </w:pPr>
            <w:r w:rsidRPr="009D537D">
              <w:t>π/2-16QAM</w:t>
            </w:r>
          </w:p>
        </w:tc>
        <w:tc>
          <w:tcPr>
            <w:tcW w:w="775" w:type="pct"/>
          </w:tcPr>
          <w:p w:rsidR="00E5471F" w:rsidRPr="009448FC" w:rsidRDefault="009D537D" w:rsidP="00E52BF0">
            <w:pPr>
              <w:jc w:val="center"/>
            </w:pPr>
            <w:r w:rsidRPr="009D537D">
              <w:t>4</w:t>
            </w:r>
          </w:p>
        </w:tc>
        <w:tc>
          <w:tcPr>
            <w:tcW w:w="775" w:type="pct"/>
            <w:shd w:val="clear" w:color="auto" w:fill="auto"/>
            <w:tcMar>
              <w:top w:w="8" w:type="dxa"/>
              <w:left w:w="8" w:type="dxa"/>
              <w:bottom w:w="0" w:type="dxa"/>
              <w:right w:w="8" w:type="dxa"/>
            </w:tcMar>
          </w:tcPr>
          <w:p w:rsidR="00E5471F" w:rsidRPr="009448FC" w:rsidRDefault="009D537D" w:rsidP="00E52BF0">
            <w:pPr>
              <w:jc w:val="center"/>
            </w:pPr>
            <w:r w:rsidRPr="009D537D">
              <w:t>1</w:t>
            </w:r>
          </w:p>
        </w:tc>
        <w:tc>
          <w:tcPr>
            <w:tcW w:w="777" w:type="pct"/>
            <w:shd w:val="clear" w:color="auto" w:fill="auto"/>
            <w:tcMar>
              <w:top w:w="8" w:type="dxa"/>
              <w:left w:w="8" w:type="dxa"/>
              <w:bottom w:w="0" w:type="dxa"/>
              <w:right w:w="8" w:type="dxa"/>
            </w:tcMar>
          </w:tcPr>
          <w:p w:rsidR="00E5471F" w:rsidRPr="009448FC" w:rsidRDefault="009D537D" w:rsidP="00E52BF0">
            <w:pPr>
              <w:jc w:val="center"/>
            </w:pPr>
            <w:r w:rsidRPr="009D537D">
              <w:t>3/4</w:t>
            </w:r>
          </w:p>
        </w:tc>
        <w:tc>
          <w:tcPr>
            <w:tcW w:w="802" w:type="pct"/>
            <w:shd w:val="clear" w:color="auto" w:fill="auto"/>
            <w:tcMar>
              <w:top w:w="8" w:type="dxa"/>
              <w:left w:w="8" w:type="dxa"/>
              <w:bottom w:w="0" w:type="dxa"/>
              <w:right w:w="8" w:type="dxa"/>
            </w:tcMar>
          </w:tcPr>
          <w:p w:rsidR="00E5471F" w:rsidRPr="00E5471F" w:rsidRDefault="009D537D" w:rsidP="00E52BF0">
            <w:pPr>
              <w:jc w:val="center"/>
            </w:pPr>
            <w:r w:rsidRPr="009D537D">
              <w:t>4620</w:t>
            </w:r>
          </w:p>
        </w:tc>
      </w:tr>
    </w:tbl>
    <w:p w:rsidR="00505F5F" w:rsidRPr="009448FC" w:rsidRDefault="00D926D0" w:rsidP="00505F5F">
      <w:r w:rsidRPr="009448FC">
        <w:t xml:space="preserve"> </w:t>
      </w:r>
    </w:p>
    <w:p w:rsidR="00505F5F" w:rsidRPr="009448FC" w:rsidRDefault="0077650E" w:rsidP="000E2312">
      <w:r>
        <w:rPr>
          <w:rFonts w:hint="eastAsia"/>
          <w:lang w:eastAsia="ko-KR"/>
        </w:rPr>
        <w:t xml:space="preserve">MCS 4 and below are mandatory for each Tx </w:t>
      </w:r>
      <w:r>
        <w:rPr>
          <w:lang w:eastAsia="ko-KR"/>
        </w:rPr>
        <w:t>and</w:t>
      </w:r>
      <w:r>
        <w:rPr>
          <w:rFonts w:hint="eastAsia"/>
          <w:lang w:eastAsia="ko-KR"/>
        </w:rPr>
        <w:t xml:space="preserve"> Rx of a device</w:t>
      </w:r>
      <w:r w:rsidR="00505F5F" w:rsidRPr="009448FC">
        <w:t>.</w:t>
      </w:r>
      <w:r w:rsidR="00281486" w:rsidRPr="009448FC">
        <w:t xml:space="preserve"> </w:t>
      </w:r>
      <w:r w:rsidR="00505F5F" w:rsidRPr="009448FC">
        <w:t xml:space="preserve">MCS </w:t>
      </w:r>
      <w:r w:rsidR="00B932A1" w:rsidRPr="009448FC">
        <w:t>5-</w:t>
      </w:r>
      <w:r w:rsidR="00B260DF">
        <w:t>12</w:t>
      </w:r>
      <w:r w:rsidR="00B260DF" w:rsidRPr="009448FC">
        <w:t xml:space="preserve"> </w:t>
      </w:r>
      <w:r w:rsidR="00505F5F" w:rsidRPr="009448FC">
        <w:t>are optional.</w:t>
      </w:r>
      <w:r w:rsidR="000E2312" w:rsidRPr="009448FC">
        <w:t xml:space="preserve"> </w:t>
      </w:r>
    </w:p>
    <w:p w:rsidR="001A3D5A" w:rsidRPr="009448FC" w:rsidRDefault="00505F5F" w:rsidP="003701DB">
      <w:pPr>
        <w:pStyle w:val="Heading5"/>
        <w:keepNext w:val="0"/>
        <w:numPr>
          <w:ilvl w:val="4"/>
          <w:numId w:val="42"/>
        </w:numPr>
        <w:tabs>
          <w:tab w:val="clear" w:pos="1152"/>
        </w:tabs>
        <w:spacing w:after="60"/>
        <w:jc w:val="left"/>
      </w:pPr>
      <w:bookmarkStart w:id="3597" w:name="_Toc215583040"/>
      <w:bookmarkStart w:id="3598" w:name="_Ref221851511"/>
      <w:bookmarkStart w:id="3599" w:name="_Toc235400729"/>
      <w:bookmarkStart w:id="3600" w:name="_Toc259717385"/>
      <w:r w:rsidRPr="009448FC">
        <w:t>Generation of the HCS bits</w:t>
      </w:r>
      <w:bookmarkEnd w:id="3597"/>
      <w:bookmarkEnd w:id="3598"/>
      <w:bookmarkEnd w:id="3599"/>
      <w:bookmarkEnd w:id="3600"/>
    </w:p>
    <w:p w:rsidR="001A3D5A" w:rsidRPr="009448FC" w:rsidRDefault="001A3D5A" w:rsidP="001A3D5A">
      <w:r w:rsidRPr="009448FC">
        <w:t xml:space="preserve">Calculation of the HCS for bits 0-39 of the header is defined in subclause </w:t>
      </w:r>
      <w:r w:rsidR="00BD151C">
        <w:fldChar w:fldCharType="begin"/>
      </w:r>
      <w:r>
        <w:instrText xml:space="preserve"> REF _Ref221600297 \r \h </w:instrText>
      </w:r>
      <w:r w:rsidR="00BD151C">
        <w:fldChar w:fldCharType="separate"/>
      </w:r>
      <w:r w:rsidR="003E4210">
        <w:t>21.3.7</w:t>
      </w:r>
      <w:r w:rsidR="00BD151C">
        <w:fldChar w:fldCharType="end"/>
      </w:r>
      <w:r w:rsidRPr="009448FC">
        <w:t>.</w:t>
      </w:r>
    </w:p>
    <w:p w:rsidR="001A3D5A" w:rsidRPr="009448FC" w:rsidRDefault="001A3D5A" w:rsidP="00505F5F">
      <w:pPr>
        <w:pStyle w:val="IEEEStdsParagraph"/>
        <w:rPr>
          <w:color w:val="000000"/>
        </w:rPr>
      </w:pPr>
    </w:p>
    <w:p w:rsidR="00505F5F" w:rsidRPr="009448FC" w:rsidRDefault="00505F5F" w:rsidP="003701DB">
      <w:pPr>
        <w:pStyle w:val="Heading5"/>
        <w:keepNext w:val="0"/>
        <w:numPr>
          <w:ilvl w:val="4"/>
          <w:numId w:val="42"/>
        </w:numPr>
        <w:tabs>
          <w:tab w:val="clear" w:pos="1152"/>
        </w:tabs>
        <w:spacing w:after="60"/>
        <w:jc w:val="left"/>
      </w:pPr>
      <w:bookmarkStart w:id="3601" w:name="_Toc215583041"/>
      <w:bookmarkStart w:id="3602" w:name="_Ref233370434"/>
      <w:bookmarkStart w:id="3603" w:name="_Toc235400730"/>
      <w:bookmarkStart w:id="3604" w:name="_Toc259717386"/>
      <w:r w:rsidRPr="009448FC">
        <w:t>Header encoding and modulation</w:t>
      </w:r>
      <w:bookmarkEnd w:id="3601"/>
      <w:bookmarkEnd w:id="3602"/>
      <w:bookmarkEnd w:id="3603"/>
      <w:bookmarkEnd w:id="3604"/>
    </w:p>
    <w:p w:rsidR="00F22874" w:rsidRPr="009448FC" w:rsidRDefault="00F22874" w:rsidP="00F22874">
      <w:pPr>
        <w:pStyle w:val="NormalIndent"/>
      </w:pPr>
    </w:p>
    <w:p w:rsidR="007F1723" w:rsidRPr="009448FC" w:rsidRDefault="007F1723" w:rsidP="008D1354">
      <w:pPr>
        <w:autoSpaceDE w:val="0"/>
        <w:autoSpaceDN w:val="0"/>
        <w:adjustRightInd w:val="0"/>
        <w:rPr>
          <w:rFonts w:eastAsia="MS Mincho"/>
        </w:rPr>
      </w:pPr>
      <w:r w:rsidRPr="009448FC">
        <w:rPr>
          <w:rFonts w:eastAsia="MS Mincho"/>
        </w:rPr>
        <w:t xml:space="preserve">The header will be encoded using a </w:t>
      </w:r>
      <w:r w:rsidR="008D1354">
        <w:rPr>
          <w:rFonts w:eastAsia="MS Mincho"/>
        </w:rPr>
        <w:t>two</w:t>
      </w:r>
      <w:r w:rsidR="00766EB4">
        <w:rPr>
          <w:rFonts w:eastAsia="MS Mincho"/>
        </w:rPr>
        <w:t xml:space="preserve"> SC</w:t>
      </w:r>
      <w:r w:rsidRPr="009448FC">
        <w:rPr>
          <w:rFonts w:eastAsia="MS Mincho"/>
        </w:rPr>
        <w:t xml:space="preserve"> block of N</w:t>
      </w:r>
      <w:r w:rsidRPr="009448FC">
        <w:rPr>
          <w:rFonts w:eastAsia="MS Mincho"/>
          <w:vertAlign w:val="subscript"/>
        </w:rPr>
        <w:t>CBPB</w:t>
      </w:r>
      <w:r w:rsidRPr="009448FC">
        <w:rPr>
          <w:rFonts w:eastAsia="MS Mincho"/>
        </w:rPr>
        <w:t xml:space="preserve"> (see</w:t>
      </w:r>
      <w:r w:rsidR="007E3F65">
        <w:rPr>
          <w:rFonts w:eastAsia="MS Mincho"/>
        </w:rPr>
        <w:t xml:space="preserve"> </w:t>
      </w:r>
      <w:r w:rsidR="00BD151C">
        <w:rPr>
          <w:rFonts w:eastAsia="MS Mincho"/>
        </w:rPr>
        <w:fldChar w:fldCharType="begin"/>
      </w:r>
      <w:r w:rsidR="007E3F65">
        <w:rPr>
          <w:rFonts w:eastAsia="MS Mincho"/>
        </w:rPr>
        <w:instrText xml:space="preserve"> REF _Ref257278822 \h </w:instrText>
      </w:r>
      <w:r w:rsidR="00BD151C">
        <w:rPr>
          <w:rFonts w:eastAsia="MS Mincho"/>
        </w:rPr>
      </w:r>
      <w:r w:rsidR="00BD151C">
        <w:rPr>
          <w:rFonts w:eastAsia="MS Mincho"/>
        </w:rPr>
        <w:fldChar w:fldCharType="separate"/>
      </w:r>
      <w:r w:rsidR="003E4210">
        <w:t xml:space="preserve">Table </w:t>
      </w:r>
      <w:r w:rsidR="003E4210">
        <w:rPr>
          <w:noProof/>
        </w:rPr>
        <w:t>81</w:t>
      </w:r>
      <w:r w:rsidR="00BD151C">
        <w:rPr>
          <w:rFonts w:eastAsia="MS Mincho"/>
        </w:rPr>
        <w:fldChar w:fldCharType="end"/>
      </w:r>
      <w:r w:rsidRPr="009448FC">
        <w:rPr>
          <w:rFonts w:eastAsia="MS Mincho"/>
        </w:rPr>
        <w:t>) symbols with N</w:t>
      </w:r>
      <w:r w:rsidRPr="009448FC">
        <w:rPr>
          <w:rFonts w:eastAsia="MS Mincho"/>
          <w:vertAlign w:val="subscript"/>
        </w:rPr>
        <w:t>GI</w:t>
      </w:r>
      <w:r w:rsidRPr="009448FC">
        <w:rPr>
          <w:rFonts w:eastAsia="MS Mincho"/>
        </w:rPr>
        <w:t xml:space="preserve"> guard symbols. The bits are scrambled and encoded as follows:</w:t>
      </w:r>
    </w:p>
    <w:p w:rsidR="007F1723" w:rsidRPr="009448FC" w:rsidRDefault="007F1723" w:rsidP="007F1723">
      <w:pPr>
        <w:autoSpaceDE w:val="0"/>
        <w:autoSpaceDN w:val="0"/>
        <w:adjustRightInd w:val="0"/>
        <w:rPr>
          <w:rFonts w:eastAsia="MS Mincho"/>
        </w:rPr>
      </w:pPr>
    </w:p>
    <w:p w:rsidR="007F1723" w:rsidRPr="009448FC" w:rsidRDefault="007F1723" w:rsidP="003701DB">
      <w:pPr>
        <w:numPr>
          <w:ilvl w:val="0"/>
          <w:numId w:val="92"/>
        </w:numPr>
        <w:autoSpaceDE w:val="0"/>
        <w:autoSpaceDN w:val="0"/>
        <w:adjustRightInd w:val="0"/>
        <w:rPr>
          <w:rFonts w:eastAsia="MS Mincho"/>
        </w:rPr>
      </w:pPr>
      <w:r w:rsidRPr="009448FC">
        <w:rPr>
          <w:rFonts w:eastAsia="MS Mincho"/>
        </w:rPr>
        <w:t>The input header bits (</w:t>
      </w:r>
      <w:r w:rsidRPr="009448FC">
        <w:t>b</w:t>
      </w:r>
      <w:r w:rsidRPr="009448FC">
        <w:rPr>
          <w:vertAlign w:val="subscript"/>
        </w:rPr>
        <w:t>1</w:t>
      </w:r>
      <w:r w:rsidRPr="009448FC">
        <w:t>, b</w:t>
      </w:r>
      <w:r w:rsidRPr="009448FC">
        <w:rPr>
          <w:vertAlign w:val="subscript"/>
        </w:rPr>
        <w:t>2</w:t>
      </w:r>
      <w:r w:rsidRPr="009448FC">
        <w:t>, …, b</w:t>
      </w:r>
      <w:r w:rsidRPr="009448FC">
        <w:rPr>
          <w:vertAlign w:val="subscript"/>
        </w:rPr>
        <w:t>LH</w:t>
      </w:r>
      <w:r w:rsidRPr="009448FC">
        <w:rPr>
          <w:rFonts w:eastAsia="MS Mincho"/>
        </w:rPr>
        <w:t xml:space="preserve">), where LH = 64, are scrambled as described in </w:t>
      </w:r>
      <w:fldSimple w:instr=" REF _Ref221601546 \r \h  \* MERGEFORMAT ">
        <w:r w:rsidR="003E4210" w:rsidRPr="003E4210">
          <w:rPr>
            <w:rFonts w:eastAsia="MS Mincho"/>
          </w:rPr>
          <w:t>21.3.9</w:t>
        </w:r>
      </w:fldSimple>
      <w:r w:rsidRPr="009448FC">
        <w:rPr>
          <w:rFonts w:eastAsia="MS Mincho"/>
        </w:rPr>
        <w:t xml:space="preserve">, starting from the eighth bit. to create </w:t>
      </w:r>
      <w:r w:rsidRPr="009448FC">
        <w:rPr>
          <w:rFonts w:eastAsia="MS Mincho"/>
          <w:b/>
        </w:rPr>
        <w:t>d</w:t>
      </w:r>
      <w:r w:rsidRPr="009448FC">
        <w:rPr>
          <w:rFonts w:eastAsia="MS Mincho"/>
          <w:b/>
          <w:vertAlign w:val="subscript"/>
        </w:rPr>
        <w:t>1s</w:t>
      </w:r>
      <w:r w:rsidRPr="009448FC">
        <w:rPr>
          <w:rFonts w:eastAsia="MS Mincho"/>
        </w:rPr>
        <w:t>=(q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 xml:space="preserve">) </w:t>
      </w:r>
    </w:p>
    <w:p w:rsidR="007F1723" w:rsidRPr="009448FC" w:rsidRDefault="007F1723" w:rsidP="003701DB">
      <w:pPr>
        <w:numPr>
          <w:ilvl w:val="0"/>
          <w:numId w:val="92"/>
        </w:numPr>
        <w:autoSpaceDE w:val="0"/>
        <w:autoSpaceDN w:val="0"/>
        <w:adjustRightInd w:val="0"/>
        <w:rPr>
          <w:rFonts w:eastAsia="MS Mincho"/>
        </w:rPr>
      </w:pPr>
      <w:r w:rsidRPr="009448FC">
        <w:rPr>
          <w:rFonts w:eastAsia="MS Mincho"/>
        </w:rPr>
        <w:t>The LDPC codeword c =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,0</w:t>
      </w:r>
      <w:r w:rsidRPr="009448FC">
        <w:rPr>
          <w:rFonts w:eastAsia="MS Mincho"/>
          <w:vertAlign w:val="subscript"/>
        </w:rPr>
        <w:t>1</w:t>
      </w:r>
      <w:r w:rsidRPr="009448FC">
        <w:rPr>
          <w:rFonts w:eastAsia="MS Mincho"/>
        </w:rPr>
        <w:t>,0</w:t>
      </w:r>
      <w:r w:rsidRPr="009448FC">
        <w:rPr>
          <w:rFonts w:eastAsia="MS Mincho"/>
          <w:vertAlign w:val="subscript"/>
        </w:rPr>
        <w:t>2</w:t>
      </w:r>
      <w:r w:rsidRPr="009448FC">
        <w:rPr>
          <w:rFonts w:eastAsia="MS Mincho"/>
        </w:rPr>
        <w:t>,…,0</w:t>
      </w:r>
      <w:r w:rsidRPr="009448FC">
        <w:rPr>
          <w:rFonts w:eastAsia="MS Mincho"/>
          <w:vertAlign w:val="subscript"/>
        </w:rPr>
        <w:t>504-LH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168</w:t>
      </w:r>
      <w:r w:rsidRPr="009448FC">
        <w:rPr>
          <w:rFonts w:eastAsia="MS Mincho"/>
        </w:rPr>
        <w:t xml:space="preserve">) is created by concatenating 504-LH zeros to the LH bits of </w:t>
      </w:r>
      <w:r w:rsidRPr="009448FC">
        <w:rPr>
          <w:rFonts w:eastAsia="MS Mincho"/>
          <w:b/>
        </w:rPr>
        <w:t>d</w:t>
      </w:r>
      <w:r w:rsidRPr="009448FC">
        <w:rPr>
          <w:rFonts w:eastAsia="MS Mincho"/>
          <w:b/>
          <w:vertAlign w:val="subscript"/>
        </w:rPr>
        <w:t>1s</w:t>
      </w:r>
      <w:r w:rsidRPr="009448FC">
        <w:rPr>
          <w:rFonts w:eastAsia="MS Mincho"/>
        </w:rPr>
        <w:t xml:space="preserve"> and then generating the parity bits 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168</w:t>
      </w:r>
      <w:r w:rsidRPr="009448FC">
        <w:rPr>
          <w:rFonts w:eastAsia="MS Mincho"/>
        </w:rPr>
        <w:t xml:space="preserve"> such that </w:t>
      </w:r>
      <w:r w:rsidRPr="009448FC">
        <w:rPr>
          <w:rFonts w:eastAsia="MS Mincho"/>
          <w:b/>
        </w:rPr>
        <w:t>Hc</w:t>
      </w:r>
      <w:r w:rsidRPr="009448FC">
        <w:rPr>
          <w:rFonts w:eastAsia="MS Mincho"/>
          <w:b/>
          <w:vertAlign w:val="superscript"/>
        </w:rPr>
        <w:t>T</w:t>
      </w:r>
      <w:r w:rsidRPr="009448FC">
        <w:rPr>
          <w:rFonts w:eastAsia="MS Mincho"/>
          <w:b/>
        </w:rPr>
        <w:t xml:space="preserve"> = 0</w:t>
      </w:r>
      <w:r w:rsidRPr="009448FC">
        <w:rPr>
          <w:rFonts w:eastAsia="MS Mincho"/>
        </w:rPr>
        <w:t xml:space="preserve">, where </w:t>
      </w:r>
      <w:r w:rsidRPr="009448FC">
        <w:rPr>
          <w:rFonts w:eastAsia="MS Mincho"/>
          <w:b/>
        </w:rPr>
        <w:t>H</w:t>
      </w:r>
      <w:r w:rsidRPr="009448FC">
        <w:rPr>
          <w:rFonts w:eastAsia="MS Mincho"/>
        </w:rPr>
        <w:t xml:space="preserve"> is the parity check matrix for the rate 3/4 LDPC code specified in </w:t>
      </w:r>
      <w:fldSimple w:instr=" REF _Ref227945687 \r \h  \* MERGEFORMAT ">
        <w:r w:rsidR="003E4210" w:rsidRPr="003E4210">
          <w:rPr>
            <w:rFonts w:eastAsia="MS Mincho"/>
          </w:rPr>
          <w:t>21.6.3.2.2.1</w:t>
        </w:r>
      </w:fldSimple>
      <w:r w:rsidRPr="009448FC">
        <w:rPr>
          <w:rFonts w:eastAsia="MS Mincho"/>
        </w:rPr>
        <w:t>.</w:t>
      </w:r>
    </w:p>
    <w:p w:rsidR="007F1723" w:rsidRPr="009448FC" w:rsidRDefault="007F1723" w:rsidP="003701DB">
      <w:pPr>
        <w:numPr>
          <w:ilvl w:val="0"/>
          <w:numId w:val="92"/>
        </w:numPr>
        <w:autoSpaceDE w:val="0"/>
        <w:autoSpaceDN w:val="0"/>
        <w:adjustRightInd w:val="0"/>
        <w:rPr>
          <w:rFonts w:eastAsia="MS Mincho"/>
        </w:rPr>
      </w:pPr>
      <w:r w:rsidRPr="009448FC">
        <w:rPr>
          <w:rFonts w:eastAsia="MS Mincho"/>
        </w:rPr>
        <w:lastRenderedPageBreak/>
        <w:t xml:space="preserve">Remove bits LH+1 through 504 and bits 665 through 672 of the codeword </w:t>
      </w:r>
      <w:r w:rsidRPr="009448FC">
        <w:rPr>
          <w:rFonts w:eastAsia="MS Mincho"/>
          <w:b/>
        </w:rPr>
        <w:t>c</w:t>
      </w:r>
      <w:r w:rsidRPr="009448FC">
        <w:rPr>
          <w:rFonts w:eastAsia="MS Mincho"/>
        </w:rPr>
        <w:t xml:space="preserve"> to create the sequence </w:t>
      </w:r>
      <w:r w:rsidRPr="009448FC">
        <w:rPr>
          <w:rFonts w:eastAsia="MS Mincho"/>
          <w:b/>
        </w:rPr>
        <w:t>cs1</w:t>
      </w:r>
      <w:r w:rsidRPr="009448FC">
        <w:rPr>
          <w:rFonts w:eastAsia="MS Mincho"/>
        </w:rPr>
        <w:t>=(q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160</w:t>
      </w:r>
      <w:r w:rsidRPr="009448FC">
        <w:rPr>
          <w:rFonts w:eastAsia="MS Mincho"/>
        </w:rPr>
        <w:t>).</w:t>
      </w:r>
    </w:p>
    <w:p w:rsidR="00483EDB" w:rsidRPr="009448FC" w:rsidRDefault="00483EDB" w:rsidP="003701DB">
      <w:pPr>
        <w:numPr>
          <w:ilvl w:val="0"/>
          <w:numId w:val="92"/>
        </w:numPr>
        <w:autoSpaceDE w:val="0"/>
        <w:autoSpaceDN w:val="0"/>
        <w:adjustRightInd w:val="0"/>
        <w:rPr>
          <w:rFonts w:eastAsia="MS Mincho"/>
        </w:rPr>
      </w:pPr>
      <w:r w:rsidRPr="009448FC">
        <w:rPr>
          <w:rFonts w:eastAsia="MS Mincho"/>
        </w:rPr>
        <w:t xml:space="preserve">Remove bits LH+1 through 504 and bits 657 through 664 of the codeword </w:t>
      </w:r>
      <w:r w:rsidRPr="009448FC">
        <w:rPr>
          <w:rFonts w:eastAsia="MS Mincho"/>
          <w:b/>
        </w:rPr>
        <w:t>c</w:t>
      </w:r>
      <w:r w:rsidRPr="009448FC">
        <w:rPr>
          <w:rFonts w:eastAsia="MS Mincho"/>
        </w:rPr>
        <w:t xml:space="preserve"> </w:t>
      </w:r>
      <w:r w:rsidR="00E71AAB" w:rsidRPr="009448FC">
        <w:rPr>
          <w:rFonts w:eastAsia="MS Mincho"/>
        </w:rPr>
        <w:t xml:space="preserve">to create the sequence </w:t>
      </w:r>
      <w:r w:rsidR="00E71AAB" w:rsidRPr="009448FC">
        <w:rPr>
          <w:rFonts w:eastAsia="MS Mincho"/>
          <w:position w:val="-12"/>
        </w:rPr>
        <w:object w:dxaOrig="5000" w:dyaOrig="360">
          <v:shape id="_x0000_i1205" type="#_x0000_t75" style="width:249.95pt;height:17.65pt" o:ole="">
            <v:imagedata r:id="rId457" o:title=""/>
          </v:shape>
          <o:OLEObject Type="Embed" ProgID="Equation.3" ShapeID="_x0000_i1205" DrawAspect="Content" ObjectID="_1334048386" r:id="rId458"/>
        </w:object>
      </w:r>
      <w:r w:rsidR="00E71AAB" w:rsidRPr="009448FC">
        <w:rPr>
          <w:rFonts w:eastAsia="MS Mincho"/>
        </w:rPr>
        <w:t xml:space="preserve"> </w:t>
      </w:r>
      <w:r w:rsidRPr="009448FC">
        <w:rPr>
          <w:rFonts w:eastAsia="MS Mincho"/>
        </w:rPr>
        <w:t xml:space="preserve">and then XOR with a PN sequence which is generated from the LFSR used for data scramblings defined in </w:t>
      </w:r>
      <w:r w:rsidR="00BD151C" w:rsidRPr="009448FC">
        <w:rPr>
          <w:rFonts w:eastAsia="MS Mincho"/>
        </w:rPr>
        <w:fldChar w:fldCharType="begin"/>
      </w:r>
      <w:r w:rsidR="00E71AAB" w:rsidRPr="009448FC">
        <w:rPr>
          <w:rFonts w:eastAsia="MS Mincho"/>
        </w:rPr>
        <w:instrText xml:space="preserve"> REF _Ref221601546 \r \h </w:instrText>
      </w:r>
      <w:r w:rsidR="00BD151C" w:rsidRPr="009448FC">
        <w:rPr>
          <w:rFonts w:eastAsia="MS Mincho"/>
        </w:rPr>
      </w:r>
      <w:r w:rsidR="00BD151C" w:rsidRPr="009448FC">
        <w:rPr>
          <w:rFonts w:eastAsia="MS Mincho"/>
        </w:rPr>
        <w:fldChar w:fldCharType="separate"/>
      </w:r>
      <w:r w:rsidR="003E4210">
        <w:rPr>
          <w:rFonts w:eastAsia="MS Mincho"/>
        </w:rPr>
        <w:t>21.3.9</w:t>
      </w:r>
      <w:r w:rsidR="00BD151C" w:rsidRPr="009448FC">
        <w:rPr>
          <w:rFonts w:eastAsia="MS Mincho"/>
        </w:rPr>
        <w:fldChar w:fldCharType="end"/>
      </w:r>
      <w:r w:rsidR="00E71AAB" w:rsidRPr="009448FC">
        <w:rPr>
          <w:rFonts w:eastAsia="MS Mincho"/>
        </w:rPr>
        <w:t xml:space="preserve">. </w:t>
      </w:r>
      <w:r w:rsidRPr="009448FC">
        <w:rPr>
          <w:rFonts w:eastAsia="MS Mincho"/>
        </w:rPr>
        <w:t>The LFSR is initialized to the all ones vector.</w:t>
      </w:r>
      <w:r w:rsidR="00BE1F31">
        <w:rPr>
          <w:rFonts w:eastAsia="MS Mincho"/>
        </w:rPr>
        <w:t xml:space="preserve"> </w:t>
      </w:r>
    </w:p>
    <w:p w:rsidR="007F1723" w:rsidRPr="009448FC" w:rsidRDefault="007F1723" w:rsidP="003701DB">
      <w:pPr>
        <w:numPr>
          <w:ilvl w:val="0"/>
          <w:numId w:val="92"/>
        </w:numPr>
        <w:autoSpaceDE w:val="0"/>
        <w:autoSpaceDN w:val="0"/>
        <w:adjustRightInd w:val="0"/>
        <w:rPr>
          <w:rFonts w:eastAsia="MS Mincho"/>
        </w:rPr>
      </w:pPr>
      <w:r w:rsidRPr="009448FC">
        <w:rPr>
          <w:rFonts w:eastAsia="MS Mincho"/>
          <w:b/>
        </w:rPr>
        <w:t>cs1</w:t>
      </w:r>
      <w:r w:rsidRPr="009448FC">
        <w:rPr>
          <w:rFonts w:eastAsia="MS Mincho"/>
        </w:rPr>
        <w:t xml:space="preserve"> and </w:t>
      </w:r>
      <w:r w:rsidRPr="009448FC">
        <w:rPr>
          <w:rFonts w:eastAsia="MS Mincho"/>
          <w:b/>
        </w:rPr>
        <w:t>cs2</w:t>
      </w:r>
      <w:r w:rsidRPr="009448FC">
        <w:rPr>
          <w:rFonts w:eastAsia="MS Mincho"/>
        </w:rPr>
        <w:t xml:space="preserve"> are concatenated to form the sequence (</w:t>
      </w:r>
      <w:r w:rsidRPr="009448FC">
        <w:rPr>
          <w:rFonts w:eastAsia="MS Mincho"/>
          <w:b/>
        </w:rPr>
        <w:t>cs1</w:t>
      </w:r>
      <w:r w:rsidRPr="009448FC">
        <w:rPr>
          <w:rFonts w:eastAsia="MS Mincho"/>
        </w:rPr>
        <w:t xml:space="preserve">, </w:t>
      </w:r>
      <w:r w:rsidRPr="009448FC">
        <w:rPr>
          <w:rFonts w:eastAsia="MS Mincho"/>
          <w:b/>
        </w:rPr>
        <w:t>cs2</w:t>
      </w:r>
      <w:r w:rsidRPr="009448FC">
        <w:rPr>
          <w:rFonts w:eastAsia="MS Mincho"/>
        </w:rPr>
        <w:t>).</w:t>
      </w:r>
      <w:r w:rsidR="00281486" w:rsidRPr="009448FC">
        <w:rPr>
          <w:rFonts w:eastAsia="MS Mincho"/>
        </w:rPr>
        <w:t xml:space="preserve"> </w:t>
      </w:r>
      <w:r w:rsidRPr="009448FC">
        <w:rPr>
          <w:rFonts w:eastAsia="MS Mincho"/>
        </w:rPr>
        <w:t xml:space="preserve">The resulting 448 bits are then mapped as pi/2-BPSK as described in </w:t>
      </w:r>
      <w:fldSimple w:instr=" REF _Ref227945616 \r \h  \* MERGEFORMAT ">
        <w:r w:rsidR="003E4210" w:rsidRPr="003E4210">
          <w:rPr>
            <w:rFonts w:eastAsia="MS Mincho"/>
          </w:rPr>
          <w:t>21.6.3.2.3.1</w:t>
        </w:r>
      </w:fldSimple>
      <w:r w:rsidRPr="009448FC">
        <w:rPr>
          <w:rFonts w:eastAsia="MS Mincho"/>
        </w:rPr>
        <w:t>.</w:t>
      </w:r>
      <w:r w:rsidR="00281486" w:rsidRPr="009448FC">
        <w:rPr>
          <w:rFonts w:eastAsia="MS Mincho"/>
        </w:rPr>
        <w:t xml:space="preserve"> </w:t>
      </w:r>
      <w:r w:rsidRPr="009448FC">
        <w:rPr>
          <w:rFonts w:eastAsia="MS Mincho"/>
        </w:rPr>
        <w:t>The N</w:t>
      </w:r>
      <w:r w:rsidRPr="009448FC">
        <w:rPr>
          <w:rFonts w:eastAsia="MS Mincho"/>
          <w:vertAlign w:val="subscript"/>
        </w:rPr>
        <w:t>GI</w:t>
      </w:r>
      <w:r w:rsidRPr="009448FC">
        <w:rPr>
          <w:rFonts w:eastAsia="MS Mincho"/>
        </w:rPr>
        <w:t xml:space="preserve"> guard symbols are then prepended to the resulting N</w:t>
      </w:r>
      <w:r w:rsidRPr="009448FC">
        <w:rPr>
          <w:rFonts w:eastAsia="MS Mincho"/>
          <w:vertAlign w:val="subscript"/>
        </w:rPr>
        <w:t>CBPB</w:t>
      </w:r>
      <w:r w:rsidRPr="009448FC">
        <w:rPr>
          <w:rFonts w:eastAsia="MS Mincho"/>
        </w:rPr>
        <w:t xml:space="preserve"> symbols as described in subclause </w:t>
      </w:r>
      <w:fldSimple w:instr=" REF _Ref242787021 \r \h  \* MERGEFORMAT ">
        <w:r w:rsidR="003E4210" w:rsidRPr="003E4210">
          <w:rPr>
            <w:rFonts w:eastAsia="MS Mincho"/>
          </w:rPr>
          <w:t>21.6.3.2.4</w:t>
        </w:r>
      </w:fldSimple>
      <w:r w:rsidRPr="009448FC">
        <w:rPr>
          <w:rFonts w:eastAsia="MS Mincho"/>
        </w:rPr>
        <w:t>.</w:t>
      </w:r>
    </w:p>
    <w:p w:rsidR="00FC491D" w:rsidRDefault="00D73FA9" w:rsidP="00FC491D">
      <w:pPr>
        <w:autoSpaceDE w:val="0"/>
        <w:autoSpaceDN w:val="0"/>
        <w:adjustRightInd w:val="0"/>
        <w:rPr>
          <w:rFonts w:ascii="TimesNewRomanPSMT" w:hAnsi="TimesNewRomanPSMT" w:cs="TimesNewRomanPSMT"/>
        </w:rPr>
      </w:pPr>
      <w:r>
        <w:rPr>
          <w:rFonts w:ascii="TimesNewRomanPSMT" w:hAnsi="TimesNewRomanPSMT" w:cs="TimesNewRomanPSMT"/>
        </w:rPr>
        <w:t>The same resulting N</w:t>
      </w:r>
      <w:r w:rsidRPr="00D73FA9">
        <w:rPr>
          <w:rFonts w:ascii="TimesNewRomanPSMT" w:hAnsi="TimesNewRomanPSMT" w:cs="TimesNewRomanPSMT"/>
          <w:vertAlign w:val="subscript"/>
        </w:rPr>
        <w:t>CBPB</w:t>
      </w:r>
      <w:r>
        <w:rPr>
          <w:rFonts w:ascii="Arial-BoldMT" w:hAnsi="Arial-BoldMT" w:cs="Arial-BoldMT"/>
          <w:b/>
          <w:bCs/>
        </w:rPr>
        <w:t xml:space="preserve"> </w:t>
      </w:r>
      <w:r w:rsidR="002F3CEA">
        <w:rPr>
          <w:rFonts w:ascii="TimesNewRomanPSMT" w:hAnsi="TimesNewRomanPSMT" w:cs="TimesNewRomanPSMT"/>
        </w:rPr>
        <w:t>symbols are multiplied by -1</w:t>
      </w:r>
      <w:r w:rsidRPr="00E159DE">
        <w:rPr>
          <w:rFonts w:ascii="TimesNewRomanPSMT" w:hAnsi="TimesNewRomanPSMT" w:cs="TimesNewRomanPSMT"/>
        </w:rPr>
        <w:t xml:space="preserve"> and repeated</w:t>
      </w:r>
      <w:r w:rsidR="002F3CEA">
        <w:rPr>
          <w:rFonts w:ascii="TimesNewRomanPSMT" w:hAnsi="TimesNewRomanPSMT" w:cs="TimesNewRomanPSMT"/>
        </w:rPr>
        <w:t>,</w:t>
      </w:r>
      <w:r w:rsidRPr="00E159DE">
        <w:rPr>
          <w:rFonts w:ascii="TimesNewRomanPSMT" w:hAnsi="TimesNewRomanPSMT" w:cs="TimesNewRomanPSMT"/>
        </w:rPr>
        <w:t xml:space="preserve"> and then </w:t>
      </w:r>
      <w:r>
        <w:rPr>
          <w:rFonts w:ascii="TimesNewRomanPSMT" w:hAnsi="TimesNewRomanPSMT" w:cs="TimesNewRomanPSMT"/>
        </w:rPr>
        <w:t>N</w:t>
      </w:r>
      <w:r w:rsidRPr="002F3CEA">
        <w:rPr>
          <w:rFonts w:ascii="TimesNewRomanPSMT" w:hAnsi="TimesNewRomanPSMT" w:cs="TimesNewRomanPSMT"/>
          <w:vertAlign w:val="subscript"/>
        </w:rPr>
        <w:t>GI</w:t>
      </w:r>
      <w:r w:rsidRPr="00E159DE">
        <w:rPr>
          <w:rFonts w:ascii="TimesNewRomanPSMT" w:hAnsi="TimesNewRomanPSMT" w:cs="TimesNewRomanPSMT"/>
        </w:rPr>
        <w:t xml:space="preserve"> </w:t>
      </w:r>
      <w:r>
        <w:rPr>
          <w:rFonts w:ascii="TimesNewRomanPSMT" w:hAnsi="TimesNewRomanPSMT" w:cs="TimesNewRomanPSMT"/>
        </w:rPr>
        <w:t>guard symbols are added as described in subclause 21.6.3.2.4</w:t>
      </w:r>
      <w:r w:rsidR="002F3CEA">
        <w:rPr>
          <w:rFonts w:ascii="TimesNewRomanPSMT" w:hAnsi="TimesNewRomanPSMT" w:cs="TimesNewRomanPSMT"/>
        </w:rPr>
        <w:t>.</w:t>
      </w:r>
    </w:p>
    <w:p w:rsidR="00D73FA9" w:rsidRPr="009448FC" w:rsidRDefault="00E2534F" w:rsidP="00FC491D">
      <w:pPr>
        <w:autoSpaceDE w:val="0"/>
        <w:autoSpaceDN w:val="0"/>
        <w:adjustRightInd w:val="0"/>
        <w:rPr>
          <w:sz w:val="23"/>
        </w:rPr>
      </w:pPr>
      <w:r>
        <w:rPr>
          <w:rFonts w:ascii="TimesNewRomanPSMT" w:hAnsi="TimesNewRomanPSMT" w:cs="TimesNewRomanPSMT"/>
        </w:rPr>
        <w:t xml:space="preserve"> </w:t>
      </w:r>
    </w:p>
    <w:p w:rsidR="00505F5F" w:rsidRPr="009448FC" w:rsidRDefault="00037AD7" w:rsidP="003701DB">
      <w:pPr>
        <w:pStyle w:val="Heading4"/>
        <w:numPr>
          <w:ilvl w:val="3"/>
          <w:numId w:val="42"/>
        </w:numPr>
      </w:pPr>
      <w:bookmarkStart w:id="3605" w:name="_Toc215583042"/>
      <w:bookmarkStart w:id="3606" w:name="_Toc235400731"/>
      <w:bookmarkStart w:id="3607" w:name="_Toc259717387"/>
      <w:r>
        <w:t>The Data f</w:t>
      </w:r>
      <w:r w:rsidR="00505F5F" w:rsidRPr="009448FC">
        <w:t>ield</w:t>
      </w:r>
      <w:bookmarkEnd w:id="3605"/>
      <w:bookmarkEnd w:id="3606"/>
      <w:bookmarkEnd w:id="3607"/>
    </w:p>
    <w:p w:rsidR="00505F5F" w:rsidRPr="009448FC" w:rsidRDefault="00505F5F" w:rsidP="004F7748">
      <w:r w:rsidRPr="009448FC">
        <w:t>The data field consists of the payload data of the PSDU and possible padding.</w:t>
      </w:r>
      <w:r w:rsidR="00281486" w:rsidRPr="009448FC">
        <w:t xml:space="preserve"> </w:t>
      </w:r>
      <w:r w:rsidRPr="009448FC">
        <w:t>The data are padded with zeros, scrambled, encoded and modulated as</w:t>
      </w:r>
      <w:r w:rsidR="002F3CEA">
        <w:t xml:space="preserve"> described in the following sub</w:t>
      </w:r>
      <w:r w:rsidRPr="009448FC">
        <w:t>clauses.</w:t>
      </w:r>
      <w:r w:rsidR="00281486" w:rsidRPr="009448FC">
        <w:t xml:space="preserve"> </w:t>
      </w:r>
      <w:r w:rsidRPr="009448FC">
        <w:t xml:space="preserve">The amount of padding is defined in subclause </w:t>
      </w:r>
      <w:fldSimple w:instr=" REF _Ref207421616 \r \h  \* MERGEFORMAT ">
        <w:r w:rsidR="003E4210">
          <w:t>21.5.3.2.2</w:t>
        </w:r>
      </w:fldSimple>
      <w:r w:rsidR="00CB4BB7" w:rsidRPr="009448FC">
        <w:t>.</w:t>
      </w:r>
    </w:p>
    <w:p w:rsidR="00505F5F" w:rsidRPr="009448FC" w:rsidRDefault="00505F5F" w:rsidP="003701DB">
      <w:pPr>
        <w:pStyle w:val="Heading5"/>
        <w:keepNext w:val="0"/>
        <w:numPr>
          <w:ilvl w:val="4"/>
          <w:numId w:val="42"/>
        </w:numPr>
        <w:tabs>
          <w:tab w:val="clear" w:pos="1152"/>
        </w:tabs>
        <w:spacing w:after="60"/>
        <w:jc w:val="left"/>
      </w:pPr>
      <w:bookmarkStart w:id="3608" w:name="_Toc215583043"/>
      <w:bookmarkStart w:id="3609" w:name="_Ref221851794"/>
      <w:bookmarkStart w:id="3610" w:name="_Toc235400732"/>
      <w:bookmarkStart w:id="3611" w:name="_Toc259717388"/>
      <w:r w:rsidRPr="009448FC">
        <w:t>Scrambler</w:t>
      </w:r>
      <w:bookmarkEnd w:id="3608"/>
      <w:bookmarkEnd w:id="3609"/>
      <w:bookmarkEnd w:id="3610"/>
      <w:bookmarkEnd w:id="3611"/>
    </w:p>
    <w:p w:rsidR="007F08F0" w:rsidRPr="002F3CEA" w:rsidRDefault="007F08F0" w:rsidP="004F7748">
      <w:pPr>
        <w:autoSpaceDE w:val="0"/>
        <w:autoSpaceDN w:val="0"/>
        <w:adjustRightInd w:val="0"/>
      </w:pPr>
      <w:r w:rsidRPr="009448FC">
        <w:t xml:space="preserve">The operation of the scrambler is defined </w:t>
      </w:r>
      <w:r w:rsidRPr="002F3CEA">
        <w:t xml:space="preserve">in </w:t>
      </w:r>
      <w:fldSimple w:instr=" REF _Ref221601546 \r \h  \* MERGEFORMAT ">
        <w:r w:rsidR="003E4210">
          <w:t>21.3.9</w:t>
        </w:r>
      </w:fldSimple>
      <w:r w:rsidRPr="002F3CEA">
        <w:t>.</w:t>
      </w:r>
      <w:r w:rsidR="00CB4BB7" w:rsidRPr="002F3CEA">
        <w:t xml:space="preserve"> </w:t>
      </w:r>
      <w:r w:rsidRPr="002F3CEA">
        <w:t>The scrambling of the PSDU</w:t>
      </w:r>
      <w:r w:rsidR="00281486" w:rsidRPr="002F3CEA">
        <w:t xml:space="preserve"> </w:t>
      </w:r>
      <w:r w:rsidRPr="002F3CEA">
        <w:t>continues the scrambling of the header with no reset of the scrambler.</w:t>
      </w:r>
    </w:p>
    <w:p w:rsidR="00505F5F" w:rsidRPr="009448FC" w:rsidRDefault="00505F5F" w:rsidP="00505F5F"/>
    <w:p w:rsidR="00505F5F" w:rsidRPr="009448FC" w:rsidRDefault="00505F5F" w:rsidP="003701DB">
      <w:pPr>
        <w:pStyle w:val="Heading5"/>
        <w:keepNext w:val="0"/>
        <w:numPr>
          <w:ilvl w:val="4"/>
          <w:numId w:val="42"/>
        </w:numPr>
        <w:tabs>
          <w:tab w:val="clear" w:pos="1152"/>
        </w:tabs>
        <w:spacing w:after="60"/>
        <w:jc w:val="left"/>
      </w:pPr>
      <w:bookmarkStart w:id="3612" w:name="_Toc215583044"/>
      <w:bookmarkStart w:id="3613" w:name="_Toc235400733"/>
      <w:bookmarkStart w:id="3614" w:name="_Ref236711270"/>
      <w:bookmarkStart w:id="3615" w:name="_Ref243724602"/>
      <w:bookmarkStart w:id="3616" w:name="_Toc259717389"/>
      <w:r w:rsidRPr="009448FC">
        <w:t>Encoding</w:t>
      </w:r>
      <w:bookmarkEnd w:id="3612"/>
      <w:bookmarkEnd w:id="3613"/>
      <w:bookmarkEnd w:id="3614"/>
      <w:bookmarkEnd w:id="3615"/>
      <w:bookmarkEnd w:id="3616"/>
    </w:p>
    <w:p w:rsidR="00505F5F" w:rsidRPr="009448FC" w:rsidRDefault="00505F5F" w:rsidP="004F7748">
      <w:r w:rsidRPr="009448FC">
        <w:t>The data are encoded by a systematic Low Density Parity Check (LDPC) encoder.</w:t>
      </w:r>
      <w:r w:rsidR="00281486" w:rsidRPr="009448FC">
        <w:t xml:space="preserve"> </w:t>
      </w:r>
      <w:r w:rsidRPr="009448FC">
        <w:t>The LDPC is a block code.</w:t>
      </w:r>
      <w:r w:rsidR="00281486" w:rsidRPr="009448FC">
        <w:t xml:space="preserve"> </w:t>
      </w:r>
      <w:r w:rsidRPr="009448FC">
        <w:t xml:space="preserve">Each block of information bits </w:t>
      </w:r>
      <w:r w:rsidRPr="009448FC">
        <w:rPr>
          <w:i/>
        </w:rPr>
        <w:t>(b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w:t>
      </w:r>
      <w:r w:rsidRPr="009448FC">
        <w:t xml:space="preserve"> is concatenated with a block of parity bits </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to create a codeword </w:t>
      </w:r>
      <w:r w:rsidRPr="009448FC">
        <w:rPr>
          <w:b/>
          <w:i/>
        </w:rPr>
        <w:t>c</w:t>
      </w:r>
      <w:r w:rsidRPr="009448FC">
        <w:rPr>
          <w:i/>
        </w:rPr>
        <w:t>=( 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such that </w:t>
      </w:r>
      <w:r w:rsidRPr="009448FC">
        <w:rPr>
          <w:b/>
        </w:rPr>
        <w:t>Hc</w:t>
      </w:r>
      <w:r w:rsidRPr="009448FC">
        <w:rPr>
          <w:b/>
          <w:vertAlign w:val="superscript"/>
        </w:rPr>
        <w:t>T</w:t>
      </w:r>
      <w:r w:rsidRPr="009448FC">
        <w:t>=</w:t>
      </w:r>
      <w:r w:rsidRPr="009448FC">
        <w:rPr>
          <w:b/>
        </w:rPr>
        <w:t>0</w:t>
      </w:r>
      <w:r w:rsidRPr="009448FC">
        <w:t xml:space="preserve">, where </w:t>
      </w:r>
      <w:r w:rsidRPr="009448FC">
        <w:rPr>
          <w:b/>
        </w:rPr>
        <w:t xml:space="preserve">H </w:t>
      </w:r>
      <w:r w:rsidRPr="009448FC">
        <w:t xml:space="preserve">is the </w:t>
      </w:r>
      <w:r w:rsidRPr="009448FC">
        <w:rPr>
          <w:i/>
        </w:rPr>
        <w:t>(n-k)×n</w:t>
      </w:r>
      <w:r w:rsidRPr="009448FC">
        <w:t xml:space="preserve"> party check</w:t>
      </w:r>
      <w:r w:rsidR="00281486" w:rsidRPr="009448FC">
        <w:t xml:space="preserve"> </w:t>
      </w:r>
      <w:r w:rsidRPr="009448FC">
        <w:t>matrix.</w:t>
      </w:r>
      <w:r w:rsidR="00281486" w:rsidRPr="009448FC">
        <w:t xml:space="preserve"> </w:t>
      </w:r>
      <w:r w:rsidRPr="009448FC">
        <w:t xml:space="preserve">The block size </w:t>
      </w:r>
      <w:r w:rsidRPr="009448FC">
        <w:rPr>
          <w:i/>
        </w:rPr>
        <w:t>n</w:t>
      </w:r>
      <w:r w:rsidRPr="009448FC">
        <w:t xml:space="preserve"> is 672 bits.</w:t>
      </w:r>
      <w:r w:rsidR="00281486" w:rsidRPr="009448FC">
        <w:t xml:space="preserve"> </w:t>
      </w:r>
      <w:r w:rsidRPr="009448FC">
        <w:t>The code rate, R, is equal to k/n.</w:t>
      </w:r>
      <w:r w:rsidR="00281486" w:rsidRPr="009448FC">
        <w:t xml:space="preserve"> </w:t>
      </w:r>
      <w:r w:rsidRPr="009448FC">
        <w:t xml:space="preserve">The set of code rates is defined in </w:t>
      </w:r>
      <w:fldSimple w:instr=" REF _Ref207427541 \h  \* MERGEFORMAT ">
        <w:r w:rsidR="003E4210" w:rsidRPr="00066F65">
          <w:t xml:space="preserve">Table </w:t>
        </w:r>
        <w:r w:rsidR="003E4210">
          <w:rPr>
            <w:noProof/>
          </w:rPr>
          <w:t>77</w:t>
        </w:r>
      </w:fldSimple>
      <w:r w:rsidRPr="009448FC">
        <w:t>.</w:t>
      </w:r>
      <w:r w:rsidR="00281486" w:rsidRPr="009448FC">
        <w:t xml:space="preserve"> </w:t>
      </w:r>
      <w:r w:rsidRPr="009448FC">
        <w:t xml:space="preserve">The parity check matrices are defined in subclause </w:t>
      </w:r>
      <w:r w:rsidR="00BD151C" w:rsidRPr="009448FC">
        <w:fldChar w:fldCharType="begin"/>
      </w:r>
      <w:r w:rsidR="004F7748" w:rsidRPr="009448FC">
        <w:instrText xml:space="preserve"> REF _Ref227945687 \r \h </w:instrText>
      </w:r>
      <w:r w:rsidR="00BD151C" w:rsidRPr="009448FC">
        <w:fldChar w:fldCharType="separate"/>
      </w:r>
      <w:r w:rsidR="003E4210">
        <w:t>21.6.3.2.2.1</w:t>
      </w:r>
      <w:r w:rsidR="00BD151C" w:rsidRPr="009448FC">
        <w:fldChar w:fldCharType="end"/>
      </w:r>
      <w:r w:rsidRPr="009448FC">
        <w:t xml:space="preserve">. The encoding process is defined in subclause </w:t>
      </w:r>
      <w:r w:rsidR="00BD151C">
        <w:fldChar w:fldCharType="begin"/>
      </w:r>
      <w:r w:rsidR="004F7748">
        <w:instrText xml:space="preserve"> REF _Ref207611114 \r \h </w:instrText>
      </w:r>
      <w:r w:rsidR="00BD151C">
        <w:fldChar w:fldCharType="separate"/>
      </w:r>
      <w:r w:rsidR="003E4210">
        <w:t>21.5.3.2.2.2</w:t>
      </w:r>
      <w:r w:rsidR="00BD151C">
        <w:fldChar w:fldCharType="end"/>
      </w:r>
      <w:r w:rsidRPr="009448FC">
        <w:t>.</w:t>
      </w:r>
      <w:r w:rsidR="005515A4">
        <w:t xml:space="preserve"> </w:t>
      </w:r>
    </w:p>
    <w:p w:rsidR="00505F5F" w:rsidRPr="009448FC" w:rsidRDefault="00505F5F" w:rsidP="00505F5F">
      <w:pPr>
        <w:jc w:val="center"/>
      </w:pPr>
    </w:p>
    <w:p w:rsidR="00505F5F" w:rsidRPr="00066F65" w:rsidRDefault="00505F5F" w:rsidP="009448FC">
      <w:pPr>
        <w:pStyle w:val="Caption"/>
        <w:keepNext/>
      </w:pPr>
      <w:bookmarkStart w:id="3617" w:name="_Toc225065795"/>
      <w:bookmarkStart w:id="3618" w:name="_Toc250654465"/>
      <w:bookmarkStart w:id="3619" w:name="_Toc259717658"/>
      <w:r w:rsidRPr="00066F65">
        <w:t>Table</w:t>
      </w:r>
      <w:r w:rsidR="00EE1100" w:rsidRPr="00066F65">
        <w:t xml:space="preserve"> </w:t>
      </w:r>
      <w:r w:rsidR="00BD151C">
        <w:fldChar w:fldCharType="begin"/>
      </w:r>
      <w:r w:rsidR="00801316">
        <w:instrText xml:space="preserve"> SEQ Table \* ARABIC </w:instrText>
      </w:r>
      <w:r w:rsidR="00BD151C">
        <w:fldChar w:fldCharType="separate"/>
      </w:r>
      <w:r w:rsidR="003E4210">
        <w:rPr>
          <w:noProof/>
        </w:rPr>
        <w:t>80</w:t>
      </w:r>
      <w:r w:rsidR="00BD151C">
        <w:fldChar w:fldCharType="end"/>
      </w:r>
      <w:r w:rsidRPr="00066F65">
        <w:rPr>
          <w:noProof/>
        </w:rPr>
        <w:t xml:space="preserve"> </w:t>
      </w:r>
      <w:r w:rsidR="00A719A1" w:rsidRPr="00066F65">
        <w:rPr>
          <w:noProof/>
        </w:rPr>
        <w:t xml:space="preserve">– </w:t>
      </w:r>
      <w:r w:rsidRPr="00066F65">
        <w:rPr>
          <w:noProof/>
        </w:rPr>
        <w:t>LDPC code rates</w:t>
      </w:r>
      <w:bookmarkEnd w:id="3617"/>
      <w:bookmarkEnd w:id="3618"/>
      <w:bookmarkEnd w:id="3619"/>
    </w:p>
    <w:tbl>
      <w:tblPr>
        <w:tblW w:w="6120" w:type="dxa"/>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gridCol w:w="2340"/>
      </w:tblGrid>
      <w:tr w:rsidR="00505F5F" w:rsidRPr="00B260DF" w:rsidTr="00945E99">
        <w:trPr>
          <w:cantSplit/>
          <w:trHeight w:val="285"/>
          <w:tblHeader/>
        </w:trPr>
        <w:tc>
          <w:tcPr>
            <w:tcW w:w="1980" w:type="dxa"/>
            <w:shd w:val="clear" w:color="auto" w:fill="auto"/>
            <w:noWrap/>
            <w:vAlign w:val="bottom"/>
          </w:tcPr>
          <w:p w:rsidR="00505F5F" w:rsidRPr="00B260DF" w:rsidRDefault="009D537D" w:rsidP="00AB3E81">
            <w:pPr>
              <w:jc w:val="center"/>
            </w:pPr>
            <w:r w:rsidRPr="009D537D">
              <w:t>Code Rate</w:t>
            </w:r>
          </w:p>
        </w:tc>
        <w:tc>
          <w:tcPr>
            <w:tcW w:w="1800" w:type="dxa"/>
            <w:shd w:val="clear" w:color="auto" w:fill="auto"/>
            <w:noWrap/>
            <w:vAlign w:val="bottom"/>
          </w:tcPr>
          <w:p w:rsidR="00505F5F" w:rsidRPr="00B260DF" w:rsidRDefault="009D537D" w:rsidP="00AB3E81">
            <w:pPr>
              <w:jc w:val="center"/>
            </w:pPr>
            <w:r w:rsidRPr="009D537D">
              <w:t>Codeword size</w:t>
            </w:r>
          </w:p>
        </w:tc>
        <w:tc>
          <w:tcPr>
            <w:tcW w:w="2340" w:type="dxa"/>
            <w:shd w:val="clear" w:color="auto" w:fill="auto"/>
            <w:noWrap/>
            <w:vAlign w:val="bottom"/>
          </w:tcPr>
          <w:p w:rsidR="00505F5F" w:rsidRPr="00B260DF" w:rsidRDefault="009D537D" w:rsidP="00AB3E81">
            <w:pPr>
              <w:jc w:val="center"/>
            </w:pPr>
            <w:r w:rsidRPr="009D537D">
              <w:t>Number of data bits</w:t>
            </w:r>
          </w:p>
        </w:tc>
      </w:tr>
      <w:tr w:rsidR="00505F5F" w:rsidRPr="00B260DF" w:rsidTr="00945E99">
        <w:trPr>
          <w:trHeight w:val="270"/>
          <w:tblHeader/>
        </w:trPr>
        <w:tc>
          <w:tcPr>
            <w:tcW w:w="1980" w:type="dxa"/>
            <w:shd w:val="clear" w:color="auto" w:fill="auto"/>
            <w:noWrap/>
            <w:vAlign w:val="bottom"/>
          </w:tcPr>
          <w:p w:rsidR="00505F5F" w:rsidRPr="00B260DF" w:rsidRDefault="009D537D" w:rsidP="00AB3E81">
            <w:pPr>
              <w:jc w:val="center"/>
            </w:pPr>
            <w:r w:rsidRPr="009D537D">
              <w:t>1/2</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336</w:t>
            </w:r>
          </w:p>
        </w:tc>
      </w:tr>
      <w:tr w:rsidR="00505F5F" w:rsidRPr="00B260DF" w:rsidTr="00945E99">
        <w:trPr>
          <w:trHeight w:val="255"/>
          <w:tblHeader/>
        </w:trPr>
        <w:tc>
          <w:tcPr>
            <w:tcW w:w="1980" w:type="dxa"/>
            <w:shd w:val="clear" w:color="auto" w:fill="auto"/>
            <w:noWrap/>
            <w:vAlign w:val="bottom"/>
          </w:tcPr>
          <w:p w:rsidR="00505F5F" w:rsidRPr="00B260DF" w:rsidRDefault="009D537D" w:rsidP="00AB3E81">
            <w:pPr>
              <w:jc w:val="center"/>
            </w:pPr>
            <w:r w:rsidRPr="009D537D">
              <w:t>5/8</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420</w:t>
            </w:r>
          </w:p>
        </w:tc>
      </w:tr>
      <w:tr w:rsidR="00505F5F" w:rsidRPr="00B260DF" w:rsidTr="00945E99">
        <w:trPr>
          <w:trHeight w:val="255"/>
          <w:tblHeader/>
        </w:trPr>
        <w:tc>
          <w:tcPr>
            <w:tcW w:w="1980" w:type="dxa"/>
            <w:shd w:val="clear" w:color="auto" w:fill="auto"/>
            <w:noWrap/>
            <w:vAlign w:val="bottom"/>
          </w:tcPr>
          <w:p w:rsidR="00505F5F" w:rsidRPr="00B260DF" w:rsidRDefault="009D537D" w:rsidP="00AB3E81">
            <w:pPr>
              <w:jc w:val="center"/>
            </w:pPr>
            <w:r w:rsidRPr="009D537D">
              <w:t>3/4</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504</w:t>
            </w:r>
          </w:p>
        </w:tc>
      </w:tr>
      <w:tr w:rsidR="00505F5F" w:rsidRPr="00B260DF" w:rsidTr="00945E99">
        <w:trPr>
          <w:trHeight w:val="255"/>
          <w:tblHeader/>
        </w:trPr>
        <w:tc>
          <w:tcPr>
            <w:tcW w:w="1980" w:type="dxa"/>
            <w:shd w:val="clear" w:color="auto" w:fill="auto"/>
            <w:noWrap/>
            <w:vAlign w:val="bottom"/>
          </w:tcPr>
          <w:p w:rsidR="00505F5F" w:rsidRPr="00B260DF" w:rsidRDefault="009D537D" w:rsidP="00AB3E81">
            <w:pPr>
              <w:jc w:val="center"/>
            </w:pPr>
            <w:r w:rsidRPr="009D537D">
              <w:t>13/16</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546</w:t>
            </w:r>
          </w:p>
        </w:tc>
      </w:tr>
    </w:tbl>
    <w:p w:rsidR="00505F5F" w:rsidRPr="009448FC" w:rsidRDefault="00505F5F" w:rsidP="00505F5F">
      <w:pPr>
        <w:jc w:val="center"/>
      </w:pPr>
    </w:p>
    <w:p w:rsidR="009731CC" w:rsidRPr="009448FC" w:rsidRDefault="00505F5F" w:rsidP="003701DB">
      <w:pPr>
        <w:pStyle w:val="Heading6"/>
        <w:numPr>
          <w:ilvl w:val="5"/>
          <w:numId w:val="42"/>
        </w:numPr>
      </w:pPr>
      <w:bookmarkStart w:id="3620" w:name="_Ref227945687"/>
      <w:r w:rsidRPr="009448FC">
        <w:t>Parity Check Matrices</w:t>
      </w:r>
      <w:bookmarkEnd w:id="3620"/>
    </w:p>
    <w:p w:rsidR="00505F5F" w:rsidRPr="009448FC" w:rsidRDefault="009731CC" w:rsidP="00505F5F">
      <w:r w:rsidRPr="009448FC">
        <w:t xml:space="preserve">See </w:t>
      </w:r>
      <w:fldSimple w:instr=" REF _Ref221601216 \r \h  \* MERGEFORMAT ">
        <w:r w:rsidR="003E4210" w:rsidRPr="003E4210">
          <w:rPr>
            <w:bCs/>
          </w:rPr>
          <w:t>21.3.8</w:t>
        </w:r>
      </w:fldSimple>
      <w:r w:rsidR="00B63F3C" w:rsidRPr="009448FC">
        <w:t>.</w:t>
      </w:r>
    </w:p>
    <w:p w:rsidR="00505F5F" w:rsidRPr="009448FC" w:rsidRDefault="00505F5F" w:rsidP="003701DB">
      <w:pPr>
        <w:pStyle w:val="Heading6"/>
        <w:numPr>
          <w:ilvl w:val="5"/>
          <w:numId w:val="42"/>
        </w:numPr>
      </w:pPr>
      <w:bookmarkStart w:id="3621" w:name="_Ref241319501"/>
      <w:r w:rsidRPr="009448FC">
        <w:t>LDPC encoding process</w:t>
      </w:r>
      <w:bookmarkEnd w:id="3621"/>
      <w:r w:rsidR="00BE1F31">
        <w:t xml:space="preserve"> </w:t>
      </w:r>
    </w:p>
    <w:p w:rsidR="00B42C16" w:rsidRDefault="00B42C16" w:rsidP="00B42C16">
      <w:bookmarkStart w:id="3622" w:name="_Toc215583045"/>
      <w:bookmarkStart w:id="3623" w:name="_Toc235400734"/>
      <w:r w:rsidRPr="009448FC">
        <w:t>The LDPC encoding process is composed of several steps that includes deciding the number of shortening/repetition bits in every code word, the shortening itself, the coding of each word and then any repetition of bits.</w:t>
      </w:r>
    </w:p>
    <w:p w:rsidR="00B42C16" w:rsidRPr="009448FC" w:rsidRDefault="00B42C16" w:rsidP="00B42C16"/>
    <w:p w:rsidR="00B42C16" w:rsidRPr="009448FC" w:rsidRDefault="00B42C16" w:rsidP="003701DB">
      <w:pPr>
        <w:numPr>
          <w:ilvl w:val="0"/>
          <w:numId w:val="17"/>
        </w:numPr>
      </w:pPr>
      <w:r w:rsidRPr="009448FC">
        <w:t xml:space="preserve">First the total number of data pad bits </w:t>
      </w:r>
      <w:r w:rsidRPr="009448FC">
        <w:rPr>
          <w:i/>
        </w:rPr>
        <w:t>N</w:t>
      </w:r>
      <w:r w:rsidRPr="009448FC">
        <w:rPr>
          <w:i/>
          <w:vertAlign w:val="subscript"/>
        </w:rPr>
        <w:t>DATA_PAD</w:t>
      </w:r>
      <w:r w:rsidRPr="009448FC">
        <w:rPr>
          <w:i/>
        </w:rPr>
        <w:t xml:space="preserve"> </w:t>
      </w:r>
      <w:r w:rsidRPr="009448FC">
        <w:t xml:space="preserve">is calculated, using the number of LDPC codewords </w:t>
      </w:r>
      <w:r w:rsidRPr="009448FC">
        <w:rPr>
          <w:i/>
        </w:rPr>
        <w:t>N</w:t>
      </w:r>
      <w:r w:rsidRPr="009448FC">
        <w:rPr>
          <w:i/>
          <w:vertAlign w:val="subscript"/>
        </w:rPr>
        <w:t>CW</w:t>
      </w:r>
      <w:r w:rsidRPr="009448FC">
        <w:t xml:space="preserve">: </w:t>
      </w:r>
    </w:p>
    <w:p w:rsidR="00B42C16" w:rsidRPr="009448FC" w:rsidRDefault="00B42C16" w:rsidP="00B42C16">
      <w:pPr>
        <w:ind w:left="360"/>
      </w:pPr>
    </w:p>
    <w:p w:rsidR="00B42C16" w:rsidRPr="009448FC" w:rsidRDefault="00B42C16" w:rsidP="00B42C16">
      <w:pPr>
        <w:ind w:left="360" w:firstLine="360"/>
      </w:pPr>
      <w:r w:rsidRPr="009448FC">
        <w:rPr>
          <w:position w:val="-94"/>
        </w:rPr>
        <w:object w:dxaOrig="3660" w:dyaOrig="2000">
          <v:shape id="_x0000_i1206" type="#_x0000_t75" style="width:184.3pt;height:100.1pt" o:ole="">
            <v:imagedata r:id="rId459" o:title=""/>
          </v:shape>
          <o:OLEObject Type="Embed" ProgID="Equation.3" ShapeID="_x0000_i1206" DrawAspect="Content" ObjectID="_1334048387" r:id="rId460"/>
        </w:object>
      </w:r>
    </w:p>
    <w:p w:rsidR="00B42C16" w:rsidRPr="009448FC" w:rsidRDefault="00B42C16" w:rsidP="00B42C16">
      <w:pPr>
        <w:tabs>
          <w:tab w:val="left" w:pos="900"/>
        </w:tabs>
        <w:ind w:left="720"/>
      </w:pPr>
    </w:p>
    <w:p w:rsidR="00B42C16" w:rsidRPr="009448FC" w:rsidRDefault="00B42C16" w:rsidP="00B42C16">
      <w:pPr>
        <w:ind w:left="720"/>
      </w:pPr>
      <w:r w:rsidRPr="009448FC">
        <w:t xml:space="preserve">where </w:t>
      </w:r>
      <w:r w:rsidRPr="009448FC">
        <w:rPr>
          <w:i/>
        </w:rPr>
        <w:t>L</w:t>
      </w:r>
      <w:r w:rsidRPr="009448FC">
        <w:rPr>
          <w:i/>
          <w:vertAlign w:val="subscript"/>
        </w:rPr>
        <w:t>CW</w:t>
      </w:r>
      <w:r w:rsidRPr="009448FC">
        <w:t xml:space="preserve">=672 is the LDPC code word length, </w:t>
      </w:r>
      <w:r w:rsidRPr="009448FC">
        <w:rPr>
          <w:i/>
        </w:rPr>
        <w:t>Length</w:t>
      </w:r>
      <w:r w:rsidRPr="009448FC">
        <w:t xml:space="preserve"> is the length of the PSDU defined in the header field (in octets), </w:t>
      </w:r>
      <w:r w:rsidRPr="009448FC">
        <w:rPr>
          <w:rFonts w:hint="cs"/>
          <w:rtl/>
        </w:rPr>
        <w:t>ρ</w:t>
      </w:r>
      <w:r w:rsidRPr="009448FC">
        <w:t xml:space="preserve"> is the repetition factor (1 or 2), and </w:t>
      </w:r>
      <w:r w:rsidRPr="009448FC">
        <w:rPr>
          <w:i/>
        </w:rPr>
        <w:t>R</w:t>
      </w:r>
      <w:r w:rsidRPr="009448FC">
        <w:t xml:space="preserve"> is the code rate.</w:t>
      </w:r>
    </w:p>
    <w:p w:rsidR="00B42C16" w:rsidRDefault="00B42C16" w:rsidP="00B42C16">
      <w:pPr>
        <w:autoSpaceDE w:val="0"/>
        <w:autoSpaceDN w:val="0"/>
        <w:adjustRightInd w:val="0"/>
        <w:ind w:left="720"/>
      </w:pPr>
      <w:r w:rsidRPr="009448FC">
        <w:t>The scrambled PSDU is concatenated with N</w:t>
      </w:r>
      <w:r w:rsidRPr="009448FC">
        <w:rPr>
          <w:vertAlign w:val="subscript"/>
        </w:rPr>
        <w:t>DATA_PAD</w:t>
      </w:r>
      <w:r w:rsidRPr="009448FC">
        <w:t xml:space="preserve"> zeros. They are scrambled using the continuation of the scrambler sequence that scrambled the PSDU input bits.</w:t>
      </w:r>
    </w:p>
    <w:p w:rsidR="00B42C16" w:rsidRDefault="00B42C16" w:rsidP="00B42C16">
      <w:pPr>
        <w:autoSpaceDE w:val="0"/>
        <w:autoSpaceDN w:val="0"/>
        <w:adjustRightInd w:val="0"/>
        <w:ind w:left="720"/>
      </w:pPr>
    </w:p>
    <w:p w:rsidR="00B42C16" w:rsidRDefault="00B42C16" w:rsidP="003701DB">
      <w:pPr>
        <w:pStyle w:val="ListParagraph"/>
        <w:numPr>
          <w:ilvl w:val="0"/>
          <w:numId w:val="17"/>
        </w:numPr>
        <w:autoSpaceDE w:val="0"/>
        <w:autoSpaceDN w:val="0"/>
        <w:adjustRightInd w:val="0"/>
      </w:pPr>
      <w:r>
        <w:t>The procedure for converting the scrambled PSDU data to LDPC codewords depends on the repetition factor.</w:t>
      </w:r>
    </w:p>
    <w:p w:rsidR="00B42C16" w:rsidRDefault="00B42C16" w:rsidP="00B42C16">
      <w:pPr>
        <w:pStyle w:val="ListParagraph"/>
        <w:autoSpaceDE w:val="0"/>
        <w:autoSpaceDN w:val="0"/>
        <w:adjustRightInd w:val="0"/>
        <w:ind w:left="360"/>
      </w:pPr>
    </w:p>
    <w:p w:rsidR="00B42C16" w:rsidRDefault="00B42C16" w:rsidP="003701DB">
      <w:pPr>
        <w:numPr>
          <w:ilvl w:val="1"/>
          <w:numId w:val="17"/>
        </w:numPr>
      </w:pPr>
      <w:r>
        <w:t xml:space="preserve">If </w:t>
      </w:r>
      <w:r w:rsidRPr="00E70D2A">
        <w:rPr>
          <w:rFonts w:ascii="Symbol" w:hAnsi="Symbol"/>
        </w:rPr>
        <w:t></w:t>
      </w:r>
      <w:r>
        <w:t xml:space="preserve"> = 1,</w:t>
      </w:r>
    </w:p>
    <w:p w:rsidR="00B42C16" w:rsidRPr="009448FC" w:rsidRDefault="00B42C16" w:rsidP="003701DB">
      <w:pPr>
        <w:numPr>
          <w:ilvl w:val="2"/>
          <w:numId w:val="17"/>
        </w:numPr>
      </w:pPr>
      <w:r w:rsidRPr="009448FC">
        <w:t xml:space="preserve">The output stream of the scrambler is broken into blocks of </w:t>
      </w:r>
      <w:r w:rsidRPr="009448FC">
        <w:rPr>
          <w:i/>
        </w:rPr>
        <w:t>L</w:t>
      </w:r>
      <w:r w:rsidRPr="009448FC">
        <w:rPr>
          <w:i/>
          <w:vertAlign w:val="subscript"/>
        </w:rPr>
        <w:t>CWD</w:t>
      </w:r>
      <w:r w:rsidRPr="009448FC">
        <w:t xml:space="preserve"> = </w:t>
      </w:r>
      <w:r w:rsidRPr="009448FC">
        <w:rPr>
          <w:i/>
        </w:rPr>
        <w:t>L</w:t>
      </w:r>
      <w:r w:rsidRPr="009448FC">
        <w:rPr>
          <w:i/>
          <w:vertAlign w:val="subscript"/>
        </w:rPr>
        <w:t>CW</w:t>
      </w:r>
      <w:r w:rsidRPr="009448FC">
        <w:rPr>
          <w:i/>
        </w:rPr>
        <w:t xml:space="preserve"> ×R</w:t>
      </w:r>
      <w:r w:rsidRPr="009448FC">
        <w:t xml:space="preserve"> bits such that the </w:t>
      </w:r>
      <w:r w:rsidRPr="00E70D2A">
        <w:rPr>
          <w:i/>
        </w:rPr>
        <w:t>m</w:t>
      </w:r>
      <w:r w:rsidRPr="009448FC">
        <w:rPr>
          <w:vertAlign w:val="superscript"/>
        </w:rPr>
        <w:t>th</w:t>
      </w:r>
      <w:r w:rsidRPr="009448FC">
        <w:t xml:space="preserve"> data word is </w:t>
      </w:r>
      <w:r w:rsidRPr="00E70D2A">
        <w:rPr>
          <w:position w:val="-18"/>
        </w:rPr>
        <w:object w:dxaOrig="2659" w:dyaOrig="480">
          <v:shape id="_x0000_i1207" type="#_x0000_t75" style="width:134.5pt;height:22.65pt" o:ole="">
            <v:imagedata r:id="rId461" o:title=""/>
          </v:shape>
          <o:OLEObject Type="Embed" ProgID="Equation.DSMT4" ShapeID="_x0000_i1207" DrawAspect="Content" ObjectID="_1334048388" r:id="rId462"/>
        </w:object>
      </w:r>
      <w:r w:rsidRPr="009448FC">
        <w:t>.</w:t>
      </w:r>
    </w:p>
    <w:p w:rsidR="00B42C16" w:rsidRDefault="00B42C16" w:rsidP="003701DB">
      <w:pPr>
        <w:numPr>
          <w:ilvl w:val="2"/>
          <w:numId w:val="17"/>
        </w:numPr>
      </w:pPr>
      <w:r w:rsidRPr="009448FC">
        <w:t xml:space="preserve">To each data word, </w:t>
      </w:r>
      <w:r w:rsidRPr="009448FC">
        <w:rPr>
          <w:i/>
        </w:rPr>
        <w:t>n-k</w:t>
      </w:r>
      <w:r w:rsidRPr="009448FC">
        <w:t>=</w:t>
      </w:r>
      <w:r w:rsidRPr="009448FC">
        <w:rPr>
          <w:i/>
        </w:rPr>
        <w:t>L</w:t>
      </w:r>
      <w:r w:rsidRPr="009448FC">
        <w:rPr>
          <w:i/>
          <w:vertAlign w:val="subscript"/>
        </w:rPr>
        <w:t>CW</w:t>
      </w:r>
      <w:r w:rsidRPr="009448FC">
        <w:rPr>
          <w:i/>
        </w:rPr>
        <w:t>-R×L</w:t>
      </w:r>
      <w:r w:rsidRPr="009448FC">
        <w:rPr>
          <w:i/>
          <w:vertAlign w:val="subscript"/>
        </w:rPr>
        <w:t>CW</w:t>
      </w:r>
      <w:r w:rsidRPr="009448FC">
        <w:t xml:space="preserve"> parity bits </w:t>
      </w:r>
      <w:r w:rsidRPr="009448FC">
        <w:rPr>
          <w:position w:val="-18"/>
        </w:rPr>
        <w:object w:dxaOrig="1960" w:dyaOrig="480">
          <v:shape id="_x0000_i1208" type="#_x0000_t75" style="width:97.8pt;height:25.8pt" o:ole="">
            <v:imagedata r:id="rId376" o:title=""/>
          </v:shape>
          <o:OLEObject Type="Embed" ProgID="Equation.DSMT4" ShapeID="_x0000_i1208" DrawAspect="Content" ObjectID="_1334048389" r:id="rId463"/>
        </w:object>
      </w:r>
      <w:r w:rsidRPr="009448FC">
        <w:t xml:space="preserve">are added to create the code word </w:t>
      </w:r>
      <w:r w:rsidRPr="009448FC">
        <w:rPr>
          <w:position w:val="-14"/>
        </w:rPr>
        <w:object w:dxaOrig="3620" w:dyaOrig="400">
          <v:shape id="_x0000_i1209" type="#_x0000_t75" style="width:181.6pt;height:20.4pt" o:ole="">
            <v:imagedata r:id="rId464" o:title=""/>
          </v:shape>
          <o:OLEObject Type="Embed" ProgID="Equation.3" ShapeID="_x0000_i1209" DrawAspect="Content" ObjectID="_1334048390" r:id="rId465"/>
        </w:object>
      </w:r>
      <w:r w:rsidRPr="009448FC">
        <w:t xml:space="preserve"> such that </w:t>
      </w:r>
      <w:r w:rsidRPr="009448FC">
        <w:rPr>
          <w:position w:val="-6"/>
        </w:rPr>
        <w:object w:dxaOrig="1060" w:dyaOrig="380">
          <v:shape id="_x0000_i1210" type="#_x0000_t75" style="width:54.35pt;height:17.65pt" o:ole="">
            <v:imagedata r:id="rId380" o:title=""/>
          </v:shape>
          <o:OLEObject Type="Embed" ProgID="Equation.DSMT4" ShapeID="_x0000_i1210" DrawAspect="Content" ObjectID="_1334048391" r:id="rId466"/>
        </w:object>
      </w:r>
    </w:p>
    <w:p w:rsidR="00B42C16" w:rsidRPr="009448FC" w:rsidRDefault="00B42C16" w:rsidP="00B42C16"/>
    <w:p w:rsidR="00B42C16" w:rsidRPr="009448FC" w:rsidRDefault="00B42C16" w:rsidP="003701DB">
      <w:pPr>
        <w:pStyle w:val="ListParagraph"/>
        <w:numPr>
          <w:ilvl w:val="1"/>
          <w:numId w:val="17"/>
        </w:numPr>
        <w:autoSpaceDE w:val="0"/>
        <w:autoSpaceDN w:val="0"/>
        <w:adjustRightInd w:val="0"/>
      </w:pPr>
      <w:r w:rsidRPr="009448FC">
        <w:t xml:space="preserve">If </w:t>
      </w:r>
      <w:r w:rsidRPr="009448FC">
        <w:rPr>
          <w:rFonts w:hint="cs"/>
          <w:rtl/>
        </w:rPr>
        <w:t>ρ</w:t>
      </w:r>
      <w:r w:rsidRPr="009448FC">
        <w:t xml:space="preserve"> = 2, </w:t>
      </w:r>
    </w:p>
    <w:p w:rsidR="00B42C16" w:rsidRPr="009448FC" w:rsidRDefault="00B42C16" w:rsidP="003701DB">
      <w:pPr>
        <w:numPr>
          <w:ilvl w:val="2"/>
          <w:numId w:val="7"/>
        </w:numPr>
        <w:autoSpaceDE w:val="0"/>
        <w:autoSpaceDN w:val="0"/>
        <w:adjustRightInd w:val="0"/>
      </w:pPr>
      <w:r w:rsidRPr="009448FC">
        <w:t xml:space="preserve">The data bits in each codeword </w:t>
      </w:r>
      <w:r w:rsidRPr="00950853">
        <w:rPr>
          <w:position w:val="-16"/>
        </w:rPr>
        <w:object w:dxaOrig="1400" w:dyaOrig="420">
          <v:shape id="_x0000_i1211" type="#_x0000_t75" style="width:70.65pt;height:20.4pt" o:ole="">
            <v:imagedata r:id="rId467" o:title=""/>
          </v:shape>
          <o:OLEObject Type="Embed" ProgID="Equation.DSMT4" ShapeID="_x0000_i1211" DrawAspect="Content" ObjectID="_1334048392" r:id="rId468"/>
        </w:object>
      </w:r>
      <w:r w:rsidRPr="009448FC">
        <w:t>where</w:t>
      </w:r>
      <w:r w:rsidRPr="00950853">
        <w:rPr>
          <w:position w:val="-12"/>
        </w:rPr>
        <w:object w:dxaOrig="1359" w:dyaOrig="360">
          <v:shape id="_x0000_i1212" type="#_x0000_t75" style="width:67.45pt;height:17.65pt" o:ole="">
            <v:imagedata r:id="rId469" o:title=""/>
          </v:shape>
          <o:OLEObject Type="Embed" ProgID="Equation.DSMT4" ShapeID="_x0000_i1212" DrawAspect="Content" ObjectID="_1334048393" r:id="rId470"/>
        </w:object>
      </w:r>
      <w:r w:rsidRPr="009448FC">
        <w:t xml:space="preserve">are concatenated with </w:t>
      </w:r>
      <w:r w:rsidRPr="00950853">
        <w:rPr>
          <w:position w:val="-12"/>
        </w:rPr>
        <w:object w:dxaOrig="859" w:dyaOrig="360">
          <v:shape id="_x0000_i1213" type="#_x0000_t75" style="width:43.9pt;height:17.65pt" o:ole="">
            <v:imagedata r:id="rId471" o:title=""/>
          </v:shape>
          <o:OLEObject Type="Embed" ProgID="Equation.DSMT4" ShapeID="_x0000_i1213" DrawAspect="Content" ObjectID="_1334048394" r:id="rId472"/>
        </w:object>
      </w:r>
      <w:r w:rsidRPr="009448FC">
        <w:rPr>
          <w:rFonts w:eastAsia="TimesNewRoman"/>
        </w:rPr>
        <w:t>zeros</w:t>
      </w:r>
      <w:r w:rsidRPr="009448FC">
        <w:t xml:space="preserve"> to produce a sequence in length of </w:t>
      </w:r>
      <w:r w:rsidRPr="00950853">
        <w:rPr>
          <w:position w:val="-12"/>
        </w:rPr>
        <w:object w:dxaOrig="420" w:dyaOrig="360">
          <v:shape id="_x0000_i1214" type="#_x0000_t75" style="width:20.4pt;height:17.65pt" o:ole="">
            <v:imagedata r:id="rId473" o:title=""/>
          </v:shape>
          <o:OLEObject Type="Embed" ProgID="Equation.DSMT4" ShapeID="_x0000_i1214" DrawAspect="Content" ObjectID="_1334048395" r:id="rId474"/>
        </w:object>
      </w:r>
      <w:r w:rsidRPr="00950853">
        <w:rPr>
          <w:position w:val="-16"/>
        </w:rPr>
        <w:object w:dxaOrig="2700" w:dyaOrig="420">
          <v:shape id="_x0000_i1215" type="#_x0000_t75" style="width:134.95pt;height:20.4pt" o:ole="">
            <v:imagedata r:id="rId475" o:title=""/>
          </v:shape>
          <o:OLEObject Type="Embed" ProgID="Equation.DSMT4" ShapeID="_x0000_i1215" DrawAspect="Content" ObjectID="_1334048396" r:id="rId476"/>
        </w:object>
      </w:r>
      <w:r>
        <w:t>.</w:t>
      </w:r>
    </w:p>
    <w:p w:rsidR="00B42C16" w:rsidRPr="009448FC" w:rsidRDefault="00B42C16" w:rsidP="003701DB">
      <w:pPr>
        <w:numPr>
          <w:ilvl w:val="2"/>
          <w:numId w:val="7"/>
        </w:numPr>
        <w:autoSpaceDE w:val="0"/>
        <w:autoSpaceDN w:val="0"/>
        <w:adjustRightInd w:val="0"/>
      </w:pPr>
      <w:r w:rsidRPr="009448FC">
        <w:t xml:space="preserve">The LDPC code word </w:t>
      </w:r>
      <w:r w:rsidRPr="00950853">
        <w:rPr>
          <w:position w:val="-16"/>
        </w:rPr>
        <w:object w:dxaOrig="4459" w:dyaOrig="420">
          <v:shape id="_x0000_i1216" type="#_x0000_t75" style="width:223.25pt;height:20.4pt" o:ole="">
            <v:imagedata r:id="rId477" o:title=""/>
          </v:shape>
          <o:OLEObject Type="Embed" ProgID="Equation.DSMT4" ShapeID="_x0000_i1216" DrawAspect="Content" ObjectID="_1334048397" r:id="rId478"/>
        </w:object>
      </w:r>
      <w:r w:rsidRPr="009448FC">
        <w:t xml:space="preserve"> is created by generating the parity bits </w:t>
      </w:r>
      <w:r w:rsidRPr="00950853">
        <w:rPr>
          <w:position w:val="-12"/>
        </w:rPr>
        <w:object w:dxaOrig="1380" w:dyaOrig="360">
          <v:shape id="_x0000_i1217" type="#_x0000_t75" style="width:69.75pt;height:17.65pt" o:ole="">
            <v:imagedata r:id="rId479" o:title=""/>
          </v:shape>
          <o:OLEObject Type="Embed" ProgID="Equation.DSMT4" ShapeID="_x0000_i1217" DrawAspect="Content" ObjectID="_1334048398" r:id="rId480"/>
        </w:object>
      </w:r>
      <w:r w:rsidRPr="009448FC">
        <w:rPr>
          <w:i/>
        </w:rPr>
        <w:t xml:space="preserve"> </w:t>
      </w:r>
      <w:r w:rsidRPr="009448FC">
        <w:t xml:space="preserve">such that </w:t>
      </w:r>
      <w:r w:rsidRPr="00950853">
        <w:rPr>
          <w:position w:val="-6"/>
        </w:rPr>
        <w:object w:dxaOrig="840" w:dyaOrig="320">
          <v:shape id="_x0000_i1218" type="#_x0000_t75" style="width:41.2pt;height:15.4pt" o:ole="">
            <v:imagedata r:id="rId481" o:title=""/>
          </v:shape>
          <o:OLEObject Type="Embed" ProgID="Equation.DSMT4" ShapeID="_x0000_i1218" DrawAspect="Content" ObjectID="_1334048399" r:id="rId482"/>
        </w:object>
      </w:r>
      <w:r w:rsidRPr="009448FC">
        <w:t xml:space="preserve">. Where </w:t>
      </w:r>
      <w:r w:rsidRPr="009448FC">
        <w:rPr>
          <w:b/>
        </w:rPr>
        <w:t xml:space="preserve">H </w:t>
      </w:r>
      <w:r w:rsidRPr="009448FC">
        <w:t xml:space="preserve">is the parity matrix for rate 1/2 LDPC coding specified in </w:t>
      </w:r>
      <w:fldSimple w:instr=" REF _Ref221601216 \r \h  \* MERGEFORMAT ">
        <w:r w:rsidR="003E4210">
          <w:t>21.3.8</w:t>
        </w:r>
      </w:fldSimple>
      <w:r w:rsidRPr="009448FC">
        <w:t xml:space="preserve">. </w:t>
      </w:r>
    </w:p>
    <w:p w:rsidR="00B42C16" w:rsidRDefault="00B42C16" w:rsidP="003701DB">
      <w:pPr>
        <w:numPr>
          <w:ilvl w:val="2"/>
          <w:numId w:val="7"/>
        </w:numPr>
        <w:autoSpaceDE w:val="0"/>
        <w:autoSpaceDN w:val="0"/>
        <w:adjustRightInd w:val="0"/>
      </w:pPr>
      <w:r w:rsidRPr="009448FC">
        <w:t xml:space="preserve">Replace bits </w:t>
      </w:r>
      <w:r w:rsidRPr="00B54522">
        <w:rPr>
          <w:position w:val="-12"/>
        </w:rPr>
        <w:object w:dxaOrig="620" w:dyaOrig="360">
          <v:shape id="_x0000_i1219" type="#_x0000_t75" style="width:31.7pt;height:17.65pt" o:ole="">
            <v:imagedata r:id="rId483" o:title=""/>
          </v:shape>
          <o:OLEObject Type="Embed" ProgID="Equation.DSMT4" ShapeID="_x0000_i1219" DrawAspect="Content" ObjectID="_1334048400" r:id="rId484"/>
        </w:object>
      </w:r>
      <w:r w:rsidRPr="009448FC">
        <w:t xml:space="preserve">though 336 of the codeword </w:t>
      </w:r>
      <w:r w:rsidRPr="009448FC">
        <w:rPr>
          <w:b/>
        </w:rPr>
        <w:t xml:space="preserve">c </w:t>
      </w:r>
      <w:r w:rsidRPr="009448FC">
        <w:t xml:space="preserve">with bits from the sequence </w:t>
      </w:r>
      <w:r w:rsidRPr="00950853">
        <w:rPr>
          <w:position w:val="-16"/>
        </w:rPr>
        <w:object w:dxaOrig="1400" w:dyaOrig="420">
          <v:shape id="_x0000_i1220" type="#_x0000_t75" style="width:70.65pt;height:20.4pt" o:ole="">
            <v:imagedata r:id="rId467" o:title=""/>
          </v:shape>
          <o:OLEObject Type="Embed" ProgID="Equation.DSMT4" ShapeID="_x0000_i1220" DrawAspect="Content" ObjectID="_1334048401" r:id="rId485"/>
        </w:object>
      </w:r>
      <w:r>
        <w:t xml:space="preserve"> </w:t>
      </w:r>
      <w:r w:rsidRPr="009448FC">
        <w:t>XOR’ed by a PN sequence which is generated from the LFSR used for data scrambling</w:t>
      </w:r>
      <w:r>
        <w:t xml:space="preserve"> </w:t>
      </w:r>
      <w:r w:rsidRPr="009448FC">
        <w:t xml:space="preserve">as defined in </w:t>
      </w:r>
      <w:fldSimple w:instr=" REF _Ref221601546 \r \h  \* MERGEFORMAT ">
        <w:r w:rsidR="003E4210">
          <w:t>21.3.9</w:t>
        </w:r>
      </w:fldSimple>
      <w:r w:rsidRPr="009448FC">
        <w:t xml:space="preserve">. The LFSR is initialized to the all ones vector and reinitialized to the same vector after every codeword. </w:t>
      </w:r>
    </w:p>
    <w:p w:rsidR="00B42C16" w:rsidRPr="009448FC" w:rsidRDefault="00B42C16" w:rsidP="00B42C16">
      <w:pPr>
        <w:autoSpaceDE w:val="0"/>
        <w:autoSpaceDN w:val="0"/>
        <w:adjustRightInd w:val="0"/>
      </w:pPr>
    </w:p>
    <w:p w:rsidR="00B42C16" w:rsidRPr="009448FC" w:rsidRDefault="00B42C16" w:rsidP="003701DB">
      <w:pPr>
        <w:numPr>
          <w:ilvl w:val="0"/>
          <w:numId w:val="17"/>
        </w:numPr>
        <w:tabs>
          <w:tab w:val="left" w:pos="4500"/>
        </w:tabs>
      </w:pPr>
      <w:r w:rsidRPr="009448FC">
        <w:t>The code words are the</w:t>
      </w:r>
      <w:r>
        <w:t>n</w:t>
      </w:r>
      <w:r w:rsidRPr="009448FC">
        <w:t xml:space="preserve"> concatenated one after the other to create the coded bits stream </w:t>
      </w:r>
      <w:r w:rsidRPr="009448FC">
        <w:rPr>
          <w:position w:val="-14"/>
        </w:rPr>
        <w:object w:dxaOrig="1740" w:dyaOrig="380">
          <v:shape id="_x0000_i1221" type="#_x0000_t75" style="width:86.5pt;height:17.65pt" o:ole="">
            <v:imagedata r:id="rId486" o:title=""/>
          </v:shape>
          <o:OLEObject Type="Embed" ProgID="Equation.3" ShapeID="_x0000_i1221" DrawAspect="Content" ObjectID="_1334048402" r:id="rId487"/>
        </w:object>
      </w:r>
      <w:r w:rsidRPr="009448FC">
        <w:t>.</w:t>
      </w:r>
    </w:p>
    <w:p w:rsidR="00B42C16" w:rsidRPr="009448FC" w:rsidRDefault="00B42C16" w:rsidP="003701DB">
      <w:pPr>
        <w:numPr>
          <w:ilvl w:val="0"/>
          <w:numId w:val="17"/>
        </w:numPr>
      </w:pPr>
      <w:r w:rsidRPr="009448FC">
        <w:t>The number of symbol blocks, N</w:t>
      </w:r>
      <w:r w:rsidRPr="009448FC">
        <w:rPr>
          <w:vertAlign w:val="subscript"/>
        </w:rPr>
        <w:t>BLKS</w:t>
      </w:r>
      <w:r w:rsidRPr="009448FC">
        <w:t>, and the number of symbol block padding bits, N</w:t>
      </w:r>
      <w:r w:rsidRPr="009448FC">
        <w:rPr>
          <w:vertAlign w:val="subscript"/>
        </w:rPr>
        <w:t>BLK_PAD</w:t>
      </w:r>
      <w:r w:rsidRPr="009448FC">
        <w:t>, are calculated:</w:t>
      </w:r>
    </w:p>
    <w:p w:rsidR="00B42C16" w:rsidRPr="009448FC" w:rsidRDefault="00B42C16" w:rsidP="00B42C16">
      <w:pPr>
        <w:ind w:left="360" w:firstLine="360"/>
      </w:pPr>
      <w:r w:rsidRPr="009448FC">
        <w:rPr>
          <w:position w:val="-52"/>
        </w:rPr>
        <w:object w:dxaOrig="3560" w:dyaOrig="1160">
          <v:shape id="_x0000_i1222" type="#_x0000_t75" style="width:177.95pt;height:58.85pt" o:ole="">
            <v:imagedata r:id="rId488" o:title=""/>
          </v:shape>
          <o:OLEObject Type="Embed" ProgID="Equation.3" ShapeID="_x0000_i1222" DrawAspect="Content" ObjectID="_1334048403" r:id="rId489"/>
        </w:object>
      </w:r>
      <w:r w:rsidRPr="009448FC">
        <w:t>,</w:t>
      </w:r>
    </w:p>
    <w:p w:rsidR="00B42C16" w:rsidRPr="009448FC" w:rsidRDefault="00B42C16" w:rsidP="00B42C16">
      <w:pPr>
        <w:ind w:left="360"/>
      </w:pPr>
    </w:p>
    <w:p w:rsidR="00B42C16" w:rsidRPr="009448FC" w:rsidRDefault="00B42C16" w:rsidP="00B42C16">
      <w:pPr>
        <w:ind w:left="720"/>
      </w:pPr>
      <w:r w:rsidRPr="009448FC">
        <w:t>where N</w:t>
      </w:r>
      <w:r w:rsidRPr="009448FC">
        <w:rPr>
          <w:vertAlign w:val="subscript"/>
        </w:rPr>
        <w:t>CBPB</w:t>
      </w:r>
      <w:r w:rsidRPr="009448FC">
        <w:t xml:space="preserve"> is the number of coded bits per symbol block, per </w:t>
      </w:r>
      <w:r w:rsidR="00BD151C">
        <w:fldChar w:fldCharType="begin"/>
      </w:r>
      <w:r w:rsidR="007E3F65">
        <w:instrText xml:space="preserve"> REF _Ref257278822 \h </w:instrText>
      </w:r>
      <w:r w:rsidR="00BD151C">
        <w:fldChar w:fldCharType="separate"/>
      </w:r>
      <w:r w:rsidR="003E4210">
        <w:t xml:space="preserve">Table </w:t>
      </w:r>
      <w:r w:rsidR="003E4210">
        <w:rPr>
          <w:noProof/>
        </w:rPr>
        <w:t>81</w:t>
      </w:r>
      <w:r w:rsidR="00BD151C">
        <w:fldChar w:fldCharType="end"/>
      </w:r>
      <w:r w:rsidR="007E3F65">
        <w:t xml:space="preserve"> </w:t>
      </w:r>
      <w:r w:rsidRPr="009448FC">
        <w:t xml:space="preserve">in subclause </w:t>
      </w:r>
      <w:r w:rsidR="00BD151C">
        <w:fldChar w:fldCharType="begin"/>
      </w:r>
      <w:r>
        <w:instrText xml:space="preserve"> REF _Ref246654376 \n \h </w:instrText>
      </w:r>
      <w:r w:rsidR="00BD151C">
        <w:fldChar w:fldCharType="separate"/>
      </w:r>
      <w:r w:rsidR="003E4210">
        <w:t>21.6.3.2.4</w:t>
      </w:r>
      <w:r w:rsidR="00BD151C">
        <w:fldChar w:fldCharType="end"/>
      </w:r>
      <w:r w:rsidRPr="009448FC">
        <w:t>.</w:t>
      </w:r>
    </w:p>
    <w:p w:rsidR="00B42C16" w:rsidRPr="009448FC" w:rsidRDefault="00B42C16" w:rsidP="003701DB">
      <w:pPr>
        <w:numPr>
          <w:ilvl w:val="0"/>
          <w:numId w:val="17"/>
        </w:numPr>
      </w:pPr>
      <w:r w:rsidRPr="009448FC">
        <w:t>The coded bit stream is concatenated with N</w:t>
      </w:r>
      <w:r w:rsidRPr="009448FC">
        <w:rPr>
          <w:vertAlign w:val="subscript"/>
        </w:rPr>
        <w:t>BLK_PAD</w:t>
      </w:r>
      <w:r w:rsidRPr="009448FC">
        <w:t xml:space="preserve"> zeros. They are scrambled using the continuation of the scrambler sequence that scrambled the PSDU input bits.</w:t>
      </w:r>
    </w:p>
    <w:p w:rsidR="00505F5F" w:rsidRPr="009448FC" w:rsidRDefault="00505F5F" w:rsidP="003701DB">
      <w:pPr>
        <w:pStyle w:val="Heading5"/>
        <w:keepNext w:val="0"/>
        <w:numPr>
          <w:ilvl w:val="4"/>
          <w:numId w:val="42"/>
        </w:numPr>
        <w:tabs>
          <w:tab w:val="clear" w:pos="1152"/>
        </w:tabs>
        <w:spacing w:after="60"/>
        <w:jc w:val="left"/>
      </w:pPr>
      <w:bookmarkStart w:id="3624" w:name="_Toc259717390"/>
      <w:r w:rsidRPr="009448FC">
        <w:t>Modulation Mapping</w:t>
      </w:r>
      <w:bookmarkEnd w:id="3622"/>
      <w:bookmarkEnd w:id="3623"/>
      <w:bookmarkEnd w:id="3624"/>
    </w:p>
    <w:p w:rsidR="00505F5F" w:rsidRPr="009448FC" w:rsidRDefault="00505F5F" w:rsidP="00505F5F">
      <w:r w:rsidRPr="009448FC">
        <w:t>The coded and padded bit stream is converted into a stream of complex constellation points according to the modulation specified in the MCS table.</w:t>
      </w:r>
    </w:p>
    <w:p w:rsidR="00505F5F" w:rsidRPr="009448FC" w:rsidRDefault="00934347" w:rsidP="003701DB">
      <w:pPr>
        <w:pStyle w:val="Heading6"/>
        <w:numPr>
          <w:ilvl w:val="5"/>
          <w:numId w:val="42"/>
        </w:numPr>
      </w:pPr>
      <w:bookmarkStart w:id="3625" w:name="_Ref227945616"/>
      <w:r w:rsidRPr="009448FC">
        <w:t>π</w:t>
      </w:r>
      <w:r w:rsidR="00505F5F" w:rsidRPr="009448FC">
        <w:t>/2-BPSK Modulation</w:t>
      </w:r>
      <w:bookmarkEnd w:id="3625"/>
    </w:p>
    <w:p w:rsidR="00505F5F" w:rsidRPr="009448FC" w:rsidRDefault="00505F5F" w:rsidP="006621CC">
      <w:r w:rsidRPr="009448FC">
        <w:t xml:space="preserve">In </w:t>
      </w:r>
      <w:r w:rsidR="00934347" w:rsidRPr="009448FC">
        <w:t>π</w:t>
      </w:r>
      <w:r w:rsidRPr="009448FC">
        <w:t>/2-BPSK modulation, the input bit stream is mapped according to the following equation:</w:t>
      </w:r>
      <w:r w:rsidR="00281486" w:rsidRPr="009448FC">
        <w:t xml:space="preserve"> </w:t>
      </w:r>
      <w:r w:rsidRPr="009448FC">
        <w:rPr>
          <w:position w:val="-12"/>
        </w:rPr>
        <w:object w:dxaOrig="1260" w:dyaOrig="360">
          <v:shape id="_x0000_i1223" type="#_x0000_t75" style="width:61.6pt;height:17.65pt" o:ole="">
            <v:imagedata r:id="rId490" o:title=""/>
          </v:shape>
          <o:OLEObject Type="Embed" ProgID="Equation.3" ShapeID="_x0000_i1223" DrawAspect="Content" ObjectID="_1334048404" r:id="rId491"/>
        </w:object>
      </w:r>
      <w:r w:rsidRPr="009448FC">
        <w:t>, where c</w:t>
      </w:r>
      <w:r w:rsidRPr="009448FC">
        <w:rPr>
          <w:vertAlign w:val="subscript"/>
        </w:rPr>
        <w:t>k</w:t>
      </w:r>
      <w:r w:rsidRPr="009448FC">
        <w:t xml:space="preserve"> is the k</w:t>
      </w:r>
      <w:r w:rsidRPr="009448FC">
        <w:rPr>
          <w:vertAlign w:val="superscript"/>
        </w:rPr>
        <w:t>th</w:t>
      </w:r>
      <w:r w:rsidRPr="009448FC">
        <w:t xml:space="preserve"> input coded (or scrambled pad) bit.</w:t>
      </w:r>
      <w:r w:rsidR="00281486" w:rsidRPr="009448FC">
        <w:t xml:space="preserve"> </w:t>
      </w:r>
      <w:r w:rsidRPr="009448FC">
        <w:t>Each output symbol is then rotated according to the following equation:</w:t>
      </w:r>
      <w:r w:rsidR="006621CC" w:rsidRPr="009448FC">
        <w:rPr>
          <w:position w:val="-12"/>
        </w:rPr>
        <w:object w:dxaOrig="1400" w:dyaOrig="380">
          <v:shape id="_x0000_i1224" type="#_x0000_t75" style="width:70.65pt;height:17.65pt" o:ole="">
            <v:imagedata r:id="rId492" o:title=""/>
          </v:shape>
          <o:OLEObject Type="Embed" ProgID="Equation.DSMT4" ShapeID="_x0000_i1224" DrawAspect="Content" ObjectID="_1334048405" r:id="rId493"/>
        </w:object>
      </w:r>
      <w:r w:rsidR="00655EA4" w:rsidRPr="009448FC">
        <w:t>.</w:t>
      </w:r>
    </w:p>
    <w:p w:rsidR="00505F5F" w:rsidRPr="009448FC" w:rsidRDefault="00505F5F" w:rsidP="00505F5F"/>
    <w:p w:rsidR="00505F5F" w:rsidRPr="009448FC" w:rsidRDefault="00BD151C" w:rsidP="00505F5F">
      <w:pPr>
        <w:jc w:val="center"/>
      </w:pPr>
      <w:r>
        <w:pict>
          <v:group id="_x0000_s1181" editas="canvas" style="position:absolute;margin-left:0;margin-top:0;width:95.75pt;height:95.75pt;z-index:251656192;mso-position-horizontal-relative:char;mso-position-vertical-relative:line" coordorigin="2592,773" coordsize="3200,3292">
            <o:lock v:ext="edit" aspectratio="t"/>
            <v:shape id="_x0000_s1182" type="#_x0000_t75" style="position:absolute;left:2592;top:773;width:3200;height:3292" o:preferrelative="f">
              <v:fill o:detectmouseclick="t"/>
              <v:path o:extrusionok="t" o:connecttype="none"/>
              <o:lock v:ext="edit" text="t"/>
            </v:shape>
            <v:line id="_x0000_s1183" style="position:absolute" from="4192,773" to="4192,4065">
              <v:shadow color="#969696"/>
            </v:line>
            <v:oval id="_x0000_s1184" style="position:absolute;left:5092;top:2316;width:200;height:206;v-text-anchor:middle" fillcolor="#0c9">
              <v:shadow color="#969696"/>
            </v:oval>
            <v:oval id="_x0000_s1185" style="position:absolute;left:3092;top:2316;width:200;height:206;v-text-anchor:middle" fillcolor="#0c9">
              <v:shadow color="#969696"/>
            </v:oval>
            <v:line id="_x0000_s1186" style="position:absolute;rotation:-90" from="4192,1290" to="4192,1490">
              <v:shadow color="#969696"/>
            </v:line>
            <v:line id="_x0000_s1187" style="position:absolute;rotation:-90" from="4192,3348" to="4192,3548">
              <v:shadow color="#969696"/>
            </v:line>
            <v:shape id="_x0000_s1188" type="#_x0000_t202" style="position:absolute;left:4892;top:2419;width:700;height:495" filled="f" fillcolor="#0c9" stroked="f">
              <v:shadow color="#969696"/>
              <v:textbox style="mso-next-textbox:#_x0000_s1188"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189" type="#_x0000_t202" style="position:absolute;left:2892;top:2419;width:700;height:495" filled="f" fillcolor="#0c9" stroked="f">
              <v:shadow color="#969696"/>
              <v:textbox style="mso-next-textbox:#_x0000_s1189"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190" type="#_x0000_t202" style="position:absolute;left:4192;top:1204;width:700;height:495" filled="f" fillcolor="#0c9" stroked="f">
              <v:shadow color="#969696"/>
              <v:textbox style="mso-next-textbox:#_x0000_s1190"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191" type="#_x0000_t202" style="position:absolute;left:4192;top:3242;width:700;height:495" filled="f" fillcolor="#0c9" stroked="f">
              <v:shadow color="#969696"/>
              <v:textbox style="mso-next-textbox:#_x0000_s1191"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192" type="#_x0000_t202" style="position:absolute;left:5092;top:1904;width:400;height:412" filled="f" fillcolor="#0c9" stroked="f">
              <v:shadow color="#969696"/>
              <v:textbox style="mso-next-textbox:#_x0000_s1192" inset="3.6pt,1.8pt,3.6pt,1.8pt">
                <w:txbxContent>
                  <w:p w:rsidR="00DB6E8E" w:rsidRPr="007F327C" w:rsidRDefault="00DB6E8E" w:rsidP="00505F5F">
                    <w:pPr>
                      <w:autoSpaceDE w:val="0"/>
                      <w:autoSpaceDN w:val="0"/>
                      <w:adjustRightInd w:val="0"/>
                      <w:rPr>
                        <w:rFonts w:ascii="Arial" w:hAnsi="Arial" w:cs="Arial"/>
                        <w:color w:val="000000"/>
                        <w:sz w:val="14"/>
                        <w:szCs w:val="28"/>
                      </w:rPr>
                    </w:pPr>
                    <w:r>
                      <w:rPr>
                        <w:rFonts w:ascii="Arial" w:cs="Arial"/>
                        <w:color w:val="000000"/>
                        <w:sz w:val="14"/>
                        <w:szCs w:val="28"/>
                      </w:rPr>
                      <w:t>1</w:t>
                    </w:r>
                  </w:p>
                </w:txbxContent>
              </v:textbox>
            </v:shape>
            <v:shape id="_x0000_s1193" type="#_x0000_t202" style="position:absolute;left:2892;top:1904;width:400;height:412" filled="f" fillcolor="#0c9" stroked="f">
              <v:shadow color="#969696"/>
              <v:textbox style="mso-next-textbox:#_x0000_s1193" inset="3.6pt,1.8pt,3.6pt,1.8pt">
                <w:txbxContent>
                  <w:p w:rsidR="00DB6E8E" w:rsidRPr="007F327C" w:rsidRDefault="00DB6E8E" w:rsidP="00505F5F">
                    <w:pPr>
                      <w:autoSpaceDE w:val="0"/>
                      <w:autoSpaceDN w:val="0"/>
                      <w:adjustRightInd w:val="0"/>
                      <w:rPr>
                        <w:rFonts w:ascii="Arial" w:hAnsi="Arial" w:cs="Arial"/>
                        <w:color w:val="000000"/>
                        <w:sz w:val="14"/>
                        <w:szCs w:val="28"/>
                      </w:rPr>
                    </w:pPr>
                    <w:r>
                      <w:rPr>
                        <w:rFonts w:ascii="Arial" w:cs="Arial"/>
                        <w:color w:val="000000"/>
                        <w:sz w:val="14"/>
                        <w:szCs w:val="28"/>
                      </w:rPr>
                      <w:t>0</w:t>
                    </w:r>
                  </w:p>
                </w:txbxContent>
              </v:textbox>
            </v:shape>
            <v:line id="_x0000_s1194" style="position:absolute;rotation:-90" from="4192,819" to="4192,4019">
              <v:shadow color="#969696"/>
            </v:line>
            <v:line id="_x0000_s1195" style="position:absolute" from="5192,2316" to="5192,2522">
              <v:shadow color="#969696"/>
            </v:line>
            <v:line id="_x0000_s1196" style="position:absolute" from="3192,2316" to="3192,2522">
              <v:shadow color="#969696"/>
            </v:line>
          </v:group>
        </w:pict>
      </w:r>
      <w:r>
        <w:pict>
          <v:shape id="_x0000_i1225" type="#_x0000_t75" style="width:95.55pt;height:95.55pt">
            <v:imagedata croptop="-65520f" cropbottom="65520f"/>
          </v:shape>
        </w:pict>
      </w:r>
    </w:p>
    <w:p w:rsidR="00505F5F" w:rsidRPr="00066F65" w:rsidRDefault="00BF47F1" w:rsidP="00BA5BC4">
      <w:pPr>
        <w:pStyle w:val="Caption"/>
        <w:rPr>
          <w:noProof/>
        </w:rPr>
      </w:pPr>
      <w:bookmarkStart w:id="3626" w:name="_Toc259717574"/>
      <w:r w:rsidRPr="00066F65">
        <w:t xml:space="preserve">Figure </w:t>
      </w:r>
      <w:r w:rsidR="00BD151C">
        <w:fldChar w:fldCharType="begin"/>
      </w:r>
      <w:r w:rsidR="00801316">
        <w:instrText xml:space="preserve"> SEQ Figure \* ARABIC </w:instrText>
      </w:r>
      <w:r w:rsidR="00BD151C">
        <w:fldChar w:fldCharType="separate"/>
      </w:r>
      <w:r w:rsidR="003E4210">
        <w:rPr>
          <w:noProof/>
        </w:rPr>
        <w:t>142</w:t>
      </w:r>
      <w:r w:rsidR="00BD151C">
        <w:fldChar w:fldCharType="end"/>
      </w:r>
      <w:r w:rsidR="00505F5F" w:rsidRPr="00066F65">
        <w:rPr>
          <w:noProof/>
        </w:rPr>
        <w:t xml:space="preserve"> – BPSK constellation bit encoding</w:t>
      </w:r>
      <w:bookmarkEnd w:id="3626"/>
      <w:r w:rsidR="0001228B" w:rsidRPr="00066F65">
        <w:rPr>
          <w:noProof/>
        </w:rPr>
        <w:t xml:space="preserve"> </w:t>
      </w:r>
    </w:p>
    <w:p w:rsidR="00505F5F" w:rsidRPr="009448FC" w:rsidRDefault="00505F5F" w:rsidP="00505F5F"/>
    <w:p w:rsidR="00505F5F" w:rsidRPr="009448FC" w:rsidRDefault="00CB4BB7" w:rsidP="00934347">
      <w:pPr>
        <w:rPr>
          <w:sz w:val="20"/>
        </w:rPr>
      </w:pPr>
      <w:r w:rsidRPr="009448FC">
        <w:rPr>
          <w:sz w:val="20"/>
        </w:rPr>
        <w:t xml:space="preserve">NOTE – </w:t>
      </w:r>
      <w:r w:rsidR="00505F5F" w:rsidRPr="009448FC">
        <w:rPr>
          <w:sz w:val="20"/>
        </w:rPr>
        <w:t xml:space="preserve">With appropriate choice of transmit filtering, </w:t>
      </w:r>
      <w:r w:rsidR="00934347" w:rsidRPr="009448FC">
        <w:rPr>
          <w:sz w:val="20"/>
        </w:rPr>
        <w:t>π</w:t>
      </w:r>
      <w:r w:rsidR="00505F5F" w:rsidRPr="009448FC">
        <w:rPr>
          <w:sz w:val="20"/>
        </w:rPr>
        <w:t>/2-BPSK is equivalent to a precoded pulse-shaped MSK (e.g., GMSK).</w:t>
      </w:r>
      <w:r w:rsidR="00281486" w:rsidRPr="009448FC">
        <w:rPr>
          <w:sz w:val="20"/>
        </w:rPr>
        <w:t xml:space="preserve"> </w:t>
      </w:r>
      <w:r w:rsidR="00505F5F" w:rsidRPr="009448FC">
        <w:rPr>
          <w:sz w:val="20"/>
        </w:rPr>
        <w:t xml:space="preserve">The precoder is simply </w:t>
      </w:r>
      <w:r w:rsidR="00505F5F" w:rsidRPr="009448FC">
        <w:rPr>
          <w:position w:val="-14"/>
          <w:sz w:val="20"/>
        </w:rPr>
        <w:object w:dxaOrig="2880" w:dyaOrig="380">
          <v:shape id="_x0000_i1226" type="#_x0000_t75" style="width:2in;height:17.65pt" o:ole="">
            <v:imagedata r:id="rId494" o:title=""/>
          </v:shape>
          <o:OLEObject Type="Embed" ProgID="Equation.3" ShapeID="_x0000_i1226" DrawAspect="Content" ObjectID="_1334048406" r:id="rId495"/>
        </w:object>
      </w:r>
      <w:r w:rsidR="00505F5F" w:rsidRPr="009448FC">
        <w:rPr>
          <w:sz w:val="20"/>
        </w:rPr>
        <w:t>, where b</w:t>
      </w:r>
      <w:r w:rsidR="00505F5F" w:rsidRPr="009448FC">
        <w:rPr>
          <w:sz w:val="20"/>
          <w:vertAlign w:val="subscript"/>
        </w:rPr>
        <w:t>in,k</w:t>
      </w:r>
      <w:r w:rsidR="00505F5F" w:rsidRPr="009448FC">
        <w:rPr>
          <w:sz w:val="20"/>
        </w:rPr>
        <w:t xml:space="preserve"> is the scrambled input stream, b</w:t>
      </w:r>
      <w:r w:rsidR="00505F5F" w:rsidRPr="009448FC">
        <w:rPr>
          <w:sz w:val="20"/>
          <w:vertAlign w:val="subscript"/>
        </w:rPr>
        <w:t>in,-1</w:t>
      </w:r>
      <w:r w:rsidR="00505F5F" w:rsidRPr="009448FC">
        <w:rPr>
          <w:sz w:val="20"/>
        </w:rPr>
        <w:t xml:space="preserve"> is 0, and b</w:t>
      </w:r>
      <w:r w:rsidR="00505F5F" w:rsidRPr="009448FC">
        <w:rPr>
          <w:sz w:val="20"/>
          <w:vertAlign w:val="subscript"/>
        </w:rPr>
        <w:t>out,k</w:t>
      </w:r>
      <w:r w:rsidR="00505F5F" w:rsidRPr="009448FC">
        <w:rPr>
          <w:sz w:val="20"/>
        </w:rPr>
        <w:t xml:space="preserve"> is the input to the (G)MSK modulator.</w:t>
      </w:r>
    </w:p>
    <w:p w:rsidR="00505F5F" w:rsidRPr="009448FC" w:rsidRDefault="00934347" w:rsidP="003701DB">
      <w:pPr>
        <w:pStyle w:val="Heading6"/>
        <w:numPr>
          <w:ilvl w:val="5"/>
          <w:numId w:val="42"/>
        </w:numPr>
      </w:pPr>
      <w:r w:rsidRPr="009448FC">
        <w:t>π</w:t>
      </w:r>
      <w:r w:rsidR="00505F5F" w:rsidRPr="009448FC">
        <w:t>/2-QPSK Modulation</w:t>
      </w:r>
    </w:p>
    <w:p w:rsidR="005B74CB" w:rsidRDefault="005B74CB" w:rsidP="00122C09"/>
    <w:p w:rsidR="005B74CB" w:rsidRPr="009448FC" w:rsidRDefault="005B74CB" w:rsidP="005B74CB">
      <w:r w:rsidRPr="009448FC">
        <w:t xml:space="preserve">In π/2-QPSK modulation, the input bit stream is grouped into sets of 2 bits and mapped according to the following equation: </w:t>
      </w:r>
      <w:r w:rsidRPr="001D2B38">
        <w:rPr>
          <w:position w:val="-28"/>
        </w:rPr>
        <w:object w:dxaOrig="4239" w:dyaOrig="680">
          <v:shape id="_x0000_i1227" type="#_x0000_t75" style="width:211.45pt;height:31.7pt" o:ole="">
            <v:imagedata r:id="rId496" o:title=""/>
          </v:shape>
          <o:OLEObject Type="Embed" ProgID="Equation.3" ShapeID="_x0000_i1227" DrawAspect="Content" ObjectID="_1334048407" r:id="rId497"/>
        </w:object>
      </w:r>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228" type="#_x0000_t75" style="width:70.65pt;height:17.65pt" o:ole="">
            <v:imagedata r:id="rId498" o:title=""/>
          </v:shape>
          <o:OLEObject Type="Embed" ProgID="Equation.DSMT4" ShapeID="_x0000_i1228" DrawAspect="Content" ObjectID="_1334048408" r:id="rId499"/>
        </w:object>
      </w:r>
      <w:r w:rsidRPr="009448FC">
        <w:t>.</w:t>
      </w:r>
    </w:p>
    <w:p w:rsidR="005B74CB" w:rsidRDefault="005B74CB" w:rsidP="005B74CB">
      <w:pPr>
        <w:jc w:val="center"/>
      </w:pPr>
      <w:r>
        <w:object w:dxaOrig="4590" w:dyaOrig="3656">
          <v:shape id="_x0000_i1229" type="#_x0000_t75" style="width:229.15pt;height:184.3pt" o:ole="">
            <v:imagedata r:id="rId500" o:title=""/>
          </v:shape>
          <o:OLEObject Type="Embed" ProgID="Visio.Drawing.11" ShapeID="_x0000_i1229" DrawAspect="Content" ObjectID="_1334048409" r:id="rId501"/>
        </w:object>
      </w:r>
    </w:p>
    <w:p w:rsidR="005B74CB" w:rsidRPr="00066F65" w:rsidRDefault="005B74CB" w:rsidP="005B74CB">
      <w:pPr>
        <w:pStyle w:val="Caption"/>
        <w:rPr>
          <w:noProof/>
        </w:rPr>
      </w:pPr>
      <w:bookmarkStart w:id="3627" w:name="_Toc259717575"/>
      <w:bookmarkStart w:id="3628" w:name="_Toc255741533"/>
      <w:r w:rsidRPr="00066F65">
        <w:t xml:space="preserve">Figure </w:t>
      </w:r>
      <w:r w:rsidR="00BD151C">
        <w:fldChar w:fldCharType="begin"/>
      </w:r>
      <w:r>
        <w:instrText xml:space="preserve"> SEQ Figure \* ARABIC </w:instrText>
      </w:r>
      <w:r w:rsidR="00BD151C">
        <w:fldChar w:fldCharType="separate"/>
      </w:r>
      <w:r w:rsidR="003E4210">
        <w:rPr>
          <w:noProof/>
        </w:rPr>
        <w:t>143</w:t>
      </w:r>
      <w:r w:rsidR="00BD151C">
        <w:fldChar w:fldCharType="end"/>
      </w:r>
      <w:r w:rsidRPr="00066F65">
        <w:rPr>
          <w:noProof/>
        </w:rPr>
        <w:t xml:space="preserve"> – </w:t>
      </w:r>
      <w:r>
        <w:rPr>
          <w:noProof/>
        </w:rPr>
        <w:t>Q</w:t>
      </w:r>
      <w:r w:rsidRPr="00066F65">
        <w:rPr>
          <w:noProof/>
        </w:rPr>
        <w:t>PSK constellation bit encoding</w:t>
      </w:r>
      <w:bookmarkEnd w:id="3627"/>
      <w:r w:rsidR="00BE1F31">
        <w:rPr>
          <w:noProof/>
        </w:rPr>
        <w:t xml:space="preserve"> </w:t>
      </w:r>
      <w:bookmarkEnd w:id="3628"/>
    </w:p>
    <w:p w:rsidR="003E4724" w:rsidRDefault="003828C2" w:rsidP="003701DB">
      <w:pPr>
        <w:pStyle w:val="Heading6"/>
        <w:numPr>
          <w:ilvl w:val="5"/>
          <w:numId w:val="42"/>
        </w:numPr>
      </w:pPr>
      <w:r w:rsidRPr="009448FC">
        <w:t>π/2-</w:t>
      </w:r>
      <w:r>
        <w:t>16</w:t>
      </w:r>
      <w:r w:rsidRPr="009448FC">
        <w:t>Q</w:t>
      </w:r>
      <w:r>
        <w:t>AM</w:t>
      </w:r>
      <w:r w:rsidRPr="009448FC">
        <w:t xml:space="preserve"> Modulation</w:t>
      </w:r>
    </w:p>
    <w:p w:rsidR="00A9692C" w:rsidRDefault="005C55A9" w:rsidP="00505F5F">
      <w:r>
        <w:rPr>
          <w:lang w:eastAsia="ko-KR"/>
        </w:rPr>
        <w:t xml:space="preserve"> </w:t>
      </w:r>
    </w:p>
    <w:p w:rsidR="003828C2" w:rsidRDefault="003828C2" w:rsidP="003828C2">
      <w:pPr>
        <w:autoSpaceDE w:val="0"/>
        <w:autoSpaceDN w:val="0"/>
        <w:adjustRightInd w:val="0"/>
        <w:rPr>
          <w:rFonts w:ascii="SymbolMT" w:cs="SymbolMT"/>
          <w:sz w:val="31"/>
          <w:szCs w:val="31"/>
        </w:rPr>
      </w:pPr>
      <w:r>
        <w:t xml:space="preserve">In </w:t>
      </w:r>
      <w:r>
        <w:rPr>
          <w:rFonts w:ascii="TimesNewRoman" w:cs="TimesNewRoman"/>
        </w:rPr>
        <w:t>π</w:t>
      </w:r>
      <w:r>
        <w:t xml:space="preserve">/2-16QAM modulation, the input bit stream is grouped into sets of 4 bits and mapped according to the following equation: </w:t>
      </w:r>
      <w:r w:rsidR="00E275F1" w:rsidRPr="00B43D3A">
        <w:rPr>
          <w:position w:val="-28"/>
        </w:rPr>
        <w:object w:dxaOrig="6500" w:dyaOrig="660">
          <v:shape id="_x0000_i1230" type="#_x0000_t75" style="width:325.6pt;height:31.7pt" o:ole="">
            <v:imagedata r:id="rId502" o:title=""/>
          </v:shape>
          <o:OLEObject Type="Embed" ProgID="Equation.3" ShapeID="_x0000_i1230" DrawAspect="Content" ObjectID="_1334048410" r:id="rId503"/>
        </w:object>
      </w:r>
    </w:p>
    <w:p w:rsidR="003E4724" w:rsidRDefault="003828C2">
      <w:pPr>
        <w:autoSpaceDE w:val="0"/>
        <w:autoSpaceDN w:val="0"/>
        <w:adjustRightInd w:val="0"/>
        <w:rPr>
          <w:b/>
          <w:i/>
          <w:iCs/>
          <w:sz w:val="28"/>
          <w:szCs w:val="20"/>
          <w:lang w:eastAsia="ja-JP" w:bidi="ar-SA"/>
        </w:rPr>
      </w:pPr>
      <w:r>
        <w:t xml:space="preserve">where k is the output symbol index, k =0, 1, …. Each output symbol is then rotated according to the following equation: </w:t>
      </w:r>
      <w:r w:rsidRPr="00B43D3A">
        <w:rPr>
          <w:position w:val="-10"/>
        </w:rPr>
        <w:object w:dxaOrig="1800" w:dyaOrig="360">
          <v:shape id="_x0000_i1231" type="#_x0000_t75" style="width:89.65pt;height:17.65pt" o:ole="">
            <v:imagedata r:id="rId504" o:title=""/>
          </v:shape>
          <o:OLEObject Type="Embed" ProgID="Equation.3" ShapeID="_x0000_i1231" DrawAspect="Content" ObjectID="_1334048411" r:id="rId505"/>
        </w:object>
      </w:r>
      <w:r>
        <w:t>.</w:t>
      </w:r>
    </w:p>
    <w:p w:rsidR="003828C2" w:rsidRPr="009448FC" w:rsidRDefault="003828C2" w:rsidP="00505F5F"/>
    <w:p w:rsidR="00505F5F" w:rsidRPr="009448FC" w:rsidRDefault="00505F5F" w:rsidP="003701DB">
      <w:pPr>
        <w:pStyle w:val="Heading5"/>
        <w:keepNext w:val="0"/>
        <w:numPr>
          <w:ilvl w:val="4"/>
          <w:numId w:val="42"/>
        </w:numPr>
        <w:tabs>
          <w:tab w:val="clear" w:pos="1152"/>
        </w:tabs>
        <w:spacing w:after="60"/>
        <w:jc w:val="left"/>
      </w:pPr>
      <w:bookmarkStart w:id="3629" w:name="_Toc215583046"/>
      <w:bookmarkStart w:id="3630" w:name="_Ref227945652"/>
      <w:bookmarkStart w:id="3631" w:name="_Ref232830612"/>
      <w:bookmarkStart w:id="3632" w:name="_Toc235400735"/>
      <w:bookmarkStart w:id="3633" w:name="_Ref242787021"/>
      <w:bookmarkStart w:id="3634" w:name="_Ref246654376"/>
      <w:bookmarkStart w:id="3635" w:name="_Toc259717391"/>
      <w:r w:rsidRPr="009448FC">
        <w:t>Symbol Blocking and Guard Insertion</w:t>
      </w:r>
      <w:bookmarkEnd w:id="3629"/>
      <w:bookmarkEnd w:id="3630"/>
      <w:bookmarkEnd w:id="3631"/>
      <w:bookmarkEnd w:id="3632"/>
      <w:bookmarkEnd w:id="3633"/>
      <w:bookmarkEnd w:id="3634"/>
      <w:bookmarkEnd w:id="3635"/>
    </w:p>
    <w:p w:rsidR="00505F5F" w:rsidRPr="009448FC" w:rsidRDefault="00505F5F" w:rsidP="00A9692C">
      <w:r w:rsidRPr="009448FC">
        <w:t>Each group of N</w:t>
      </w:r>
      <w:r w:rsidRPr="009448FC">
        <w:rPr>
          <w:vertAlign w:val="subscript"/>
        </w:rPr>
        <w:t>CBPB</w:t>
      </w:r>
      <w:r w:rsidRPr="009448FC">
        <w:t xml:space="preserve"> bits is pre-pended by </w:t>
      </w:r>
      <w:r w:rsidR="00934347" w:rsidRPr="009448FC">
        <w:t>π</w:t>
      </w:r>
      <w:r w:rsidRPr="009448FC">
        <w:t xml:space="preserve">/2-BPSK symbols generated by the </w:t>
      </w:r>
      <w:r w:rsidR="00A9692C" w:rsidRPr="009448FC">
        <w:t>64 point Golay sequence Ga</w:t>
      </w:r>
      <w:r w:rsidR="00A9692C" w:rsidRPr="009448FC">
        <w:rPr>
          <w:vertAlign w:val="subscript"/>
        </w:rPr>
        <w:t>64</w:t>
      </w:r>
      <w:r w:rsidR="00A9692C" w:rsidRPr="009448FC">
        <w:t xml:space="preserve"> defined in </w:t>
      </w:r>
      <w:r w:rsidR="00BD151C" w:rsidRPr="009448FC">
        <w:fldChar w:fldCharType="begin"/>
      </w:r>
      <w:r w:rsidR="00A9692C" w:rsidRPr="009448FC">
        <w:instrText xml:space="preserve"> REF _Ref228173952 \r \h </w:instrText>
      </w:r>
      <w:r w:rsidR="00BD151C" w:rsidRPr="009448FC">
        <w:fldChar w:fldCharType="separate"/>
      </w:r>
      <w:r w:rsidR="003E4210">
        <w:t>21.9</w:t>
      </w:r>
      <w:r w:rsidR="00BD151C" w:rsidRPr="009448FC">
        <w:fldChar w:fldCharType="end"/>
      </w:r>
      <w:r w:rsidR="00E2534F">
        <w:t>.</w:t>
      </w:r>
      <w:r w:rsidR="00A9692C" w:rsidRPr="009448FC">
        <w:t xml:space="preserve"> </w:t>
      </w:r>
      <w:r w:rsidRPr="009448FC">
        <w:t>N</w:t>
      </w:r>
      <w:r w:rsidRPr="009448FC">
        <w:rPr>
          <w:vertAlign w:val="subscript"/>
        </w:rPr>
        <w:t>CBPB</w:t>
      </w:r>
      <w:r w:rsidRPr="009448FC">
        <w:t xml:space="preserve"> values are shown in</w:t>
      </w:r>
      <w:r w:rsidR="007E3F65">
        <w:t xml:space="preserve"> </w:t>
      </w:r>
      <w:r w:rsidR="00BD151C">
        <w:fldChar w:fldCharType="begin"/>
      </w:r>
      <w:r w:rsidR="007E3F65">
        <w:instrText xml:space="preserve"> REF _Ref257278822 \h </w:instrText>
      </w:r>
      <w:r w:rsidR="00BD151C">
        <w:fldChar w:fldCharType="separate"/>
      </w:r>
      <w:r w:rsidR="003E4210">
        <w:t xml:space="preserve">Table </w:t>
      </w:r>
      <w:r w:rsidR="003E4210">
        <w:rPr>
          <w:noProof/>
        </w:rPr>
        <w:t>81</w:t>
      </w:r>
      <w:r w:rsidR="00BD151C">
        <w:fldChar w:fldCharType="end"/>
      </w:r>
      <w:r w:rsidRPr="009448FC">
        <w:t>.</w:t>
      </w:r>
      <w:r w:rsidR="00281486" w:rsidRPr="009448FC">
        <w:t xml:space="preserve"> </w:t>
      </w:r>
      <w:r w:rsidRPr="009448FC">
        <w:t xml:space="preserve">The starting index for the first symbol for </w:t>
      </w:r>
      <w:r w:rsidR="00934347" w:rsidRPr="009448FC">
        <w:t>π</w:t>
      </w:r>
      <w:r w:rsidRPr="009448FC">
        <w:t>/2 rotation is 0.</w:t>
      </w:r>
    </w:p>
    <w:p w:rsidR="00505F5F" w:rsidRPr="009448FC" w:rsidRDefault="00505F5F" w:rsidP="00505F5F"/>
    <w:p w:rsidR="00505F5F" w:rsidRDefault="005B492C" w:rsidP="005B492C">
      <w:pPr>
        <w:pStyle w:val="Caption"/>
      </w:pPr>
      <w:bookmarkStart w:id="3636" w:name="_Ref257278822"/>
      <w:bookmarkStart w:id="3637" w:name="_Toc225065796"/>
      <w:bookmarkStart w:id="3638" w:name="_Toc250654466"/>
      <w:bookmarkStart w:id="3639" w:name="_Toc259717659"/>
      <w:r>
        <w:t xml:space="preserve">Table </w:t>
      </w:r>
      <w:r w:rsidR="00BD151C">
        <w:fldChar w:fldCharType="begin"/>
      </w:r>
      <w:r>
        <w:instrText xml:space="preserve"> SEQ Table \* ARABIC </w:instrText>
      </w:r>
      <w:r w:rsidR="00BD151C">
        <w:fldChar w:fldCharType="separate"/>
      </w:r>
      <w:r w:rsidR="003E4210">
        <w:rPr>
          <w:noProof/>
        </w:rPr>
        <w:t>81</w:t>
      </w:r>
      <w:r w:rsidR="00BD151C">
        <w:fldChar w:fldCharType="end"/>
      </w:r>
      <w:bookmarkEnd w:id="3636"/>
      <w:r w:rsidR="00080054">
        <w:t xml:space="preserve"> </w:t>
      </w:r>
      <w:r w:rsidR="00A719A1" w:rsidRPr="00066F65">
        <w:t xml:space="preserve">– </w:t>
      </w:r>
      <w:r w:rsidR="00505F5F" w:rsidRPr="00066F65">
        <w:t>Values of N</w:t>
      </w:r>
      <w:r w:rsidR="00505F5F" w:rsidRPr="00CB22FD">
        <w:rPr>
          <w:vertAlign w:val="subscript"/>
        </w:rPr>
        <w:t>CBPB</w:t>
      </w:r>
      <w:bookmarkEnd w:id="3637"/>
      <w:bookmarkEnd w:id="3638"/>
      <w:bookmarkEnd w:id="3639"/>
      <w:r w:rsidR="006D7BC0">
        <w:t xml:space="preserve"> </w:t>
      </w:r>
    </w:p>
    <w:p w:rsidR="005B492C" w:rsidRPr="005B492C" w:rsidRDefault="005B492C" w:rsidP="005B492C">
      <w:pPr>
        <w:rPr>
          <w:lang w:bidi="ar-SA"/>
        </w:rPr>
      </w:pPr>
    </w:p>
    <w:tbl>
      <w:tblPr>
        <w:tblW w:w="3780" w:type="dxa"/>
        <w:jc w:val="center"/>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tblGrid>
      <w:tr w:rsidR="00505F5F" w:rsidRPr="00066F65" w:rsidTr="00CB4BB7">
        <w:trPr>
          <w:cantSplit/>
          <w:trHeight w:val="285"/>
          <w:tblHeader/>
          <w:jc w:val="center"/>
        </w:trPr>
        <w:tc>
          <w:tcPr>
            <w:tcW w:w="1980" w:type="dxa"/>
            <w:shd w:val="clear" w:color="auto" w:fill="auto"/>
            <w:noWrap/>
            <w:vAlign w:val="bottom"/>
          </w:tcPr>
          <w:p w:rsidR="00505F5F" w:rsidRPr="009448FC" w:rsidRDefault="00505F5F" w:rsidP="00AB3E81">
            <w:pPr>
              <w:jc w:val="center"/>
            </w:pPr>
            <w:r w:rsidRPr="009448FC">
              <w:t>Symbol Mapping</w:t>
            </w:r>
          </w:p>
        </w:tc>
        <w:tc>
          <w:tcPr>
            <w:tcW w:w="1800" w:type="dxa"/>
            <w:shd w:val="clear" w:color="auto" w:fill="auto"/>
            <w:noWrap/>
            <w:vAlign w:val="bottom"/>
          </w:tcPr>
          <w:p w:rsidR="00505F5F" w:rsidRPr="009448FC" w:rsidRDefault="00505F5F" w:rsidP="00AB3E81">
            <w:pPr>
              <w:jc w:val="center"/>
            </w:pPr>
            <w:r w:rsidRPr="009448FC">
              <w:t>N</w:t>
            </w:r>
            <w:r w:rsidRPr="009448FC">
              <w:rPr>
                <w:vertAlign w:val="subscript"/>
              </w:rPr>
              <w:t>CBPB</w:t>
            </w:r>
          </w:p>
        </w:tc>
      </w:tr>
      <w:tr w:rsidR="00505F5F" w:rsidRPr="00066F65" w:rsidTr="00CB4BB7">
        <w:trPr>
          <w:trHeight w:val="270"/>
          <w:tblHeader/>
          <w:jc w:val="center"/>
        </w:trPr>
        <w:tc>
          <w:tcPr>
            <w:tcW w:w="1980" w:type="dxa"/>
            <w:shd w:val="clear" w:color="auto" w:fill="auto"/>
            <w:noWrap/>
            <w:vAlign w:val="bottom"/>
          </w:tcPr>
          <w:p w:rsidR="00505F5F" w:rsidRPr="009448FC" w:rsidRDefault="00934347" w:rsidP="00AB3E81">
            <w:pPr>
              <w:jc w:val="center"/>
            </w:pPr>
            <w:r w:rsidRPr="009448FC">
              <w:t>π</w:t>
            </w:r>
            <w:r w:rsidR="00505F5F" w:rsidRPr="009448FC">
              <w:t>/2-BPSK</w:t>
            </w:r>
          </w:p>
        </w:tc>
        <w:tc>
          <w:tcPr>
            <w:tcW w:w="1800" w:type="dxa"/>
            <w:shd w:val="clear" w:color="auto" w:fill="auto"/>
            <w:noWrap/>
            <w:vAlign w:val="bottom"/>
          </w:tcPr>
          <w:p w:rsidR="00505F5F" w:rsidRPr="009448FC" w:rsidRDefault="00505F5F" w:rsidP="00AB3E81">
            <w:pPr>
              <w:jc w:val="center"/>
            </w:pPr>
            <w:r w:rsidRPr="009448FC">
              <w:t>448</w:t>
            </w:r>
          </w:p>
        </w:tc>
      </w:tr>
      <w:tr w:rsidR="00505F5F" w:rsidRPr="00066F65" w:rsidTr="00CB4BB7">
        <w:trPr>
          <w:trHeight w:val="62"/>
          <w:tblHeader/>
          <w:jc w:val="center"/>
        </w:trPr>
        <w:tc>
          <w:tcPr>
            <w:tcW w:w="1980" w:type="dxa"/>
            <w:shd w:val="clear" w:color="auto" w:fill="auto"/>
            <w:noWrap/>
            <w:vAlign w:val="bottom"/>
          </w:tcPr>
          <w:p w:rsidR="00505F5F" w:rsidRPr="009448FC" w:rsidRDefault="00934347" w:rsidP="00AB3E81">
            <w:pPr>
              <w:jc w:val="center"/>
            </w:pPr>
            <w:r w:rsidRPr="009448FC">
              <w:t>π</w:t>
            </w:r>
            <w:r w:rsidR="00505F5F" w:rsidRPr="009448FC">
              <w:t>/2-QPSK</w:t>
            </w:r>
          </w:p>
        </w:tc>
        <w:tc>
          <w:tcPr>
            <w:tcW w:w="1800" w:type="dxa"/>
            <w:shd w:val="clear" w:color="auto" w:fill="auto"/>
            <w:noWrap/>
            <w:vAlign w:val="bottom"/>
          </w:tcPr>
          <w:p w:rsidR="00505F5F" w:rsidRPr="009448FC" w:rsidRDefault="00505F5F" w:rsidP="00AB3E81">
            <w:pPr>
              <w:jc w:val="center"/>
            </w:pPr>
            <w:r w:rsidRPr="009448FC">
              <w:t>896</w:t>
            </w:r>
          </w:p>
        </w:tc>
      </w:tr>
      <w:tr w:rsidR="00386A1C" w:rsidRPr="00066F65" w:rsidTr="00CB4BB7">
        <w:trPr>
          <w:trHeight w:val="62"/>
          <w:tblHeader/>
          <w:jc w:val="center"/>
        </w:trPr>
        <w:tc>
          <w:tcPr>
            <w:tcW w:w="1980" w:type="dxa"/>
            <w:shd w:val="clear" w:color="auto" w:fill="auto"/>
            <w:noWrap/>
            <w:vAlign w:val="bottom"/>
          </w:tcPr>
          <w:p w:rsidR="003E4724" w:rsidRDefault="00386A1C">
            <w:pPr>
              <w:jc w:val="center"/>
            </w:pPr>
            <w:r w:rsidRPr="009448FC">
              <w:t>π/2-</w:t>
            </w:r>
            <w:r>
              <w:t>16QAM</w:t>
            </w:r>
          </w:p>
        </w:tc>
        <w:tc>
          <w:tcPr>
            <w:tcW w:w="1800" w:type="dxa"/>
            <w:shd w:val="clear" w:color="auto" w:fill="auto"/>
            <w:noWrap/>
            <w:vAlign w:val="bottom"/>
          </w:tcPr>
          <w:p w:rsidR="00386A1C" w:rsidRPr="009448FC" w:rsidRDefault="00386A1C" w:rsidP="00AB3E81">
            <w:pPr>
              <w:jc w:val="center"/>
            </w:pPr>
            <w:r>
              <w:t>1792</w:t>
            </w:r>
          </w:p>
        </w:tc>
      </w:tr>
    </w:tbl>
    <w:p w:rsidR="00505F5F" w:rsidRPr="009448FC" w:rsidRDefault="00505F5F" w:rsidP="00505F5F"/>
    <w:p w:rsidR="00505F5F" w:rsidRPr="009448FC" w:rsidRDefault="00505F5F" w:rsidP="00505F5F">
      <w:r w:rsidRPr="009448FC">
        <w:t>The final block transmitted is followed by the same Golay sequence guard interval.</w:t>
      </w:r>
    </w:p>
    <w:p w:rsidR="00505F5F" w:rsidRPr="009448FC" w:rsidRDefault="00505F5F" w:rsidP="00505F5F">
      <w:pPr>
        <w:jc w:val="center"/>
      </w:pPr>
    </w:p>
    <w:p w:rsidR="00505F5F" w:rsidRPr="009448FC" w:rsidRDefault="00BD151C" w:rsidP="00505F5F">
      <w:pPr>
        <w:jc w:val="center"/>
      </w:pPr>
      <w:r>
        <w:pict>
          <v:group id="_x0000_s1197" editas="canvas" style="position:absolute;margin-left:0;margin-top:0;width:6in;height:42.35pt;z-index:251657216;mso-position-horizontal-relative:char;mso-position-vertical-relative:line" coordorigin="2592,12347" coordsize="10200,1029">
            <o:lock v:ext="edit" aspectratio="t"/>
            <v:shape id="_x0000_s1198" type="#_x0000_t75" style="position:absolute;left:2592;top:12347;width:10200;height:1029" o:preferrelative="f">
              <v:fill o:detectmouseclick="t"/>
              <v:path o:extrusionok="t" o:connecttype="none"/>
              <o:lock v:ext="edit" text="t"/>
            </v:shape>
            <v:rect id="_x0000_s1199" style="position:absolute;left:3092;top:12759;width:2800;height:617;mso-wrap-style:none;v-text-anchor:middle" fillcolor="#0c9">
              <v:shadow color="#969696"/>
            </v:rect>
            <v:rect id="_x0000_s1200" style="position:absolute;left:2692;top:12759;width:400;height:617;mso-wrap-style:none;v-text-anchor:middle" fillcolor="aqua">
              <v:shadow color="#969696"/>
            </v:rect>
            <v:rect id="_x0000_s1201" style="position:absolute;left:6292;top:12759;width:2800;height:617;mso-wrap-style:none;v-text-anchor:middle" fillcolor="#0c9">
              <v:shadow color="#969696"/>
            </v:rect>
            <v:rect id="_x0000_s1202" style="position:absolute;left:5892;top:12759;width:400;height:617;mso-wrap-style:none;v-text-anchor:middle" fillcolor="aqua">
              <v:shadow color="#969696"/>
            </v:rect>
            <v:rect id="_x0000_s1203" style="position:absolute;left:9492;top:12759;width:2800;height:617;mso-wrap-style:none;v-text-anchor:middle" fillcolor="#0c9">
              <v:shadow color="#969696"/>
            </v:rect>
            <v:rect id="_x0000_s1204" style="position:absolute;left:9092;top:12759;width:400;height:617;mso-wrap-style:none;v-text-anchor:middle" fillcolor="aqua">
              <v:shadow color="#969696"/>
            </v:rect>
            <v:shape id="_x0000_s1205" type="#_x0000_t202" style="position:absolute;left:3792;top:12862;width:1800;height:411" filled="f" fillcolor="#0c9" stroked="f">
              <v:shadow color="#969696"/>
              <v:textbox style="mso-next-textbox:#_x0000_s1205;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206" type="#_x0000_t202" style="position:absolute;left:6992;top:12862;width:1800;height:411" filled="f" fillcolor="#0c9" stroked="f">
              <v:shadow color="#969696"/>
              <v:textbox style="mso-next-textbox:#_x0000_s1206;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207" type="#_x0000_t202" style="position:absolute;left:10192;top:12862;width:1800;height:411" filled="f" fillcolor="#0c9" stroked="f">
              <v:shadow color="#969696"/>
              <v:textbox style="mso-next-textbox:#_x0000_s1207;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208" type="#_x0000_t202" style="position:absolute;left:2592;top:12862;width:600;height:411" filled="f" fillcolor="#0c9" stroked="f">
              <v:shadow color="#969696"/>
              <v:textbox style="mso-next-textbox:#_x0000_s1208;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09" type="#_x0000_t202" style="position:absolute;left:5792;top:12862;width:600;height:411" filled="f" fillcolor="#0c9" stroked="f">
              <v:shadow color="#969696"/>
              <v:textbox style="mso-next-textbox:#_x0000_s1209;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10" type="#_x0000_t202" style="position:absolute;left:8992;top:12862;width:600;height:411" filled="f" fillcolor="#0c9" stroked="f">
              <v:shadow color="#969696"/>
              <v:textbox style="mso-next-textbox:#_x0000_s1210;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11" type="#_x0000_t202" style="position:absolute;left:2592;top:12347;width:600;height:412" filled="f" fillcolor="#0c9" stroked="f">
              <v:shadow color="#969696"/>
              <v:textbox style="mso-next-textbox:#_x0000_s1211;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212" type="#_x0000_t202" style="position:absolute;left:3992;top:12347;width:1000;height:412" filled="f" fillcolor="#0c9" stroked="f">
              <v:shadow color="#969696"/>
              <v:textbox style="mso-next-textbox:#_x0000_s1212;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213" type="#_x0000_t202" style="position:absolute;left:5792;top:12347;width:600;height:412" filled="f" fillcolor="#0c9" stroked="f">
              <v:shadow color="#969696"/>
              <v:textbox style="mso-next-textbox:#_x0000_s1213;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214" type="#_x0000_t202" style="position:absolute;left:7192;top:12347;width:1000;height:412" filled="f" fillcolor="#0c9" stroked="f">
              <v:shadow color="#969696"/>
              <v:textbox style="mso-next-textbox:#_x0000_s1214;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215" type="#_x0000_t202" style="position:absolute;left:8992;top:12347;width:600;height:412" filled="f" fillcolor="#0c9" stroked="f">
              <v:shadow color="#969696"/>
              <v:textbox style="mso-next-textbox:#_x0000_s1215;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216" type="#_x0000_t202" style="position:absolute;left:10392;top:12347;width:1000;height:412" filled="f" fillcolor="#0c9" stroked="f">
              <v:shadow color="#969696"/>
              <v:textbox style="mso-next-textbox:#_x0000_s1216;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rect id="_x0000_s1217" style="position:absolute;left:12292;top:12759;width:400;height:617;mso-wrap-style:none;v-text-anchor:middle" fillcolor="aqua">
              <v:shadow color="#969696"/>
            </v:rect>
            <v:shape id="_x0000_s1218" type="#_x0000_t202" style="position:absolute;left:12192;top:12862;width:600;height:411" filled="f" fillcolor="#0c9" stroked="f">
              <v:shadow color="#969696"/>
              <v:textbox style="mso-next-textbox:#_x0000_s1218;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19" type="#_x0000_t202" style="position:absolute;left:12192;top:12347;width:600;height:412" filled="f" fillcolor="#0c9" stroked="f">
              <v:shadow color="#969696"/>
              <v:textbox style="mso-next-textbox:#_x0000_s1219;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group>
        </w:pict>
      </w:r>
      <w:r>
        <w:pict>
          <v:shape id="_x0000_i1232" type="#_x0000_t75" style="width:6in;height:42.1pt">
            <v:imagedata croptop="-65520f" cropbottom="65520f"/>
          </v:shape>
        </w:pict>
      </w:r>
    </w:p>
    <w:p w:rsidR="00505F5F" w:rsidRPr="009448FC" w:rsidRDefault="00505F5F" w:rsidP="00505F5F">
      <w:pPr>
        <w:keepNext/>
      </w:pPr>
    </w:p>
    <w:p w:rsidR="00505F5F" w:rsidRPr="00066F65" w:rsidRDefault="00BF47F1" w:rsidP="00BA5BC4">
      <w:pPr>
        <w:pStyle w:val="Caption"/>
      </w:pPr>
      <w:bookmarkStart w:id="3640" w:name="_Toc259717576"/>
      <w:r w:rsidRPr="00066F65">
        <w:t xml:space="preserve">Figure </w:t>
      </w:r>
      <w:r w:rsidR="00BD151C">
        <w:fldChar w:fldCharType="begin"/>
      </w:r>
      <w:r w:rsidR="00801316">
        <w:instrText xml:space="preserve"> SEQ Figure \* ARABIC </w:instrText>
      </w:r>
      <w:r w:rsidR="00BD151C">
        <w:fldChar w:fldCharType="separate"/>
      </w:r>
      <w:r w:rsidR="003E4210">
        <w:rPr>
          <w:noProof/>
        </w:rPr>
        <w:t>144</w:t>
      </w:r>
      <w:r w:rsidR="00BD151C">
        <w:fldChar w:fldCharType="end"/>
      </w:r>
      <w:r w:rsidR="00A719A1" w:rsidRPr="00066F65">
        <w:t xml:space="preserve"> </w:t>
      </w:r>
      <w:r w:rsidR="00505F5F" w:rsidRPr="00066F65">
        <w:rPr>
          <w:noProof/>
        </w:rPr>
        <w:t>– Block transmission</w:t>
      </w:r>
      <w:bookmarkEnd w:id="3640"/>
    </w:p>
    <w:bookmarkEnd w:id="3578"/>
    <w:bookmarkEnd w:id="3579"/>
    <w:bookmarkEnd w:id="3580"/>
    <w:bookmarkEnd w:id="3581"/>
    <w:bookmarkEnd w:id="3582"/>
    <w:bookmarkEnd w:id="3583"/>
    <w:bookmarkEnd w:id="3584"/>
    <w:bookmarkEnd w:id="3585"/>
    <w:p w:rsidR="00B243B6" w:rsidRPr="009448FC" w:rsidRDefault="00B243B6" w:rsidP="001A20F2"/>
    <w:p w:rsidR="00B243B6" w:rsidRPr="009448FC" w:rsidRDefault="00B243B6" w:rsidP="003701DB">
      <w:pPr>
        <w:pStyle w:val="Heading3"/>
        <w:numPr>
          <w:ilvl w:val="2"/>
          <w:numId w:val="42"/>
        </w:numPr>
      </w:pPr>
      <w:bookmarkStart w:id="3641" w:name="_Toc201721993"/>
      <w:bookmarkStart w:id="3642" w:name="_Toc206227733"/>
      <w:bookmarkStart w:id="3643" w:name="_Toc206415680"/>
      <w:bookmarkStart w:id="3644" w:name="_Toc206418487"/>
      <w:bookmarkStart w:id="3645" w:name="_Toc207099242"/>
      <w:bookmarkStart w:id="3646" w:name="_Toc207099847"/>
      <w:bookmarkStart w:id="3647" w:name="_Toc207100766"/>
      <w:bookmarkStart w:id="3648" w:name="_Toc207348688"/>
      <w:bookmarkStart w:id="3649" w:name="_Toc215583047"/>
      <w:bookmarkStart w:id="3650" w:name="_Toc235400736"/>
      <w:bookmarkStart w:id="3651" w:name="_Toc259717392"/>
      <w:r w:rsidRPr="009448FC">
        <w:lastRenderedPageBreak/>
        <w:t>Performance requirements</w:t>
      </w:r>
      <w:bookmarkEnd w:id="3641"/>
      <w:bookmarkEnd w:id="3642"/>
      <w:bookmarkEnd w:id="3643"/>
      <w:bookmarkEnd w:id="3644"/>
      <w:bookmarkEnd w:id="3645"/>
      <w:bookmarkEnd w:id="3646"/>
      <w:bookmarkEnd w:id="3647"/>
      <w:bookmarkEnd w:id="3648"/>
      <w:bookmarkEnd w:id="3649"/>
      <w:bookmarkEnd w:id="3650"/>
      <w:bookmarkEnd w:id="3651"/>
      <w:r w:rsidR="000D1CC2" w:rsidRPr="009448FC">
        <w:t xml:space="preserve"> </w:t>
      </w:r>
    </w:p>
    <w:p w:rsidR="000D1CC2" w:rsidRPr="009448FC" w:rsidRDefault="000D1CC2" w:rsidP="00AC6698">
      <w:pPr>
        <w:rPr>
          <w:rFonts w:eastAsia="MS Mincho"/>
        </w:rPr>
      </w:pPr>
      <w:r w:rsidRPr="009448FC">
        <w:rPr>
          <w:rFonts w:eastAsia="MS Mincho"/>
        </w:rPr>
        <w:t xml:space="preserve">This </w:t>
      </w:r>
      <w:r w:rsidR="004D7260">
        <w:rPr>
          <w:rFonts w:eastAsia="MS Mincho"/>
        </w:rPr>
        <w:t xml:space="preserve">subclause </w:t>
      </w:r>
      <w:r w:rsidRPr="009448FC">
        <w:rPr>
          <w:rFonts w:eastAsia="MS Mincho"/>
        </w:rPr>
        <w:t>describes the performance requirement from the SC PHY.</w:t>
      </w:r>
    </w:p>
    <w:p w:rsidR="00B243B6" w:rsidRPr="009448FC" w:rsidRDefault="00B243B6" w:rsidP="003701DB">
      <w:pPr>
        <w:pStyle w:val="Heading4"/>
        <w:numPr>
          <w:ilvl w:val="3"/>
          <w:numId w:val="42"/>
        </w:numPr>
      </w:pPr>
      <w:bookmarkStart w:id="3652" w:name="_Toc201721994"/>
      <w:bookmarkStart w:id="3653" w:name="_Toc206227734"/>
      <w:bookmarkStart w:id="3654" w:name="_Toc206415681"/>
      <w:bookmarkStart w:id="3655" w:name="_Toc206418488"/>
      <w:bookmarkStart w:id="3656" w:name="_Toc207099243"/>
      <w:bookmarkStart w:id="3657" w:name="_Toc207099848"/>
      <w:bookmarkStart w:id="3658" w:name="_Toc207100767"/>
      <w:bookmarkStart w:id="3659" w:name="_Toc207348689"/>
      <w:bookmarkStart w:id="3660" w:name="_Toc215583048"/>
      <w:bookmarkStart w:id="3661" w:name="_Toc235400737"/>
      <w:bookmarkStart w:id="3662" w:name="_Toc259717393"/>
      <w:r w:rsidRPr="009448FC">
        <w:t>Transmit Requirements</w:t>
      </w:r>
      <w:bookmarkEnd w:id="3652"/>
      <w:bookmarkEnd w:id="3653"/>
      <w:bookmarkEnd w:id="3654"/>
      <w:bookmarkEnd w:id="3655"/>
      <w:bookmarkEnd w:id="3656"/>
      <w:bookmarkEnd w:id="3657"/>
      <w:bookmarkEnd w:id="3658"/>
      <w:bookmarkEnd w:id="3659"/>
      <w:bookmarkEnd w:id="3660"/>
      <w:bookmarkEnd w:id="3661"/>
      <w:bookmarkEnd w:id="3662"/>
      <w:r w:rsidR="000D1CC2" w:rsidRPr="009448FC">
        <w:t xml:space="preserve"> </w:t>
      </w:r>
    </w:p>
    <w:p w:rsidR="000D1CC2" w:rsidRPr="009448FC" w:rsidRDefault="000D1CC2" w:rsidP="000D1CC2"/>
    <w:p w:rsidR="00B243B6" w:rsidRPr="009448FC" w:rsidRDefault="00B243B6" w:rsidP="003701DB">
      <w:pPr>
        <w:pStyle w:val="Heading5"/>
        <w:keepNext w:val="0"/>
        <w:numPr>
          <w:ilvl w:val="4"/>
          <w:numId w:val="42"/>
        </w:numPr>
        <w:tabs>
          <w:tab w:val="clear" w:pos="1152"/>
        </w:tabs>
        <w:spacing w:after="60"/>
        <w:jc w:val="left"/>
      </w:pPr>
      <w:bookmarkStart w:id="3663" w:name="_Toc259717394"/>
      <w:bookmarkStart w:id="3664" w:name="_Toc201721995"/>
      <w:bookmarkStart w:id="3665" w:name="_Toc206227735"/>
      <w:bookmarkStart w:id="3666" w:name="_Toc206415682"/>
      <w:bookmarkStart w:id="3667" w:name="_Toc206418489"/>
      <w:bookmarkStart w:id="3668" w:name="_Toc207099244"/>
      <w:bookmarkStart w:id="3669" w:name="_Toc207099849"/>
      <w:bookmarkStart w:id="3670" w:name="_Toc207100768"/>
      <w:bookmarkStart w:id="3671" w:name="_Toc207348690"/>
      <w:bookmarkStart w:id="3672" w:name="_Toc215583049"/>
      <w:bookmarkStart w:id="3673" w:name="_Toc235400738"/>
      <w:r w:rsidRPr="009448FC">
        <w:t>Transmit EVM</w:t>
      </w:r>
      <w:bookmarkEnd w:id="3663"/>
      <w:r w:rsidRPr="009448FC">
        <w:t xml:space="preserve"> </w:t>
      </w:r>
      <w:bookmarkEnd w:id="3664"/>
      <w:bookmarkEnd w:id="3665"/>
      <w:bookmarkEnd w:id="3666"/>
      <w:bookmarkEnd w:id="3667"/>
      <w:bookmarkEnd w:id="3668"/>
      <w:bookmarkEnd w:id="3669"/>
      <w:bookmarkEnd w:id="3670"/>
      <w:bookmarkEnd w:id="3671"/>
      <w:bookmarkEnd w:id="3672"/>
      <w:bookmarkEnd w:id="3673"/>
    </w:p>
    <w:p w:rsidR="000D1CC2" w:rsidRPr="009448FC" w:rsidRDefault="000D1CC2" w:rsidP="000D1CC2">
      <w:pPr>
        <w:rPr>
          <w:rFonts w:eastAsia="MS Mincho"/>
        </w:rPr>
      </w:pPr>
      <w:r w:rsidRPr="009448FC">
        <w:rPr>
          <w:rFonts w:eastAsia="MS Mincho"/>
        </w:rPr>
        <w:t>The transmit EVM</w:t>
      </w:r>
      <w:r w:rsidR="00281486" w:rsidRPr="009448FC">
        <w:rPr>
          <w:rFonts w:eastAsia="MS Mincho"/>
        </w:rPr>
        <w:t xml:space="preserve"> </w:t>
      </w:r>
      <w:r w:rsidRPr="009448FC">
        <w:rPr>
          <w:rFonts w:eastAsia="MS Mincho"/>
        </w:rPr>
        <w:t>accuracy test shall be performed by instrumentation capable of converting the transmitted signal into a stream of complex samples, with sufficient accuracy in</w:t>
      </w:r>
      <w:r w:rsidR="00B63F3C" w:rsidRPr="009448FC">
        <w:rPr>
          <w:rFonts w:eastAsia="MS Mincho"/>
        </w:rPr>
        <w:t xml:space="preserve"> </w:t>
      </w:r>
      <w:r w:rsidRPr="009448FC">
        <w:rPr>
          <w:rFonts w:eastAsia="MS Mincho"/>
        </w:rPr>
        <w:t xml:space="preserve">terms of I/Q arm amplitude and phase balance, dc offsets, phase noise, etc. </w:t>
      </w:r>
    </w:p>
    <w:p w:rsidR="00B63F3C" w:rsidRPr="009448FC" w:rsidRDefault="00B63F3C" w:rsidP="000D1CC2">
      <w:pPr>
        <w:rPr>
          <w:rFonts w:eastAsia="MS Mincho"/>
        </w:rPr>
      </w:pPr>
    </w:p>
    <w:p w:rsidR="000D1CC2" w:rsidRDefault="000D1CC2" w:rsidP="000D1CC2">
      <w:r w:rsidRPr="009448FC">
        <w:rPr>
          <w:rFonts w:eastAsia="MS Mincho"/>
        </w:rPr>
        <w:t xml:space="preserve">The sampled signal shall be processed by </w:t>
      </w:r>
      <w:r w:rsidRPr="009448FC">
        <w:t>a receiver that is capable of converting the transmitted signal into a stream of complex samples at sufficient rate or more, with sufficient accuracy in terms of I/Q arm amplitude and phase balance, DC offsets, and phase noise. It shall perform carrier lock, symbol timing recovery and amplitude adjustment while making the measurements. For the SC PHY EVM, measuring Ns samples at the sample rate, the measured chips should not contain the first and the last hundred chips of a given packet (ramp up/down) the EVM will be calculated according to the formula below:</w:t>
      </w:r>
    </w:p>
    <w:p w:rsidR="000D1CC2" w:rsidRPr="009448FC" w:rsidRDefault="000D1CC2" w:rsidP="000D1CC2"/>
    <w:p w:rsidR="000D1CC2" w:rsidRPr="009448FC" w:rsidRDefault="00097541" w:rsidP="000D1CC2">
      <w:pPr>
        <w:jc w:val="center"/>
      </w:pPr>
      <w:r w:rsidRPr="00686AD4">
        <w:rPr>
          <w:position w:val="-42"/>
        </w:rPr>
        <w:object w:dxaOrig="5200" w:dyaOrig="960">
          <v:shape id="_x0000_i1233" type="#_x0000_t75" style="width:260.4pt;height:47.1pt" o:ole="">
            <v:imagedata r:id="rId506" o:title=""/>
          </v:shape>
          <o:OLEObject Type="Embed" ProgID="Equation.3" ShapeID="_x0000_i1233" DrawAspect="Content" ObjectID="_1334048412" r:id="rId507"/>
        </w:object>
      </w:r>
    </w:p>
    <w:p w:rsidR="000D1CC2" w:rsidRPr="009448FC" w:rsidRDefault="000D1CC2" w:rsidP="000D1CC2"/>
    <w:p w:rsidR="000D1CC2" w:rsidRPr="009448FC" w:rsidRDefault="000D1CC2" w:rsidP="000D1CC2">
      <w:r w:rsidRPr="009448FC">
        <w:t>Where Ns is the number of samples to be measured Ns should be bigger than 8000.</w:t>
      </w:r>
    </w:p>
    <w:p w:rsidR="000D1CC2" w:rsidRPr="009448FC" w:rsidRDefault="000D1CC2" w:rsidP="000D1CC2">
      <w:pPr>
        <w:rPr>
          <w:vertAlign w:val="superscript"/>
        </w:rPr>
      </w:pPr>
      <w:r w:rsidRPr="009448FC">
        <w:t xml:space="preserve">where </w:t>
      </w:r>
      <m:oMath>
        <m:sSub>
          <m:sSubPr>
            <m:ctrlPr>
              <w:rPr>
                <w:rFonts w:ascii="Cambria Math" w:hAnsi="Cambria Math"/>
                <w:i/>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9448FC">
        <w:t xml:space="preserve">is the average power of the constellation, </w:t>
      </w:r>
      <w:r w:rsidRPr="009448FC">
        <w:rPr>
          <w:position w:val="-14"/>
        </w:rPr>
        <w:object w:dxaOrig="740" w:dyaOrig="400">
          <v:shape id="_x0000_i1234" type="#_x0000_t75" style="width:37.6pt;height:20.4pt" o:ole="">
            <v:imagedata r:id="rId508" o:title=""/>
          </v:shape>
          <o:OLEObject Type="Embed" ProgID="Equation.DSMT4" ShapeID="_x0000_i1234" DrawAspect="Content" ObjectID="_1334048413" r:id="rId509"/>
        </w:object>
      </w:r>
      <w:r w:rsidRPr="009448FC">
        <w:t>is the complex coordinates of the i’</w:t>
      </w:r>
      <w:r w:rsidRPr="009448FC">
        <w:rPr>
          <w:vertAlign w:val="superscript"/>
        </w:rPr>
        <w:t>th</w:t>
      </w:r>
    </w:p>
    <w:p w:rsidR="000D1CC2" w:rsidRPr="001F6942" w:rsidRDefault="000D1CC2" w:rsidP="00B30878">
      <w:pPr>
        <w:rPr>
          <w:vertAlign w:val="superscript"/>
        </w:rPr>
      </w:pPr>
      <w:r w:rsidRPr="009448FC">
        <w:t>measured</w:t>
      </w:r>
      <w:r w:rsidR="00B72A01" w:rsidRPr="009448FC">
        <w:t xml:space="preserve"> chip, and </w:t>
      </w: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oMath>
      <w:r w:rsidR="00B72A01" w:rsidRPr="009448FC">
        <w:rPr>
          <w:position w:val="-16"/>
        </w:rPr>
        <w:object w:dxaOrig="800" w:dyaOrig="440">
          <v:shape id="_x0000_i1235" type="#_x0000_t75" style="width:40.3pt;height:21.3pt" o:ole="">
            <v:imagedata r:id="rId510" o:title=""/>
          </v:shape>
          <o:OLEObject Type="Embed" ProgID="Equation.DSMT4" ShapeID="_x0000_i1235" DrawAspect="Content" ObjectID="_1334048414" r:id="rId511"/>
        </w:object>
      </w:r>
      <w:r w:rsidRPr="009448FC">
        <w:t xml:space="preserve"> is the complex coordinates of the </w:t>
      </w:r>
      <w:r w:rsidR="00B30878">
        <w:t>ideal</w:t>
      </w:r>
      <w:r w:rsidRPr="009448FC">
        <w:t xml:space="preserve"> constellation point for the </w:t>
      </w:r>
      <w:r w:rsidR="00B72A01" w:rsidRPr="009448FC">
        <w:t>i’</w:t>
      </w:r>
      <w:r w:rsidR="00B72A01" w:rsidRPr="009448FC">
        <w:rPr>
          <w:vertAlign w:val="superscript"/>
        </w:rPr>
        <w:t>th</w:t>
      </w:r>
      <w:r w:rsidR="001F6942">
        <w:rPr>
          <w:vertAlign w:val="superscript"/>
        </w:rPr>
        <w:t xml:space="preserve"> </w:t>
      </w:r>
      <w:r w:rsidRPr="009448FC">
        <w:t>measured chip.</w:t>
      </w:r>
    </w:p>
    <w:p w:rsidR="00CB4BB7" w:rsidRPr="009448FC" w:rsidRDefault="00CB4BB7" w:rsidP="000D1CC2"/>
    <w:p w:rsidR="000D1CC2" w:rsidRPr="009448FC" w:rsidRDefault="000D1CC2" w:rsidP="000D1CC2">
      <w:r w:rsidRPr="009448FC">
        <w:t>The measuring device should have the accuracy of at least 20 dB better than the EVM value to be measured. The test equipment should use a root-raised cosine filter with roll-off factor of 0.25 for the pulse shaping filter when conducting EVM measurement.</w:t>
      </w:r>
    </w:p>
    <w:p w:rsidR="000D1CC2" w:rsidRDefault="0058161F" w:rsidP="000D1CC2">
      <w:r w:rsidRPr="00C314F2">
        <w:t>The transmit pulse shaping used is left to the implementer</w:t>
      </w:r>
      <w:r>
        <w:t>.</w:t>
      </w:r>
    </w:p>
    <w:p w:rsidR="0058161F" w:rsidRPr="009448FC" w:rsidRDefault="0058161F" w:rsidP="000D1CC2"/>
    <w:p w:rsidR="003E4724" w:rsidRDefault="000D1CC2" w:rsidP="006D7BC0">
      <w:pPr>
        <w:rPr>
          <w:lang w:eastAsia="ko-KR"/>
        </w:rPr>
      </w:pPr>
      <w:r w:rsidRPr="009448FC">
        <w:t>The rel</w:t>
      </w:r>
      <w:r w:rsidR="002F3CEA">
        <w:t>ative constellation error (EVM)</w:t>
      </w:r>
      <w:r w:rsidRPr="009448FC">
        <w:t xml:space="preserve"> shall not exceed a </w:t>
      </w:r>
      <w:r w:rsidR="00B30878">
        <w:t>MCS</w:t>
      </w:r>
      <w:r w:rsidRPr="009448FC">
        <w:t xml:space="preserve"> dependent value according to the Table below:</w:t>
      </w:r>
      <w:r w:rsidR="00BE1F31">
        <w:t xml:space="preserve"> </w:t>
      </w:r>
    </w:p>
    <w:p w:rsidR="000D1CC2" w:rsidRPr="009448FC" w:rsidRDefault="000D1CC2" w:rsidP="00B308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20"/>
        <w:gridCol w:w="2364"/>
        <w:gridCol w:w="2392"/>
      </w:tblGrid>
      <w:tr w:rsidR="000D1CC2" w:rsidRPr="00066F65" w:rsidTr="003473F1">
        <w:trPr>
          <w:trHeight w:val="302"/>
          <w:jc w:val="center"/>
        </w:trPr>
        <w:tc>
          <w:tcPr>
            <w:tcW w:w="2400" w:type="dxa"/>
          </w:tcPr>
          <w:p w:rsidR="000D1CC2" w:rsidRPr="009448FC" w:rsidRDefault="000D1CC2" w:rsidP="003473F1">
            <w:pPr>
              <w:jc w:val="center"/>
              <w:rPr>
                <w:b/>
              </w:rPr>
            </w:pPr>
            <w:r w:rsidRPr="009448FC">
              <w:rPr>
                <w:b/>
              </w:rPr>
              <w:t>MCS Indexes</w:t>
            </w:r>
          </w:p>
        </w:tc>
        <w:tc>
          <w:tcPr>
            <w:tcW w:w="2420" w:type="dxa"/>
          </w:tcPr>
          <w:p w:rsidR="000D1CC2" w:rsidRPr="009448FC" w:rsidRDefault="000D1CC2" w:rsidP="003473F1">
            <w:pPr>
              <w:jc w:val="center"/>
              <w:rPr>
                <w:b/>
              </w:rPr>
            </w:pPr>
            <w:r w:rsidRPr="009448FC">
              <w:rPr>
                <w:b/>
              </w:rPr>
              <w:t>Modulation</w:t>
            </w:r>
          </w:p>
        </w:tc>
        <w:tc>
          <w:tcPr>
            <w:tcW w:w="2364" w:type="dxa"/>
          </w:tcPr>
          <w:p w:rsidR="000D1CC2" w:rsidRPr="009448FC" w:rsidRDefault="000D1CC2" w:rsidP="003473F1">
            <w:pPr>
              <w:jc w:val="center"/>
              <w:rPr>
                <w:b/>
              </w:rPr>
            </w:pPr>
            <w:r w:rsidRPr="009448FC">
              <w:rPr>
                <w:b/>
              </w:rPr>
              <w:t>Coding Rate</w:t>
            </w:r>
          </w:p>
        </w:tc>
        <w:tc>
          <w:tcPr>
            <w:tcW w:w="2392" w:type="dxa"/>
          </w:tcPr>
          <w:p w:rsidR="000D1CC2" w:rsidRPr="009448FC" w:rsidRDefault="000D1CC2" w:rsidP="003473F1">
            <w:pPr>
              <w:jc w:val="center"/>
              <w:rPr>
                <w:b/>
              </w:rPr>
            </w:pPr>
            <w:r w:rsidRPr="009448FC">
              <w:rPr>
                <w:b/>
              </w:rPr>
              <w:t>EVM Value [dB]</w:t>
            </w:r>
          </w:p>
        </w:tc>
      </w:tr>
      <w:tr w:rsidR="005852DB" w:rsidRPr="00066F65" w:rsidTr="003473F1">
        <w:trPr>
          <w:trHeight w:val="302"/>
          <w:jc w:val="center"/>
        </w:trPr>
        <w:tc>
          <w:tcPr>
            <w:tcW w:w="2400" w:type="dxa"/>
          </w:tcPr>
          <w:p w:rsidR="005852DB" w:rsidRPr="009448FC" w:rsidRDefault="005852DB" w:rsidP="003473F1">
            <w:pPr>
              <w:jc w:val="center"/>
            </w:pPr>
            <w:r w:rsidRPr="009448FC">
              <w:t>1</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½ with repetition</w:t>
            </w:r>
          </w:p>
        </w:tc>
        <w:tc>
          <w:tcPr>
            <w:tcW w:w="2392" w:type="dxa"/>
          </w:tcPr>
          <w:p w:rsidR="005852DB" w:rsidRPr="009448FC" w:rsidRDefault="005852DB" w:rsidP="00BB7991">
            <w:pPr>
              <w:jc w:val="center"/>
            </w:pPr>
            <w:r w:rsidRPr="009448FC">
              <w:t>-6</w:t>
            </w:r>
          </w:p>
        </w:tc>
      </w:tr>
      <w:tr w:rsidR="005852DB" w:rsidRPr="00066F65" w:rsidTr="003473F1">
        <w:trPr>
          <w:trHeight w:val="302"/>
          <w:jc w:val="center"/>
        </w:trPr>
        <w:tc>
          <w:tcPr>
            <w:tcW w:w="2400" w:type="dxa"/>
          </w:tcPr>
          <w:p w:rsidR="005852DB" w:rsidRPr="009448FC" w:rsidRDefault="005852DB" w:rsidP="003473F1">
            <w:pPr>
              <w:jc w:val="center"/>
            </w:pPr>
            <w:r w:rsidRPr="009448FC">
              <w:t>2</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1/2</w:t>
            </w:r>
          </w:p>
        </w:tc>
        <w:tc>
          <w:tcPr>
            <w:tcW w:w="2392" w:type="dxa"/>
          </w:tcPr>
          <w:p w:rsidR="005852DB" w:rsidRPr="009448FC" w:rsidRDefault="005852DB" w:rsidP="00BB7991">
            <w:pPr>
              <w:jc w:val="center"/>
            </w:pPr>
            <w:r w:rsidRPr="009448FC">
              <w:t>-9</w:t>
            </w:r>
          </w:p>
        </w:tc>
      </w:tr>
      <w:tr w:rsidR="005852DB" w:rsidRPr="00066F65" w:rsidTr="003473F1">
        <w:trPr>
          <w:trHeight w:val="302"/>
          <w:jc w:val="center"/>
        </w:trPr>
        <w:tc>
          <w:tcPr>
            <w:tcW w:w="2400" w:type="dxa"/>
          </w:tcPr>
          <w:p w:rsidR="005852DB" w:rsidRPr="009448FC" w:rsidRDefault="005852DB" w:rsidP="003473F1">
            <w:pPr>
              <w:jc w:val="center"/>
            </w:pPr>
            <w:r w:rsidRPr="009448FC">
              <w:t>3</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5/8</w:t>
            </w:r>
          </w:p>
        </w:tc>
        <w:tc>
          <w:tcPr>
            <w:tcW w:w="2392" w:type="dxa"/>
          </w:tcPr>
          <w:p w:rsidR="005852DB" w:rsidRPr="009448FC" w:rsidRDefault="005852DB" w:rsidP="00BB7991">
            <w:pPr>
              <w:jc w:val="center"/>
            </w:pPr>
            <w:r w:rsidRPr="009448FC">
              <w:t>-10</w:t>
            </w:r>
          </w:p>
        </w:tc>
      </w:tr>
      <w:tr w:rsidR="005852DB" w:rsidRPr="00066F65" w:rsidTr="003473F1">
        <w:trPr>
          <w:trHeight w:val="302"/>
          <w:jc w:val="center"/>
        </w:trPr>
        <w:tc>
          <w:tcPr>
            <w:tcW w:w="2400" w:type="dxa"/>
          </w:tcPr>
          <w:p w:rsidR="005852DB" w:rsidRPr="009448FC" w:rsidRDefault="005852DB" w:rsidP="003473F1">
            <w:pPr>
              <w:jc w:val="center"/>
            </w:pPr>
            <w:r w:rsidRPr="009448FC">
              <w:t>4</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3/4</w:t>
            </w:r>
          </w:p>
        </w:tc>
        <w:tc>
          <w:tcPr>
            <w:tcW w:w="2392" w:type="dxa"/>
          </w:tcPr>
          <w:p w:rsidR="005852DB" w:rsidRPr="009448FC" w:rsidRDefault="005852DB" w:rsidP="00BB7991">
            <w:pPr>
              <w:jc w:val="center"/>
            </w:pPr>
            <w:r w:rsidRPr="009448FC">
              <w:t>-11</w:t>
            </w:r>
          </w:p>
        </w:tc>
      </w:tr>
      <w:tr w:rsidR="005852DB" w:rsidRPr="00066F65" w:rsidTr="003473F1">
        <w:trPr>
          <w:trHeight w:val="302"/>
          <w:jc w:val="center"/>
        </w:trPr>
        <w:tc>
          <w:tcPr>
            <w:tcW w:w="2400" w:type="dxa"/>
          </w:tcPr>
          <w:p w:rsidR="005852DB" w:rsidRPr="009448FC" w:rsidRDefault="005852DB" w:rsidP="003473F1">
            <w:pPr>
              <w:jc w:val="center"/>
            </w:pPr>
            <w:r w:rsidRPr="009448FC">
              <w:t>5</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13/16</w:t>
            </w:r>
          </w:p>
        </w:tc>
        <w:tc>
          <w:tcPr>
            <w:tcW w:w="2392" w:type="dxa"/>
          </w:tcPr>
          <w:p w:rsidR="005852DB" w:rsidRPr="009448FC" w:rsidRDefault="005852DB" w:rsidP="00BB7991">
            <w:pPr>
              <w:jc w:val="center"/>
            </w:pPr>
            <w:r w:rsidRPr="009448FC">
              <w:t>-12</w:t>
            </w:r>
          </w:p>
        </w:tc>
      </w:tr>
      <w:tr w:rsidR="005852DB" w:rsidRPr="00066F65" w:rsidTr="003473F1">
        <w:trPr>
          <w:trHeight w:val="302"/>
          <w:jc w:val="center"/>
        </w:trPr>
        <w:tc>
          <w:tcPr>
            <w:tcW w:w="2400" w:type="dxa"/>
          </w:tcPr>
          <w:p w:rsidR="005852DB" w:rsidRPr="009448FC" w:rsidRDefault="005852DB" w:rsidP="003473F1">
            <w:pPr>
              <w:jc w:val="center"/>
            </w:pPr>
            <w:r w:rsidRPr="009448FC">
              <w:t>6</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1/2</w:t>
            </w:r>
          </w:p>
        </w:tc>
        <w:tc>
          <w:tcPr>
            <w:tcW w:w="2392" w:type="dxa"/>
          </w:tcPr>
          <w:p w:rsidR="005852DB" w:rsidRPr="009448FC" w:rsidRDefault="005852DB" w:rsidP="00BB7991">
            <w:pPr>
              <w:jc w:val="center"/>
            </w:pPr>
            <w:r w:rsidRPr="009448FC">
              <w:t>-14</w:t>
            </w:r>
          </w:p>
        </w:tc>
      </w:tr>
      <w:tr w:rsidR="005852DB" w:rsidRPr="00066F65" w:rsidTr="003473F1">
        <w:trPr>
          <w:trHeight w:val="302"/>
          <w:jc w:val="center"/>
        </w:trPr>
        <w:tc>
          <w:tcPr>
            <w:tcW w:w="2400" w:type="dxa"/>
          </w:tcPr>
          <w:p w:rsidR="005852DB" w:rsidRPr="009448FC" w:rsidRDefault="005852DB" w:rsidP="003473F1">
            <w:pPr>
              <w:jc w:val="center"/>
            </w:pPr>
            <w:r w:rsidRPr="009448FC">
              <w:t>7</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5/8</w:t>
            </w:r>
          </w:p>
        </w:tc>
        <w:tc>
          <w:tcPr>
            <w:tcW w:w="2392" w:type="dxa"/>
          </w:tcPr>
          <w:p w:rsidR="005852DB" w:rsidRPr="009448FC" w:rsidRDefault="005852DB" w:rsidP="00BB7991">
            <w:pPr>
              <w:jc w:val="center"/>
            </w:pPr>
            <w:r w:rsidRPr="009448FC">
              <w:t>-15</w:t>
            </w:r>
          </w:p>
        </w:tc>
      </w:tr>
      <w:tr w:rsidR="005852DB" w:rsidRPr="00066F65" w:rsidTr="003473F1">
        <w:trPr>
          <w:trHeight w:val="302"/>
          <w:jc w:val="center"/>
        </w:trPr>
        <w:tc>
          <w:tcPr>
            <w:tcW w:w="2400" w:type="dxa"/>
          </w:tcPr>
          <w:p w:rsidR="005852DB" w:rsidRPr="009448FC" w:rsidRDefault="005852DB" w:rsidP="003473F1">
            <w:pPr>
              <w:jc w:val="center"/>
            </w:pPr>
            <w:r w:rsidRPr="009448FC">
              <w:t>8</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3/4</w:t>
            </w:r>
          </w:p>
        </w:tc>
        <w:tc>
          <w:tcPr>
            <w:tcW w:w="2392" w:type="dxa"/>
          </w:tcPr>
          <w:p w:rsidR="005852DB" w:rsidRPr="009448FC" w:rsidRDefault="005852DB" w:rsidP="00BB7991">
            <w:pPr>
              <w:jc w:val="center"/>
            </w:pPr>
            <w:r w:rsidRPr="009448FC">
              <w:t>-16</w:t>
            </w:r>
          </w:p>
        </w:tc>
      </w:tr>
      <w:tr w:rsidR="005852DB" w:rsidRPr="00066F65" w:rsidTr="003473F1">
        <w:trPr>
          <w:trHeight w:val="302"/>
          <w:jc w:val="center"/>
        </w:trPr>
        <w:tc>
          <w:tcPr>
            <w:tcW w:w="2400" w:type="dxa"/>
          </w:tcPr>
          <w:p w:rsidR="005852DB" w:rsidRPr="009448FC" w:rsidRDefault="005852DB" w:rsidP="003473F1">
            <w:pPr>
              <w:jc w:val="center"/>
            </w:pPr>
            <w:r w:rsidRPr="009448FC">
              <w:lastRenderedPageBreak/>
              <w:t>9</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13/16</w:t>
            </w:r>
          </w:p>
        </w:tc>
        <w:tc>
          <w:tcPr>
            <w:tcW w:w="2392" w:type="dxa"/>
          </w:tcPr>
          <w:p w:rsidR="005852DB" w:rsidRPr="009448FC" w:rsidRDefault="005852DB" w:rsidP="00BB7991">
            <w:pPr>
              <w:jc w:val="center"/>
            </w:pPr>
            <w:r w:rsidRPr="009448FC">
              <w:t>-17</w:t>
            </w:r>
          </w:p>
        </w:tc>
      </w:tr>
      <w:tr w:rsidR="00D203CB" w:rsidRPr="00066F65" w:rsidTr="003473F1">
        <w:trPr>
          <w:trHeight w:val="302"/>
          <w:jc w:val="center"/>
        </w:trPr>
        <w:tc>
          <w:tcPr>
            <w:tcW w:w="2400" w:type="dxa"/>
          </w:tcPr>
          <w:p w:rsidR="00D203CB" w:rsidRPr="009448FC" w:rsidRDefault="00D203CB" w:rsidP="003473F1">
            <w:pPr>
              <w:jc w:val="center"/>
            </w:pPr>
            <w:r>
              <w:t>10</w:t>
            </w:r>
          </w:p>
        </w:tc>
        <w:tc>
          <w:tcPr>
            <w:tcW w:w="2420" w:type="dxa"/>
          </w:tcPr>
          <w:p w:rsidR="003E4724" w:rsidRDefault="00D203CB">
            <w:pPr>
              <w:jc w:val="center"/>
            </w:pPr>
            <w:r w:rsidRPr="009448FC">
              <w:t>π/2-</w:t>
            </w:r>
            <w:r>
              <w:t>16</w:t>
            </w:r>
            <w:r w:rsidRPr="009448FC">
              <w:t>Q</w:t>
            </w:r>
            <w:r>
              <w:t>AM</w:t>
            </w:r>
          </w:p>
        </w:tc>
        <w:tc>
          <w:tcPr>
            <w:tcW w:w="2364" w:type="dxa"/>
          </w:tcPr>
          <w:p w:rsidR="00D203CB" w:rsidRPr="009448FC" w:rsidRDefault="00D203CB" w:rsidP="003473F1">
            <w:pPr>
              <w:jc w:val="center"/>
            </w:pPr>
            <w:r>
              <w:t>1/2</w:t>
            </w:r>
          </w:p>
        </w:tc>
        <w:tc>
          <w:tcPr>
            <w:tcW w:w="2392" w:type="dxa"/>
          </w:tcPr>
          <w:p w:rsidR="00D203CB" w:rsidRPr="009448FC" w:rsidRDefault="00D203CB" w:rsidP="00BB7991">
            <w:pPr>
              <w:jc w:val="center"/>
            </w:pPr>
            <w:r>
              <w:t>-20</w:t>
            </w:r>
          </w:p>
        </w:tc>
      </w:tr>
      <w:tr w:rsidR="00D203CB" w:rsidRPr="00066F65" w:rsidTr="003473F1">
        <w:trPr>
          <w:trHeight w:val="302"/>
          <w:jc w:val="center"/>
        </w:trPr>
        <w:tc>
          <w:tcPr>
            <w:tcW w:w="2400" w:type="dxa"/>
          </w:tcPr>
          <w:p w:rsidR="00D203CB" w:rsidRPr="009448FC" w:rsidRDefault="00D203CB" w:rsidP="003473F1">
            <w:pPr>
              <w:jc w:val="center"/>
            </w:pPr>
            <w:r>
              <w:t>11</w:t>
            </w:r>
          </w:p>
        </w:tc>
        <w:tc>
          <w:tcPr>
            <w:tcW w:w="2420" w:type="dxa"/>
          </w:tcPr>
          <w:p w:rsidR="00D203CB" w:rsidRPr="009448FC" w:rsidRDefault="00D203CB" w:rsidP="003473F1">
            <w:pPr>
              <w:jc w:val="center"/>
            </w:pPr>
            <w:r w:rsidRPr="009448FC">
              <w:t>π/2-</w:t>
            </w:r>
            <w:r>
              <w:t>16</w:t>
            </w:r>
            <w:r w:rsidRPr="009448FC">
              <w:t>Q</w:t>
            </w:r>
            <w:r>
              <w:t>AM</w:t>
            </w:r>
          </w:p>
        </w:tc>
        <w:tc>
          <w:tcPr>
            <w:tcW w:w="2364" w:type="dxa"/>
          </w:tcPr>
          <w:p w:rsidR="00D203CB" w:rsidRPr="009448FC" w:rsidRDefault="00D203CB" w:rsidP="003473F1">
            <w:pPr>
              <w:jc w:val="center"/>
            </w:pPr>
            <w:r>
              <w:t>5/8</w:t>
            </w:r>
          </w:p>
        </w:tc>
        <w:tc>
          <w:tcPr>
            <w:tcW w:w="2392" w:type="dxa"/>
          </w:tcPr>
          <w:p w:rsidR="00D203CB" w:rsidRPr="009448FC" w:rsidRDefault="00D203CB" w:rsidP="00BB7991">
            <w:pPr>
              <w:jc w:val="center"/>
            </w:pPr>
            <w:r>
              <w:t>-21</w:t>
            </w:r>
          </w:p>
        </w:tc>
      </w:tr>
      <w:tr w:rsidR="00D203CB" w:rsidRPr="00066F65" w:rsidTr="003473F1">
        <w:trPr>
          <w:trHeight w:val="302"/>
          <w:jc w:val="center"/>
        </w:trPr>
        <w:tc>
          <w:tcPr>
            <w:tcW w:w="2400" w:type="dxa"/>
          </w:tcPr>
          <w:p w:rsidR="00D203CB" w:rsidRPr="009448FC" w:rsidRDefault="00D203CB" w:rsidP="003473F1">
            <w:pPr>
              <w:jc w:val="center"/>
            </w:pPr>
            <w:r>
              <w:t>12</w:t>
            </w:r>
          </w:p>
        </w:tc>
        <w:tc>
          <w:tcPr>
            <w:tcW w:w="2420" w:type="dxa"/>
          </w:tcPr>
          <w:p w:rsidR="00D203CB" w:rsidRPr="009448FC" w:rsidRDefault="00D203CB" w:rsidP="003473F1">
            <w:pPr>
              <w:jc w:val="center"/>
            </w:pPr>
            <w:r w:rsidRPr="009448FC">
              <w:t>π/2-</w:t>
            </w:r>
            <w:r>
              <w:t>16</w:t>
            </w:r>
            <w:r w:rsidRPr="009448FC">
              <w:t>Q</w:t>
            </w:r>
            <w:r>
              <w:t>AM</w:t>
            </w:r>
          </w:p>
        </w:tc>
        <w:tc>
          <w:tcPr>
            <w:tcW w:w="2364" w:type="dxa"/>
          </w:tcPr>
          <w:p w:rsidR="00D203CB" w:rsidRPr="009448FC" w:rsidRDefault="00D203CB" w:rsidP="003473F1">
            <w:pPr>
              <w:jc w:val="center"/>
            </w:pPr>
            <w:r>
              <w:t>3/4</w:t>
            </w:r>
          </w:p>
        </w:tc>
        <w:tc>
          <w:tcPr>
            <w:tcW w:w="2392" w:type="dxa"/>
          </w:tcPr>
          <w:p w:rsidR="00D203CB" w:rsidRPr="009448FC" w:rsidRDefault="00D203CB" w:rsidP="00BB7991">
            <w:pPr>
              <w:jc w:val="center"/>
            </w:pPr>
            <w:r>
              <w:t>-22</w:t>
            </w:r>
          </w:p>
        </w:tc>
      </w:tr>
    </w:tbl>
    <w:p w:rsidR="00B72A01" w:rsidRPr="00066F65" w:rsidRDefault="005B422C" w:rsidP="0050698B">
      <w:pPr>
        <w:pStyle w:val="NormalIndent"/>
        <w:ind w:left="0"/>
        <w:rPr>
          <w:b/>
          <w:bCs/>
          <w:i/>
          <w:iCs/>
          <w:color w:val="FF0000"/>
          <w:u w:val="single"/>
          <w:lang w:eastAsia="ja-JP"/>
        </w:rPr>
      </w:pPr>
      <w:r w:rsidRPr="00066F65">
        <w:rPr>
          <w:b/>
          <w:bCs/>
          <w:i/>
          <w:iCs/>
          <w:color w:val="FF0000"/>
          <w:u w:val="single"/>
          <w:lang w:eastAsia="ja-JP"/>
        </w:rPr>
        <w:t xml:space="preserve"> </w:t>
      </w:r>
    </w:p>
    <w:p w:rsidR="00F7034C" w:rsidRPr="009448FC" w:rsidRDefault="00F7034C" w:rsidP="003701DB">
      <w:pPr>
        <w:pStyle w:val="Heading5"/>
        <w:keepNext w:val="0"/>
        <w:numPr>
          <w:ilvl w:val="4"/>
          <w:numId w:val="42"/>
        </w:numPr>
        <w:tabs>
          <w:tab w:val="clear" w:pos="1152"/>
        </w:tabs>
        <w:spacing w:after="60"/>
        <w:jc w:val="left"/>
      </w:pPr>
      <w:bookmarkStart w:id="3674" w:name="_Toc259717395"/>
      <w:r w:rsidRPr="009448FC">
        <w:t>Time of Departure accuracy</w:t>
      </w:r>
      <w:bookmarkEnd w:id="3674"/>
    </w:p>
    <w:p w:rsidR="00F7034C" w:rsidRPr="009448FC" w:rsidRDefault="00F7034C" w:rsidP="00F7034C">
      <w:pPr>
        <w:autoSpaceDE w:val="0"/>
        <w:autoSpaceDN w:val="0"/>
        <w:adjustRightInd w:val="0"/>
        <w:rPr>
          <w:rFonts w:ascii="TimesNewRomanPSMT" w:eastAsia="MS Mincho" w:hAnsi="TimesNewRomanPSMT"/>
        </w:rPr>
      </w:pPr>
      <w:r w:rsidRPr="009448FC">
        <w:rPr>
          <w:rFonts w:ascii="TimesNewRomanPSMT" w:eastAsia="MS Mincho" w:hAnsi="TimesNewRomanPSMT"/>
        </w:rPr>
        <w:t>The Time of Departure accuracy test evaluates TIME_OF_DEPARTURE against aTxPmdTxStartRMS and</w:t>
      </w:r>
      <w:r w:rsidR="00B63F3C" w:rsidRPr="009448FC">
        <w:rPr>
          <w:rFonts w:ascii="TimesNewRomanPSMT" w:eastAsia="MS Mincho" w:hAnsi="TimesNewRomanPSMT"/>
        </w:rPr>
        <w:t xml:space="preserve"> </w:t>
      </w:r>
      <w:r w:rsidRPr="009448FC">
        <w:rPr>
          <w:rFonts w:ascii="TimesNewRomanPSMT" w:eastAsia="MS Mincho" w:hAnsi="TimesNewRomanPSMT"/>
        </w:rPr>
        <w:t>aTxPmdTxStartRMS against TIME_OF_DEPARTURE_ACCURACY_TEST_THRESH as defined in</w:t>
      </w:r>
      <w:r w:rsidR="00B63F3C" w:rsidRPr="009448FC">
        <w:rPr>
          <w:rFonts w:ascii="TimesNewRomanPSMT" w:eastAsia="MS Mincho" w:hAnsi="TimesNewRomanPSMT"/>
        </w:rPr>
        <w:t xml:space="preserve"> </w:t>
      </w:r>
      <w:r w:rsidRPr="009448FC">
        <w:rPr>
          <w:rFonts w:ascii="TimesNewRomanPSMT" w:eastAsia="MS Mincho" w:hAnsi="TimesNewRomanPSMT"/>
        </w:rPr>
        <w:t>Annex V with the following test parameters:</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MULTICHANNEL_SAMPLING_RATE is 1760x10</w:t>
      </w:r>
      <w:r w:rsidRPr="009448FC">
        <w:rPr>
          <w:rFonts w:ascii="TimesNewRomanPSMT" w:eastAsia="MS Mincho" w:hAnsi="TimesNewRomanPSMT"/>
          <w:vertAlign w:val="superscript"/>
        </w:rPr>
        <w:t>6</w:t>
      </w:r>
      <w:r w:rsidRPr="009448FC">
        <w:rPr>
          <w:rFonts w:ascii="TimesNewRomanPSMT" w:eastAsia="MS Mincho" w:hAnsi="TimesNewRomanPSMT"/>
        </w:rPr>
        <w:t xml:space="preserve"> sample/s </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FIRST_TRANSITION_FIELD is Short Training </w:t>
      </w:r>
      <w:r w:rsidR="00293BD2">
        <w:rPr>
          <w:rFonts w:ascii="TimesNewRomanPSMT" w:eastAsia="MS Mincho" w:hAnsi="TimesNewRomanPSMT"/>
        </w:rPr>
        <w:t>f</w:t>
      </w:r>
      <w:r w:rsidRPr="009448FC">
        <w:rPr>
          <w:rFonts w:ascii="TimesNewRomanPSMT" w:eastAsia="MS Mincho" w:hAnsi="TimesNewRomanPSMT"/>
        </w:rPr>
        <w:t xml:space="preserve">ield </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SECOND_TRANSITION_FIELD is Channel Estimation </w:t>
      </w:r>
      <w:r w:rsidR="00293BD2">
        <w:rPr>
          <w:rFonts w:ascii="TimesNewRomanPSMT" w:eastAsia="MS Mincho" w:hAnsi="TimesNewRomanPSMT"/>
        </w:rPr>
        <w:t>f</w:t>
      </w:r>
      <w:r w:rsidRPr="009448FC">
        <w:rPr>
          <w:rFonts w:ascii="TimesNewRomanPSMT" w:eastAsia="MS Mincho" w:hAnsi="TimesNewRomanPSMT"/>
        </w:rPr>
        <w:t>ield</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TRAINING_FIELD is Channel Estimation </w:t>
      </w:r>
      <w:r w:rsidR="00293BD2">
        <w:rPr>
          <w:rFonts w:ascii="TimesNewRomanPSMT" w:eastAsia="MS Mincho" w:hAnsi="TimesNewRomanPSMT"/>
        </w:rPr>
        <w:t>f</w:t>
      </w:r>
      <w:r w:rsidRPr="009448FC">
        <w:rPr>
          <w:rFonts w:ascii="TimesNewRomanPSMT" w:eastAsia="MS Mincho" w:hAnsi="TimesNewRomanPSMT"/>
        </w:rPr>
        <w:t xml:space="preserve">ield </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TIME_OF_DEPARTURE_ACCURACY_TEST_THRESH is 80 ns </w:t>
      </w:r>
    </w:p>
    <w:p w:rsidR="002D714A" w:rsidRDefault="002D714A" w:rsidP="00B63F3C">
      <w:pPr>
        <w:autoSpaceDE w:val="0"/>
        <w:autoSpaceDN w:val="0"/>
        <w:adjustRightInd w:val="0"/>
        <w:rPr>
          <w:rFonts w:ascii="TimesNewRomanPSMT" w:eastAsia="MS Mincho" w:hAnsi="TimesNewRomanPSMT"/>
          <w:sz w:val="20"/>
        </w:rPr>
      </w:pPr>
    </w:p>
    <w:p w:rsidR="00F7034C" w:rsidRPr="009448FC" w:rsidRDefault="00F7034C" w:rsidP="00B63F3C">
      <w:pPr>
        <w:autoSpaceDE w:val="0"/>
        <w:autoSpaceDN w:val="0"/>
        <w:adjustRightInd w:val="0"/>
        <w:rPr>
          <w:sz w:val="20"/>
        </w:rPr>
      </w:pPr>
      <w:r w:rsidRPr="009448FC">
        <w:rPr>
          <w:rFonts w:ascii="TimesNewRomanPSMT" w:eastAsia="MS Mincho" w:hAnsi="TimesNewRomanPSMT"/>
          <w:sz w:val="20"/>
        </w:rPr>
        <w:t>NOTE — The indicated windowing applies to the time of departure accuracy test equipment, and not the transmitter or</w:t>
      </w:r>
      <w:r w:rsidR="00B63F3C" w:rsidRPr="009448FC">
        <w:rPr>
          <w:rFonts w:ascii="TimesNewRomanPSMT" w:eastAsia="MS Mincho" w:hAnsi="TimesNewRomanPSMT"/>
          <w:sz w:val="20"/>
        </w:rPr>
        <w:t xml:space="preserve"> </w:t>
      </w:r>
      <w:r w:rsidRPr="009448FC">
        <w:rPr>
          <w:rFonts w:ascii="TimesNewRomanPSMT" w:hAnsi="TimesNewRomanPSMT"/>
          <w:sz w:val="20"/>
        </w:rPr>
        <w:t>receiver.</w:t>
      </w:r>
    </w:p>
    <w:p w:rsidR="00B243B6" w:rsidRPr="009448FC" w:rsidRDefault="00B243B6" w:rsidP="003701DB">
      <w:pPr>
        <w:pStyle w:val="Heading4"/>
        <w:numPr>
          <w:ilvl w:val="3"/>
          <w:numId w:val="42"/>
        </w:numPr>
      </w:pPr>
      <w:bookmarkStart w:id="3675" w:name="_Toc201721997"/>
      <w:bookmarkStart w:id="3676" w:name="_Toc206227737"/>
      <w:bookmarkStart w:id="3677" w:name="_Toc206415684"/>
      <w:bookmarkStart w:id="3678" w:name="_Toc206418491"/>
      <w:bookmarkStart w:id="3679" w:name="_Toc207099246"/>
      <w:bookmarkStart w:id="3680" w:name="_Toc207099851"/>
      <w:bookmarkStart w:id="3681" w:name="_Toc207100770"/>
      <w:bookmarkStart w:id="3682" w:name="_Toc207348692"/>
      <w:bookmarkStart w:id="3683" w:name="_Toc215583051"/>
      <w:bookmarkStart w:id="3684" w:name="_Toc235400740"/>
      <w:bookmarkStart w:id="3685" w:name="_Toc259717396"/>
      <w:r w:rsidRPr="009448FC">
        <w:t>Rx Requirements</w:t>
      </w:r>
      <w:bookmarkEnd w:id="3675"/>
      <w:bookmarkEnd w:id="3676"/>
      <w:bookmarkEnd w:id="3677"/>
      <w:bookmarkEnd w:id="3678"/>
      <w:bookmarkEnd w:id="3679"/>
      <w:bookmarkEnd w:id="3680"/>
      <w:bookmarkEnd w:id="3681"/>
      <w:bookmarkEnd w:id="3682"/>
      <w:bookmarkEnd w:id="3683"/>
      <w:bookmarkEnd w:id="3684"/>
      <w:bookmarkEnd w:id="3685"/>
      <w:r w:rsidR="00B72A01" w:rsidRPr="009448FC">
        <w:t xml:space="preserve"> </w:t>
      </w:r>
    </w:p>
    <w:p w:rsidR="00B72A01" w:rsidRDefault="00B72A01" w:rsidP="00B72A01">
      <w:pPr>
        <w:rPr>
          <w:rFonts w:eastAsia="MS Mincho"/>
        </w:rPr>
      </w:pPr>
      <w:r w:rsidRPr="009448FC">
        <w:rPr>
          <w:rFonts w:eastAsia="MS Mincho"/>
        </w:rPr>
        <w:t>This section describes the performance requirement from the SC PHY receiver.</w:t>
      </w:r>
    </w:p>
    <w:p w:rsidR="002F5369" w:rsidRPr="009448FC" w:rsidRDefault="002F5369" w:rsidP="00B72A01">
      <w:pPr>
        <w:rPr>
          <w:rFonts w:eastAsia="MS Mincho"/>
        </w:rPr>
      </w:pPr>
    </w:p>
    <w:p w:rsidR="00B243B6" w:rsidRPr="009448FC" w:rsidRDefault="00B243B6" w:rsidP="003701DB">
      <w:pPr>
        <w:pStyle w:val="Heading5"/>
        <w:keepNext w:val="0"/>
        <w:numPr>
          <w:ilvl w:val="4"/>
          <w:numId w:val="42"/>
        </w:numPr>
        <w:tabs>
          <w:tab w:val="clear" w:pos="1152"/>
        </w:tabs>
        <w:spacing w:after="60"/>
        <w:jc w:val="left"/>
      </w:pPr>
      <w:bookmarkStart w:id="3686" w:name="_Toc256692353"/>
      <w:bookmarkStart w:id="3687" w:name="_Toc256695072"/>
      <w:bookmarkStart w:id="3688" w:name="_Toc257028180"/>
      <w:bookmarkStart w:id="3689" w:name="_Toc257028802"/>
      <w:bookmarkStart w:id="3690" w:name="_Toc257039451"/>
      <w:bookmarkStart w:id="3691" w:name="_Toc256692355"/>
      <w:bookmarkStart w:id="3692" w:name="_Toc256695074"/>
      <w:bookmarkStart w:id="3693" w:name="_Toc257028182"/>
      <w:bookmarkStart w:id="3694" w:name="_Toc257028804"/>
      <w:bookmarkStart w:id="3695" w:name="_Toc257039453"/>
      <w:bookmarkStart w:id="3696" w:name="_Toc256692356"/>
      <w:bookmarkStart w:id="3697" w:name="_Toc256695075"/>
      <w:bookmarkStart w:id="3698" w:name="_Toc257028183"/>
      <w:bookmarkStart w:id="3699" w:name="_Toc257028805"/>
      <w:bookmarkStart w:id="3700" w:name="_Toc257039454"/>
      <w:bookmarkStart w:id="3701" w:name="_Toc256692357"/>
      <w:bookmarkStart w:id="3702" w:name="_Toc256695076"/>
      <w:bookmarkStart w:id="3703" w:name="_Toc257028184"/>
      <w:bookmarkStart w:id="3704" w:name="_Toc257028806"/>
      <w:bookmarkStart w:id="3705" w:name="_Toc257039455"/>
      <w:bookmarkStart w:id="3706" w:name="_Toc256692388"/>
      <w:bookmarkStart w:id="3707" w:name="_Toc256695107"/>
      <w:bookmarkStart w:id="3708" w:name="_Toc257028215"/>
      <w:bookmarkStart w:id="3709" w:name="_Toc257028837"/>
      <w:bookmarkStart w:id="3710" w:name="_Toc257039486"/>
      <w:bookmarkStart w:id="3711" w:name="_Toc256692389"/>
      <w:bookmarkStart w:id="3712" w:name="_Toc256695108"/>
      <w:bookmarkStart w:id="3713" w:name="_Toc257028216"/>
      <w:bookmarkStart w:id="3714" w:name="_Toc257028838"/>
      <w:bookmarkStart w:id="3715" w:name="_Toc257039487"/>
      <w:bookmarkStart w:id="3716" w:name="_Toc256692390"/>
      <w:bookmarkStart w:id="3717" w:name="_Toc256695109"/>
      <w:bookmarkStart w:id="3718" w:name="_Toc257028217"/>
      <w:bookmarkStart w:id="3719" w:name="_Toc257028839"/>
      <w:bookmarkStart w:id="3720" w:name="_Toc257039488"/>
      <w:bookmarkStart w:id="3721" w:name="_Toc256692391"/>
      <w:bookmarkStart w:id="3722" w:name="_Toc256695110"/>
      <w:bookmarkStart w:id="3723" w:name="_Toc257028218"/>
      <w:bookmarkStart w:id="3724" w:name="_Toc257028840"/>
      <w:bookmarkStart w:id="3725" w:name="_Toc257039489"/>
      <w:bookmarkStart w:id="3726" w:name="_Toc256692392"/>
      <w:bookmarkStart w:id="3727" w:name="_Toc256695111"/>
      <w:bookmarkStart w:id="3728" w:name="_Toc257028219"/>
      <w:bookmarkStart w:id="3729" w:name="_Toc257028841"/>
      <w:bookmarkStart w:id="3730" w:name="_Toc257039490"/>
      <w:bookmarkStart w:id="3731" w:name="_Toc256692393"/>
      <w:bookmarkStart w:id="3732" w:name="_Toc256695112"/>
      <w:bookmarkStart w:id="3733" w:name="_Toc257028220"/>
      <w:bookmarkStart w:id="3734" w:name="_Toc257028842"/>
      <w:bookmarkStart w:id="3735" w:name="_Toc257039491"/>
      <w:bookmarkStart w:id="3736" w:name="_Toc256692394"/>
      <w:bookmarkStart w:id="3737" w:name="_Toc256695113"/>
      <w:bookmarkStart w:id="3738" w:name="_Toc257028221"/>
      <w:bookmarkStart w:id="3739" w:name="_Toc257028843"/>
      <w:bookmarkStart w:id="3740" w:name="_Toc257039492"/>
      <w:bookmarkStart w:id="3741" w:name="_Toc256692395"/>
      <w:bookmarkStart w:id="3742" w:name="_Toc256695114"/>
      <w:bookmarkStart w:id="3743" w:name="_Toc257028222"/>
      <w:bookmarkStart w:id="3744" w:name="_Toc257028844"/>
      <w:bookmarkStart w:id="3745" w:name="_Toc257039493"/>
      <w:bookmarkStart w:id="3746" w:name="_Toc256692396"/>
      <w:bookmarkStart w:id="3747" w:name="_Toc256695115"/>
      <w:bookmarkStart w:id="3748" w:name="_Toc257028223"/>
      <w:bookmarkStart w:id="3749" w:name="_Toc257028845"/>
      <w:bookmarkStart w:id="3750" w:name="_Toc257039494"/>
      <w:bookmarkStart w:id="3751" w:name="_Toc256692397"/>
      <w:bookmarkStart w:id="3752" w:name="_Toc256695116"/>
      <w:bookmarkStart w:id="3753" w:name="_Toc257028224"/>
      <w:bookmarkStart w:id="3754" w:name="_Toc257028846"/>
      <w:bookmarkStart w:id="3755" w:name="_Toc257039495"/>
      <w:bookmarkStart w:id="3756" w:name="_Toc256692398"/>
      <w:bookmarkStart w:id="3757" w:name="_Toc256695117"/>
      <w:bookmarkStart w:id="3758" w:name="_Toc257028225"/>
      <w:bookmarkStart w:id="3759" w:name="_Toc257028847"/>
      <w:bookmarkStart w:id="3760" w:name="_Toc257039496"/>
      <w:bookmarkStart w:id="3761" w:name="_Toc256692399"/>
      <w:bookmarkStart w:id="3762" w:name="_Toc256695118"/>
      <w:bookmarkStart w:id="3763" w:name="_Toc257028226"/>
      <w:bookmarkStart w:id="3764" w:name="_Toc257028848"/>
      <w:bookmarkStart w:id="3765" w:name="_Toc257039497"/>
      <w:bookmarkStart w:id="3766" w:name="_Toc201722000"/>
      <w:bookmarkStart w:id="3767" w:name="_Toc206227740"/>
      <w:bookmarkStart w:id="3768" w:name="_Toc206415687"/>
      <w:bookmarkStart w:id="3769" w:name="_Toc206418494"/>
      <w:bookmarkStart w:id="3770" w:name="_Toc207099249"/>
      <w:bookmarkStart w:id="3771" w:name="_Toc207099854"/>
      <w:bookmarkStart w:id="3772" w:name="_Toc207100773"/>
      <w:bookmarkStart w:id="3773" w:name="_Toc207348695"/>
      <w:bookmarkStart w:id="3774" w:name="_Toc215583054"/>
      <w:bookmarkStart w:id="3775" w:name="_Toc235400743"/>
      <w:bookmarkStart w:id="3776" w:name="_Toc259717397"/>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r w:rsidRPr="009448FC">
        <w:t>CCA</w:t>
      </w:r>
      <w:bookmarkEnd w:id="3766"/>
      <w:bookmarkEnd w:id="3767"/>
      <w:bookmarkEnd w:id="3768"/>
      <w:bookmarkEnd w:id="3769"/>
      <w:bookmarkEnd w:id="3770"/>
      <w:bookmarkEnd w:id="3771"/>
      <w:bookmarkEnd w:id="3772"/>
      <w:bookmarkEnd w:id="3773"/>
      <w:bookmarkEnd w:id="3774"/>
      <w:bookmarkEnd w:id="3775"/>
      <w:bookmarkEnd w:id="3776"/>
    </w:p>
    <w:p w:rsidR="00B72A01" w:rsidRPr="009448FC" w:rsidRDefault="00A9692C" w:rsidP="00263D10">
      <w:r w:rsidRPr="009448FC">
        <w:t>The start of a valid mmWave SC PHY transmission at a receive level greater than the minimum</w:t>
      </w:r>
      <w:r w:rsidR="002F3CEA">
        <w:t xml:space="preserve"> sensitivity for MCS 1 (-68dBm)</w:t>
      </w:r>
      <w:r w:rsidRPr="009448FC">
        <w:t xml:space="preserve"> shall cause CCA to indicate busy with a probability &gt;</w:t>
      </w:r>
      <w:r w:rsidR="002F3CEA">
        <w:t xml:space="preserve"> </w:t>
      </w:r>
      <w:r w:rsidRPr="009448FC">
        <w:t>90% within 1usec.</w:t>
      </w:r>
      <w:r w:rsidR="005515A4">
        <w:t xml:space="preserve"> </w:t>
      </w:r>
      <w:r w:rsidRPr="009448FC">
        <w:t>The receiver shall hold the carrier sense signal busy for any signal 20dB above the minimum sensitivity for MCS 1.</w:t>
      </w:r>
      <w:r w:rsidR="00B72A01" w:rsidRPr="009448FC">
        <w:t xml:space="preserve"> </w:t>
      </w:r>
    </w:p>
    <w:p w:rsidR="00B72A01" w:rsidRDefault="004878B6" w:rsidP="00B72A01">
      <w:pPr>
        <w:pStyle w:val="NormalIndent"/>
      </w:pPr>
      <w:r>
        <w:t xml:space="preserve"> </w:t>
      </w:r>
    </w:p>
    <w:p w:rsidR="0048417B" w:rsidRDefault="0048417B" w:rsidP="003701DB">
      <w:pPr>
        <w:pStyle w:val="Heading2"/>
        <w:numPr>
          <w:ilvl w:val="1"/>
          <w:numId w:val="42"/>
        </w:numPr>
        <w:rPr>
          <w:lang w:eastAsia="ja-JP"/>
        </w:rPr>
      </w:pPr>
      <w:bookmarkStart w:id="3777" w:name="_Ref251907457"/>
      <w:bookmarkStart w:id="3778" w:name="_Ref251937576"/>
      <w:bookmarkStart w:id="3779" w:name="_Toc259717398"/>
      <w:r>
        <w:rPr>
          <w:lang w:eastAsia="ja-JP"/>
        </w:rPr>
        <w:t xml:space="preserve">mmWave </w:t>
      </w:r>
      <w:r w:rsidR="004B1F83">
        <w:rPr>
          <w:lang w:eastAsia="ja-JP"/>
        </w:rPr>
        <w:t>l</w:t>
      </w:r>
      <w:r>
        <w:rPr>
          <w:lang w:eastAsia="ja-JP"/>
        </w:rPr>
        <w:t xml:space="preserve">ow </w:t>
      </w:r>
      <w:r w:rsidR="004B1F83">
        <w:rPr>
          <w:lang w:eastAsia="ja-JP"/>
        </w:rPr>
        <w:t>p</w:t>
      </w:r>
      <w:r>
        <w:rPr>
          <w:lang w:eastAsia="ja-JP"/>
        </w:rPr>
        <w:t>ower SC PHY</w:t>
      </w:r>
      <w:bookmarkEnd w:id="3777"/>
      <w:bookmarkEnd w:id="3778"/>
      <w:bookmarkEnd w:id="3779"/>
    </w:p>
    <w:p w:rsidR="004007C0" w:rsidRDefault="004007C0" w:rsidP="0048417B">
      <w:pPr>
        <w:rPr>
          <w:lang w:eastAsia="ja-JP"/>
        </w:rPr>
      </w:pPr>
    </w:p>
    <w:p w:rsidR="00685076" w:rsidRDefault="00EF2EC5" w:rsidP="0048417B">
      <w:pPr>
        <w:rPr>
          <w:lang w:eastAsia="ja-JP"/>
        </w:rPr>
      </w:pPr>
      <w:r>
        <w:rPr>
          <w:lang w:eastAsia="ja-JP"/>
        </w:rPr>
        <w:t xml:space="preserve">The </w:t>
      </w:r>
      <w:r w:rsidR="001E1CB1">
        <w:rPr>
          <w:lang w:eastAsia="ja-JP"/>
        </w:rPr>
        <w:t xml:space="preserve">mmWave low power SC PHY is </w:t>
      </w:r>
      <w:r w:rsidR="0048417B">
        <w:rPr>
          <w:lang w:eastAsia="ja-JP"/>
        </w:rPr>
        <w:t xml:space="preserve">an optional SC mode. </w:t>
      </w:r>
      <w:r w:rsidR="00717037">
        <w:rPr>
          <w:lang w:eastAsia="ja-JP"/>
        </w:rPr>
        <w:t xml:space="preserve">This mode </w:t>
      </w:r>
      <w:r w:rsidR="00D864E4">
        <w:rPr>
          <w:lang w:eastAsia="ja-JP"/>
        </w:rPr>
        <w:t xml:space="preserve">can </w:t>
      </w:r>
      <w:r w:rsidR="00717037">
        <w:rPr>
          <w:lang w:eastAsia="ja-JP"/>
        </w:rPr>
        <w:t>provide lower processing power requirements for mmWave tranceivers.</w:t>
      </w:r>
    </w:p>
    <w:p w:rsidR="00685076" w:rsidRDefault="00685076" w:rsidP="0048417B">
      <w:pPr>
        <w:rPr>
          <w:lang w:eastAsia="ja-JP"/>
        </w:rPr>
      </w:pPr>
    </w:p>
    <w:p w:rsidR="0048417B" w:rsidRDefault="00EF2EC5" w:rsidP="0048417B">
      <w:pPr>
        <w:rPr>
          <w:lang w:eastAsia="ja-JP"/>
        </w:rPr>
      </w:pPr>
      <w:r>
        <w:rPr>
          <w:lang w:eastAsia="ja-JP"/>
        </w:rPr>
        <w:t>A STA support</w:t>
      </w:r>
      <w:r w:rsidR="00174959">
        <w:rPr>
          <w:lang w:eastAsia="ja-JP"/>
        </w:rPr>
        <w:t>s the mmWave low power SC PHY if</w:t>
      </w:r>
      <w:r>
        <w:rPr>
          <w:lang w:eastAsia="ja-JP"/>
        </w:rPr>
        <w:t xml:space="preserve"> the </w:t>
      </w:r>
      <w:r w:rsidR="00174959">
        <w:rPr>
          <w:lang w:eastAsia="ja-JP"/>
        </w:rPr>
        <w:t>low power SC PHY supported</w:t>
      </w:r>
      <w:r>
        <w:rPr>
          <w:lang w:eastAsia="ja-JP"/>
        </w:rPr>
        <w:t xml:space="preserve"> </w:t>
      </w:r>
      <w:r w:rsidR="00704922">
        <w:rPr>
          <w:lang w:eastAsia="ja-JP"/>
        </w:rPr>
        <w:t>sub</w:t>
      </w:r>
      <w:r>
        <w:rPr>
          <w:lang w:eastAsia="ja-JP"/>
        </w:rPr>
        <w:t xml:space="preserve">field within its mmWave Capability element is set to one. </w:t>
      </w:r>
      <w:r w:rsidR="00685076">
        <w:rPr>
          <w:lang w:eastAsia="ja-JP"/>
        </w:rPr>
        <w:t xml:space="preserve">A STA </w:t>
      </w:r>
      <w:r w:rsidR="001E1CB1">
        <w:rPr>
          <w:lang w:eastAsia="ja-JP"/>
        </w:rPr>
        <w:t xml:space="preserve">that supports the mmWave low power SC PHY </w:t>
      </w:r>
      <w:r w:rsidR="00685076">
        <w:rPr>
          <w:lang w:eastAsia="ja-JP"/>
        </w:rPr>
        <w:t xml:space="preserve">shall not transmit a </w:t>
      </w:r>
      <w:r w:rsidR="001E1CB1">
        <w:rPr>
          <w:lang w:eastAsia="ja-JP"/>
        </w:rPr>
        <w:t>PPDU</w:t>
      </w:r>
      <w:r w:rsidR="00685076">
        <w:rPr>
          <w:lang w:eastAsia="ja-JP"/>
        </w:rPr>
        <w:t xml:space="preserve"> using the mmWave low power SC PHY if the STA </w:t>
      </w:r>
      <w:r w:rsidR="001E1CB1">
        <w:rPr>
          <w:lang w:eastAsia="ja-JP"/>
        </w:rPr>
        <w:t>identified in the RA field of the PPDU</w:t>
      </w:r>
      <w:r w:rsidR="00685076">
        <w:rPr>
          <w:lang w:eastAsia="ja-JP"/>
        </w:rPr>
        <w:t xml:space="preserve"> does not support the mmWave low power SC PHY.</w:t>
      </w:r>
    </w:p>
    <w:p w:rsidR="0048417B" w:rsidRDefault="0048417B" w:rsidP="003701DB">
      <w:pPr>
        <w:pStyle w:val="Heading3"/>
        <w:numPr>
          <w:ilvl w:val="2"/>
          <w:numId w:val="42"/>
        </w:numPr>
        <w:rPr>
          <w:lang w:eastAsia="ja-JP"/>
        </w:rPr>
      </w:pPr>
      <w:bookmarkStart w:id="3780" w:name="_Toc259717399"/>
      <w:r>
        <w:rPr>
          <w:lang w:eastAsia="ja-JP"/>
        </w:rPr>
        <w:t>Transmission</w:t>
      </w:r>
      <w:bookmarkEnd w:id="3780"/>
    </w:p>
    <w:p w:rsidR="004B1F83" w:rsidRDefault="004B1F83" w:rsidP="004B1F83">
      <w:pPr>
        <w:rPr>
          <w:lang w:eastAsia="ja-JP"/>
        </w:rPr>
      </w:pPr>
    </w:p>
    <w:p w:rsidR="004B1F83" w:rsidRPr="009448FC" w:rsidRDefault="004B1F83" w:rsidP="003701DB">
      <w:pPr>
        <w:pStyle w:val="Heading4"/>
        <w:numPr>
          <w:ilvl w:val="3"/>
          <w:numId w:val="42"/>
        </w:numPr>
      </w:pPr>
      <w:bookmarkStart w:id="3781" w:name="_Toc259717400"/>
      <w:r>
        <w:t>Preamble</w:t>
      </w:r>
      <w:bookmarkEnd w:id="3781"/>
    </w:p>
    <w:p w:rsidR="0048417B" w:rsidRDefault="0048417B" w:rsidP="0048417B">
      <w:pPr>
        <w:rPr>
          <w:lang w:eastAsia="ja-JP"/>
        </w:rPr>
      </w:pPr>
      <w:r>
        <w:rPr>
          <w:lang w:eastAsia="ja-JP"/>
        </w:rPr>
        <w:t>The mmWave low power SC PHY use</w:t>
      </w:r>
      <w:r w:rsidR="00D864E4">
        <w:rPr>
          <w:lang w:eastAsia="ja-JP"/>
        </w:rPr>
        <w:t>s</w:t>
      </w:r>
      <w:r>
        <w:rPr>
          <w:lang w:eastAsia="ja-JP"/>
        </w:rPr>
        <w:t xml:space="preserve"> the same preamble as the mmWave SC PHY.</w:t>
      </w:r>
    </w:p>
    <w:p w:rsidR="004B1F83" w:rsidRDefault="004B1F83" w:rsidP="0048417B">
      <w:pPr>
        <w:rPr>
          <w:lang w:eastAsia="ja-JP"/>
        </w:rPr>
      </w:pPr>
    </w:p>
    <w:p w:rsidR="004B1F83" w:rsidRPr="009448FC" w:rsidRDefault="004B1F83" w:rsidP="003701DB">
      <w:pPr>
        <w:pStyle w:val="Heading4"/>
        <w:numPr>
          <w:ilvl w:val="3"/>
          <w:numId w:val="42"/>
        </w:numPr>
      </w:pPr>
      <w:bookmarkStart w:id="3782" w:name="_Toc259717401"/>
      <w:r>
        <w:lastRenderedPageBreak/>
        <w:t>Header</w:t>
      </w:r>
      <w:bookmarkEnd w:id="3782"/>
    </w:p>
    <w:p w:rsidR="0048417B" w:rsidRDefault="0048417B" w:rsidP="009E6B06">
      <w:pPr>
        <w:rPr>
          <w:lang w:eastAsia="ja-JP"/>
        </w:rPr>
      </w:pPr>
      <w:r>
        <w:rPr>
          <w:lang w:eastAsia="ja-JP"/>
        </w:rPr>
        <w:t>The mmWave low power SC PHY header fields are the same fields as in the mmWave SC PHY</w:t>
      </w:r>
      <w:r w:rsidR="00921A69">
        <w:rPr>
          <w:lang w:eastAsia="ja-JP"/>
        </w:rPr>
        <w:t xml:space="preserve"> (</w:t>
      </w:r>
      <w:r>
        <w:rPr>
          <w:lang w:eastAsia="ja-JP"/>
        </w:rPr>
        <w:t xml:space="preserve">see </w:t>
      </w:r>
      <w:r w:rsidR="00BD151C">
        <w:rPr>
          <w:lang w:eastAsia="ja-JP"/>
        </w:rPr>
        <w:fldChar w:fldCharType="begin"/>
      </w:r>
      <w:r>
        <w:rPr>
          <w:lang w:eastAsia="ja-JP"/>
        </w:rPr>
        <w:instrText xml:space="preserve"> REF _Ref236711061 \h </w:instrText>
      </w:r>
      <w:r w:rsidR="00BD151C">
        <w:rPr>
          <w:lang w:eastAsia="ja-JP"/>
        </w:rPr>
      </w:r>
      <w:r w:rsidR="00BD151C">
        <w:rPr>
          <w:lang w:eastAsia="ja-JP"/>
        </w:rPr>
        <w:fldChar w:fldCharType="separate"/>
      </w:r>
      <w:r w:rsidR="003E4210" w:rsidRPr="00066F65">
        <w:t xml:space="preserve">Table </w:t>
      </w:r>
      <w:r w:rsidR="003E4210">
        <w:rPr>
          <w:noProof/>
        </w:rPr>
        <w:t>78</w:t>
      </w:r>
      <w:r w:rsidR="00BD151C">
        <w:rPr>
          <w:lang w:eastAsia="ja-JP"/>
        </w:rPr>
        <w:fldChar w:fldCharType="end"/>
      </w:r>
      <w:r>
        <w:rPr>
          <w:lang w:eastAsia="ja-JP"/>
        </w:rPr>
        <w:t xml:space="preserve"> in</w:t>
      </w:r>
      <w:r w:rsidR="009E6B06">
        <w:rPr>
          <w:lang w:eastAsia="ja-JP"/>
        </w:rPr>
        <w:t xml:space="preserve"> </w:t>
      </w:r>
      <w:r w:rsidR="00BD151C">
        <w:rPr>
          <w:lang w:eastAsia="ja-JP"/>
        </w:rPr>
        <w:fldChar w:fldCharType="begin"/>
      </w:r>
      <w:r w:rsidR="009E6B06">
        <w:rPr>
          <w:lang w:eastAsia="ja-JP"/>
        </w:rPr>
        <w:instrText xml:space="preserve"> REF _Ref251864033 \r \h </w:instrText>
      </w:r>
      <w:r w:rsidR="00BD151C">
        <w:rPr>
          <w:lang w:eastAsia="ja-JP"/>
        </w:rPr>
      </w:r>
      <w:r w:rsidR="00BD151C">
        <w:rPr>
          <w:lang w:eastAsia="ja-JP"/>
        </w:rPr>
        <w:fldChar w:fldCharType="separate"/>
      </w:r>
      <w:r w:rsidR="003E4210">
        <w:rPr>
          <w:lang w:eastAsia="ja-JP"/>
        </w:rPr>
        <w:t>21.6.3.1</w:t>
      </w:r>
      <w:r w:rsidR="00BD151C">
        <w:rPr>
          <w:lang w:eastAsia="ja-JP"/>
        </w:rPr>
        <w:fldChar w:fldCharType="end"/>
      </w:r>
      <w:r w:rsidR="00921A69">
        <w:rPr>
          <w:lang w:eastAsia="ja-JP"/>
        </w:rPr>
        <w:t>)</w:t>
      </w:r>
      <w:r>
        <w:rPr>
          <w:lang w:eastAsia="ja-JP"/>
        </w:rPr>
        <w:t>.</w:t>
      </w:r>
    </w:p>
    <w:p w:rsidR="001F6942" w:rsidRDefault="001F6942" w:rsidP="009E6B06">
      <w:pPr>
        <w:rPr>
          <w:lang w:eastAsia="ja-JP"/>
        </w:rPr>
      </w:pPr>
    </w:p>
    <w:p w:rsidR="0048417B" w:rsidRDefault="0048417B" w:rsidP="0048417B">
      <w:pPr>
        <w:rPr>
          <w:lang w:eastAsia="ja-JP"/>
        </w:rPr>
      </w:pPr>
      <w:r>
        <w:rPr>
          <w:lang w:eastAsia="ja-JP"/>
        </w:rPr>
        <w:t>The mmWave low power SC PHY modulation and coding schemes are listed in</w:t>
      </w:r>
      <w:r w:rsidR="00ED69BF">
        <w:rPr>
          <w:lang w:eastAsia="ja-JP"/>
        </w:rPr>
        <w:t xml:space="preserve"> </w:t>
      </w:r>
      <w:r w:rsidR="00BD151C">
        <w:rPr>
          <w:lang w:eastAsia="ja-JP"/>
        </w:rPr>
        <w:fldChar w:fldCharType="begin"/>
      </w:r>
      <w:r w:rsidR="00ED69BF">
        <w:rPr>
          <w:lang w:eastAsia="ja-JP"/>
        </w:rPr>
        <w:instrText xml:space="preserve"> REF _Ref251907067 \h </w:instrText>
      </w:r>
      <w:r w:rsidR="00BD151C">
        <w:rPr>
          <w:lang w:eastAsia="ja-JP"/>
        </w:rPr>
      </w:r>
      <w:r w:rsidR="00BD151C">
        <w:rPr>
          <w:lang w:eastAsia="ja-JP"/>
        </w:rPr>
        <w:fldChar w:fldCharType="separate"/>
      </w:r>
      <w:r w:rsidR="003E4210">
        <w:t xml:space="preserve">Table </w:t>
      </w:r>
      <w:r w:rsidR="003E4210">
        <w:rPr>
          <w:noProof/>
        </w:rPr>
        <w:t>82</w:t>
      </w:r>
      <w:r w:rsidR="00BD151C">
        <w:rPr>
          <w:lang w:eastAsia="ja-JP"/>
        </w:rPr>
        <w:fldChar w:fldCharType="end"/>
      </w:r>
      <w:r>
        <w:rPr>
          <w:lang w:eastAsia="ja-JP"/>
        </w:rPr>
        <w:t>.</w:t>
      </w:r>
    </w:p>
    <w:p w:rsidR="0048417B" w:rsidRDefault="0048417B" w:rsidP="0048417B">
      <w:pPr>
        <w:rPr>
          <w:lang w:eastAsia="ja-JP"/>
        </w:rPr>
      </w:pPr>
    </w:p>
    <w:p w:rsidR="0048417B" w:rsidRDefault="0048417B" w:rsidP="00785B06">
      <w:pPr>
        <w:pStyle w:val="Caption"/>
        <w:keepNext/>
      </w:pPr>
      <w:bookmarkStart w:id="3783" w:name="_Ref251907067"/>
      <w:bookmarkStart w:id="3784" w:name="_Toc259717660"/>
      <w:r>
        <w:t xml:space="preserve">Table </w:t>
      </w:r>
      <w:r w:rsidR="00BD151C">
        <w:fldChar w:fldCharType="begin"/>
      </w:r>
      <w:r w:rsidR="00801316">
        <w:instrText xml:space="preserve"> SEQ Table \* ARABIC </w:instrText>
      </w:r>
      <w:r w:rsidR="00BD151C">
        <w:fldChar w:fldCharType="separate"/>
      </w:r>
      <w:r w:rsidR="003E4210">
        <w:rPr>
          <w:noProof/>
        </w:rPr>
        <w:t>82</w:t>
      </w:r>
      <w:r w:rsidR="00BD151C">
        <w:fldChar w:fldCharType="end"/>
      </w:r>
      <w:bookmarkEnd w:id="3783"/>
      <w:r w:rsidR="001F6942">
        <w:t xml:space="preserve"> </w:t>
      </w:r>
      <w:bookmarkStart w:id="3785" w:name="_Ref255114954"/>
      <w:r w:rsidR="001F6942">
        <w:t>– L</w:t>
      </w:r>
      <w:r>
        <w:t>ow power SC Modualtion and Coding Schemes</w:t>
      </w:r>
      <w:bookmarkEnd w:id="3784"/>
      <w:bookmarkEnd w:id="3785"/>
      <w:r w:rsidR="00594951">
        <w:t xml:space="preserve"> </w:t>
      </w:r>
    </w:p>
    <w:tbl>
      <w:tblPr>
        <w:tblStyle w:val="TableGrid"/>
        <w:tblW w:w="0" w:type="auto"/>
        <w:tblLook w:val="04A0"/>
      </w:tblPr>
      <w:tblGrid>
        <w:gridCol w:w="750"/>
        <w:gridCol w:w="1417"/>
        <w:gridCol w:w="2256"/>
        <w:gridCol w:w="3385"/>
        <w:gridCol w:w="710"/>
        <w:gridCol w:w="1503"/>
      </w:tblGrid>
      <w:tr w:rsidR="009C5CB1" w:rsidTr="00D864E4">
        <w:tc>
          <w:tcPr>
            <w:tcW w:w="0" w:type="auto"/>
          </w:tcPr>
          <w:p w:rsidR="00710FBB" w:rsidRDefault="009C5CB1">
            <w:pPr>
              <w:spacing w:before="0"/>
              <w:jc w:val="center"/>
              <w:rPr>
                <w:rFonts w:eastAsia="Times New Roman"/>
                <w:b/>
                <w:lang w:eastAsia="ja-JP"/>
              </w:rPr>
            </w:pPr>
            <w:r w:rsidRPr="001F6942">
              <w:rPr>
                <w:b/>
                <w:lang w:eastAsia="ja-JP"/>
              </w:rPr>
              <w:t>MCS</w:t>
            </w:r>
          </w:p>
        </w:tc>
        <w:tc>
          <w:tcPr>
            <w:tcW w:w="0" w:type="auto"/>
          </w:tcPr>
          <w:p w:rsidR="00710FBB" w:rsidRDefault="009C5CB1">
            <w:pPr>
              <w:spacing w:before="0"/>
              <w:jc w:val="center"/>
              <w:rPr>
                <w:rFonts w:eastAsia="Times New Roman"/>
                <w:b/>
                <w:lang w:eastAsia="ja-JP"/>
              </w:rPr>
            </w:pPr>
            <w:r w:rsidRPr="001F6942">
              <w:rPr>
                <w:b/>
                <w:lang w:eastAsia="ja-JP"/>
              </w:rPr>
              <w:t>Modulation</w:t>
            </w:r>
          </w:p>
        </w:tc>
        <w:tc>
          <w:tcPr>
            <w:tcW w:w="0" w:type="auto"/>
          </w:tcPr>
          <w:p w:rsidR="00710FBB" w:rsidRDefault="009C5CB1">
            <w:pPr>
              <w:spacing w:before="0"/>
              <w:jc w:val="center"/>
              <w:rPr>
                <w:rFonts w:eastAsia="Times New Roman"/>
                <w:b/>
                <w:lang w:eastAsia="ja-JP"/>
              </w:rPr>
            </w:pPr>
            <w:r>
              <w:rPr>
                <w:b/>
                <w:lang w:eastAsia="ja-JP"/>
              </w:rPr>
              <w:t>Effective Code Rate</w:t>
            </w:r>
          </w:p>
        </w:tc>
        <w:tc>
          <w:tcPr>
            <w:tcW w:w="0" w:type="auto"/>
          </w:tcPr>
          <w:p w:rsidR="00710FBB" w:rsidRDefault="009C5CB1">
            <w:pPr>
              <w:spacing w:before="0"/>
              <w:jc w:val="center"/>
              <w:rPr>
                <w:rFonts w:eastAsia="Times New Roman"/>
                <w:b/>
                <w:lang w:eastAsia="ja-JP"/>
              </w:rPr>
            </w:pPr>
            <w:r w:rsidRPr="001F6942">
              <w:rPr>
                <w:b/>
                <w:lang w:eastAsia="ja-JP"/>
              </w:rPr>
              <w:t>Coding Scheme</w:t>
            </w:r>
          </w:p>
        </w:tc>
        <w:tc>
          <w:tcPr>
            <w:tcW w:w="0" w:type="auto"/>
          </w:tcPr>
          <w:p w:rsidR="00000C5F" w:rsidRDefault="009C5CB1">
            <w:pPr>
              <w:spacing w:before="0"/>
              <w:rPr>
                <w:rFonts w:eastAsia="Times New Roman"/>
                <w:b/>
                <w:bCs/>
                <w:lang w:eastAsia="ja-JP"/>
              </w:rPr>
            </w:pPr>
            <w:r w:rsidRPr="009C5CB1">
              <w:rPr>
                <w:b/>
                <w:bCs/>
                <w:lang w:eastAsia="ja-JP"/>
              </w:rPr>
              <w:t>N</w:t>
            </w:r>
            <w:r w:rsidR="009D537D" w:rsidRPr="009D537D">
              <w:rPr>
                <w:b/>
                <w:bCs/>
                <w:vertAlign w:val="subscript"/>
                <w:lang w:eastAsia="ja-JP"/>
              </w:rPr>
              <w:t>CPB</w:t>
            </w:r>
          </w:p>
        </w:tc>
        <w:tc>
          <w:tcPr>
            <w:tcW w:w="0" w:type="auto"/>
          </w:tcPr>
          <w:p w:rsidR="00710FBB" w:rsidRDefault="009C5CB1">
            <w:pPr>
              <w:spacing w:before="0"/>
              <w:jc w:val="center"/>
              <w:rPr>
                <w:rFonts w:eastAsia="Times New Roman"/>
                <w:b/>
                <w:lang w:eastAsia="ja-JP"/>
              </w:rPr>
            </w:pPr>
            <w:r w:rsidRPr="001F6942">
              <w:rPr>
                <w:b/>
                <w:lang w:eastAsia="ja-JP"/>
              </w:rPr>
              <w:t>Rate (Mbps)</w:t>
            </w:r>
          </w:p>
        </w:tc>
      </w:tr>
      <w:tr w:rsidR="009C5CB1" w:rsidTr="00D864E4">
        <w:tc>
          <w:tcPr>
            <w:tcW w:w="0" w:type="auto"/>
          </w:tcPr>
          <w:p w:rsidR="00000C5F" w:rsidRDefault="00E5471F">
            <w:pPr>
              <w:spacing w:before="0"/>
              <w:jc w:val="center"/>
              <w:rPr>
                <w:rFonts w:eastAsia="Times New Roman"/>
                <w:lang w:eastAsia="ja-JP"/>
              </w:rPr>
            </w:pPr>
            <w:r w:rsidRPr="00173930">
              <w:rPr>
                <w:lang w:eastAsia="ja-JP"/>
              </w:rPr>
              <w:t>2</w:t>
            </w:r>
            <w:r>
              <w:rPr>
                <w:lang w:eastAsia="ja-JP"/>
              </w:rPr>
              <w:t>5</w:t>
            </w:r>
          </w:p>
        </w:tc>
        <w:tc>
          <w:tcPr>
            <w:tcW w:w="0" w:type="auto"/>
          </w:tcPr>
          <w:p w:rsidR="00000C5F" w:rsidRDefault="009C5CB1">
            <w:pPr>
              <w:spacing w:before="0"/>
              <w:rPr>
                <w:rFonts w:eastAsia="Times New Roman"/>
                <w:lang w:eastAsia="ja-JP"/>
              </w:rPr>
            </w:pPr>
            <w:r w:rsidRPr="00173930">
              <w:rPr>
                <w:lang w:eastAsia="ja-JP"/>
              </w:rPr>
              <w:t>π/2-BPSK</w:t>
            </w:r>
          </w:p>
        </w:tc>
        <w:tc>
          <w:tcPr>
            <w:tcW w:w="0" w:type="auto"/>
          </w:tcPr>
          <w:p w:rsidR="00000C5F" w:rsidRDefault="009C5CB1">
            <w:pPr>
              <w:spacing w:before="0"/>
              <w:rPr>
                <w:rFonts w:eastAsia="Times New Roman"/>
                <w:lang w:eastAsia="ja-JP"/>
              </w:rPr>
            </w:pPr>
            <w:r>
              <w:rPr>
                <w:lang w:eastAsia="ja-JP"/>
              </w:rPr>
              <w:t>108/224</w:t>
            </w:r>
          </w:p>
        </w:tc>
        <w:tc>
          <w:tcPr>
            <w:tcW w:w="0" w:type="auto"/>
          </w:tcPr>
          <w:p w:rsidR="00000C5F" w:rsidRDefault="009C5CB1">
            <w:pPr>
              <w:spacing w:before="0"/>
              <w:rPr>
                <w:rFonts w:eastAsia="Times New Roman"/>
                <w:lang w:eastAsia="ja-JP"/>
              </w:rPr>
            </w:pPr>
            <w:r w:rsidRPr="00173930">
              <w:t>RS(224,208)+ Block-Code(16,8)</w:t>
            </w:r>
          </w:p>
        </w:tc>
        <w:tc>
          <w:tcPr>
            <w:tcW w:w="0" w:type="auto"/>
          </w:tcPr>
          <w:p w:rsidR="00000C5F" w:rsidRDefault="009C5CB1">
            <w:pPr>
              <w:spacing w:before="0"/>
              <w:rPr>
                <w:rFonts w:eastAsia="Times New Roman"/>
                <w:lang w:eastAsia="ja-JP"/>
              </w:rPr>
            </w:pPr>
            <w:r>
              <w:rPr>
                <w:lang w:eastAsia="ja-JP"/>
              </w:rPr>
              <w:t>392</w:t>
            </w:r>
          </w:p>
        </w:tc>
        <w:tc>
          <w:tcPr>
            <w:tcW w:w="0" w:type="auto"/>
          </w:tcPr>
          <w:p w:rsidR="00000C5F" w:rsidRDefault="009C5CB1">
            <w:pPr>
              <w:spacing w:before="0"/>
              <w:rPr>
                <w:rFonts w:eastAsia="Times New Roman"/>
                <w:lang w:eastAsia="ja-JP"/>
              </w:rPr>
            </w:pPr>
            <w:r w:rsidRPr="00173930">
              <w:rPr>
                <w:lang w:eastAsia="ja-JP"/>
              </w:rPr>
              <w:t>626</w:t>
            </w:r>
          </w:p>
        </w:tc>
      </w:tr>
      <w:tr w:rsidR="009C5CB1" w:rsidTr="00D864E4">
        <w:tc>
          <w:tcPr>
            <w:tcW w:w="0" w:type="auto"/>
          </w:tcPr>
          <w:p w:rsidR="00000C5F" w:rsidRDefault="00E5471F">
            <w:pPr>
              <w:spacing w:before="0"/>
              <w:jc w:val="center"/>
              <w:rPr>
                <w:rFonts w:eastAsia="Times New Roman"/>
                <w:lang w:eastAsia="ja-JP"/>
              </w:rPr>
            </w:pPr>
            <w:r w:rsidRPr="00173930">
              <w:rPr>
                <w:lang w:eastAsia="ja-JP"/>
              </w:rPr>
              <w:t>2</w:t>
            </w:r>
            <w:r>
              <w:rPr>
                <w:lang w:eastAsia="ja-JP"/>
              </w:rPr>
              <w:t>6</w:t>
            </w:r>
          </w:p>
        </w:tc>
        <w:tc>
          <w:tcPr>
            <w:tcW w:w="0" w:type="auto"/>
          </w:tcPr>
          <w:p w:rsidR="00000C5F" w:rsidRDefault="009C5CB1">
            <w:pPr>
              <w:spacing w:before="0"/>
              <w:rPr>
                <w:rFonts w:eastAsia="Times New Roman"/>
                <w:lang w:eastAsia="ja-JP"/>
              </w:rPr>
            </w:pPr>
            <w:r w:rsidRPr="00173930">
              <w:rPr>
                <w:lang w:eastAsia="ja-JP"/>
              </w:rPr>
              <w:t>π/2-BPSK</w:t>
            </w:r>
          </w:p>
        </w:tc>
        <w:tc>
          <w:tcPr>
            <w:tcW w:w="0" w:type="auto"/>
          </w:tcPr>
          <w:p w:rsidR="00000C5F" w:rsidRDefault="009C5CB1">
            <w:pPr>
              <w:spacing w:before="0"/>
              <w:rPr>
                <w:rFonts w:eastAsia="Times New Roman"/>
                <w:lang w:eastAsia="ja-JP"/>
              </w:rPr>
            </w:pPr>
            <w:r>
              <w:rPr>
                <w:lang w:eastAsia="ja-JP"/>
              </w:rPr>
              <w:t>208/224</w:t>
            </w:r>
          </w:p>
        </w:tc>
        <w:tc>
          <w:tcPr>
            <w:tcW w:w="0" w:type="auto"/>
          </w:tcPr>
          <w:p w:rsidR="00000C5F" w:rsidRDefault="009C5CB1">
            <w:pPr>
              <w:spacing w:before="0"/>
              <w:rPr>
                <w:rFonts w:eastAsia="Times New Roman"/>
                <w:lang w:eastAsia="ja-JP"/>
              </w:rPr>
            </w:pPr>
            <w:r w:rsidRPr="00173930">
              <w:t xml:space="preserve">RS(224,208) </w:t>
            </w:r>
          </w:p>
        </w:tc>
        <w:tc>
          <w:tcPr>
            <w:tcW w:w="0" w:type="auto"/>
          </w:tcPr>
          <w:p w:rsidR="00000C5F" w:rsidRDefault="009C5CB1">
            <w:pPr>
              <w:spacing w:before="0"/>
              <w:rPr>
                <w:rFonts w:eastAsia="Times New Roman"/>
                <w:lang w:eastAsia="ja-JP"/>
              </w:rPr>
            </w:pPr>
            <w:r>
              <w:rPr>
                <w:lang w:eastAsia="ja-JP"/>
              </w:rPr>
              <w:t>39</w:t>
            </w:r>
            <w:r w:rsidR="008F2F3E">
              <w:rPr>
                <w:lang w:eastAsia="ja-JP"/>
              </w:rPr>
              <w:t>2</w:t>
            </w:r>
          </w:p>
        </w:tc>
        <w:tc>
          <w:tcPr>
            <w:tcW w:w="0" w:type="auto"/>
          </w:tcPr>
          <w:p w:rsidR="00000C5F" w:rsidRDefault="009C5CB1">
            <w:pPr>
              <w:spacing w:before="0"/>
              <w:rPr>
                <w:rFonts w:eastAsia="Times New Roman"/>
                <w:lang w:eastAsia="ja-JP"/>
              </w:rPr>
            </w:pPr>
            <w:r w:rsidRPr="00173930">
              <w:rPr>
                <w:lang w:eastAsia="ja-JP"/>
              </w:rPr>
              <w:t>1251</w:t>
            </w:r>
          </w:p>
        </w:tc>
      </w:tr>
      <w:tr w:rsidR="009C5CB1" w:rsidTr="00D864E4">
        <w:tc>
          <w:tcPr>
            <w:tcW w:w="0" w:type="auto"/>
          </w:tcPr>
          <w:p w:rsidR="00000C5F" w:rsidRDefault="00E5471F">
            <w:pPr>
              <w:spacing w:before="0"/>
              <w:jc w:val="center"/>
              <w:rPr>
                <w:rFonts w:eastAsia="Times New Roman"/>
                <w:lang w:eastAsia="ja-JP"/>
              </w:rPr>
            </w:pPr>
            <w:r w:rsidRPr="00173930">
              <w:rPr>
                <w:lang w:eastAsia="ja-JP"/>
              </w:rPr>
              <w:t>2</w:t>
            </w:r>
            <w:r>
              <w:rPr>
                <w:lang w:eastAsia="ja-JP"/>
              </w:rPr>
              <w:t>7</w:t>
            </w:r>
          </w:p>
        </w:tc>
        <w:tc>
          <w:tcPr>
            <w:tcW w:w="0" w:type="auto"/>
          </w:tcPr>
          <w:p w:rsidR="00000C5F" w:rsidRDefault="009C5CB1">
            <w:pPr>
              <w:spacing w:before="0"/>
              <w:rPr>
                <w:rFonts w:eastAsia="Times New Roman"/>
                <w:lang w:eastAsia="ja-JP"/>
              </w:rPr>
            </w:pPr>
            <w:r w:rsidRPr="00173930">
              <w:rPr>
                <w:lang w:eastAsia="ja-JP"/>
              </w:rPr>
              <w:t>π/2-QPSK</w:t>
            </w:r>
          </w:p>
        </w:tc>
        <w:tc>
          <w:tcPr>
            <w:tcW w:w="0" w:type="auto"/>
          </w:tcPr>
          <w:p w:rsidR="00000C5F" w:rsidRDefault="009C5CB1">
            <w:pPr>
              <w:spacing w:before="0"/>
              <w:rPr>
                <w:rFonts w:eastAsia="Times New Roman"/>
                <w:lang w:eastAsia="ja-JP"/>
              </w:rPr>
            </w:pPr>
            <w:r>
              <w:rPr>
                <w:lang w:eastAsia="ja-JP"/>
              </w:rPr>
              <w:t>208/224</w:t>
            </w:r>
          </w:p>
        </w:tc>
        <w:tc>
          <w:tcPr>
            <w:tcW w:w="0" w:type="auto"/>
          </w:tcPr>
          <w:p w:rsidR="00000C5F" w:rsidRDefault="009C5CB1">
            <w:pPr>
              <w:spacing w:before="0"/>
              <w:rPr>
                <w:rFonts w:eastAsia="Times New Roman"/>
                <w:lang w:eastAsia="ja-JP"/>
              </w:rPr>
            </w:pPr>
            <w:r w:rsidRPr="00173930">
              <w:t xml:space="preserve">RS(224,208) </w:t>
            </w:r>
          </w:p>
        </w:tc>
        <w:tc>
          <w:tcPr>
            <w:tcW w:w="0" w:type="auto"/>
          </w:tcPr>
          <w:p w:rsidR="00000C5F" w:rsidRDefault="009C5CB1">
            <w:pPr>
              <w:spacing w:before="0"/>
              <w:rPr>
                <w:rFonts w:eastAsia="Times New Roman"/>
                <w:lang w:eastAsia="ja-JP"/>
              </w:rPr>
            </w:pPr>
            <w:r>
              <w:rPr>
                <w:lang w:eastAsia="ja-JP"/>
              </w:rPr>
              <w:t>392</w:t>
            </w:r>
          </w:p>
        </w:tc>
        <w:tc>
          <w:tcPr>
            <w:tcW w:w="0" w:type="auto"/>
          </w:tcPr>
          <w:p w:rsidR="00000C5F" w:rsidRDefault="009C5CB1">
            <w:pPr>
              <w:spacing w:before="0"/>
              <w:rPr>
                <w:rFonts w:eastAsia="Times New Roman"/>
                <w:lang w:eastAsia="ja-JP"/>
              </w:rPr>
            </w:pPr>
            <w:r w:rsidRPr="00173930">
              <w:rPr>
                <w:lang w:eastAsia="ja-JP"/>
              </w:rPr>
              <w:t>2502</w:t>
            </w:r>
          </w:p>
        </w:tc>
      </w:tr>
    </w:tbl>
    <w:p w:rsidR="0048417B" w:rsidRDefault="0048417B" w:rsidP="0048417B">
      <w:pPr>
        <w:rPr>
          <w:lang w:eastAsia="ja-JP"/>
        </w:rPr>
      </w:pPr>
    </w:p>
    <w:p w:rsidR="00607480" w:rsidRPr="009448FC" w:rsidRDefault="00607480" w:rsidP="003701DB">
      <w:pPr>
        <w:pStyle w:val="Heading5"/>
        <w:keepNext w:val="0"/>
        <w:numPr>
          <w:ilvl w:val="4"/>
          <w:numId w:val="42"/>
        </w:numPr>
        <w:tabs>
          <w:tab w:val="clear" w:pos="1152"/>
        </w:tabs>
        <w:spacing w:after="60"/>
        <w:jc w:val="left"/>
      </w:pPr>
      <w:bookmarkStart w:id="3786" w:name="_Toc259717402"/>
      <w:r>
        <w:t>Header encoding and modulation</w:t>
      </w:r>
      <w:bookmarkEnd w:id="3786"/>
    </w:p>
    <w:p w:rsidR="0048417B" w:rsidRDefault="0048417B" w:rsidP="0048417B">
      <w:pPr>
        <w:rPr>
          <w:lang w:eastAsia="ja-JP"/>
        </w:rPr>
      </w:pPr>
      <w:r>
        <w:rPr>
          <w:lang w:eastAsia="ja-JP"/>
        </w:rPr>
        <w:t>The low power SC PHY header is encoded using the following scheme:</w:t>
      </w:r>
    </w:p>
    <w:p w:rsidR="0048417B" w:rsidRDefault="0048417B" w:rsidP="003701DB">
      <w:pPr>
        <w:pStyle w:val="ListParagraph"/>
        <w:numPr>
          <w:ilvl w:val="0"/>
          <w:numId w:val="190"/>
        </w:numPr>
        <w:rPr>
          <w:lang w:eastAsia="ja-JP"/>
        </w:rPr>
      </w:pPr>
      <w:r>
        <w:rPr>
          <w:lang w:eastAsia="ja-JP"/>
        </w:rPr>
        <w:t xml:space="preserve">The header is scrambled as described in </w:t>
      </w:r>
      <w:r w:rsidR="00BD151C">
        <w:rPr>
          <w:lang w:eastAsia="ja-JP"/>
        </w:rPr>
        <w:fldChar w:fldCharType="begin"/>
      </w:r>
      <w:r>
        <w:rPr>
          <w:lang w:eastAsia="ja-JP"/>
        </w:rPr>
        <w:instrText xml:space="preserve"> REF _Ref221601546 \r \h </w:instrText>
      </w:r>
      <w:r w:rsidR="00BD151C">
        <w:rPr>
          <w:lang w:eastAsia="ja-JP"/>
        </w:rPr>
      </w:r>
      <w:r w:rsidR="00BD151C">
        <w:rPr>
          <w:lang w:eastAsia="ja-JP"/>
        </w:rPr>
        <w:fldChar w:fldCharType="separate"/>
      </w:r>
      <w:r w:rsidR="003E4210">
        <w:rPr>
          <w:lang w:eastAsia="ja-JP"/>
        </w:rPr>
        <w:t>21.3.9</w:t>
      </w:r>
      <w:r w:rsidR="00BD151C">
        <w:rPr>
          <w:lang w:eastAsia="ja-JP"/>
        </w:rPr>
        <w:fldChar w:fldCharType="end"/>
      </w:r>
      <w:r w:rsidR="00173930">
        <w:rPr>
          <w:lang w:eastAsia="ja-JP"/>
        </w:rPr>
        <w:t>.</w:t>
      </w:r>
    </w:p>
    <w:p w:rsidR="0048417B" w:rsidRDefault="0048417B" w:rsidP="003701DB">
      <w:pPr>
        <w:pStyle w:val="ListParagraph"/>
        <w:numPr>
          <w:ilvl w:val="0"/>
          <w:numId w:val="190"/>
        </w:numPr>
        <w:rPr>
          <w:lang w:eastAsia="ja-JP"/>
        </w:rPr>
      </w:pPr>
      <w:r>
        <w:rPr>
          <w:lang w:eastAsia="ja-JP"/>
        </w:rPr>
        <w:t>The resulting 8 octers are encoded using a RS(24,8) generating 24 octets</w:t>
      </w:r>
      <w:r w:rsidR="00173930">
        <w:rPr>
          <w:lang w:eastAsia="ja-JP"/>
        </w:rPr>
        <w:t>.</w:t>
      </w:r>
    </w:p>
    <w:p w:rsidR="0048417B" w:rsidRDefault="0048417B" w:rsidP="003701DB">
      <w:pPr>
        <w:pStyle w:val="ListParagraph"/>
        <w:numPr>
          <w:ilvl w:val="0"/>
          <w:numId w:val="190"/>
        </w:numPr>
        <w:rPr>
          <w:lang w:eastAsia="ja-JP"/>
        </w:rPr>
      </w:pPr>
      <w:r>
        <w:rPr>
          <w:lang w:eastAsia="ja-JP"/>
        </w:rPr>
        <w:t>The resulting 24 octets are encoded i</w:t>
      </w:r>
      <w:r w:rsidR="0003680C">
        <w:rPr>
          <w:lang w:eastAsia="ja-JP"/>
        </w:rPr>
        <w:t>n</w:t>
      </w:r>
      <w:r>
        <w:rPr>
          <w:lang w:eastAsia="ja-JP"/>
        </w:rPr>
        <w:t xml:space="preserve"> the block code described in </w:t>
      </w:r>
      <w:r w:rsidR="00BD151C">
        <w:rPr>
          <w:lang w:eastAsia="ja-JP"/>
        </w:rPr>
        <w:fldChar w:fldCharType="begin"/>
      </w:r>
      <w:r w:rsidR="00510607">
        <w:rPr>
          <w:lang w:eastAsia="ja-JP"/>
        </w:rPr>
        <w:instrText xml:space="preserve"> REF _Ref251863687 \r \h </w:instrText>
      </w:r>
      <w:r w:rsidR="00BD151C">
        <w:rPr>
          <w:lang w:eastAsia="ja-JP"/>
        </w:rPr>
      </w:r>
      <w:r w:rsidR="00BD151C">
        <w:rPr>
          <w:lang w:eastAsia="ja-JP"/>
        </w:rPr>
        <w:fldChar w:fldCharType="separate"/>
      </w:r>
      <w:r w:rsidR="003E4210">
        <w:rPr>
          <w:lang w:eastAsia="ja-JP"/>
        </w:rPr>
        <w:t>21.7.1.3.2.2</w:t>
      </w:r>
      <w:r w:rsidR="00BD151C">
        <w:rPr>
          <w:lang w:eastAsia="ja-JP"/>
        </w:rPr>
        <w:fldChar w:fldCharType="end"/>
      </w:r>
      <w:r w:rsidR="00510607">
        <w:rPr>
          <w:lang w:eastAsia="ja-JP"/>
        </w:rPr>
        <w:t xml:space="preserve"> </w:t>
      </w:r>
      <w:r>
        <w:rPr>
          <w:lang w:eastAsia="ja-JP"/>
        </w:rPr>
        <w:t>generating 48 octets</w:t>
      </w:r>
      <w:r w:rsidR="00173930">
        <w:rPr>
          <w:lang w:eastAsia="ja-JP"/>
        </w:rPr>
        <w:t>.</w:t>
      </w:r>
    </w:p>
    <w:p w:rsidR="0048417B" w:rsidRDefault="0048417B" w:rsidP="003701DB">
      <w:pPr>
        <w:pStyle w:val="ListParagraph"/>
        <w:numPr>
          <w:ilvl w:val="0"/>
          <w:numId w:val="190"/>
        </w:numPr>
        <w:rPr>
          <w:lang w:eastAsia="ja-JP"/>
        </w:rPr>
      </w:pPr>
      <w:r>
        <w:rPr>
          <w:lang w:eastAsia="ja-JP"/>
        </w:rPr>
        <w:t xml:space="preserve">One zero octet is </w:t>
      </w:r>
      <w:r w:rsidR="00594951">
        <w:rPr>
          <w:lang w:eastAsia="ja-JP"/>
        </w:rPr>
        <w:t xml:space="preserve">prepended </w:t>
      </w:r>
      <w:r>
        <w:rPr>
          <w:lang w:eastAsia="ja-JP"/>
        </w:rPr>
        <w:t>to the end of the 48 octets generating 49 octets</w:t>
      </w:r>
      <w:r w:rsidR="00173930">
        <w:rPr>
          <w:lang w:eastAsia="ja-JP"/>
        </w:rPr>
        <w:t>.</w:t>
      </w:r>
    </w:p>
    <w:p w:rsidR="00CD4FA3" w:rsidRDefault="00CD4FA3" w:rsidP="003701DB">
      <w:pPr>
        <w:pStyle w:val="ListParagraph"/>
        <w:numPr>
          <w:ilvl w:val="0"/>
          <w:numId w:val="190"/>
        </w:numPr>
        <w:rPr>
          <w:lang w:eastAsia="ja-JP"/>
        </w:rPr>
      </w:pPr>
      <w:r>
        <w:rPr>
          <w:lang w:eastAsia="ja-JP"/>
        </w:rPr>
        <w:t>Each set of 7 octets is interleaved using a uniform interleaver of 7 rows and 8 columns.</w:t>
      </w:r>
      <w:r w:rsidR="005515A4">
        <w:rPr>
          <w:lang w:eastAsia="ja-JP"/>
        </w:rPr>
        <w:t xml:space="preserve"> </w:t>
      </w:r>
      <w:r>
        <w:rPr>
          <w:lang w:eastAsia="ja-JP"/>
        </w:rPr>
        <w:t>The 7 octets are written row wise and read column wise.</w:t>
      </w:r>
      <w:r w:rsidR="00BE1F31">
        <w:rPr>
          <w:lang w:eastAsia="ja-JP"/>
        </w:rPr>
        <w:t xml:space="preserve"> </w:t>
      </w:r>
    </w:p>
    <w:p w:rsidR="0048417B" w:rsidRDefault="0048417B" w:rsidP="003701DB">
      <w:pPr>
        <w:pStyle w:val="ListParagraph"/>
        <w:numPr>
          <w:ilvl w:val="0"/>
          <w:numId w:val="190"/>
        </w:numPr>
        <w:rPr>
          <w:lang w:eastAsia="ja-JP"/>
        </w:rPr>
      </w:pPr>
      <w:r>
        <w:rPr>
          <w:lang w:eastAsia="ja-JP"/>
        </w:rPr>
        <w:t xml:space="preserve">The resulting 49 octets are blocked as described in </w:t>
      </w:r>
      <w:r w:rsidR="00BD151C">
        <w:rPr>
          <w:lang w:eastAsia="ja-JP"/>
        </w:rPr>
        <w:fldChar w:fldCharType="begin"/>
      </w:r>
      <w:r w:rsidR="0003680C">
        <w:rPr>
          <w:lang w:eastAsia="ja-JP"/>
        </w:rPr>
        <w:instrText xml:space="preserve"> REF _Ref251863688 \r \h </w:instrText>
      </w:r>
      <w:r w:rsidR="00BD151C">
        <w:rPr>
          <w:lang w:eastAsia="ja-JP"/>
        </w:rPr>
      </w:r>
      <w:r w:rsidR="00BD151C">
        <w:rPr>
          <w:lang w:eastAsia="ja-JP"/>
        </w:rPr>
        <w:fldChar w:fldCharType="separate"/>
      </w:r>
      <w:r w:rsidR="003E4210">
        <w:rPr>
          <w:lang w:eastAsia="ja-JP"/>
        </w:rPr>
        <w:t>21.7.1.3.4</w:t>
      </w:r>
      <w:r w:rsidR="00BD151C">
        <w:rPr>
          <w:lang w:eastAsia="ja-JP"/>
        </w:rPr>
        <w:fldChar w:fldCharType="end"/>
      </w:r>
      <w:r w:rsidR="0003680C">
        <w:rPr>
          <w:lang w:eastAsia="ja-JP"/>
        </w:rPr>
        <w:t xml:space="preserve"> </w:t>
      </w:r>
      <w:r>
        <w:rPr>
          <w:lang w:eastAsia="ja-JP"/>
        </w:rPr>
        <w:t xml:space="preserve">and transmitted using π/2-BPSK as described in </w:t>
      </w:r>
      <w:r w:rsidR="00BD151C">
        <w:rPr>
          <w:lang w:eastAsia="ja-JP"/>
        </w:rPr>
        <w:fldChar w:fldCharType="begin"/>
      </w:r>
      <w:r>
        <w:rPr>
          <w:lang w:eastAsia="ja-JP"/>
        </w:rPr>
        <w:instrText xml:space="preserve"> REF _Ref227945616 \r \h </w:instrText>
      </w:r>
      <w:r w:rsidR="00BD151C">
        <w:rPr>
          <w:lang w:eastAsia="ja-JP"/>
        </w:rPr>
      </w:r>
      <w:r w:rsidR="00BD151C">
        <w:rPr>
          <w:lang w:eastAsia="ja-JP"/>
        </w:rPr>
        <w:fldChar w:fldCharType="separate"/>
      </w:r>
      <w:r w:rsidR="003E4210">
        <w:rPr>
          <w:lang w:eastAsia="ja-JP"/>
        </w:rPr>
        <w:t>21.6.3.2.3.1</w:t>
      </w:r>
      <w:r w:rsidR="00BD151C">
        <w:rPr>
          <w:lang w:eastAsia="ja-JP"/>
        </w:rPr>
        <w:fldChar w:fldCharType="end"/>
      </w:r>
      <w:r>
        <w:rPr>
          <w:lang w:eastAsia="ja-JP"/>
        </w:rPr>
        <w:t>.</w:t>
      </w:r>
    </w:p>
    <w:p w:rsidR="004B1F83" w:rsidRPr="009448FC" w:rsidRDefault="004B1F83" w:rsidP="003701DB">
      <w:pPr>
        <w:pStyle w:val="Heading4"/>
        <w:numPr>
          <w:ilvl w:val="3"/>
          <w:numId w:val="42"/>
        </w:numPr>
      </w:pPr>
      <w:bookmarkStart w:id="3787" w:name="_Toc259717403"/>
      <w:r>
        <w:t>Data field</w:t>
      </w:r>
      <w:bookmarkEnd w:id="3787"/>
    </w:p>
    <w:p w:rsidR="0048417B" w:rsidRDefault="0048417B" w:rsidP="0048417B">
      <w:r w:rsidRPr="009448FC">
        <w:t xml:space="preserve">The data field consists of the payload data of the PSDU and possible padding. The data are padded with zeros, scrambled, encoded and modulated as described in the following sub-clauses. </w:t>
      </w:r>
    </w:p>
    <w:p w:rsidR="0048417B" w:rsidRDefault="0048417B" w:rsidP="0048417B"/>
    <w:p w:rsidR="00607480" w:rsidRPr="009448FC" w:rsidRDefault="00607480" w:rsidP="003701DB">
      <w:pPr>
        <w:pStyle w:val="Heading5"/>
        <w:keepNext w:val="0"/>
        <w:numPr>
          <w:ilvl w:val="4"/>
          <w:numId w:val="42"/>
        </w:numPr>
        <w:tabs>
          <w:tab w:val="clear" w:pos="1152"/>
        </w:tabs>
        <w:spacing w:after="60"/>
        <w:jc w:val="left"/>
      </w:pPr>
      <w:bookmarkStart w:id="3788" w:name="_Toc259717404"/>
      <w:r>
        <w:t>Scrambler</w:t>
      </w:r>
      <w:bookmarkEnd w:id="3788"/>
    </w:p>
    <w:p w:rsidR="0048417B" w:rsidRPr="001F6942" w:rsidRDefault="0048417B" w:rsidP="001F6942">
      <w:r w:rsidRPr="009448FC">
        <w:t xml:space="preserve">The operation of the scrambler is defined in </w:t>
      </w:r>
      <w:fldSimple w:instr=" REF _Ref221601546 \r \h  \* MERGEFORMAT ">
        <w:r w:rsidR="003E4210">
          <w:t>21.3.9</w:t>
        </w:r>
      </w:fldSimple>
      <w:r w:rsidRPr="009448FC">
        <w:t xml:space="preserve">. </w:t>
      </w:r>
      <w:r w:rsidRPr="001F6942">
        <w:t>The scrambling of the PSDU continues the</w:t>
      </w:r>
      <w:r w:rsidR="001F6942">
        <w:t xml:space="preserve"> </w:t>
      </w:r>
      <w:r w:rsidRPr="001F6942">
        <w:t>scrambling of the header with no reset of the scrambler.</w:t>
      </w:r>
      <w:r w:rsidR="005515A4">
        <w:t xml:space="preserve"> </w:t>
      </w:r>
      <w:r w:rsidRPr="001F6942">
        <w:t>The padding bits are also scrambled.</w:t>
      </w:r>
    </w:p>
    <w:p w:rsidR="0048417B" w:rsidRDefault="0048417B" w:rsidP="0048417B">
      <w:pPr>
        <w:autoSpaceDE w:val="0"/>
        <w:autoSpaceDN w:val="0"/>
        <w:adjustRightInd w:val="0"/>
        <w:rPr>
          <w:sz w:val="23"/>
        </w:rPr>
      </w:pPr>
    </w:p>
    <w:p w:rsidR="00607480" w:rsidRPr="009448FC" w:rsidRDefault="00607480" w:rsidP="003701DB">
      <w:pPr>
        <w:pStyle w:val="Heading5"/>
        <w:keepNext w:val="0"/>
        <w:numPr>
          <w:ilvl w:val="4"/>
          <w:numId w:val="42"/>
        </w:numPr>
        <w:tabs>
          <w:tab w:val="clear" w:pos="1152"/>
        </w:tabs>
        <w:spacing w:after="60"/>
        <w:jc w:val="left"/>
      </w:pPr>
      <w:bookmarkStart w:id="3789" w:name="_Toc259717405"/>
      <w:r>
        <w:t>Encoding</w:t>
      </w:r>
      <w:bookmarkEnd w:id="3789"/>
    </w:p>
    <w:p w:rsidR="00FC0D7A" w:rsidRDefault="00213650" w:rsidP="0048417B">
      <w:pPr>
        <w:autoSpaceDE w:val="0"/>
        <w:autoSpaceDN w:val="0"/>
        <w:adjustRightInd w:val="0"/>
      </w:pPr>
      <w:r>
        <w:rPr>
          <w:lang w:eastAsia="ko-KR"/>
        </w:rPr>
        <w:t xml:space="preserve"> </w:t>
      </w:r>
    </w:p>
    <w:p w:rsidR="0048417B" w:rsidRDefault="0048417B" w:rsidP="0048417B">
      <w:pPr>
        <w:autoSpaceDE w:val="0"/>
        <w:autoSpaceDN w:val="0"/>
        <w:adjustRightInd w:val="0"/>
      </w:pPr>
      <w:r>
        <w:t>Data is encoded by a block code.</w:t>
      </w:r>
      <w:r w:rsidR="005515A4">
        <w:t xml:space="preserve"> </w:t>
      </w:r>
      <w:r>
        <w:t>In MCSs 23,24 the data is encoded by a RS(224,208) block code.</w:t>
      </w:r>
      <w:r w:rsidR="005515A4">
        <w:t xml:space="preserve"> </w:t>
      </w:r>
      <w:r>
        <w:t>In</w:t>
      </w:r>
      <w:r w:rsidR="005515A4">
        <w:t xml:space="preserve"> </w:t>
      </w:r>
      <w:r>
        <w:t>MCS 22 that data is further encoded by a (16,8) block code.</w:t>
      </w:r>
    </w:p>
    <w:p w:rsidR="0048417B" w:rsidRDefault="0048417B" w:rsidP="0048417B">
      <w:pPr>
        <w:autoSpaceDE w:val="0"/>
        <w:autoSpaceDN w:val="0"/>
        <w:adjustRightInd w:val="0"/>
      </w:pPr>
    </w:p>
    <w:p w:rsidR="002F7CB1" w:rsidRPr="009448FC" w:rsidRDefault="002F7CB1" w:rsidP="003701DB">
      <w:pPr>
        <w:pStyle w:val="Heading6"/>
        <w:numPr>
          <w:ilvl w:val="5"/>
          <w:numId w:val="42"/>
        </w:numPr>
      </w:pPr>
      <w:r>
        <w:t>Encoding process: RS(224, 208)</w:t>
      </w:r>
    </w:p>
    <w:p w:rsidR="0048417B" w:rsidRDefault="0048417B" w:rsidP="0048417B">
      <w:pPr>
        <w:rPr>
          <w:lang w:eastAsia="ja-JP"/>
        </w:rPr>
      </w:pPr>
      <w:r>
        <w:rPr>
          <w:lang w:eastAsia="ja-JP"/>
        </w:rPr>
        <w:t>The following steps are used for encoding using the RS(224,208) block code:</w:t>
      </w:r>
    </w:p>
    <w:p w:rsidR="0048417B" w:rsidRDefault="00EF32D6" w:rsidP="003701DB">
      <w:pPr>
        <w:pStyle w:val="ListParagraph"/>
        <w:numPr>
          <w:ilvl w:val="0"/>
          <w:numId w:val="191"/>
        </w:numPr>
        <w:rPr>
          <w:lang w:eastAsia="ja-JP"/>
        </w:rPr>
      </w:pPr>
      <w:r>
        <w:rPr>
          <w:lang w:eastAsia="ja-JP"/>
        </w:rPr>
        <w:t>First t</w:t>
      </w:r>
      <w:r w:rsidR="0048417B">
        <w:rPr>
          <w:lang w:eastAsia="ja-JP"/>
        </w:rPr>
        <w:t xml:space="preserve">he number of </w:t>
      </w:r>
      <w:r>
        <w:rPr>
          <w:lang w:eastAsia="ja-JP"/>
        </w:rPr>
        <w:t xml:space="preserve">block </w:t>
      </w:r>
      <w:r w:rsidR="0048417B">
        <w:rPr>
          <w:lang w:eastAsia="ja-JP"/>
        </w:rPr>
        <w:t>padding bits is calculated:</w:t>
      </w:r>
    </w:p>
    <w:p w:rsidR="0048417B" w:rsidRPr="00C14042" w:rsidRDefault="0048417B" w:rsidP="003701DB">
      <w:pPr>
        <w:pStyle w:val="ListParagraph"/>
        <w:numPr>
          <w:ilvl w:val="1"/>
          <w:numId w:val="191"/>
        </w:numPr>
        <w:autoSpaceDE w:val="0"/>
        <w:autoSpaceDN w:val="0"/>
        <w:adjustRightInd w:val="0"/>
        <w:jc w:val="both"/>
        <w:rPr>
          <w:rFonts w:ascii="TimesNewRomanPSMT" w:hAnsi="TimesNewRomanPSMT" w:cs="TimesNewRomanPSMT"/>
        </w:rPr>
      </w:pPr>
      <w:r w:rsidRPr="00C14042">
        <w:rPr>
          <w:rFonts w:ascii="TimesNewRomanPSMT" w:hAnsi="TimesNewRomanPSMT" w:cs="TimesNewRomanPSMT"/>
        </w:rPr>
        <w:lastRenderedPageBreak/>
        <w:t xml:space="preserve">The total number of Reed Solomon codewords is </w:t>
      </w:r>
      <m:oMath>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RS</m:t>
            </m:r>
          </m:sub>
        </m:sSub>
        <m:r>
          <w:rPr>
            <w:rFonts w:ascii="Cambria Math" w:hAnsi="Cambria Math" w:cs="TimesNewRomanPSMT"/>
          </w:rPr>
          <m:t>=</m:t>
        </m:r>
        <m:d>
          <m:dPr>
            <m:begChr m:val="⌈"/>
            <m:endChr m:val="⌉"/>
            <m:ctrlPr>
              <w:rPr>
                <w:rFonts w:ascii="Cambria Math" w:hAnsi="Cambria Math" w:cs="TimesNewRomanPSMT"/>
                <w:i/>
              </w:rPr>
            </m:ctrlPr>
          </m:dPr>
          <m:e>
            <m:f>
              <m:fPr>
                <m:type m:val="skw"/>
                <m:ctrlPr>
                  <w:rPr>
                    <w:rFonts w:ascii="Cambria Math" w:hAnsi="Cambria Math" w:cs="TimesNewRomanPSMT"/>
                    <w:i/>
                  </w:rPr>
                </m:ctrlPr>
              </m:fPr>
              <m:num>
                <m:r>
                  <m:rPr>
                    <m:nor/>
                  </m:rPr>
                  <w:rPr>
                    <w:rFonts w:ascii="Cambria Math" w:hAnsi="Cambria Math" w:cs="TimesNewRomanPSMT"/>
                  </w:rPr>
                  <m:t>Length</m:t>
                </m:r>
              </m:num>
              <m:den>
                <m:r>
                  <w:rPr>
                    <w:rFonts w:ascii="Cambria Math" w:hAnsi="Cambria Math" w:cs="TimesNewRomanPSMT"/>
                  </w:rPr>
                  <m:t>208</m:t>
                </m:r>
              </m:den>
            </m:f>
          </m:e>
        </m:d>
      </m:oMath>
      <w:r w:rsidRPr="00C14042">
        <w:rPr>
          <w:rFonts w:ascii="Symbol" w:hAnsi="Symbol" w:cs="Symbol"/>
        </w:rPr>
        <w:t></w:t>
      </w:r>
      <w:r w:rsidRPr="00C14042">
        <w:rPr>
          <w:rFonts w:ascii="TimesNewRomanPSMT" w:hAnsi="TimesNewRomanPSMT" w:cs="TimesNewRomanPSMT"/>
        </w:rPr>
        <w:t xml:space="preserve">and the total number of RS encoded symbols is given by: </w:t>
      </w:r>
      <w:r w:rsidR="00EF32D6">
        <w:rPr>
          <w:rFonts w:ascii="TimesNewRomanPSMT" w:hAnsi="TimesNewRomanPSMT" w:cs="TimesNewRomanPSMT"/>
        </w:rPr>
        <w:t>N</w:t>
      </w:r>
      <w:r w:rsidR="00EF32D6">
        <w:rPr>
          <w:rFonts w:ascii="TimesNewRomanPSMT" w:hAnsi="TimesNewRomanPSMT" w:cs="TimesNewRomanPSMT"/>
          <w:vertAlign w:val="subscript"/>
        </w:rPr>
        <w:t>EO</w:t>
      </w:r>
      <w:r w:rsidR="00EF32D6">
        <w:rPr>
          <w:rFonts w:ascii="TimesNewRomanPSMT" w:hAnsi="TimesNewRomanPSMT" w:cs="TimesNewRomanPSMT"/>
        </w:rPr>
        <w:t xml:space="preserve">= </w:t>
      </w:r>
      <w:r w:rsidRPr="00C14042">
        <w:rPr>
          <w:rFonts w:ascii="TimesNewRomanPSMT" w:hAnsi="TimesNewRomanPSMT" w:cs="TimesNewRomanPSMT"/>
        </w:rPr>
        <w:t xml:space="preserve">Length + </w:t>
      </w:r>
      <w:r w:rsidRPr="00C14042">
        <w:rPr>
          <w:rFonts w:ascii="TimesNewRomanPSMT" w:hAnsi="TimesNewRomanPSMT" w:cs="TimesNewRomanPSMT"/>
          <w:i/>
          <w:iCs/>
        </w:rPr>
        <w:t>N</w:t>
      </w:r>
      <w:r w:rsidRPr="00C14042">
        <w:rPr>
          <w:rFonts w:ascii="TimesNewRomanPSMT" w:hAnsi="TimesNewRomanPSMT" w:cs="TimesNewRomanPSMT"/>
          <w:i/>
          <w:iCs/>
          <w:vertAlign w:val="subscript"/>
        </w:rPr>
        <w:t>RS</w:t>
      </w:r>
      <w:r w:rsidR="009D537D" w:rsidRPr="009D537D">
        <w:rPr>
          <w:i/>
          <w:iCs/>
        </w:rPr>
        <w:t>×</w:t>
      </w:r>
      <w:r w:rsidRPr="00C14042">
        <w:rPr>
          <w:rFonts w:ascii="TimesNewRomanPSMT" w:hAnsi="TimesNewRomanPSMT" w:cs="TimesNewRomanPSMT"/>
        </w:rPr>
        <w:t>16</w:t>
      </w:r>
    </w:p>
    <w:p w:rsidR="001B4CE2" w:rsidRPr="001B4CE2" w:rsidRDefault="00EF32D6" w:rsidP="003701DB">
      <w:pPr>
        <w:pStyle w:val="ListParagraph"/>
        <w:numPr>
          <w:ilvl w:val="1"/>
          <w:numId w:val="191"/>
        </w:numPr>
        <w:autoSpaceDE w:val="0"/>
        <w:autoSpaceDN w:val="0"/>
        <w:adjustRightInd w:val="0"/>
        <w:rPr>
          <w:rFonts w:ascii="TimesNewRomanPSMT" w:hAnsi="TimesNewRomanPSMT" w:cs="TimesNewRomanPSMT"/>
        </w:rPr>
      </w:pPr>
      <w:r>
        <w:rPr>
          <w:rFonts w:ascii="TimesNewRomanPSMT" w:hAnsi="TimesNewRomanPSMT" w:cs="TimesNewRomanPSMT"/>
        </w:rPr>
        <w:t xml:space="preserve">The total number of 512 blocks (each containing 392 data sumbols) is </w:t>
      </w:r>
      <m:oMath>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BLKS</m:t>
            </m:r>
          </m:sub>
        </m:sSub>
        <m:r>
          <w:rPr>
            <w:rFonts w:ascii="Cambria Math" w:hAnsi="Cambria Math" w:cs="TimesNewRomanPSMT"/>
          </w:rPr>
          <m:t>=</m:t>
        </m:r>
        <m:d>
          <m:dPr>
            <m:begChr m:val="⌈"/>
            <m:endChr m:val="⌉"/>
            <m:ctrlPr>
              <w:rPr>
                <w:rFonts w:ascii="Cambria Math" w:hAnsi="Cambria Math" w:cs="TimesNewRomanPSMT"/>
                <w:i/>
              </w:rPr>
            </m:ctrlPr>
          </m:dPr>
          <m:e>
            <m:box>
              <m:boxPr>
                <m:ctrlPr>
                  <w:rPr>
                    <w:rFonts w:ascii="Cambria Math" w:hAnsi="Cambria Math" w:cs="TimesNewRomanPSMT"/>
                    <w:i/>
                  </w:rPr>
                </m:ctrlPr>
              </m:boxPr>
              <m:e>
                <m:argPr>
                  <m:argSz m:val="-1"/>
                </m:argPr>
                <m:f>
                  <m:fPr>
                    <m:ctrlPr>
                      <w:rPr>
                        <w:rFonts w:ascii="Cambria Math" w:hAnsi="Cambria Math" w:cs="TimesNewRomanPSMT"/>
                        <w:i/>
                      </w:rPr>
                    </m:ctrlPr>
                  </m:fPr>
                  <m:num>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EO</m:t>
                        </m:r>
                      </m:sub>
                    </m:sSub>
                    <m:r>
                      <w:rPr>
                        <w:rFonts w:ascii="Cambria Math" w:hAnsi="Cambria Math" w:cs="TimesNewRomanPSMT"/>
                      </w:rPr>
                      <m:t>×8</m:t>
                    </m:r>
                  </m:num>
                  <m:den>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CBPS</m:t>
                        </m:r>
                      </m:sub>
                    </m:sSub>
                    <m:r>
                      <w:rPr>
                        <w:rFonts w:ascii="Cambria Math" w:hAnsi="Cambria Math" w:cs="TimesNewRomanPSMT"/>
                      </w:rPr>
                      <m:t>×392</m:t>
                    </m:r>
                  </m:den>
                </m:f>
              </m:e>
            </m:box>
          </m:e>
        </m:d>
      </m:oMath>
      <w:r w:rsidR="001B4CE2">
        <w:rPr>
          <w:rFonts w:ascii="TimesNewRomanPSMT" w:hAnsi="TimesNewRomanPSMT" w:cs="TimesNewRomanPSMT"/>
        </w:rPr>
        <w:t>. The total number of zero block paddings bit is N</w:t>
      </w:r>
      <w:r w:rsidR="001B4CE2">
        <w:rPr>
          <w:rFonts w:ascii="TimesNewRomanPSMT" w:hAnsi="TimesNewRomanPSMT" w:cs="TimesNewRomanPSMT"/>
          <w:vertAlign w:val="subscript"/>
        </w:rPr>
        <w:t>BLK_PAD</w:t>
      </w:r>
      <w:r w:rsidR="001B4CE2">
        <w:rPr>
          <w:rFonts w:ascii="TimesNewRomanPSMT" w:hAnsi="TimesNewRomanPSMT" w:cs="TimesNewRomanPSMT"/>
        </w:rPr>
        <w:t>=N</w:t>
      </w:r>
      <w:r w:rsidR="001B4CE2">
        <w:rPr>
          <w:rFonts w:ascii="TimesNewRomanPSMT" w:hAnsi="TimesNewRomanPSMT" w:cs="TimesNewRomanPSMT"/>
          <w:vertAlign w:val="subscript"/>
        </w:rPr>
        <w:t>BLKS</w:t>
      </w:r>
      <w:r w:rsidR="009D537D" w:rsidRPr="009D537D">
        <w:t>×</w:t>
      </w:r>
      <w:r w:rsidR="001B4CE2">
        <w:t>N</w:t>
      </w:r>
      <w:r w:rsidR="001B4CE2">
        <w:rPr>
          <w:vertAlign w:val="subscript"/>
        </w:rPr>
        <w:t>CPBS</w:t>
      </w:r>
      <w:r w:rsidR="001B4CE2" w:rsidRPr="001B4CE2">
        <w:t>×</w:t>
      </w:r>
      <w:r w:rsidR="001B4CE2">
        <w:t>392-N</w:t>
      </w:r>
      <w:r w:rsidR="001B4CE2">
        <w:rPr>
          <w:vertAlign w:val="subscript"/>
        </w:rPr>
        <w:t>EO</w:t>
      </w:r>
      <w:r w:rsidR="001B4CE2" w:rsidRPr="001B4CE2">
        <w:t>×</w:t>
      </w:r>
      <w:r w:rsidR="001B4CE2">
        <w:t>8</w:t>
      </w:r>
    </w:p>
    <w:p w:rsidR="00000C5F" w:rsidRDefault="00000C5F">
      <w:pPr>
        <w:rPr>
          <w:lang w:eastAsia="ja-JP"/>
        </w:rPr>
      </w:pPr>
    </w:p>
    <w:p w:rsidR="0048417B" w:rsidRDefault="0048417B" w:rsidP="003701DB">
      <w:pPr>
        <w:pStyle w:val="ListParagraph"/>
        <w:numPr>
          <w:ilvl w:val="0"/>
          <w:numId w:val="191"/>
        </w:numPr>
        <w:autoSpaceDE w:val="0"/>
        <w:autoSpaceDN w:val="0"/>
        <w:adjustRightInd w:val="0"/>
        <w:rPr>
          <w:lang w:eastAsia="ja-JP"/>
        </w:rPr>
      </w:pPr>
      <w:r>
        <w:rPr>
          <w:lang w:eastAsia="ja-JP"/>
        </w:rPr>
        <w:t>The data is broken into bloc</w:t>
      </w:r>
      <w:r w:rsidR="0003680C">
        <w:rPr>
          <w:lang w:eastAsia="ja-JP"/>
        </w:rPr>
        <w:t>ks of length 208×8 bits (except for</w:t>
      </w:r>
      <w:r>
        <w:rPr>
          <w:lang w:eastAsia="ja-JP"/>
        </w:rPr>
        <w:t xml:space="preserve"> possibly the last block).</w:t>
      </w:r>
      <w:r w:rsidR="005515A4">
        <w:rPr>
          <w:lang w:eastAsia="ja-JP"/>
        </w:rPr>
        <w:t xml:space="preserve"> </w:t>
      </w:r>
    </w:p>
    <w:p w:rsidR="0048417B" w:rsidRDefault="0048417B" w:rsidP="003701DB">
      <w:pPr>
        <w:pStyle w:val="ListParagraph"/>
        <w:numPr>
          <w:ilvl w:val="0"/>
          <w:numId w:val="191"/>
        </w:numPr>
        <w:autoSpaceDE w:val="0"/>
        <w:autoSpaceDN w:val="0"/>
        <w:adjustRightInd w:val="0"/>
        <w:rPr>
          <w:lang w:eastAsia="ja-JP"/>
        </w:rPr>
      </w:pPr>
      <w:r>
        <w:rPr>
          <w:lang w:eastAsia="ja-JP"/>
        </w:rPr>
        <w:t xml:space="preserve">Each block is encoded using the RS(224,208) </w:t>
      </w:r>
      <w:r w:rsidR="001B4CE2">
        <w:rPr>
          <w:lang w:eastAsia="ja-JP"/>
        </w:rPr>
        <w:t xml:space="preserve">block </w:t>
      </w:r>
      <w:r>
        <w:rPr>
          <w:lang w:eastAsia="ja-JP"/>
        </w:rPr>
        <w:t>code as described in</w:t>
      </w:r>
      <w:r w:rsidR="0003680C">
        <w:rPr>
          <w:lang w:eastAsia="ja-JP"/>
        </w:rPr>
        <w:t xml:space="preserve"> </w:t>
      </w:r>
      <w:r w:rsidR="00BD151C">
        <w:rPr>
          <w:lang w:eastAsia="ja-JP"/>
        </w:rPr>
        <w:fldChar w:fldCharType="begin"/>
      </w:r>
      <w:r w:rsidR="0003680C">
        <w:rPr>
          <w:lang w:eastAsia="ja-JP"/>
        </w:rPr>
        <w:instrText xml:space="preserve"> REF _Ref251863689 \r \h </w:instrText>
      </w:r>
      <w:r w:rsidR="00BD151C">
        <w:rPr>
          <w:lang w:eastAsia="ja-JP"/>
        </w:rPr>
      </w:r>
      <w:r w:rsidR="00BD151C">
        <w:rPr>
          <w:lang w:eastAsia="ja-JP"/>
        </w:rPr>
        <w:fldChar w:fldCharType="separate"/>
      </w:r>
      <w:r w:rsidR="003E4210">
        <w:rPr>
          <w:lang w:eastAsia="ja-JP"/>
        </w:rPr>
        <w:t>21.7.1.3.2.3</w:t>
      </w:r>
      <w:r w:rsidR="00BD151C">
        <w:rPr>
          <w:lang w:eastAsia="ja-JP"/>
        </w:rPr>
        <w:fldChar w:fldCharType="end"/>
      </w:r>
      <w:r>
        <w:rPr>
          <w:lang w:eastAsia="ja-JP"/>
        </w:rPr>
        <w:t>, except perhaps the last block which encoded by a shortened version of the code (i.e</w:t>
      </w:r>
      <w:r w:rsidR="0003680C">
        <w:rPr>
          <w:lang w:eastAsia="ja-JP"/>
        </w:rPr>
        <w:t>.,</w:t>
      </w:r>
      <w:r>
        <w:rPr>
          <w:lang w:eastAsia="ja-JP"/>
        </w:rPr>
        <w:t xml:space="preserve"> if the block length is </w:t>
      </w:r>
      <w:r w:rsidR="001B4CE2">
        <w:rPr>
          <w:i/>
          <w:iCs/>
          <w:lang w:eastAsia="ja-JP"/>
        </w:rPr>
        <w:t>k</w:t>
      </w:r>
      <w:r w:rsidR="001B4CE2">
        <w:rPr>
          <w:lang w:eastAsia="ja-JP"/>
        </w:rPr>
        <w:t xml:space="preserve"> </w:t>
      </w:r>
      <w:r>
        <w:rPr>
          <w:lang w:eastAsia="ja-JP"/>
        </w:rPr>
        <w:t>the shortened code is an</w:t>
      </w:r>
      <w:r w:rsidR="005515A4">
        <w:rPr>
          <w:lang w:eastAsia="ja-JP"/>
        </w:rPr>
        <w:t xml:space="preserve"> </w:t>
      </w:r>
      <w:r>
        <w:rPr>
          <w:lang w:eastAsia="ja-JP"/>
        </w:rPr>
        <w:t>RS(16+</w:t>
      </w:r>
      <w:r w:rsidR="001B4CE2">
        <w:rPr>
          <w:i/>
          <w:iCs/>
          <w:lang w:eastAsia="ja-JP"/>
        </w:rPr>
        <w:t>k</w:t>
      </w:r>
      <w:r>
        <w:rPr>
          <w:i/>
          <w:iCs/>
          <w:lang w:eastAsia="ja-JP"/>
        </w:rPr>
        <w:t>,</w:t>
      </w:r>
      <w:r w:rsidR="001B4CE2">
        <w:rPr>
          <w:i/>
          <w:iCs/>
          <w:lang w:eastAsia="ja-JP"/>
        </w:rPr>
        <w:t>k</w:t>
      </w:r>
      <w:r w:rsidR="002F3CEA">
        <w:rPr>
          <w:lang w:eastAsia="ja-JP"/>
        </w:rPr>
        <w:t>)</w:t>
      </w:r>
      <w:r>
        <w:rPr>
          <w:lang w:eastAsia="ja-JP"/>
        </w:rPr>
        <w:t>)</w:t>
      </w:r>
    </w:p>
    <w:p w:rsidR="001B4CE2" w:rsidRDefault="009D537D" w:rsidP="003701DB">
      <w:pPr>
        <w:pStyle w:val="ListParagraph"/>
        <w:numPr>
          <w:ilvl w:val="0"/>
          <w:numId w:val="191"/>
        </w:numPr>
        <w:autoSpaceDE w:val="0"/>
        <w:autoSpaceDN w:val="0"/>
        <w:adjustRightInd w:val="0"/>
        <w:rPr>
          <w:lang w:eastAsia="ja-JP"/>
        </w:rPr>
      </w:pPr>
      <w:r w:rsidRPr="009D537D">
        <w:rPr>
          <w:lang w:eastAsia="ja-JP"/>
        </w:rPr>
        <w:t>The coded bit stream is concatenated with N</w:t>
      </w:r>
      <w:r w:rsidRPr="009D537D">
        <w:rPr>
          <w:vertAlign w:val="subscript"/>
          <w:lang w:eastAsia="ja-JP"/>
        </w:rPr>
        <w:t>BLK_PAD</w:t>
      </w:r>
      <w:r w:rsidRPr="009D537D">
        <w:rPr>
          <w:lang w:eastAsia="ja-JP"/>
        </w:rPr>
        <w:t xml:space="preserve"> zeros. They are scrambled with the continuation of the scrambler sequence that scrambled the PSDU input bits.</w:t>
      </w:r>
    </w:p>
    <w:p w:rsidR="00076CB2" w:rsidRDefault="009D537D" w:rsidP="003701DB">
      <w:pPr>
        <w:pStyle w:val="ListParagraph"/>
        <w:numPr>
          <w:ilvl w:val="0"/>
          <w:numId w:val="191"/>
        </w:numPr>
        <w:autoSpaceDE w:val="0"/>
        <w:autoSpaceDN w:val="0"/>
        <w:adjustRightInd w:val="0"/>
        <w:rPr>
          <w:lang w:eastAsia="ja-JP"/>
        </w:rPr>
      </w:pPr>
      <w:r w:rsidRPr="009D537D">
        <w:rPr>
          <w:lang w:eastAsia="ja-JP"/>
        </w:rPr>
        <w:t>The resulting bit stream is modulated and blocked as described in 21.7.3.3 and 21.7.3.4 respectively</w:t>
      </w:r>
      <w:r w:rsidR="00677748">
        <w:rPr>
          <w:lang w:eastAsia="ja-JP"/>
        </w:rPr>
        <w:t>.</w:t>
      </w:r>
    </w:p>
    <w:p w:rsidR="002F7CB1" w:rsidRDefault="002F7CB1" w:rsidP="002F7CB1">
      <w:pPr>
        <w:autoSpaceDE w:val="0"/>
        <w:autoSpaceDN w:val="0"/>
        <w:adjustRightInd w:val="0"/>
        <w:rPr>
          <w:lang w:eastAsia="ja-JP"/>
        </w:rPr>
      </w:pPr>
    </w:p>
    <w:p w:rsidR="002F7CB1" w:rsidRPr="009448FC" w:rsidRDefault="002F7CB1" w:rsidP="003701DB">
      <w:pPr>
        <w:pStyle w:val="Heading6"/>
        <w:numPr>
          <w:ilvl w:val="5"/>
          <w:numId w:val="42"/>
        </w:numPr>
      </w:pPr>
      <w:bookmarkStart w:id="3790" w:name="_Ref251863687"/>
      <w:r w:rsidRPr="007D50CF">
        <w:rPr>
          <w:lang w:eastAsia="ja-JP"/>
        </w:rPr>
        <w:t>Encoding</w:t>
      </w:r>
      <w:r>
        <w:rPr>
          <w:lang w:eastAsia="ja-JP"/>
        </w:rPr>
        <w:t xml:space="preserve"> of RS(224,208)+block code</w:t>
      </w:r>
      <w:bookmarkEnd w:id="3790"/>
    </w:p>
    <w:p w:rsidR="0048417B" w:rsidRPr="000A345C" w:rsidRDefault="000A345C" w:rsidP="0048417B">
      <w:pPr>
        <w:autoSpaceDE w:val="0"/>
        <w:autoSpaceDN w:val="0"/>
        <w:adjustRightInd w:val="0"/>
        <w:rPr>
          <w:sz w:val="32"/>
          <w:szCs w:val="32"/>
          <w:lang w:eastAsia="ja-JP"/>
        </w:rPr>
      </w:pPr>
      <w:r>
        <w:rPr>
          <w:rStyle w:val="apple-style-span"/>
        </w:rPr>
        <w:t xml:space="preserve">The </w:t>
      </w:r>
      <w:r w:rsidRPr="000A345C">
        <w:rPr>
          <w:rStyle w:val="apple-style-span"/>
        </w:rPr>
        <w:t>following steps are used for encoding using the RS(224,208) as an outer code and the Blok-code(16,8) as an inner code:</w:t>
      </w:r>
      <w:r w:rsidR="0048417B" w:rsidRPr="000A345C">
        <w:rPr>
          <w:sz w:val="32"/>
          <w:szCs w:val="32"/>
          <w:lang w:eastAsia="ja-JP"/>
        </w:rPr>
        <w:t>:</w:t>
      </w:r>
    </w:p>
    <w:p w:rsidR="0048417B" w:rsidRPr="00996EC0" w:rsidRDefault="0048417B" w:rsidP="003701DB">
      <w:pPr>
        <w:pStyle w:val="ListParagraph"/>
        <w:numPr>
          <w:ilvl w:val="0"/>
          <w:numId w:val="192"/>
        </w:numPr>
        <w:autoSpaceDE w:val="0"/>
        <w:autoSpaceDN w:val="0"/>
        <w:adjustRightInd w:val="0"/>
        <w:rPr>
          <w:rFonts w:ascii="TimesNewRomanPSMT" w:hAnsi="TimesNewRomanPSMT" w:cs="TimesNewRomanPSMT"/>
        </w:rPr>
      </w:pPr>
      <w:r>
        <w:rPr>
          <w:lang w:eastAsia="ja-JP"/>
        </w:rPr>
        <w:t xml:space="preserve">The number of </w:t>
      </w:r>
      <w:r w:rsidR="00337490">
        <w:rPr>
          <w:lang w:eastAsia="ja-JP"/>
        </w:rPr>
        <w:t xml:space="preserve">block </w:t>
      </w:r>
      <w:r>
        <w:rPr>
          <w:lang w:eastAsia="ja-JP"/>
        </w:rPr>
        <w:t>padding bits is calculated</w:t>
      </w:r>
    </w:p>
    <w:p w:rsidR="0048417B" w:rsidRPr="00996EC0" w:rsidRDefault="0048417B" w:rsidP="003701DB">
      <w:pPr>
        <w:pStyle w:val="ListParagraph"/>
        <w:numPr>
          <w:ilvl w:val="1"/>
          <w:numId w:val="193"/>
        </w:numPr>
        <w:autoSpaceDE w:val="0"/>
        <w:autoSpaceDN w:val="0"/>
        <w:adjustRightInd w:val="0"/>
        <w:rPr>
          <w:rFonts w:ascii="TimesNewRomanPSMT" w:hAnsi="TimesNewRomanPSMT" w:cs="TimesNewRomanPSMT"/>
        </w:rPr>
      </w:pPr>
      <w:r w:rsidRPr="00996EC0">
        <w:rPr>
          <w:rFonts w:ascii="TimesNewRomanPSMT" w:hAnsi="TimesNewRomanPSMT" w:cs="TimesNewRomanPSMT"/>
        </w:rPr>
        <w:t xml:space="preserve">The total number of Reed Solomon codewords is </w:t>
      </w:r>
      <m:oMath>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RS</m:t>
            </m:r>
          </m:sub>
        </m:sSub>
        <m:r>
          <w:rPr>
            <w:rFonts w:ascii="Cambria Math" w:hAnsi="Cambria Math" w:cs="TimesNewRomanPSMT"/>
          </w:rPr>
          <m:t>=</m:t>
        </m:r>
        <m:d>
          <m:dPr>
            <m:begChr m:val="⌈"/>
            <m:endChr m:val="⌉"/>
            <m:ctrlPr>
              <w:rPr>
                <w:rFonts w:ascii="Cambria Math" w:hAnsi="Cambria Math" w:cs="TimesNewRomanPSMT"/>
                <w:i/>
              </w:rPr>
            </m:ctrlPr>
          </m:dPr>
          <m:e>
            <m:f>
              <m:fPr>
                <m:type m:val="skw"/>
                <m:ctrlPr>
                  <w:rPr>
                    <w:rFonts w:ascii="Cambria Math" w:hAnsi="Cambria Math" w:cs="TimesNewRomanPSMT"/>
                    <w:i/>
                  </w:rPr>
                </m:ctrlPr>
              </m:fPr>
              <m:num>
                <m:r>
                  <m:rPr>
                    <m:nor/>
                  </m:rPr>
                  <w:rPr>
                    <w:rFonts w:ascii="Cambria Math" w:hAnsi="Cambria Math" w:cs="TimesNewRomanPSMT"/>
                  </w:rPr>
                  <m:t>Length</m:t>
                </m:r>
              </m:num>
              <m:den>
                <m:r>
                  <w:rPr>
                    <w:rFonts w:ascii="Cambria Math" w:hAnsi="Cambria Math" w:cs="TimesNewRomanPSMT"/>
                  </w:rPr>
                  <m:t>208</m:t>
                </m:r>
              </m:den>
            </m:f>
          </m:e>
        </m:d>
      </m:oMath>
      <w:r w:rsidRPr="00996EC0">
        <w:rPr>
          <w:rFonts w:ascii="TimesNewRomanPSMT" w:hAnsi="TimesNewRomanPSMT" w:cs="TimesNewRomanPSMT"/>
        </w:rPr>
        <w:t xml:space="preserve">and the total number of RS encoded symbols is given by: Length + </w:t>
      </w:r>
      <w:r w:rsidRPr="00996EC0">
        <w:rPr>
          <w:rFonts w:ascii="TimesNewRomanPSMT" w:hAnsi="TimesNewRomanPSMT" w:cs="TimesNewRomanPSMT"/>
          <w:i/>
          <w:iCs/>
        </w:rPr>
        <w:t>N</w:t>
      </w:r>
      <w:r w:rsidRPr="00996EC0">
        <w:rPr>
          <w:rFonts w:ascii="TimesNewRomanPSMT" w:hAnsi="TimesNewRomanPSMT" w:cs="TimesNewRomanPSMT"/>
          <w:i/>
          <w:iCs/>
          <w:vertAlign w:val="subscript"/>
        </w:rPr>
        <w:t>RS</w:t>
      </w:r>
      <w:r w:rsidRPr="00996EC0">
        <w:rPr>
          <w:rFonts w:ascii="TimesNewRomanPSMT" w:hAnsi="TimesNewRomanPSMT" w:cs="TimesNewRomanPSMT"/>
        </w:rPr>
        <w:t>16</w:t>
      </w:r>
    </w:p>
    <w:p w:rsidR="0048417B" w:rsidRPr="00996EC0" w:rsidRDefault="0003680C" w:rsidP="003701DB">
      <w:pPr>
        <w:pStyle w:val="ListParagraph"/>
        <w:numPr>
          <w:ilvl w:val="1"/>
          <w:numId w:val="193"/>
        </w:numPr>
        <w:autoSpaceDE w:val="0"/>
        <w:autoSpaceDN w:val="0"/>
        <w:adjustRightInd w:val="0"/>
        <w:rPr>
          <w:rFonts w:ascii="TimesNewRomanPSMT" w:hAnsi="TimesNewRomanPSMT" w:cs="TimesNewRomanPSMT"/>
        </w:rPr>
      </w:pPr>
      <w:r>
        <w:rPr>
          <w:rFonts w:ascii="TimesNewRomanPSMT" w:hAnsi="TimesNewRomanPSMT" w:cs="TimesNewRomanPSMT"/>
        </w:rPr>
        <w:t>For MCS</w:t>
      </w:r>
      <w:r w:rsidR="0048417B" w:rsidRPr="00996EC0">
        <w:rPr>
          <w:rFonts w:ascii="TimesNewRomanPSMT" w:hAnsi="TimesNewRomanPSMT" w:cs="TimesNewRomanPSMT"/>
        </w:rPr>
        <w:t xml:space="preserve"> 22, after Reed </w:t>
      </w:r>
      <w:r w:rsidR="00D864E4">
        <w:rPr>
          <w:rFonts w:ascii="TimesNewRomanPSMT" w:hAnsi="TimesNewRomanPSMT" w:cs="TimesNewRomanPSMT"/>
        </w:rPr>
        <w:t>S</w:t>
      </w:r>
      <w:r w:rsidR="00D864E4" w:rsidRPr="00996EC0">
        <w:rPr>
          <w:rFonts w:ascii="TimesNewRomanPSMT" w:hAnsi="TimesNewRomanPSMT" w:cs="TimesNewRomanPSMT"/>
        </w:rPr>
        <w:t xml:space="preserve">olomon </w:t>
      </w:r>
      <w:r w:rsidR="0048417B" w:rsidRPr="00996EC0">
        <w:rPr>
          <w:rFonts w:ascii="TimesNewRomanPSMT" w:hAnsi="TimesNewRomanPSMT" w:cs="TimesNewRomanPSMT"/>
        </w:rPr>
        <w:t>encoding, the data is encoded with Block-Code(16,8) and therefore</w:t>
      </w:r>
      <w:r w:rsidR="007711A4">
        <w:rPr>
          <w:rFonts w:ascii="TimesNewRomanPSMT" w:hAnsi="TimesNewRomanPSMT" w:cs="TimesNewRomanPSMT"/>
        </w:rPr>
        <w:t>:</w:t>
      </w:r>
    </w:p>
    <w:p w:rsidR="0048417B" w:rsidRPr="00996EC0" w:rsidRDefault="0048417B" w:rsidP="003701DB">
      <w:pPr>
        <w:pStyle w:val="ListParagraph"/>
        <w:numPr>
          <w:ilvl w:val="2"/>
          <w:numId w:val="193"/>
        </w:numPr>
        <w:autoSpaceDE w:val="0"/>
        <w:autoSpaceDN w:val="0"/>
        <w:adjustRightInd w:val="0"/>
        <w:rPr>
          <w:rFonts w:ascii="TimesNewRomanPSMT" w:hAnsi="TimesNewRomanPSMT" w:cs="TimesNewRomanPSMT"/>
        </w:rPr>
      </w:pPr>
      <w:r w:rsidRPr="00996EC0">
        <w:rPr>
          <w:rFonts w:ascii="TimesNewRomanPSMT" w:hAnsi="TimesNewRomanPSMT" w:cs="TimesNewRomanPSMT"/>
        </w:rPr>
        <w:t xml:space="preserve">The total number of encoded octets is: </w:t>
      </w:r>
      <w:r w:rsidRPr="00996EC0">
        <w:rPr>
          <w:rFonts w:ascii="TimesNewRomanPSMT" w:hAnsi="TimesNewRomanPSMT" w:cs="TimesNewRomanPSMT"/>
          <w:i/>
          <w:iCs/>
        </w:rPr>
        <w:t>N</w:t>
      </w:r>
      <w:r w:rsidRPr="00996EC0">
        <w:rPr>
          <w:rFonts w:ascii="TimesNewRomanPSMT" w:hAnsi="TimesNewRomanPSMT" w:cs="TimesNewRomanPSMT"/>
          <w:i/>
          <w:iCs/>
          <w:vertAlign w:val="subscript"/>
        </w:rPr>
        <w:t>EO</w:t>
      </w:r>
      <w:r w:rsidRPr="00996EC0">
        <w:rPr>
          <w:rFonts w:ascii="TimesNewRomanPSMT" w:hAnsi="TimesNewRomanPSMT" w:cs="TimesNewRomanPSMT"/>
          <w:vertAlign w:val="subscript"/>
        </w:rPr>
        <w:t xml:space="preserve"> </w:t>
      </w:r>
      <w:r w:rsidRPr="00996EC0">
        <w:rPr>
          <w:rFonts w:ascii="TimesNewRomanPSMT" w:hAnsi="TimesNewRomanPSMT" w:cs="TimesNewRomanPSMT"/>
        </w:rPr>
        <w:t xml:space="preserve">= 2(Length + </w:t>
      </w:r>
      <w:r w:rsidRPr="00996EC0">
        <w:rPr>
          <w:rFonts w:ascii="TimesNewRomanPSMT" w:hAnsi="TimesNewRomanPSMT" w:cs="TimesNewRomanPSMT"/>
          <w:i/>
          <w:iCs/>
        </w:rPr>
        <w:t>N</w:t>
      </w:r>
      <w:r w:rsidRPr="00996EC0">
        <w:rPr>
          <w:rFonts w:ascii="TimesNewRomanPSMT" w:hAnsi="TimesNewRomanPSMT" w:cs="TimesNewRomanPSMT"/>
          <w:i/>
          <w:iCs/>
          <w:vertAlign w:val="subscript"/>
        </w:rPr>
        <w:t>RS</w:t>
      </w:r>
      <w:r w:rsidRPr="00996EC0">
        <w:rPr>
          <w:rFonts w:ascii="TimesNewRomanPSMT" w:hAnsi="TimesNewRomanPSMT" w:cs="TimesNewRomanPSMT"/>
        </w:rPr>
        <w:t>16)</w:t>
      </w:r>
    </w:p>
    <w:p w:rsidR="0048417B" w:rsidRPr="00996EC0" w:rsidRDefault="0048417B" w:rsidP="003701DB">
      <w:pPr>
        <w:pStyle w:val="ListParagraph"/>
        <w:numPr>
          <w:ilvl w:val="2"/>
          <w:numId w:val="193"/>
        </w:numPr>
        <w:autoSpaceDE w:val="0"/>
        <w:autoSpaceDN w:val="0"/>
        <w:adjustRightInd w:val="0"/>
        <w:rPr>
          <w:rFonts w:ascii="Symbol" w:hAnsi="Symbol" w:cs="Symbol"/>
        </w:rPr>
      </w:pPr>
      <w:r w:rsidRPr="00996EC0">
        <w:rPr>
          <w:rFonts w:ascii="TimesNewRomanPSMT" w:hAnsi="TimesNewRomanPSMT" w:cs="TimesNewRomanPSMT"/>
        </w:rPr>
        <w:t>The total number of 512 blocks (each containing 3</w:t>
      </w:r>
      <w:r w:rsidR="000C107E">
        <w:rPr>
          <w:rFonts w:ascii="TimesNewRomanPSMT" w:hAnsi="TimesNewRomanPSMT" w:cs="TimesNewRomanPSMT"/>
        </w:rPr>
        <w:t>92</w:t>
      </w:r>
      <w:r w:rsidRPr="00996EC0">
        <w:rPr>
          <w:rFonts w:ascii="TimesNewRomanPSMT" w:hAnsi="TimesNewRomanPSMT" w:cs="TimesNewRomanPSMT"/>
        </w:rPr>
        <w:t xml:space="preserve"> data symbols) is </w:t>
      </w:r>
      <w:r w:rsidR="00337490" w:rsidRPr="00337490">
        <w:rPr>
          <w:position w:val="-14"/>
        </w:rPr>
        <w:object w:dxaOrig="1719" w:dyaOrig="400">
          <v:shape id="_x0000_i1236" type="#_x0000_t75" style="width:86.05pt;height:19pt" o:ole="">
            <v:imagedata r:id="rId512" o:title=""/>
          </v:shape>
          <o:OLEObject Type="Embed" ProgID="Equation.3" ShapeID="_x0000_i1236" DrawAspect="Content" ObjectID="_1334048415" r:id="rId513"/>
        </w:object>
      </w:r>
      <w:r w:rsidR="00337490">
        <w:rPr>
          <w:position w:val="-12"/>
        </w:rPr>
        <w:t>.</w:t>
      </w:r>
      <w:r w:rsidR="005515A4">
        <w:rPr>
          <w:position w:val="-12"/>
        </w:rPr>
        <w:t xml:space="preserve"> </w:t>
      </w:r>
      <w:r w:rsidR="00337490">
        <w:rPr>
          <w:position w:val="-12"/>
        </w:rPr>
        <w:t xml:space="preserve">The total number of zero block padding bits is </w:t>
      </w:r>
      <w:r w:rsidR="00617D46" w:rsidRPr="00337490">
        <w:rPr>
          <w:position w:val="-14"/>
        </w:rPr>
        <w:object w:dxaOrig="3980" w:dyaOrig="380">
          <v:shape id="_x0000_i1237" type="#_x0000_t75" style="width:198.8pt;height:19pt" o:ole="">
            <v:imagedata r:id="rId514" o:title=""/>
          </v:shape>
          <o:OLEObject Type="Embed" ProgID="Equation.3" ShapeID="_x0000_i1237" DrawAspect="Content" ObjectID="_1334048416" r:id="rId515"/>
        </w:object>
      </w:r>
    </w:p>
    <w:p w:rsidR="00617D46" w:rsidRPr="00617D46" w:rsidRDefault="00617D46" w:rsidP="003701DB">
      <w:pPr>
        <w:pStyle w:val="ListParagraph"/>
        <w:numPr>
          <w:ilvl w:val="0"/>
          <w:numId w:val="193"/>
        </w:numPr>
        <w:autoSpaceDE w:val="0"/>
        <w:autoSpaceDN w:val="0"/>
        <w:adjustRightInd w:val="0"/>
        <w:rPr>
          <w:lang w:eastAsia="ja-JP"/>
        </w:rPr>
      </w:pPr>
      <w:r>
        <w:rPr>
          <w:rFonts w:ascii="TimesNewRomanPSMT" w:hAnsi="TimesNewRomanPSMT" w:cs="TimesNewRomanPSMT"/>
        </w:rPr>
        <w:t>The data is broken into blocks of length 208</w:t>
      </w:r>
      <w:r>
        <w:t>×</w:t>
      </w:r>
      <w:r>
        <w:rPr>
          <w:rFonts w:ascii="TimesNewRomanPSMT" w:hAnsi="TimesNewRomanPSMT" w:cs="TimesNewRomanPSMT"/>
        </w:rPr>
        <w:t>8 bits (except for possibly the last block)</w:t>
      </w:r>
      <w:r w:rsidR="003D71FE">
        <w:rPr>
          <w:rFonts w:ascii="TimesNewRomanPSMT" w:hAnsi="TimesNewRomanPSMT" w:cs="TimesNewRomanPSMT"/>
        </w:rPr>
        <w:t>.</w:t>
      </w:r>
    </w:p>
    <w:p w:rsidR="00617D46" w:rsidRDefault="00617D46" w:rsidP="003701DB">
      <w:pPr>
        <w:pStyle w:val="ListParagraph"/>
        <w:numPr>
          <w:ilvl w:val="0"/>
          <w:numId w:val="193"/>
        </w:numPr>
        <w:autoSpaceDE w:val="0"/>
        <w:autoSpaceDN w:val="0"/>
        <w:adjustRightInd w:val="0"/>
        <w:rPr>
          <w:lang w:eastAsia="ja-JP"/>
        </w:rPr>
      </w:pPr>
      <w:r>
        <w:rPr>
          <w:lang w:eastAsia="ja-JP"/>
        </w:rPr>
        <w:t xml:space="preserve">Each block is encoded using the RS(224,208) block code as described in </w:t>
      </w:r>
      <w:r w:rsidR="00BD151C">
        <w:rPr>
          <w:lang w:eastAsia="ja-JP"/>
        </w:rPr>
        <w:fldChar w:fldCharType="begin"/>
      </w:r>
      <w:r>
        <w:rPr>
          <w:lang w:eastAsia="ja-JP"/>
        </w:rPr>
        <w:instrText xml:space="preserve"> REF _Ref251863689 \r \h </w:instrText>
      </w:r>
      <w:r w:rsidR="00BD151C">
        <w:rPr>
          <w:lang w:eastAsia="ja-JP"/>
        </w:rPr>
      </w:r>
      <w:r w:rsidR="00BD151C">
        <w:rPr>
          <w:lang w:eastAsia="ja-JP"/>
        </w:rPr>
        <w:fldChar w:fldCharType="separate"/>
      </w:r>
      <w:r w:rsidR="003E4210">
        <w:rPr>
          <w:lang w:eastAsia="ja-JP"/>
        </w:rPr>
        <w:t>21.7.1.3.2.3</w:t>
      </w:r>
      <w:r w:rsidR="00BD151C">
        <w:rPr>
          <w:lang w:eastAsia="ja-JP"/>
        </w:rPr>
        <w:fldChar w:fldCharType="end"/>
      </w:r>
      <w:r>
        <w:rPr>
          <w:lang w:eastAsia="ja-JP"/>
        </w:rPr>
        <w:t>, except perhaps the last block which is encoded by a shortened version of the code (i.e.</w:t>
      </w:r>
      <w:r w:rsidR="00C956E1">
        <w:rPr>
          <w:lang w:eastAsia="ja-JP"/>
        </w:rPr>
        <w:t>,</w:t>
      </w:r>
      <w:r>
        <w:rPr>
          <w:lang w:eastAsia="ja-JP"/>
        </w:rPr>
        <w:t xml:space="preserve"> if the last block length is k, the shortened block code is RS(16+k,k).</w:t>
      </w:r>
    </w:p>
    <w:p w:rsidR="00617D46" w:rsidRDefault="000A345C" w:rsidP="003701DB">
      <w:pPr>
        <w:pStyle w:val="ListParagraph"/>
        <w:numPr>
          <w:ilvl w:val="0"/>
          <w:numId w:val="193"/>
        </w:numPr>
        <w:autoSpaceDE w:val="0"/>
        <w:autoSpaceDN w:val="0"/>
        <w:adjustRightInd w:val="0"/>
        <w:rPr>
          <w:lang w:eastAsia="ja-JP"/>
        </w:rPr>
      </w:pPr>
      <w:r>
        <w:rPr>
          <w:lang w:eastAsia="ja-JP"/>
        </w:rPr>
        <w:t>The Reed</w:t>
      </w:r>
      <w:r w:rsidR="00617D46">
        <w:rPr>
          <w:lang w:eastAsia="ja-JP"/>
        </w:rPr>
        <w:t xml:space="preserve"> Solomon encoded data stream is further encoded using the Block-code(16,8) as described in </w:t>
      </w:r>
      <w:r w:rsidR="00BD151C">
        <w:rPr>
          <w:lang w:eastAsia="ja-JP"/>
        </w:rPr>
        <w:fldChar w:fldCharType="begin"/>
      </w:r>
      <w:r w:rsidR="00617D46">
        <w:rPr>
          <w:lang w:eastAsia="ja-JP"/>
        </w:rPr>
        <w:instrText xml:space="preserve"> REF _Ref251863690 \r \h </w:instrText>
      </w:r>
      <w:r w:rsidR="00BD151C">
        <w:rPr>
          <w:lang w:eastAsia="ja-JP"/>
        </w:rPr>
      </w:r>
      <w:r w:rsidR="00BD151C">
        <w:rPr>
          <w:lang w:eastAsia="ja-JP"/>
        </w:rPr>
        <w:fldChar w:fldCharType="separate"/>
      </w:r>
      <w:r w:rsidR="003E4210">
        <w:rPr>
          <w:lang w:eastAsia="ja-JP"/>
        </w:rPr>
        <w:t>21.7.1.3.2.4</w:t>
      </w:r>
      <w:r w:rsidR="00BD151C">
        <w:rPr>
          <w:lang w:eastAsia="ja-JP"/>
        </w:rPr>
        <w:fldChar w:fldCharType="end"/>
      </w:r>
      <w:r w:rsidR="00617D46">
        <w:rPr>
          <w:lang w:eastAsia="ja-JP"/>
        </w:rPr>
        <w:t>.</w:t>
      </w:r>
    </w:p>
    <w:p w:rsidR="00617D46" w:rsidRDefault="00617D46" w:rsidP="003701DB">
      <w:pPr>
        <w:pStyle w:val="ListParagraph"/>
        <w:numPr>
          <w:ilvl w:val="0"/>
          <w:numId w:val="193"/>
        </w:numPr>
        <w:autoSpaceDE w:val="0"/>
        <w:autoSpaceDN w:val="0"/>
        <w:adjustRightInd w:val="0"/>
        <w:rPr>
          <w:lang w:eastAsia="ja-JP"/>
        </w:rPr>
      </w:pPr>
      <w:r>
        <w:rPr>
          <w:lang w:eastAsia="ja-JP"/>
        </w:rPr>
        <w:t xml:space="preserve">The coded bit stream is concatenated with </w:t>
      </w:r>
      <w:r w:rsidR="00F30302" w:rsidRPr="00617D46">
        <w:rPr>
          <w:position w:val="-14"/>
          <w:lang w:eastAsia="ja-JP"/>
        </w:rPr>
        <w:object w:dxaOrig="940" w:dyaOrig="380">
          <v:shape id="_x0000_i1238" type="#_x0000_t75" style="width:46.2pt;height:19pt" o:ole="">
            <v:imagedata r:id="rId516" o:title=""/>
          </v:shape>
          <o:OLEObject Type="Embed" ProgID="Equation.3" ShapeID="_x0000_i1238" DrawAspect="Content" ObjectID="_1334048417" r:id="rId517"/>
        </w:object>
      </w:r>
      <w:r>
        <w:rPr>
          <w:lang w:eastAsia="ja-JP"/>
        </w:rPr>
        <w:t xml:space="preserve"> zeros.</w:t>
      </w:r>
      <w:r w:rsidR="005515A4">
        <w:rPr>
          <w:lang w:eastAsia="ja-JP"/>
        </w:rPr>
        <w:t xml:space="preserve"> </w:t>
      </w:r>
      <w:r>
        <w:rPr>
          <w:lang w:eastAsia="ja-JP"/>
        </w:rPr>
        <w:t>The are scrambled with the continuation of the scrambler sequence that scrambled the PSDU input bits.</w:t>
      </w:r>
    </w:p>
    <w:p w:rsidR="00F30302" w:rsidRDefault="00F30302" w:rsidP="003701DB">
      <w:pPr>
        <w:pStyle w:val="ListParagraph"/>
        <w:numPr>
          <w:ilvl w:val="0"/>
          <w:numId w:val="193"/>
        </w:numPr>
        <w:autoSpaceDE w:val="0"/>
        <w:autoSpaceDN w:val="0"/>
        <w:adjustRightInd w:val="0"/>
        <w:rPr>
          <w:lang w:eastAsia="ja-JP"/>
        </w:rPr>
      </w:pPr>
      <w:r>
        <w:rPr>
          <w:lang w:eastAsia="ja-JP"/>
        </w:rPr>
        <w:t>Each set of 7 octets is interleaved using a uniform interleaver of 7 rows and 8 columns.</w:t>
      </w:r>
      <w:r w:rsidR="005515A4">
        <w:rPr>
          <w:lang w:eastAsia="ja-JP"/>
        </w:rPr>
        <w:t xml:space="preserve"> </w:t>
      </w:r>
      <w:r>
        <w:rPr>
          <w:lang w:eastAsia="ja-JP"/>
        </w:rPr>
        <w:t>The 7 octest are written row wise and read column wise, i.e.</w:t>
      </w:r>
      <w:r w:rsidR="00D864E4">
        <w:rPr>
          <w:lang w:eastAsia="ja-JP"/>
        </w:rPr>
        <w:t>,</w:t>
      </w:r>
      <w:r>
        <w:rPr>
          <w:lang w:eastAsia="ja-JP"/>
        </w:rPr>
        <w:t xml:space="preserve"> the index i of a bit after interleaving is realted to the index k of a bit before interleaving by the following rule:</w:t>
      </w:r>
    </w:p>
    <w:p w:rsidR="00000C5F" w:rsidRDefault="00F30302">
      <w:pPr>
        <w:autoSpaceDE w:val="0"/>
        <w:autoSpaceDN w:val="0"/>
        <w:adjustRightInd w:val="0"/>
        <w:jc w:val="center"/>
        <w:rPr>
          <w:lang w:eastAsia="ja-JP"/>
        </w:rPr>
      </w:pPr>
      <w:r w:rsidRPr="00F30302">
        <w:rPr>
          <w:position w:val="-10"/>
          <w:lang w:eastAsia="ja-JP"/>
        </w:rPr>
        <w:object w:dxaOrig="4540" w:dyaOrig="340">
          <v:shape id="_x0000_i1239" type="#_x0000_t75" style="width:227.75pt;height:17.65pt" o:ole="">
            <v:imagedata r:id="rId518" o:title=""/>
          </v:shape>
          <o:OLEObject Type="Embed" ProgID="Equation.3" ShapeID="_x0000_i1239" DrawAspect="Content" ObjectID="_1334048418" r:id="rId519"/>
        </w:object>
      </w:r>
    </w:p>
    <w:p w:rsidR="00000C5F" w:rsidRDefault="00F30302">
      <w:pPr>
        <w:autoSpaceDE w:val="0"/>
        <w:autoSpaceDN w:val="0"/>
        <w:adjustRightInd w:val="0"/>
        <w:ind w:left="360"/>
        <w:rPr>
          <w:lang w:eastAsia="ja-JP"/>
        </w:rPr>
      </w:pPr>
      <w:r>
        <w:rPr>
          <w:lang w:eastAsia="ja-JP"/>
        </w:rPr>
        <w:t xml:space="preserve">Where the function floor(.) denotes the largest integer not exceeding the </w:t>
      </w:r>
      <w:r w:rsidR="003D71FE">
        <w:rPr>
          <w:lang w:eastAsia="ja-JP"/>
        </w:rPr>
        <w:t xml:space="preserve">function </w:t>
      </w:r>
      <w:r>
        <w:rPr>
          <w:lang w:eastAsia="ja-JP"/>
        </w:rPr>
        <w:t>parameter</w:t>
      </w:r>
      <w:r w:rsidR="003D71FE">
        <w:rPr>
          <w:lang w:eastAsia="ja-JP"/>
        </w:rPr>
        <w:t>.</w:t>
      </w:r>
    </w:p>
    <w:p w:rsidR="00F30302" w:rsidRDefault="00F30302" w:rsidP="003701DB">
      <w:pPr>
        <w:pStyle w:val="ListParagraph"/>
        <w:numPr>
          <w:ilvl w:val="0"/>
          <w:numId w:val="193"/>
        </w:numPr>
        <w:autoSpaceDE w:val="0"/>
        <w:autoSpaceDN w:val="0"/>
        <w:adjustRightInd w:val="0"/>
        <w:rPr>
          <w:lang w:eastAsia="ja-JP"/>
        </w:rPr>
      </w:pPr>
      <w:r>
        <w:rPr>
          <w:lang w:eastAsia="ja-JP"/>
        </w:rPr>
        <w:t xml:space="preserve">The resulting bit sream is modulated and blocked as described in </w:t>
      </w:r>
      <w:r w:rsidR="00BD151C">
        <w:rPr>
          <w:lang w:eastAsia="ja-JP"/>
        </w:rPr>
        <w:fldChar w:fldCharType="begin"/>
      </w:r>
      <w:r>
        <w:rPr>
          <w:lang w:eastAsia="ja-JP"/>
        </w:rPr>
        <w:instrText xml:space="preserve"> REF _Ref256620299 \r \h </w:instrText>
      </w:r>
      <w:r w:rsidR="00BD151C">
        <w:rPr>
          <w:lang w:eastAsia="ja-JP"/>
        </w:rPr>
      </w:r>
      <w:r w:rsidR="00BD151C">
        <w:rPr>
          <w:lang w:eastAsia="ja-JP"/>
        </w:rPr>
        <w:fldChar w:fldCharType="separate"/>
      </w:r>
      <w:r w:rsidR="003E4210">
        <w:rPr>
          <w:lang w:eastAsia="ja-JP"/>
        </w:rPr>
        <w:t>21.7.1.3.3</w:t>
      </w:r>
      <w:r w:rsidR="00BD151C">
        <w:rPr>
          <w:lang w:eastAsia="ja-JP"/>
        </w:rPr>
        <w:fldChar w:fldCharType="end"/>
      </w:r>
      <w:r>
        <w:rPr>
          <w:lang w:eastAsia="ja-JP"/>
        </w:rPr>
        <w:t xml:space="preserve"> and </w:t>
      </w:r>
      <w:r w:rsidR="00BD151C">
        <w:rPr>
          <w:lang w:eastAsia="ja-JP"/>
        </w:rPr>
        <w:fldChar w:fldCharType="begin"/>
      </w:r>
      <w:r>
        <w:rPr>
          <w:lang w:eastAsia="ja-JP"/>
        </w:rPr>
        <w:instrText xml:space="preserve"> REF _Ref251863688 \r \h </w:instrText>
      </w:r>
      <w:r w:rsidR="00BD151C">
        <w:rPr>
          <w:lang w:eastAsia="ja-JP"/>
        </w:rPr>
      </w:r>
      <w:r w:rsidR="00BD151C">
        <w:rPr>
          <w:lang w:eastAsia="ja-JP"/>
        </w:rPr>
        <w:fldChar w:fldCharType="separate"/>
      </w:r>
      <w:r w:rsidR="003E4210">
        <w:rPr>
          <w:lang w:eastAsia="ja-JP"/>
        </w:rPr>
        <w:t>21.7.1.3.4</w:t>
      </w:r>
      <w:r w:rsidR="00BD151C">
        <w:rPr>
          <w:lang w:eastAsia="ja-JP"/>
        </w:rPr>
        <w:fldChar w:fldCharType="end"/>
      </w:r>
      <w:r w:rsidR="003D71FE">
        <w:rPr>
          <w:lang w:eastAsia="ja-JP"/>
        </w:rPr>
        <w:t>.</w:t>
      </w:r>
    </w:p>
    <w:p w:rsidR="0048417B" w:rsidRDefault="0048417B" w:rsidP="002F7CB1">
      <w:pPr>
        <w:autoSpaceDE w:val="0"/>
        <w:autoSpaceDN w:val="0"/>
        <w:adjustRightInd w:val="0"/>
        <w:rPr>
          <w:lang w:eastAsia="ja-JP"/>
        </w:rPr>
      </w:pPr>
    </w:p>
    <w:p w:rsidR="002F7CB1" w:rsidRPr="009448FC" w:rsidRDefault="002F7CB1" w:rsidP="003701DB">
      <w:pPr>
        <w:pStyle w:val="Heading6"/>
        <w:numPr>
          <w:ilvl w:val="5"/>
          <w:numId w:val="42"/>
        </w:numPr>
      </w:pPr>
      <w:bookmarkStart w:id="3791" w:name="_Ref251863689"/>
      <w:r>
        <w:rPr>
          <w:lang w:eastAsia="ja-JP"/>
        </w:rPr>
        <w:lastRenderedPageBreak/>
        <w:t>RS e</w:t>
      </w:r>
      <w:r w:rsidRPr="007D50CF">
        <w:rPr>
          <w:lang w:eastAsia="ja-JP"/>
        </w:rPr>
        <w:t>ncoding</w:t>
      </w:r>
      <w:bookmarkEnd w:id="3791"/>
    </w:p>
    <w:p w:rsidR="0048417B" w:rsidRDefault="0048417B" w:rsidP="0048417B">
      <w:pPr>
        <w:rPr>
          <w:lang w:eastAsia="ja-JP"/>
        </w:rPr>
      </w:pPr>
      <w:r>
        <w:rPr>
          <w:lang w:eastAsia="ja-JP"/>
        </w:rPr>
        <w:t>The RS block code is based on the polynomial</w:t>
      </w:r>
    </w:p>
    <w:p w:rsidR="0048417B" w:rsidRPr="006C032B" w:rsidRDefault="0048417B" w:rsidP="0048417B">
      <w:pPr>
        <w:rPr>
          <w:lang w:eastAsia="ja-JP"/>
        </w:rPr>
      </w:pPr>
      <m:oMathPara>
        <m:oMath>
          <m:r>
            <w:rPr>
              <w:rFonts w:ascii="Cambria Math" w:hAnsi="Cambria Math"/>
              <w:lang w:eastAsia="ja-JP"/>
            </w:rPr>
            <m:t>G</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m:t>
          </m:r>
          <m:nary>
            <m:naryPr>
              <m:chr m:val="∏"/>
              <m:limLoc m:val="undOvr"/>
              <m:ctrlPr>
                <w:rPr>
                  <w:rFonts w:ascii="Cambria Math" w:hAnsi="Cambria Math"/>
                  <w:i/>
                  <w:lang w:eastAsia="ja-JP"/>
                </w:rPr>
              </m:ctrlPr>
            </m:naryPr>
            <m:sub>
              <m:r>
                <w:rPr>
                  <w:rFonts w:ascii="Cambria Math" w:hAnsi="Cambria Math"/>
                  <w:lang w:eastAsia="ja-JP"/>
                </w:rPr>
                <m:t>k=1</m:t>
              </m:r>
            </m:sub>
            <m:sup>
              <m:r>
                <w:rPr>
                  <w:rFonts w:ascii="Cambria Math" w:hAnsi="Cambria Math"/>
                  <w:lang w:eastAsia="ja-JP"/>
                </w:rPr>
                <m:t>16</m:t>
              </m:r>
            </m:sup>
            <m:e>
              <m:d>
                <m:dPr>
                  <m:ctrlPr>
                    <w:rPr>
                      <w:rFonts w:ascii="Cambria Math" w:hAnsi="Cambria Math"/>
                      <w:i/>
                      <w:lang w:eastAsia="ja-JP"/>
                    </w:rPr>
                  </m:ctrlPr>
                </m:dPr>
                <m:e>
                  <m:r>
                    <w:rPr>
                      <w:rFonts w:ascii="Cambria Math" w:hAnsi="Cambria Math"/>
                      <w:lang w:eastAsia="ja-JP"/>
                    </w:rPr>
                    <m:t>x+</m:t>
                  </m:r>
                  <m:sSup>
                    <m:sSupPr>
                      <m:ctrlPr>
                        <w:rPr>
                          <w:rFonts w:ascii="Cambria Math" w:hAnsi="Cambria Math"/>
                          <w:i/>
                          <w:lang w:eastAsia="ja-JP"/>
                        </w:rPr>
                      </m:ctrlPr>
                    </m:sSupPr>
                    <m:e>
                      <m:r>
                        <w:rPr>
                          <w:rFonts w:ascii="Cambria Math" w:hAnsi="Cambria Math"/>
                          <w:lang w:eastAsia="ja-JP"/>
                        </w:rPr>
                        <m:t>α</m:t>
                      </m:r>
                    </m:e>
                    <m:sup>
                      <m:r>
                        <w:rPr>
                          <w:rFonts w:ascii="Cambria Math" w:hAnsi="Cambria Math"/>
                          <w:lang w:eastAsia="ja-JP"/>
                        </w:rPr>
                        <m:t>k</m:t>
                      </m:r>
                    </m:sup>
                  </m:sSup>
                </m:e>
              </m:d>
            </m:e>
          </m:nary>
        </m:oMath>
      </m:oMathPara>
    </w:p>
    <w:p w:rsidR="0048417B" w:rsidRDefault="0048417B" w:rsidP="00842B19">
      <w:pPr>
        <w:rPr>
          <w:lang w:eastAsia="ja-JP"/>
        </w:rPr>
      </w:pPr>
      <w:r>
        <w:rPr>
          <w:lang w:eastAsia="ja-JP"/>
        </w:rPr>
        <w:t xml:space="preserve">Where </w:t>
      </w:r>
      <m:oMath>
        <m:r>
          <w:rPr>
            <w:rFonts w:ascii="Cambria Math" w:hAnsi="Cambria Math"/>
            <w:lang w:eastAsia="ja-JP"/>
          </w:rPr>
          <m:t>α=0x02</m:t>
        </m:r>
      </m:oMath>
      <w:r>
        <w:rPr>
          <w:lang w:eastAsia="ja-JP"/>
        </w:rPr>
        <w:t xml:space="preserve"> is a root of the primitive polynomial </w:t>
      </w:r>
      <m:oMath>
        <m:r>
          <w:rPr>
            <w:rFonts w:ascii="Cambria Math" w:hAnsi="Cambria Math"/>
            <w:lang w:eastAsia="ja-JP"/>
          </w:rPr>
          <m:t>p</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=1+</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3</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4</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8</m:t>
            </m:r>
          </m:sup>
        </m:sSup>
      </m:oMath>
      <w:r>
        <w:rPr>
          <w:lang w:eastAsia="ja-JP"/>
        </w:rPr>
        <w:t>.</w:t>
      </w:r>
      <w:r w:rsidR="005515A4">
        <w:rPr>
          <w:lang w:eastAsia="ja-JP"/>
        </w:rPr>
        <w:t xml:space="preserve"> </w:t>
      </w:r>
      <w:r>
        <w:rPr>
          <w:lang w:eastAsia="ja-JP"/>
        </w:rPr>
        <w:t xml:space="preserve">We assume that an octet </w:t>
      </w:r>
      <m:oMath>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oMath>
      <w:r>
        <w:rPr>
          <w:lang w:eastAsia="ja-JP"/>
        </w:rPr>
        <w:t xml:space="preserve"> (b</w:t>
      </w:r>
      <w:r w:rsidR="00842B19">
        <w:rPr>
          <w:vertAlign w:val="subscript"/>
          <w:lang w:eastAsia="ja-JP"/>
        </w:rPr>
        <w:t>0</w:t>
      </w:r>
      <w:r w:rsidR="00842B19">
        <w:rPr>
          <w:lang w:eastAsia="ja-JP"/>
        </w:rPr>
        <w:t xml:space="preserve"> is the L</w:t>
      </w:r>
      <w:r>
        <w:rPr>
          <w:lang w:eastAsia="ja-JP"/>
        </w:rPr>
        <w:t xml:space="preserve">SB) represented by the polynomial </w:t>
      </w:r>
      <m:oMath>
        <m:r>
          <w:rPr>
            <w:rFonts w:ascii="Cambria Math" w:hAnsi="Cambria Math"/>
            <w:lang w:eastAsia="ja-JP"/>
          </w:rPr>
          <m:t>M=</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7</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6</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5</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4</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3</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oMath>
      <w:r>
        <w:rPr>
          <w:lang w:eastAsia="ja-JP"/>
        </w:rPr>
        <w:t>.</w:t>
      </w:r>
    </w:p>
    <w:p w:rsidR="0003680C" w:rsidRDefault="0003680C" w:rsidP="0048417B">
      <w:pPr>
        <w:rPr>
          <w:lang w:eastAsia="ja-JP"/>
        </w:rPr>
      </w:pPr>
    </w:p>
    <w:p w:rsidR="0048417B" w:rsidRDefault="0048417B" w:rsidP="0048417B">
      <w:pPr>
        <w:rPr>
          <w:lang w:eastAsia="ja-JP"/>
        </w:rPr>
      </w:pPr>
      <w:r>
        <w:rPr>
          <w:lang w:eastAsia="ja-JP"/>
        </w:rPr>
        <w:t>The RS is a systematic block code.</w:t>
      </w:r>
      <w:r w:rsidR="005515A4">
        <w:rPr>
          <w:lang w:eastAsia="ja-JP"/>
        </w:rPr>
        <w:t xml:space="preserve"> </w:t>
      </w:r>
      <w:r>
        <w:rPr>
          <w:lang w:eastAsia="ja-JP"/>
        </w:rPr>
        <w:t xml:space="preserve">Given a block of octets </w:t>
      </w:r>
      <w:r w:rsidRPr="00A06A23">
        <w:rPr>
          <w:position w:val="-12"/>
          <w:lang w:eastAsia="ja-JP"/>
        </w:rPr>
        <w:object w:dxaOrig="2260" w:dyaOrig="360">
          <v:shape id="_x0000_i1240" type="#_x0000_t75" style="width:113.65pt;height:17.65pt" o:ole="">
            <v:imagedata r:id="rId520" o:title=""/>
          </v:shape>
          <o:OLEObject Type="Embed" ProgID="Equation.3" ShapeID="_x0000_i1240" DrawAspect="Content" ObjectID="_1334048419" r:id="rId521"/>
        </w:object>
      </w:r>
      <w:r>
        <w:rPr>
          <w:lang w:eastAsia="ja-JP"/>
        </w:rPr>
        <w:t xml:space="preserve"> the additional parity octets </w:t>
      </w:r>
      <w:r w:rsidRPr="00624D85">
        <w:rPr>
          <w:position w:val="-14"/>
          <w:lang w:eastAsia="ja-JP"/>
        </w:rPr>
        <w:object w:dxaOrig="1600" w:dyaOrig="380">
          <v:shape id="_x0000_i1241" type="#_x0000_t75" style="width:81.05pt;height:20.4pt" o:ole="">
            <v:imagedata r:id="rId522" o:title=""/>
          </v:shape>
          <o:OLEObject Type="Embed" ProgID="Equation.3" ShapeID="_x0000_i1241" DrawAspect="Content" ObjectID="_1334048420" r:id="rId523"/>
        </w:object>
      </w:r>
      <w:r>
        <w:rPr>
          <w:lang w:eastAsia="ja-JP"/>
        </w:rPr>
        <w:t xml:space="preserve"> is calculated by setting </w:t>
      </w:r>
      <w:r w:rsidRPr="00DC7B7F">
        <w:rPr>
          <w:position w:val="-10"/>
          <w:lang w:eastAsia="ja-JP"/>
        </w:rPr>
        <w:object w:dxaOrig="2320" w:dyaOrig="360">
          <v:shape id="_x0000_i1242" type="#_x0000_t75" style="width:115.9pt;height:17.65pt" o:ole="">
            <v:imagedata r:id="rId524" o:title=""/>
          </v:shape>
          <o:OLEObject Type="Embed" ProgID="Equation.3" ShapeID="_x0000_i1242" DrawAspect="Content" ObjectID="_1334048421" r:id="rId525"/>
        </w:object>
      </w:r>
      <w:r w:rsidR="0003680C">
        <w:rPr>
          <w:position w:val="-10"/>
          <w:lang w:eastAsia="ja-JP"/>
        </w:rPr>
        <w:t xml:space="preserve">, </w:t>
      </w:r>
      <w:r w:rsidR="0003680C">
        <w:rPr>
          <w:lang w:eastAsia="ja-JP"/>
        </w:rPr>
        <w:t>w</w:t>
      </w:r>
      <w:r>
        <w:rPr>
          <w:lang w:eastAsia="ja-JP"/>
        </w:rPr>
        <w:t xml:space="preserve">here </w:t>
      </w:r>
      <w:r w:rsidRPr="00DC7B7F">
        <w:rPr>
          <w:position w:val="-28"/>
          <w:lang w:eastAsia="ja-JP"/>
        </w:rPr>
        <w:object w:dxaOrig="1359" w:dyaOrig="680">
          <v:shape id="_x0000_i1243" type="#_x0000_t75" style="width:69.75pt;height:33.95pt" o:ole="">
            <v:imagedata r:id="rId526" o:title=""/>
          </v:shape>
          <o:OLEObject Type="Embed" ProgID="Equation.3" ShapeID="_x0000_i1243" DrawAspect="Content" ObjectID="_1334048422" r:id="rId527"/>
        </w:object>
      </w:r>
      <w:r>
        <w:rPr>
          <w:lang w:eastAsia="ja-JP"/>
        </w:rPr>
        <w:t xml:space="preserve"> and </w:t>
      </w:r>
      <w:r w:rsidRPr="00DC7B7F">
        <w:rPr>
          <w:position w:val="-28"/>
          <w:lang w:eastAsia="ja-JP"/>
        </w:rPr>
        <w:object w:dxaOrig="1560" w:dyaOrig="680">
          <v:shape id="_x0000_i1244" type="#_x0000_t75" style="width:78.8pt;height:33.95pt" o:ole="">
            <v:imagedata r:id="rId528" o:title=""/>
          </v:shape>
          <o:OLEObject Type="Embed" ProgID="Equation.3" ShapeID="_x0000_i1244" DrawAspect="Content" ObjectID="_1334048423" r:id="rId529"/>
        </w:object>
      </w:r>
      <w:r>
        <w:rPr>
          <w:lang w:eastAsia="ja-JP"/>
        </w:rPr>
        <w:t xml:space="preserve"> </w:t>
      </w:r>
      <w:r w:rsidR="0003680C">
        <w:rPr>
          <w:lang w:eastAsia="ja-JP"/>
        </w:rPr>
        <w:t xml:space="preserve">and </w:t>
      </w:r>
      <w:r>
        <w:rPr>
          <w:lang w:eastAsia="ja-JP"/>
        </w:rPr>
        <w:t xml:space="preserve">where the calculation is performed over </w:t>
      </w:r>
      <w:r w:rsidRPr="00304AF2">
        <w:rPr>
          <w:position w:val="-10"/>
          <w:lang w:eastAsia="ja-JP"/>
        </w:rPr>
        <w:object w:dxaOrig="740" w:dyaOrig="360">
          <v:shape id="_x0000_i1245" type="#_x0000_t75" style="width:37.6pt;height:17.65pt" o:ole="">
            <v:imagedata r:id="rId530" o:title=""/>
          </v:shape>
          <o:OLEObject Type="Embed" ProgID="Equation.3" ShapeID="_x0000_i1245" DrawAspect="Content" ObjectID="_1334048424" r:id="rId531"/>
        </w:object>
      </w:r>
      <w:r w:rsidR="009D537D" w:rsidRPr="009D537D">
        <w:rPr>
          <w:lang w:eastAsia="ja-JP"/>
        </w:rPr>
        <w:t xml:space="preserve">. </w:t>
      </w:r>
      <w:r>
        <w:rPr>
          <w:lang w:eastAsia="ja-JP"/>
        </w:rPr>
        <w:t xml:space="preserve">The parity octets </w:t>
      </w:r>
      <w:r>
        <w:rPr>
          <w:b/>
          <w:bCs/>
          <w:lang w:eastAsia="ja-JP"/>
        </w:rPr>
        <w:t xml:space="preserve">r </w:t>
      </w:r>
      <w:r>
        <w:rPr>
          <w:lang w:eastAsia="ja-JP"/>
        </w:rPr>
        <w:t xml:space="preserve">are appended to the uncoded block </w:t>
      </w:r>
      <w:r>
        <w:rPr>
          <w:b/>
          <w:bCs/>
          <w:lang w:eastAsia="ja-JP"/>
        </w:rPr>
        <w:t>m</w:t>
      </w:r>
      <w:r>
        <w:rPr>
          <w:lang w:eastAsia="ja-JP"/>
        </w:rPr>
        <w:t xml:space="preserve"> to generated the encoded RS block </w:t>
      </w:r>
      <w:r w:rsidRPr="00304AF2">
        <w:rPr>
          <w:position w:val="-12"/>
          <w:lang w:eastAsia="ja-JP"/>
        </w:rPr>
        <w:object w:dxaOrig="3019" w:dyaOrig="360">
          <v:shape id="_x0000_i1246" type="#_x0000_t75" style="width:150.8pt;height:17.65pt" o:ole="">
            <v:imagedata r:id="rId532" o:title=""/>
          </v:shape>
          <o:OLEObject Type="Embed" ProgID="Equation.3" ShapeID="_x0000_i1246" DrawAspect="Content" ObjectID="_1334048425" r:id="rId533"/>
        </w:object>
      </w:r>
      <w:r w:rsidR="009D537D" w:rsidRPr="009D537D">
        <w:rPr>
          <w:lang w:eastAsia="ja-JP"/>
        </w:rPr>
        <w:t>.</w:t>
      </w:r>
    </w:p>
    <w:p w:rsidR="0048417B" w:rsidRDefault="0048417B" w:rsidP="0048417B">
      <w:pPr>
        <w:rPr>
          <w:lang w:eastAsia="ja-JP"/>
        </w:rPr>
      </w:pPr>
    </w:p>
    <w:p w:rsidR="002F7CB1" w:rsidRPr="009448FC" w:rsidRDefault="002F7CB1" w:rsidP="003701DB">
      <w:pPr>
        <w:pStyle w:val="Heading6"/>
        <w:numPr>
          <w:ilvl w:val="5"/>
          <w:numId w:val="42"/>
        </w:numPr>
      </w:pPr>
      <w:bookmarkStart w:id="3792" w:name="_Ref251863690"/>
      <w:r>
        <w:rPr>
          <w:lang w:eastAsia="ja-JP"/>
        </w:rPr>
        <w:t>(16,8) Block-coding</w:t>
      </w:r>
      <w:bookmarkEnd w:id="3792"/>
    </w:p>
    <w:p w:rsidR="0048417B" w:rsidRDefault="0048417B" w:rsidP="00377A3E">
      <w:pPr>
        <w:rPr>
          <w:lang w:eastAsia="ja-JP"/>
        </w:rPr>
      </w:pPr>
      <w:r>
        <w:rPr>
          <w:lang w:eastAsia="ja-JP"/>
        </w:rPr>
        <w:t xml:space="preserve">In the </w:t>
      </w:r>
      <w:r w:rsidR="00173930">
        <w:rPr>
          <w:lang w:eastAsia="ja-JP"/>
        </w:rPr>
        <w:t>H</w:t>
      </w:r>
      <w:r>
        <w:rPr>
          <w:lang w:eastAsia="ja-JP"/>
        </w:rPr>
        <w:t xml:space="preserve">am-like block code, every octet </w:t>
      </w:r>
      <m:oMath>
        <m:r>
          <m:rPr>
            <m:sty m:val="bi"/>
          </m:rPr>
          <w:rPr>
            <w:rFonts w:ascii="Cambria Math" w:hAnsi="Cambria Math"/>
            <w:lang w:eastAsia="ja-JP"/>
          </w:rPr>
          <m:t>b=</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e>
        </m:d>
      </m:oMath>
      <w:r>
        <w:rPr>
          <w:lang w:eastAsia="ja-JP"/>
        </w:rPr>
        <w:t xml:space="preserve"> is encoded to a 16</w:t>
      </w:r>
      <w:r w:rsidR="00173930">
        <w:rPr>
          <w:lang w:eastAsia="ja-JP"/>
        </w:rPr>
        <w:t>-</w:t>
      </w:r>
      <w:r>
        <w:rPr>
          <w:lang w:eastAsia="ja-JP"/>
        </w:rPr>
        <w:t xml:space="preserve">bit code word </w:t>
      </w:r>
      <m:oMath>
        <m:r>
          <m:rPr>
            <m:sty m:val="bi"/>
          </m:rPr>
          <w:rPr>
            <w:rFonts w:ascii="Cambria Math" w:hAnsi="Cambria Math"/>
            <w:lang w:eastAsia="ja-JP"/>
          </w:rPr>
          <m:t>c=</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5</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7</m:t>
                </m:r>
              </m:sub>
            </m:sSub>
          </m:e>
        </m:d>
      </m:oMath>
      <w:r w:rsidR="00BE1F31">
        <w:rPr>
          <w:lang w:eastAsia="ja-JP"/>
        </w:rPr>
        <w:t xml:space="preserve"> </w:t>
      </w:r>
      <w:r w:rsidR="00377A3E">
        <w:rPr>
          <w:lang w:eastAsia="ja-JP"/>
        </w:rPr>
        <w:t xml:space="preserve"> </w:t>
      </w:r>
      <w:r>
        <w:rPr>
          <w:lang w:eastAsia="ja-JP"/>
        </w:rPr>
        <w:t xml:space="preserve">such that </w:t>
      </w:r>
      <m:oMath>
        <m:r>
          <m:rPr>
            <m:sty m:val="bi"/>
          </m:rPr>
          <w:rPr>
            <w:rFonts w:ascii="Cambria Math" w:hAnsi="Cambria Math"/>
            <w:lang w:eastAsia="ja-JP"/>
          </w:rPr>
          <m:t>c=bG</m:t>
        </m:r>
      </m:oMath>
      <w:r>
        <w:rPr>
          <w:b/>
          <w:bCs/>
          <w:lang w:eastAsia="ja-JP"/>
        </w:rPr>
        <w:t xml:space="preserve"> </w:t>
      </w:r>
      <w:r w:rsidR="0003680C">
        <w:rPr>
          <w:lang w:eastAsia="ja-JP"/>
        </w:rPr>
        <w:t>where:</w:t>
      </w:r>
    </w:p>
    <w:p w:rsidR="0003680C" w:rsidRDefault="0003680C" w:rsidP="0048417B">
      <w:pPr>
        <w:rPr>
          <w:lang w:eastAsia="ja-JP"/>
        </w:rPr>
      </w:pPr>
    </w:p>
    <w:p w:rsidR="0048417B" w:rsidRDefault="0048417B" w:rsidP="0048417B">
      <w:pPr>
        <w:rPr>
          <w:lang w:eastAsia="ja-JP"/>
        </w:rPr>
      </w:pPr>
      <w:r w:rsidRPr="00156CFD">
        <w:rPr>
          <w:position w:val="-138"/>
          <w:lang w:eastAsia="ja-JP"/>
        </w:rPr>
        <w:object w:dxaOrig="3080" w:dyaOrig="2880">
          <v:shape id="_x0000_i1247" type="#_x0000_t75" style="width:153.05pt;height:2in" o:ole="">
            <v:imagedata r:id="rId534" o:title=""/>
          </v:shape>
          <o:OLEObject Type="Embed" ProgID="Equation.3" ShapeID="_x0000_i1247" DrawAspect="Content" ObjectID="_1334048426" r:id="rId535"/>
        </w:object>
      </w:r>
    </w:p>
    <w:p w:rsidR="007711A4" w:rsidRDefault="007711A4" w:rsidP="007711A4"/>
    <w:p w:rsidR="007711A4" w:rsidRPr="009448FC" w:rsidRDefault="007711A4" w:rsidP="003701DB">
      <w:pPr>
        <w:pStyle w:val="Heading5"/>
        <w:keepNext w:val="0"/>
        <w:numPr>
          <w:ilvl w:val="4"/>
          <w:numId w:val="42"/>
        </w:numPr>
        <w:tabs>
          <w:tab w:val="clear" w:pos="1152"/>
        </w:tabs>
        <w:spacing w:after="60"/>
        <w:jc w:val="left"/>
      </w:pPr>
      <w:bookmarkStart w:id="3793" w:name="_Ref256620299"/>
      <w:bookmarkStart w:id="3794" w:name="_Toc259717406"/>
      <w:r>
        <w:t>Modulation</w:t>
      </w:r>
      <w:bookmarkEnd w:id="3793"/>
      <w:bookmarkEnd w:id="3794"/>
    </w:p>
    <w:p w:rsidR="007711A4" w:rsidRPr="007711A4" w:rsidRDefault="007711A4" w:rsidP="007711A4"/>
    <w:p w:rsidR="0048417B" w:rsidRDefault="0048417B" w:rsidP="0048417B">
      <w:r>
        <w:t xml:space="preserve">The same π/2-BPSK described in </w:t>
      </w:r>
      <w:r w:rsidR="00BD151C">
        <w:fldChar w:fldCharType="begin"/>
      </w:r>
      <w:r>
        <w:instrText xml:space="preserve"> REF _Ref227945616 \r \h </w:instrText>
      </w:r>
      <w:r w:rsidR="00BD151C">
        <w:fldChar w:fldCharType="separate"/>
      </w:r>
      <w:r w:rsidR="003E4210">
        <w:t>21.6.3.2.3.1</w:t>
      </w:r>
      <w:r w:rsidR="00BD151C">
        <w:fldChar w:fldCharType="end"/>
      </w:r>
      <w:r>
        <w:t xml:space="preserve"> and π/2-</w:t>
      </w:r>
      <w:r w:rsidR="001F6942">
        <w:t>Q</w:t>
      </w:r>
      <w:r>
        <w:t xml:space="preserve">PSK described in </w:t>
      </w:r>
      <w:r w:rsidR="00BD151C">
        <w:fldChar w:fldCharType="begin"/>
      </w:r>
      <w:r w:rsidR="001F6942">
        <w:instrText xml:space="preserve"> REF _Ref227945616 \r \h </w:instrText>
      </w:r>
      <w:r w:rsidR="00BD151C">
        <w:fldChar w:fldCharType="separate"/>
      </w:r>
      <w:r w:rsidR="003E4210">
        <w:t>21.6.3.2.3.1</w:t>
      </w:r>
      <w:r w:rsidR="00BD151C">
        <w:fldChar w:fldCharType="end"/>
      </w:r>
      <w:r>
        <w:t xml:space="preserve"> are used in the mmWave low power SC PHY.</w:t>
      </w:r>
    </w:p>
    <w:p w:rsidR="0048417B" w:rsidRDefault="0048417B" w:rsidP="0048417B"/>
    <w:p w:rsidR="007711A4" w:rsidRPr="009448FC" w:rsidRDefault="007711A4" w:rsidP="003701DB">
      <w:pPr>
        <w:pStyle w:val="Heading5"/>
        <w:keepNext w:val="0"/>
        <w:numPr>
          <w:ilvl w:val="4"/>
          <w:numId w:val="42"/>
        </w:numPr>
        <w:tabs>
          <w:tab w:val="clear" w:pos="1152"/>
        </w:tabs>
        <w:spacing w:after="60"/>
        <w:jc w:val="left"/>
      </w:pPr>
      <w:bookmarkStart w:id="3795" w:name="_Ref251863688"/>
      <w:bookmarkStart w:id="3796" w:name="_Toc259717407"/>
      <w:r>
        <w:t>Blocking</w:t>
      </w:r>
      <w:bookmarkEnd w:id="3795"/>
      <w:bookmarkEnd w:id="3796"/>
    </w:p>
    <w:p w:rsidR="0048417B" w:rsidRDefault="0048417B" w:rsidP="0048417B">
      <w:r w:rsidRPr="00AE1438">
        <w:t xml:space="preserve">The blocking for the low power SC is illustrated in </w:t>
      </w:r>
      <w:fldSimple w:instr=" REF _Ref251779099 \h  \* MERGEFORMAT ">
        <w:r w:rsidR="003E4210">
          <w:t>Figure 145</w:t>
        </w:r>
      </w:fldSimple>
      <w:r w:rsidRPr="00AE1438">
        <w:t>. The data is partitioned into blocks of</w:t>
      </w:r>
      <w:r w:rsidR="001F6942">
        <w:t xml:space="preserve"> </w:t>
      </w:r>
      <w:r w:rsidRPr="00AE1438">
        <w:t>length 512 wherein</w:t>
      </w:r>
      <w:r>
        <w:t xml:space="preserve"> </w:t>
      </w:r>
      <w:r w:rsidRPr="00AE1438">
        <w:t>each 512-block is constructed from 8 sub-blocks. Each sub-block is of length 64. The first sub-block is a Ga</w:t>
      </w:r>
      <w:r w:rsidRPr="00AE1438">
        <w:rPr>
          <w:vertAlign w:val="subscript"/>
        </w:rPr>
        <w:t>64</w:t>
      </w:r>
      <w:r w:rsidRPr="00AE1438">
        <w:t xml:space="preserve"> </w:t>
      </w:r>
      <w:r>
        <w:t xml:space="preserve">(as defined in </w:t>
      </w:r>
      <w:r w:rsidR="00BD151C">
        <w:fldChar w:fldCharType="begin"/>
      </w:r>
      <w:r>
        <w:instrText xml:space="preserve"> REF _Ref228173952 \r \h </w:instrText>
      </w:r>
      <w:r w:rsidR="00BD151C">
        <w:fldChar w:fldCharType="separate"/>
      </w:r>
      <w:r w:rsidR="003E4210">
        <w:t>21.9</w:t>
      </w:r>
      <w:r w:rsidR="00BD151C">
        <w:fldChar w:fldCharType="end"/>
      </w:r>
      <w:r>
        <w:t xml:space="preserve">) </w:t>
      </w:r>
      <w:r w:rsidRPr="00AE1438">
        <w:t>and</w:t>
      </w:r>
      <w:r>
        <w:t xml:space="preserve"> </w:t>
      </w:r>
      <w:r w:rsidR="008F2F3E">
        <w:t>sub-</w:t>
      </w:r>
      <w:r w:rsidRPr="00AE1438">
        <w:t>blocks 2 to 8 are constructed in the same way, i.e.</w:t>
      </w:r>
      <w:r w:rsidR="0003680C">
        <w:t>,</w:t>
      </w:r>
      <w:r w:rsidRPr="00AE1438">
        <w:t xml:space="preserve"> a data portion of 7 octets followed by a guard interval of 1 octet.</w:t>
      </w:r>
      <w:r>
        <w:t xml:space="preserve"> </w:t>
      </w:r>
      <w:r w:rsidRPr="00AE1438">
        <w:t>The last 512-block in the</w:t>
      </w:r>
      <w:r w:rsidR="001F6942">
        <w:t xml:space="preserve"> </w:t>
      </w:r>
      <w:r w:rsidRPr="00AE1438">
        <w:lastRenderedPageBreak/>
        <w:t>transmission shall be followed by Ga</w:t>
      </w:r>
      <w:r w:rsidRPr="00AE1438">
        <w:rPr>
          <w:vertAlign w:val="subscript"/>
        </w:rPr>
        <w:t>64</w:t>
      </w:r>
      <w:r w:rsidRPr="00AE1438">
        <w:t>. Note that each 512-block carries 49 octets of data</w:t>
      </w:r>
      <w:r>
        <w:t xml:space="preserve"> </w:t>
      </w:r>
      <w:r w:rsidRPr="00AE1438">
        <w:t>and 15 octets of guard.</w:t>
      </w:r>
      <w:r>
        <w:t xml:space="preserve"> </w:t>
      </w:r>
    </w:p>
    <w:p w:rsidR="00D1434F" w:rsidRDefault="00D1434F" w:rsidP="0048417B"/>
    <w:p w:rsidR="0048417B" w:rsidRDefault="0048417B" w:rsidP="0048417B">
      <w:pPr>
        <w:rPr>
          <w:rFonts w:ascii="TimesNewRomanPSMT" w:hAnsi="TimesNewRomanPSMT" w:cs="TimesNewRomanPSMT"/>
          <w:sz w:val="20"/>
          <w:szCs w:val="20"/>
        </w:rPr>
      </w:pPr>
      <w:r w:rsidRPr="00AE1438">
        <w:t>The G</w:t>
      </w:r>
      <w:r w:rsidRPr="00662760">
        <w:rPr>
          <w:vertAlign w:val="subscript"/>
        </w:rPr>
        <w:t>8</w:t>
      </w:r>
      <w:r w:rsidRPr="00AE1438">
        <w:t xml:space="preserve"> guard interval is a copy of the last 8 samples of Ga</w:t>
      </w:r>
      <w:r w:rsidRPr="00AE1438">
        <w:rPr>
          <w:vertAlign w:val="subscript"/>
        </w:rPr>
        <w:t>64</w:t>
      </w:r>
      <w:r w:rsidRPr="00AE1438">
        <w:rPr>
          <w:rFonts w:ascii="TimesNewRomanPSMT" w:hAnsi="TimesNewRomanPSMT" w:cs="TimesNewRomanPSMT"/>
          <w:sz w:val="20"/>
          <w:szCs w:val="20"/>
        </w:rPr>
        <w:t>.</w:t>
      </w:r>
    </w:p>
    <w:p w:rsidR="0048417B" w:rsidRDefault="0048417B" w:rsidP="0048417B">
      <w:pPr>
        <w:rPr>
          <w:rFonts w:ascii="TimesNewRomanPSMT" w:hAnsi="TimesNewRomanPSMT" w:cs="TimesNewRomanPSMT"/>
          <w:sz w:val="20"/>
          <w:szCs w:val="20"/>
        </w:rPr>
      </w:pPr>
    </w:p>
    <w:p w:rsidR="0048417B" w:rsidRDefault="00377A3E" w:rsidP="0048417B">
      <w:pPr>
        <w:keepNext/>
        <w:jc w:val="center"/>
      </w:pPr>
      <w:r>
        <w:object w:dxaOrig="6397" w:dyaOrig="2454">
          <v:shape id="_x0000_i1248" type="#_x0000_t75" style="width:322.4pt;height:123.6pt" o:ole="">
            <v:imagedata r:id="rId536" o:title=""/>
          </v:shape>
          <o:OLEObject Type="Embed" ProgID="Visio.Drawing.11" ShapeID="_x0000_i1248" DrawAspect="Content" ObjectID="_1334048427" r:id="rId537"/>
        </w:object>
      </w:r>
    </w:p>
    <w:p w:rsidR="0048417B" w:rsidRDefault="0048417B" w:rsidP="0048417B">
      <w:pPr>
        <w:pStyle w:val="Caption"/>
      </w:pPr>
      <w:bookmarkStart w:id="3797" w:name="_Ref251779099"/>
      <w:bookmarkStart w:id="3798" w:name="_Toc259717577"/>
      <w:r>
        <w:t xml:space="preserve">Figure </w:t>
      </w:r>
      <w:r w:rsidR="00BD151C">
        <w:fldChar w:fldCharType="begin"/>
      </w:r>
      <w:r w:rsidR="00801316">
        <w:instrText xml:space="preserve"> SEQ Figure \* ARABIC </w:instrText>
      </w:r>
      <w:r w:rsidR="00BD151C">
        <w:fldChar w:fldCharType="separate"/>
      </w:r>
      <w:r w:rsidR="003E4210">
        <w:rPr>
          <w:noProof/>
        </w:rPr>
        <w:t>145</w:t>
      </w:r>
      <w:r w:rsidR="00BD151C">
        <w:fldChar w:fldCharType="end"/>
      </w:r>
      <w:bookmarkEnd w:id="3797"/>
      <w:r w:rsidR="001F6942">
        <w:t xml:space="preserve"> – </w:t>
      </w:r>
      <w:r>
        <w:t>Blocking for low power SC</w:t>
      </w:r>
      <w:bookmarkEnd w:id="3798"/>
    </w:p>
    <w:p w:rsidR="003E55FC" w:rsidRPr="002D714A" w:rsidRDefault="002D714A" w:rsidP="001F6942">
      <w:pPr>
        <w:autoSpaceDE w:val="0"/>
        <w:autoSpaceDN w:val="0"/>
        <w:adjustRightInd w:val="0"/>
        <w:rPr>
          <w:lang w:bidi="ar-SA"/>
        </w:rPr>
      </w:pPr>
      <w:r w:rsidRPr="002D714A">
        <w:rPr>
          <w:sz w:val="20"/>
          <w:szCs w:val="20"/>
        </w:rPr>
        <w:t xml:space="preserve">NOTE – </w:t>
      </w:r>
      <w:r w:rsidR="003E55FC" w:rsidRPr="002D714A">
        <w:rPr>
          <w:sz w:val="20"/>
          <w:szCs w:val="20"/>
        </w:rPr>
        <w:t>A STA may estimate the channel impulse response from the CEF, and decides whether to equalize</w:t>
      </w:r>
      <w:r w:rsidR="001F6942" w:rsidRPr="002D714A">
        <w:rPr>
          <w:sz w:val="20"/>
          <w:szCs w:val="20"/>
        </w:rPr>
        <w:t xml:space="preserve"> </w:t>
      </w:r>
      <w:r w:rsidR="003E55FC" w:rsidRPr="002D714A">
        <w:rPr>
          <w:sz w:val="20"/>
          <w:szCs w:val="20"/>
        </w:rPr>
        <w:t>using the 512-block or the short 64-sub-block. For example if the channel impulse response energy is almost</w:t>
      </w:r>
      <w:r w:rsidR="001F6942" w:rsidRPr="002D714A">
        <w:rPr>
          <w:sz w:val="20"/>
          <w:szCs w:val="20"/>
        </w:rPr>
        <w:t xml:space="preserve"> </w:t>
      </w:r>
      <w:r w:rsidR="003E55FC" w:rsidRPr="002D714A">
        <w:rPr>
          <w:sz w:val="20"/>
          <w:szCs w:val="20"/>
        </w:rPr>
        <w:t>concentrated in 8 taps, a 64-equalizer can be used, otherwise a 512-equalizer is used.</w:t>
      </w:r>
    </w:p>
    <w:p w:rsidR="0048417B" w:rsidRDefault="0048417B" w:rsidP="0048417B"/>
    <w:p w:rsidR="00B243B6" w:rsidRPr="00066F65" w:rsidRDefault="007B30E5" w:rsidP="003701DB">
      <w:pPr>
        <w:pStyle w:val="Heading2"/>
        <w:numPr>
          <w:ilvl w:val="1"/>
          <w:numId w:val="42"/>
        </w:numPr>
        <w:rPr>
          <w:lang w:eastAsia="ja-JP"/>
        </w:rPr>
      </w:pPr>
      <w:bookmarkStart w:id="3799" w:name="_Toc256692413"/>
      <w:bookmarkStart w:id="3800" w:name="_Toc256695132"/>
      <w:bookmarkStart w:id="3801" w:name="_Toc257028240"/>
      <w:bookmarkStart w:id="3802" w:name="_Toc257028860"/>
      <w:bookmarkStart w:id="3803" w:name="_Toc257039509"/>
      <w:bookmarkStart w:id="3804" w:name="_Toc256692414"/>
      <w:bookmarkStart w:id="3805" w:name="_Toc256695133"/>
      <w:bookmarkStart w:id="3806" w:name="_Toc257028241"/>
      <w:bookmarkStart w:id="3807" w:name="_Toc257028861"/>
      <w:bookmarkStart w:id="3808" w:name="_Toc257039510"/>
      <w:bookmarkStart w:id="3809" w:name="_Toc256692415"/>
      <w:bookmarkStart w:id="3810" w:name="_Toc256695134"/>
      <w:bookmarkStart w:id="3811" w:name="_Toc257028242"/>
      <w:bookmarkStart w:id="3812" w:name="_Toc257028862"/>
      <w:bookmarkStart w:id="3813" w:name="_Toc257039511"/>
      <w:bookmarkStart w:id="3814" w:name="_Toc243400053"/>
      <w:bookmarkStart w:id="3815" w:name="_Toc243456047"/>
      <w:bookmarkStart w:id="3816" w:name="_Toc243461914"/>
      <w:bookmarkStart w:id="3817" w:name="_Toc243472039"/>
      <w:bookmarkStart w:id="3818" w:name="_Toc243795323"/>
      <w:bookmarkStart w:id="3819" w:name="_Toc215583056"/>
      <w:bookmarkStart w:id="3820" w:name="_Toc235400745"/>
      <w:bookmarkStart w:id="3821" w:name="_Ref256692649"/>
      <w:bookmarkStart w:id="3822" w:name="_Toc25971740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r w:rsidRPr="00066F65">
        <w:rPr>
          <w:lang w:eastAsia="ja-JP"/>
        </w:rPr>
        <w:t>Beamforming</w:t>
      </w:r>
      <w:bookmarkEnd w:id="3819"/>
      <w:bookmarkEnd w:id="3820"/>
      <w:bookmarkEnd w:id="3821"/>
      <w:bookmarkEnd w:id="3822"/>
    </w:p>
    <w:p w:rsidR="00B243B6" w:rsidRDefault="00B243B6" w:rsidP="003701DB">
      <w:pPr>
        <w:pStyle w:val="Heading3"/>
        <w:numPr>
          <w:ilvl w:val="2"/>
          <w:numId w:val="42"/>
        </w:numPr>
      </w:pPr>
      <w:bookmarkStart w:id="3823" w:name="_Toc201722003"/>
      <w:bookmarkStart w:id="3824" w:name="_Toc206227743"/>
      <w:bookmarkStart w:id="3825" w:name="_Toc206415690"/>
      <w:bookmarkStart w:id="3826" w:name="_Toc206418497"/>
      <w:bookmarkStart w:id="3827" w:name="_Toc207099252"/>
      <w:bookmarkStart w:id="3828" w:name="_Toc207099857"/>
      <w:bookmarkStart w:id="3829" w:name="_Toc207100776"/>
      <w:bookmarkStart w:id="3830" w:name="_Toc207348698"/>
      <w:bookmarkStart w:id="3831" w:name="_Toc215583057"/>
      <w:bookmarkStart w:id="3832" w:name="_Toc235400746"/>
      <w:bookmarkStart w:id="3833" w:name="_Toc259717409"/>
      <w:r w:rsidRPr="009448FC">
        <w:t>Beamforming concept</w:t>
      </w:r>
      <w:bookmarkEnd w:id="3823"/>
      <w:bookmarkEnd w:id="3824"/>
      <w:bookmarkEnd w:id="3825"/>
      <w:bookmarkEnd w:id="3826"/>
      <w:bookmarkEnd w:id="3827"/>
      <w:bookmarkEnd w:id="3828"/>
      <w:bookmarkEnd w:id="3829"/>
      <w:bookmarkEnd w:id="3830"/>
      <w:bookmarkEnd w:id="3831"/>
      <w:bookmarkEnd w:id="3832"/>
      <w:bookmarkEnd w:id="3833"/>
    </w:p>
    <w:p w:rsidR="00000C5F" w:rsidRDefault="00000C5F"/>
    <w:p w:rsidR="00DF54A1" w:rsidRDefault="00A65286">
      <w:r>
        <w:t xml:space="preserve">Beamforming enables a pair of STAs to train their transmit and receive antennas for </w:t>
      </w:r>
      <w:r w:rsidRPr="009448FC">
        <w:rPr>
          <w:rFonts w:eastAsia="MS Mincho"/>
        </w:rPr>
        <w:t>subsequent communication. BF is established following the successful completion of BF training</w:t>
      </w:r>
      <w:r>
        <w:rPr>
          <w:rFonts w:eastAsia="MS Mincho"/>
        </w:rPr>
        <w:t xml:space="preserve">, which is described in </w:t>
      </w:r>
      <w:r w:rsidR="00BD151C">
        <w:rPr>
          <w:rFonts w:eastAsia="MS Mincho"/>
        </w:rPr>
        <w:fldChar w:fldCharType="begin"/>
      </w:r>
      <w:r>
        <w:rPr>
          <w:rFonts w:eastAsia="MS Mincho"/>
        </w:rPr>
        <w:instrText xml:space="preserve"> REF _Ref256776033 \r \h </w:instrText>
      </w:r>
      <w:r w:rsidR="00BD151C">
        <w:rPr>
          <w:rFonts w:eastAsia="MS Mincho"/>
        </w:rPr>
      </w:r>
      <w:r w:rsidR="00BD151C">
        <w:rPr>
          <w:rFonts w:eastAsia="MS Mincho"/>
        </w:rPr>
        <w:fldChar w:fldCharType="separate"/>
      </w:r>
      <w:r w:rsidR="003E4210">
        <w:rPr>
          <w:rFonts w:eastAsia="MS Mincho"/>
        </w:rPr>
        <w:t>9.25</w:t>
      </w:r>
      <w:r w:rsidR="00BD151C">
        <w:rPr>
          <w:rFonts w:eastAsia="MS Mincho"/>
        </w:rPr>
        <w:fldChar w:fldCharType="end"/>
      </w:r>
      <w:r w:rsidRPr="009448FC">
        <w:rPr>
          <w:rFonts w:eastAsia="MS Mincho"/>
        </w:rPr>
        <w:t>.</w:t>
      </w:r>
    </w:p>
    <w:p w:rsidR="00000C5F" w:rsidRDefault="00000C5F"/>
    <w:p w:rsidR="00B243B6" w:rsidRPr="009448FC" w:rsidRDefault="007B30E5" w:rsidP="003701DB">
      <w:pPr>
        <w:pStyle w:val="Heading3"/>
        <w:numPr>
          <w:ilvl w:val="2"/>
          <w:numId w:val="42"/>
        </w:numPr>
      </w:pPr>
      <w:bookmarkStart w:id="3834" w:name="_Toc206227745"/>
      <w:bookmarkStart w:id="3835" w:name="_Toc206415692"/>
      <w:bookmarkStart w:id="3836" w:name="_Toc206418499"/>
      <w:bookmarkStart w:id="3837" w:name="_Toc207099254"/>
      <w:bookmarkStart w:id="3838" w:name="_Toc207099859"/>
      <w:bookmarkStart w:id="3839" w:name="_Toc207100778"/>
      <w:bookmarkStart w:id="3840" w:name="_Toc207348700"/>
      <w:bookmarkStart w:id="3841" w:name="_Toc215583059"/>
      <w:bookmarkStart w:id="3842" w:name="_Toc235400748"/>
      <w:bookmarkStart w:id="3843" w:name="_Ref236727371"/>
      <w:bookmarkStart w:id="3844" w:name="_Toc259717410"/>
      <w:r w:rsidRPr="009448FC">
        <w:t>Beamforming</w:t>
      </w:r>
      <w:r w:rsidR="00B243B6" w:rsidRPr="009448FC">
        <w:t xml:space="preserve"> PHY frame format</w:t>
      </w:r>
      <w:bookmarkEnd w:id="3834"/>
      <w:bookmarkEnd w:id="3835"/>
      <w:bookmarkEnd w:id="3836"/>
      <w:bookmarkEnd w:id="3837"/>
      <w:bookmarkEnd w:id="3838"/>
      <w:bookmarkEnd w:id="3839"/>
      <w:bookmarkEnd w:id="3840"/>
      <w:bookmarkEnd w:id="3841"/>
      <w:bookmarkEnd w:id="3842"/>
      <w:bookmarkEnd w:id="3843"/>
      <w:bookmarkEnd w:id="3844"/>
    </w:p>
    <w:p w:rsidR="00B243B6" w:rsidRPr="009448FC" w:rsidRDefault="00B243B6" w:rsidP="003701DB">
      <w:pPr>
        <w:pStyle w:val="Heading4"/>
        <w:numPr>
          <w:ilvl w:val="3"/>
          <w:numId w:val="42"/>
        </w:numPr>
      </w:pPr>
      <w:bookmarkStart w:id="3845" w:name="_Ref204528093"/>
      <w:bookmarkStart w:id="3846" w:name="_Toc204649047"/>
      <w:bookmarkStart w:id="3847" w:name="_Toc206227746"/>
      <w:bookmarkStart w:id="3848" w:name="_Toc206415693"/>
      <w:bookmarkStart w:id="3849" w:name="_Toc206418500"/>
      <w:bookmarkStart w:id="3850" w:name="_Toc207099255"/>
      <w:bookmarkStart w:id="3851" w:name="_Toc207099860"/>
      <w:bookmarkStart w:id="3852" w:name="_Toc207100779"/>
      <w:bookmarkStart w:id="3853" w:name="_Toc207348701"/>
      <w:bookmarkStart w:id="3854" w:name="_Toc215583060"/>
      <w:bookmarkStart w:id="3855" w:name="_Toc235400749"/>
      <w:bookmarkStart w:id="3856" w:name="_Toc259717411"/>
      <w:r w:rsidRPr="009448FC">
        <w:t>TX sector sweep</w:t>
      </w:r>
      <w:bookmarkEnd w:id="3845"/>
      <w:bookmarkEnd w:id="3846"/>
      <w:bookmarkEnd w:id="3847"/>
      <w:bookmarkEnd w:id="3848"/>
      <w:bookmarkEnd w:id="3849"/>
      <w:bookmarkEnd w:id="3850"/>
      <w:bookmarkEnd w:id="3851"/>
      <w:bookmarkEnd w:id="3852"/>
      <w:bookmarkEnd w:id="3853"/>
      <w:bookmarkEnd w:id="3854"/>
      <w:bookmarkEnd w:id="3855"/>
      <w:bookmarkEnd w:id="3856"/>
    </w:p>
    <w:p w:rsidR="00B243B6" w:rsidRPr="009448FC" w:rsidRDefault="00B243B6" w:rsidP="00F43C23">
      <w:pPr>
        <w:rPr>
          <w:color w:val="FF0000"/>
        </w:rPr>
      </w:pPr>
      <w:r w:rsidRPr="009448FC">
        <w:t xml:space="preserve">The packets sent during TX sector sweep are </w:t>
      </w:r>
      <w:r w:rsidR="00F43C23" w:rsidRPr="009448FC">
        <w:t xml:space="preserve">Control </w:t>
      </w:r>
      <w:r w:rsidRPr="009448FC">
        <w:t xml:space="preserve">PHY packets as defined </w:t>
      </w:r>
      <w:r w:rsidRPr="009448FC">
        <w:rPr>
          <w:color w:val="000000"/>
        </w:rPr>
        <w:t xml:space="preserve">in </w:t>
      </w:r>
      <w:r w:rsidR="00BD151C">
        <w:rPr>
          <w:color w:val="000000"/>
        </w:rPr>
        <w:fldChar w:fldCharType="begin"/>
      </w:r>
      <w:r w:rsidR="00F43C23">
        <w:rPr>
          <w:color w:val="000000"/>
        </w:rPr>
        <w:instrText xml:space="preserve"> REF _Ref241478135 \r \h </w:instrText>
      </w:r>
      <w:r w:rsidR="00BD151C">
        <w:rPr>
          <w:color w:val="000000"/>
        </w:rPr>
      </w:r>
      <w:r w:rsidR="00BD151C">
        <w:rPr>
          <w:color w:val="000000"/>
        </w:rPr>
        <w:fldChar w:fldCharType="separate"/>
      </w:r>
      <w:r w:rsidR="003E4210">
        <w:rPr>
          <w:color w:val="000000"/>
        </w:rPr>
        <w:t>21.4</w:t>
      </w:r>
      <w:r w:rsidR="00BD151C">
        <w:rPr>
          <w:color w:val="000000"/>
        </w:rPr>
        <w:fldChar w:fldCharType="end"/>
      </w:r>
      <w:r w:rsidRPr="009448FC">
        <w:rPr>
          <w:color w:val="000000"/>
        </w:rPr>
        <w:t>.</w:t>
      </w:r>
    </w:p>
    <w:p w:rsidR="00B243B6" w:rsidRPr="009448FC" w:rsidRDefault="00B243B6" w:rsidP="003701DB">
      <w:pPr>
        <w:pStyle w:val="Heading4"/>
        <w:numPr>
          <w:ilvl w:val="3"/>
          <w:numId w:val="42"/>
        </w:numPr>
      </w:pPr>
      <w:bookmarkStart w:id="3857" w:name="_Ref204497823"/>
      <w:bookmarkStart w:id="3858" w:name="_Toc204649048"/>
      <w:bookmarkStart w:id="3859" w:name="_Toc206227747"/>
      <w:bookmarkStart w:id="3860" w:name="_Toc206415694"/>
      <w:bookmarkStart w:id="3861" w:name="_Toc206418501"/>
      <w:bookmarkStart w:id="3862" w:name="_Toc207099256"/>
      <w:bookmarkStart w:id="3863" w:name="_Toc207099861"/>
      <w:bookmarkStart w:id="3864" w:name="_Toc207100780"/>
      <w:bookmarkStart w:id="3865" w:name="_Toc207348702"/>
      <w:bookmarkStart w:id="3866" w:name="_Toc215583061"/>
      <w:bookmarkStart w:id="3867" w:name="_Toc235400750"/>
      <w:bookmarkStart w:id="3868" w:name="_Toc259717412"/>
      <w:r w:rsidRPr="009448FC">
        <w:t>Beam refinement</w:t>
      </w:r>
      <w:bookmarkEnd w:id="3857"/>
      <w:bookmarkEnd w:id="3858"/>
      <w:bookmarkEnd w:id="3859"/>
      <w:bookmarkEnd w:id="3860"/>
      <w:bookmarkEnd w:id="3861"/>
      <w:bookmarkEnd w:id="3862"/>
      <w:bookmarkEnd w:id="3863"/>
      <w:bookmarkEnd w:id="3864"/>
      <w:bookmarkEnd w:id="3865"/>
      <w:bookmarkEnd w:id="3866"/>
      <w:bookmarkEnd w:id="3867"/>
      <w:bookmarkEnd w:id="3868"/>
      <w:r w:rsidR="00F43C23" w:rsidRPr="009448FC">
        <w:t xml:space="preserve"> </w:t>
      </w:r>
    </w:p>
    <w:p w:rsidR="005C70D5" w:rsidRDefault="00F43C23" w:rsidP="001C4D1C">
      <w:pPr>
        <w:autoSpaceDE w:val="0"/>
        <w:autoSpaceDN w:val="0"/>
        <w:adjustRightInd w:val="0"/>
      </w:pPr>
      <w:r w:rsidRPr="009448FC">
        <w:t>Beam refinement is a process where a STA can improve its antenna configuration (or antenna weight vectors) both for transmission and reception.</w:t>
      </w:r>
      <w:r w:rsidR="00281486" w:rsidRPr="009448FC">
        <w:t xml:space="preserve"> </w:t>
      </w:r>
      <w:r w:rsidRPr="009448FC">
        <w:t xml:space="preserve">If the SLS beamforming training did not include a RSS, as in the case where both devices have more than one </w:t>
      </w:r>
      <w:r w:rsidR="00F27743">
        <w:t xml:space="preserve">transmit </w:t>
      </w:r>
      <w:r w:rsidRPr="009448FC">
        <w:t xml:space="preserve">sector per antenna, beam refinement </w:t>
      </w:r>
      <w:r w:rsidR="005C70D5">
        <w:t>can</w:t>
      </w:r>
      <w:r w:rsidR="005C70D5" w:rsidRPr="009448FC">
        <w:t xml:space="preserve"> </w:t>
      </w:r>
      <w:r w:rsidRPr="009448FC">
        <w:t>serve</w:t>
      </w:r>
      <w:r w:rsidR="00F27743">
        <w:t xml:space="preserve"> </w:t>
      </w:r>
      <w:r w:rsidRPr="009448FC">
        <w:t>as the first receive antenna configuration training.</w:t>
      </w:r>
      <w:r w:rsidR="00281486" w:rsidRPr="009448FC">
        <w:t xml:space="preserve"> </w:t>
      </w:r>
      <w:r w:rsidRPr="009448FC">
        <w:t>The procedure of beam refinement is described in</w:t>
      </w:r>
      <w:r w:rsidR="001C4D1C">
        <w:t xml:space="preserve"> </w:t>
      </w:r>
      <w:r w:rsidR="00BD151C">
        <w:fldChar w:fldCharType="begin"/>
      </w:r>
      <w:r w:rsidR="00BE1852">
        <w:instrText xml:space="preserve"> REF _Ref255748041 \r \h </w:instrText>
      </w:r>
      <w:r w:rsidR="00BD151C">
        <w:fldChar w:fldCharType="separate"/>
      </w:r>
      <w:r w:rsidR="003E4210">
        <w:t>9.25.5.3</w:t>
      </w:r>
      <w:r w:rsidR="00BD151C">
        <w:fldChar w:fldCharType="end"/>
      </w:r>
      <w:r w:rsidRPr="009448FC">
        <w:t>.</w:t>
      </w:r>
    </w:p>
    <w:p w:rsidR="005C70D5" w:rsidRDefault="005C70D5" w:rsidP="001C4D1C">
      <w:pPr>
        <w:autoSpaceDE w:val="0"/>
        <w:autoSpaceDN w:val="0"/>
        <w:adjustRightInd w:val="0"/>
      </w:pPr>
    </w:p>
    <w:p w:rsidR="00F43C23" w:rsidRPr="009448FC" w:rsidRDefault="00F43C23" w:rsidP="001C4D1C">
      <w:pPr>
        <w:autoSpaceDE w:val="0"/>
        <w:autoSpaceDN w:val="0"/>
        <w:adjustRightInd w:val="0"/>
      </w:pPr>
      <w:r w:rsidRPr="009448FC">
        <w:t xml:space="preserve">In the beam refinement procedure, beam refinement </w:t>
      </w:r>
      <w:r w:rsidR="001E1BA5" w:rsidRPr="009448FC">
        <w:t xml:space="preserve">(BRP) </w:t>
      </w:r>
      <w:r w:rsidRPr="009448FC">
        <w:t>packets are used to train the receiver and transmitter antenna.</w:t>
      </w:r>
      <w:r w:rsidR="00281486" w:rsidRPr="009448FC">
        <w:t xml:space="preserve"> </w:t>
      </w:r>
      <w:r w:rsidRPr="009448FC">
        <w:t>BRP-RX packets are packets that have training sequences appended to them.</w:t>
      </w:r>
      <w:r w:rsidR="00281486" w:rsidRPr="009448FC">
        <w:t xml:space="preserve"> </w:t>
      </w:r>
      <w:r w:rsidRPr="009448FC">
        <w:t>These packets enable receiver antenna weight vector training.</w:t>
      </w:r>
      <w:r w:rsidR="00281486" w:rsidRPr="009448FC">
        <w:t xml:space="preserve"> </w:t>
      </w:r>
      <w:r w:rsidRPr="009448FC">
        <w:t>BRP-TX packets are packets that have training sequences appended to them.</w:t>
      </w:r>
      <w:r w:rsidR="00281486" w:rsidRPr="009448FC">
        <w:t xml:space="preserve"> </w:t>
      </w:r>
      <w:r w:rsidRPr="009448FC">
        <w:t>The transmitting STA may change antenna configuration at the beginning of each sequence.</w:t>
      </w:r>
      <w:r w:rsidR="00281486" w:rsidRPr="009448FC">
        <w:t xml:space="preserve"> </w:t>
      </w:r>
      <w:r w:rsidRPr="009448FC">
        <w:t>The receiving STA performs measurements on these sequence</w:t>
      </w:r>
      <w:r w:rsidR="00F27743">
        <w:t xml:space="preserve">s </w:t>
      </w:r>
      <w:r w:rsidRPr="009448FC">
        <w:t xml:space="preserve">and sends feedback to the STA that transmits the BRP-TX packet. </w:t>
      </w:r>
    </w:p>
    <w:p w:rsidR="00F43C23" w:rsidRPr="009448FC" w:rsidRDefault="00F43C23" w:rsidP="00F43C23"/>
    <w:p w:rsidR="00F05EE6" w:rsidRDefault="00F05EE6" w:rsidP="003701DB">
      <w:pPr>
        <w:pStyle w:val="Heading5"/>
        <w:keepNext w:val="0"/>
        <w:numPr>
          <w:ilvl w:val="4"/>
          <w:numId w:val="42"/>
        </w:numPr>
        <w:tabs>
          <w:tab w:val="clear" w:pos="1152"/>
        </w:tabs>
        <w:spacing w:after="60"/>
        <w:jc w:val="left"/>
      </w:pPr>
      <w:bookmarkStart w:id="3869" w:name="_Toc225757137"/>
      <w:bookmarkStart w:id="3870" w:name="_Toc225757139"/>
      <w:bookmarkStart w:id="3871" w:name="_Toc225757141"/>
      <w:bookmarkStart w:id="3872" w:name="_Toc225757143"/>
      <w:bookmarkStart w:id="3873" w:name="_Toc225757145"/>
      <w:bookmarkStart w:id="3874" w:name="_Toc225757146"/>
      <w:bookmarkStart w:id="3875" w:name="_Toc225757147"/>
      <w:bookmarkStart w:id="3876" w:name="_Toc225757150"/>
      <w:bookmarkStart w:id="3877" w:name="_Toc225757151"/>
      <w:bookmarkStart w:id="3878" w:name="_Toc225757152"/>
      <w:bookmarkStart w:id="3879" w:name="_Toc225757153"/>
      <w:bookmarkStart w:id="3880" w:name="_Toc225757156"/>
      <w:bookmarkStart w:id="3881" w:name="_Toc225757158"/>
      <w:bookmarkStart w:id="3882" w:name="_Toc225757160"/>
      <w:bookmarkStart w:id="3883" w:name="_Toc225757162"/>
      <w:bookmarkStart w:id="3884" w:name="_Toc225757164"/>
      <w:bookmarkStart w:id="3885" w:name="_Toc225757170"/>
      <w:bookmarkStart w:id="3886" w:name="_Toc225757172"/>
      <w:bookmarkStart w:id="3887" w:name="_Toc225757176"/>
      <w:bookmarkStart w:id="3888" w:name="_Toc225757180"/>
      <w:bookmarkStart w:id="3889" w:name="_Toc225757181"/>
      <w:bookmarkStart w:id="3890" w:name="_Toc225757183"/>
      <w:bookmarkStart w:id="3891" w:name="_Toc215555149"/>
      <w:bookmarkStart w:id="3892" w:name="_Toc215583063"/>
      <w:bookmarkStart w:id="3893" w:name="_Toc225757186"/>
      <w:bookmarkStart w:id="3894" w:name="_Toc225757190"/>
      <w:bookmarkStart w:id="3895" w:name="_Toc225757192"/>
      <w:bookmarkStart w:id="3896" w:name="_Toc225757194"/>
      <w:bookmarkStart w:id="3897" w:name="_Toc225757197"/>
      <w:bookmarkStart w:id="3898" w:name="_Toc225757198"/>
      <w:bookmarkStart w:id="3899" w:name="_Toc225757201"/>
      <w:bookmarkStart w:id="3900" w:name="_Toc225757204"/>
      <w:bookmarkStart w:id="3901" w:name="_Toc225757206"/>
      <w:bookmarkStart w:id="3902" w:name="_Toc225757208"/>
      <w:bookmarkStart w:id="3903" w:name="_Toc225757210"/>
      <w:bookmarkStart w:id="3904" w:name="_Toc225757212"/>
      <w:bookmarkStart w:id="3905" w:name="_Toc225757214"/>
      <w:bookmarkStart w:id="3906" w:name="_Toc225757215"/>
      <w:bookmarkStart w:id="3907" w:name="_Toc225757218"/>
      <w:bookmarkStart w:id="3908" w:name="_Toc225757219"/>
      <w:bookmarkStart w:id="3909" w:name="_Toc225757221"/>
      <w:bookmarkStart w:id="3910" w:name="_Toc225757222"/>
      <w:bookmarkStart w:id="3911" w:name="_Toc225757224"/>
      <w:bookmarkStart w:id="3912" w:name="_Toc225757227"/>
      <w:bookmarkStart w:id="3913" w:name="_Toc225757230"/>
      <w:bookmarkStart w:id="3914" w:name="_Toc225757232"/>
      <w:bookmarkStart w:id="3915" w:name="_Toc235400751"/>
      <w:bookmarkStart w:id="3916" w:name="_Toc259717413"/>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r w:rsidRPr="009448FC">
        <w:t xml:space="preserve">Beam </w:t>
      </w:r>
      <w:r w:rsidR="001F6942">
        <w:t>r</w:t>
      </w:r>
      <w:r w:rsidRPr="009448FC">
        <w:t>efinement packet structure</w:t>
      </w:r>
      <w:bookmarkEnd w:id="3915"/>
      <w:bookmarkEnd w:id="3916"/>
    </w:p>
    <w:p w:rsidR="001F6942" w:rsidRDefault="001F6942" w:rsidP="001F6942">
      <w:pPr>
        <w:pStyle w:val="NormalIndent"/>
        <w:ind w:left="0"/>
      </w:pPr>
    </w:p>
    <w:p w:rsidR="001F6942" w:rsidRPr="009448FC" w:rsidRDefault="001F6942" w:rsidP="001F6942">
      <w:r w:rsidRPr="009448FC">
        <w:t>Each Beam Refinement packet is composed of a</w:t>
      </w:r>
      <w:r>
        <w:t>n</w:t>
      </w:r>
      <w:r w:rsidRPr="009448FC">
        <w:t xml:space="preserve"> </w:t>
      </w:r>
      <w:r>
        <w:t>MPDU, A-MPDU or MMPDU</w:t>
      </w:r>
      <w:r w:rsidRPr="009448FC">
        <w:t xml:space="preserve"> followed by a training field containing an AGC training field and a receiver training field.</w:t>
      </w:r>
    </w:p>
    <w:p w:rsidR="001F6942" w:rsidRPr="001F6942" w:rsidRDefault="001F6942" w:rsidP="001F6942">
      <w:pPr>
        <w:pStyle w:val="NormalIndent"/>
        <w:ind w:left="0"/>
      </w:pPr>
    </w:p>
    <w:p w:rsidR="00F43C23" w:rsidRPr="009448FC" w:rsidRDefault="00F05EE6" w:rsidP="00F43C23">
      <w:pPr>
        <w:keepNext/>
        <w:jc w:val="center"/>
      </w:pPr>
      <w:r w:rsidRPr="009448FC">
        <w:object w:dxaOrig="9127" w:dyaOrig="1555">
          <v:shape id="_x0000_i1249" type="#_x0000_t75" style="width:6in;height:73.35pt" o:ole="">
            <v:imagedata r:id="rId538" o:title=""/>
          </v:shape>
          <o:OLEObject Type="Embed" ProgID="Visio.Drawing.11" ShapeID="_x0000_i1249" DrawAspect="Content" ObjectID="_1334048428" r:id="rId539"/>
        </w:object>
      </w:r>
    </w:p>
    <w:p w:rsidR="00F05EE6" w:rsidRPr="00066F65" w:rsidRDefault="00F43C23" w:rsidP="00BA5BC4">
      <w:pPr>
        <w:pStyle w:val="Caption"/>
      </w:pPr>
      <w:bookmarkStart w:id="3917" w:name="_Toc259717578"/>
      <w:r w:rsidRPr="00066F65">
        <w:t xml:space="preserve">Figure </w:t>
      </w:r>
      <w:r w:rsidR="00BD151C">
        <w:fldChar w:fldCharType="begin"/>
      </w:r>
      <w:r w:rsidR="00801316">
        <w:instrText xml:space="preserve"> SEQ Figure \* ARABIC </w:instrText>
      </w:r>
      <w:r w:rsidR="00BD151C">
        <w:fldChar w:fldCharType="separate"/>
      </w:r>
      <w:r w:rsidR="003E4210">
        <w:rPr>
          <w:noProof/>
        </w:rPr>
        <w:t>146</w:t>
      </w:r>
      <w:r w:rsidR="00BD151C">
        <w:fldChar w:fldCharType="end"/>
      </w:r>
      <w:r w:rsidRPr="00066F65">
        <w:t xml:space="preserve"> </w:t>
      </w:r>
      <w:r w:rsidR="00112F8C" w:rsidRPr="00066F65">
        <w:t xml:space="preserve">– </w:t>
      </w:r>
      <w:r w:rsidRPr="00066F65">
        <w:t>Beam refinement packet structure</w:t>
      </w:r>
      <w:bookmarkEnd w:id="3917"/>
      <w:r w:rsidRPr="00066F65">
        <w:t xml:space="preserve"> </w:t>
      </w:r>
    </w:p>
    <w:p w:rsidR="001622ED" w:rsidRPr="009448FC" w:rsidRDefault="001622ED" w:rsidP="00F43C23"/>
    <w:p w:rsidR="00F05EE6" w:rsidRPr="009448FC" w:rsidRDefault="00F05EE6" w:rsidP="00F05EE6">
      <w:r w:rsidRPr="009448FC">
        <w:t>In the BRP-RX/TX packets in the first beam refinement iteration, the transmitter uses the AWV based on the best sector feedback from the TX sector sweep for transmission of the data.</w:t>
      </w:r>
      <w:r w:rsidR="00EE1100" w:rsidRPr="009448FC">
        <w:t xml:space="preserve"> </w:t>
      </w:r>
      <w:r w:rsidRPr="009448FC">
        <w:t xml:space="preserve">The receiver should receive that data part of the packet using a quasi-omni </w:t>
      </w:r>
      <w:r w:rsidR="00CC21E9" w:rsidRPr="009448FC">
        <w:t>antenna</w:t>
      </w:r>
      <w:r w:rsidR="00281486" w:rsidRPr="009448FC">
        <w:t xml:space="preserve"> </w:t>
      </w:r>
      <w:r w:rsidRPr="009448FC">
        <w:t>pattern.</w:t>
      </w:r>
    </w:p>
    <w:p w:rsidR="001622ED" w:rsidRPr="009448FC" w:rsidRDefault="001622ED" w:rsidP="00F05EE6"/>
    <w:p w:rsidR="00F05EE6" w:rsidRPr="009448FC" w:rsidRDefault="00F05EE6" w:rsidP="00F05EE6">
      <w:r w:rsidRPr="009448FC">
        <w:t>In the BRP-TX/TX packets in the second and further beam refinement iterations, the transmitter uses AWV based on feedback from previous beam refinement iterations.</w:t>
      </w:r>
      <w:r w:rsidR="00B63F3C" w:rsidRPr="009448FC">
        <w:t xml:space="preserve"> </w:t>
      </w:r>
      <w:r w:rsidRPr="009448FC">
        <w:t>The receiver should use the best AWV based on previous BRP-RX packets.</w:t>
      </w:r>
    </w:p>
    <w:p w:rsidR="009853F0" w:rsidRPr="009448FC" w:rsidRDefault="009853F0" w:rsidP="00F05EE6"/>
    <w:p w:rsidR="009853F0" w:rsidRPr="009448FC" w:rsidRDefault="009853F0" w:rsidP="001E1BA5">
      <w:pPr>
        <w:autoSpaceDE w:val="0"/>
        <w:autoSpaceDN w:val="0"/>
        <w:adjustRightInd w:val="0"/>
        <w:jc w:val="both"/>
      </w:pPr>
      <w:r w:rsidRPr="009448FC">
        <w:t xml:space="preserve">In the BRP-RX packets in the MID and BC </w:t>
      </w:r>
      <w:r w:rsidR="001E1BA5">
        <w:t>sub-phases</w:t>
      </w:r>
      <w:r w:rsidRPr="009448FC">
        <w:t>, the transmitter uses the AWV based on the best sector feedback from the TX sector sweep</w:t>
      </w:r>
      <w:r w:rsidRPr="009448FC">
        <w:rPr>
          <w:rFonts w:hint="eastAsia"/>
        </w:rPr>
        <w:t xml:space="preserve"> or a TX sector where a signal is detected in TX sector sweep </w:t>
      </w:r>
      <w:r w:rsidRPr="009448FC">
        <w:t>for transmission of the data. The receiver should receive that data part of the packet using a quasi-omni antenna pattern.</w:t>
      </w:r>
    </w:p>
    <w:p w:rsidR="00F05EE6" w:rsidRPr="00066F65" w:rsidRDefault="00F05EE6" w:rsidP="00F05EE6">
      <w:pPr>
        <w:rPr>
          <w:u w:val="single"/>
        </w:rPr>
      </w:pPr>
    </w:p>
    <w:p w:rsidR="00F05EE6" w:rsidRPr="009448FC" w:rsidRDefault="00F05EE6" w:rsidP="003701DB">
      <w:pPr>
        <w:pStyle w:val="Heading5"/>
        <w:keepNext w:val="0"/>
        <w:numPr>
          <w:ilvl w:val="4"/>
          <w:numId w:val="42"/>
        </w:numPr>
        <w:tabs>
          <w:tab w:val="clear" w:pos="1152"/>
        </w:tabs>
        <w:spacing w:after="60"/>
        <w:jc w:val="left"/>
      </w:pPr>
      <w:bookmarkStart w:id="3918" w:name="_Ref225238451"/>
      <w:bookmarkStart w:id="3919" w:name="_Toc235400752"/>
      <w:bookmarkStart w:id="3920" w:name="_Toc259717414"/>
      <w:r w:rsidRPr="009448FC">
        <w:t xml:space="preserve">Beam Refinement </w:t>
      </w:r>
      <w:r w:rsidR="00CE0426">
        <w:t>p</w:t>
      </w:r>
      <w:r w:rsidR="00CE0426" w:rsidRPr="009448FC">
        <w:t xml:space="preserve">acket </w:t>
      </w:r>
      <w:r w:rsidRPr="009448FC">
        <w:t>header fields</w:t>
      </w:r>
      <w:bookmarkEnd w:id="3918"/>
      <w:bookmarkEnd w:id="3919"/>
      <w:bookmarkEnd w:id="3920"/>
    </w:p>
    <w:p w:rsidR="00F05EE6" w:rsidRPr="009448FC" w:rsidRDefault="00F05EE6" w:rsidP="00F05EE6">
      <w:r w:rsidRPr="009448FC">
        <w:t xml:space="preserve">The packet type and </w:t>
      </w:r>
      <w:r w:rsidR="00CE0426">
        <w:t>t</w:t>
      </w:r>
      <w:r w:rsidR="00CE0426" w:rsidRPr="009448FC">
        <w:t xml:space="preserve">raining </w:t>
      </w:r>
      <w:r w:rsidRPr="009448FC">
        <w:t xml:space="preserve">length </w:t>
      </w:r>
      <w:r w:rsidR="00CE0426">
        <w:t xml:space="preserve">fields </w:t>
      </w:r>
      <w:r w:rsidRPr="009448FC">
        <w:t xml:space="preserve">present </w:t>
      </w:r>
      <w:r w:rsidR="00CE0426">
        <w:t>within</w:t>
      </w:r>
      <w:r w:rsidR="00CE0426" w:rsidRPr="009448FC">
        <w:t xml:space="preserve"> </w:t>
      </w:r>
      <w:r w:rsidRPr="009448FC">
        <w:t>the SC header and control PHY header are used to indicate</w:t>
      </w:r>
      <w:r w:rsidR="00CE0426">
        <w:t>, respectively,</w:t>
      </w:r>
      <w:r w:rsidRPr="009448FC">
        <w:t xml:space="preserve"> that </w:t>
      </w:r>
      <w:r w:rsidR="00CE0426">
        <w:t>a</w:t>
      </w:r>
      <w:r w:rsidR="00CE0426" w:rsidRPr="009448FC">
        <w:t xml:space="preserve"> </w:t>
      </w:r>
      <w:r w:rsidRPr="009448FC">
        <w:t>packet is beam refinement packet and the length of the training fields.</w:t>
      </w:r>
    </w:p>
    <w:p w:rsidR="00BD1721" w:rsidRPr="009448FC" w:rsidRDefault="00BD1721" w:rsidP="00F05EE6"/>
    <w:p w:rsidR="00F05EE6" w:rsidRPr="009448FC" w:rsidRDefault="00F05EE6" w:rsidP="000D3F01">
      <w:r w:rsidRPr="009448FC">
        <w:t>A value of 0x</w:t>
      </w:r>
      <w:r w:rsidR="000D3F01" w:rsidRPr="009448FC">
        <w:t>0</w:t>
      </w:r>
      <w:r w:rsidR="004878B6">
        <w:t xml:space="preserve"> </w:t>
      </w:r>
      <w:r w:rsidRPr="009448FC">
        <w:t>in the packet type field indicates a BRP-RX packet (TRN-R field is present)</w:t>
      </w:r>
      <w:r w:rsidR="00BD1721" w:rsidRPr="009448FC">
        <w:t>.</w:t>
      </w:r>
    </w:p>
    <w:p w:rsidR="00BD1721" w:rsidRPr="009448FC" w:rsidRDefault="00BD1721" w:rsidP="00F05EE6"/>
    <w:p w:rsidR="00F05EE6" w:rsidRPr="009448FC" w:rsidRDefault="00F05EE6" w:rsidP="000D3F01">
      <w:r w:rsidRPr="009448FC">
        <w:t>A value of 0x</w:t>
      </w:r>
      <w:r w:rsidR="000D3F01" w:rsidRPr="009448FC">
        <w:t>1</w:t>
      </w:r>
      <w:r w:rsidR="004878B6">
        <w:t xml:space="preserve"> </w:t>
      </w:r>
      <w:r w:rsidRPr="009448FC">
        <w:t>in the packet type field indicates a BRP-TX packet (TRN-T field is present).</w:t>
      </w:r>
    </w:p>
    <w:p w:rsidR="00BD1721" w:rsidRPr="009448FC" w:rsidRDefault="00BD1721" w:rsidP="00F05EE6"/>
    <w:p w:rsidR="00F05EE6" w:rsidRPr="009448FC" w:rsidRDefault="00F05EE6" w:rsidP="00F05EE6">
      <w:r w:rsidRPr="009448FC">
        <w:t xml:space="preserve">A value of </w:t>
      </w:r>
      <w:r w:rsidRPr="009448FC">
        <w:rPr>
          <w:i/>
        </w:rPr>
        <w:t>N</w:t>
      </w:r>
      <w:r w:rsidRPr="009448FC">
        <w:t xml:space="preserve"> in the training length field indicates that the AGC has 4</w:t>
      </w:r>
      <w:r w:rsidRPr="009448FC">
        <w:rPr>
          <w:i/>
        </w:rPr>
        <w:t xml:space="preserve">N </w:t>
      </w:r>
      <w:r w:rsidRPr="009448FC">
        <w:t>subfields and that the TRN-R/T field has 5</w:t>
      </w:r>
      <w:r w:rsidRPr="009448FC">
        <w:rPr>
          <w:i/>
        </w:rPr>
        <w:t>N</w:t>
      </w:r>
      <w:r w:rsidRPr="009448FC">
        <w:t xml:space="preserve"> subfields.</w:t>
      </w:r>
    </w:p>
    <w:p w:rsidR="00BD1721" w:rsidRPr="009448FC" w:rsidRDefault="00BD1721" w:rsidP="00D15F45"/>
    <w:p w:rsidR="00F05EE6" w:rsidRPr="009448FC" w:rsidRDefault="00F05EE6" w:rsidP="008D3912">
      <w:r w:rsidRPr="009448FC">
        <w:t xml:space="preserve">The value </w:t>
      </w:r>
      <w:r w:rsidRPr="009448FC">
        <w:rPr>
          <w:i/>
        </w:rPr>
        <w:t>N</w:t>
      </w:r>
      <w:r w:rsidRPr="009448FC">
        <w:t xml:space="preserve"> in the training length field of a BRP-RX packet is equal to </w:t>
      </w:r>
      <w:r w:rsidR="00BD1721" w:rsidRPr="009448FC">
        <w:t xml:space="preserve">the </w:t>
      </w:r>
      <w:r w:rsidRPr="009448FC">
        <w:t xml:space="preserve">value </w:t>
      </w:r>
      <w:r w:rsidR="00BD1721" w:rsidRPr="009448FC">
        <w:t xml:space="preserve">of the </w:t>
      </w:r>
      <w:r w:rsidRPr="009448FC">
        <w:t>L-RX</w:t>
      </w:r>
      <w:r w:rsidR="00BD1721" w:rsidRPr="009448FC">
        <w:t xml:space="preserve"> field</w:t>
      </w:r>
      <w:r w:rsidRPr="009448FC">
        <w:t xml:space="preserve"> requested by the intended receiver of the BRP-RX packet at a </w:t>
      </w:r>
      <w:r w:rsidR="008D3912" w:rsidRPr="008D3912">
        <w:t>previously received BRP request field</w:t>
      </w:r>
      <w:r w:rsidRPr="009448FC">
        <w:t xml:space="preserve"> (see</w:t>
      </w:r>
      <w:r w:rsidR="008D3912">
        <w:t xml:space="preserve"> 7.3a.4</w:t>
      </w:r>
      <w:r w:rsidRPr="009448FC">
        <w:t>).</w:t>
      </w:r>
    </w:p>
    <w:p w:rsidR="001622ED" w:rsidRPr="009448FC" w:rsidRDefault="001622ED" w:rsidP="00BD1721"/>
    <w:p w:rsidR="00F05EE6" w:rsidRPr="001E1BA5" w:rsidRDefault="00CE0426" w:rsidP="001E1BA5">
      <w:r>
        <w:t>T</w:t>
      </w:r>
      <w:r w:rsidRPr="001E1BA5">
        <w:t xml:space="preserve">he </w:t>
      </w:r>
      <w:r w:rsidR="001E1BA5" w:rsidRPr="001E1BA5">
        <w:t xml:space="preserve">value </w:t>
      </w:r>
      <w:r w:rsidR="009D537D" w:rsidRPr="009D537D">
        <w:rPr>
          <w:i/>
        </w:rPr>
        <w:t>N</w:t>
      </w:r>
      <w:r w:rsidR="001E1BA5" w:rsidRPr="001E1BA5">
        <w:t xml:space="preserve"> in the training length field of a BRP-TX packet is equal to number TRN-T subfields that will be added to the packet, divided by 4</w:t>
      </w:r>
      <w:r w:rsidR="001E1BA5">
        <w:t>.</w:t>
      </w:r>
      <w:r w:rsidR="00BE1F31">
        <w:t xml:space="preserve"> </w:t>
      </w:r>
      <w:r w:rsidR="00522E7F" w:rsidRPr="00066F65">
        <w:rPr>
          <w:b/>
          <w:i/>
          <w:color w:val="FF0000"/>
          <w:u w:val="single"/>
        </w:rPr>
        <w:t xml:space="preserve"> </w:t>
      </w:r>
    </w:p>
    <w:p w:rsidR="00F05EE6" w:rsidRPr="009448FC" w:rsidRDefault="00F05EE6" w:rsidP="003701DB">
      <w:pPr>
        <w:pStyle w:val="Heading5"/>
        <w:keepNext w:val="0"/>
        <w:numPr>
          <w:ilvl w:val="4"/>
          <w:numId w:val="42"/>
        </w:numPr>
        <w:tabs>
          <w:tab w:val="clear" w:pos="1152"/>
        </w:tabs>
        <w:spacing w:after="60"/>
        <w:jc w:val="left"/>
      </w:pPr>
      <w:bookmarkStart w:id="3921" w:name="_Toc235400753"/>
      <w:bookmarkStart w:id="3922" w:name="_Toc259717415"/>
      <w:r w:rsidRPr="009448FC">
        <w:lastRenderedPageBreak/>
        <w:t>Beam Refinement AGC field</w:t>
      </w:r>
      <w:bookmarkEnd w:id="3921"/>
      <w:bookmarkEnd w:id="3922"/>
      <w:r w:rsidR="00BB4938" w:rsidRPr="009448FC">
        <w:t xml:space="preserve"> </w:t>
      </w:r>
    </w:p>
    <w:p w:rsidR="00BB4938" w:rsidRPr="009448FC" w:rsidRDefault="00BB4938" w:rsidP="00E8101F">
      <w:pPr>
        <w:autoSpaceDE w:val="0"/>
        <w:autoSpaceDN w:val="0"/>
        <w:adjustRightInd w:val="0"/>
        <w:rPr>
          <w:rFonts w:eastAsia="Batang"/>
        </w:rPr>
      </w:pPr>
      <w:r w:rsidRPr="009448FC">
        <w:rPr>
          <w:rFonts w:eastAsia="Batang"/>
        </w:rPr>
        <w:t>The beam refinement AGC fields are composed of 4</w:t>
      </w:r>
      <w:r w:rsidRPr="009448FC">
        <w:rPr>
          <w:rFonts w:eastAsia="Batang"/>
          <w:i/>
        </w:rPr>
        <w:t xml:space="preserve">N </w:t>
      </w:r>
      <w:r w:rsidRPr="009448FC">
        <w:rPr>
          <w:rFonts w:eastAsia="Batang"/>
        </w:rPr>
        <w:t>repetitions of the sequence [Ga</w:t>
      </w:r>
      <w:r w:rsidRPr="009448FC">
        <w:rPr>
          <w:rFonts w:eastAsia="Batang"/>
          <w:vertAlign w:val="subscript"/>
        </w:rPr>
        <w:t>64</w:t>
      </w:r>
      <w:r w:rsidRPr="009448FC">
        <w:rPr>
          <w:rFonts w:eastAsia="Batang"/>
        </w:rPr>
        <w:t xml:space="preserve"> Ga</w:t>
      </w:r>
      <w:r w:rsidRPr="009448FC">
        <w:rPr>
          <w:rFonts w:eastAsia="Batang"/>
          <w:vertAlign w:val="subscript"/>
        </w:rPr>
        <w:t>64</w:t>
      </w:r>
      <w:r w:rsidR="00281486" w:rsidRPr="009448FC">
        <w:rPr>
          <w:rFonts w:eastAsia="Batang"/>
        </w:rPr>
        <w:t xml:space="preserve"> </w:t>
      </w:r>
      <w:r w:rsidRPr="009448FC">
        <w:rPr>
          <w:rFonts w:eastAsia="Batang"/>
        </w:rPr>
        <w:t>Ga</w:t>
      </w:r>
      <w:r w:rsidRPr="009448FC">
        <w:rPr>
          <w:rFonts w:eastAsia="Batang"/>
          <w:vertAlign w:val="subscript"/>
        </w:rPr>
        <w:t>64</w:t>
      </w:r>
      <w:r w:rsidRPr="009448FC">
        <w:rPr>
          <w:rFonts w:eastAsia="Batang"/>
        </w:rPr>
        <w:t xml:space="preserve"> Ga</w:t>
      </w:r>
      <w:r w:rsidRPr="009448FC">
        <w:rPr>
          <w:rFonts w:eastAsia="Batang"/>
          <w:vertAlign w:val="subscript"/>
        </w:rPr>
        <w:t xml:space="preserve">64 </w:t>
      </w:r>
      <w:r w:rsidRPr="009448FC">
        <w:rPr>
          <w:rFonts w:eastAsia="Batang"/>
        </w:rPr>
        <w:t>] when the packet is transmitted using the OFDM or SC PHY and [Gb</w:t>
      </w:r>
      <w:r w:rsidRPr="009448FC">
        <w:rPr>
          <w:rFonts w:eastAsia="Batang"/>
          <w:vertAlign w:val="subscript"/>
        </w:rPr>
        <w:t>64</w:t>
      </w:r>
      <w:r w:rsidRPr="009448FC">
        <w:rPr>
          <w:rFonts w:eastAsia="Batang"/>
        </w:rPr>
        <w:t xml:space="preserve"> Gb</w:t>
      </w:r>
      <w:r w:rsidRPr="009448FC">
        <w:rPr>
          <w:rFonts w:eastAsia="Batang"/>
          <w:vertAlign w:val="subscript"/>
        </w:rPr>
        <w:t>64</w:t>
      </w:r>
      <w:r w:rsidRPr="009448FC">
        <w:rPr>
          <w:rFonts w:eastAsia="Batang"/>
        </w:rPr>
        <w:t xml:space="preserve"> Gb</w:t>
      </w:r>
      <w:r w:rsidRPr="009448FC">
        <w:rPr>
          <w:rFonts w:eastAsia="Batang"/>
          <w:vertAlign w:val="subscript"/>
        </w:rPr>
        <w:t>64</w:t>
      </w:r>
      <w:r w:rsidR="00281486" w:rsidRPr="009448FC">
        <w:rPr>
          <w:rFonts w:eastAsia="Batang"/>
        </w:rPr>
        <w:t xml:space="preserve"> </w:t>
      </w:r>
      <w:r w:rsidRPr="009448FC">
        <w:rPr>
          <w:rFonts w:eastAsia="Batang"/>
        </w:rPr>
        <w:t>Gb</w:t>
      </w:r>
      <w:r w:rsidRPr="009448FC">
        <w:rPr>
          <w:rFonts w:eastAsia="Batang"/>
          <w:vertAlign w:val="subscript"/>
        </w:rPr>
        <w:t>64</w:t>
      </w:r>
      <w:r w:rsidRPr="009448FC">
        <w:rPr>
          <w:rFonts w:eastAsia="Batang"/>
        </w:rPr>
        <w:t xml:space="preserve"> ] when the packet is transmitted using the Control PHY.</w:t>
      </w:r>
      <w:r w:rsidR="00281486" w:rsidRPr="009448FC">
        <w:rPr>
          <w:rFonts w:eastAsia="Batang"/>
        </w:rPr>
        <w:t xml:space="preserve"> </w:t>
      </w:r>
      <w:r w:rsidRPr="009448FC">
        <w:rPr>
          <w:rFonts w:eastAsia="Batang"/>
        </w:rPr>
        <w:t>The sequences Ga</w:t>
      </w:r>
      <w:r w:rsidRPr="009448FC">
        <w:rPr>
          <w:rFonts w:eastAsia="Batang"/>
          <w:vertAlign w:val="subscript"/>
        </w:rPr>
        <w:t>64</w:t>
      </w:r>
      <w:r w:rsidR="00281486" w:rsidRPr="009448FC">
        <w:rPr>
          <w:rFonts w:eastAsia="Batang"/>
          <w:vertAlign w:val="subscript"/>
        </w:rPr>
        <w:t xml:space="preserve"> </w:t>
      </w:r>
      <w:r w:rsidRPr="009448FC">
        <w:rPr>
          <w:rFonts w:eastAsia="Batang"/>
        </w:rPr>
        <w:t>and Gb</w:t>
      </w:r>
      <w:r w:rsidRPr="009448FC">
        <w:rPr>
          <w:rFonts w:eastAsia="Batang"/>
          <w:vertAlign w:val="subscript"/>
        </w:rPr>
        <w:t>64</w:t>
      </w:r>
      <w:r w:rsidRPr="009448FC">
        <w:rPr>
          <w:rFonts w:eastAsia="Batang"/>
        </w:rPr>
        <w:t xml:space="preserve"> are </w:t>
      </w:r>
      <w:r w:rsidR="00E8101F" w:rsidRPr="009448FC">
        <w:rPr>
          <w:rFonts w:eastAsia="Batang"/>
        </w:rPr>
        <w:t xml:space="preserve">defined in </w:t>
      </w:r>
      <w:r w:rsidR="00BD151C" w:rsidRPr="009448FC">
        <w:rPr>
          <w:rFonts w:eastAsia="Batang"/>
        </w:rPr>
        <w:fldChar w:fldCharType="begin"/>
      </w:r>
      <w:r w:rsidR="00E8101F" w:rsidRPr="009448FC">
        <w:rPr>
          <w:rFonts w:eastAsia="Batang"/>
        </w:rPr>
        <w:instrText xml:space="preserve"> REF _Ref228173952 \r \h </w:instrText>
      </w:r>
      <w:r w:rsidR="00BD151C" w:rsidRPr="009448FC">
        <w:rPr>
          <w:rFonts w:eastAsia="Batang"/>
        </w:rPr>
      </w:r>
      <w:r w:rsidR="00BD151C" w:rsidRPr="009448FC">
        <w:rPr>
          <w:rFonts w:eastAsia="Batang"/>
        </w:rPr>
        <w:fldChar w:fldCharType="separate"/>
      </w:r>
      <w:r w:rsidR="003E4210">
        <w:rPr>
          <w:rFonts w:eastAsia="Batang"/>
        </w:rPr>
        <w:t>21.9</w:t>
      </w:r>
      <w:r w:rsidR="00BD151C" w:rsidRPr="009448FC">
        <w:rPr>
          <w:rFonts w:eastAsia="Batang"/>
        </w:rPr>
        <w:fldChar w:fldCharType="end"/>
      </w:r>
      <w:r w:rsidRPr="009448FC">
        <w:rPr>
          <w:rFonts w:eastAsia="Batang"/>
        </w:rPr>
        <w:t>.</w:t>
      </w:r>
      <w:r w:rsidR="005515A4">
        <w:rPr>
          <w:rFonts w:eastAsia="Batang"/>
        </w:rPr>
        <w:t xml:space="preserve"> </w:t>
      </w:r>
      <w:r w:rsidR="009A367B" w:rsidRPr="009448FC">
        <w:rPr>
          <w:rFonts w:eastAsia="Batang"/>
        </w:rPr>
        <w:t xml:space="preserve">The sequences are transmitted using rotated </w:t>
      </w:r>
      <w:r w:rsidR="009A367B" w:rsidRPr="009448FC">
        <w:t>π/2-BPSK modulation.</w:t>
      </w:r>
      <w:r w:rsidR="00BE1F31">
        <w:t xml:space="preserve"> </w:t>
      </w:r>
    </w:p>
    <w:p w:rsidR="00BB4938" w:rsidRPr="009448FC" w:rsidRDefault="00BB4938" w:rsidP="00BB4938">
      <w:pPr>
        <w:autoSpaceDE w:val="0"/>
        <w:autoSpaceDN w:val="0"/>
        <w:adjustRightInd w:val="0"/>
        <w:rPr>
          <w:rFonts w:eastAsia="Batang"/>
        </w:rPr>
      </w:pPr>
    </w:p>
    <w:p w:rsidR="00BB4938" w:rsidRPr="009448FC" w:rsidRDefault="00BB4938" w:rsidP="00BB4938">
      <w:pPr>
        <w:autoSpaceDE w:val="0"/>
        <w:autoSpaceDN w:val="0"/>
        <w:adjustRightInd w:val="0"/>
        <w:rPr>
          <w:rFonts w:eastAsia="Batang"/>
        </w:rPr>
      </w:pPr>
      <w:r w:rsidRPr="009448FC">
        <w:rPr>
          <w:rFonts w:eastAsia="Batang"/>
        </w:rPr>
        <w:t>In a BRP-TX packet, the transmitter may change the TX AWV configuration at the beginning of</w:t>
      </w:r>
      <w:r w:rsidR="00CB4BB7" w:rsidRPr="009448FC">
        <w:rPr>
          <w:rFonts w:eastAsia="Batang"/>
        </w:rPr>
        <w:t xml:space="preserve"> </w:t>
      </w:r>
      <w:r w:rsidRPr="009448FC">
        <w:rPr>
          <w:rFonts w:eastAsia="Batang"/>
        </w:rPr>
        <w:t>each AGC field. In a BRP-RX packet, the transmitter shall use the same TX AWV as in the preamble and data fields of the packet.</w:t>
      </w:r>
    </w:p>
    <w:p w:rsidR="00F05EE6" w:rsidRPr="009448FC" w:rsidRDefault="00F05EE6" w:rsidP="00F05EE6"/>
    <w:p w:rsidR="00F05EE6" w:rsidRPr="009448FC" w:rsidRDefault="00F05EE6" w:rsidP="003701DB">
      <w:pPr>
        <w:pStyle w:val="Heading5"/>
        <w:keepNext w:val="0"/>
        <w:numPr>
          <w:ilvl w:val="4"/>
          <w:numId w:val="42"/>
        </w:numPr>
        <w:tabs>
          <w:tab w:val="clear" w:pos="1152"/>
        </w:tabs>
        <w:spacing w:after="60"/>
        <w:jc w:val="left"/>
      </w:pPr>
      <w:bookmarkStart w:id="3923" w:name="_Toc235400754"/>
      <w:bookmarkStart w:id="3924" w:name="_Toc259717416"/>
      <w:r w:rsidRPr="009448FC">
        <w:t>Beam Refinement TRN-R field</w:t>
      </w:r>
      <w:bookmarkEnd w:id="3923"/>
      <w:bookmarkEnd w:id="3924"/>
      <w:r w:rsidR="00022C45" w:rsidRPr="009448FC">
        <w:t xml:space="preserve"> </w:t>
      </w:r>
    </w:p>
    <w:p w:rsidR="00BB4938" w:rsidRPr="009448FC" w:rsidRDefault="00BB4938" w:rsidP="00BB4938">
      <w:pPr>
        <w:autoSpaceDE w:val="0"/>
        <w:autoSpaceDN w:val="0"/>
        <w:adjustRightInd w:val="0"/>
        <w:rPr>
          <w:rFonts w:eastAsia="Batang"/>
        </w:rPr>
      </w:pPr>
      <w:r w:rsidRPr="009448FC">
        <w:rPr>
          <w:rFonts w:eastAsia="Batang"/>
        </w:rPr>
        <w:t>The TRN-R fields enable receiver AWV training. All TRN-R fields are transmitted using the same TX AWV configuration as the preamble and data fields of the frame.</w:t>
      </w:r>
      <w:r w:rsidR="00281486" w:rsidRPr="009448FC">
        <w:rPr>
          <w:rFonts w:eastAsia="Batang"/>
        </w:rPr>
        <w:t xml:space="preserve"> </w:t>
      </w:r>
      <w:r w:rsidRPr="009448FC">
        <w:rPr>
          <w:rFonts w:eastAsia="Batang"/>
        </w:rPr>
        <w:t>The TRN-R fields will have the form:</w:t>
      </w:r>
    </w:p>
    <w:p w:rsidR="00BB4938" w:rsidRPr="009448FC" w:rsidRDefault="00BB4938" w:rsidP="00BB4938">
      <w:pPr>
        <w:autoSpaceDE w:val="0"/>
        <w:autoSpaceDN w:val="0"/>
        <w:adjustRightInd w:val="0"/>
        <w:rPr>
          <w:rFonts w:eastAsia="Batang"/>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D0037C" w:rsidRPr="00066F65" w:rsidTr="00D0037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1</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2</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3</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4</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5</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6</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7</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8</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w:t>
            </w:r>
          </w:p>
        </w:tc>
      </w:tr>
    </w:tbl>
    <w:p w:rsidR="00BB4938" w:rsidRPr="009448FC" w:rsidRDefault="00BB4938" w:rsidP="00BB4938">
      <w:pPr>
        <w:autoSpaceDE w:val="0"/>
        <w:autoSpaceDN w:val="0"/>
        <w:adjustRightInd w:val="0"/>
        <w:rPr>
          <w:rFonts w:eastAsia="Batang"/>
          <w:sz w:val="23"/>
        </w:rPr>
      </w:pPr>
    </w:p>
    <w:p w:rsidR="00BB4938" w:rsidRPr="009448FC" w:rsidRDefault="00BB4938" w:rsidP="002A1439">
      <w:pPr>
        <w:autoSpaceDE w:val="0"/>
        <w:autoSpaceDN w:val="0"/>
        <w:adjustRightInd w:val="0"/>
        <w:rPr>
          <w:rFonts w:eastAsia="Batang"/>
        </w:rPr>
      </w:pPr>
      <w:r w:rsidRPr="009448FC">
        <w:rPr>
          <w:rFonts w:eastAsia="Batang"/>
        </w:rPr>
        <w:t>Each subfield CE matches the Channel Estimation field that is transmitted in the packet preamble.</w:t>
      </w:r>
      <w:r w:rsidR="00281486" w:rsidRPr="009448FC">
        <w:rPr>
          <w:rFonts w:eastAsia="Batang"/>
        </w:rPr>
        <w:t xml:space="preserve"> </w:t>
      </w:r>
      <w:r w:rsidRPr="009448FC">
        <w:rPr>
          <w:rFonts w:eastAsia="Batang"/>
        </w:rPr>
        <w:t>The 4N fields R</w:t>
      </w:r>
      <w:r w:rsidRPr="009448FC">
        <w:rPr>
          <w:rFonts w:eastAsia="Batang"/>
          <w:vertAlign w:val="subscript"/>
        </w:rPr>
        <w:t>1</w:t>
      </w:r>
      <w:r w:rsidRPr="009448FC">
        <w:rPr>
          <w:rFonts w:eastAsia="Batang"/>
        </w:rPr>
        <w:t xml:space="preserve"> through R</w:t>
      </w:r>
      <w:r w:rsidRPr="009448FC">
        <w:rPr>
          <w:rFonts w:eastAsia="Batang"/>
          <w:vertAlign w:val="subscript"/>
        </w:rPr>
        <w:t>4N</w:t>
      </w:r>
      <w:r w:rsidRPr="009448FC">
        <w:rPr>
          <w:rFonts w:eastAsia="Batang"/>
        </w:rPr>
        <w:t xml:space="preserve"> each consist of the sequence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The sequences Ga</w:t>
      </w:r>
      <w:r w:rsidRPr="009448FC">
        <w:rPr>
          <w:rFonts w:eastAsia="Batang"/>
          <w:vertAlign w:val="subscript"/>
        </w:rPr>
        <w:t>128</w:t>
      </w:r>
      <w:r w:rsidRPr="009448FC">
        <w:rPr>
          <w:rFonts w:eastAsia="Batang"/>
        </w:rPr>
        <w:t xml:space="preserve"> and Gb</w:t>
      </w:r>
      <w:r w:rsidRPr="009448FC">
        <w:rPr>
          <w:rFonts w:eastAsia="Batang"/>
          <w:vertAlign w:val="subscript"/>
        </w:rPr>
        <w:t>128</w:t>
      </w:r>
      <w:r w:rsidRPr="009448FC">
        <w:rPr>
          <w:rFonts w:eastAsia="Batang"/>
        </w:rPr>
        <w:t xml:space="preserve"> are defined in</w:t>
      </w:r>
      <w:r w:rsidR="002A1439">
        <w:rPr>
          <w:rFonts w:eastAsia="Batang"/>
        </w:rPr>
        <w:t xml:space="preserve"> </w:t>
      </w:r>
      <w:r w:rsidR="00BD151C">
        <w:rPr>
          <w:rFonts w:eastAsia="Batang"/>
        </w:rPr>
        <w:fldChar w:fldCharType="begin"/>
      </w:r>
      <w:r w:rsidR="002A1439">
        <w:rPr>
          <w:rFonts w:eastAsia="Batang"/>
        </w:rPr>
        <w:instrText xml:space="preserve"> REF _Ref250542584 \h </w:instrText>
      </w:r>
      <w:r w:rsidR="00BD151C">
        <w:rPr>
          <w:rFonts w:eastAsia="Batang"/>
        </w:rPr>
      </w:r>
      <w:r w:rsidR="00BD151C">
        <w:rPr>
          <w:rFonts w:eastAsia="Batang"/>
        </w:rPr>
        <w:fldChar w:fldCharType="separate"/>
      </w:r>
      <w:r w:rsidR="003E4210">
        <w:t xml:space="preserve">Table </w:t>
      </w:r>
      <w:r w:rsidR="003E4210">
        <w:rPr>
          <w:noProof/>
        </w:rPr>
        <w:t>83</w:t>
      </w:r>
      <w:r w:rsidR="00BD151C">
        <w:rPr>
          <w:rFonts w:eastAsia="Batang"/>
        </w:rPr>
        <w:fldChar w:fldCharType="end"/>
      </w:r>
      <w:r w:rsidR="002A1439">
        <w:rPr>
          <w:rFonts w:eastAsia="Batang"/>
        </w:rPr>
        <w:t xml:space="preserve"> </w:t>
      </w:r>
      <w:r w:rsidRPr="009448FC">
        <w:rPr>
          <w:rFonts w:eastAsia="Batang"/>
        </w:rPr>
        <w:t>and</w:t>
      </w:r>
      <w:r w:rsidR="002A1439">
        <w:rPr>
          <w:rFonts w:eastAsia="Batang"/>
        </w:rPr>
        <w:t xml:space="preserve"> </w:t>
      </w:r>
      <w:r w:rsidR="00BD151C">
        <w:rPr>
          <w:rFonts w:eastAsia="Batang"/>
        </w:rPr>
        <w:fldChar w:fldCharType="begin"/>
      </w:r>
      <w:r w:rsidR="002A1439">
        <w:rPr>
          <w:rFonts w:eastAsia="Batang"/>
        </w:rPr>
        <w:instrText xml:space="preserve"> REF _Ref250542586 \h </w:instrText>
      </w:r>
      <w:r w:rsidR="00BD151C">
        <w:rPr>
          <w:rFonts w:eastAsia="Batang"/>
        </w:rPr>
      </w:r>
      <w:r w:rsidR="00BD151C">
        <w:rPr>
          <w:rFonts w:eastAsia="Batang"/>
        </w:rPr>
        <w:fldChar w:fldCharType="separate"/>
      </w:r>
      <w:r w:rsidR="003E4210">
        <w:t xml:space="preserve">Table </w:t>
      </w:r>
      <w:r w:rsidR="003E4210">
        <w:rPr>
          <w:noProof/>
        </w:rPr>
        <w:t>84</w:t>
      </w:r>
      <w:r w:rsidR="00BD151C">
        <w:rPr>
          <w:rFonts w:eastAsia="Batang"/>
        </w:rPr>
        <w:fldChar w:fldCharType="end"/>
      </w:r>
      <w:r w:rsidRPr="009448FC">
        <w:rPr>
          <w:rFonts w:eastAsia="Batang"/>
        </w:rPr>
        <w:t xml:space="preserve">, respectively, in Section </w:t>
      </w:r>
      <w:fldSimple w:instr=" REF _Ref242789117 \r \h  \* MERGEFORMAT ">
        <w:r w:rsidR="003E4210" w:rsidRPr="003E4210">
          <w:rPr>
            <w:rFonts w:eastAsia="Batang"/>
          </w:rPr>
          <w:t>21.9</w:t>
        </w:r>
      </w:fldSimple>
      <w:r w:rsidRPr="009448FC">
        <w:rPr>
          <w:rFonts w:eastAsia="Batang"/>
        </w:rPr>
        <w:t>.</w:t>
      </w:r>
      <w:r w:rsidR="005515A4">
        <w:rPr>
          <w:rFonts w:eastAsia="Batang"/>
        </w:rPr>
        <w:t xml:space="preserve"> </w:t>
      </w:r>
      <w:r w:rsidR="009A367B" w:rsidRPr="009448FC">
        <w:rPr>
          <w:rFonts w:eastAsia="Batang"/>
        </w:rPr>
        <w:t xml:space="preserve">The sequences are transmitted using rotated </w:t>
      </w:r>
      <w:r w:rsidR="009A367B" w:rsidRPr="009448FC">
        <w:t>π/2-BPSK modulation.</w:t>
      </w:r>
      <w:r w:rsidR="005515A4">
        <w:t xml:space="preserve"> </w:t>
      </w:r>
    </w:p>
    <w:p w:rsidR="00F05EE6" w:rsidRPr="009448FC" w:rsidRDefault="00F05EE6" w:rsidP="00F05EE6"/>
    <w:p w:rsidR="00F05EE6" w:rsidRPr="009448FC" w:rsidRDefault="00F05EE6" w:rsidP="003701DB">
      <w:pPr>
        <w:pStyle w:val="Heading5"/>
        <w:keepNext w:val="0"/>
        <w:numPr>
          <w:ilvl w:val="4"/>
          <w:numId w:val="42"/>
        </w:numPr>
        <w:tabs>
          <w:tab w:val="clear" w:pos="1152"/>
        </w:tabs>
        <w:spacing w:after="60"/>
        <w:jc w:val="left"/>
      </w:pPr>
      <w:bookmarkStart w:id="3925" w:name="_Toc235400755"/>
      <w:bookmarkStart w:id="3926" w:name="_Toc259717417"/>
      <w:r w:rsidRPr="009448FC">
        <w:t>Beam Refinement TRN-T field</w:t>
      </w:r>
      <w:bookmarkEnd w:id="3925"/>
      <w:bookmarkEnd w:id="3926"/>
      <w:r w:rsidR="00022C45" w:rsidRPr="009448FC">
        <w:t xml:space="preserve"> </w:t>
      </w:r>
    </w:p>
    <w:p w:rsidR="00BB4938" w:rsidRPr="009448FC" w:rsidRDefault="00BB4938" w:rsidP="00BB4938">
      <w:pPr>
        <w:autoSpaceDE w:val="0"/>
        <w:autoSpaceDN w:val="0"/>
        <w:adjustRightInd w:val="0"/>
        <w:rPr>
          <w:rFonts w:eastAsia="Batang"/>
        </w:rPr>
      </w:pPr>
      <w:r w:rsidRPr="009448FC">
        <w:rPr>
          <w:rFonts w:eastAsia="Batang"/>
        </w:rPr>
        <w:t>The TRN-T field enables transmitter AWV training. The TRN-T field has the form:</w:t>
      </w:r>
    </w:p>
    <w:p w:rsidR="00BB4938" w:rsidRPr="009448FC" w:rsidRDefault="00BB4938" w:rsidP="00BB4938">
      <w:pPr>
        <w:autoSpaceDE w:val="0"/>
        <w:autoSpaceDN w:val="0"/>
        <w:adjustRightInd w:val="0"/>
        <w:rPr>
          <w:rFonts w:eastAsia="Batang"/>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D0037C" w:rsidRPr="00066F65" w:rsidTr="00D0037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1</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2</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3</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4</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5</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6</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7</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8</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w:t>
            </w:r>
          </w:p>
        </w:tc>
      </w:tr>
    </w:tbl>
    <w:p w:rsidR="00BB4938" w:rsidRPr="009448FC" w:rsidRDefault="00BB4938" w:rsidP="00BB4938">
      <w:pPr>
        <w:autoSpaceDE w:val="0"/>
        <w:autoSpaceDN w:val="0"/>
        <w:adjustRightInd w:val="0"/>
        <w:rPr>
          <w:rFonts w:eastAsia="Batang"/>
          <w:sz w:val="23"/>
        </w:rPr>
      </w:pPr>
    </w:p>
    <w:p w:rsidR="00BB4938" w:rsidRPr="009448FC" w:rsidRDefault="00BB4938" w:rsidP="002A1439">
      <w:pPr>
        <w:autoSpaceDE w:val="0"/>
        <w:autoSpaceDN w:val="0"/>
        <w:adjustRightInd w:val="0"/>
        <w:rPr>
          <w:rFonts w:eastAsia="Batang"/>
        </w:rPr>
      </w:pPr>
      <w:r w:rsidRPr="009448FC">
        <w:rPr>
          <w:rFonts w:eastAsia="Batang"/>
        </w:rPr>
        <w:t xml:space="preserve">Each subfield CE matches the Channel Estimation field that is transmitted in the packet preamble. The 4N fields </w:t>
      </w:r>
      <w:r w:rsidR="009A367B" w:rsidRPr="009448FC">
        <w:rPr>
          <w:rFonts w:eastAsia="Batang"/>
        </w:rPr>
        <w:t>T</w:t>
      </w:r>
      <w:r w:rsidRPr="009448FC">
        <w:rPr>
          <w:rFonts w:eastAsia="Batang"/>
          <w:vertAlign w:val="subscript"/>
        </w:rPr>
        <w:t>1</w:t>
      </w:r>
      <w:r w:rsidRPr="009448FC">
        <w:rPr>
          <w:rFonts w:eastAsia="Batang"/>
        </w:rPr>
        <w:t xml:space="preserve"> through </w:t>
      </w:r>
      <w:r w:rsidR="009A367B" w:rsidRPr="009448FC">
        <w:rPr>
          <w:rFonts w:eastAsia="Batang"/>
        </w:rPr>
        <w:t>T</w:t>
      </w:r>
      <w:r w:rsidRPr="009448FC">
        <w:rPr>
          <w:rFonts w:eastAsia="Batang"/>
          <w:vertAlign w:val="subscript"/>
        </w:rPr>
        <w:t>4N</w:t>
      </w:r>
      <w:r w:rsidRPr="009448FC">
        <w:rPr>
          <w:rFonts w:eastAsia="Batang"/>
        </w:rPr>
        <w:t xml:space="preserve"> each consist of the sequence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The sequences Ga</w:t>
      </w:r>
      <w:r w:rsidRPr="009448FC">
        <w:rPr>
          <w:rFonts w:eastAsia="Batang"/>
          <w:vertAlign w:val="subscript"/>
        </w:rPr>
        <w:t>128</w:t>
      </w:r>
      <w:r w:rsidRPr="009448FC">
        <w:rPr>
          <w:rFonts w:eastAsia="Batang"/>
        </w:rPr>
        <w:t xml:space="preserve"> and Gb</w:t>
      </w:r>
      <w:r w:rsidRPr="009448FC">
        <w:rPr>
          <w:rFonts w:eastAsia="Batang"/>
          <w:vertAlign w:val="subscript"/>
        </w:rPr>
        <w:t>128</w:t>
      </w:r>
      <w:r w:rsidRPr="009448FC">
        <w:rPr>
          <w:rFonts w:eastAsia="Batang"/>
        </w:rPr>
        <w:t xml:space="preserve"> are defined </w:t>
      </w:r>
      <w:r w:rsidR="002A1439" w:rsidRPr="009448FC">
        <w:rPr>
          <w:rFonts w:eastAsia="Batang"/>
        </w:rPr>
        <w:t>in</w:t>
      </w:r>
      <w:r w:rsidR="002A1439">
        <w:rPr>
          <w:rFonts w:eastAsia="Batang"/>
        </w:rPr>
        <w:t xml:space="preserve"> </w:t>
      </w:r>
      <w:r w:rsidR="00BD151C">
        <w:rPr>
          <w:rFonts w:eastAsia="Batang"/>
        </w:rPr>
        <w:fldChar w:fldCharType="begin"/>
      </w:r>
      <w:r w:rsidR="002A1439">
        <w:rPr>
          <w:rFonts w:eastAsia="Batang"/>
        </w:rPr>
        <w:instrText xml:space="preserve"> REF _Ref250542584 \h </w:instrText>
      </w:r>
      <w:r w:rsidR="00BD151C">
        <w:rPr>
          <w:rFonts w:eastAsia="Batang"/>
        </w:rPr>
      </w:r>
      <w:r w:rsidR="00BD151C">
        <w:rPr>
          <w:rFonts w:eastAsia="Batang"/>
        </w:rPr>
        <w:fldChar w:fldCharType="separate"/>
      </w:r>
      <w:r w:rsidR="003E4210">
        <w:t xml:space="preserve">Table </w:t>
      </w:r>
      <w:r w:rsidR="003E4210">
        <w:rPr>
          <w:noProof/>
        </w:rPr>
        <w:t>83</w:t>
      </w:r>
      <w:r w:rsidR="00BD151C">
        <w:rPr>
          <w:rFonts w:eastAsia="Batang"/>
        </w:rPr>
        <w:fldChar w:fldCharType="end"/>
      </w:r>
      <w:r w:rsidR="002A1439">
        <w:rPr>
          <w:rFonts w:eastAsia="Batang"/>
        </w:rPr>
        <w:t xml:space="preserve"> </w:t>
      </w:r>
      <w:r w:rsidR="002A1439" w:rsidRPr="009448FC">
        <w:rPr>
          <w:rFonts w:eastAsia="Batang"/>
        </w:rPr>
        <w:t>and</w:t>
      </w:r>
      <w:r w:rsidR="002A1439">
        <w:rPr>
          <w:rFonts w:eastAsia="Batang"/>
        </w:rPr>
        <w:t xml:space="preserve"> </w:t>
      </w:r>
      <w:r w:rsidR="00BD151C">
        <w:rPr>
          <w:rFonts w:eastAsia="Batang"/>
        </w:rPr>
        <w:fldChar w:fldCharType="begin"/>
      </w:r>
      <w:r w:rsidR="002A1439">
        <w:rPr>
          <w:rFonts w:eastAsia="Batang"/>
        </w:rPr>
        <w:instrText xml:space="preserve"> REF _Ref250542586 \h </w:instrText>
      </w:r>
      <w:r w:rsidR="00BD151C">
        <w:rPr>
          <w:rFonts w:eastAsia="Batang"/>
        </w:rPr>
      </w:r>
      <w:r w:rsidR="00BD151C">
        <w:rPr>
          <w:rFonts w:eastAsia="Batang"/>
        </w:rPr>
        <w:fldChar w:fldCharType="separate"/>
      </w:r>
      <w:r w:rsidR="003E4210">
        <w:t xml:space="preserve">Table </w:t>
      </w:r>
      <w:r w:rsidR="003E4210">
        <w:rPr>
          <w:noProof/>
        </w:rPr>
        <w:t>84</w:t>
      </w:r>
      <w:r w:rsidR="00BD151C">
        <w:rPr>
          <w:rFonts w:eastAsia="Batang"/>
        </w:rPr>
        <w:fldChar w:fldCharType="end"/>
      </w:r>
      <w:r w:rsidRPr="009448FC">
        <w:rPr>
          <w:rFonts w:eastAsia="Batang"/>
        </w:rPr>
        <w:t xml:space="preserve">, respectively, in </w:t>
      </w:r>
      <w:r w:rsidR="009A547F">
        <w:rPr>
          <w:rFonts w:eastAsia="Batang"/>
        </w:rPr>
        <w:t>subclause</w:t>
      </w:r>
      <w:r w:rsidR="009A547F" w:rsidRPr="009448FC">
        <w:rPr>
          <w:rFonts w:eastAsia="Batang"/>
        </w:rPr>
        <w:t xml:space="preserve"> </w:t>
      </w:r>
      <w:fldSimple w:instr=" REF _Ref242789117 \r \h  \* MERGEFORMAT ">
        <w:r w:rsidR="003E4210" w:rsidRPr="003E4210">
          <w:rPr>
            <w:rFonts w:eastAsia="Batang"/>
          </w:rPr>
          <w:t>21.9</w:t>
        </w:r>
      </w:fldSimple>
      <w:r w:rsidRPr="009448FC">
        <w:rPr>
          <w:rFonts w:eastAsia="Batang"/>
        </w:rPr>
        <w:t xml:space="preserve">. </w:t>
      </w:r>
      <w:r w:rsidR="009A367B" w:rsidRPr="009448FC">
        <w:rPr>
          <w:rFonts w:eastAsia="Batang"/>
        </w:rPr>
        <w:t xml:space="preserve">The sequences are transmitted using rotated </w:t>
      </w:r>
      <w:r w:rsidR="00B17660">
        <w:t xml:space="preserve">π/2-BPSK modulation. </w:t>
      </w:r>
      <w:r w:rsidRPr="009448FC">
        <w:rPr>
          <w:rFonts w:eastAsia="Batang"/>
        </w:rPr>
        <w:t>When transmitting the CE subfield, the transmitter shall use the same AWV as in the preamble and data fields of the packet.</w:t>
      </w:r>
    </w:p>
    <w:p w:rsidR="00F05EE6" w:rsidRPr="009448FC" w:rsidRDefault="00F05EE6" w:rsidP="00F05EE6"/>
    <w:p w:rsidR="00F05EE6" w:rsidRPr="009448FC" w:rsidRDefault="00F05EE6" w:rsidP="003701DB">
      <w:pPr>
        <w:pStyle w:val="Heading5"/>
        <w:keepNext w:val="0"/>
        <w:numPr>
          <w:ilvl w:val="4"/>
          <w:numId w:val="42"/>
        </w:numPr>
        <w:tabs>
          <w:tab w:val="clear" w:pos="1152"/>
        </w:tabs>
        <w:spacing w:after="60"/>
        <w:jc w:val="left"/>
      </w:pPr>
      <w:bookmarkStart w:id="3927" w:name="_Ref225237273"/>
      <w:bookmarkStart w:id="3928" w:name="_Toc235400756"/>
      <w:bookmarkStart w:id="3929" w:name="_Toc259717418"/>
      <w:r w:rsidRPr="009448FC">
        <w:t>Channel Measurement</w:t>
      </w:r>
      <w:bookmarkEnd w:id="3927"/>
      <w:bookmarkEnd w:id="3928"/>
      <w:bookmarkEnd w:id="3929"/>
    </w:p>
    <w:p w:rsidR="00F05EE6" w:rsidRPr="009448FC" w:rsidRDefault="00F05EE6" w:rsidP="00F05EE6">
      <w:r w:rsidRPr="009448FC">
        <w:t>The good autocorrelation properties of the Golay sequence enable reconstructing part of the impulse response of the channel between the transmitter and the receiver.</w:t>
      </w:r>
      <w:r w:rsidR="00281486" w:rsidRPr="009448FC">
        <w:t xml:space="preserve"> </w:t>
      </w:r>
      <w:r w:rsidRPr="009448FC">
        <w:t>The receiver should find the tap with largest amplitude in the channel during the CE field of the BRP-RX.</w:t>
      </w:r>
      <w:r w:rsidR="005515A4">
        <w:t xml:space="preserve"> </w:t>
      </w:r>
      <w:r w:rsidR="007551ED">
        <w:t xml:space="preserve">It selects thereafter the set of taps that will be measured around the tap with the largest amplitude, </w:t>
      </w:r>
      <w:r w:rsidR="00FC7432">
        <w:t>according the number of taps requested in FBCK-REQ field.</w:t>
      </w:r>
      <w:r w:rsidR="005515A4">
        <w:t xml:space="preserve"> </w:t>
      </w:r>
      <w:r w:rsidR="00892634">
        <w:t xml:space="preserve">It can select a contiguous set of taps or select a non-contiguous set of taps, and include the tap delays sub-field as part of the subfield measurement. </w:t>
      </w:r>
      <w:r w:rsidRPr="009448FC">
        <w:t>It will then measure the phase and amplitude of the corresponding channel tap</w:t>
      </w:r>
      <w:r w:rsidR="00FC7432">
        <w:t>s</w:t>
      </w:r>
      <w:r w:rsidRPr="009448FC">
        <w:t xml:space="preserve"> in each of the TRN-T field repetition (except for those using the CE AWV configuration).</w:t>
      </w:r>
      <w:r w:rsidR="00281486" w:rsidRPr="009448FC">
        <w:t xml:space="preserve"> </w:t>
      </w:r>
      <w:r w:rsidRPr="009448FC">
        <w:t xml:space="preserve">The beam refinement feedback subfield </w:t>
      </w:r>
      <w:r w:rsidRPr="009448FC">
        <w:rPr>
          <w:i/>
        </w:rPr>
        <w:t xml:space="preserve">k-1 </w:t>
      </w:r>
      <w:r w:rsidRPr="009448FC">
        <w:t xml:space="preserve">is the relative amplitude and phase of this tap in the </w:t>
      </w:r>
      <w:r w:rsidRPr="009448FC">
        <w:rPr>
          <w:i/>
        </w:rPr>
        <w:t>k’th</w:t>
      </w:r>
      <w:r w:rsidRPr="009448FC">
        <w:t xml:space="preserve"> repetition compared to the first one.</w:t>
      </w:r>
    </w:p>
    <w:p w:rsidR="00B243B6" w:rsidRPr="009448FC" w:rsidRDefault="00F2332E" w:rsidP="00F86EE5">
      <w:r>
        <w:lastRenderedPageBreak/>
        <w:t xml:space="preserve"> </w:t>
      </w:r>
    </w:p>
    <w:p w:rsidR="00C02C4B" w:rsidRPr="00066F65" w:rsidRDefault="00C02C4B" w:rsidP="003701DB">
      <w:pPr>
        <w:pStyle w:val="Heading2"/>
        <w:numPr>
          <w:ilvl w:val="1"/>
          <w:numId w:val="42"/>
        </w:numPr>
        <w:rPr>
          <w:lang w:eastAsia="ja-JP"/>
        </w:rPr>
      </w:pPr>
      <w:bookmarkStart w:id="3930" w:name="_Ref228173952"/>
      <w:bookmarkStart w:id="3931" w:name="_Ref228173970"/>
      <w:bookmarkStart w:id="3932" w:name="_Toc235400758"/>
      <w:bookmarkStart w:id="3933" w:name="_Ref242789117"/>
      <w:bookmarkStart w:id="3934" w:name="_Toc259717419"/>
      <w:r w:rsidRPr="00066F65">
        <w:rPr>
          <w:lang w:eastAsia="ja-JP"/>
        </w:rPr>
        <w:t>Golay Sequences</w:t>
      </w:r>
      <w:bookmarkEnd w:id="3930"/>
      <w:bookmarkEnd w:id="3931"/>
      <w:bookmarkEnd w:id="3932"/>
      <w:bookmarkEnd w:id="3933"/>
      <w:bookmarkEnd w:id="3934"/>
    </w:p>
    <w:p w:rsidR="00654513" w:rsidRPr="009448FC" w:rsidRDefault="00DA3FA3" w:rsidP="00DA3FA3">
      <w:r w:rsidRPr="009448FC">
        <w:t xml:space="preserve"> </w:t>
      </w:r>
    </w:p>
    <w:p w:rsidR="006F378F" w:rsidRDefault="006F378F" w:rsidP="006F378F">
      <w:r>
        <w:t>The following Golay sequences are used in the preamble, in the single carrier guard interval</w:t>
      </w:r>
      <w:r w:rsidR="005515A4">
        <w:t xml:space="preserve"> </w:t>
      </w:r>
      <w:r>
        <w:t>and in beam refinement TRN-R/T and AGC fields: Ga</w:t>
      </w:r>
      <w:r>
        <w:rPr>
          <w:vertAlign w:val="subscript"/>
        </w:rPr>
        <w:t>128</w:t>
      </w:r>
      <w:r>
        <w:t>(n), Gb</w:t>
      </w:r>
      <w:r>
        <w:rPr>
          <w:vertAlign w:val="subscript"/>
        </w:rPr>
        <w:t>128</w:t>
      </w:r>
      <w:r>
        <w:t>(n), Ga</w:t>
      </w:r>
      <w:r>
        <w:rPr>
          <w:vertAlign w:val="subscript"/>
        </w:rPr>
        <w:t>64</w:t>
      </w:r>
      <w:r>
        <w:t>(n), Gb</w:t>
      </w:r>
      <w:r>
        <w:rPr>
          <w:vertAlign w:val="subscript"/>
        </w:rPr>
        <w:t>64</w:t>
      </w:r>
      <w:r>
        <w:t>(n), Ga</w:t>
      </w:r>
      <w:r>
        <w:rPr>
          <w:vertAlign w:val="subscript"/>
        </w:rPr>
        <w:t>32</w:t>
      </w:r>
      <w:r>
        <w:t>(n), Gb</w:t>
      </w:r>
      <w:r>
        <w:rPr>
          <w:vertAlign w:val="subscript"/>
        </w:rPr>
        <w:t>32</w:t>
      </w:r>
      <w:r>
        <w:t>(n).</w:t>
      </w:r>
      <w:r w:rsidR="005515A4">
        <w:t xml:space="preserve"> </w:t>
      </w:r>
      <w:r>
        <w:t>These are 3 pairs of complementary sequences.</w:t>
      </w:r>
      <w:r w:rsidR="005515A4">
        <w:t xml:space="preserve"> </w:t>
      </w:r>
      <w:r>
        <w:t>The subscript denotes the length of the sequences.</w:t>
      </w:r>
      <w:r w:rsidR="005515A4">
        <w:t xml:space="preserve"> </w:t>
      </w:r>
      <w:r>
        <w:t>These sequences are generated using the following recursive procedure:</w:t>
      </w:r>
    </w:p>
    <w:p w:rsidR="006F378F" w:rsidRDefault="006F378F" w:rsidP="006F378F"/>
    <w:p w:rsidR="006F378F" w:rsidRDefault="006F378F" w:rsidP="006F378F">
      <w:r w:rsidRPr="00586A0E">
        <w:rPr>
          <w:position w:val="-66"/>
        </w:rPr>
        <w:object w:dxaOrig="3140" w:dyaOrig="1440">
          <v:shape id="_x0000_i1250" type="#_x0000_t75" style="width:157.15pt;height:1in" o:ole="">
            <v:imagedata r:id="rId540" o:title=""/>
          </v:shape>
          <o:OLEObject Type="Embed" ProgID="Equation.3" ShapeID="_x0000_i1250" DrawAspect="Content" ObjectID="_1334048429" r:id="rId541"/>
        </w:object>
      </w:r>
    </w:p>
    <w:p w:rsidR="006F378F" w:rsidRDefault="006F378F" w:rsidP="006F378F">
      <w:r>
        <w:t xml:space="preserve">Note that </w:t>
      </w:r>
      <w:r w:rsidRPr="00DE47A3">
        <w:rPr>
          <w:position w:val="-12"/>
        </w:rPr>
        <w:object w:dxaOrig="1219" w:dyaOrig="360">
          <v:shape id="_x0000_i1251" type="#_x0000_t75" style="width:61.6pt;height:17.65pt" o:ole="">
            <v:imagedata r:id="rId542" o:title=""/>
          </v:shape>
          <o:OLEObject Type="Embed" ProgID="Equation.3" ShapeID="_x0000_i1251" DrawAspect="Content" ObjectID="_1334048430" r:id="rId543"/>
        </w:object>
      </w:r>
      <w:r>
        <w:t xml:space="preserve"> are zero for </w:t>
      </w:r>
      <w:r w:rsidRPr="00DE47A3">
        <w:rPr>
          <w:position w:val="-6"/>
        </w:rPr>
        <w:object w:dxaOrig="560" w:dyaOrig="279">
          <v:shape id="_x0000_i1252" type="#_x0000_t75" style="width:27.15pt;height:13.15pt" o:ole="">
            <v:imagedata r:id="rId544" o:title=""/>
          </v:shape>
          <o:OLEObject Type="Embed" ProgID="Equation.3" ShapeID="_x0000_i1252" DrawAspect="Content" ObjectID="_1334048431" r:id="rId545"/>
        </w:object>
      </w:r>
      <w:r>
        <w:t xml:space="preserve">and for </w:t>
      </w:r>
      <w:r w:rsidRPr="00DE47A3">
        <w:rPr>
          <w:position w:val="-6"/>
        </w:rPr>
        <w:object w:dxaOrig="639" w:dyaOrig="320">
          <v:shape id="_x0000_i1253" type="#_x0000_t75" style="width:31.7pt;height:17.65pt" o:ole="">
            <v:imagedata r:id="rId546" o:title=""/>
          </v:shape>
          <o:OLEObject Type="Embed" ProgID="Equation.3" ShapeID="_x0000_i1253" DrawAspect="Content" ObjectID="_1334048432" r:id="rId547"/>
        </w:object>
      </w:r>
      <w:r w:rsidR="00A902FC" w:rsidRPr="00A902FC">
        <w:t>.</w:t>
      </w:r>
    </w:p>
    <w:p w:rsidR="00377A3E" w:rsidRDefault="00377A3E" w:rsidP="00377A3E">
      <w:r>
        <w:t>Ga</w:t>
      </w:r>
      <w:r>
        <w:rPr>
          <w:vertAlign w:val="subscript"/>
        </w:rPr>
        <w:t>128</w:t>
      </w:r>
      <w:r>
        <w:t>(n)=A</w:t>
      </w:r>
      <w:r>
        <w:rPr>
          <w:vertAlign w:val="subscript"/>
        </w:rPr>
        <w:t>7</w:t>
      </w:r>
      <w:r>
        <w:t>(128-n), Gb</w:t>
      </w:r>
      <w:r>
        <w:rPr>
          <w:vertAlign w:val="subscript"/>
        </w:rPr>
        <w:t>128</w:t>
      </w:r>
      <w:r>
        <w:t>(n)=B</w:t>
      </w:r>
      <w:r>
        <w:rPr>
          <w:vertAlign w:val="subscript"/>
        </w:rPr>
        <w:t>7</w:t>
      </w:r>
      <w:r>
        <w:t xml:space="preserve">(128-n) when the procedure uses </w:t>
      </w:r>
      <w:r w:rsidRPr="00C02C4B">
        <w:t>D</w:t>
      </w:r>
      <w:r>
        <w:rPr>
          <w:vertAlign w:val="subscript"/>
        </w:rPr>
        <w:t>k</w:t>
      </w:r>
      <w:r w:rsidRPr="00C02C4B">
        <w:t xml:space="preserve"> = [</w:t>
      </w:r>
      <w:r w:rsidRPr="00363DCD">
        <w:t>64 32 16 1 8 2 4</w:t>
      </w:r>
      <w:r w:rsidRPr="00C02C4B">
        <w:t>]</w:t>
      </w:r>
      <w:r>
        <w:t xml:space="preserve"> (k=1,2,…,7) and W</w:t>
      </w:r>
      <w:r>
        <w:rPr>
          <w:vertAlign w:val="subscript"/>
        </w:rPr>
        <w:t>k</w:t>
      </w:r>
      <w:r w:rsidRPr="004A1024">
        <w:t xml:space="preserve"> = [</w:t>
      </w:r>
      <w:r w:rsidRPr="00363DCD">
        <w:t>+1 +1 +1 +1 -1 -1 +1</w:t>
      </w:r>
      <w:r w:rsidRPr="004A1024">
        <w:t>]</w:t>
      </w:r>
      <w:r>
        <w:t>.</w:t>
      </w:r>
    </w:p>
    <w:p w:rsidR="00377A3E" w:rsidRDefault="00377A3E" w:rsidP="00377A3E">
      <w:r>
        <w:t>Ga</w:t>
      </w:r>
      <w:r>
        <w:rPr>
          <w:vertAlign w:val="subscript"/>
        </w:rPr>
        <w:t>64</w:t>
      </w:r>
      <w:r>
        <w:t>(n)=A</w:t>
      </w:r>
      <w:r>
        <w:rPr>
          <w:vertAlign w:val="subscript"/>
        </w:rPr>
        <w:t>6</w:t>
      </w:r>
      <w:r>
        <w:t>(64-n), Gb</w:t>
      </w:r>
      <w:r>
        <w:rPr>
          <w:vertAlign w:val="subscript"/>
        </w:rPr>
        <w:t>64</w:t>
      </w:r>
      <w:r>
        <w:t>(n)=B</w:t>
      </w:r>
      <w:r>
        <w:rPr>
          <w:vertAlign w:val="subscript"/>
        </w:rPr>
        <w:t>6</w:t>
      </w:r>
      <w:r>
        <w:t>(64-n) when the procedure uses D</w:t>
      </w:r>
      <w:r>
        <w:rPr>
          <w:vertAlign w:val="subscript"/>
        </w:rPr>
        <w:t>k</w:t>
      </w:r>
      <w:r w:rsidRPr="00A17B87">
        <w:t>=</w:t>
      </w:r>
      <w:r>
        <w:t>[</w:t>
      </w:r>
      <w:r w:rsidRPr="00A17B87">
        <w:t xml:space="preserve"> 32 16 1 8 2 4</w:t>
      </w:r>
      <w:r>
        <w:t>] a</w:t>
      </w:r>
      <w:r w:rsidRPr="00A17B87">
        <w:t>nd W</w:t>
      </w:r>
      <w:r>
        <w:rPr>
          <w:vertAlign w:val="subscript"/>
        </w:rPr>
        <w:t>k</w:t>
      </w:r>
      <w:r w:rsidRPr="00A17B87">
        <w:t>=[ -1 +1 +1 -1 +1 -1]</w:t>
      </w:r>
      <w:r>
        <w:t>.</w:t>
      </w:r>
    </w:p>
    <w:p w:rsidR="00377A3E" w:rsidRDefault="00377A3E" w:rsidP="00377A3E">
      <w:r>
        <w:t>Ga</w:t>
      </w:r>
      <w:r>
        <w:rPr>
          <w:vertAlign w:val="subscript"/>
        </w:rPr>
        <w:t>32</w:t>
      </w:r>
      <w:r>
        <w:t>(n)=A</w:t>
      </w:r>
      <w:r>
        <w:rPr>
          <w:vertAlign w:val="subscript"/>
        </w:rPr>
        <w:t>5</w:t>
      </w:r>
      <w:r>
        <w:t>(32-n), Gb</w:t>
      </w:r>
      <w:r>
        <w:rPr>
          <w:vertAlign w:val="subscript"/>
        </w:rPr>
        <w:t>32</w:t>
      </w:r>
      <w:r>
        <w:t>(n)=B</w:t>
      </w:r>
      <w:r>
        <w:rPr>
          <w:vertAlign w:val="subscript"/>
        </w:rPr>
        <w:t>5</w:t>
      </w:r>
      <w:r>
        <w:t>(32-n) when the procedure uses D</w:t>
      </w:r>
      <w:r>
        <w:rPr>
          <w:vertAlign w:val="subscript"/>
        </w:rPr>
        <w:t>k</w:t>
      </w:r>
      <w:r>
        <w:t>=[16 1 8 2 4]</w:t>
      </w:r>
      <w:r w:rsidR="005515A4">
        <w:t xml:space="preserve"> </w:t>
      </w:r>
      <w:r>
        <w:t>and</w:t>
      </w:r>
      <w:r w:rsidR="005515A4">
        <w:t xml:space="preserve"> </w:t>
      </w:r>
      <w:r>
        <w:t>W</w:t>
      </w:r>
      <w:r w:rsidRPr="00363DCD">
        <w:rPr>
          <w:vertAlign w:val="subscript"/>
        </w:rPr>
        <w:t>k</w:t>
      </w:r>
      <w:r>
        <w:t>=[</w:t>
      </w:r>
      <w:r w:rsidRPr="00A17B87">
        <w:t>-1 -1 +1 +1 +1 ]</w:t>
      </w:r>
      <w:r>
        <w:t>.</w:t>
      </w:r>
    </w:p>
    <w:p w:rsidR="00377A3E" w:rsidRDefault="00377A3E" w:rsidP="00377A3E">
      <w:r>
        <w:t xml:space="preserve">The sequences are defined in </w:t>
      </w:r>
      <w:r w:rsidR="00BD151C">
        <w:fldChar w:fldCharType="begin"/>
      </w:r>
      <w:r>
        <w:instrText xml:space="preserve"> REF _Ref250542584 \h </w:instrText>
      </w:r>
      <w:r w:rsidR="00BD151C">
        <w:fldChar w:fldCharType="separate"/>
      </w:r>
      <w:r w:rsidR="003E4210">
        <w:t xml:space="preserve">Table </w:t>
      </w:r>
      <w:r w:rsidR="003E4210">
        <w:rPr>
          <w:noProof/>
        </w:rPr>
        <w:t>83</w:t>
      </w:r>
      <w:r w:rsidR="00BD151C">
        <w:fldChar w:fldCharType="end"/>
      </w:r>
      <w:r>
        <w:t xml:space="preserve">, </w:t>
      </w:r>
      <w:r w:rsidR="00BD151C">
        <w:fldChar w:fldCharType="begin"/>
      </w:r>
      <w:r>
        <w:instrText xml:space="preserve"> REF _Ref250542586 \h </w:instrText>
      </w:r>
      <w:r w:rsidR="00BD151C">
        <w:fldChar w:fldCharType="separate"/>
      </w:r>
      <w:r w:rsidR="003E4210">
        <w:t xml:space="preserve">Table </w:t>
      </w:r>
      <w:r w:rsidR="003E4210">
        <w:rPr>
          <w:noProof/>
        </w:rPr>
        <w:t>84</w:t>
      </w:r>
      <w:r w:rsidR="00BD151C">
        <w:fldChar w:fldCharType="end"/>
      </w:r>
      <w:r>
        <w:t xml:space="preserve">, </w:t>
      </w:r>
      <w:r w:rsidR="00BD151C">
        <w:fldChar w:fldCharType="begin"/>
      </w:r>
      <w:r>
        <w:instrText xml:space="preserve"> REF _Ref250542588 \h </w:instrText>
      </w:r>
      <w:r w:rsidR="00BD151C">
        <w:fldChar w:fldCharType="separate"/>
      </w:r>
      <w:r w:rsidR="003E4210">
        <w:t xml:space="preserve">Table </w:t>
      </w:r>
      <w:r w:rsidR="003E4210">
        <w:rPr>
          <w:noProof/>
        </w:rPr>
        <w:t>85</w:t>
      </w:r>
      <w:r w:rsidR="00BD151C">
        <w:fldChar w:fldCharType="end"/>
      </w:r>
      <w:r>
        <w:t xml:space="preserve">, </w:t>
      </w:r>
      <w:r w:rsidR="00BD151C">
        <w:fldChar w:fldCharType="begin"/>
      </w:r>
      <w:r>
        <w:instrText xml:space="preserve"> REF _Ref250542590 \h </w:instrText>
      </w:r>
      <w:r w:rsidR="00BD151C">
        <w:fldChar w:fldCharType="separate"/>
      </w:r>
      <w:r w:rsidR="003E4210">
        <w:t xml:space="preserve">Table </w:t>
      </w:r>
      <w:r w:rsidR="003E4210">
        <w:rPr>
          <w:noProof/>
        </w:rPr>
        <w:t>86</w:t>
      </w:r>
      <w:r w:rsidR="00BD151C">
        <w:fldChar w:fldCharType="end"/>
      </w:r>
      <w:r>
        <w:t xml:space="preserve">, </w:t>
      </w:r>
      <w:r w:rsidR="00BD151C">
        <w:fldChar w:fldCharType="begin"/>
      </w:r>
      <w:r>
        <w:instrText xml:space="preserve"> REF _Ref250542591 \h </w:instrText>
      </w:r>
      <w:r w:rsidR="00BD151C">
        <w:fldChar w:fldCharType="separate"/>
      </w:r>
      <w:r w:rsidR="003E4210">
        <w:t xml:space="preserve">Table </w:t>
      </w:r>
      <w:r w:rsidR="003E4210">
        <w:rPr>
          <w:noProof/>
        </w:rPr>
        <w:t>87</w:t>
      </w:r>
      <w:r w:rsidR="00BD151C">
        <w:fldChar w:fldCharType="end"/>
      </w:r>
      <w:r>
        <w:t xml:space="preserve"> and </w:t>
      </w:r>
      <w:r w:rsidR="00BD151C">
        <w:fldChar w:fldCharType="begin"/>
      </w:r>
      <w:r>
        <w:instrText xml:space="preserve"> REF _Ref250542593 \h </w:instrText>
      </w:r>
      <w:r w:rsidR="00BD151C">
        <w:fldChar w:fldCharType="separate"/>
      </w:r>
      <w:r w:rsidR="003E4210">
        <w:t xml:space="preserve">Table </w:t>
      </w:r>
      <w:r w:rsidR="003E4210">
        <w:rPr>
          <w:noProof/>
        </w:rPr>
        <w:t>88</w:t>
      </w:r>
      <w:r w:rsidR="00BD151C">
        <w:fldChar w:fldCharType="end"/>
      </w:r>
      <w:r w:rsidR="00A902FC">
        <w:t xml:space="preserve">. </w:t>
      </w:r>
      <w:r>
        <w:t>The sequences in the tables are normative, the description above is informative.</w:t>
      </w:r>
    </w:p>
    <w:p w:rsidR="00377A3E" w:rsidRDefault="00377A3E" w:rsidP="00377A3E"/>
    <w:p w:rsidR="00377A3E" w:rsidRDefault="00377A3E" w:rsidP="00377A3E">
      <w:pPr>
        <w:pStyle w:val="Caption"/>
        <w:keepNext/>
      </w:pPr>
      <w:bookmarkStart w:id="3935" w:name="_Ref250542584"/>
      <w:bookmarkStart w:id="3936" w:name="_Toc252034427"/>
      <w:bookmarkStart w:id="3937" w:name="_Toc259717661"/>
      <w:r>
        <w:t xml:space="preserve">Table </w:t>
      </w:r>
      <w:r w:rsidR="00BD151C">
        <w:fldChar w:fldCharType="begin"/>
      </w:r>
      <w:r w:rsidR="00801316">
        <w:instrText xml:space="preserve"> SEQ Table \* ARABIC </w:instrText>
      </w:r>
      <w:r w:rsidR="00BD151C">
        <w:fldChar w:fldCharType="separate"/>
      </w:r>
      <w:r w:rsidR="003E4210">
        <w:rPr>
          <w:noProof/>
        </w:rPr>
        <w:t>83</w:t>
      </w:r>
      <w:r w:rsidR="00BD151C">
        <w:fldChar w:fldCharType="end"/>
      </w:r>
      <w:bookmarkEnd w:id="3935"/>
      <w:r>
        <w:t xml:space="preserve"> – The</w:t>
      </w:r>
      <w:r w:rsidR="005515A4">
        <w:t xml:space="preserve"> </w:t>
      </w:r>
      <w:r>
        <w:t>sequence Ga</w:t>
      </w:r>
      <w:r>
        <w:rPr>
          <w:vertAlign w:val="subscript"/>
        </w:rPr>
        <w:t>128</w:t>
      </w:r>
      <w:r>
        <w:t>(n)</w:t>
      </w:r>
      <w:bookmarkEnd w:id="3936"/>
      <w:bookmarkEnd w:id="39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Pr="004B5EF7" w:rsidRDefault="00377A3E" w:rsidP="005F4CF0">
            <w:r>
              <w:t>The Sequence Ga</w:t>
            </w:r>
            <w:r w:rsidRPr="009E7E61">
              <w:rPr>
                <w:vertAlign w:val="subscript"/>
              </w:rPr>
              <w:t>128</w:t>
            </w:r>
            <w:r>
              <w:t>(n), to be transmitted from left to right, up to down</w:t>
            </w:r>
          </w:p>
        </w:tc>
      </w:tr>
      <w:tr w:rsidR="00377A3E" w:rsidTr="005F4CF0">
        <w:tc>
          <w:tcPr>
            <w:tcW w:w="9576" w:type="dxa"/>
          </w:tcPr>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Default="00377A3E" w:rsidP="005F4CF0">
            <w:r w:rsidRPr="003407E1">
              <w:rPr>
                <w:rFonts w:ascii="Courier New" w:hAnsi="Courier New" w:cs="Courier New"/>
                <w:sz w:val="16"/>
                <w:szCs w:val="16"/>
              </w:rPr>
              <w:t xml:space="preserve">  1  1 -1 -1 -1 -1 -1 -1 -1  1 -1  1  1 -1 -1  1 -1  1  1 -1  1 -1  1 -1  1  1  1  1 -1 -1  1  1</w:t>
            </w:r>
          </w:p>
        </w:tc>
      </w:tr>
    </w:tbl>
    <w:p w:rsidR="00377A3E" w:rsidRDefault="00377A3E" w:rsidP="00377A3E"/>
    <w:p w:rsidR="00377A3E" w:rsidRDefault="00377A3E" w:rsidP="00377A3E">
      <w:pPr>
        <w:pStyle w:val="Caption"/>
        <w:keepNext/>
      </w:pPr>
      <w:bookmarkStart w:id="3938" w:name="_Ref250542586"/>
      <w:bookmarkStart w:id="3939" w:name="_Toc252034428"/>
      <w:bookmarkStart w:id="3940" w:name="_Toc259717662"/>
      <w:r>
        <w:t xml:space="preserve">Table </w:t>
      </w:r>
      <w:r w:rsidR="00BD151C">
        <w:fldChar w:fldCharType="begin"/>
      </w:r>
      <w:r w:rsidR="00801316">
        <w:instrText xml:space="preserve"> SEQ Table \* ARABIC </w:instrText>
      </w:r>
      <w:r w:rsidR="00BD151C">
        <w:fldChar w:fldCharType="separate"/>
      </w:r>
      <w:r w:rsidR="003E4210">
        <w:rPr>
          <w:noProof/>
        </w:rPr>
        <w:t>84</w:t>
      </w:r>
      <w:r w:rsidR="00BD151C">
        <w:fldChar w:fldCharType="end"/>
      </w:r>
      <w:bookmarkEnd w:id="3938"/>
      <w:r>
        <w:t xml:space="preserve"> – The sequence Gb</w:t>
      </w:r>
      <w:r>
        <w:rPr>
          <w:vertAlign w:val="subscript"/>
        </w:rPr>
        <w:t>128</w:t>
      </w:r>
      <w:r>
        <w:t>(n)</w:t>
      </w:r>
      <w:bookmarkEnd w:id="3939"/>
      <w:bookmarkEnd w:id="39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Pr="00C80482" w:rsidRDefault="00377A3E" w:rsidP="005F4CF0">
            <w:r w:rsidRPr="00C80482">
              <w:t>The Sequence Gb</w:t>
            </w:r>
            <w:r w:rsidRPr="005D6245">
              <w:rPr>
                <w:vertAlign w:val="subscript"/>
              </w:rPr>
              <w:t>128</w:t>
            </w:r>
            <w:r w:rsidRPr="00C80482">
              <w:t>(n), to be transmitted from left to right, up to down</w:t>
            </w:r>
          </w:p>
        </w:tc>
      </w:tr>
      <w:tr w:rsidR="00377A3E" w:rsidTr="005F4CF0">
        <w:tc>
          <w:tcPr>
            <w:tcW w:w="9576" w:type="dxa"/>
          </w:tcPr>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9E7E6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tc>
      </w:tr>
    </w:tbl>
    <w:p w:rsidR="00377A3E" w:rsidRPr="00DF743E" w:rsidRDefault="00377A3E" w:rsidP="00377A3E"/>
    <w:p w:rsidR="00377A3E" w:rsidRDefault="00377A3E" w:rsidP="00377A3E">
      <w:pPr>
        <w:pStyle w:val="Caption"/>
        <w:keepNext/>
      </w:pPr>
      <w:bookmarkStart w:id="3941" w:name="_Ref250542588"/>
      <w:bookmarkStart w:id="3942" w:name="_Toc252034429"/>
      <w:bookmarkStart w:id="3943" w:name="_Toc259717663"/>
      <w:r>
        <w:t xml:space="preserve">Table </w:t>
      </w:r>
      <w:r w:rsidR="00BD151C">
        <w:fldChar w:fldCharType="begin"/>
      </w:r>
      <w:r w:rsidR="00801316">
        <w:instrText xml:space="preserve"> SEQ Table \* ARABIC </w:instrText>
      </w:r>
      <w:r w:rsidR="00BD151C">
        <w:fldChar w:fldCharType="separate"/>
      </w:r>
      <w:r w:rsidR="003E4210">
        <w:rPr>
          <w:noProof/>
        </w:rPr>
        <w:t>85</w:t>
      </w:r>
      <w:r w:rsidR="00BD151C">
        <w:fldChar w:fldCharType="end"/>
      </w:r>
      <w:bookmarkEnd w:id="3941"/>
      <w:r>
        <w:t xml:space="preserve"> – The sequence Ga</w:t>
      </w:r>
      <w:r>
        <w:rPr>
          <w:vertAlign w:val="subscript"/>
        </w:rPr>
        <w:t>64</w:t>
      </w:r>
      <w:r>
        <w:t>(n)</w:t>
      </w:r>
      <w:bookmarkEnd w:id="3942"/>
      <w:bookmarkEnd w:id="39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RPr="009E7E61" w:rsidTr="005F4CF0">
        <w:tc>
          <w:tcPr>
            <w:tcW w:w="9576" w:type="dxa"/>
          </w:tcPr>
          <w:p w:rsidR="00377A3E" w:rsidRPr="009E7E61" w:rsidRDefault="00377A3E" w:rsidP="005F4CF0">
            <w:pPr>
              <w:rPr>
                <w:b/>
                <w:bCs/>
              </w:rPr>
            </w:pPr>
            <w:r>
              <w:t>The Sequence Ga</w:t>
            </w:r>
            <w:r w:rsidRPr="009E7E61">
              <w:rPr>
                <w:vertAlign w:val="subscript"/>
              </w:rPr>
              <w:t>64</w:t>
            </w:r>
            <w:r>
              <w:t>(n), to be transmitted from left to right, up to down</w:t>
            </w:r>
          </w:p>
        </w:tc>
      </w:tr>
      <w:tr w:rsidR="00377A3E" w:rsidRPr="009E7E61" w:rsidTr="005F4CF0">
        <w:tc>
          <w:tcPr>
            <w:tcW w:w="9576" w:type="dxa"/>
          </w:tcPr>
          <w:p w:rsidR="00377A3E" w:rsidRPr="00D867A7" w:rsidRDefault="00377A3E" w:rsidP="005F4CF0">
            <w:pPr>
              <w:rPr>
                <w:rFonts w:ascii="Courier New" w:hAnsi="Courier New" w:cs="Courier New"/>
                <w:sz w:val="16"/>
                <w:szCs w:val="16"/>
              </w:rPr>
            </w:pPr>
            <w:r w:rsidRPr="00D867A7">
              <w:rPr>
                <w:rFonts w:ascii="Courier New" w:hAnsi="Courier New" w:cs="Courier New"/>
                <w:sz w:val="16"/>
                <w:szCs w:val="16"/>
              </w:rPr>
              <w:t>-1 -1 -1 -1 -1 -1  1  1  1 -1 -1  1  1 -1  1 -1 -1  1 -1  1 -1  1  1 -1  1  1 -1 -1  1  1  1  1</w:t>
            </w:r>
          </w:p>
          <w:p w:rsidR="00377A3E" w:rsidRPr="009E7E61" w:rsidRDefault="00377A3E" w:rsidP="005F4CF0">
            <w:pPr>
              <w:rPr>
                <w:b/>
                <w:bCs/>
              </w:rPr>
            </w:pPr>
            <w:r w:rsidRPr="00D867A7">
              <w:rPr>
                <w:rFonts w:ascii="Courier New" w:hAnsi="Courier New" w:cs="Courier New"/>
                <w:sz w:val="16"/>
                <w:szCs w:val="16"/>
              </w:rPr>
              <w:t xml:space="preserve"> -1 -1 -1 -1 -1 -1  1  1  1 -1 -1  1  1 -1  1 -1  1 -1  1 -1  1 -1 -1  1 -1 -1  1  1 -1 -1 -1 -1</w:t>
            </w:r>
          </w:p>
        </w:tc>
      </w:tr>
    </w:tbl>
    <w:p w:rsidR="00377A3E" w:rsidRPr="00B46FEB" w:rsidRDefault="00377A3E" w:rsidP="00377A3E">
      <w:pPr>
        <w:rPr>
          <w:b/>
          <w:bCs/>
        </w:rPr>
      </w:pPr>
    </w:p>
    <w:p w:rsidR="00377A3E" w:rsidRPr="0079532E" w:rsidRDefault="00377A3E" w:rsidP="00377A3E">
      <w:pPr>
        <w:rPr>
          <w:rFonts w:ascii="Courier New" w:hAnsi="Courier New" w:cs="Courier New"/>
          <w:sz w:val="16"/>
          <w:szCs w:val="16"/>
        </w:rPr>
      </w:pPr>
      <w:r w:rsidRPr="0079532E">
        <w:rPr>
          <w:rFonts w:ascii="Courier New" w:hAnsi="Courier New" w:cs="Courier New"/>
          <w:sz w:val="16"/>
          <w:szCs w:val="16"/>
        </w:rPr>
        <w:t xml:space="preserve"> </w:t>
      </w:r>
    </w:p>
    <w:p w:rsidR="00377A3E" w:rsidRDefault="00377A3E" w:rsidP="00377A3E">
      <w:pPr>
        <w:pStyle w:val="Caption"/>
        <w:keepNext/>
      </w:pPr>
      <w:bookmarkStart w:id="3944" w:name="_Ref250542590"/>
      <w:bookmarkStart w:id="3945" w:name="_Toc252034430"/>
      <w:bookmarkStart w:id="3946" w:name="_Toc259717664"/>
      <w:r>
        <w:t xml:space="preserve">Table </w:t>
      </w:r>
      <w:r w:rsidR="00BD151C">
        <w:fldChar w:fldCharType="begin"/>
      </w:r>
      <w:r w:rsidR="00801316">
        <w:instrText xml:space="preserve"> SEQ Table \* ARABIC </w:instrText>
      </w:r>
      <w:r w:rsidR="00BD151C">
        <w:fldChar w:fldCharType="separate"/>
      </w:r>
      <w:r w:rsidR="003E4210">
        <w:rPr>
          <w:noProof/>
        </w:rPr>
        <w:t>86</w:t>
      </w:r>
      <w:r w:rsidR="00BD151C">
        <w:fldChar w:fldCharType="end"/>
      </w:r>
      <w:bookmarkEnd w:id="3944"/>
      <w:r>
        <w:t xml:space="preserve"> – The sequence Gb</w:t>
      </w:r>
      <w:r>
        <w:rPr>
          <w:vertAlign w:val="subscript"/>
        </w:rPr>
        <w:t>64</w:t>
      </w:r>
      <w:r>
        <w:t>(n)</w:t>
      </w:r>
      <w:bookmarkEnd w:id="3945"/>
      <w:bookmarkEnd w:id="3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RPr="009E7E61" w:rsidTr="005F4CF0">
        <w:tc>
          <w:tcPr>
            <w:tcW w:w="9576" w:type="dxa"/>
          </w:tcPr>
          <w:p w:rsidR="00377A3E" w:rsidRPr="00C80482" w:rsidRDefault="00377A3E" w:rsidP="005F4CF0">
            <w:r w:rsidRPr="00C80482">
              <w:t xml:space="preserve">The sequence </w:t>
            </w:r>
            <w:r>
              <w:t>Gb</w:t>
            </w:r>
            <w:r w:rsidRPr="005D6245">
              <w:rPr>
                <w:vertAlign w:val="subscript"/>
              </w:rPr>
              <w:t>64</w:t>
            </w:r>
            <w:r>
              <w:t>(n), to be transmitted from left to right, up to down</w:t>
            </w:r>
          </w:p>
        </w:tc>
      </w:tr>
      <w:tr w:rsidR="00377A3E" w:rsidRPr="009E7E61" w:rsidTr="005F4CF0">
        <w:tc>
          <w:tcPr>
            <w:tcW w:w="9576" w:type="dxa"/>
          </w:tcPr>
          <w:p w:rsidR="00377A3E" w:rsidRPr="00D867A7" w:rsidRDefault="00377A3E" w:rsidP="005F4CF0">
            <w:pPr>
              <w:rPr>
                <w:rFonts w:ascii="Courier New" w:hAnsi="Courier New" w:cs="Courier New"/>
                <w:sz w:val="16"/>
                <w:szCs w:val="16"/>
              </w:rPr>
            </w:pPr>
            <w:r w:rsidRPr="00D867A7">
              <w:rPr>
                <w:rFonts w:ascii="Courier New" w:hAnsi="Courier New" w:cs="Courier New"/>
                <w:sz w:val="16"/>
                <w:szCs w:val="16"/>
              </w:rPr>
              <w:t xml:space="preserve">  1  1  1  1 -1 -1  1  1 -1  1  1 -1  1 -1  1 -1  1 -1  1 -1 -1  1  1 -1 -1 -1  1  1  1  1  1  1</w:t>
            </w:r>
          </w:p>
          <w:p w:rsidR="00377A3E" w:rsidRPr="009E7E61" w:rsidRDefault="00377A3E" w:rsidP="005F4CF0">
            <w:pPr>
              <w:rPr>
                <w:rFonts w:ascii="Courier New" w:hAnsi="Courier New" w:cs="Courier New"/>
                <w:sz w:val="16"/>
                <w:szCs w:val="16"/>
              </w:rPr>
            </w:pPr>
            <w:r w:rsidRPr="00D867A7">
              <w:rPr>
                <w:rFonts w:ascii="Courier New" w:hAnsi="Courier New" w:cs="Courier New"/>
                <w:sz w:val="16"/>
                <w:szCs w:val="16"/>
              </w:rPr>
              <w:t xml:space="preserve">  1  1  1  1 -1 -1  1  1 -1  1  1 -1  1 -1  1 -1 -1  1 -1  1  1 -1 -1  1  1  1 -1 -1 -1 -1 -1 -1</w:t>
            </w:r>
          </w:p>
        </w:tc>
      </w:tr>
    </w:tbl>
    <w:p w:rsidR="00377A3E" w:rsidRPr="0079532E" w:rsidRDefault="00377A3E" w:rsidP="00377A3E">
      <w:pPr>
        <w:rPr>
          <w:rFonts w:ascii="Courier New" w:hAnsi="Courier New" w:cs="Courier New"/>
          <w:sz w:val="16"/>
          <w:szCs w:val="16"/>
        </w:rPr>
      </w:pPr>
    </w:p>
    <w:p w:rsidR="00377A3E" w:rsidRDefault="00377A3E" w:rsidP="00377A3E">
      <w:pPr>
        <w:pStyle w:val="Caption"/>
        <w:keepNext/>
      </w:pPr>
      <w:bookmarkStart w:id="3947" w:name="_Ref250542591"/>
      <w:bookmarkStart w:id="3948" w:name="_Toc252034431"/>
      <w:bookmarkStart w:id="3949" w:name="_Toc259717665"/>
      <w:r>
        <w:t xml:space="preserve">Table </w:t>
      </w:r>
      <w:r w:rsidR="00BD151C">
        <w:fldChar w:fldCharType="begin"/>
      </w:r>
      <w:r w:rsidR="00801316">
        <w:instrText xml:space="preserve"> SEQ Table \* ARABIC </w:instrText>
      </w:r>
      <w:r w:rsidR="00BD151C">
        <w:fldChar w:fldCharType="separate"/>
      </w:r>
      <w:r w:rsidR="003E4210">
        <w:rPr>
          <w:noProof/>
        </w:rPr>
        <w:t>87</w:t>
      </w:r>
      <w:r w:rsidR="00BD151C">
        <w:fldChar w:fldCharType="end"/>
      </w:r>
      <w:bookmarkEnd w:id="3947"/>
      <w:r>
        <w:t xml:space="preserve"> – The sequence Ga</w:t>
      </w:r>
      <w:r>
        <w:rPr>
          <w:vertAlign w:val="subscript"/>
        </w:rPr>
        <w:t>32</w:t>
      </w:r>
      <w:r>
        <w:t>(n)</w:t>
      </w:r>
      <w:bookmarkEnd w:id="3948"/>
      <w:bookmarkEnd w:id="39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Default="00377A3E" w:rsidP="005F4CF0">
            <w:r>
              <w:t>The Sequence Ga</w:t>
            </w:r>
            <w:r w:rsidRPr="009E7E61">
              <w:rPr>
                <w:vertAlign w:val="subscript"/>
              </w:rPr>
              <w:t>32</w:t>
            </w:r>
            <w:r>
              <w:t>(n), to be transmitted from left to right</w:t>
            </w:r>
          </w:p>
        </w:tc>
      </w:tr>
      <w:tr w:rsidR="00377A3E" w:rsidTr="005F4CF0">
        <w:tc>
          <w:tcPr>
            <w:tcW w:w="9576" w:type="dxa"/>
          </w:tcPr>
          <w:p w:rsidR="00377A3E" w:rsidRDefault="00377A3E" w:rsidP="005F4CF0">
            <w:r w:rsidRPr="00D867A7">
              <w:rPr>
                <w:rFonts w:ascii="Courier New" w:hAnsi="Courier New" w:cs="Courier New"/>
                <w:sz w:val="16"/>
                <w:szCs w:val="16"/>
              </w:rPr>
              <w:t>1 -1  1 -1 -1  1  1 -1  1  1 -1 -1 -1 -1 -1 -1  1  1  1  1 -1 -1  1  1  1 -1 -1  1 -1  1 -1  1</w:t>
            </w:r>
          </w:p>
        </w:tc>
      </w:tr>
    </w:tbl>
    <w:p w:rsidR="00377A3E" w:rsidRDefault="00377A3E" w:rsidP="00377A3E"/>
    <w:p w:rsidR="00377A3E" w:rsidRDefault="00377A3E" w:rsidP="00377A3E">
      <w:pPr>
        <w:pStyle w:val="Caption"/>
        <w:keepNext/>
      </w:pPr>
      <w:bookmarkStart w:id="3950" w:name="_Ref250542593"/>
      <w:bookmarkStart w:id="3951" w:name="_Toc252034432"/>
      <w:bookmarkStart w:id="3952" w:name="_Toc259717666"/>
      <w:r>
        <w:t xml:space="preserve">Table </w:t>
      </w:r>
      <w:r w:rsidR="00BD151C">
        <w:fldChar w:fldCharType="begin"/>
      </w:r>
      <w:r w:rsidR="00801316">
        <w:instrText xml:space="preserve"> SEQ Table \* ARABIC </w:instrText>
      </w:r>
      <w:r w:rsidR="00BD151C">
        <w:fldChar w:fldCharType="separate"/>
      </w:r>
      <w:r w:rsidR="003E4210">
        <w:rPr>
          <w:noProof/>
        </w:rPr>
        <w:t>88</w:t>
      </w:r>
      <w:r w:rsidR="00BD151C">
        <w:fldChar w:fldCharType="end"/>
      </w:r>
      <w:bookmarkEnd w:id="3950"/>
      <w:r>
        <w:t xml:space="preserve"> – The sequence Gb</w:t>
      </w:r>
      <w:r>
        <w:rPr>
          <w:vertAlign w:val="subscript"/>
        </w:rPr>
        <w:t>32</w:t>
      </w:r>
      <w:r>
        <w:t>(n)</w:t>
      </w:r>
      <w:bookmarkEnd w:id="3951"/>
      <w:bookmarkEnd w:id="39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Default="00377A3E" w:rsidP="005F4CF0">
            <w:r>
              <w:t>The Sequence Gb</w:t>
            </w:r>
            <w:r w:rsidRPr="009E7E61">
              <w:rPr>
                <w:vertAlign w:val="subscript"/>
              </w:rPr>
              <w:t>32</w:t>
            </w:r>
            <w:r>
              <w:t>(n), to be transmitted from left to right</w:t>
            </w:r>
          </w:p>
        </w:tc>
      </w:tr>
      <w:tr w:rsidR="00377A3E" w:rsidTr="005F4CF0">
        <w:tc>
          <w:tcPr>
            <w:tcW w:w="9576" w:type="dxa"/>
          </w:tcPr>
          <w:p w:rsidR="00377A3E" w:rsidRDefault="00377A3E" w:rsidP="005F4CF0">
            <w:r w:rsidRPr="00D867A7">
              <w:rPr>
                <w:rFonts w:ascii="Courier New" w:hAnsi="Courier New" w:cs="Courier New"/>
                <w:sz w:val="16"/>
                <w:szCs w:val="16"/>
              </w:rPr>
              <w:t>-1  1 -1  1 -1  1  1 -1 -1 -1  1  1 -1 -1 -1 -1 -1 -1 -1 -1 -1 -1  1  1 -1  1  1 -1 -1  1 -1  1</w:t>
            </w:r>
          </w:p>
        </w:tc>
      </w:tr>
    </w:tbl>
    <w:p w:rsidR="00A17B87" w:rsidRPr="009448FC" w:rsidRDefault="00A17B87" w:rsidP="00A17B87"/>
    <w:p w:rsidR="00F7034C" w:rsidRPr="00066F65" w:rsidRDefault="00F7034C" w:rsidP="003701DB">
      <w:pPr>
        <w:pStyle w:val="Heading2"/>
        <w:numPr>
          <w:ilvl w:val="1"/>
          <w:numId w:val="42"/>
        </w:numPr>
        <w:rPr>
          <w:lang w:eastAsia="ja-JP"/>
        </w:rPr>
      </w:pPr>
      <w:bookmarkStart w:id="3953" w:name="_Toc259717420"/>
      <w:r w:rsidRPr="00066F65">
        <w:rPr>
          <w:lang w:eastAsia="ja-JP"/>
        </w:rPr>
        <w:t>mmWave PLME</w:t>
      </w:r>
      <w:bookmarkEnd w:id="3953"/>
    </w:p>
    <w:p w:rsidR="00F7034C" w:rsidRPr="009448FC" w:rsidRDefault="00F7034C" w:rsidP="003701DB">
      <w:pPr>
        <w:pStyle w:val="Heading3"/>
        <w:numPr>
          <w:ilvl w:val="2"/>
          <w:numId w:val="42"/>
        </w:numPr>
      </w:pPr>
      <w:bookmarkStart w:id="3954" w:name="_Toc259717421"/>
      <w:r w:rsidRPr="009448FC">
        <w:t>PLME_SAP sublayer management primitives</w:t>
      </w:r>
      <w:bookmarkEnd w:id="3954"/>
    </w:p>
    <w:p w:rsidR="00F7034C" w:rsidRPr="009448FC" w:rsidRDefault="00BD151C" w:rsidP="00F7034C">
      <w:pPr>
        <w:autoSpaceDE w:val="0"/>
        <w:autoSpaceDN w:val="0"/>
        <w:adjustRightInd w:val="0"/>
        <w:rPr>
          <w:rFonts w:ascii="TimesNewRomanPSMT" w:eastAsia="MS Mincho" w:hAnsi="TimesNewRomanPSMT"/>
        </w:rPr>
      </w:pPr>
      <w:r>
        <w:fldChar w:fldCharType="begin"/>
      </w:r>
      <w:r w:rsidR="00A902FC">
        <w:instrText xml:space="preserve"> REF _Ref254878896 \h </w:instrText>
      </w:r>
      <w:r>
        <w:fldChar w:fldCharType="separate"/>
      </w:r>
      <w:r w:rsidR="003E4210">
        <w:t xml:space="preserve">Table </w:t>
      </w:r>
      <w:r w:rsidR="003E4210">
        <w:rPr>
          <w:noProof/>
        </w:rPr>
        <w:t>89</w:t>
      </w:r>
      <w:r>
        <w:fldChar w:fldCharType="end"/>
      </w:r>
      <w:r w:rsidR="00F7034C" w:rsidRPr="009448FC">
        <w:rPr>
          <w:rFonts w:ascii="TimesNewRomanPSMT" w:eastAsia="MS Mincho" w:hAnsi="TimesNewRomanPSMT"/>
        </w:rPr>
        <w:t xml:space="preserve"> lists the MIB attributes that may be accessed by the PHY entities and the intra-layer of higher level LMEs. These attributes are accessed via the PLME-GET, PLME-SET, PLME-RESET, and PLME-CHARACTERISTICS primitives defined in 10.4.</w:t>
      </w:r>
    </w:p>
    <w:p w:rsidR="00F7034C" w:rsidRPr="009448FC" w:rsidRDefault="00F7034C" w:rsidP="003701DB">
      <w:pPr>
        <w:pStyle w:val="Heading3"/>
        <w:numPr>
          <w:ilvl w:val="2"/>
          <w:numId w:val="42"/>
        </w:numPr>
      </w:pPr>
      <w:bookmarkStart w:id="3955" w:name="_Toc259717422"/>
      <w:r w:rsidRPr="009448FC">
        <w:t>mmWave PHY Management Information Base</w:t>
      </w:r>
      <w:bookmarkEnd w:id="3955"/>
    </w:p>
    <w:p w:rsidR="00F7034C" w:rsidRDefault="00253249" w:rsidP="00F7034C">
      <w:pPr>
        <w:rPr>
          <w:rFonts w:ascii="TimesNewRomanPSMT" w:eastAsia="MS Mincho" w:hAnsi="TimesNewRomanPSMT"/>
        </w:rPr>
      </w:pPr>
      <w:r>
        <w:rPr>
          <w:rFonts w:ascii="TimesNewRomanPSMT" w:eastAsia="MS Mincho" w:hAnsi="TimesNewRomanPSMT"/>
        </w:rPr>
        <w:t xml:space="preserve"> </w:t>
      </w:r>
    </w:p>
    <w:p w:rsidR="00226E89" w:rsidRDefault="00226E89" w:rsidP="00226E89">
      <w:pPr>
        <w:rPr>
          <w:b/>
          <w:bCs/>
          <w:i/>
          <w:iCs/>
        </w:rPr>
      </w:pPr>
      <w:r w:rsidRPr="002479B0">
        <w:t xml:space="preserve">All mmWave PHY MIB attributes are defined in Appendix D of IEEE802.11-2007, with specific values defined in </w:t>
      </w:r>
      <w:r w:rsidR="00BD151C">
        <w:fldChar w:fldCharType="begin"/>
      </w:r>
      <w:r>
        <w:instrText xml:space="preserve"> REF _Ref254878896 \h </w:instrText>
      </w:r>
      <w:r w:rsidR="00BD151C">
        <w:fldChar w:fldCharType="separate"/>
      </w:r>
      <w:r w:rsidR="003E4210">
        <w:t xml:space="preserve">Table </w:t>
      </w:r>
      <w:r w:rsidR="003E4210">
        <w:rPr>
          <w:noProof/>
        </w:rPr>
        <w:t>89</w:t>
      </w:r>
      <w:r w:rsidR="00BD151C">
        <w:fldChar w:fldCharType="end"/>
      </w:r>
      <w:r w:rsidRPr="002479B0">
        <w:t xml:space="preserve">. The column titled “Operational semantics” in </w:t>
      </w:r>
      <w:r w:rsidR="00BD151C">
        <w:fldChar w:fldCharType="begin"/>
      </w:r>
      <w:r>
        <w:instrText xml:space="preserve"> REF _Ref254878896 \h </w:instrText>
      </w:r>
      <w:r w:rsidR="00BD151C">
        <w:fldChar w:fldCharType="separate"/>
      </w:r>
      <w:r w:rsidR="003E4210">
        <w:t xml:space="preserve">Table </w:t>
      </w:r>
      <w:r w:rsidR="003E4210">
        <w:rPr>
          <w:noProof/>
        </w:rPr>
        <w:t>89</w:t>
      </w:r>
      <w:r w:rsidR="00BD151C">
        <w:fldChar w:fldCharType="end"/>
      </w:r>
      <w:r>
        <w:t xml:space="preserve"> </w:t>
      </w:r>
      <w:r w:rsidRPr="002479B0">
        <w:t>contains two types: static and dynamic. Static MIB attributes are fixed and cannot be modified for a given PHY implementation. Dynamic MIB attributes can be modified by some management entity</w:t>
      </w:r>
      <w:r>
        <w:rPr>
          <w:rFonts w:ascii="TimesNewRoman" w:hAnsi="TimesNewRoman" w:cs="TimesNewRoman"/>
          <w:sz w:val="20"/>
        </w:rPr>
        <w:t>.</w:t>
      </w:r>
    </w:p>
    <w:p w:rsidR="00226E89" w:rsidRDefault="00226E89" w:rsidP="00226E89"/>
    <w:p w:rsidR="00226E89" w:rsidRDefault="00226E89" w:rsidP="00226E89">
      <w:pPr>
        <w:pStyle w:val="Caption"/>
        <w:keepNext/>
      </w:pPr>
      <w:bookmarkStart w:id="3956" w:name="_Ref254878896"/>
      <w:bookmarkStart w:id="3957" w:name="_Toc259717667"/>
      <w:r>
        <w:t xml:space="preserve">Table </w:t>
      </w:r>
      <w:r w:rsidR="00BD151C">
        <w:fldChar w:fldCharType="begin"/>
      </w:r>
      <w:r w:rsidR="00801316">
        <w:instrText xml:space="preserve"> SEQ Table \* ARABIC </w:instrText>
      </w:r>
      <w:r w:rsidR="00BD151C">
        <w:fldChar w:fldCharType="separate"/>
      </w:r>
      <w:r w:rsidR="003E4210">
        <w:rPr>
          <w:noProof/>
        </w:rPr>
        <w:t>89</w:t>
      </w:r>
      <w:r w:rsidR="00BD151C">
        <w:fldChar w:fldCharType="end"/>
      </w:r>
      <w:bookmarkEnd w:id="3956"/>
      <w:r w:rsidR="00D31271">
        <w:t xml:space="preserve"> – </w:t>
      </w:r>
      <w:r>
        <w:t>mmWave PHY MIB attribute default values</w:t>
      </w:r>
      <w:bookmarkEnd w:id="39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226E89" w:rsidTr="00D05D1B">
        <w:tc>
          <w:tcPr>
            <w:tcW w:w="3192" w:type="dxa"/>
          </w:tcPr>
          <w:p w:rsidR="00226E89" w:rsidRDefault="00226E89" w:rsidP="00D05D1B">
            <w:r>
              <w:t>Managed object</w:t>
            </w:r>
          </w:p>
        </w:tc>
        <w:tc>
          <w:tcPr>
            <w:tcW w:w="3192" w:type="dxa"/>
          </w:tcPr>
          <w:p w:rsidR="00226E89" w:rsidRDefault="00226E89" w:rsidP="00D05D1B">
            <w:r>
              <w:t>Default Value/Range</w:t>
            </w:r>
          </w:p>
        </w:tc>
        <w:tc>
          <w:tcPr>
            <w:tcW w:w="3192" w:type="dxa"/>
          </w:tcPr>
          <w:p w:rsidR="00226E89" w:rsidRDefault="00226E89" w:rsidP="00D05D1B">
            <w:r>
              <w:t>Operational Semantics</w:t>
            </w:r>
          </w:p>
        </w:tc>
      </w:tr>
      <w:tr w:rsidR="00226E89" w:rsidTr="00D05D1B">
        <w:tc>
          <w:tcPr>
            <w:tcW w:w="9576" w:type="dxa"/>
            <w:gridSpan w:val="3"/>
          </w:tcPr>
          <w:p w:rsidR="00226E89" w:rsidRPr="00891F74" w:rsidRDefault="00226E89" w:rsidP="00D05D1B">
            <w:pPr>
              <w:jc w:val="center"/>
              <w:rPr>
                <w:b/>
                <w:bCs/>
              </w:rPr>
            </w:pPr>
            <w:r w:rsidRPr="00891F74">
              <w:rPr>
                <w:b/>
                <w:bCs/>
              </w:rPr>
              <w:t>dot11PHYoperationTable</w:t>
            </w:r>
          </w:p>
        </w:tc>
      </w:tr>
      <w:tr w:rsidR="00226E89" w:rsidTr="00D05D1B">
        <w:tc>
          <w:tcPr>
            <w:tcW w:w="3192" w:type="dxa"/>
          </w:tcPr>
          <w:p w:rsidR="00226E89" w:rsidRDefault="00226E89" w:rsidP="00D05D1B">
            <w:r>
              <w:t>dot11PHYtype</w:t>
            </w:r>
          </w:p>
        </w:tc>
        <w:tc>
          <w:tcPr>
            <w:tcW w:w="3192" w:type="dxa"/>
          </w:tcPr>
          <w:p w:rsidR="00226E89" w:rsidRDefault="00226E89" w:rsidP="00D05D1B">
            <w:r>
              <w:t>mmWave</w:t>
            </w:r>
          </w:p>
        </w:tc>
        <w:tc>
          <w:tcPr>
            <w:tcW w:w="3192" w:type="dxa"/>
          </w:tcPr>
          <w:p w:rsidR="00226E89" w:rsidRDefault="00226E89" w:rsidP="00D05D1B">
            <w:r>
              <w:t>static</w:t>
            </w:r>
          </w:p>
        </w:tc>
      </w:tr>
      <w:tr w:rsidR="00226E89" w:rsidTr="00D05D1B">
        <w:tc>
          <w:tcPr>
            <w:tcW w:w="3192" w:type="dxa"/>
          </w:tcPr>
          <w:p w:rsidR="00226E89" w:rsidRDefault="00226E89" w:rsidP="00D05D1B">
            <w:r>
              <w:t>dot11FrequencyBand</w:t>
            </w:r>
          </w:p>
        </w:tc>
        <w:tc>
          <w:tcPr>
            <w:tcW w:w="3192" w:type="dxa"/>
          </w:tcPr>
          <w:p w:rsidR="00226E89" w:rsidRDefault="00226E89" w:rsidP="00D05D1B">
            <w:r>
              <w:t>mmWave</w:t>
            </w:r>
          </w:p>
        </w:tc>
        <w:tc>
          <w:tcPr>
            <w:tcW w:w="3192" w:type="dxa"/>
          </w:tcPr>
          <w:p w:rsidR="00226E89" w:rsidRDefault="00226E89" w:rsidP="00D05D1B">
            <w:r>
              <w:t>static</w:t>
            </w:r>
          </w:p>
        </w:tc>
      </w:tr>
      <w:tr w:rsidR="00226E89" w:rsidTr="00D05D1B">
        <w:tc>
          <w:tcPr>
            <w:tcW w:w="9576" w:type="dxa"/>
            <w:gridSpan w:val="3"/>
          </w:tcPr>
          <w:p w:rsidR="00226E89" w:rsidRPr="00891F74" w:rsidRDefault="00226E89" w:rsidP="00D05D1B">
            <w:pPr>
              <w:jc w:val="center"/>
              <w:rPr>
                <w:b/>
                <w:bCs/>
              </w:rPr>
            </w:pPr>
            <w:r w:rsidRPr="00891F74">
              <w:rPr>
                <w:b/>
                <w:bCs/>
              </w:rPr>
              <w:t>dot11SupportedMCSTx</w:t>
            </w:r>
          </w:p>
        </w:tc>
      </w:tr>
      <w:tr w:rsidR="00226E89" w:rsidTr="00D05D1B">
        <w:tc>
          <w:tcPr>
            <w:tcW w:w="3192" w:type="dxa"/>
          </w:tcPr>
          <w:p w:rsidR="00226E89" w:rsidRDefault="00226E89" w:rsidP="00D05D1B">
            <w:r>
              <w:t>dot11SupportMCSTxValue</w:t>
            </w:r>
          </w:p>
        </w:tc>
        <w:tc>
          <w:tcPr>
            <w:tcW w:w="3192" w:type="dxa"/>
          </w:tcPr>
          <w:p w:rsidR="00CD447D" w:rsidRDefault="00226E89">
            <w:r>
              <w:t>MCS0-</w:t>
            </w:r>
            <w:r w:rsidR="00A902FC">
              <w:t>MCS27</w:t>
            </w:r>
          </w:p>
        </w:tc>
        <w:tc>
          <w:tcPr>
            <w:tcW w:w="3192" w:type="dxa"/>
          </w:tcPr>
          <w:p w:rsidR="00226E89" w:rsidRDefault="00226E89" w:rsidP="00D05D1B">
            <w:r>
              <w:t>static</w:t>
            </w:r>
          </w:p>
        </w:tc>
      </w:tr>
      <w:tr w:rsidR="00226E89" w:rsidTr="00D05D1B">
        <w:tc>
          <w:tcPr>
            <w:tcW w:w="9576" w:type="dxa"/>
            <w:gridSpan w:val="3"/>
          </w:tcPr>
          <w:p w:rsidR="00226E89" w:rsidRPr="00226E89" w:rsidRDefault="00226E89" w:rsidP="00226E89">
            <w:pPr>
              <w:jc w:val="center"/>
              <w:rPr>
                <w:b/>
                <w:bCs/>
              </w:rPr>
            </w:pPr>
            <w:r w:rsidRPr="00226E89">
              <w:rPr>
                <w:b/>
                <w:bCs/>
              </w:rPr>
              <w:t>dot11SupportedMCSRx</w:t>
            </w:r>
          </w:p>
        </w:tc>
      </w:tr>
      <w:tr w:rsidR="00226E89" w:rsidTr="00D05D1B">
        <w:tc>
          <w:tcPr>
            <w:tcW w:w="3192" w:type="dxa"/>
          </w:tcPr>
          <w:p w:rsidR="00226E89" w:rsidRDefault="00226E89" w:rsidP="00D05D1B">
            <w:r>
              <w:t>dot11SupportMCSRxValue</w:t>
            </w:r>
          </w:p>
        </w:tc>
        <w:tc>
          <w:tcPr>
            <w:tcW w:w="3192" w:type="dxa"/>
          </w:tcPr>
          <w:p w:rsidR="00CD447D" w:rsidRDefault="00226E89">
            <w:r>
              <w:t>MCS0-</w:t>
            </w:r>
            <w:r w:rsidR="00A902FC">
              <w:t>MCS27</w:t>
            </w:r>
          </w:p>
        </w:tc>
        <w:tc>
          <w:tcPr>
            <w:tcW w:w="3192" w:type="dxa"/>
          </w:tcPr>
          <w:p w:rsidR="00226E89" w:rsidRDefault="00226E89" w:rsidP="00D05D1B">
            <w:r>
              <w:t>static</w:t>
            </w:r>
          </w:p>
        </w:tc>
      </w:tr>
    </w:tbl>
    <w:p w:rsidR="00226E89" w:rsidRPr="009448FC" w:rsidRDefault="00226E89" w:rsidP="00F7034C">
      <w:pPr>
        <w:rPr>
          <w:rFonts w:ascii="TimesNewRomanPSMT" w:eastAsia="MS Mincho" w:hAnsi="TimesNewRomanPSMT"/>
        </w:rPr>
      </w:pPr>
    </w:p>
    <w:p w:rsidR="00F7034C" w:rsidRPr="009448FC" w:rsidRDefault="00F7034C" w:rsidP="003701DB">
      <w:pPr>
        <w:pStyle w:val="Heading3"/>
        <w:numPr>
          <w:ilvl w:val="2"/>
          <w:numId w:val="42"/>
        </w:numPr>
      </w:pPr>
      <w:bookmarkStart w:id="3958" w:name="_Toc259717423"/>
      <w:r w:rsidRPr="009448FC">
        <w:t>TXTIME calculation</w:t>
      </w:r>
      <w:bookmarkEnd w:id="3958"/>
    </w:p>
    <w:p w:rsidR="00F7034C" w:rsidRDefault="00253249" w:rsidP="00F7034C">
      <w:pPr>
        <w:rPr>
          <w:rFonts w:ascii="TimesNewRomanPSMT" w:eastAsia="MS Mincho" w:hAnsi="TimesNewRomanPSMT"/>
        </w:rPr>
      </w:pPr>
      <w:r>
        <w:rPr>
          <w:rFonts w:ascii="TimesNewRomanPSMT" w:eastAsia="MS Mincho" w:hAnsi="TimesNewRomanPSMT"/>
        </w:rPr>
        <w:t xml:space="preserve"> </w:t>
      </w:r>
      <w:r w:rsidR="0002455D">
        <w:rPr>
          <w:rFonts w:ascii="TimesNewRomanPSMT" w:eastAsia="MS Mincho" w:hAnsi="TimesNewRomanPSMT"/>
        </w:rPr>
        <w:t xml:space="preserve"> </w:t>
      </w:r>
      <w:r>
        <w:rPr>
          <w:rFonts w:ascii="TimesNewRomanPSMT" w:eastAsia="MS Mincho" w:hAnsi="TimesNewRomanPSMT"/>
        </w:rPr>
        <w:t xml:space="preserve"> </w:t>
      </w:r>
    </w:p>
    <w:p w:rsidR="00226E89" w:rsidRDefault="00226E89" w:rsidP="00226E89">
      <w:r w:rsidRPr="00226E89">
        <w:t>The value of the TXTIME parameter returned by the PLME-TXTIME.confirm primitive shall be calculated</w:t>
      </w:r>
      <w:r>
        <w:t xml:space="preserve"> </w:t>
      </w:r>
      <w:r w:rsidRPr="00226E89">
        <w:t>according to the following equations</w:t>
      </w:r>
      <w:r w:rsidR="00D31271">
        <w:t>.</w:t>
      </w:r>
    </w:p>
    <w:p w:rsidR="00D31271" w:rsidRPr="00226E89" w:rsidRDefault="00D31271" w:rsidP="00226E89"/>
    <w:p w:rsidR="00226E89" w:rsidRPr="00226E89" w:rsidRDefault="00226E89" w:rsidP="00226E89">
      <w:r w:rsidRPr="00226E89">
        <w:t>For mmWave OFDM PHY, and for mmWave SC PHY (</w:t>
      </w:r>
      <w:r w:rsidRPr="00226E89">
        <w:rPr>
          <w:position w:val="-12"/>
        </w:rPr>
        <w:object w:dxaOrig="520" w:dyaOrig="360">
          <v:shape id="_x0000_i1254" type="#_x0000_t75" style="width:25.8pt;height:17.65pt" o:ole="">
            <v:imagedata r:id="rId548" o:title=""/>
          </v:shape>
          <o:OLEObject Type="Embed" ProgID="Equation.3" ShapeID="_x0000_i1254" DrawAspect="Content" ObjectID="_1334048433" r:id="rId549"/>
        </w:object>
      </w:r>
      <w:r w:rsidRPr="00226E89">
        <w:t xml:space="preserve"> is </w:t>
      </w:r>
      <w:r>
        <w:t xml:space="preserve">training length </w:t>
      </w:r>
      <w:r w:rsidRPr="00226E89">
        <w:t>defined in the header</w:t>
      </w:r>
      <w:r w:rsidR="00445BE5">
        <w:t xml:space="preserve"> –</w:t>
      </w:r>
      <w:r w:rsidR="00BE1F31">
        <w:t xml:space="preserve"> </w:t>
      </w:r>
      <w:r w:rsidR="00C33304">
        <w:t>see</w:t>
      </w:r>
      <w:r w:rsidR="00D31271">
        <w:t>, for example,</w:t>
      </w:r>
      <w:r w:rsidR="00C33304">
        <w:t xml:space="preserve"> </w:t>
      </w:r>
      <w:r w:rsidR="00BD151C">
        <w:fldChar w:fldCharType="begin"/>
      </w:r>
      <w:r w:rsidR="00C33304">
        <w:instrText xml:space="preserve"> REF _Ref207352135 \h </w:instrText>
      </w:r>
      <w:r w:rsidR="00BD151C">
        <w:fldChar w:fldCharType="separate"/>
      </w:r>
      <w:r w:rsidR="003E4210" w:rsidRPr="00066F65">
        <w:t xml:space="preserve">Table </w:t>
      </w:r>
      <w:r w:rsidR="003E4210">
        <w:rPr>
          <w:noProof/>
        </w:rPr>
        <w:t>75</w:t>
      </w:r>
      <w:r w:rsidR="00BD151C">
        <w:fldChar w:fldCharType="end"/>
      </w:r>
      <w:r w:rsidRPr="00226E89">
        <w:t>)</w:t>
      </w:r>
      <w:r w:rsidR="00D31271">
        <w:t>:</w:t>
      </w:r>
    </w:p>
    <w:p w:rsidR="00226E89" w:rsidRDefault="00226E89" w:rsidP="00445BE5">
      <w:pPr>
        <w:ind w:firstLine="720"/>
      </w:pPr>
      <w:r w:rsidRPr="004819D0">
        <w:rPr>
          <w:position w:val="-12"/>
        </w:rPr>
        <w:object w:dxaOrig="7140" w:dyaOrig="360">
          <v:shape id="_x0000_i1255" type="#_x0000_t75" style="width:356.4pt;height:17.65pt" o:ole="">
            <v:imagedata r:id="rId550" o:title=""/>
          </v:shape>
          <o:OLEObject Type="Embed" ProgID="Equation.3" ShapeID="_x0000_i1255" DrawAspect="Content" ObjectID="_1334048434" r:id="rId551"/>
        </w:object>
      </w:r>
    </w:p>
    <w:p w:rsidR="00D31271" w:rsidRDefault="00D31271" w:rsidP="00226E89"/>
    <w:p w:rsidR="00226E89" w:rsidRDefault="00226E89" w:rsidP="00226E89">
      <w:r>
        <w:t>For mmWave Control PHY</w:t>
      </w:r>
      <w:r w:rsidR="00D31271">
        <w:t>:</w:t>
      </w:r>
    </w:p>
    <w:p w:rsidR="00D31271" w:rsidRDefault="005E1A36" w:rsidP="00445BE5">
      <w:pPr>
        <w:ind w:firstLine="720"/>
        <w:rPr>
          <w:position w:val="-12"/>
        </w:rPr>
      </w:pPr>
      <w:r w:rsidRPr="00D31271">
        <w:rPr>
          <w:position w:val="-30"/>
        </w:rPr>
        <w:object w:dxaOrig="7540" w:dyaOrig="720">
          <v:shape id="_x0000_i1256" type="#_x0000_t75" style="width:377.65pt;height:38.05pt" o:ole="">
            <v:imagedata r:id="rId552" o:title=""/>
          </v:shape>
          <o:OLEObject Type="Embed" ProgID="Equation.3" ShapeID="_x0000_i1256" DrawAspect="Content" ObjectID="_1334048435" r:id="rId553"/>
        </w:object>
      </w:r>
    </w:p>
    <w:p w:rsidR="00226E89" w:rsidRDefault="00D31271" w:rsidP="00C33304">
      <w:r>
        <w:t>w</w:t>
      </w:r>
      <w:r w:rsidR="00226E89">
        <w:t xml:space="preserve">here </w:t>
      </w:r>
      <w:r w:rsidR="00226E89" w:rsidRPr="001611E1">
        <w:rPr>
          <w:position w:val="-12"/>
        </w:rPr>
        <w:object w:dxaOrig="499" w:dyaOrig="360">
          <v:shape id="_x0000_i1257" type="#_x0000_t75" style="width:25.8pt;height:17.65pt" o:ole="">
            <v:imagedata r:id="rId554" o:title=""/>
          </v:shape>
          <o:OLEObject Type="Embed" ProgID="Equation.3" ShapeID="_x0000_i1257" DrawAspect="Content" ObjectID="_1334048436" r:id="rId555"/>
        </w:object>
      </w:r>
      <w:r w:rsidR="00C33304">
        <w:t>calcula</w:t>
      </w:r>
      <w:r>
        <w:t>tio</w:t>
      </w:r>
      <w:r w:rsidR="00C33304">
        <w:t xml:space="preserve">n </w:t>
      </w:r>
      <w:r w:rsidR="00226E89">
        <w:t xml:space="preserve">is defined in </w:t>
      </w:r>
      <w:r w:rsidR="00BD151C">
        <w:fldChar w:fldCharType="begin"/>
      </w:r>
      <w:r w:rsidR="00C33304">
        <w:instrText xml:space="preserve"> REF _Ref255114795 \r \h </w:instrText>
      </w:r>
      <w:r w:rsidR="00BD151C">
        <w:fldChar w:fldCharType="separate"/>
      </w:r>
      <w:r w:rsidR="003E4210">
        <w:t>21.4.3.3.2</w:t>
      </w:r>
      <w:r w:rsidR="00BD151C">
        <w:fldChar w:fldCharType="end"/>
      </w:r>
      <w:r w:rsidR="00C33304">
        <w:t>.</w:t>
      </w:r>
    </w:p>
    <w:p w:rsidR="00226E89" w:rsidRPr="009448FC" w:rsidRDefault="00226E89" w:rsidP="00F7034C">
      <w:pPr>
        <w:rPr>
          <w:rFonts w:ascii="TimesNewRomanPSMT" w:eastAsia="MS Mincho" w:hAnsi="TimesNewRomanPSMT"/>
        </w:rPr>
      </w:pPr>
    </w:p>
    <w:p w:rsidR="00F7034C" w:rsidRPr="009448FC" w:rsidRDefault="00F7034C" w:rsidP="003701DB">
      <w:pPr>
        <w:pStyle w:val="Heading3"/>
        <w:numPr>
          <w:ilvl w:val="2"/>
          <w:numId w:val="42"/>
        </w:numPr>
      </w:pPr>
      <w:bookmarkStart w:id="3959" w:name="_Toc259717424"/>
      <w:r w:rsidRPr="009448FC">
        <w:t>PHY characteristics</w:t>
      </w:r>
      <w:bookmarkEnd w:id="3959"/>
    </w:p>
    <w:p w:rsidR="009115A8" w:rsidRPr="009448FC" w:rsidRDefault="00F7034C" w:rsidP="0092725F">
      <w:pPr>
        <w:autoSpaceDE w:val="0"/>
        <w:autoSpaceDN w:val="0"/>
        <w:adjustRightInd w:val="0"/>
        <w:rPr>
          <w:rFonts w:ascii="TimesNewRomanPSMT" w:eastAsia="MS Mincho" w:hAnsi="TimesNewRomanPSMT"/>
        </w:rPr>
      </w:pPr>
      <w:r w:rsidRPr="009448FC">
        <w:rPr>
          <w:rFonts w:ascii="TimesNewRomanPSMT" w:eastAsia="MS Mincho" w:hAnsi="TimesNewRomanPSMT"/>
        </w:rPr>
        <w:t xml:space="preserve">The static </w:t>
      </w:r>
      <w:r w:rsidR="00E80AAA" w:rsidRPr="009448FC">
        <w:rPr>
          <w:rFonts w:ascii="TimesNewRomanPSMT" w:eastAsia="MS Mincho" w:hAnsi="TimesNewRomanPSMT"/>
        </w:rPr>
        <w:t>mmWave</w:t>
      </w:r>
      <w:r w:rsidRPr="009448FC">
        <w:rPr>
          <w:rFonts w:ascii="TimesNewRomanPSMT" w:eastAsia="MS Mincho" w:hAnsi="TimesNewRomanPSMT"/>
        </w:rPr>
        <w:t xml:space="preserve"> PHY characteristics, provided through the PLME-CHARACTERISTICS service primitive, shall be as shown in </w:t>
      </w:r>
      <w:r w:rsidR="00BD151C" w:rsidRPr="009448FC">
        <w:rPr>
          <w:rFonts w:ascii="TimesNewRomanPSMT" w:eastAsia="MS Mincho" w:hAnsi="TimesNewRomanPSMT"/>
        </w:rPr>
        <w:fldChar w:fldCharType="begin"/>
      </w:r>
      <w:r w:rsidR="009E703D" w:rsidRPr="009448FC">
        <w:rPr>
          <w:rFonts w:ascii="TimesNewRomanPSMT" w:eastAsia="MS Mincho" w:hAnsi="TimesNewRomanPSMT"/>
        </w:rPr>
        <w:instrText xml:space="preserve"> REF _Ref241317408 \h </w:instrText>
      </w:r>
      <w:r w:rsidR="00BD151C" w:rsidRPr="009448FC">
        <w:rPr>
          <w:rFonts w:ascii="TimesNewRomanPSMT" w:eastAsia="MS Mincho" w:hAnsi="TimesNewRomanPSMT"/>
        </w:rPr>
      </w:r>
      <w:r w:rsidR="00BD151C" w:rsidRPr="009448FC">
        <w:rPr>
          <w:rFonts w:ascii="TimesNewRomanPSMT" w:eastAsia="MS Mincho" w:hAnsi="TimesNewRomanPSMT"/>
        </w:rPr>
        <w:fldChar w:fldCharType="separate"/>
      </w:r>
      <w:r w:rsidR="003E4210" w:rsidRPr="00066F65">
        <w:t xml:space="preserve">Table </w:t>
      </w:r>
      <w:r w:rsidR="003E4210">
        <w:rPr>
          <w:noProof/>
        </w:rPr>
        <w:t>90</w:t>
      </w:r>
      <w:r w:rsidR="00BD151C" w:rsidRPr="009448FC">
        <w:rPr>
          <w:rFonts w:ascii="TimesNewRomanPSMT" w:eastAsia="MS Mincho" w:hAnsi="TimesNewRomanPSMT"/>
        </w:rPr>
        <w:fldChar w:fldCharType="end"/>
      </w:r>
      <w:r w:rsidRPr="009448FC">
        <w:rPr>
          <w:rFonts w:ascii="TimesNewRomanPSMT" w:eastAsia="MS Mincho" w:hAnsi="TimesNewRomanPSMT"/>
        </w:rPr>
        <w:t>. The definitions for these characteristics are given in 10.4</w:t>
      </w:r>
      <w:r w:rsidR="00E80AAA" w:rsidRPr="009448FC">
        <w:rPr>
          <w:rFonts w:ascii="TimesNewRomanPSMT" w:eastAsia="MS Mincho" w:hAnsi="TimesNewRomanPSMT"/>
        </w:rPr>
        <w:t>.</w:t>
      </w:r>
    </w:p>
    <w:p w:rsidR="00F7034C" w:rsidRPr="009448FC" w:rsidRDefault="00F7034C" w:rsidP="009A50BF">
      <w:pPr>
        <w:autoSpaceDE w:val="0"/>
        <w:autoSpaceDN w:val="0"/>
        <w:adjustRightInd w:val="0"/>
        <w:rPr>
          <w:rFonts w:ascii="TimesNewRomanPSMT" w:eastAsia="MS Mincho" w:hAnsi="TimesNewRomanPSMT"/>
        </w:rPr>
      </w:pPr>
    </w:p>
    <w:p w:rsidR="009E703D" w:rsidRPr="00066F65" w:rsidRDefault="009E703D" w:rsidP="009448FC">
      <w:pPr>
        <w:pStyle w:val="Caption"/>
        <w:keepNext/>
      </w:pPr>
      <w:bookmarkStart w:id="3960" w:name="_Ref241317408"/>
      <w:bookmarkStart w:id="3961" w:name="_Toc250654471"/>
      <w:bookmarkStart w:id="3962" w:name="_Toc259717668"/>
      <w:r w:rsidRPr="00066F65">
        <w:t xml:space="preserve">Table </w:t>
      </w:r>
      <w:r w:rsidR="00BD151C">
        <w:fldChar w:fldCharType="begin"/>
      </w:r>
      <w:r w:rsidR="00801316">
        <w:instrText xml:space="preserve"> SEQ Table \* ARABIC </w:instrText>
      </w:r>
      <w:r w:rsidR="00BD151C">
        <w:fldChar w:fldCharType="separate"/>
      </w:r>
      <w:r w:rsidR="003E4210">
        <w:rPr>
          <w:noProof/>
        </w:rPr>
        <w:t>90</w:t>
      </w:r>
      <w:r w:rsidR="00BD151C">
        <w:fldChar w:fldCharType="end"/>
      </w:r>
      <w:bookmarkEnd w:id="3960"/>
      <w:r w:rsidRPr="00066F65">
        <w:t xml:space="preserve"> </w:t>
      </w:r>
      <w:r w:rsidR="00112F8C" w:rsidRPr="00066F65">
        <w:t xml:space="preserve">– </w:t>
      </w:r>
      <w:r w:rsidRPr="00066F65">
        <w:t>mmWave PHY Characteristics</w:t>
      </w:r>
      <w:bookmarkEnd w:id="3961"/>
      <w:bookmarkEnd w:id="3962"/>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20" w:type="dxa"/>
          <w:left w:w="120" w:type="dxa"/>
          <w:bottom w:w="80" w:type="dxa"/>
          <w:right w:w="120" w:type="dxa"/>
        </w:tblCellMar>
        <w:tblLook w:val="0000"/>
      </w:tblPr>
      <w:tblGrid>
        <w:gridCol w:w="3147"/>
        <w:gridCol w:w="1118"/>
      </w:tblGrid>
      <w:tr w:rsidR="002C2DA9" w:rsidRPr="00066F65" w:rsidTr="002C2DA9">
        <w:trPr>
          <w:trHeight w:val="20"/>
          <w:jc w:val="center"/>
        </w:trPr>
        <w:tc>
          <w:tcPr>
            <w:tcW w:w="0" w:type="auto"/>
            <w:tcMar>
              <w:top w:w="160" w:type="dxa"/>
              <w:left w:w="120" w:type="dxa"/>
              <w:bottom w:w="120" w:type="dxa"/>
              <w:right w:w="120" w:type="dxa"/>
            </w:tcMar>
            <w:vAlign w:val="center"/>
          </w:tcPr>
          <w:p w:rsidR="00F7034C" w:rsidRPr="009448FC" w:rsidRDefault="00F7034C" w:rsidP="00FC4B4E">
            <w:pPr>
              <w:pStyle w:val="CellHeading"/>
              <w:widowControl w:val="0"/>
              <w:spacing w:line="240" w:lineRule="auto"/>
              <w:rPr>
                <w:rFonts w:ascii="Times New Roman" w:hAnsi="Times New Roman"/>
                <w:b/>
                <w:sz w:val="24"/>
                <w:lang w:val="en-US"/>
              </w:rPr>
            </w:pPr>
            <w:r w:rsidRPr="009448FC">
              <w:rPr>
                <w:rStyle w:val="Table"/>
                <w:rFonts w:ascii="Times New Roman" w:hAnsi="Times New Roman"/>
                <w:b/>
                <w:sz w:val="24"/>
              </w:rPr>
              <w:t>PHY Parameter</w:t>
            </w:r>
          </w:p>
        </w:tc>
        <w:tc>
          <w:tcPr>
            <w:tcW w:w="0" w:type="auto"/>
            <w:tcMar>
              <w:top w:w="160" w:type="dxa"/>
              <w:left w:w="120" w:type="dxa"/>
              <w:bottom w:w="120" w:type="dxa"/>
              <w:right w:w="120" w:type="dxa"/>
            </w:tcMar>
            <w:vAlign w:val="center"/>
          </w:tcPr>
          <w:p w:rsidR="00F7034C" w:rsidRPr="009448FC" w:rsidRDefault="00F7034C" w:rsidP="00FC4B4E">
            <w:pPr>
              <w:pStyle w:val="CellHeading"/>
              <w:widowControl w:val="0"/>
              <w:spacing w:line="240" w:lineRule="auto"/>
              <w:rPr>
                <w:rFonts w:ascii="Times New Roman" w:hAnsi="Times New Roman"/>
                <w:b/>
                <w:sz w:val="24"/>
                <w:lang w:val="en-US"/>
              </w:rPr>
            </w:pPr>
            <w:r w:rsidRPr="009448FC">
              <w:rPr>
                <w:rStyle w:val="Table"/>
                <w:rFonts w:ascii="Times New Roman" w:hAnsi="Times New Roman"/>
                <w:b/>
                <w:sz w:val="24"/>
              </w:rPr>
              <w:t>Value</w:t>
            </w:r>
          </w:p>
        </w:tc>
      </w:tr>
      <w:tr w:rsidR="002C2DA9" w:rsidRPr="00066F65" w:rsidTr="002C2DA9">
        <w:trPr>
          <w:trHeight w:val="27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Fonts w:ascii="Times New Roman" w:hAnsi="Times New Roman"/>
                <w:sz w:val="24"/>
                <w:lang w:val="en-US"/>
              </w:rPr>
            </w:pPr>
            <w:r w:rsidRPr="009448FC">
              <w:rPr>
                <w:rStyle w:val="Table"/>
                <w:rFonts w:ascii="Times New Roman" w:hAnsi="Times New Roman"/>
                <w:sz w:val="24"/>
              </w:rPr>
              <w:t>a</w:t>
            </w:r>
            <w:r w:rsidRPr="009448FC">
              <w:rPr>
                <w:rStyle w:val="Table"/>
                <w:rFonts w:ascii="Times New Roman" w:hAnsi="Times New Roman" w:hint="eastAsia"/>
                <w:sz w:val="24"/>
              </w:rPr>
              <w:t>R</w:t>
            </w:r>
            <w:r w:rsidRPr="009448FC">
              <w:rPr>
                <w:rStyle w:val="Table"/>
                <w:rFonts w:ascii="Times New Roman" w:hAnsi="Times New Roman"/>
                <w:sz w:val="24"/>
              </w:rPr>
              <w:t>IFSTime</w:t>
            </w:r>
          </w:p>
        </w:tc>
        <w:tc>
          <w:tcPr>
            <w:tcW w:w="0" w:type="auto"/>
            <w:tcMar>
              <w:top w:w="120" w:type="dxa"/>
              <w:left w:w="120" w:type="dxa"/>
              <w:bottom w:w="80" w:type="dxa"/>
              <w:right w:w="120" w:type="dxa"/>
            </w:tcMar>
          </w:tcPr>
          <w:p w:rsidR="00F7034C" w:rsidRPr="009448FC" w:rsidRDefault="009A367B" w:rsidP="00FC4B4E">
            <w:pPr>
              <w:pStyle w:val="CellBody"/>
              <w:widowControl w:val="0"/>
              <w:spacing w:line="240" w:lineRule="auto"/>
              <w:jc w:val="center"/>
              <w:rPr>
                <w:rFonts w:ascii="Times New Roman" w:hAnsi="Times New Roman"/>
                <w:sz w:val="24"/>
              </w:rPr>
            </w:pPr>
            <w:r w:rsidRPr="009448FC">
              <w:rPr>
                <w:rFonts w:ascii="Times New Roman" w:hAnsi="Times New Roman"/>
                <w:sz w:val="24"/>
              </w:rPr>
              <w:t>1usec</w:t>
            </w:r>
          </w:p>
        </w:tc>
      </w:tr>
      <w:tr w:rsidR="002C2DA9" w:rsidRPr="00066F65" w:rsidTr="002C2DA9">
        <w:trPr>
          <w:trHeight w:val="2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Fonts w:ascii="Times New Roman" w:hAnsi="Times New Roman"/>
                <w:sz w:val="24"/>
                <w:lang w:val="en-US"/>
              </w:rPr>
            </w:pPr>
            <w:r w:rsidRPr="009448FC">
              <w:rPr>
                <w:rStyle w:val="Table"/>
                <w:rFonts w:ascii="Times New Roman" w:hAnsi="Times New Roman"/>
                <w:sz w:val="24"/>
              </w:rPr>
              <w:t>aSIFSTime</w:t>
            </w:r>
          </w:p>
        </w:tc>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Fonts w:ascii="Times New Roman" w:hAnsi="Times New Roman"/>
                <w:sz w:val="24"/>
                <w:lang w:val="en-US"/>
              </w:rPr>
            </w:pPr>
            <w:r w:rsidRPr="009448FC">
              <w:rPr>
                <w:rStyle w:val="Symbol"/>
                <w:rFonts w:ascii="Times New Roman" w:hAnsi="Times New Roman"/>
                <w:w w:val="100"/>
                <w:sz w:val="24"/>
                <w:lang w:val="en-US"/>
              </w:rPr>
              <w:t>3usec</w:t>
            </w:r>
          </w:p>
        </w:tc>
      </w:tr>
      <w:tr w:rsidR="002C2DA9" w:rsidRPr="00066F65" w:rsidTr="002C2DA9">
        <w:trPr>
          <w:trHeight w:val="2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aDataPreambleLength</w:t>
            </w:r>
          </w:p>
        </w:tc>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Style w:val="Symbol"/>
                <w:rFonts w:ascii="Times New Roman" w:hAnsi="Times New Roman"/>
                <w:w w:val="100"/>
                <w:sz w:val="24"/>
                <w:lang w:val="en-US"/>
              </w:rPr>
            </w:pPr>
            <w:r w:rsidRPr="009448FC">
              <w:rPr>
                <w:rStyle w:val="Symbol"/>
                <w:rFonts w:ascii="Times New Roman" w:hAnsi="Times New Roman"/>
                <w:w w:val="100"/>
                <w:sz w:val="24"/>
                <w:lang w:val="en-US"/>
              </w:rPr>
              <w:t>1745ns</w:t>
            </w:r>
          </w:p>
        </w:tc>
      </w:tr>
      <w:tr w:rsidR="002C2DA9" w:rsidRPr="00066F65" w:rsidTr="002C2DA9">
        <w:trPr>
          <w:trHeight w:val="2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aControlPHYPreambleLength</w:t>
            </w:r>
          </w:p>
        </w:tc>
        <w:tc>
          <w:tcPr>
            <w:tcW w:w="0" w:type="auto"/>
            <w:tcMar>
              <w:top w:w="120" w:type="dxa"/>
              <w:left w:w="120" w:type="dxa"/>
              <w:bottom w:w="80" w:type="dxa"/>
              <w:right w:w="120" w:type="dxa"/>
            </w:tcMar>
          </w:tcPr>
          <w:p w:rsidR="00F7034C" w:rsidRPr="009448FC" w:rsidRDefault="00F7034C" w:rsidP="00240D38">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35</w:t>
            </w:r>
            <w:r w:rsidR="00240D38" w:rsidRPr="009448FC">
              <w:rPr>
                <w:rStyle w:val="Table"/>
                <w:rFonts w:ascii="Times New Roman" w:hAnsi="Times New Roman"/>
                <w:sz w:val="24"/>
              </w:rPr>
              <w:t>6</w:t>
            </w:r>
            <w:r w:rsidRPr="009448FC">
              <w:rPr>
                <w:rStyle w:val="Table"/>
                <w:rFonts w:ascii="Times New Roman" w:hAnsi="Times New Roman"/>
                <w:sz w:val="24"/>
              </w:rPr>
              <w:t>4ns</w:t>
            </w:r>
          </w:p>
        </w:tc>
      </w:tr>
      <w:tr w:rsidR="002C2DA9" w:rsidRPr="00066F65" w:rsidTr="002C2DA9">
        <w:trPr>
          <w:trHeight w:val="20"/>
          <w:jc w:val="center"/>
        </w:trPr>
        <w:tc>
          <w:tcPr>
            <w:tcW w:w="0" w:type="auto"/>
            <w:tcMar>
              <w:top w:w="120" w:type="dxa"/>
              <w:left w:w="120" w:type="dxa"/>
              <w:bottom w:w="80" w:type="dxa"/>
              <w:right w:w="120" w:type="dxa"/>
            </w:tcMar>
          </w:tcPr>
          <w:p w:rsidR="004E323A" w:rsidRPr="009448FC" w:rsidRDefault="009115A8"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aSBIFSTime</w:t>
            </w:r>
          </w:p>
        </w:tc>
        <w:tc>
          <w:tcPr>
            <w:tcW w:w="0" w:type="auto"/>
            <w:tcMar>
              <w:top w:w="120" w:type="dxa"/>
              <w:left w:w="120" w:type="dxa"/>
              <w:bottom w:w="80" w:type="dxa"/>
              <w:right w:w="120" w:type="dxa"/>
            </w:tcMar>
          </w:tcPr>
          <w:p w:rsidR="004E323A" w:rsidRPr="009448FC" w:rsidRDefault="009A367B" w:rsidP="00240D38">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1usec</w:t>
            </w:r>
          </w:p>
        </w:tc>
      </w:tr>
      <w:tr w:rsidR="002C2DA9" w:rsidRPr="00066F65" w:rsidTr="002C2DA9">
        <w:trPr>
          <w:trHeight w:val="20"/>
          <w:jc w:val="center"/>
        </w:trPr>
        <w:tc>
          <w:tcPr>
            <w:tcW w:w="0" w:type="auto"/>
            <w:tcMar>
              <w:top w:w="120" w:type="dxa"/>
              <w:left w:w="120" w:type="dxa"/>
              <w:bottom w:w="80" w:type="dxa"/>
              <w:right w:w="120" w:type="dxa"/>
            </w:tcMar>
          </w:tcPr>
          <w:p w:rsidR="00733397" w:rsidRPr="009448FC" w:rsidRDefault="00733397"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aAirPropagationTime</w:t>
            </w:r>
          </w:p>
        </w:tc>
        <w:tc>
          <w:tcPr>
            <w:tcW w:w="0" w:type="auto"/>
            <w:tcMar>
              <w:top w:w="120" w:type="dxa"/>
              <w:left w:w="120" w:type="dxa"/>
              <w:bottom w:w="80" w:type="dxa"/>
              <w:right w:w="120" w:type="dxa"/>
            </w:tcMar>
          </w:tcPr>
          <w:p w:rsidR="00733397" w:rsidRPr="009448FC" w:rsidRDefault="00733397" w:rsidP="00240D38">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&lt;&lt; 1usec</w:t>
            </w:r>
          </w:p>
        </w:tc>
      </w:tr>
      <w:tr w:rsidR="002C2DA9" w:rsidRPr="00066F65" w:rsidTr="002C2DA9">
        <w:trPr>
          <w:trHeight w:val="20"/>
          <w:jc w:val="center"/>
        </w:trPr>
        <w:tc>
          <w:tcPr>
            <w:tcW w:w="0" w:type="auto"/>
            <w:tcMar>
              <w:top w:w="120" w:type="dxa"/>
              <w:left w:w="120" w:type="dxa"/>
              <w:bottom w:w="80" w:type="dxa"/>
              <w:right w:w="120" w:type="dxa"/>
            </w:tcMar>
          </w:tcPr>
          <w:p w:rsidR="00D63DDF" w:rsidRPr="009448FC" w:rsidRDefault="00D63DDF"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aMmWaveDetectionThres</w:t>
            </w:r>
          </w:p>
        </w:tc>
        <w:tc>
          <w:tcPr>
            <w:tcW w:w="0" w:type="auto"/>
            <w:tcMar>
              <w:top w:w="120" w:type="dxa"/>
              <w:left w:w="120" w:type="dxa"/>
              <w:bottom w:w="80" w:type="dxa"/>
              <w:right w:w="120" w:type="dxa"/>
            </w:tcMar>
          </w:tcPr>
          <w:p w:rsidR="00D63DDF" w:rsidRPr="009448FC" w:rsidRDefault="00562FAA" w:rsidP="00240D38">
            <w:pPr>
              <w:pStyle w:val="CellBody"/>
              <w:widowControl w:val="0"/>
              <w:spacing w:line="240" w:lineRule="auto"/>
              <w:jc w:val="center"/>
              <w:rPr>
                <w:rStyle w:val="Table"/>
                <w:rFonts w:ascii="Times New Roman" w:hAnsi="Times New Roman"/>
                <w:sz w:val="24"/>
              </w:rPr>
            </w:pPr>
            <w:r>
              <w:rPr>
                <w:rStyle w:val="Table"/>
                <w:rFonts w:ascii="Times New Roman" w:hAnsi="Times New Roman"/>
                <w:sz w:val="24"/>
              </w:rPr>
              <w:t>-48</w:t>
            </w:r>
            <w:r w:rsidR="00D63DDF" w:rsidRPr="009448FC">
              <w:rPr>
                <w:rStyle w:val="Table"/>
                <w:rFonts w:ascii="Times New Roman" w:hAnsi="Times New Roman"/>
                <w:sz w:val="24"/>
              </w:rPr>
              <w:t xml:space="preserve"> dBm</w:t>
            </w:r>
          </w:p>
        </w:tc>
      </w:tr>
      <w:tr w:rsidR="002C2DA9" w:rsidRPr="00066F65" w:rsidTr="002C2DA9">
        <w:trPr>
          <w:trHeight w:val="20"/>
          <w:jc w:val="center"/>
        </w:trPr>
        <w:tc>
          <w:tcPr>
            <w:tcW w:w="0" w:type="auto"/>
            <w:tcMar>
              <w:top w:w="120" w:type="dxa"/>
              <w:left w:w="120" w:type="dxa"/>
              <w:bottom w:w="80" w:type="dxa"/>
              <w:right w:w="120" w:type="dxa"/>
            </w:tcMar>
          </w:tcPr>
          <w:p w:rsidR="00085EAB" w:rsidRPr="009448FC" w:rsidRDefault="00085EAB" w:rsidP="00FC4B4E">
            <w:pPr>
              <w:pStyle w:val="CellBody"/>
              <w:widowControl w:val="0"/>
              <w:spacing w:line="240" w:lineRule="auto"/>
              <w:jc w:val="center"/>
              <w:rPr>
                <w:rStyle w:val="Table"/>
                <w:rFonts w:ascii="Times New Roman" w:hAnsi="Times New Roman"/>
                <w:sz w:val="24"/>
              </w:rPr>
            </w:pPr>
            <w:r w:rsidRPr="00085EAB">
              <w:rPr>
                <w:rStyle w:val="Table"/>
                <w:rFonts w:ascii="Times New Roman" w:hAnsi="Times New Roman"/>
                <w:sz w:val="24"/>
              </w:rPr>
              <w:t>aBRPIFS</w:t>
            </w:r>
          </w:p>
        </w:tc>
        <w:tc>
          <w:tcPr>
            <w:tcW w:w="0" w:type="auto"/>
            <w:tcMar>
              <w:top w:w="120" w:type="dxa"/>
              <w:left w:w="120" w:type="dxa"/>
              <w:bottom w:w="80" w:type="dxa"/>
              <w:right w:w="120" w:type="dxa"/>
            </w:tcMar>
          </w:tcPr>
          <w:p w:rsidR="00085EAB" w:rsidRPr="009448FC" w:rsidRDefault="00085EAB" w:rsidP="00240D38">
            <w:pPr>
              <w:pStyle w:val="CellBody"/>
              <w:widowControl w:val="0"/>
              <w:spacing w:line="240" w:lineRule="auto"/>
              <w:jc w:val="center"/>
              <w:rPr>
                <w:rStyle w:val="Table"/>
                <w:rFonts w:ascii="Times New Roman" w:hAnsi="Times New Roman"/>
                <w:sz w:val="24"/>
              </w:rPr>
            </w:pPr>
            <w:r w:rsidRPr="00085EAB">
              <w:rPr>
                <w:rStyle w:val="Table"/>
                <w:rFonts w:ascii="Times New Roman" w:hAnsi="Times New Roman"/>
                <w:sz w:val="24"/>
              </w:rPr>
              <w:t>20usec</w:t>
            </w:r>
          </w:p>
        </w:tc>
      </w:tr>
      <w:tr w:rsidR="001B13DC" w:rsidRPr="00066F65" w:rsidTr="002C2DA9">
        <w:trPr>
          <w:trHeight w:val="20"/>
          <w:jc w:val="center"/>
        </w:trPr>
        <w:tc>
          <w:tcPr>
            <w:tcW w:w="0" w:type="auto"/>
            <w:tcMar>
              <w:top w:w="120" w:type="dxa"/>
              <w:left w:w="120" w:type="dxa"/>
              <w:bottom w:w="80" w:type="dxa"/>
              <w:right w:w="120" w:type="dxa"/>
            </w:tcMar>
          </w:tcPr>
          <w:p w:rsidR="001B13DC" w:rsidRPr="00085EAB" w:rsidRDefault="001B13DC" w:rsidP="00FC4B4E">
            <w:pPr>
              <w:pStyle w:val="CellBody"/>
              <w:widowControl w:val="0"/>
              <w:spacing w:line="240" w:lineRule="auto"/>
              <w:jc w:val="center"/>
              <w:rPr>
                <w:rStyle w:val="Table"/>
                <w:rFonts w:ascii="Times New Roman" w:hAnsi="Times New Roman"/>
                <w:sz w:val="24"/>
              </w:rPr>
            </w:pPr>
            <w:r>
              <w:rPr>
                <w:rStyle w:val="Table"/>
                <w:rFonts w:ascii="Times New Roman" w:hAnsi="Times New Roman"/>
                <w:sz w:val="24"/>
              </w:rPr>
              <w:t>aSlotTime</w:t>
            </w:r>
          </w:p>
        </w:tc>
        <w:tc>
          <w:tcPr>
            <w:tcW w:w="0" w:type="auto"/>
            <w:tcMar>
              <w:top w:w="120" w:type="dxa"/>
              <w:left w:w="120" w:type="dxa"/>
              <w:bottom w:w="80" w:type="dxa"/>
              <w:right w:w="120" w:type="dxa"/>
            </w:tcMar>
          </w:tcPr>
          <w:p w:rsidR="001B13DC" w:rsidRPr="00085EAB" w:rsidRDefault="002578A4" w:rsidP="00240D38">
            <w:pPr>
              <w:pStyle w:val="CellBody"/>
              <w:widowControl w:val="0"/>
              <w:spacing w:line="240" w:lineRule="auto"/>
              <w:jc w:val="center"/>
              <w:rPr>
                <w:rStyle w:val="Table"/>
                <w:rFonts w:ascii="Times New Roman" w:hAnsi="Times New Roman"/>
                <w:sz w:val="24"/>
              </w:rPr>
            </w:pPr>
            <w:r>
              <w:rPr>
                <w:rStyle w:val="Table"/>
                <w:rFonts w:ascii="Times New Roman" w:hAnsi="Times New Roman"/>
                <w:sz w:val="24"/>
              </w:rPr>
              <w:t>3</w:t>
            </w:r>
            <w:r w:rsidR="001B13DC">
              <w:rPr>
                <w:rStyle w:val="Table"/>
                <w:rFonts w:ascii="Times New Roman" w:hAnsi="Times New Roman"/>
                <w:sz w:val="24"/>
              </w:rPr>
              <w:t>usec</w:t>
            </w:r>
          </w:p>
        </w:tc>
      </w:tr>
    </w:tbl>
    <w:p w:rsidR="00085EAB" w:rsidRPr="009448FC" w:rsidRDefault="00BE1F31" w:rsidP="00733397">
      <w:pPr>
        <w:autoSpaceDE w:val="0"/>
        <w:autoSpaceDN w:val="0"/>
        <w:adjustRightInd w:val="0"/>
        <w:rPr>
          <w:rFonts w:ascii="TimesNewRomanPSMT" w:eastAsia="MS Mincho" w:hAnsi="TimesNewRomanPSMT"/>
        </w:rPr>
      </w:pPr>
      <w:r>
        <w:rPr>
          <w:rFonts w:ascii="TimesNewRomanPSMT" w:eastAsia="MS Mincho" w:hAnsi="TimesNewRomanPSMT"/>
        </w:rPr>
        <w:t xml:space="preserve"> </w:t>
      </w:r>
    </w:p>
    <w:p w:rsidR="00112F8C" w:rsidRPr="009448FC" w:rsidRDefault="00112F8C" w:rsidP="00733397">
      <w:pPr>
        <w:autoSpaceDE w:val="0"/>
        <w:autoSpaceDN w:val="0"/>
        <w:adjustRightInd w:val="0"/>
        <w:rPr>
          <w:rFonts w:ascii="TimesNewRomanPSMT" w:eastAsia="MS Mincho" w:hAnsi="TimesNewRomanPSMT"/>
        </w:rPr>
      </w:pPr>
    </w:p>
    <w:p w:rsidR="00112F8C" w:rsidRPr="00066F65" w:rsidRDefault="00112F8C" w:rsidP="00D66C0C">
      <w:pPr>
        <w:rPr>
          <w:b/>
          <w:i/>
          <w:color w:val="FF0000"/>
          <w:u w:val="single"/>
        </w:rPr>
      </w:pPr>
      <w:r w:rsidRPr="009448FC">
        <w:br w:type="page"/>
      </w:r>
    </w:p>
    <w:p w:rsidR="001975EC" w:rsidRPr="00066F65" w:rsidRDefault="001975EC" w:rsidP="001975EC">
      <w:pPr>
        <w:pStyle w:val="Heading1"/>
        <w:rPr>
          <w:rFonts w:ascii="Times New Roman" w:hAnsi="Times New Roman"/>
        </w:rPr>
      </w:pPr>
      <w:bookmarkStart w:id="3963" w:name="_Toc259717425"/>
      <w:r w:rsidRPr="00066F65">
        <w:rPr>
          <w:rFonts w:ascii="Times New Roman" w:hAnsi="Times New Roman"/>
        </w:rPr>
        <w:lastRenderedPageBreak/>
        <w:t>Annex A (normative) PICS</w:t>
      </w:r>
      <w:bookmarkEnd w:id="3963"/>
    </w:p>
    <w:p w:rsidR="001975EC" w:rsidRPr="009448FC" w:rsidRDefault="001975EC" w:rsidP="00112F8C"/>
    <w:p w:rsidR="001975EC" w:rsidRPr="00066F65" w:rsidRDefault="001975EC" w:rsidP="001975EC">
      <w:pPr>
        <w:pStyle w:val="Heading2"/>
      </w:pPr>
      <w:bookmarkStart w:id="3964" w:name="_Toc259717426"/>
      <w:r w:rsidRPr="00066F65">
        <w:t>A.4 PICS proforma-IEEE Std 802.11-2007</w:t>
      </w:r>
      <w:bookmarkEnd w:id="3964"/>
    </w:p>
    <w:p w:rsidR="001975EC" w:rsidRPr="009448FC" w:rsidRDefault="001975EC" w:rsidP="00112F8C"/>
    <w:p w:rsidR="001975EC" w:rsidRPr="009448FC" w:rsidRDefault="002B2687" w:rsidP="002B2687">
      <w:pPr>
        <w:pStyle w:val="Heading3"/>
      </w:pPr>
      <w:bookmarkStart w:id="3965" w:name="_Toc259717427"/>
      <w:r w:rsidRPr="009448FC">
        <w:t>A.4.3 IUT configuration</w:t>
      </w:r>
      <w:bookmarkEnd w:id="3965"/>
    </w:p>
    <w:p w:rsidR="001975EC" w:rsidRPr="009448FC" w:rsidRDefault="001975EC" w:rsidP="00112F8C"/>
    <w:p w:rsidR="002B2687" w:rsidRPr="009448FC" w:rsidRDefault="002B2687" w:rsidP="002B2687">
      <w:pPr>
        <w:autoSpaceDE w:val="0"/>
        <w:autoSpaceDN w:val="0"/>
        <w:adjustRightInd w:val="0"/>
        <w:rPr>
          <w:i/>
        </w:rPr>
      </w:pPr>
      <w:r w:rsidRPr="009448FC">
        <w:rPr>
          <w:i/>
        </w:rPr>
        <w:t>.11 Editor note: Modify the table as follows:</w:t>
      </w:r>
    </w:p>
    <w:p w:rsidR="002B2687" w:rsidRPr="009448FC" w:rsidRDefault="002B2687" w:rsidP="002B268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039"/>
        <w:gridCol w:w="2023"/>
        <w:gridCol w:w="2023"/>
        <w:gridCol w:w="2023"/>
      </w:tblGrid>
      <w:tr w:rsidR="002B2687" w:rsidRPr="00066F65" w:rsidTr="0001351C">
        <w:tc>
          <w:tcPr>
            <w:tcW w:w="498" w:type="pct"/>
          </w:tcPr>
          <w:p w:rsidR="002B2687" w:rsidRPr="009448FC" w:rsidRDefault="002B2687" w:rsidP="0001351C">
            <w:pPr>
              <w:jc w:val="both"/>
              <w:rPr>
                <w:rFonts w:eastAsia="SimSun"/>
                <w:b/>
              </w:rPr>
            </w:pPr>
            <w:r w:rsidRPr="009448FC">
              <w:rPr>
                <w:rFonts w:eastAsia="SimSun"/>
                <w:b/>
              </w:rPr>
              <w:t>Item</w:t>
            </w:r>
          </w:p>
        </w:tc>
        <w:tc>
          <w:tcPr>
            <w:tcW w:w="1502" w:type="pct"/>
          </w:tcPr>
          <w:p w:rsidR="002B2687" w:rsidRPr="009448FC" w:rsidRDefault="002B2687" w:rsidP="0001351C">
            <w:pPr>
              <w:jc w:val="both"/>
              <w:rPr>
                <w:rFonts w:eastAsia="SimSun"/>
                <w:b/>
              </w:rPr>
            </w:pPr>
            <w:r w:rsidRPr="009448FC">
              <w:rPr>
                <w:rFonts w:eastAsia="SimSun"/>
                <w:b/>
              </w:rPr>
              <w:t>IUT configuration</w:t>
            </w:r>
          </w:p>
        </w:tc>
        <w:tc>
          <w:tcPr>
            <w:tcW w:w="1000" w:type="pct"/>
          </w:tcPr>
          <w:p w:rsidR="002B2687" w:rsidRPr="009448FC" w:rsidRDefault="002B2687" w:rsidP="0001351C">
            <w:pPr>
              <w:jc w:val="both"/>
              <w:rPr>
                <w:rFonts w:eastAsia="SimSun"/>
                <w:b/>
              </w:rPr>
            </w:pPr>
            <w:r w:rsidRPr="009448FC">
              <w:rPr>
                <w:rFonts w:eastAsia="SimSun"/>
                <w:b/>
              </w:rPr>
              <w:t>References</w:t>
            </w:r>
          </w:p>
        </w:tc>
        <w:tc>
          <w:tcPr>
            <w:tcW w:w="1000" w:type="pct"/>
          </w:tcPr>
          <w:p w:rsidR="002B2687" w:rsidRPr="009448FC" w:rsidRDefault="002B2687" w:rsidP="0001351C">
            <w:pPr>
              <w:jc w:val="both"/>
              <w:rPr>
                <w:rFonts w:eastAsia="SimSun"/>
                <w:b/>
              </w:rPr>
            </w:pPr>
            <w:r w:rsidRPr="009448FC">
              <w:rPr>
                <w:rFonts w:eastAsia="SimSun"/>
                <w:b/>
              </w:rPr>
              <w:t>Status</w:t>
            </w:r>
          </w:p>
        </w:tc>
        <w:tc>
          <w:tcPr>
            <w:tcW w:w="1000" w:type="pct"/>
          </w:tcPr>
          <w:p w:rsidR="002B2687" w:rsidRPr="009448FC" w:rsidRDefault="002B2687" w:rsidP="0001351C">
            <w:pPr>
              <w:jc w:val="both"/>
              <w:rPr>
                <w:rFonts w:eastAsia="SimSun"/>
                <w:b/>
              </w:rPr>
            </w:pPr>
            <w:r w:rsidRPr="009448FC">
              <w:rPr>
                <w:rFonts w:eastAsia="SimSun"/>
                <w:b/>
              </w:rPr>
              <w:t>Support</w:t>
            </w:r>
          </w:p>
        </w:tc>
      </w:tr>
      <w:tr w:rsidR="002B2687" w:rsidRPr="00066F65" w:rsidTr="0001351C">
        <w:tc>
          <w:tcPr>
            <w:tcW w:w="498" w:type="pct"/>
          </w:tcPr>
          <w:p w:rsidR="002B2687" w:rsidRPr="009448FC" w:rsidRDefault="002B2687" w:rsidP="0001351C">
            <w:pPr>
              <w:jc w:val="both"/>
              <w:rPr>
                <w:rFonts w:eastAsia="SimSun"/>
              </w:rPr>
            </w:pPr>
            <w:r w:rsidRPr="009448FC">
              <w:rPr>
                <w:rFonts w:eastAsia="SimSun"/>
              </w:rPr>
              <w:t>* CF10</w:t>
            </w:r>
          </w:p>
        </w:tc>
        <w:tc>
          <w:tcPr>
            <w:tcW w:w="1502" w:type="pct"/>
          </w:tcPr>
          <w:p w:rsidR="002B2687" w:rsidRPr="009448FC" w:rsidRDefault="002B2687" w:rsidP="0001351C">
            <w:pPr>
              <w:jc w:val="both"/>
              <w:rPr>
                <w:rFonts w:eastAsia="SimSun"/>
              </w:rPr>
            </w:pPr>
            <w:r w:rsidRPr="009448FC">
              <w:rPr>
                <w:rFonts w:eastAsia="SimSun"/>
              </w:rPr>
              <w:t>Is spectrum management operation supported?</w:t>
            </w:r>
          </w:p>
        </w:tc>
        <w:tc>
          <w:tcPr>
            <w:tcW w:w="1000" w:type="pct"/>
          </w:tcPr>
          <w:p w:rsidR="002B2687" w:rsidRPr="009448FC" w:rsidRDefault="002B2687" w:rsidP="0001351C">
            <w:pPr>
              <w:jc w:val="both"/>
              <w:rPr>
                <w:rFonts w:eastAsia="SimSun"/>
              </w:rPr>
            </w:pPr>
            <w:r w:rsidRPr="009448FC">
              <w:rPr>
                <w:rFonts w:eastAsia="SimSun"/>
              </w:rPr>
              <w:t>7.3.1.4, 11.6</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(CF6 OR</w:t>
            </w:r>
          </w:p>
          <w:p w:rsidR="002B2687" w:rsidRPr="009448FC" w:rsidRDefault="002B2687" w:rsidP="0001351C">
            <w:pPr>
              <w:jc w:val="both"/>
              <w:rPr>
                <w:rFonts w:eastAsia="SimSun"/>
              </w:rPr>
            </w:pPr>
            <w:r w:rsidRPr="009448FC">
              <w:rPr>
                <w:rFonts w:eastAsia="SimSun"/>
              </w:rPr>
              <w:t xml:space="preserve">CF16 </w:t>
            </w:r>
            <w:r w:rsidRPr="00066F65">
              <w:rPr>
                <w:rFonts w:eastAsia="SimSun"/>
                <w:u w:val="single"/>
                <w:lang w:eastAsia="ko-KR" w:bidi="ar-SA"/>
              </w:rPr>
              <w:t>OR CF17</w:t>
            </w:r>
            <w:r w:rsidRPr="009448FC">
              <w:rPr>
                <w:rFonts w:eastAsia="SimSun"/>
              </w:rPr>
              <w:t>):O</w:t>
            </w:r>
          </w:p>
        </w:tc>
        <w:tc>
          <w:tcPr>
            <w:tcW w:w="1000" w:type="pct"/>
          </w:tcPr>
          <w:p w:rsidR="002B2687" w:rsidRPr="009448FC" w:rsidRDefault="002B2687" w:rsidP="0001351C">
            <w:pPr>
              <w:jc w:val="both"/>
              <w:rPr>
                <w:rFonts w:eastAsia="SimSun"/>
              </w:rPr>
            </w:pPr>
            <w:r w:rsidRPr="009448FC">
              <w:rPr>
                <w:rFonts w:eastAsia="SimSun"/>
              </w:rPr>
              <w:t>Yes, No</w:t>
            </w:r>
          </w:p>
        </w:tc>
      </w:tr>
      <w:tr w:rsidR="002B2687" w:rsidRPr="00066F65" w:rsidTr="0001351C">
        <w:tc>
          <w:tcPr>
            <w:tcW w:w="498" w:type="pct"/>
          </w:tcPr>
          <w:p w:rsidR="002B2687" w:rsidRPr="009448FC" w:rsidRDefault="002B2687" w:rsidP="0001351C">
            <w:pPr>
              <w:jc w:val="both"/>
              <w:rPr>
                <w:rFonts w:eastAsia="SimSun"/>
              </w:rPr>
            </w:pPr>
            <w:r w:rsidRPr="009448FC">
              <w:rPr>
                <w:rFonts w:eastAsia="SimSun"/>
              </w:rPr>
              <w:t>* CF11</w:t>
            </w:r>
          </w:p>
        </w:tc>
        <w:tc>
          <w:tcPr>
            <w:tcW w:w="1502" w:type="pct"/>
          </w:tcPr>
          <w:p w:rsidR="002B2687" w:rsidRPr="009448FC" w:rsidRDefault="002B2687" w:rsidP="0001351C">
            <w:pPr>
              <w:jc w:val="both"/>
              <w:rPr>
                <w:rFonts w:eastAsia="SimSun"/>
              </w:rPr>
            </w:pPr>
            <w:r w:rsidRPr="009448FC">
              <w:rPr>
                <w:rFonts w:eastAsia="SimSun"/>
              </w:rPr>
              <w:t>Is regulatory classes capability implemented?</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7.3.2.12,</w:t>
            </w:r>
          </w:p>
          <w:p w:rsidR="002B2687" w:rsidRPr="009448FC" w:rsidRDefault="002B2687" w:rsidP="0001351C">
            <w:pPr>
              <w:autoSpaceDE w:val="0"/>
              <w:autoSpaceDN w:val="0"/>
              <w:adjustRightInd w:val="0"/>
              <w:jc w:val="both"/>
              <w:rPr>
                <w:rFonts w:eastAsia="SimSun"/>
              </w:rPr>
            </w:pPr>
            <w:r w:rsidRPr="009448FC">
              <w:rPr>
                <w:rFonts w:eastAsia="SimSun"/>
              </w:rPr>
              <w:t>17.3.8.3.2,</w:t>
            </w:r>
          </w:p>
          <w:p w:rsidR="002B2687" w:rsidRPr="009448FC" w:rsidRDefault="002B2687" w:rsidP="0001351C">
            <w:pPr>
              <w:autoSpaceDE w:val="0"/>
              <w:autoSpaceDN w:val="0"/>
              <w:adjustRightInd w:val="0"/>
              <w:jc w:val="both"/>
              <w:rPr>
                <w:rFonts w:eastAsia="SimSun"/>
              </w:rPr>
            </w:pPr>
            <w:r w:rsidRPr="009448FC">
              <w:rPr>
                <w:rFonts w:eastAsia="SimSun"/>
              </w:rPr>
              <w:t>17.3.8.6,</w:t>
            </w:r>
          </w:p>
          <w:p w:rsidR="002B2687" w:rsidRPr="009448FC" w:rsidRDefault="002B2687" w:rsidP="0001351C">
            <w:pPr>
              <w:autoSpaceDE w:val="0"/>
              <w:autoSpaceDN w:val="0"/>
              <w:adjustRightInd w:val="0"/>
              <w:jc w:val="both"/>
              <w:rPr>
                <w:rFonts w:eastAsia="SimSun"/>
              </w:rPr>
            </w:pPr>
            <w:r w:rsidRPr="009448FC">
              <w:rPr>
                <w:rFonts w:eastAsia="SimSun"/>
              </w:rPr>
              <w:t>17.4.2,</w:t>
            </w:r>
          </w:p>
          <w:p w:rsidR="002B2687" w:rsidRPr="009448FC" w:rsidRDefault="002B2687" w:rsidP="0001351C">
            <w:pPr>
              <w:autoSpaceDE w:val="0"/>
              <w:autoSpaceDN w:val="0"/>
              <w:adjustRightInd w:val="0"/>
              <w:jc w:val="both"/>
              <w:rPr>
                <w:rFonts w:eastAsia="SimSun"/>
              </w:rPr>
            </w:pPr>
            <w:r w:rsidRPr="009448FC">
              <w:rPr>
                <w:rFonts w:eastAsia="SimSun"/>
              </w:rPr>
              <w:t>Annex I,</w:t>
            </w:r>
          </w:p>
          <w:p w:rsidR="002B2687" w:rsidRPr="009448FC" w:rsidRDefault="002B2687" w:rsidP="0001351C">
            <w:pPr>
              <w:jc w:val="both"/>
              <w:rPr>
                <w:rFonts w:eastAsia="SimSun"/>
              </w:rPr>
            </w:pPr>
            <w:r w:rsidRPr="009448FC">
              <w:rPr>
                <w:rFonts w:eastAsia="SimSun"/>
              </w:rPr>
              <w:t>Annex J</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(CF6 OR</w:t>
            </w:r>
          </w:p>
          <w:p w:rsidR="002B2687" w:rsidRPr="009448FC" w:rsidRDefault="002B2687" w:rsidP="0001351C">
            <w:pPr>
              <w:autoSpaceDE w:val="0"/>
              <w:autoSpaceDN w:val="0"/>
              <w:adjustRightInd w:val="0"/>
              <w:jc w:val="both"/>
              <w:rPr>
                <w:rFonts w:eastAsia="SimSun"/>
              </w:rPr>
            </w:pPr>
            <w:r w:rsidRPr="009448FC">
              <w:rPr>
                <w:rFonts w:eastAsia="SimSun"/>
              </w:rPr>
              <w:t xml:space="preserve">CF16 </w:t>
            </w:r>
            <w:r w:rsidRPr="00066F65">
              <w:rPr>
                <w:rFonts w:eastAsia="SimSun"/>
                <w:u w:val="single"/>
                <w:lang w:eastAsia="ko-KR" w:bidi="ar-SA"/>
              </w:rPr>
              <w:t>OR CF17</w:t>
            </w:r>
            <w:r w:rsidRPr="009448FC">
              <w:rPr>
                <w:rFonts w:eastAsia="SimSun"/>
              </w:rPr>
              <w:t>)&amp;</w:t>
            </w:r>
          </w:p>
          <w:p w:rsidR="002B2687" w:rsidRPr="009448FC" w:rsidRDefault="002B2687" w:rsidP="0001351C">
            <w:pPr>
              <w:jc w:val="both"/>
              <w:rPr>
                <w:rFonts w:eastAsia="SimSun"/>
              </w:rPr>
            </w:pPr>
            <w:r w:rsidRPr="009448FC">
              <w:rPr>
                <w:rFonts w:eastAsia="SimSun"/>
              </w:rPr>
              <w:t>CF8&amp;CF10:O</w:t>
            </w:r>
          </w:p>
        </w:tc>
        <w:tc>
          <w:tcPr>
            <w:tcW w:w="1000" w:type="pct"/>
          </w:tcPr>
          <w:p w:rsidR="002B2687" w:rsidRPr="009448FC" w:rsidRDefault="002B2687" w:rsidP="0001351C">
            <w:pPr>
              <w:jc w:val="both"/>
              <w:rPr>
                <w:rFonts w:eastAsia="SimSun"/>
              </w:rPr>
            </w:pPr>
            <w:r w:rsidRPr="009448FC">
              <w:rPr>
                <w:rFonts w:eastAsia="SimSun"/>
              </w:rPr>
              <w:t>Yes, No, N/A</w:t>
            </w:r>
          </w:p>
        </w:tc>
      </w:tr>
      <w:tr w:rsidR="002B2687" w:rsidRPr="00066F65" w:rsidTr="0001351C">
        <w:tc>
          <w:tcPr>
            <w:tcW w:w="498" w:type="pct"/>
          </w:tcPr>
          <w:p w:rsidR="002B2687" w:rsidRPr="009448FC" w:rsidRDefault="002B2687" w:rsidP="0001351C">
            <w:pPr>
              <w:jc w:val="both"/>
              <w:rPr>
                <w:rFonts w:eastAsia="SimSun"/>
              </w:rPr>
            </w:pPr>
            <w:r w:rsidRPr="009448FC">
              <w:rPr>
                <w:rFonts w:eastAsia="SimSun"/>
              </w:rPr>
              <w:t>* CF12</w:t>
            </w:r>
          </w:p>
        </w:tc>
        <w:tc>
          <w:tcPr>
            <w:tcW w:w="1502" w:type="pct"/>
          </w:tcPr>
          <w:p w:rsidR="002B2687" w:rsidRPr="009448FC" w:rsidRDefault="002B2687" w:rsidP="0001351C">
            <w:pPr>
              <w:jc w:val="both"/>
              <w:rPr>
                <w:rFonts w:eastAsia="SimSun"/>
              </w:rPr>
            </w:pPr>
            <w:r w:rsidRPr="009448FC">
              <w:rPr>
                <w:rFonts w:eastAsia="SimSun"/>
              </w:rPr>
              <w:t>QoS</w:t>
            </w:r>
          </w:p>
        </w:tc>
        <w:tc>
          <w:tcPr>
            <w:tcW w:w="1000" w:type="pct"/>
          </w:tcPr>
          <w:p w:rsidR="002B2687" w:rsidRPr="009448FC" w:rsidRDefault="002B2687" w:rsidP="0001351C">
            <w:pPr>
              <w:jc w:val="both"/>
              <w:rPr>
                <w:rFonts w:eastAsia="SimSun"/>
              </w:rPr>
            </w:pPr>
            <w:r w:rsidRPr="009448FC">
              <w:rPr>
                <w:rFonts w:eastAsia="SimSun"/>
              </w:rPr>
              <w:t>9.9, 9.10, 5.2.9</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O</w:t>
            </w:r>
          </w:p>
          <w:p w:rsidR="002B2687" w:rsidRPr="009448FC" w:rsidRDefault="002B2687" w:rsidP="0001351C">
            <w:pPr>
              <w:jc w:val="both"/>
              <w:rPr>
                <w:rFonts w:eastAsia="SimSun"/>
              </w:rPr>
            </w:pPr>
            <w:r w:rsidRPr="009448FC">
              <w:rPr>
                <w:rFonts w:eastAsia="SimSun"/>
              </w:rPr>
              <w:t>CF16</w:t>
            </w:r>
            <w:r w:rsidRPr="00066F65">
              <w:rPr>
                <w:rFonts w:eastAsia="SimSun"/>
                <w:u w:val="single"/>
                <w:lang w:eastAsia="ko-KR" w:bidi="ar-SA"/>
              </w:rPr>
              <w:t>&amp;CF17</w:t>
            </w:r>
            <w:r w:rsidRPr="009448FC">
              <w:rPr>
                <w:rFonts w:eastAsia="SimSun"/>
              </w:rPr>
              <w:t>:M</w:t>
            </w:r>
          </w:p>
        </w:tc>
        <w:tc>
          <w:tcPr>
            <w:tcW w:w="1000" w:type="pct"/>
          </w:tcPr>
          <w:p w:rsidR="002B2687" w:rsidRPr="009448FC" w:rsidRDefault="002B2687" w:rsidP="0001351C">
            <w:pPr>
              <w:jc w:val="both"/>
              <w:rPr>
                <w:rFonts w:eastAsia="SimSun"/>
              </w:rPr>
            </w:pPr>
            <w:r w:rsidRPr="009448FC">
              <w:rPr>
                <w:rFonts w:eastAsia="SimSun"/>
              </w:rPr>
              <w:t>Yes, No, N/A</w:t>
            </w:r>
          </w:p>
        </w:tc>
      </w:tr>
      <w:tr w:rsidR="002B2687" w:rsidRPr="00066F65" w:rsidTr="0001351C">
        <w:tc>
          <w:tcPr>
            <w:tcW w:w="498"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 CF17</w:t>
            </w:r>
          </w:p>
        </w:tc>
        <w:tc>
          <w:tcPr>
            <w:tcW w:w="1502"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mmWave features</w:t>
            </w:r>
          </w:p>
        </w:tc>
        <w:tc>
          <w:tcPr>
            <w:tcW w:w="1000"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7.3.2.62</w:t>
            </w:r>
          </w:p>
        </w:tc>
        <w:tc>
          <w:tcPr>
            <w:tcW w:w="1000"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O</w:t>
            </w:r>
          </w:p>
        </w:tc>
        <w:tc>
          <w:tcPr>
            <w:tcW w:w="1000"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Yes, No</w:t>
            </w:r>
            <w:r w:rsidR="00281486" w:rsidRPr="00066F65">
              <w:rPr>
                <w:rFonts w:eastAsia="SimSun"/>
                <w:u w:val="single"/>
                <w:lang w:eastAsia="ko-KR" w:bidi="ar-SA"/>
              </w:rPr>
              <w:t xml:space="preserve"> </w:t>
            </w:r>
          </w:p>
        </w:tc>
      </w:tr>
    </w:tbl>
    <w:p w:rsidR="002B2687" w:rsidRPr="009448FC" w:rsidRDefault="002B2687" w:rsidP="002B2687"/>
    <w:p w:rsidR="002B2687" w:rsidRPr="009448FC" w:rsidRDefault="002B2687" w:rsidP="002B2687">
      <w:pPr>
        <w:autoSpaceDE w:val="0"/>
        <w:autoSpaceDN w:val="0"/>
        <w:adjustRightInd w:val="0"/>
        <w:rPr>
          <w:i/>
        </w:rPr>
      </w:pPr>
      <w:r w:rsidRPr="009448FC">
        <w:rPr>
          <w:i/>
        </w:rPr>
        <w:t>.11 Editor note: Insert the following subclause:</w:t>
      </w:r>
    </w:p>
    <w:p w:rsidR="002B2687" w:rsidRPr="009448FC" w:rsidRDefault="002B2687" w:rsidP="00112F8C"/>
    <w:p w:rsidR="002B2687" w:rsidRPr="009448FC" w:rsidRDefault="002B2687" w:rsidP="002B2687">
      <w:pPr>
        <w:pStyle w:val="Heading3"/>
      </w:pPr>
      <w:bookmarkStart w:id="3966" w:name="_Toc259717428"/>
      <w:r w:rsidRPr="009448FC">
        <w:t>A.4.21 mmWave features</w:t>
      </w:r>
      <w:bookmarkEnd w:id="3966"/>
    </w:p>
    <w:p w:rsidR="002B2687" w:rsidRPr="009448FC" w:rsidRDefault="002B2687" w:rsidP="00112F8C"/>
    <w:p w:rsidR="002B2687" w:rsidRPr="009448FC" w:rsidRDefault="002B2687" w:rsidP="002B2687">
      <w:pPr>
        <w:pStyle w:val="Heading4"/>
      </w:pPr>
      <w:bookmarkStart w:id="3967" w:name="_Toc259717429"/>
      <w:r w:rsidRPr="009448FC">
        <w:t>A.4.21.1 mmWave MAC features</w:t>
      </w:r>
      <w:bookmarkEnd w:id="3967"/>
    </w:p>
    <w:p w:rsidR="002B2687" w:rsidRPr="009448FC" w:rsidRDefault="002B2687" w:rsidP="00112F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4"/>
        <w:gridCol w:w="2972"/>
        <w:gridCol w:w="1831"/>
        <w:gridCol w:w="1943"/>
        <w:gridCol w:w="1706"/>
      </w:tblGrid>
      <w:tr w:rsidR="002B2687" w:rsidRPr="00066F65" w:rsidTr="00421C2D">
        <w:tc>
          <w:tcPr>
            <w:tcW w:w="822" w:type="pct"/>
          </w:tcPr>
          <w:p w:rsidR="002B2687" w:rsidRPr="009448FC" w:rsidRDefault="002B2687" w:rsidP="0001351C">
            <w:pPr>
              <w:jc w:val="both"/>
              <w:rPr>
                <w:rFonts w:eastAsia="SimSun"/>
                <w:b/>
              </w:rPr>
            </w:pPr>
            <w:r w:rsidRPr="009448FC">
              <w:rPr>
                <w:rFonts w:eastAsia="SimSun"/>
                <w:b/>
              </w:rPr>
              <w:t>Item</w:t>
            </w:r>
          </w:p>
        </w:tc>
        <w:tc>
          <w:tcPr>
            <w:tcW w:w="1469" w:type="pct"/>
          </w:tcPr>
          <w:p w:rsidR="002B2687" w:rsidRPr="009448FC" w:rsidRDefault="002B2687" w:rsidP="0001351C">
            <w:pPr>
              <w:jc w:val="both"/>
              <w:rPr>
                <w:rFonts w:eastAsia="SimSun"/>
                <w:b/>
              </w:rPr>
            </w:pPr>
            <w:r w:rsidRPr="009448FC">
              <w:rPr>
                <w:rFonts w:eastAsia="SimSun"/>
                <w:b/>
              </w:rPr>
              <w:t>Protocol capability</w:t>
            </w:r>
          </w:p>
        </w:tc>
        <w:tc>
          <w:tcPr>
            <w:tcW w:w="905" w:type="pct"/>
          </w:tcPr>
          <w:p w:rsidR="002B2687" w:rsidRPr="009448FC" w:rsidRDefault="002B2687" w:rsidP="0001351C">
            <w:pPr>
              <w:jc w:val="both"/>
              <w:rPr>
                <w:rFonts w:eastAsia="SimSun"/>
                <w:b/>
              </w:rPr>
            </w:pPr>
            <w:r w:rsidRPr="009448FC">
              <w:rPr>
                <w:rFonts w:eastAsia="SimSun"/>
                <w:b/>
              </w:rPr>
              <w:t>References</w:t>
            </w:r>
          </w:p>
        </w:tc>
        <w:tc>
          <w:tcPr>
            <w:tcW w:w="960" w:type="pct"/>
          </w:tcPr>
          <w:p w:rsidR="002B2687" w:rsidRPr="009448FC" w:rsidRDefault="002B2687" w:rsidP="0001351C">
            <w:pPr>
              <w:jc w:val="both"/>
              <w:rPr>
                <w:rFonts w:eastAsia="SimSun"/>
                <w:b/>
              </w:rPr>
            </w:pPr>
            <w:r w:rsidRPr="009448FC">
              <w:rPr>
                <w:rFonts w:eastAsia="SimSun"/>
                <w:b/>
              </w:rPr>
              <w:t>Status</w:t>
            </w:r>
          </w:p>
        </w:tc>
        <w:tc>
          <w:tcPr>
            <w:tcW w:w="843" w:type="pct"/>
          </w:tcPr>
          <w:p w:rsidR="002B2687" w:rsidRPr="009448FC" w:rsidRDefault="002B2687" w:rsidP="0001351C">
            <w:pPr>
              <w:jc w:val="both"/>
              <w:rPr>
                <w:rFonts w:eastAsia="SimSun"/>
                <w:b/>
              </w:rPr>
            </w:pPr>
            <w:r w:rsidRPr="009448FC">
              <w:rPr>
                <w:rFonts w:eastAsia="SimSun"/>
                <w:b/>
              </w:rPr>
              <w:t>Support</w:t>
            </w:r>
          </w:p>
        </w:tc>
      </w:tr>
      <w:tr w:rsidR="002B2687" w:rsidRPr="00066F65" w:rsidTr="00421C2D">
        <w:tc>
          <w:tcPr>
            <w:tcW w:w="822" w:type="pct"/>
          </w:tcPr>
          <w:p w:rsidR="002B2687" w:rsidRPr="009448FC" w:rsidRDefault="002B2687" w:rsidP="0001351C">
            <w:pPr>
              <w:jc w:val="both"/>
              <w:rPr>
                <w:rFonts w:eastAsia="SimSun"/>
              </w:rPr>
            </w:pPr>
          </w:p>
        </w:tc>
        <w:tc>
          <w:tcPr>
            <w:tcW w:w="1469" w:type="pct"/>
          </w:tcPr>
          <w:p w:rsidR="002B2687" w:rsidRPr="009448FC" w:rsidRDefault="002B2687" w:rsidP="0001351C">
            <w:pPr>
              <w:jc w:val="both"/>
              <w:rPr>
                <w:rFonts w:eastAsia="SimSun"/>
              </w:rPr>
            </w:pPr>
            <w:r w:rsidRPr="009448FC">
              <w:rPr>
                <w:rFonts w:eastAsia="SimSun"/>
              </w:rPr>
              <w:t>Are the following MAC protocol features supported?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w:t>
            </w:r>
          </w:p>
        </w:tc>
        <w:tc>
          <w:tcPr>
            <w:tcW w:w="1469" w:type="pct"/>
          </w:tcPr>
          <w:p w:rsidR="002B2687" w:rsidRPr="009448FC" w:rsidRDefault="002B2687" w:rsidP="0001351C">
            <w:pPr>
              <w:jc w:val="both"/>
              <w:rPr>
                <w:rFonts w:eastAsia="SimSun"/>
              </w:rPr>
            </w:pPr>
            <w:r w:rsidRPr="009448FC">
              <w:rPr>
                <w:rFonts w:eastAsia="SimSun"/>
              </w:rPr>
              <w:t>mmWave capabilities signaling</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mmWaveM1.1</w:t>
            </w:r>
          </w:p>
        </w:tc>
        <w:tc>
          <w:tcPr>
            <w:tcW w:w="1469" w:type="pct"/>
          </w:tcPr>
          <w:p w:rsidR="002B2687" w:rsidRPr="009448FC" w:rsidRDefault="00B910DA" w:rsidP="0001351C">
            <w:pPr>
              <w:jc w:val="both"/>
              <w:rPr>
                <w:rFonts w:eastAsia="SimSun"/>
              </w:rPr>
            </w:pPr>
            <w:r w:rsidRPr="009448FC">
              <w:rPr>
                <w:rFonts w:eastAsia="SimSun"/>
              </w:rPr>
              <w:t>mmWave Capabilities</w:t>
            </w:r>
            <w:r w:rsidR="002B2687" w:rsidRPr="009448FC">
              <w:rPr>
                <w:rFonts w:eastAsia="SimSun"/>
              </w:rPr>
              <w:t xml:space="preserve"> element</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r w:rsidRPr="009448FC">
              <w:rPr>
                <w:rFonts w:eastAsia="SimSun"/>
              </w:rPr>
              <w:t xml:space="preserve">Yes, No, N/A </w:t>
            </w: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w:t>
            </w:r>
          </w:p>
        </w:tc>
        <w:tc>
          <w:tcPr>
            <w:tcW w:w="1469" w:type="pct"/>
          </w:tcPr>
          <w:p w:rsidR="002B2687" w:rsidRPr="009448FC" w:rsidRDefault="002B2687" w:rsidP="0001351C">
            <w:pPr>
              <w:jc w:val="both"/>
              <w:rPr>
                <w:rFonts w:eastAsia="SimSun"/>
              </w:rPr>
            </w:pPr>
            <w:r w:rsidRPr="009448FC">
              <w:rPr>
                <w:rFonts w:eastAsia="SimSun"/>
              </w:rPr>
              <w:t>mmWave channel access</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mmWaveM2.1</w:t>
            </w:r>
          </w:p>
        </w:tc>
        <w:tc>
          <w:tcPr>
            <w:tcW w:w="1469" w:type="pct"/>
          </w:tcPr>
          <w:p w:rsidR="002B2687" w:rsidRPr="009448FC" w:rsidRDefault="002B2687" w:rsidP="0001351C">
            <w:pPr>
              <w:jc w:val="both"/>
              <w:rPr>
                <w:rFonts w:eastAsia="SimSun"/>
              </w:rPr>
            </w:pPr>
            <w:r w:rsidRPr="009448FC">
              <w:rPr>
                <w:rFonts w:eastAsia="SimSun"/>
              </w:rPr>
              <w:t>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mmWaveM2.2</w:t>
            </w:r>
          </w:p>
        </w:tc>
        <w:tc>
          <w:tcPr>
            <w:tcW w:w="1469" w:type="pct"/>
          </w:tcPr>
          <w:p w:rsidR="002B2687" w:rsidRPr="009448FC" w:rsidRDefault="002B2687" w:rsidP="0001351C">
            <w:pPr>
              <w:jc w:val="both"/>
              <w:rPr>
                <w:rFonts w:eastAsia="SimSun"/>
              </w:rPr>
            </w:pPr>
            <w:r w:rsidRPr="009448FC">
              <w:rPr>
                <w:rFonts w:eastAsia="SimSun"/>
              </w:rPr>
              <w:t>Contention-based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mmWaveM2.3</w:t>
            </w:r>
          </w:p>
        </w:tc>
        <w:tc>
          <w:tcPr>
            <w:tcW w:w="1469" w:type="pct"/>
          </w:tcPr>
          <w:p w:rsidR="002B2687" w:rsidRPr="009448FC" w:rsidRDefault="002B2687" w:rsidP="0001351C">
            <w:pPr>
              <w:jc w:val="both"/>
              <w:rPr>
                <w:rFonts w:eastAsia="SimSun"/>
              </w:rPr>
            </w:pPr>
            <w:r w:rsidRPr="009448FC">
              <w:rPr>
                <w:rFonts w:eastAsia="SimSun"/>
              </w:rPr>
              <w:t>mmWave protected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mmWaveM2.4</w:t>
            </w:r>
          </w:p>
        </w:tc>
        <w:tc>
          <w:tcPr>
            <w:tcW w:w="1469" w:type="pct"/>
          </w:tcPr>
          <w:p w:rsidR="002B2687" w:rsidRPr="009448FC" w:rsidRDefault="002B2687" w:rsidP="0001351C">
            <w:pPr>
              <w:jc w:val="both"/>
              <w:rPr>
                <w:rFonts w:eastAsia="SimSun"/>
              </w:rPr>
            </w:pPr>
            <w:r w:rsidRPr="009448FC">
              <w:rPr>
                <w:rFonts w:eastAsia="SimSun"/>
              </w:rPr>
              <w:t>Dynamic allocation of 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mmWaveM2.5</w:t>
            </w:r>
          </w:p>
        </w:tc>
        <w:tc>
          <w:tcPr>
            <w:tcW w:w="1469" w:type="pct"/>
          </w:tcPr>
          <w:p w:rsidR="002B2687" w:rsidRPr="009448FC" w:rsidRDefault="002B2687" w:rsidP="0001351C">
            <w:pPr>
              <w:jc w:val="both"/>
              <w:rPr>
                <w:rFonts w:eastAsia="SimSun"/>
              </w:rPr>
            </w:pPr>
            <w:r w:rsidRPr="009448FC">
              <w:rPr>
                <w:rFonts w:eastAsia="SimSun"/>
              </w:rPr>
              <w:t>Dynamic truncation of 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lastRenderedPageBreak/>
              <w:t>mmWaveM2.6</w:t>
            </w:r>
          </w:p>
        </w:tc>
        <w:tc>
          <w:tcPr>
            <w:tcW w:w="1469" w:type="pct"/>
          </w:tcPr>
          <w:p w:rsidR="002B2687" w:rsidRPr="009448FC" w:rsidRDefault="002B2687" w:rsidP="0001351C">
            <w:pPr>
              <w:jc w:val="both"/>
              <w:rPr>
                <w:rFonts w:eastAsia="SimSun"/>
              </w:rPr>
            </w:pPr>
            <w:r w:rsidRPr="009448FC">
              <w:rPr>
                <w:rFonts w:eastAsia="SimSun"/>
              </w:rPr>
              <w:t>Dynamic extension of 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mmWaveM3</w:t>
            </w:r>
          </w:p>
        </w:tc>
        <w:tc>
          <w:tcPr>
            <w:tcW w:w="1469" w:type="pct"/>
          </w:tcPr>
          <w:p w:rsidR="002B2687" w:rsidRPr="009448FC" w:rsidRDefault="002B2687" w:rsidP="0001351C">
            <w:pPr>
              <w:jc w:val="both"/>
              <w:rPr>
                <w:rFonts w:eastAsia="SimSun"/>
              </w:rPr>
            </w:pPr>
            <w:r w:rsidRPr="009448FC">
              <w:rPr>
                <w:rFonts w:eastAsia="SimSun"/>
              </w:rPr>
              <w:t>PCP/AP clustering</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mmWaveM4</w:t>
            </w:r>
          </w:p>
        </w:tc>
        <w:tc>
          <w:tcPr>
            <w:tcW w:w="1469" w:type="pct"/>
          </w:tcPr>
          <w:p w:rsidR="002B2687" w:rsidRPr="009448FC" w:rsidRDefault="002B2687" w:rsidP="0001351C">
            <w:pPr>
              <w:jc w:val="both"/>
              <w:rPr>
                <w:rFonts w:eastAsia="SimSun"/>
              </w:rPr>
            </w:pPr>
            <w:r w:rsidRPr="009448FC">
              <w:rPr>
                <w:rFonts w:eastAsia="SimSun"/>
              </w:rPr>
              <w:t>mmWave Beamforming</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mmWaveM5</w:t>
            </w:r>
          </w:p>
        </w:tc>
        <w:tc>
          <w:tcPr>
            <w:tcW w:w="1469" w:type="pct"/>
          </w:tcPr>
          <w:p w:rsidR="002B2687" w:rsidRPr="009448FC" w:rsidRDefault="002B2687" w:rsidP="0001351C">
            <w:pPr>
              <w:jc w:val="both"/>
              <w:rPr>
                <w:rFonts w:eastAsia="SimSun"/>
              </w:rPr>
            </w:pPr>
            <w:r w:rsidRPr="009448FC">
              <w:rPr>
                <w:rFonts w:eastAsia="SimSun"/>
              </w:rPr>
              <w:t>mmWave broadcast and</w:t>
            </w:r>
            <w:r w:rsidR="00281486" w:rsidRPr="009448FC">
              <w:rPr>
                <w:rFonts w:eastAsia="SimSun"/>
              </w:rPr>
              <w:t xml:space="preserve"> </w:t>
            </w:r>
            <w:r w:rsidRPr="009448FC">
              <w:rPr>
                <w:rFonts w:eastAsia="SimSun"/>
              </w:rPr>
              <w:t>multicast MPDU transfer</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lang w:val="fr-FR"/>
              </w:rPr>
            </w:pPr>
            <w:r w:rsidRPr="009448FC">
              <w:rPr>
                <w:rFonts w:eastAsia="SimSun"/>
              </w:rPr>
              <w:t>mmWaveM6</w:t>
            </w:r>
          </w:p>
        </w:tc>
        <w:tc>
          <w:tcPr>
            <w:tcW w:w="1469" w:type="pct"/>
          </w:tcPr>
          <w:p w:rsidR="002B2687" w:rsidRPr="009448FC" w:rsidRDefault="002B2687" w:rsidP="0001351C">
            <w:pPr>
              <w:jc w:val="both"/>
              <w:rPr>
                <w:rFonts w:eastAsia="SimSun"/>
              </w:rPr>
            </w:pPr>
            <w:r w:rsidRPr="009448FC">
              <w:rPr>
                <w:rFonts w:eastAsia="SimSun"/>
              </w:rPr>
              <w:t>mmWave multirate support</w:t>
            </w:r>
          </w:p>
        </w:tc>
        <w:tc>
          <w:tcPr>
            <w:tcW w:w="905" w:type="pct"/>
          </w:tcPr>
          <w:p w:rsidR="002B2687" w:rsidRPr="009448FC" w:rsidRDefault="002B2687" w:rsidP="0001351C">
            <w:pPr>
              <w:jc w:val="both"/>
              <w:rPr>
                <w:rFonts w:eastAsia="SimSun"/>
                <w:lang w:val="fr-FR"/>
              </w:rPr>
            </w:pPr>
          </w:p>
        </w:tc>
        <w:tc>
          <w:tcPr>
            <w:tcW w:w="960" w:type="pct"/>
          </w:tcPr>
          <w:p w:rsidR="002B2687" w:rsidRPr="009448FC" w:rsidRDefault="002B2687" w:rsidP="0001351C">
            <w:pPr>
              <w:jc w:val="both"/>
              <w:rPr>
                <w:rFonts w:eastAsia="SimSun"/>
                <w:lang w:val="fr-FR"/>
              </w:rPr>
            </w:pPr>
            <w:r w:rsidRPr="009448FC">
              <w:rPr>
                <w:rFonts w:eastAsia="SimSun"/>
              </w:rPr>
              <w:t>CF17:M</w:t>
            </w:r>
          </w:p>
        </w:tc>
        <w:tc>
          <w:tcPr>
            <w:tcW w:w="843" w:type="pct"/>
          </w:tcPr>
          <w:p w:rsidR="002B2687" w:rsidRPr="009448FC" w:rsidRDefault="002B2687" w:rsidP="0001351C">
            <w:pPr>
              <w:jc w:val="both"/>
              <w:rPr>
                <w:rFonts w:eastAsia="SimSun"/>
                <w:lang w:val="fr-FR"/>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mmWaveM7</w:t>
            </w:r>
          </w:p>
        </w:tc>
        <w:tc>
          <w:tcPr>
            <w:tcW w:w="1469" w:type="pct"/>
          </w:tcPr>
          <w:p w:rsidR="002B2687" w:rsidRPr="009448FC" w:rsidRDefault="002B2687" w:rsidP="0001351C">
            <w:pPr>
              <w:jc w:val="both"/>
              <w:rPr>
                <w:rFonts w:eastAsia="SimSun"/>
              </w:rPr>
            </w:pPr>
            <w:r w:rsidRPr="009448FC">
              <w:rPr>
                <w:rFonts w:eastAsia="SimSun"/>
              </w:rPr>
              <w:t>mmWave A-MPDU operation</w:t>
            </w:r>
          </w:p>
        </w:tc>
        <w:tc>
          <w:tcPr>
            <w:tcW w:w="905" w:type="pct"/>
          </w:tcPr>
          <w:p w:rsidR="002B2687" w:rsidRPr="009448FC" w:rsidRDefault="002B2687" w:rsidP="0001351C">
            <w:pPr>
              <w:jc w:val="both"/>
              <w:rPr>
                <w:rFonts w:eastAsia="SimSun"/>
                <w:lang w:val="fr-FR"/>
              </w:rPr>
            </w:pPr>
          </w:p>
        </w:tc>
        <w:tc>
          <w:tcPr>
            <w:tcW w:w="960" w:type="pct"/>
          </w:tcPr>
          <w:p w:rsidR="002B2687" w:rsidRPr="009448FC" w:rsidRDefault="002B2687" w:rsidP="0001351C">
            <w:pPr>
              <w:jc w:val="both"/>
              <w:rPr>
                <w:rFonts w:eastAsia="SimSun"/>
                <w:lang w:val="fr-FR"/>
              </w:rPr>
            </w:pPr>
            <w:r w:rsidRPr="009448FC">
              <w:rPr>
                <w:rFonts w:eastAsia="SimSun"/>
              </w:rPr>
              <w:t>CF17:M</w:t>
            </w:r>
          </w:p>
        </w:tc>
        <w:tc>
          <w:tcPr>
            <w:tcW w:w="843" w:type="pct"/>
          </w:tcPr>
          <w:p w:rsidR="002B2687" w:rsidRPr="009448FC" w:rsidRDefault="002B2687" w:rsidP="0001351C">
            <w:pPr>
              <w:jc w:val="both"/>
              <w:rPr>
                <w:rFonts w:eastAsia="SimSun"/>
                <w:lang w:val="fr-FR"/>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mmWaveM8</w:t>
            </w:r>
          </w:p>
        </w:tc>
        <w:tc>
          <w:tcPr>
            <w:tcW w:w="1469" w:type="pct"/>
          </w:tcPr>
          <w:p w:rsidR="002B2687" w:rsidRPr="009448FC" w:rsidRDefault="002B2687" w:rsidP="0001351C">
            <w:pPr>
              <w:jc w:val="both"/>
              <w:rPr>
                <w:rFonts w:eastAsia="SimSun"/>
              </w:rPr>
            </w:pPr>
            <w:r w:rsidRPr="009448FC">
              <w:rPr>
                <w:rFonts w:eastAsia="SimSun"/>
              </w:rPr>
              <w:t>mmWave block ACK with flow control</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mmWaveM9</w:t>
            </w:r>
          </w:p>
        </w:tc>
        <w:tc>
          <w:tcPr>
            <w:tcW w:w="1469" w:type="pct"/>
          </w:tcPr>
          <w:p w:rsidR="002B2687" w:rsidRPr="009448FC" w:rsidRDefault="002B2687" w:rsidP="0001351C">
            <w:pPr>
              <w:jc w:val="both"/>
              <w:rPr>
                <w:rFonts w:eastAsia="SimSun"/>
              </w:rPr>
            </w:pPr>
            <w:r w:rsidRPr="009448FC">
              <w:rPr>
                <w:rFonts w:eastAsia="SimSun"/>
              </w:rPr>
              <w:t>mmWave reverse direction</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mmWaveM10</w:t>
            </w:r>
          </w:p>
        </w:tc>
        <w:tc>
          <w:tcPr>
            <w:tcW w:w="1469" w:type="pct"/>
          </w:tcPr>
          <w:p w:rsidR="002B2687" w:rsidRPr="009448FC" w:rsidRDefault="002B2687" w:rsidP="0001351C">
            <w:pPr>
              <w:jc w:val="both"/>
              <w:rPr>
                <w:rFonts w:eastAsia="SimSun"/>
              </w:rPr>
            </w:pPr>
            <w:r w:rsidRPr="009448FC">
              <w:rPr>
                <w:rFonts w:eastAsia="SimSun"/>
              </w:rPr>
              <w:t>Spatial sharing of frequency and interference mitigation</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mmWaveM11</w:t>
            </w:r>
          </w:p>
        </w:tc>
        <w:tc>
          <w:tcPr>
            <w:tcW w:w="1469" w:type="pct"/>
          </w:tcPr>
          <w:p w:rsidR="002B2687" w:rsidRPr="009448FC" w:rsidRDefault="002B2687" w:rsidP="0001351C">
            <w:pPr>
              <w:jc w:val="both"/>
              <w:rPr>
                <w:rFonts w:eastAsia="SimSun"/>
              </w:rPr>
            </w:pPr>
            <w:r w:rsidRPr="009448FC">
              <w:rPr>
                <w:rFonts w:eastAsia="SimSun"/>
              </w:rPr>
              <w:t>Multi-band operation</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356400" w:rsidRPr="00066F65" w:rsidTr="00421C2D">
        <w:tc>
          <w:tcPr>
            <w:tcW w:w="822" w:type="pct"/>
          </w:tcPr>
          <w:p w:rsidR="00356400" w:rsidRPr="009448FC" w:rsidRDefault="00356400" w:rsidP="0001351C">
            <w:pPr>
              <w:jc w:val="both"/>
              <w:rPr>
                <w:rFonts w:eastAsia="SimSun"/>
              </w:rPr>
            </w:pPr>
            <w:r w:rsidRPr="009448FC">
              <w:rPr>
                <w:rFonts w:eastAsia="SimSun"/>
              </w:rPr>
              <w:t>mmWaveM1</w:t>
            </w:r>
            <w:r>
              <w:rPr>
                <w:rFonts w:eastAsia="SimSun"/>
              </w:rPr>
              <w:t>2</w:t>
            </w:r>
          </w:p>
        </w:tc>
        <w:tc>
          <w:tcPr>
            <w:tcW w:w="1469" w:type="pct"/>
          </w:tcPr>
          <w:p w:rsidR="00F57C8A" w:rsidRDefault="00356400">
            <w:pPr>
              <w:jc w:val="both"/>
              <w:rPr>
                <w:rFonts w:eastAsia="SimSun"/>
              </w:rPr>
            </w:pPr>
            <w:r>
              <w:rPr>
                <w:rFonts w:eastAsia="SimSun"/>
              </w:rPr>
              <w:t>mmWave dynamic tone pairing</w:t>
            </w:r>
          </w:p>
        </w:tc>
        <w:tc>
          <w:tcPr>
            <w:tcW w:w="905" w:type="pct"/>
          </w:tcPr>
          <w:p w:rsidR="00356400" w:rsidRPr="009448FC" w:rsidRDefault="00356400" w:rsidP="0001351C">
            <w:pPr>
              <w:jc w:val="both"/>
              <w:rPr>
                <w:rFonts w:eastAsia="SimSun"/>
              </w:rPr>
            </w:pPr>
          </w:p>
        </w:tc>
        <w:tc>
          <w:tcPr>
            <w:tcW w:w="960" w:type="pct"/>
          </w:tcPr>
          <w:p w:rsidR="00F57C8A" w:rsidRDefault="00356400">
            <w:pPr>
              <w:jc w:val="both"/>
              <w:rPr>
                <w:rFonts w:eastAsia="SimSun"/>
              </w:rPr>
            </w:pPr>
            <w:r w:rsidRPr="009448FC">
              <w:rPr>
                <w:rFonts w:eastAsia="SimSun"/>
              </w:rPr>
              <w:t>CF1</w:t>
            </w:r>
            <w:r w:rsidR="00421C2D">
              <w:rPr>
                <w:rFonts w:eastAsia="SimSun"/>
              </w:rPr>
              <w:t>7</w:t>
            </w:r>
            <w:r w:rsidRPr="009448FC">
              <w:rPr>
                <w:rFonts w:eastAsia="SimSun"/>
              </w:rPr>
              <w:t>:O</w:t>
            </w:r>
          </w:p>
        </w:tc>
        <w:tc>
          <w:tcPr>
            <w:tcW w:w="843" w:type="pct"/>
          </w:tcPr>
          <w:p w:rsidR="00356400" w:rsidRPr="009448FC" w:rsidRDefault="00356400" w:rsidP="0001351C">
            <w:pPr>
              <w:jc w:val="both"/>
              <w:rPr>
                <w:rFonts w:eastAsia="SimSun"/>
              </w:rPr>
            </w:pPr>
          </w:p>
        </w:tc>
      </w:tr>
      <w:tr w:rsidR="00421C2D" w:rsidRPr="00066F65" w:rsidTr="00421C2D">
        <w:tc>
          <w:tcPr>
            <w:tcW w:w="822" w:type="pct"/>
          </w:tcPr>
          <w:p w:rsidR="00F57C8A" w:rsidRDefault="00421C2D">
            <w:pPr>
              <w:jc w:val="both"/>
              <w:rPr>
                <w:rFonts w:eastAsia="SimSun"/>
              </w:rPr>
            </w:pPr>
            <w:r w:rsidRPr="009448FC">
              <w:rPr>
                <w:rFonts w:eastAsia="SimSun"/>
              </w:rPr>
              <w:t>mmWaveM1</w:t>
            </w:r>
            <w:r>
              <w:rPr>
                <w:rFonts w:eastAsia="SimSun"/>
              </w:rPr>
              <w:t>3</w:t>
            </w:r>
          </w:p>
        </w:tc>
        <w:tc>
          <w:tcPr>
            <w:tcW w:w="1469" w:type="pct"/>
          </w:tcPr>
          <w:p w:rsidR="00F57C8A" w:rsidRDefault="00421C2D">
            <w:pPr>
              <w:jc w:val="both"/>
              <w:rPr>
                <w:rFonts w:eastAsia="SimSun"/>
              </w:rPr>
            </w:pPr>
            <w:r>
              <w:rPr>
                <w:rFonts w:eastAsia="SimSun"/>
              </w:rPr>
              <w:t>Changing mmWave BSS parameters</w:t>
            </w:r>
          </w:p>
        </w:tc>
        <w:tc>
          <w:tcPr>
            <w:tcW w:w="905" w:type="pct"/>
          </w:tcPr>
          <w:p w:rsidR="00421C2D" w:rsidRPr="009448FC" w:rsidRDefault="00421C2D" w:rsidP="0001351C">
            <w:pPr>
              <w:jc w:val="both"/>
              <w:rPr>
                <w:rFonts w:eastAsia="SimSun"/>
              </w:rPr>
            </w:pPr>
          </w:p>
        </w:tc>
        <w:tc>
          <w:tcPr>
            <w:tcW w:w="960" w:type="pct"/>
          </w:tcPr>
          <w:p w:rsidR="00421C2D" w:rsidRPr="009448FC" w:rsidRDefault="00421C2D" w:rsidP="00421C2D">
            <w:pPr>
              <w:jc w:val="both"/>
              <w:rPr>
                <w:rFonts w:eastAsia="SimSun"/>
              </w:rPr>
            </w:pPr>
            <w:r w:rsidRPr="009448FC">
              <w:rPr>
                <w:rFonts w:eastAsia="SimSun"/>
              </w:rPr>
              <w:t>CF1</w:t>
            </w:r>
            <w:r>
              <w:rPr>
                <w:rFonts w:eastAsia="SimSun"/>
              </w:rPr>
              <w:t>7</w:t>
            </w:r>
            <w:r w:rsidRPr="009448FC">
              <w:rPr>
                <w:rFonts w:eastAsia="SimSun"/>
              </w:rPr>
              <w:t>:O</w:t>
            </w:r>
          </w:p>
        </w:tc>
        <w:tc>
          <w:tcPr>
            <w:tcW w:w="843" w:type="pct"/>
          </w:tcPr>
          <w:p w:rsidR="00421C2D" w:rsidRPr="009448FC" w:rsidRDefault="00421C2D" w:rsidP="0001351C">
            <w:pPr>
              <w:jc w:val="both"/>
              <w:rPr>
                <w:rFonts w:eastAsia="SimSun"/>
              </w:rPr>
            </w:pPr>
          </w:p>
        </w:tc>
      </w:tr>
    </w:tbl>
    <w:p w:rsidR="002B2687" w:rsidRPr="009448FC" w:rsidRDefault="002B2687" w:rsidP="00112F8C"/>
    <w:p w:rsidR="002B2687" w:rsidRPr="009448FC" w:rsidRDefault="002B2687" w:rsidP="002B2687">
      <w:pPr>
        <w:pStyle w:val="Heading4"/>
      </w:pPr>
      <w:bookmarkStart w:id="3968" w:name="_Toc259717430"/>
      <w:r w:rsidRPr="009448FC">
        <w:t>A.4.21.2 mmWave PHY features</w:t>
      </w:r>
      <w:bookmarkEnd w:id="3968"/>
    </w:p>
    <w:p w:rsidR="002B2687" w:rsidRPr="009448FC" w:rsidRDefault="002B2687" w:rsidP="00112F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2907"/>
        <w:gridCol w:w="1764"/>
        <w:gridCol w:w="1863"/>
        <w:gridCol w:w="1639"/>
      </w:tblGrid>
      <w:tr w:rsidR="002B2687" w:rsidRPr="00066F65" w:rsidTr="00356400">
        <w:tc>
          <w:tcPr>
            <w:tcW w:w="960" w:type="pct"/>
          </w:tcPr>
          <w:p w:rsidR="002B2687" w:rsidRPr="009448FC" w:rsidRDefault="002B2687" w:rsidP="0001351C">
            <w:pPr>
              <w:jc w:val="both"/>
              <w:rPr>
                <w:rFonts w:eastAsia="SimSun"/>
                <w:b/>
              </w:rPr>
            </w:pPr>
            <w:r w:rsidRPr="009448FC">
              <w:rPr>
                <w:rFonts w:eastAsia="SimSun"/>
                <w:b/>
              </w:rPr>
              <w:t>Item</w:t>
            </w:r>
          </w:p>
        </w:tc>
        <w:tc>
          <w:tcPr>
            <w:tcW w:w="1437" w:type="pct"/>
          </w:tcPr>
          <w:p w:rsidR="002B2687" w:rsidRPr="009448FC" w:rsidRDefault="002B2687" w:rsidP="0001351C">
            <w:pPr>
              <w:jc w:val="both"/>
              <w:rPr>
                <w:rFonts w:eastAsia="SimSun"/>
                <w:b/>
              </w:rPr>
            </w:pPr>
            <w:r w:rsidRPr="009448FC">
              <w:rPr>
                <w:rFonts w:eastAsia="SimSun"/>
                <w:b/>
              </w:rPr>
              <w:t>Protocol capability</w:t>
            </w:r>
          </w:p>
        </w:tc>
        <w:tc>
          <w:tcPr>
            <w:tcW w:w="872" w:type="pct"/>
          </w:tcPr>
          <w:p w:rsidR="002B2687" w:rsidRPr="009448FC" w:rsidRDefault="002B2687" w:rsidP="0001351C">
            <w:pPr>
              <w:jc w:val="both"/>
              <w:rPr>
                <w:rFonts w:eastAsia="SimSun"/>
                <w:b/>
              </w:rPr>
            </w:pPr>
            <w:r w:rsidRPr="009448FC">
              <w:rPr>
                <w:rFonts w:eastAsia="SimSun"/>
                <w:b/>
              </w:rPr>
              <w:t>References</w:t>
            </w:r>
          </w:p>
        </w:tc>
        <w:tc>
          <w:tcPr>
            <w:tcW w:w="921" w:type="pct"/>
          </w:tcPr>
          <w:p w:rsidR="002B2687" w:rsidRPr="009448FC" w:rsidRDefault="002B2687" w:rsidP="0001351C">
            <w:pPr>
              <w:jc w:val="both"/>
              <w:rPr>
                <w:rFonts w:eastAsia="SimSun"/>
                <w:b/>
              </w:rPr>
            </w:pPr>
            <w:r w:rsidRPr="009448FC">
              <w:rPr>
                <w:rFonts w:eastAsia="SimSun"/>
                <w:b/>
              </w:rPr>
              <w:t>Status</w:t>
            </w:r>
          </w:p>
        </w:tc>
        <w:tc>
          <w:tcPr>
            <w:tcW w:w="810" w:type="pct"/>
          </w:tcPr>
          <w:p w:rsidR="002B2687" w:rsidRPr="009448FC" w:rsidRDefault="002B2687" w:rsidP="0001351C">
            <w:pPr>
              <w:jc w:val="both"/>
              <w:rPr>
                <w:rFonts w:eastAsia="SimSun"/>
                <w:b/>
              </w:rPr>
            </w:pPr>
            <w:r w:rsidRPr="009448FC">
              <w:rPr>
                <w:rFonts w:eastAsia="SimSun"/>
                <w:b/>
              </w:rPr>
              <w:t>Support</w:t>
            </w:r>
          </w:p>
        </w:tc>
      </w:tr>
      <w:tr w:rsidR="002B2687" w:rsidRPr="00066F65" w:rsidTr="00356400">
        <w:tc>
          <w:tcPr>
            <w:tcW w:w="960" w:type="pct"/>
          </w:tcPr>
          <w:p w:rsidR="002B2687" w:rsidRPr="009448FC" w:rsidRDefault="002B2687" w:rsidP="0001351C">
            <w:pPr>
              <w:jc w:val="both"/>
              <w:rPr>
                <w:rFonts w:eastAsia="SimSun"/>
              </w:rPr>
            </w:pPr>
          </w:p>
        </w:tc>
        <w:tc>
          <w:tcPr>
            <w:tcW w:w="1437" w:type="pct"/>
          </w:tcPr>
          <w:p w:rsidR="002B2687" w:rsidRPr="009448FC" w:rsidRDefault="002B2687" w:rsidP="0001351C">
            <w:pPr>
              <w:jc w:val="both"/>
              <w:rPr>
                <w:rFonts w:eastAsia="SimSun"/>
              </w:rPr>
            </w:pPr>
            <w:r w:rsidRPr="009448FC">
              <w:rPr>
                <w:rFonts w:eastAsia="SimSun"/>
              </w:rPr>
              <w:t>Are the following PHY protocol features supported?</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mmWaveP1</w:t>
            </w:r>
          </w:p>
        </w:tc>
        <w:tc>
          <w:tcPr>
            <w:tcW w:w="1437" w:type="pct"/>
          </w:tcPr>
          <w:p w:rsidR="002B2687" w:rsidRPr="009448FC" w:rsidRDefault="002B2687" w:rsidP="0001351C">
            <w:pPr>
              <w:jc w:val="both"/>
              <w:rPr>
                <w:rFonts w:eastAsia="SimSun"/>
              </w:rPr>
            </w:pPr>
            <w:r w:rsidRPr="009448FC">
              <w:rPr>
                <w:rFonts w:eastAsia="SimSun"/>
              </w:rPr>
              <w:t>PHY operating modes</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mmWaveP1.1</w:t>
            </w:r>
          </w:p>
        </w:tc>
        <w:tc>
          <w:tcPr>
            <w:tcW w:w="1437" w:type="pct"/>
          </w:tcPr>
          <w:p w:rsidR="002B2687" w:rsidRPr="009448FC" w:rsidRDefault="002B2687" w:rsidP="0001351C">
            <w:pPr>
              <w:jc w:val="both"/>
              <w:rPr>
                <w:rFonts w:eastAsia="SimSun"/>
              </w:rPr>
            </w:pPr>
            <w:r w:rsidRPr="009448FC">
              <w:rPr>
                <w:rFonts w:eastAsia="SimSun"/>
              </w:rPr>
              <w:t>Operation according to clause 21</w:t>
            </w:r>
          </w:p>
        </w:tc>
        <w:tc>
          <w:tcPr>
            <w:tcW w:w="872" w:type="pct"/>
          </w:tcPr>
          <w:p w:rsidR="002B2687" w:rsidRPr="009448FC" w:rsidRDefault="002B2687" w:rsidP="0001351C">
            <w:pPr>
              <w:jc w:val="both"/>
              <w:rPr>
                <w:rFonts w:eastAsia="SimSun"/>
              </w:rPr>
            </w:pPr>
            <w:r w:rsidRPr="009448FC">
              <w:rPr>
                <w:rFonts w:eastAsia="SimSun"/>
              </w:rPr>
              <w:t>21</w:t>
            </w:r>
          </w:p>
        </w:tc>
        <w:tc>
          <w:tcPr>
            <w:tcW w:w="921" w:type="pct"/>
          </w:tcPr>
          <w:p w:rsidR="002B2687" w:rsidRPr="009448FC" w:rsidRDefault="002B2687" w:rsidP="0001351C">
            <w:pPr>
              <w:jc w:val="both"/>
              <w:rPr>
                <w:rFonts w:eastAsia="SimSun"/>
              </w:rPr>
            </w:pPr>
            <w:r w:rsidRPr="009448FC">
              <w:rPr>
                <w:rFonts w:eastAsia="SimSun"/>
              </w:rPr>
              <w:t>CF17:M</w:t>
            </w:r>
          </w:p>
        </w:tc>
        <w:tc>
          <w:tcPr>
            <w:tcW w:w="810" w:type="pct"/>
          </w:tcPr>
          <w:p w:rsidR="002B2687" w:rsidRPr="009448FC" w:rsidRDefault="002B2687" w:rsidP="0001351C">
            <w:pPr>
              <w:jc w:val="both"/>
              <w:rPr>
                <w:rFonts w:eastAsia="SimSun"/>
              </w:rPr>
            </w:pPr>
            <w:r w:rsidRPr="009448FC">
              <w:rPr>
                <w:rFonts w:eastAsia="SimSun"/>
              </w:rPr>
              <w:t>Yes, No, N/A</w:t>
            </w: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w:t>
            </w:r>
          </w:p>
        </w:tc>
        <w:tc>
          <w:tcPr>
            <w:tcW w:w="1437" w:type="pct"/>
          </w:tcPr>
          <w:p w:rsidR="002B2687" w:rsidRPr="009448FC" w:rsidRDefault="002B2687" w:rsidP="0001351C">
            <w:pPr>
              <w:jc w:val="both"/>
              <w:rPr>
                <w:rFonts w:eastAsia="SimSun"/>
              </w:rPr>
            </w:pPr>
            <w:r w:rsidRPr="009448FC">
              <w:rPr>
                <w:rFonts w:eastAsia="SimSun"/>
              </w:rPr>
              <w:t>PLCP frame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mmWaveP2.1</w:t>
            </w:r>
          </w:p>
        </w:tc>
        <w:tc>
          <w:tcPr>
            <w:tcW w:w="1437" w:type="pct"/>
          </w:tcPr>
          <w:p w:rsidR="002B2687" w:rsidRPr="009448FC" w:rsidRDefault="002B2687" w:rsidP="0001351C">
            <w:pPr>
              <w:jc w:val="both"/>
              <w:rPr>
                <w:rFonts w:eastAsia="SimSun"/>
              </w:rPr>
            </w:pPr>
            <w:r w:rsidRPr="009448FC">
              <w:rPr>
                <w:rFonts w:eastAsia="SimSun"/>
              </w:rPr>
              <w:t>Control PHY PLCP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CF17:M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mmWaveP2.2</w:t>
            </w:r>
          </w:p>
        </w:tc>
        <w:tc>
          <w:tcPr>
            <w:tcW w:w="1437" w:type="pct"/>
          </w:tcPr>
          <w:p w:rsidR="002B2687" w:rsidRPr="009448FC" w:rsidRDefault="002B2687" w:rsidP="0001351C">
            <w:pPr>
              <w:jc w:val="both"/>
              <w:rPr>
                <w:rFonts w:eastAsia="SimSun"/>
              </w:rPr>
            </w:pPr>
            <w:r w:rsidRPr="009448FC">
              <w:rPr>
                <w:rFonts w:eastAsia="SimSun"/>
              </w:rPr>
              <w:t>SC PHY PLCP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CF17:M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mmWaveP2.3</w:t>
            </w:r>
          </w:p>
        </w:tc>
        <w:tc>
          <w:tcPr>
            <w:tcW w:w="1437" w:type="pct"/>
          </w:tcPr>
          <w:p w:rsidR="002B2687" w:rsidRPr="009448FC" w:rsidRDefault="002B2687" w:rsidP="0001351C">
            <w:pPr>
              <w:jc w:val="both"/>
              <w:rPr>
                <w:rFonts w:eastAsia="SimSun"/>
              </w:rPr>
            </w:pPr>
            <w:r w:rsidRPr="009448FC">
              <w:rPr>
                <w:rFonts w:eastAsia="SimSun"/>
              </w:rPr>
              <w:t>OFDM PHY PLCP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CF17:O</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w:t>
            </w:r>
          </w:p>
        </w:tc>
        <w:tc>
          <w:tcPr>
            <w:tcW w:w="1437" w:type="pct"/>
          </w:tcPr>
          <w:p w:rsidR="002B2687" w:rsidRPr="009448FC" w:rsidRDefault="002B2687" w:rsidP="0001351C">
            <w:pPr>
              <w:jc w:val="both"/>
              <w:rPr>
                <w:rFonts w:eastAsia="SimSun"/>
              </w:rPr>
            </w:pPr>
            <w:r w:rsidRPr="009448FC">
              <w:rPr>
                <w:rFonts w:eastAsia="SimSun"/>
              </w:rPr>
              <w:t>Modulation and coding schemes (MCS)</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mmWaveP2.4.1</w:t>
            </w:r>
          </w:p>
        </w:tc>
        <w:tc>
          <w:tcPr>
            <w:tcW w:w="1437" w:type="pct"/>
          </w:tcPr>
          <w:p w:rsidR="002B2687" w:rsidRPr="009448FC" w:rsidRDefault="002B2687" w:rsidP="0001351C">
            <w:pPr>
              <w:jc w:val="both"/>
              <w:rPr>
                <w:rFonts w:eastAsia="SimSun"/>
              </w:rPr>
            </w:pPr>
            <w:r w:rsidRPr="009448FC">
              <w:rPr>
                <w:rFonts w:eastAsia="SimSun"/>
              </w:rPr>
              <w:t>MCS 0 of Control PHY</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mmWaveP2.1:M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mmWaveP2.4.2</w:t>
            </w:r>
          </w:p>
        </w:tc>
        <w:tc>
          <w:tcPr>
            <w:tcW w:w="1437" w:type="pct"/>
          </w:tcPr>
          <w:p w:rsidR="00F57C8A" w:rsidRDefault="002B2687" w:rsidP="0062264D">
            <w:pPr>
              <w:jc w:val="both"/>
              <w:rPr>
                <w:rFonts w:eastAsia="SimSun"/>
              </w:rPr>
            </w:pPr>
            <w:r w:rsidRPr="009448FC">
              <w:rPr>
                <w:rFonts w:eastAsia="SimSun"/>
              </w:rPr>
              <w:t>MCS 1</w:t>
            </w:r>
            <w:r w:rsidR="00356400">
              <w:rPr>
                <w:rFonts w:eastAsia="SimSun"/>
              </w:rPr>
              <w:t>-</w:t>
            </w:r>
            <w:r w:rsidR="0062264D">
              <w:rPr>
                <w:rFonts w:eastAsia="SimSun"/>
              </w:rPr>
              <w:t>12</w:t>
            </w:r>
            <w:r w:rsidRPr="009448FC">
              <w:rPr>
                <w:rFonts w:eastAsia="SimSun"/>
              </w:rPr>
              <w:t xml:space="preserve"> of SC PHY</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mmWaveP2.4.2.1</w:t>
            </w:r>
          </w:p>
        </w:tc>
        <w:tc>
          <w:tcPr>
            <w:tcW w:w="1437" w:type="pct"/>
          </w:tcPr>
          <w:p w:rsidR="002B2687" w:rsidRPr="009448FC" w:rsidRDefault="002B2687" w:rsidP="0001351C">
            <w:pPr>
              <w:jc w:val="both"/>
              <w:rPr>
                <w:rFonts w:eastAsia="SimSun"/>
              </w:rPr>
            </w:pPr>
            <w:r w:rsidRPr="009448FC">
              <w:rPr>
                <w:rFonts w:eastAsia="SimSun"/>
              </w:rPr>
              <w:t>MCS 1-4</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mmWaveP2.2:M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mmWaveP2.4.2.2</w:t>
            </w:r>
          </w:p>
        </w:tc>
        <w:tc>
          <w:tcPr>
            <w:tcW w:w="1437" w:type="pct"/>
          </w:tcPr>
          <w:p w:rsidR="00F57C8A" w:rsidRDefault="002B2687">
            <w:pPr>
              <w:jc w:val="both"/>
              <w:rPr>
                <w:rFonts w:eastAsia="SimSun"/>
              </w:rPr>
            </w:pPr>
            <w:r w:rsidRPr="009448FC">
              <w:rPr>
                <w:rFonts w:eastAsia="SimSun"/>
              </w:rPr>
              <w:t>MCS 5-</w:t>
            </w:r>
            <w:r w:rsidR="00356400">
              <w:rPr>
                <w:rFonts w:eastAsia="SimSun"/>
              </w:rPr>
              <w:t>12</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mmWaveP2.2:O</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mmWaveP2.4.3</w:t>
            </w:r>
          </w:p>
        </w:tc>
        <w:tc>
          <w:tcPr>
            <w:tcW w:w="1437" w:type="pct"/>
          </w:tcPr>
          <w:p w:rsidR="00F57C8A" w:rsidRDefault="002B2687">
            <w:pPr>
              <w:jc w:val="both"/>
              <w:rPr>
                <w:rFonts w:eastAsia="SimSun"/>
              </w:rPr>
            </w:pPr>
            <w:r w:rsidRPr="009448FC">
              <w:rPr>
                <w:rFonts w:eastAsia="SimSun"/>
              </w:rPr>
              <w:t xml:space="preserve">MCS </w:t>
            </w:r>
            <w:r w:rsidR="00356400" w:rsidRPr="009448FC">
              <w:rPr>
                <w:rFonts w:eastAsia="SimSun"/>
              </w:rPr>
              <w:t>1</w:t>
            </w:r>
            <w:r w:rsidR="00356400">
              <w:rPr>
                <w:rFonts w:eastAsia="SimSun"/>
              </w:rPr>
              <w:t>3-</w:t>
            </w:r>
            <w:r w:rsidR="00356400" w:rsidRPr="009448FC">
              <w:rPr>
                <w:rFonts w:eastAsia="SimSun"/>
              </w:rPr>
              <w:t>2</w:t>
            </w:r>
            <w:r w:rsidR="00356400">
              <w:rPr>
                <w:rFonts w:eastAsia="SimSun"/>
              </w:rPr>
              <w:t>4</w:t>
            </w:r>
            <w:r w:rsidR="00356400" w:rsidRPr="009448FC">
              <w:rPr>
                <w:rFonts w:eastAsia="SimSun"/>
              </w:rPr>
              <w:t xml:space="preserve"> </w:t>
            </w:r>
            <w:r w:rsidRPr="009448FC">
              <w:rPr>
                <w:rFonts w:eastAsia="SimSun"/>
              </w:rPr>
              <w:t>of OFDM PHY</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mmWaveP2.3:O</w:t>
            </w:r>
          </w:p>
        </w:tc>
        <w:tc>
          <w:tcPr>
            <w:tcW w:w="810" w:type="pct"/>
          </w:tcPr>
          <w:p w:rsidR="002B2687" w:rsidRPr="009448FC" w:rsidRDefault="002B2687" w:rsidP="0001351C">
            <w:pPr>
              <w:jc w:val="both"/>
              <w:rPr>
                <w:rFonts w:eastAsia="SimSun"/>
              </w:rPr>
            </w:pPr>
          </w:p>
        </w:tc>
      </w:tr>
      <w:tr w:rsidR="00356400" w:rsidRPr="00066F65" w:rsidTr="00356400">
        <w:tc>
          <w:tcPr>
            <w:tcW w:w="960" w:type="pct"/>
          </w:tcPr>
          <w:p w:rsidR="00F57C8A" w:rsidRDefault="00356400">
            <w:pPr>
              <w:jc w:val="both"/>
              <w:rPr>
                <w:rFonts w:eastAsia="SimSun"/>
              </w:rPr>
            </w:pPr>
            <w:r w:rsidRPr="009448FC">
              <w:rPr>
                <w:rFonts w:eastAsia="SimSun"/>
              </w:rPr>
              <w:t>mmWaveP2.4.</w:t>
            </w:r>
            <w:r>
              <w:rPr>
                <w:rFonts w:eastAsia="SimSun"/>
              </w:rPr>
              <w:t>4</w:t>
            </w:r>
          </w:p>
        </w:tc>
        <w:tc>
          <w:tcPr>
            <w:tcW w:w="1437" w:type="pct"/>
          </w:tcPr>
          <w:p w:rsidR="00F57C8A" w:rsidRDefault="00356400">
            <w:pPr>
              <w:jc w:val="both"/>
              <w:rPr>
                <w:rFonts w:eastAsia="SimSun"/>
              </w:rPr>
            </w:pPr>
            <w:r w:rsidRPr="009448FC">
              <w:rPr>
                <w:rFonts w:eastAsia="SimSun"/>
              </w:rPr>
              <w:t xml:space="preserve">MCS </w:t>
            </w:r>
            <w:r>
              <w:rPr>
                <w:rFonts w:eastAsia="SimSun"/>
              </w:rPr>
              <w:t>25-</w:t>
            </w:r>
            <w:r w:rsidRPr="009448FC">
              <w:rPr>
                <w:rFonts w:eastAsia="SimSun"/>
              </w:rPr>
              <w:t>2</w:t>
            </w:r>
            <w:r>
              <w:rPr>
                <w:rFonts w:eastAsia="SimSun"/>
              </w:rPr>
              <w:t>7</w:t>
            </w:r>
            <w:r w:rsidRPr="009448FC">
              <w:rPr>
                <w:rFonts w:eastAsia="SimSun"/>
              </w:rPr>
              <w:t xml:space="preserve"> of </w:t>
            </w:r>
            <w:r>
              <w:rPr>
                <w:rFonts w:eastAsia="SimSun"/>
              </w:rPr>
              <w:t>Low power SC</w:t>
            </w:r>
            <w:r w:rsidRPr="009448FC">
              <w:rPr>
                <w:rFonts w:eastAsia="SimSun"/>
              </w:rPr>
              <w:t xml:space="preserve"> PHY</w:t>
            </w:r>
          </w:p>
        </w:tc>
        <w:tc>
          <w:tcPr>
            <w:tcW w:w="872" w:type="pct"/>
          </w:tcPr>
          <w:p w:rsidR="00356400" w:rsidRPr="009448FC" w:rsidRDefault="00356400" w:rsidP="0001351C">
            <w:pPr>
              <w:jc w:val="both"/>
              <w:rPr>
                <w:rFonts w:eastAsia="SimSun"/>
              </w:rPr>
            </w:pPr>
          </w:p>
        </w:tc>
        <w:tc>
          <w:tcPr>
            <w:tcW w:w="921" w:type="pct"/>
          </w:tcPr>
          <w:p w:rsidR="00F57C8A" w:rsidRDefault="00356400">
            <w:pPr>
              <w:jc w:val="both"/>
              <w:rPr>
                <w:rFonts w:eastAsia="SimSun"/>
              </w:rPr>
            </w:pPr>
            <w:r w:rsidRPr="009448FC">
              <w:rPr>
                <w:rFonts w:eastAsia="SimSun"/>
              </w:rPr>
              <w:t>mmWaveP2.</w:t>
            </w:r>
            <w:r>
              <w:rPr>
                <w:rFonts w:eastAsia="SimSun"/>
              </w:rPr>
              <w:t>4</w:t>
            </w:r>
            <w:r w:rsidRPr="009448FC">
              <w:rPr>
                <w:rFonts w:eastAsia="SimSun"/>
              </w:rPr>
              <w:t>:O</w:t>
            </w:r>
          </w:p>
        </w:tc>
        <w:tc>
          <w:tcPr>
            <w:tcW w:w="810" w:type="pct"/>
          </w:tcPr>
          <w:p w:rsidR="00356400" w:rsidRPr="009448FC" w:rsidRDefault="00356400" w:rsidP="0001351C">
            <w:pPr>
              <w:jc w:val="both"/>
              <w:rPr>
                <w:rFonts w:eastAsia="SimSun"/>
              </w:rPr>
            </w:pPr>
          </w:p>
        </w:tc>
      </w:tr>
    </w:tbl>
    <w:p w:rsidR="001975EC" w:rsidRPr="009448FC" w:rsidRDefault="001975EC" w:rsidP="00112F8C"/>
    <w:p w:rsidR="001B65B0" w:rsidRPr="00066F65" w:rsidRDefault="001B65B0" w:rsidP="001B65B0">
      <w:pPr>
        <w:pStyle w:val="Heading1"/>
        <w:rPr>
          <w:rFonts w:ascii="Times New Roman" w:hAnsi="Times New Roman"/>
        </w:rPr>
      </w:pPr>
      <w:bookmarkStart w:id="3969" w:name="_Toc259717431"/>
      <w:bookmarkStart w:id="3970" w:name="_Toc235400759"/>
      <w:r w:rsidRPr="00066F65">
        <w:rPr>
          <w:rFonts w:ascii="Times New Roman" w:hAnsi="Times New Roman"/>
        </w:rPr>
        <w:t>Annex D (normative) ASN.1 encoding of the MAC and PHY MIB</w:t>
      </w:r>
      <w:bookmarkEnd w:id="3969"/>
    </w:p>
    <w:p w:rsidR="001B65B0" w:rsidRPr="009448FC" w:rsidRDefault="001B65B0" w:rsidP="001B65B0"/>
    <w:p w:rsidR="001B65B0" w:rsidRPr="009448FC" w:rsidRDefault="001B65B0" w:rsidP="001B65B0">
      <w:pPr>
        <w:rPr>
          <w:i/>
        </w:rPr>
      </w:pPr>
      <w:r w:rsidRPr="009448FC">
        <w:rPr>
          <w:i/>
        </w:rPr>
        <w:lastRenderedPageBreak/>
        <w:t>.11 Editor Not</w:t>
      </w:r>
      <w:r w:rsidR="0009466A" w:rsidRPr="009448FC">
        <w:rPr>
          <w:i/>
        </w:rPr>
        <w:t>e</w:t>
      </w:r>
      <w:r w:rsidRPr="009448FC">
        <w:rPr>
          <w:i/>
        </w:rPr>
        <w:t>: Modify as follows:</w:t>
      </w:r>
    </w:p>
    <w:p w:rsidR="001B65B0" w:rsidRPr="009448FC" w:rsidRDefault="001B65B0" w:rsidP="004706A8">
      <w:pPr>
        <w:rPr>
          <w:i/>
        </w:rPr>
      </w:pPr>
      <w:r w:rsidRPr="009448FC">
        <w:rPr>
          <w:i/>
        </w:rPr>
        <w:t>Insert the following in item (1) in dot11EDCATableTXOPLimit: "</w:t>
      </w:r>
      <w:r w:rsidRPr="009448FC">
        <w:t xml:space="preserve">except for the mmWave PHY (clause </w:t>
      </w:r>
      <w:fldSimple w:instr=" REF _Ref243724714 \r \h  \* MERGEFORMAT ">
        <w:r w:rsidR="003E4210" w:rsidRPr="003E4210">
          <w:rPr>
            <w:szCs w:val="28"/>
          </w:rPr>
          <w:t>21</w:t>
        </w:r>
      </w:fldSimple>
      <w:r w:rsidRPr="009448FC">
        <w:t>)</w:t>
      </w:r>
      <w:r w:rsidRPr="009448FC">
        <w:rPr>
          <w:i/>
        </w:rPr>
        <w:t>" after "</w:t>
      </w:r>
      <w:r w:rsidRPr="009448FC">
        <w:t>0 for all PHYs</w:t>
      </w:r>
      <w:r w:rsidRPr="009448FC">
        <w:rPr>
          <w:i/>
        </w:rPr>
        <w:t>"</w:t>
      </w:r>
    </w:p>
    <w:p w:rsidR="001B65B0" w:rsidRPr="0037334B" w:rsidRDefault="001B65B0" w:rsidP="00A74D8A">
      <w:pPr>
        <w:rPr>
          <w:i/>
        </w:rPr>
      </w:pPr>
      <w:r w:rsidRPr="009448FC">
        <w:rPr>
          <w:i/>
        </w:rPr>
        <w:t>3) Insert item (4) as follows: "</w:t>
      </w:r>
      <w:r w:rsidRPr="009448FC">
        <w:t xml:space="preserve">4) 500 microseconds for </w:t>
      </w:r>
      <w:r w:rsidR="00A74D8A" w:rsidRPr="009448FC">
        <w:t xml:space="preserve">Clause </w:t>
      </w:r>
      <w:fldSimple w:instr=" REF _Ref243724714 \r \h  \* MERGEFORMAT ">
        <w:r w:rsidR="003E4210" w:rsidRPr="003E4210">
          <w:rPr>
            <w:szCs w:val="28"/>
          </w:rPr>
          <w:t>21</w:t>
        </w:r>
      </w:fldSimple>
      <w:r w:rsidR="00A74D8A" w:rsidRPr="009448FC">
        <w:t xml:space="preserve"> </w:t>
      </w:r>
      <w:r w:rsidRPr="009448FC">
        <w:t xml:space="preserve">PHY if dot11EDCATableIndex is 1 or 2; 100 microseconds for </w:t>
      </w:r>
      <w:r w:rsidR="00A74D8A" w:rsidRPr="009448FC">
        <w:t xml:space="preserve">Clause </w:t>
      </w:r>
      <w:fldSimple w:instr=" REF _Ref243724714 \r \h  \* MERGEFORMAT ">
        <w:r w:rsidR="003E4210" w:rsidRPr="003E4210">
          <w:rPr>
            <w:szCs w:val="28"/>
          </w:rPr>
          <w:t>21</w:t>
        </w:r>
      </w:fldSimple>
      <w:r w:rsidR="00A74D8A" w:rsidRPr="009448FC">
        <w:t xml:space="preserve"> </w:t>
      </w:r>
      <w:r w:rsidRPr="009448FC">
        <w:t xml:space="preserve">PHY if dot11EDCATableIndex is 4; 4080 microseconds for </w:t>
      </w:r>
      <w:r w:rsidR="00A74D8A" w:rsidRPr="009448FC">
        <w:t xml:space="preserve">Clause </w:t>
      </w:r>
      <w:fldSimple w:instr=" REF _Ref243724714 \r \h  \* MERGEFORMAT ">
        <w:r w:rsidR="003E4210" w:rsidRPr="003E4210">
          <w:rPr>
            <w:szCs w:val="28"/>
          </w:rPr>
          <w:t>21</w:t>
        </w:r>
      </w:fldSimple>
      <w:r w:rsidR="00A74D8A" w:rsidRPr="0037334B">
        <w:t xml:space="preserve"> </w:t>
      </w:r>
      <w:r w:rsidRPr="0037334B">
        <w:t>PHY if dot11EDCATableIndex is 3;</w:t>
      </w:r>
      <w:r w:rsidRPr="0037334B">
        <w:rPr>
          <w:i/>
        </w:rPr>
        <w:t>"</w:t>
      </w:r>
    </w:p>
    <w:p w:rsidR="00D34E5B" w:rsidRPr="00066F65" w:rsidRDefault="00D34E5B" w:rsidP="001B65B0">
      <w:pPr>
        <w:pStyle w:val="Heading1"/>
        <w:rPr>
          <w:rFonts w:ascii="Times New Roman" w:hAnsi="Times New Roman"/>
        </w:rPr>
      </w:pPr>
      <w:bookmarkStart w:id="3971" w:name="_Toc259717432"/>
      <w:r w:rsidRPr="00066F65">
        <w:rPr>
          <w:rFonts w:ascii="Times New Roman" w:hAnsi="Times New Roman"/>
        </w:rPr>
        <w:t>Annex J</w:t>
      </w:r>
      <w:r w:rsidR="00BB688B" w:rsidRPr="00066F65">
        <w:rPr>
          <w:rFonts w:ascii="Times New Roman" w:hAnsi="Times New Roman"/>
        </w:rPr>
        <w:t xml:space="preserve"> </w:t>
      </w:r>
      <w:r w:rsidRPr="00066F65">
        <w:rPr>
          <w:rFonts w:ascii="Times New Roman" w:hAnsi="Times New Roman"/>
        </w:rPr>
        <w:t>(normative)</w:t>
      </w:r>
      <w:r w:rsidR="00BB688B" w:rsidRPr="00066F65">
        <w:rPr>
          <w:rFonts w:ascii="Times New Roman" w:hAnsi="Times New Roman"/>
        </w:rPr>
        <w:t xml:space="preserve"> </w:t>
      </w:r>
      <w:r w:rsidRPr="00066F65">
        <w:rPr>
          <w:rFonts w:ascii="Times New Roman" w:hAnsi="Times New Roman"/>
        </w:rPr>
        <w:t>Country information element and regulatory classes</w:t>
      </w:r>
      <w:bookmarkEnd w:id="3970"/>
      <w:bookmarkEnd w:id="3971"/>
    </w:p>
    <w:p w:rsidR="00366FB0" w:rsidRPr="0037334B" w:rsidRDefault="00366FB0" w:rsidP="00E41F4F">
      <w:bookmarkStart w:id="3972" w:name="_Toc215583068"/>
    </w:p>
    <w:p w:rsidR="00E9207D" w:rsidRPr="0037334B" w:rsidRDefault="009A7AAA" w:rsidP="00E9207D">
      <w:pPr>
        <w:autoSpaceDE w:val="0"/>
        <w:autoSpaceDN w:val="0"/>
        <w:adjustRightInd w:val="0"/>
        <w:rPr>
          <w:i/>
        </w:rPr>
      </w:pPr>
      <w:r w:rsidRPr="0037334B">
        <w:rPr>
          <w:i/>
        </w:rPr>
        <w:t xml:space="preserve">.11 </w:t>
      </w:r>
      <w:r w:rsidR="00E9207D" w:rsidRPr="0037334B">
        <w:rPr>
          <w:i/>
        </w:rPr>
        <w:t>Editor Note: Insert the following row in Table J.1</w:t>
      </w:r>
    </w:p>
    <w:p w:rsidR="00E9207D" w:rsidRPr="0037334B" w:rsidRDefault="00E9207D" w:rsidP="00E9207D">
      <w:pPr>
        <w:autoSpaceDE w:val="0"/>
        <w:autoSpaceDN w:val="0"/>
        <w:adjustRightInd w:val="0"/>
        <w:rPr>
          <w:i/>
        </w:rPr>
      </w:pPr>
    </w:p>
    <w:p w:rsidR="00E9207D" w:rsidRPr="00066F65" w:rsidRDefault="00E9207D" w:rsidP="00BA5BC4">
      <w:pPr>
        <w:pStyle w:val="Caption"/>
        <w:rPr>
          <w:sz w:val="28"/>
        </w:rPr>
      </w:pPr>
      <w:r w:rsidRPr="00066F65">
        <w:t>Table J.</w:t>
      </w:r>
      <w:r w:rsidR="00BD151C">
        <w:fldChar w:fldCharType="begin"/>
      </w:r>
      <w:r w:rsidR="00801316">
        <w:instrText xml:space="preserve"> SEQ Table_J. \* ARABIC </w:instrText>
      </w:r>
      <w:r w:rsidR="00BD151C">
        <w:fldChar w:fldCharType="separate"/>
      </w:r>
      <w:r w:rsidR="003E4210">
        <w:rPr>
          <w:noProof/>
        </w:rPr>
        <w:t>1</w:t>
      </w:r>
      <w:r w:rsidR="00BD151C">
        <w:fldChar w:fldCharType="end"/>
      </w:r>
      <w:r w:rsidRPr="00066F65">
        <w:t xml:space="preserve"> Regulatory classes in the USA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2"/>
        <w:gridCol w:w="1310"/>
        <w:gridCol w:w="1242"/>
        <w:gridCol w:w="1054"/>
        <w:gridCol w:w="1260"/>
        <w:gridCol w:w="1440"/>
        <w:gridCol w:w="1177"/>
        <w:gridCol w:w="1271"/>
      </w:tblGrid>
      <w:tr w:rsidR="00D0037C" w:rsidRPr="00066F65" w:rsidTr="00D0037C">
        <w:tc>
          <w:tcPr>
            <w:tcW w:w="1362"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Regulatory class</w:t>
            </w:r>
          </w:p>
        </w:tc>
        <w:tc>
          <w:tcPr>
            <w:tcW w:w="1310"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starting frequency (GHz)</w:t>
            </w:r>
          </w:p>
        </w:tc>
        <w:tc>
          <w:tcPr>
            <w:tcW w:w="1242"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spacing (MHz)</w:t>
            </w:r>
          </w:p>
        </w:tc>
        <w:tc>
          <w:tcPr>
            <w:tcW w:w="1054" w:type="dxa"/>
          </w:tcPr>
          <w:p w:rsidR="00E9207D" w:rsidRPr="0037334B" w:rsidRDefault="00E9207D" w:rsidP="00D0037C">
            <w:pPr>
              <w:autoSpaceDE w:val="0"/>
              <w:autoSpaceDN w:val="0"/>
              <w:adjustRightInd w:val="0"/>
              <w:jc w:val="both"/>
              <w:rPr>
                <w:rFonts w:eastAsia="SimSun"/>
                <w:b/>
                <w:sz w:val="22"/>
              </w:rPr>
            </w:pPr>
            <w:r w:rsidRPr="0037334B">
              <w:rPr>
                <w:rFonts w:ascii="TimesNewRoman,Bold" w:eastAsia="SimSun" w:hAnsi="TimesNewRoman,Bold"/>
                <w:b/>
                <w:sz w:val="22"/>
              </w:rPr>
              <w:t>Channel set</w:t>
            </w:r>
          </w:p>
        </w:tc>
        <w:tc>
          <w:tcPr>
            <w:tcW w:w="1260"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Transmit power limit (dBm)</w:t>
            </w:r>
          </w:p>
        </w:tc>
        <w:tc>
          <w:tcPr>
            <w:tcW w:w="1440" w:type="dxa"/>
          </w:tcPr>
          <w:p w:rsidR="00E9207D" w:rsidRPr="0037334B" w:rsidRDefault="00F94E64" w:rsidP="00D0037C">
            <w:pPr>
              <w:autoSpaceDE w:val="0"/>
              <w:autoSpaceDN w:val="0"/>
              <w:adjustRightInd w:val="0"/>
              <w:jc w:val="both"/>
              <w:rPr>
                <w:rFonts w:eastAsia="SimSun"/>
                <w:b/>
                <w:sz w:val="22"/>
              </w:rPr>
            </w:pPr>
            <w:r>
              <w:rPr>
                <w:rFonts w:eastAsia="SimSun"/>
                <w:b/>
                <w:sz w:val="22"/>
              </w:rPr>
              <w:t>Transmit p</w:t>
            </w:r>
            <w:r w:rsidR="00E9207D" w:rsidRPr="0037334B">
              <w:rPr>
                <w:rFonts w:eastAsia="SimSun"/>
                <w:b/>
                <w:sz w:val="22"/>
              </w:rPr>
              <w:t>ower limit (EIRP)</w:t>
            </w:r>
          </w:p>
        </w:tc>
        <w:tc>
          <w:tcPr>
            <w:tcW w:w="1177"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1271"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D0037C" w:rsidRPr="00066F65" w:rsidTr="00D0037C">
        <w:tc>
          <w:tcPr>
            <w:tcW w:w="1362" w:type="dxa"/>
          </w:tcPr>
          <w:p w:rsidR="00E9207D" w:rsidRPr="0037334B" w:rsidRDefault="00E9207D" w:rsidP="00D0037C">
            <w:pPr>
              <w:autoSpaceDE w:val="0"/>
              <w:autoSpaceDN w:val="0"/>
              <w:adjustRightInd w:val="0"/>
              <w:jc w:val="center"/>
              <w:rPr>
                <w:rFonts w:eastAsia="SimSun"/>
              </w:rPr>
            </w:pPr>
            <w:r w:rsidRPr="0037334B">
              <w:rPr>
                <w:rFonts w:eastAsia="SimSun"/>
              </w:rPr>
              <w:t>34</w:t>
            </w:r>
          </w:p>
        </w:tc>
        <w:tc>
          <w:tcPr>
            <w:tcW w:w="1310" w:type="dxa"/>
          </w:tcPr>
          <w:p w:rsidR="00E9207D" w:rsidRPr="0037334B" w:rsidRDefault="00E9207D" w:rsidP="00D0037C">
            <w:pPr>
              <w:autoSpaceDE w:val="0"/>
              <w:autoSpaceDN w:val="0"/>
              <w:adjustRightInd w:val="0"/>
              <w:jc w:val="center"/>
              <w:rPr>
                <w:rFonts w:eastAsia="SimSun"/>
              </w:rPr>
            </w:pPr>
            <w:r w:rsidRPr="0037334B">
              <w:rPr>
                <w:rFonts w:eastAsia="SimSun"/>
              </w:rPr>
              <w:t>57</w:t>
            </w:r>
            <w:r w:rsidR="00EB6E7C">
              <w:rPr>
                <w:rFonts w:eastAsia="SimSun"/>
              </w:rPr>
              <w:t>.24</w:t>
            </w:r>
          </w:p>
        </w:tc>
        <w:tc>
          <w:tcPr>
            <w:tcW w:w="1242" w:type="dxa"/>
          </w:tcPr>
          <w:p w:rsidR="00E9207D" w:rsidRPr="0037334B" w:rsidRDefault="00E9207D" w:rsidP="00D0037C">
            <w:pPr>
              <w:autoSpaceDE w:val="0"/>
              <w:autoSpaceDN w:val="0"/>
              <w:adjustRightInd w:val="0"/>
              <w:jc w:val="center"/>
              <w:rPr>
                <w:rFonts w:eastAsia="SimSun"/>
              </w:rPr>
            </w:pPr>
            <w:r w:rsidRPr="0037334B">
              <w:rPr>
                <w:rFonts w:eastAsia="SimSun"/>
              </w:rPr>
              <w:t>2160</w:t>
            </w:r>
          </w:p>
        </w:tc>
        <w:tc>
          <w:tcPr>
            <w:tcW w:w="1054" w:type="dxa"/>
          </w:tcPr>
          <w:p w:rsidR="00E9207D" w:rsidRPr="0037334B" w:rsidRDefault="00E9207D" w:rsidP="00D0037C">
            <w:pPr>
              <w:autoSpaceDE w:val="0"/>
              <w:autoSpaceDN w:val="0"/>
              <w:adjustRightInd w:val="0"/>
              <w:jc w:val="center"/>
              <w:rPr>
                <w:rFonts w:eastAsia="SimSun"/>
              </w:rPr>
            </w:pPr>
            <w:r w:rsidRPr="0037334B">
              <w:rPr>
                <w:rFonts w:eastAsia="SimSun"/>
              </w:rPr>
              <w:t>1, 2, 3</w:t>
            </w:r>
          </w:p>
        </w:tc>
        <w:tc>
          <w:tcPr>
            <w:tcW w:w="1260" w:type="dxa"/>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1440" w:type="dxa"/>
          </w:tcPr>
          <w:p w:rsidR="00E9207D" w:rsidRPr="0037334B" w:rsidRDefault="00E9207D" w:rsidP="00D0037C">
            <w:pPr>
              <w:autoSpaceDE w:val="0"/>
              <w:autoSpaceDN w:val="0"/>
              <w:adjustRightInd w:val="0"/>
              <w:jc w:val="center"/>
              <w:rPr>
                <w:rFonts w:eastAsia="SimSun"/>
              </w:rPr>
            </w:pPr>
            <w:r w:rsidRPr="0037334B">
              <w:rPr>
                <w:rFonts w:eastAsia="SimSun"/>
              </w:rPr>
              <w:t>40dBm average</w:t>
            </w:r>
          </w:p>
          <w:p w:rsidR="00E9207D" w:rsidRPr="0037334B" w:rsidRDefault="00E9207D" w:rsidP="00D0037C">
            <w:pPr>
              <w:autoSpaceDE w:val="0"/>
              <w:autoSpaceDN w:val="0"/>
              <w:adjustRightInd w:val="0"/>
              <w:jc w:val="center"/>
              <w:rPr>
                <w:rFonts w:eastAsia="SimSun"/>
              </w:rPr>
            </w:pPr>
            <w:r w:rsidRPr="0037334B">
              <w:rPr>
                <w:rFonts w:eastAsia="SimSun"/>
              </w:rPr>
              <w:t>43dBm peak</w:t>
            </w:r>
          </w:p>
        </w:tc>
        <w:tc>
          <w:tcPr>
            <w:tcW w:w="1177" w:type="dxa"/>
          </w:tcPr>
          <w:p w:rsidR="00E9207D" w:rsidRPr="0037334B" w:rsidRDefault="00386A92" w:rsidP="00D0037C">
            <w:pPr>
              <w:autoSpaceDE w:val="0"/>
              <w:autoSpaceDN w:val="0"/>
              <w:adjustRightInd w:val="0"/>
              <w:jc w:val="center"/>
              <w:rPr>
                <w:rFonts w:eastAsia="SimSun"/>
              </w:rPr>
            </w:pPr>
            <w:r w:rsidRPr="0037334B">
              <w:rPr>
                <w:rFonts w:eastAsia="SimSun"/>
              </w:rPr>
              <w:t>0</w:t>
            </w:r>
          </w:p>
        </w:tc>
        <w:tc>
          <w:tcPr>
            <w:tcW w:w="1271" w:type="dxa"/>
          </w:tcPr>
          <w:p w:rsidR="00E9207D" w:rsidRPr="0037334B" w:rsidRDefault="00386A92" w:rsidP="00D0037C">
            <w:pPr>
              <w:autoSpaceDE w:val="0"/>
              <w:autoSpaceDN w:val="0"/>
              <w:adjustRightInd w:val="0"/>
              <w:jc w:val="center"/>
              <w:rPr>
                <w:rFonts w:eastAsia="SimSun"/>
              </w:rPr>
            </w:pPr>
            <w:r w:rsidRPr="0037334B">
              <w:rPr>
                <w:rFonts w:eastAsia="SimSun"/>
              </w:rPr>
              <w:t>0</w:t>
            </w:r>
          </w:p>
        </w:tc>
      </w:tr>
    </w:tbl>
    <w:p w:rsidR="00E9207D" w:rsidRPr="0037334B" w:rsidRDefault="00E9207D" w:rsidP="00E9207D">
      <w:pPr>
        <w:autoSpaceDE w:val="0"/>
        <w:autoSpaceDN w:val="0"/>
        <w:adjustRightInd w:val="0"/>
        <w:rPr>
          <w:b/>
          <w:sz w:val="28"/>
        </w:rPr>
      </w:pPr>
    </w:p>
    <w:p w:rsidR="00E9207D" w:rsidRPr="0037334B" w:rsidRDefault="009A7AAA" w:rsidP="00E9207D">
      <w:pPr>
        <w:autoSpaceDE w:val="0"/>
        <w:autoSpaceDN w:val="0"/>
        <w:adjustRightInd w:val="0"/>
        <w:rPr>
          <w:i/>
        </w:rPr>
      </w:pPr>
      <w:r w:rsidRPr="0037334B">
        <w:rPr>
          <w:i/>
        </w:rPr>
        <w:t xml:space="preserve">.11 </w:t>
      </w:r>
      <w:r w:rsidR="00E9207D" w:rsidRPr="0037334B">
        <w:rPr>
          <w:i/>
        </w:rPr>
        <w:t>Editor Note: Insert the following row in Table J.2</w:t>
      </w:r>
    </w:p>
    <w:p w:rsidR="00E9207D" w:rsidRPr="0037334B" w:rsidRDefault="00E9207D" w:rsidP="00E9207D">
      <w:pPr>
        <w:autoSpaceDE w:val="0"/>
        <w:autoSpaceDN w:val="0"/>
        <w:adjustRightInd w:val="0"/>
        <w:rPr>
          <w:b/>
          <w:sz w:val="28"/>
        </w:rPr>
      </w:pPr>
    </w:p>
    <w:p w:rsidR="00E9207D" w:rsidRPr="00066F65" w:rsidRDefault="001B2C99" w:rsidP="00BA5BC4">
      <w:pPr>
        <w:pStyle w:val="Caption"/>
        <w:rPr>
          <w:sz w:val="28"/>
        </w:rPr>
      </w:pPr>
      <w:r>
        <w:t>Table J.</w:t>
      </w:r>
      <w:r w:rsidR="00E9207D" w:rsidRPr="00066F65">
        <w:t>2 Regulatory classes in Europe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1"/>
        <w:gridCol w:w="1309"/>
        <w:gridCol w:w="1242"/>
        <w:gridCol w:w="1054"/>
        <w:gridCol w:w="1260"/>
        <w:gridCol w:w="1441"/>
        <w:gridCol w:w="1178"/>
        <w:gridCol w:w="1271"/>
      </w:tblGrid>
      <w:tr w:rsidR="00D0037C" w:rsidRPr="00066F65" w:rsidTr="009A7AAA">
        <w:tc>
          <w:tcPr>
            <w:tcW w:w="673"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Regulatory class</w:t>
            </w:r>
          </w:p>
        </w:tc>
        <w:tc>
          <w:tcPr>
            <w:tcW w:w="647"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starting frequency (GHz)</w:t>
            </w:r>
          </w:p>
        </w:tc>
        <w:tc>
          <w:tcPr>
            <w:tcW w:w="614"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spacing (MHz)</w:t>
            </w:r>
          </w:p>
        </w:tc>
        <w:tc>
          <w:tcPr>
            <w:tcW w:w="521" w:type="pct"/>
          </w:tcPr>
          <w:p w:rsidR="00E9207D" w:rsidRPr="0037334B" w:rsidRDefault="00E9207D" w:rsidP="00D0037C">
            <w:pPr>
              <w:autoSpaceDE w:val="0"/>
              <w:autoSpaceDN w:val="0"/>
              <w:adjustRightInd w:val="0"/>
              <w:jc w:val="both"/>
              <w:rPr>
                <w:rFonts w:eastAsia="SimSun"/>
                <w:b/>
                <w:sz w:val="22"/>
              </w:rPr>
            </w:pPr>
            <w:r w:rsidRPr="0037334B">
              <w:rPr>
                <w:rFonts w:ascii="TimesNewRoman,Bold" w:eastAsia="SimSun" w:hAnsi="TimesNewRoman,Bold"/>
                <w:b/>
                <w:sz w:val="22"/>
              </w:rPr>
              <w:t>Channel set</w:t>
            </w:r>
          </w:p>
        </w:tc>
        <w:tc>
          <w:tcPr>
            <w:tcW w:w="623"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Transmit power limit (dBm)</w:t>
            </w:r>
          </w:p>
        </w:tc>
        <w:tc>
          <w:tcPr>
            <w:tcW w:w="712" w:type="pct"/>
          </w:tcPr>
          <w:p w:rsidR="00E9207D" w:rsidRPr="0037334B" w:rsidRDefault="00F94E64" w:rsidP="00D0037C">
            <w:pPr>
              <w:autoSpaceDE w:val="0"/>
              <w:autoSpaceDN w:val="0"/>
              <w:adjustRightInd w:val="0"/>
              <w:jc w:val="both"/>
              <w:rPr>
                <w:rFonts w:eastAsia="SimSun"/>
                <w:b/>
                <w:sz w:val="22"/>
              </w:rPr>
            </w:pPr>
            <w:r>
              <w:rPr>
                <w:rFonts w:eastAsia="SimSun"/>
                <w:b/>
                <w:sz w:val="22"/>
              </w:rPr>
              <w:t>Transmit p</w:t>
            </w:r>
            <w:r w:rsidR="00E9207D" w:rsidRPr="0037334B">
              <w:rPr>
                <w:rFonts w:eastAsia="SimSun"/>
                <w:b/>
                <w:sz w:val="22"/>
              </w:rPr>
              <w:t>ower limit (EIRP)</w:t>
            </w:r>
          </w:p>
        </w:tc>
        <w:tc>
          <w:tcPr>
            <w:tcW w:w="582"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628"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D0037C" w:rsidRPr="00066F65" w:rsidTr="009A7AAA">
        <w:tc>
          <w:tcPr>
            <w:tcW w:w="673" w:type="pct"/>
          </w:tcPr>
          <w:p w:rsidR="00E9207D" w:rsidRPr="0037334B" w:rsidRDefault="00E9207D" w:rsidP="00D0037C">
            <w:pPr>
              <w:autoSpaceDE w:val="0"/>
              <w:autoSpaceDN w:val="0"/>
              <w:adjustRightInd w:val="0"/>
              <w:jc w:val="center"/>
              <w:rPr>
                <w:rFonts w:eastAsia="SimSun"/>
              </w:rPr>
            </w:pPr>
            <w:r w:rsidRPr="0037334B">
              <w:rPr>
                <w:rFonts w:eastAsia="SimSun"/>
              </w:rPr>
              <w:t>13</w:t>
            </w:r>
          </w:p>
        </w:tc>
        <w:tc>
          <w:tcPr>
            <w:tcW w:w="647" w:type="pct"/>
          </w:tcPr>
          <w:p w:rsidR="00E9207D" w:rsidRPr="0037334B" w:rsidRDefault="00E9207D" w:rsidP="00D0037C">
            <w:pPr>
              <w:autoSpaceDE w:val="0"/>
              <w:autoSpaceDN w:val="0"/>
              <w:adjustRightInd w:val="0"/>
              <w:jc w:val="center"/>
              <w:rPr>
                <w:rFonts w:eastAsia="SimSun"/>
              </w:rPr>
            </w:pPr>
            <w:r w:rsidRPr="0037334B">
              <w:rPr>
                <w:rFonts w:eastAsia="SimSun"/>
              </w:rPr>
              <w:t>59</w:t>
            </w:r>
            <w:r w:rsidR="00EB6E7C">
              <w:rPr>
                <w:rFonts w:eastAsia="SimSun"/>
              </w:rPr>
              <w:t>.4</w:t>
            </w:r>
          </w:p>
        </w:tc>
        <w:tc>
          <w:tcPr>
            <w:tcW w:w="614" w:type="pct"/>
          </w:tcPr>
          <w:p w:rsidR="00E9207D" w:rsidRPr="0037334B" w:rsidRDefault="00E9207D" w:rsidP="00D0037C">
            <w:pPr>
              <w:autoSpaceDE w:val="0"/>
              <w:autoSpaceDN w:val="0"/>
              <w:adjustRightInd w:val="0"/>
              <w:jc w:val="center"/>
              <w:rPr>
                <w:rFonts w:eastAsia="SimSun"/>
              </w:rPr>
            </w:pPr>
            <w:r w:rsidRPr="0037334B">
              <w:rPr>
                <w:rFonts w:eastAsia="SimSun"/>
              </w:rPr>
              <w:t>2160</w:t>
            </w:r>
          </w:p>
        </w:tc>
        <w:tc>
          <w:tcPr>
            <w:tcW w:w="521" w:type="pct"/>
          </w:tcPr>
          <w:p w:rsidR="00E9207D" w:rsidRPr="0037334B" w:rsidRDefault="00E9207D" w:rsidP="00D0037C">
            <w:pPr>
              <w:autoSpaceDE w:val="0"/>
              <w:autoSpaceDN w:val="0"/>
              <w:adjustRightInd w:val="0"/>
              <w:jc w:val="center"/>
              <w:rPr>
                <w:rFonts w:eastAsia="SimSun"/>
              </w:rPr>
            </w:pPr>
            <w:r w:rsidRPr="0037334B">
              <w:rPr>
                <w:rFonts w:eastAsia="SimSun"/>
              </w:rPr>
              <w:t>2, 3, 4</w:t>
            </w:r>
          </w:p>
        </w:tc>
        <w:tc>
          <w:tcPr>
            <w:tcW w:w="623" w:type="pct"/>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712" w:type="pct"/>
          </w:tcPr>
          <w:p w:rsidR="00E9207D" w:rsidRPr="0037334B" w:rsidRDefault="00E9207D" w:rsidP="00D0037C">
            <w:pPr>
              <w:autoSpaceDE w:val="0"/>
              <w:autoSpaceDN w:val="0"/>
              <w:adjustRightInd w:val="0"/>
              <w:jc w:val="center"/>
              <w:rPr>
                <w:rFonts w:eastAsia="SimSun"/>
              </w:rPr>
            </w:pPr>
            <w:r w:rsidRPr="0037334B">
              <w:rPr>
                <w:rFonts w:eastAsia="SimSun"/>
              </w:rPr>
              <w:t>57 dBm</w:t>
            </w:r>
          </w:p>
        </w:tc>
        <w:tc>
          <w:tcPr>
            <w:tcW w:w="582" w:type="pct"/>
          </w:tcPr>
          <w:p w:rsidR="00E9207D" w:rsidRPr="0037334B" w:rsidRDefault="00386A92" w:rsidP="00D0037C">
            <w:pPr>
              <w:autoSpaceDE w:val="0"/>
              <w:autoSpaceDN w:val="0"/>
              <w:adjustRightInd w:val="0"/>
              <w:jc w:val="center"/>
              <w:rPr>
                <w:rFonts w:eastAsia="SimSun"/>
              </w:rPr>
            </w:pPr>
            <w:r w:rsidRPr="0037334B">
              <w:rPr>
                <w:rFonts w:eastAsia="SimSun"/>
              </w:rPr>
              <w:t>0</w:t>
            </w:r>
          </w:p>
        </w:tc>
        <w:tc>
          <w:tcPr>
            <w:tcW w:w="628" w:type="pct"/>
          </w:tcPr>
          <w:p w:rsidR="00E9207D" w:rsidRPr="0037334B" w:rsidRDefault="00386A92" w:rsidP="00D0037C">
            <w:pPr>
              <w:autoSpaceDE w:val="0"/>
              <w:autoSpaceDN w:val="0"/>
              <w:adjustRightInd w:val="0"/>
              <w:jc w:val="center"/>
              <w:rPr>
                <w:rFonts w:eastAsia="SimSun"/>
              </w:rPr>
            </w:pPr>
            <w:r w:rsidRPr="0037334B">
              <w:rPr>
                <w:rFonts w:eastAsia="SimSun"/>
              </w:rPr>
              <w:t>0</w:t>
            </w:r>
          </w:p>
        </w:tc>
      </w:tr>
    </w:tbl>
    <w:p w:rsidR="00E9207D" w:rsidRPr="0037334B" w:rsidRDefault="00E9207D" w:rsidP="00E9207D">
      <w:pPr>
        <w:autoSpaceDE w:val="0"/>
        <w:autoSpaceDN w:val="0"/>
        <w:adjustRightInd w:val="0"/>
        <w:rPr>
          <w:b/>
          <w:sz w:val="28"/>
        </w:rPr>
      </w:pPr>
    </w:p>
    <w:p w:rsidR="00E9207D" w:rsidRPr="0037334B" w:rsidRDefault="009A7AAA" w:rsidP="00E9207D">
      <w:pPr>
        <w:autoSpaceDE w:val="0"/>
        <w:autoSpaceDN w:val="0"/>
        <w:adjustRightInd w:val="0"/>
        <w:rPr>
          <w:i/>
        </w:rPr>
      </w:pPr>
      <w:r w:rsidRPr="0037334B">
        <w:rPr>
          <w:i/>
        </w:rPr>
        <w:t xml:space="preserve">.11 </w:t>
      </w:r>
      <w:r w:rsidR="00E9207D" w:rsidRPr="0037334B">
        <w:rPr>
          <w:i/>
        </w:rPr>
        <w:t>Editor Note: Insert the following row in Table J.3</w:t>
      </w:r>
    </w:p>
    <w:p w:rsidR="00E9207D" w:rsidRPr="0037334B" w:rsidRDefault="00E9207D" w:rsidP="00E9207D">
      <w:pPr>
        <w:autoSpaceDE w:val="0"/>
        <w:autoSpaceDN w:val="0"/>
        <w:adjustRightInd w:val="0"/>
        <w:rPr>
          <w:b/>
          <w:sz w:val="28"/>
        </w:rPr>
      </w:pPr>
    </w:p>
    <w:p w:rsidR="00E9207D" w:rsidRPr="0037334B" w:rsidRDefault="00E9207D" w:rsidP="00BA5BC4">
      <w:pPr>
        <w:pStyle w:val="Caption"/>
        <w:rPr>
          <w:b w:val="0"/>
          <w:sz w:val="28"/>
        </w:rPr>
      </w:pPr>
      <w:r w:rsidRPr="00066F65">
        <w:t>Table J</w:t>
      </w:r>
      <w:r w:rsidR="001B2C99">
        <w:t>.</w:t>
      </w:r>
      <w:r w:rsidRPr="00066F65">
        <w:t>3 Regulatory classes in Japan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1215"/>
        <w:gridCol w:w="1047"/>
        <w:gridCol w:w="1019"/>
        <w:gridCol w:w="1141"/>
        <w:gridCol w:w="1143"/>
        <w:gridCol w:w="1304"/>
        <w:gridCol w:w="1180"/>
        <w:gridCol w:w="1094"/>
      </w:tblGrid>
      <w:tr w:rsidR="001B2C99" w:rsidRPr="00066F65" w:rsidTr="00F94E64">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w:t>
            </w:r>
            <w:r w:rsidR="00F94E64">
              <w:rPr>
                <w:rFonts w:ascii="TimesNewRoman,Bold" w:eastAsia="SimSun" w:hAnsi="TimesNewRoman,Bold"/>
                <w:b/>
                <w:sz w:val="22"/>
              </w:rPr>
              <w:t>-</w:t>
            </w:r>
            <w:r w:rsidRPr="0037334B">
              <w:rPr>
                <w:rFonts w:ascii="TimesNewRoman,Bold" w:eastAsia="SimSun" w:hAnsi="TimesNewRoman,Bold"/>
                <w:b/>
                <w:sz w:val="22"/>
              </w:rPr>
              <w:t>tory class</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starting frequency (GHz)</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spacing (MHz)</w:t>
            </w:r>
          </w:p>
        </w:tc>
        <w:tc>
          <w:tcPr>
            <w:tcW w:w="0" w:type="auto"/>
          </w:tcPr>
          <w:p w:rsidR="00E9207D" w:rsidRPr="0037334B" w:rsidRDefault="00E9207D" w:rsidP="00D0037C">
            <w:pPr>
              <w:autoSpaceDE w:val="0"/>
              <w:autoSpaceDN w:val="0"/>
              <w:adjustRightInd w:val="0"/>
              <w:jc w:val="both"/>
              <w:rPr>
                <w:rFonts w:eastAsia="SimSun"/>
                <w:b/>
                <w:sz w:val="22"/>
              </w:rPr>
            </w:pPr>
            <w:r w:rsidRPr="0037334B">
              <w:rPr>
                <w:rFonts w:ascii="TimesNewRoman,Bold" w:eastAsia="SimSun" w:hAnsi="TimesNewRoman,Bold"/>
                <w:b/>
                <w:sz w:val="22"/>
              </w:rPr>
              <w:t>Channel set</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Transmit power limit (dBm)</w:t>
            </w:r>
          </w:p>
        </w:tc>
        <w:tc>
          <w:tcPr>
            <w:tcW w:w="0" w:type="auto"/>
          </w:tcPr>
          <w:p w:rsidR="00E9207D" w:rsidRPr="0037334B" w:rsidRDefault="00F94E64" w:rsidP="00D0037C">
            <w:pPr>
              <w:autoSpaceDE w:val="0"/>
              <w:autoSpaceDN w:val="0"/>
              <w:adjustRightInd w:val="0"/>
              <w:jc w:val="both"/>
              <w:rPr>
                <w:rFonts w:eastAsia="SimSun"/>
                <w:b/>
                <w:sz w:val="22"/>
              </w:rPr>
            </w:pPr>
            <w:r>
              <w:rPr>
                <w:rFonts w:eastAsia="SimSun"/>
                <w:b/>
                <w:sz w:val="22"/>
              </w:rPr>
              <w:t>Transmit p</w:t>
            </w:r>
            <w:r w:rsidR="00E9207D" w:rsidRPr="0037334B">
              <w:rPr>
                <w:rFonts w:eastAsia="SimSun"/>
                <w:b/>
                <w:sz w:val="22"/>
              </w:rPr>
              <w:t>ower limit (EIRP)</w:t>
            </w:r>
          </w:p>
        </w:tc>
        <w:tc>
          <w:tcPr>
            <w:tcW w:w="0" w:type="auto"/>
          </w:tcPr>
          <w:p w:rsidR="00E9207D" w:rsidRPr="0037334B" w:rsidRDefault="00E9207D" w:rsidP="00D0037C">
            <w:pPr>
              <w:autoSpaceDE w:val="0"/>
              <w:autoSpaceDN w:val="0"/>
              <w:adjustRightInd w:val="0"/>
              <w:jc w:val="both"/>
              <w:rPr>
                <w:rFonts w:eastAsia="SimSun"/>
                <w:b/>
                <w:sz w:val="22"/>
              </w:rPr>
            </w:pPr>
            <w:r w:rsidRPr="0037334B">
              <w:rPr>
                <w:rFonts w:eastAsia="SimSun"/>
                <w:b/>
                <w:sz w:val="22"/>
              </w:rPr>
              <w:t xml:space="preserve"> EIRP</w:t>
            </w:r>
          </w:p>
          <w:p w:rsidR="00E9207D" w:rsidRPr="0037334B" w:rsidRDefault="00E9207D" w:rsidP="00D0037C">
            <w:pPr>
              <w:autoSpaceDE w:val="0"/>
              <w:autoSpaceDN w:val="0"/>
              <w:adjustRightInd w:val="0"/>
              <w:jc w:val="both"/>
              <w:rPr>
                <w:rFonts w:eastAsia="SimSun"/>
                <w:b/>
                <w:sz w:val="22"/>
              </w:rPr>
            </w:pPr>
            <w:r w:rsidRPr="0037334B">
              <w:rPr>
                <w:rFonts w:eastAsia="SimSun"/>
                <w:b/>
                <w:sz w:val="22"/>
              </w:rPr>
              <w:t>(mW/MHz)</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0" w:type="auto"/>
          </w:tcPr>
          <w:p w:rsidR="00E9207D" w:rsidRPr="0037334B" w:rsidRDefault="00E9207D" w:rsidP="001B2C99">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1B2C99" w:rsidRPr="00066F65" w:rsidTr="00F94E64">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58</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59</w:t>
            </w:r>
            <w:r w:rsidR="00EB6E7C">
              <w:rPr>
                <w:rFonts w:eastAsia="SimSun"/>
              </w:rPr>
              <w:t>.4</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2160</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2, 3, 4</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57 dBm</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0" w:type="auto"/>
          </w:tcPr>
          <w:p w:rsidR="00E9207D" w:rsidRPr="0037334B" w:rsidRDefault="00386A92" w:rsidP="00D0037C">
            <w:pPr>
              <w:autoSpaceDE w:val="0"/>
              <w:autoSpaceDN w:val="0"/>
              <w:adjustRightInd w:val="0"/>
              <w:jc w:val="center"/>
              <w:rPr>
                <w:rFonts w:eastAsia="SimSun"/>
              </w:rPr>
            </w:pPr>
            <w:r w:rsidRPr="0037334B">
              <w:rPr>
                <w:rFonts w:eastAsia="SimSun"/>
              </w:rPr>
              <w:t>0</w:t>
            </w:r>
          </w:p>
        </w:tc>
        <w:tc>
          <w:tcPr>
            <w:tcW w:w="0" w:type="auto"/>
          </w:tcPr>
          <w:p w:rsidR="00E9207D" w:rsidRPr="0037334B" w:rsidRDefault="00386A92" w:rsidP="00D0037C">
            <w:pPr>
              <w:autoSpaceDE w:val="0"/>
              <w:autoSpaceDN w:val="0"/>
              <w:adjustRightInd w:val="0"/>
              <w:ind w:right="512"/>
              <w:jc w:val="center"/>
              <w:rPr>
                <w:rFonts w:eastAsia="SimSun"/>
              </w:rPr>
            </w:pPr>
            <w:r w:rsidRPr="0037334B">
              <w:rPr>
                <w:rFonts w:eastAsia="SimSun"/>
              </w:rPr>
              <w:t>0</w:t>
            </w:r>
          </w:p>
        </w:tc>
      </w:tr>
    </w:tbl>
    <w:p w:rsidR="0055055E" w:rsidRDefault="0055055E" w:rsidP="009A7AAA">
      <w:pPr>
        <w:rPr>
          <w:color w:val="000000"/>
        </w:rPr>
      </w:pPr>
      <w:bookmarkStart w:id="3973" w:name="_Toc204649046"/>
      <w:bookmarkEnd w:id="3972"/>
      <w:bookmarkEnd w:id="3973"/>
    </w:p>
    <w:p w:rsidR="001B2C99" w:rsidRPr="0037334B" w:rsidRDefault="001B2C99" w:rsidP="001B2C99">
      <w:pPr>
        <w:autoSpaceDE w:val="0"/>
        <w:autoSpaceDN w:val="0"/>
        <w:adjustRightInd w:val="0"/>
        <w:rPr>
          <w:i/>
        </w:rPr>
      </w:pPr>
      <w:r w:rsidRPr="0037334B">
        <w:rPr>
          <w:i/>
        </w:rPr>
        <w:t xml:space="preserve">.11 Editor Note: Insert the following </w:t>
      </w:r>
      <w:r>
        <w:rPr>
          <w:i/>
        </w:rPr>
        <w:t>Table J.4</w:t>
      </w:r>
    </w:p>
    <w:p w:rsidR="001B2C99" w:rsidRDefault="001B2C99" w:rsidP="009A7AAA">
      <w:pPr>
        <w:rPr>
          <w:color w:val="000000"/>
        </w:rPr>
      </w:pPr>
    </w:p>
    <w:p w:rsidR="00EB6E7C" w:rsidRPr="0037334B" w:rsidRDefault="001B2C99" w:rsidP="00EB6E7C">
      <w:pPr>
        <w:pStyle w:val="Caption"/>
        <w:rPr>
          <w:b w:val="0"/>
          <w:sz w:val="28"/>
        </w:rPr>
      </w:pPr>
      <w:r>
        <w:t>Table J.</w:t>
      </w:r>
      <w:r w:rsidR="00EB6E7C">
        <w:t>4 Regulatory classes in 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1215"/>
        <w:gridCol w:w="1047"/>
        <w:gridCol w:w="1019"/>
        <w:gridCol w:w="1141"/>
        <w:gridCol w:w="1143"/>
        <w:gridCol w:w="1304"/>
        <w:gridCol w:w="1180"/>
        <w:gridCol w:w="1094"/>
      </w:tblGrid>
      <w:tr w:rsidR="00EB6E7C" w:rsidRPr="00066F65" w:rsidTr="00F94E64">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w:t>
            </w:r>
            <w:r w:rsidR="003108CC">
              <w:rPr>
                <w:rFonts w:ascii="TimesNewRoman,Bold" w:eastAsia="SimSun" w:hAnsi="TimesNewRoman,Bold"/>
                <w:b/>
                <w:sz w:val="22"/>
              </w:rPr>
              <w:t>-</w:t>
            </w:r>
            <w:r w:rsidRPr="0037334B">
              <w:rPr>
                <w:rFonts w:ascii="TimesNewRoman,Bold" w:eastAsia="SimSun" w:hAnsi="TimesNewRoman,Bold"/>
                <w:b/>
                <w:sz w:val="22"/>
              </w:rPr>
              <w:t xml:space="preserve">tory </w:t>
            </w:r>
            <w:r w:rsidRPr="0037334B">
              <w:rPr>
                <w:rFonts w:ascii="TimesNewRoman,Bold" w:eastAsia="SimSun" w:hAnsi="TimesNewRoman,Bold"/>
                <w:b/>
                <w:sz w:val="22"/>
              </w:rPr>
              <w:lastRenderedPageBreak/>
              <w:t>class</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lastRenderedPageBreak/>
              <w:t xml:space="preserve">Channel starting </w:t>
            </w:r>
            <w:r w:rsidRPr="0037334B">
              <w:rPr>
                <w:rFonts w:ascii="TimesNewRoman,Bold" w:eastAsia="SimSun" w:hAnsi="TimesNewRoman,Bold"/>
                <w:b/>
                <w:sz w:val="22"/>
              </w:rPr>
              <w:lastRenderedPageBreak/>
              <w:t>frequency (GHz)</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lastRenderedPageBreak/>
              <w:t xml:space="preserve">Channel spacing </w:t>
            </w:r>
            <w:r w:rsidRPr="0037334B">
              <w:rPr>
                <w:rFonts w:ascii="TimesNewRoman,Bold" w:eastAsia="SimSun" w:hAnsi="TimesNewRoman,Bold"/>
                <w:b/>
                <w:sz w:val="22"/>
              </w:rPr>
              <w:lastRenderedPageBreak/>
              <w:t>(MHz)</w:t>
            </w:r>
          </w:p>
        </w:tc>
        <w:tc>
          <w:tcPr>
            <w:tcW w:w="0" w:type="auto"/>
          </w:tcPr>
          <w:p w:rsidR="00EB6E7C" w:rsidRPr="0037334B" w:rsidRDefault="00EB6E7C" w:rsidP="00D05D1B">
            <w:pPr>
              <w:autoSpaceDE w:val="0"/>
              <w:autoSpaceDN w:val="0"/>
              <w:adjustRightInd w:val="0"/>
              <w:jc w:val="both"/>
              <w:rPr>
                <w:rFonts w:eastAsia="SimSun"/>
                <w:b/>
                <w:sz w:val="22"/>
              </w:rPr>
            </w:pPr>
            <w:r w:rsidRPr="0037334B">
              <w:rPr>
                <w:rFonts w:ascii="TimesNewRoman,Bold" w:eastAsia="SimSun" w:hAnsi="TimesNewRoman,Bold"/>
                <w:b/>
                <w:sz w:val="22"/>
              </w:rPr>
              <w:lastRenderedPageBreak/>
              <w:t>Channel set</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 xml:space="preserve">Transmit power </w:t>
            </w:r>
            <w:r w:rsidRPr="0037334B">
              <w:rPr>
                <w:rFonts w:ascii="TimesNewRoman,Bold" w:eastAsia="SimSun" w:hAnsi="TimesNewRoman,Bold"/>
                <w:b/>
                <w:sz w:val="22"/>
              </w:rPr>
              <w:lastRenderedPageBreak/>
              <w:t>limit (dBm)</w:t>
            </w:r>
          </w:p>
        </w:tc>
        <w:tc>
          <w:tcPr>
            <w:tcW w:w="0" w:type="auto"/>
          </w:tcPr>
          <w:p w:rsidR="00EB6E7C" w:rsidRPr="0037334B" w:rsidRDefault="00EB6E7C" w:rsidP="003108CC">
            <w:pPr>
              <w:autoSpaceDE w:val="0"/>
              <w:autoSpaceDN w:val="0"/>
              <w:adjustRightInd w:val="0"/>
              <w:jc w:val="both"/>
              <w:rPr>
                <w:rFonts w:eastAsia="SimSun"/>
                <w:b/>
                <w:sz w:val="22"/>
              </w:rPr>
            </w:pPr>
            <w:r w:rsidRPr="0037334B">
              <w:rPr>
                <w:rFonts w:eastAsia="SimSun"/>
                <w:b/>
                <w:sz w:val="22"/>
              </w:rPr>
              <w:lastRenderedPageBreak/>
              <w:t xml:space="preserve">Transmit </w:t>
            </w:r>
            <w:r w:rsidR="003108CC">
              <w:rPr>
                <w:rFonts w:eastAsia="SimSun"/>
                <w:b/>
                <w:sz w:val="22"/>
              </w:rPr>
              <w:t>p</w:t>
            </w:r>
            <w:r w:rsidRPr="0037334B">
              <w:rPr>
                <w:rFonts w:eastAsia="SimSun"/>
                <w:b/>
                <w:sz w:val="22"/>
              </w:rPr>
              <w:t xml:space="preserve">ower </w:t>
            </w:r>
            <w:r w:rsidRPr="0037334B">
              <w:rPr>
                <w:rFonts w:eastAsia="SimSun"/>
                <w:b/>
                <w:sz w:val="22"/>
              </w:rPr>
              <w:lastRenderedPageBreak/>
              <w:t>limit (EIRP)</w:t>
            </w:r>
          </w:p>
        </w:tc>
        <w:tc>
          <w:tcPr>
            <w:tcW w:w="0" w:type="auto"/>
          </w:tcPr>
          <w:p w:rsidR="00EB6E7C" w:rsidRPr="0037334B" w:rsidRDefault="00EB6E7C" w:rsidP="00D05D1B">
            <w:pPr>
              <w:autoSpaceDE w:val="0"/>
              <w:autoSpaceDN w:val="0"/>
              <w:adjustRightInd w:val="0"/>
              <w:jc w:val="both"/>
              <w:rPr>
                <w:rFonts w:eastAsia="SimSun"/>
                <w:b/>
                <w:sz w:val="22"/>
              </w:rPr>
            </w:pPr>
            <w:r w:rsidRPr="0037334B">
              <w:rPr>
                <w:rFonts w:eastAsia="SimSun"/>
                <w:b/>
                <w:sz w:val="22"/>
              </w:rPr>
              <w:lastRenderedPageBreak/>
              <w:t xml:space="preserve"> EIRP</w:t>
            </w:r>
          </w:p>
          <w:p w:rsidR="00EB6E7C" w:rsidRPr="0037334B" w:rsidRDefault="00EB6E7C" w:rsidP="00D05D1B">
            <w:pPr>
              <w:autoSpaceDE w:val="0"/>
              <w:autoSpaceDN w:val="0"/>
              <w:adjustRightInd w:val="0"/>
              <w:jc w:val="both"/>
              <w:rPr>
                <w:rFonts w:eastAsia="SimSun"/>
                <w:b/>
                <w:sz w:val="22"/>
              </w:rPr>
            </w:pPr>
            <w:r w:rsidRPr="0037334B">
              <w:rPr>
                <w:rFonts w:eastAsia="SimSun"/>
                <w:b/>
                <w:sz w:val="22"/>
              </w:rPr>
              <w:t>(mW/MHz)</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0" w:type="auto"/>
          </w:tcPr>
          <w:p w:rsidR="00EB6E7C" w:rsidRPr="0037334B" w:rsidRDefault="00EB6E7C" w:rsidP="001B2C99">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EB6E7C" w:rsidRPr="00066F65" w:rsidTr="00F94E64">
        <w:tc>
          <w:tcPr>
            <w:tcW w:w="0" w:type="auto"/>
          </w:tcPr>
          <w:p w:rsidR="00EB6E7C" w:rsidRPr="0037334B" w:rsidRDefault="00EB6E7C" w:rsidP="00EB6E7C">
            <w:pPr>
              <w:autoSpaceDE w:val="0"/>
              <w:autoSpaceDN w:val="0"/>
              <w:adjustRightInd w:val="0"/>
              <w:jc w:val="center"/>
              <w:rPr>
                <w:rFonts w:eastAsia="SimSun"/>
              </w:rPr>
            </w:pPr>
            <w:r w:rsidRPr="0037334B">
              <w:rPr>
                <w:rFonts w:eastAsia="SimSun"/>
              </w:rPr>
              <w:lastRenderedPageBreak/>
              <w:t>5</w:t>
            </w:r>
            <w:r>
              <w:rPr>
                <w:rFonts w:eastAsia="SimSun"/>
              </w:rPr>
              <w:t>9</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59</w:t>
            </w:r>
            <w:r>
              <w:rPr>
                <w:rFonts w:eastAsia="SimSun"/>
              </w:rPr>
              <w:t>.4</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2160</w:t>
            </w:r>
          </w:p>
        </w:tc>
        <w:tc>
          <w:tcPr>
            <w:tcW w:w="0" w:type="auto"/>
          </w:tcPr>
          <w:p w:rsidR="00EB6E7C" w:rsidRPr="0037334B" w:rsidRDefault="00EB6E7C" w:rsidP="00D05D1B">
            <w:pPr>
              <w:autoSpaceDE w:val="0"/>
              <w:autoSpaceDN w:val="0"/>
              <w:adjustRightInd w:val="0"/>
              <w:jc w:val="center"/>
              <w:rPr>
                <w:rFonts w:eastAsia="SimSun"/>
              </w:rPr>
            </w:pPr>
            <w:r>
              <w:rPr>
                <w:rFonts w:eastAsia="SimSun"/>
              </w:rPr>
              <w:t>2</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57 dBm</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0</w:t>
            </w:r>
          </w:p>
        </w:tc>
        <w:tc>
          <w:tcPr>
            <w:tcW w:w="0" w:type="auto"/>
          </w:tcPr>
          <w:p w:rsidR="00EB6E7C" w:rsidRPr="0037334B" w:rsidRDefault="00EB6E7C" w:rsidP="00D05D1B">
            <w:pPr>
              <w:autoSpaceDE w:val="0"/>
              <w:autoSpaceDN w:val="0"/>
              <w:adjustRightInd w:val="0"/>
              <w:ind w:right="512"/>
              <w:jc w:val="center"/>
              <w:rPr>
                <w:rFonts w:eastAsia="SimSun"/>
              </w:rPr>
            </w:pPr>
            <w:r w:rsidRPr="0037334B">
              <w:rPr>
                <w:rFonts w:eastAsia="SimSun"/>
              </w:rPr>
              <w:t>0</w:t>
            </w:r>
          </w:p>
        </w:tc>
      </w:tr>
    </w:tbl>
    <w:p w:rsidR="00EB6E7C" w:rsidRPr="0037334B" w:rsidRDefault="00EB6E7C" w:rsidP="009A7AAA">
      <w:pPr>
        <w:rPr>
          <w:color w:val="000000"/>
        </w:rPr>
      </w:pPr>
    </w:p>
    <w:sectPr w:rsidR="00EB6E7C" w:rsidRPr="0037334B" w:rsidSect="00F94E64">
      <w:pgSz w:w="12240" w:h="15840" w:code="1"/>
      <w:pgMar w:top="1080" w:right="1080" w:bottom="1080" w:left="540" w:header="432" w:footer="432" w:gutter="7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0DE" w:rsidRDefault="008E30DE">
      <w:r>
        <w:separator/>
      </w:r>
    </w:p>
  </w:endnote>
  <w:endnote w:type="continuationSeparator" w:id="0">
    <w:p w:rsidR="008E30DE" w:rsidRDefault="008E30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MS Mincho"/>
    <w:charset w:val="80"/>
    <w:family w:val="auto"/>
    <w:pitch w:val="default"/>
    <w:sig w:usb0="00000000" w:usb1="00000000" w:usb2="00000000" w:usb3="00000000" w:csb0="0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PMingLiU">
    <w:altName w:val="新細明體"/>
    <w:panose1 w:val="02020300000000000000"/>
    <w:charset w:val="88"/>
    <w:family w:val="roman"/>
    <w:pitch w:val="variable"/>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Malgun Gothic">
    <w:panose1 w:val="00000000000000000000"/>
    <w:charset w:val="00"/>
    <w:family w:val="roman"/>
    <w:notTrueType/>
    <w:pitch w:val="default"/>
    <w:sig w:usb0="00000000" w:usb1="00000000" w:usb2="00000000" w:usb3="00000000" w:csb0="000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 Shell Dlg">
    <w:panose1 w:val="020B0604020202020204"/>
    <w:charset w:val="00"/>
    <w:family w:val="swiss"/>
    <w:pitch w:val="variable"/>
    <w:sig w:usb0="61002BDF" w:usb1="80000000" w:usb2="00000008" w:usb3="00000000" w:csb0="000101FF" w:csb1="00000000"/>
  </w:font>
  <w:font w:name="MS PGothic">
    <w:panose1 w:val="020B0600070205080204"/>
    <w:charset w:val="80"/>
    <w:family w:val="swiss"/>
    <w:pitch w:val="variable"/>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T6134941CtCID-WinCharSetFFFF-H">
    <w:altName w:val="Times New Roman"/>
    <w:panose1 w:val="00000000000000000000"/>
    <w:charset w:val="A1"/>
    <w:family w:val="auto"/>
    <w:notTrueType/>
    <w:pitch w:val="default"/>
    <w:sig w:usb0="00000081" w:usb1="00000000" w:usb2="00000000" w:usb3="00000000" w:csb0="00000008"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SymbolMT">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890A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B6E8E" w:rsidRDefault="00DB6E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9852A6">
    <w:pPr>
      <w:pStyle w:val="Footer"/>
      <w:widowControl w:val="0"/>
      <w:pBdr>
        <w:top w:val="single" w:sz="6" w:space="0" w:color="auto"/>
      </w:pBdr>
      <w:tabs>
        <w:tab w:val="center" w:pos="4680"/>
        <w:tab w:val="right" w:pos="9360"/>
      </w:tabs>
      <w:spacing w:before="240"/>
    </w:pPr>
    <w:r>
      <w:t>Submission</w:t>
    </w:r>
    <w:r>
      <w:tab/>
      <w:t xml:space="preserve"> Page </w:t>
    </w:r>
    <w:fldSimple w:instr=" PAGE ">
      <w:r w:rsidR="00A66A9E">
        <w:rPr>
          <w:noProof/>
        </w:rPr>
        <w:t>82</w:t>
      </w:r>
    </w:fldSimple>
    <w:r>
      <w:t xml:space="preserve"> of </w:t>
    </w:r>
    <w:fldSimple w:instr=" NUMPAGES ">
      <w:r w:rsidR="00A66A9E">
        <w:rPr>
          <w:noProof/>
        </w:rPr>
        <w:t>335</w:t>
      </w:r>
    </w:fldSimple>
    <w:bookmarkStart w:id="2925" w:name="_Toc189075636"/>
    <w:bookmarkStart w:id="2926" w:name="_Toc189076121"/>
    <w:r>
      <w:tab/>
      <w:t xml:space="preserve">                            </w:t>
    </w:r>
    <w:bookmarkStart w:id="2927" w:name="OLE_LINK1"/>
    <w:bookmarkStart w:id="2928" w:name="OLE_LINK2"/>
    <w:r>
      <w:t>Carlos Cordeiro, Intel, et al.</w:t>
    </w:r>
    <w:bookmarkEnd w:id="2927"/>
    <w:bookmarkEnd w:id="2928"/>
  </w:p>
  <w:bookmarkEnd w:id="2925"/>
  <w:bookmarkEnd w:id="2926"/>
  <w:p w:rsidR="00DB6E8E" w:rsidRPr="00C55759" w:rsidRDefault="00DB6E8E" w:rsidP="00C557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30094C">
    <w:pPr>
      <w:pStyle w:val="Footer"/>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0DE" w:rsidRDefault="008E30DE">
      <w:r>
        <w:separator/>
      </w:r>
    </w:p>
  </w:footnote>
  <w:footnote w:type="continuationSeparator" w:id="0">
    <w:p w:rsidR="008E30DE" w:rsidRDefault="008E30DE">
      <w:r>
        <w:continuationSeparator/>
      </w:r>
    </w:p>
  </w:footnote>
  <w:footnote w:id="1">
    <w:p w:rsidR="00DB6E8E" w:rsidRPr="001238F1" w:rsidRDefault="00DB6E8E" w:rsidP="001238F1">
      <w:pPr>
        <w:pStyle w:val="FootnoteText"/>
        <w:rPr>
          <w:i/>
          <w:iCs/>
        </w:rPr>
      </w:pPr>
      <w:r>
        <w:rPr>
          <w:rStyle w:val="FootnoteReference"/>
        </w:rPr>
        <w:footnoteRef/>
      </w:r>
      <w:r>
        <w:t xml:space="preserve"> </w:t>
      </w:r>
      <w:r>
        <w:rPr>
          <w:i/>
          <w:iCs/>
        </w:rPr>
        <w:t>N</w:t>
      </w:r>
      <w:r>
        <w:rPr>
          <w:i/>
          <w:iCs/>
          <w:vertAlign w:val="subscript"/>
        </w:rPr>
        <w:t>SYM</w:t>
      </w:r>
      <w:r>
        <w:rPr>
          <w:i/>
          <w:iCs/>
        </w:rPr>
        <w:t xml:space="preserve"> is defined in </w:t>
      </w:r>
      <w:r>
        <w:rPr>
          <w:i/>
          <w:iCs/>
        </w:rPr>
        <w:fldChar w:fldCharType="begin"/>
      </w:r>
      <w:r>
        <w:rPr>
          <w:i/>
          <w:iCs/>
        </w:rPr>
        <w:instrText xml:space="preserve"> REF _Ref207611114 \r \h </w:instrText>
      </w:r>
      <w:r>
        <w:rPr>
          <w:i/>
          <w:iCs/>
        </w:rPr>
      </w:r>
      <w:r>
        <w:rPr>
          <w:i/>
          <w:iCs/>
        </w:rPr>
        <w:fldChar w:fldCharType="separate"/>
      </w:r>
      <w:r>
        <w:rPr>
          <w:i/>
          <w:iCs/>
        </w:rPr>
        <w:t>21.5.3.2.2.2</w:t>
      </w:r>
      <w:r>
        <w:rPr>
          <w:i/>
          <w:iCs/>
        </w:rPr>
        <w:fldChar w:fldCharType="end"/>
      </w:r>
      <w:r>
        <w:rPr>
          <w:i/>
          <w:iCs/>
        </w:rPr>
        <w:t xml:space="preserve"> and N</w:t>
      </w:r>
      <w:r>
        <w:rPr>
          <w:i/>
          <w:iCs/>
          <w:vertAlign w:val="subscript"/>
        </w:rPr>
        <w:t xml:space="preserve">BLKS </w:t>
      </w:r>
      <w:r>
        <w:rPr>
          <w:vertAlign w:val="subscript"/>
        </w:rPr>
        <w:t xml:space="preserve"> </w:t>
      </w:r>
      <w:r>
        <w:t xml:space="preserve">is defiend in </w:t>
      </w:r>
      <w:r>
        <w:fldChar w:fldCharType="begin"/>
      </w:r>
      <w:r>
        <w:instrText xml:space="preserve"> REF _Ref241319501 \r \h </w:instrText>
      </w:r>
      <w:r>
        <w:fldChar w:fldCharType="separate"/>
      </w:r>
      <w:r>
        <w:t>21.6.3.2.2.2</w:t>
      </w:r>
      <w:r>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Pr="001A404B" w:rsidRDefault="00DB6E8E" w:rsidP="007310AC">
    <w:pPr>
      <w:pStyle w:val="Header"/>
      <w:pBdr>
        <w:bottom w:val="single" w:sz="6" w:space="0" w:color="auto"/>
      </w:pBdr>
      <w:rPr>
        <w:b w:val="0"/>
        <w:bCs w:val="0"/>
        <w:sz w:val="22"/>
        <w:szCs w:val="24"/>
      </w:rPr>
    </w:pPr>
    <w:r w:rsidRPr="001A404B">
      <w:rPr>
        <w:sz w:val="24"/>
      </w:rPr>
      <w:t xml:space="preserve">May 2010 </w:t>
    </w:r>
    <w:r w:rsidRPr="001A404B">
      <w:rPr>
        <w:b w:val="0"/>
        <w:bCs w:val="0"/>
        <w:sz w:val="22"/>
        <w:szCs w:val="24"/>
      </w:rPr>
      <w:t xml:space="preserve">                                                       </w:t>
    </w:r>
    <w:r>
      <w:rPr>
        <w:b w:val="0"/>
        <w:bCs w:val="0"/>
        <w:sz w:val="22"/>
        <w:szCs w:val="24"/>
      </w:rPr>
      <w:t xml:space="preserve">                   </w:t>
    </w:r>
    <w:r w:rsidRPr="001A404B">
      <w:rPr>
        <w:b w:val="0"/>
        <w:bCs w:val="0"/>
        <w:sz w:val="22"/>
        <w:szCs w:val="24"/>
      </w:rPr>
      <w:t xml:space="preserve">                             </w:t>
    </w:r>
    <w:r w:rsidRPr="001A404B">
      <w:rPr>
        <w:sz w:val="24"/>
      </w:rPr>
      <w:t>doc.: IEEE 802.11-10/0433r0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30094C">
    <w:pPr>
      <w:pStyle w:val="Header"/>
      <w:pBdr>
        <w:bottom w:val="none" w:sz="0" w:space="0" w:color="auto"/>
      </w:pBdr>
    </w:pPr>
    <w:r>
      <w:t>May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74F2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A52098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240B66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90401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CCEF17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612A62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FECA76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5ACAD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4EE66FE"/>
    <w:lvl w:ilvl="0">
      <w:start w:val="1"/>
      <w:numFmt w:val="decimal"/>
      <w:pStyle w:val="ListNumber"/>
      <w:lvlText w:val="%1."/>
      <w:lvlJc w:val="left"/>
      <w:pPr>
        <w:tabs>
          <w:tab w:val="num" w:pos="360"/>
        </w:tabs>
        <w:ind w:left="360" w:hanging="360"/>
      </w:pPr>
    </w:lvl>
  </w:abstractNum>
  <w:abstractNum w:abstractNumId="9">
    <w:nsid w:val="FFFFFF89"/>
    <w:multiLevelType w:val="singleLevel"/>
    <w:tmpl w:val="084496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8"/>
      <w:numFmt w:val="bullet"/>
      <w:lvlText w:val="—"/>
      <w:lvlJc w:val="left"/>
      <w:pPr>
        <w:tabs>
          <w:tab w:val="num" w:pos="720"/>
        </w:tabs>
        <w:ind w:left="720" w:hanging="360"/>
      </w:pPr>
      <w:rPr>
        <w:rFonts w:ascii="Arial Unicode MS" w:hAnsi="Arial Unicode MS" w:cs="Arial Unicode MS"/>
      </w:rPr>
    </w:lvl>
  </w:abstractNum>
  <w:abstractNum w:abstractNumId="11">
    <w:nsid w:val="00000003"/>
    <w:multiLevelType w:val="singleLevel"/>
    <w:tmpl w:val="00000003"/>
    <w:name w:val="WW8Num3"/>
    <w:lvl w:ilvl="0">
      <w:start w:val="1"/>
      <w:numFmt w:val="lowerLetter"/>
      <w:lvlText w:val="%1)"/>
      <w:lvlJc w:val="left"/>
      <w:pPr>
        <w:tabs>
          <w:tab w:val="num" w:pos="1008"/>
        </w:tabs>
        <w:ind w:left="1008" w:hanging="360"/>
      </w:pPr>
    </w:lvl>
  </w:abstractNum>
  <w:abstractNum w:abstractNumId="12">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13">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14">
    <w:nsid w:val="00000006"/>
    <w:multiLevelType w:val="singleLevel"/>
    <w:tmpl w:val="00000006"/>
    <w:name w:val="WW8Num6"/>
    <w:lvl w:ilvl="0">
      <w:start w:val="1"/>
      <w:numFmt w:val="lowerLetter"/>
      <w:lvlText w:val="%1)"/>
      <w:lvlJc w:val="left"/>
      <w:pPr>
        <w:tabs>
          <w:tab w:val="num" w:pos="1008"/>
        </w:tabs>
        <w:ind w:left="1008" w:hanging="360"/>
      </w:pPr>
    </w:lvl>
  </w:abstractNum>
  <w:abstractNum w:abstractNumId="15">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16">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09"/>
    <w:multiLevelType w:val="multilevel"/>
    <w:tmpl w:val="00000009"/>
    <w:name w:val="WW8Num10"/>
    <w:lvl w:ilvl="0">
      <w:start w:val="1"/>
      <w:numFmt w:val="bullet"/>
      <w:lvlText w:val=""/>
      <w:lvlJc w:val="left"/>
      <w:pPr>
        <w:tabs>
          <w:tab w:val="num" w:pos="720"/>
        </w:tabs>
        <w:ind w:left="720" w:hanging="360"/>
      </w:pPr>
      <w:rPr>
        <w:rFonts w:ascii="Symbol" w:hAnsi="Symbol"/>
        <w:b w:val="0"/>
        <w:bCs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BC5B97"/>
    <w:multiLevelType w:val="multilevel"/>
    <w:tmpl w:val="455E93AE"/>
    <w:lvl w:ilvl="0">
      <w:start w:val="11"/>
      <w:numFmt w:val="decimal"/>
      <w:lvlText w:val="%1"/>
      <w:lvlJc w:val="left"/>
      <w:pPr>
        <w:tabs>
          <w:tab w:val="num" w:pos="495"/>
        </w:tabs>
        <w:ind w:left="495" w:hanging="495"/>
      </w:pPr>
      <w:rPr>
        <w:rFonts w:hint="default"/>
      </w:rPr>
    </w:lvl>
    <w:lvl w:ilvl="1">
      <w:start w:val="2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00E33688"/>
    <w:multiLevelType w:val="hybridMultilevel"/>
    <w:tmpl w:val="14242004"/>
    <w:lvl w:ilvl="0" w:tplc="04090011">
      <w:start w:val="1"/>
      <w:numFmt w:val="decimal"/>
      <w:lvlText w:val="%1)"/>
      <w:lvlJc w:val="left"/>
      <w:pPr>
        <w:ind w:left="720" w:hanging="360"/>
      </w:pPr>
      <w:rPr>
        <w:rFonts w:hint="default"/>
      </w:rPr>
    </w:lvl>
    <w:lvl w:ilvl="1" w:tplc="96D014F2">
      <w:start w:val="1"/>
      <w:numFmt w:val="lowerLetter"/>
      <w:lvlText w:val="%2."/>
      <w:lvlJc w:val="left"/>
      <w:pPr>
        <w:ind w:left="1440" w:hanging="360"/>
      </w:pPr>
      <w:rPr>
        <w:sz w:val="21"/>
        <w:szCs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14B37D2"/>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015B348F"/>
    <w:multiLevelType w:val="hybridMultilevel"/>
    <w:tmpl w:val="0F84C190"/>
    <w:lvl w:ilvl="0" w:tplc="976EE46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1E84B2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01EF4CED"/>
    <w:multiLevelType w:val="hybridMultilevel"/>
    <w:tmpl w:val="5AB8A7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2A473B8"/>
    <w:multiLevelType w:val="multilevel"/>
    <w:tmpl w:val="072677CE"/>
    <w:lvl w:ilvl="0">
      <w:start w:val="9"/>
      <w:numFmt w:val="decimal"/>
      <w:lvlText w:val="%1"/>
      <w:lvlJc w:val="left"/>
      <w:pPr>
        <w:tabs>
          <w:tab w:val="num" w:pos="540"/>
        </w:tabs>
        <w:ind w:left="540" w:hanging="540"/>
      </w:pPr>
      <w:rPr>
        <w:rFonts w:hint="default"/>
        <w:b/>
      </w:rPr>
    </w:lvl>
    <w:lvl w:ilvl="1">
      <w:start w:val="1"/>
      <w:numFmt w:val="none"/>
      <w:lvlRestart w:val="0"/>
      <w:lvlText w:val="11.36"/>
      <w:lvlJc w:val="left"/>
      <w:pPr>
        <w:tabs>
          <w:tab w:val="num" w:pos="540"/>
        </w:tabs>
        <w:ind w:left="540" w:hanging="540"/>
      </w:pPr>
      <w:rPr>
        <w:rFonts w:hint="default"/>
        <w:b/>
      </w:rPr>
    </w:lvl>
    <w:lvl w:ilvl="2">
      <w:start w:val="7"/>
      <w:numFmt w:val="none"/>
      <w:suff w:val="space"/>
      <w:lvlText w:val="9.9.1"/>
      <w:lvlJc w:val="left"/>
      <w:pPr>
        <w:ind w:left="720" w:hanging="720"/>
      </w:pPr>
      <w:rPr>
        <w:rFonts w:hint="default"/>
        <w:b/>
      </w:rPr>
    </w:lvl>
    <w:lvl w:ilvl="3">
      <w:start w:val="1"/>
      <w:numFmt w:val="none"/>
      <w:suff w:val="space"/>
      <w:lvlText w:val="9.9.1.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02C14787"/>
    <w:multiLevelType w:val="multilevel"/>
    <w:tmpl w:val="A5BA3E76"/>
    <w:lvl w:ilvl="0">
      <w:start w:val="8"/>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02E11F55"/>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03C974FA"/>
    <w:multiLevelType w:val="multilevel"/>
    <w:tmpl w:val="DD98B5C2"/>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2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04310C6D"/>
    <w:multiLevelType w:val="multilevel"/>
    <w:tmpl w:val="CDF83F26"/>
    <w:lvl w:ilvl="0">
      <w:start w:val="11"/>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056F2303"/>
    <w:multiLevelType w:val="multilevel"/>
    <w:tmpl w:val="7EA888F0"/>
    <w:lvl w:ilvl="0">
      <w:start w:val="1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063A13C9"/>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06911893"/>
    <w:multiLevelType w:val="multilevel"/>
    <w:tmpl w:val="D9B69322"/>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2"/>
      <w:numFmt w:val="decimal"/>
      <w:suff w:val="space"/>
      <w:lvlText w:val="%1.%2.%3.%4"/>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080E3967"/>
    <w:multiLevelType w:val="multilevel"/>
    <w:tmpl w:val="C0A8814C"/>
    <w:lvl w:ilvl="0">
      <w:start w:val="7"/>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4"/>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09A94671"/>
    <w:multiLevelType w:val="hybridMultilevel"/>
    <w:tmpl w:val="7F008492"/>
    <w:lvl w:ilvl="0" w:tplc="3A7E4100">
      <w:start w:val="1"/>
      <w:numFmt w:val="lowerLetter"/>
      <w:lvlText w:val="%1)"/>
      <w:lvlJc w:val="left"/>
      <w:pPr>
        <w:tabs>
          <w:tab w:val="num" w:pos="360"/>
        </w:tabs>
        <w:ind w:left="360" w:hanging="360"/>
      </w:pPr>
      <w:rPr>
        <w:rFonts w:hint="default"/>
      </w:rPr>
    </w:lvl>
    <w:lvl w:ilvl="1" w:tplc="FCA8538E">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0AB6242B"/>
    <w:multiLevelType w:val="hybridMultilevel"/>
    <w:tmpl w:val="7638D5A4"/>
    <w:lvl w:ilvl="0" w:tplc="27C4F4C4">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5">
    <w:nsid w:val="0B462530"/>
    <w:multiLevelType w:val="multilevel"/>
    <w:tmpl w:val="1DFCB830"/>
    <w:lvl w:ilvl="0">
      <w:start w:val="21"/>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0B5B4391"/>
    <w:multiLevelType w:val="multilevel"/>
    <w:tmpl w:val="FF1EE380"/>
    <w:lvl w:ilvl="0">
      <w:start w:val="1"/>
      <w:numFmt w:val="decimal"/>
      <w:lvlText w:val="%1)"/>
      <w:lvlJc w:val="left"/>
      <w:pPr>
        <w:tabs>
          <w:tab w:val="num" w:pos="1080"/>
        </w:tabs>
        <w:ind w:left="1080" w:hanging="360"/>
      </w:pPr>
      <w:rPr>
        <w:rFonts w:hint="default"/>
      </w:rPr>
    </w:lvl>
    <w:lvl w:ilvl="1">
      <w:start w:val="1"/>
      <w:numFmt w:val="lowerRoman"/>
      <w:lvlText w:val="%2)"/>
      <w:lvlJc w:val="left"/>
      <w:pPr>
        <w:tabs>
          <w:tab w:val="num" w:pos="1080"/>
        </w:tabs>
        <w:ind w:left="360" w:firstLine="72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7">
    <w:nsid w:val="0BCD71AC"/>
    <w:multiLevelType w:val="multilevel"/>
    <w:tmpl w:val="601C9B00"/>
    <w:lvl w:ilvl="0">
      <w:start w:val="7"/>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0C73378E"/>
    <w:multiLevelType w:val="multilevel"/>
    <w:tmpl w:val="791C87FE"/>
    <w:lvl w:ilvl="0">
      <w:start w:val="1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0CC21BB5"/>
    <w:multiLevelType w:val="multilevel"/>
    <w:tmpl w:val="FF1EE380"/>
    <w:lvl w:ilvl="0">
      <w:start w:val="1"/>
      <w:numFmt w:val="decimal"/>
      <w:lvlText w:val="%1)"/>
      <w:lvlJc w:val="left"/>
      <w:pPr>
        <w:tabs>
          <w:tab w:val="num" w:pos="1080"/>
        </w:tabs>
        <w:ind w:left="1080" w:hanging="360"/>
      </w:pPr>
      <w:rPr>
        <w:rFonts w:hint="default"/>
      </w:rPr>
    </w:lvl>
    <w:lvl w:ilvl="1">
      <w:start w:val="1"/>
      <w:numFmt w:val="lowerRoman"/>
      <w:lvlText w:val="%2)"/>
      <w:lvlJc w:val="left"/>
      <w:pPr>
        <w:tabs>
          <w:tab w:val="num" w:pos="1080"/>
        </w:tabs>
        <w:ind w:left="360" w:firstLine="72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0">
    <w:nsid w:val="0DD83B83"/>
    <w:multiLevelType w:val="multilevel"/>
    <w:tmpl w:val="0D2E19E0"/>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1"/>
      <w:numFmt w:val="decimal"/>
      <w:suff w:val="space"/>
      <w:lvlText w:val="%1.%2.%3.%4"/>
      <w:lvlJc w:val="left"/>
      <w:pPr>
        <w:ind w:left="720" w:hanging="720"/>
      </w:pPr>
      <w:rPr>
        <w:rFonts w:hint="default"/>
        <w:b/>
      </w:rPr>
    </w:lvl>
    <w:lvl w:ilvl="4">
      <w:start w:val="13"/>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0E866104"/>
    <w:multiLevelType w:val="multilevel"/>
    <w:tmpl w:val="FD3EFC4C"/>
    <w:lvl w:ilvl="0">
      <w:start w:val="9"/>
      <w:numFmt w:val="decimal"/>
      <w:lvlText w:val="%1"/>
      <w:lvlJc w:val="left"/>
      <w:pPr>
        <w:tabs>
          <w:tab w:val="num" w:pos="540"/>
        </w:tabs>
        <w:ind w:left="540" w:hanging="540"/>
      </w:pPr>
      <w:rPr>
        <w:rFonts w:hint="default"/>
        <w:b/>
      </w:rPr>
    </w:lvl>
    <w:lvl w:ilvl="1">
      <w:start w:val="1"/>
      <w:numFmt w:val="none"/>
      <w:lvlText w:val="9.6"/>
      <w:lvlJc w:val="left"/>
      <w:pPr>
        <w:tabs>
          <w:tab w:val="num" w:pos="540"/>
        </w:tabs>
        <w:ind w:left="540" w:hanging="540"/>
      </w:pPr>
      <w:rPr>
        <w:rFonts w:hint="default"/>
        <w:b/>
      </w:rPr>
    </w:lvl>
    <w:lvl w:ilvl="2">
      <w:start w:val="7"/>
      <w:numFmt w:val="none"/>
      <w:lvlRestart w:val="0"/>
      <w:suff w:val="space"/>
      <w:lvlText w:val="11.3.4"/>
      <w:lvlJc w:val="left"/>
      <w:pPr>
        <w:ind w:left="720" w:hanging="720"/>
      </w:pPr>
      <w:rPr>
        <w:rFonts w:hint="default"/>
        <w:b/>
      </w:rPr>
    </w:lvl>
    <w:lvl w:ilvl="3">
      <w:start w:val="1"/>
      <w:numFmt w:val="none"/>
      <w:lvlRestart w:val="0"/>
      <w:suff w:val="space"/>
      <w:lvlText w:val="21.1.2.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2">
    <w:nsid w:val="0FF31009"/>
    <w:multiLevelType w:val="multilevel"/>
    <w:tmpl w:val="C4A232F8"/>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3"/>
      <w:numFmt w:val="decimal"/>
      <w:lvlRestart w:val="0"/>
      <w:suff w:val="space"/>
      <w:lvlText w:val="%1.%2.%3.%4.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11080B43"/>
    <w:multiLevelType w:val="hybridMultilevel"/>
    <w:tmpl w:val="60EA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2EB66D9"/>
    <w:multiLevelType w:val="hybridMultilevel"/>
    <w:tmpl w:val="82B497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131B2326"/>
    <w:multiLevelType w:val="multilevel"/>
    <w:tmpl w:val="480A169A"/>
    <w:lvl w:ilvl="0">
      <w:start w:val="9"/>
      <w:numFmt w:val="decimal"/>
      <w:lvlText w:val="%1"/>
      <w:lvlJc w:val="left"/>
      <w:pPr>
        <w:ind w:left="660" w:hanging="660"/>
      </w:pPr>
      <w:rPr>
        <w:rFonts w:eastAsia="Times New Roman" w:hint="default"/>
      </w:rPr>
    </w:lvl>
    <w:lvl w:ilvl="1">
      <w:start w:val="23"/>
      <w:numFmt w:val="decimal"/>
      <w:lvlText w:val="%1.%2"/>
      <w:lvlJc w:val="left"/>
      <w:pPr>
        <w:ind w:left="660" w:hanging="6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6">
    <w:nsid w:val="1654501B"/>
    <w:multiLevelType w:val="hybridMultilevel"/>
    <w:tmpl w:val="0ED2D2FC"/>
    <w:lvl w:ilvl="0" w:tplc="BEEAB9B4">
      <w:start w:val="1"/>
      <w:numFmt w:val="lowerLetter"/>
      <w:lvlText w:val="(%1)"/>
      <w:lvlJc w:val="left"/>
      <w:pPr>
        <w:tabs>
          <w:tab w:val="num" w:pos="360"/>
        </w:tabs>
        <w:ind w:left="360" w:hanging="360"/>
      </w:pPr>
      <w:rPr>
        <w:rFonts w:hint="default"/>
      </w:rPr>
    </w:lvl>
    <w:lvl w:ilvl="1" w:tplc="9D962296" w:tentative="1">
      <w:start w:val="1"/>
      <w:numFmt w:val="lowerLetter"/>
      <w:lvlText w:val="%2."/>
      <w:lvlJc w:val="left"/>
      <w:pPr>
        <w:tabs>
          <w:tab w:val="num" w:pos="1080"/>
        </w:tabs>
        <w:ind w:left="1080" w:hanging="360"/>
      </w:pPr>
    </w:lvl>
    <w:lvl w:ilvl="2" w:tplc="18305B72" w:tentative="1">
      <w:start w:val="1"/>
      <w:numFmt w:val="lowerRoman"/>
      <w:lvlText w:val="%3."/>
      <w:lvlJc w:val="right"/>
      <w:pPr>
        <w:tabs>
          <w:tab w:val="num" w:pos="1800"/>
        </w:tabs>
        <w:ind w:left="1800" w:hanging="180"/>
      </w:pPr>
    </w:lvl>
    <w:lvl w:ilvl="3" w:tplc="BCF6C65A">
      <w:start w:val="1"/>
      <w:numFmt w:val="decimal"/>
      <w:lvlText w:val="%4."/>
      <w:lvlJc w:val="left"/>
      <w:pPr>
        <w:tabs>
          <w:tab w:val="num" w:pos="2520"/>
        </w:tabs>
        <w:ind w:left="2520" w:hanging="360"/>
      </w:pPr>
    </w:lvl>
    <w:lvl w:ilvl="4" w:tplc="EFEAA62A" w:tentative="1">
      <w:start w:val="1"/>
      <w:numFmt w:val="lowerLetter"/>
      <w:lvlText w:val="%5."/>
      <w:lvlJc w:val="left"/>
      <w:pPr>
        <w:tabs>
          <w:tab w:val="num" w:pos="3240"/>
        </w:tabs>
        <w:ind w:left="3240" w:hanging="360"/>
      </w:pPr>
    </w:lvl>
    <w:lvl w:ilvl="5" w:tplc="2080175C" w:tentative="1">
      <w:start w:val="1"/>
      <w:numFmt w:val="lowerRoman"/>
      <w:lvlText w:val="%6."/>
      <w:lvlJc w:val="right"/>
      <w:pPr>
        <w:tabs>
          <w:tab w:val="num" w:pos="3960"/>
        </w:tabs>
        <w:ind w:left="3960" w:hanging="180"/>
      </w:pPr>
    </w:lvl>
    <w:lvl w:ilvl="6" w:tplc="8126FEC2" w:tentative="1">
      <w:start w:val="1"/>
      <w:numFmt w:val="decimal"/>
      <w:lvlText w:val="%7."/>
      <w:lvlJc w:val="left"/>
      <w:pPr>
        <w:tabs>
          <w:tab w:val="num" w:pos="4680"/>
        </w:tabs>
        <w:ind w:left="4680" w:hanging="360"/>
      </w:pPr>
    </w:lvl>
    <w:lvl w:ilvl="7" w:tplc="EDBE2FD2" w:tentative="1">
      <w:start w:val="1"/>
      <w:numFmt w:val="lowerLetter"/>
      <w:lvlText w:val="%8."/>
      <w:lvlJc w:val="left"/>
      <w:pPr>
        <w:tabs>
          <w:tab w:val="num" w:pos="5400"/>
        </w:tabs>
        <w:ind w:left="5400" w:hanging="360"/>
      </w:pPr>
    </w:lvl>
    <w:lvl w:ilvl="8" w:tplc="08DAE5A8" w:tentative="1">
      <w:start w:val="1"/>
      <w:numFmt w:val="lowerRoman"/>
      <w:lvlText w:val="%9."/>
      <w:lvlJc w:val="right"/>
      <w:pPr>
        <w:tabs>
          <w:tab w:val="num" w:pos="6120"/>
        </w:tabs>
        <w:ind w:left="6120" w:hanging="180"/>
      </w:pPr>
    </w:lvl>
  </w:abstractNum>
  <w:abstractNum w:abstractNumId="47">
    <w:nsid w:val="170842BF"/>
    <w:multiLevelType w:val="multilevel"/>
    <w:tmpl w:val="9AAC5D70"/>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nsid w:val="172811DC"/>
    <w:multiLevelType w:val="hybridMultilevel"/>
    <w:tmpl w:val="A1ACAB00"/>
    <w:lvl w:ilvl="0" w:tplc="1ADA6A0C">
      <w:start w:val="2"/>
      <w:numFmt w:val="bullet"/>
      <w:lvlText w:val="—"/>
      <w:lvlJc w:val="left"/>
      <w:pPr>
        <w:tabs>
          <w:tab w:val="num" w:pos="720"/>
        </w:tabs>
        <w:ind w:left="720" w:hanging="360"/>
      </w:pPr>
      <w:rPr>
        <w:rFonts w:ascii="TimesNewRomanPSMT" w:eastAsia="MS Mincho" w:hAnsi="TimesNewRomanPSMT"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80B1E5D"/>
    <w:multiLevelType w:val="multilevel"/>
    <w:tmpl w:val="89C00C68"/>
    <w:lvl w:ilvl="0">
      <w:start w:val="9"/>
      <w:numFmt w:val="decimal"/>
      <w:lvlText w:val="%1"/>
      <w:lvlJc w:val="left"/>
      <w:pPr>
        <w:ind w:left="1050" w:hanging="1050"/>
      </w:pPr>
      <w:rPr>
        <w:rFonts w:hint="default"/>
      </w:rPr>
    </w:lvl>
    <w:lvl w:ilvl="1">
      <w:start w:val="25"/>
      <w:numFmt w:val="decimal"/>
      <w:lvlText w:val="%1.%2"/>
      <w:lvlJc w:val="left"/>
      <w:pPr>
        <w:ind w:left="1050" w:hanging="1050"/>
      </w:pPr>
      <w:rPr>
        <w:rFonts w:hint="default"/>
      </w:rPr>
    </w:lvl>
    <w:lvl w:ilvl="2">
      <w:start w:val="5"/>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185B10F2"/>
    <w:multiLevelType w:val="multilevel"/>
    <w:tmpl w:val="782A79C6"/>
    <w:lvl w:ilvl="0">
      <w:start w:val="1"/>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lang w:val="en-US"/>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1">
    <w:nsid w:val="18E07DFF"/>
    <w:multiLevelType w:val="multilevel"/>
    <w:tmpl w:val="10DE684E"/>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2">
    <w:nsid w:val="1976706D"/>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3">
    <w:nsid w:val="19771C9D"/>
    <w:multiLevelType w:val="multilevel"/>
    <w:tmpl w:val="F1BA0546"/>
    <w:lvl w:ilvl="0">
      <w:start w:val="7"/>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1A097A06"/>
    <w:multiLevelType w:val="hybridMultilevel"/>
    <w:tmpl w:val="D430F188"/>
    <w:lvl w:ilvl="0" w:tplc="04090011">
      <w:start w:val="1"/>
      <w:numFmt w:val="decimal"/>
      <w:lvlText w:val="%1)"/>
      <w:lvlJc w:val="left"/>
      <w:pPr>
        <w:tabs>
          <w:tab w:val="num" w:pos="360"/>
        </w:tabs>
        <w:ind w:left="360" w:hanging="360"/>
      </w:pPr>
      <w:rPr>
        <w:rFonts w:hint="default"/>
      </w:rPr>
    </w:lvl>
    <w:lvl w:ilvl="1" w:tplc="04090011">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1AA6101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6">
    <w:nsid w:val="1B2C15D4"/>
    <w:multiLevelType w:val="hybridMultilevel"/>
    <w:tmpl w:val="4F2CA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B3B537E"/>
    <w:multiLevelType w:val="multilevel"/>
    <w:tmpl w:val="9F621CFE"/>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8">
    <w:nsid w:val="1BC05056"/>
    <w:multiLevelType w:val="hybridMultilevel"/>
    <w:tmpl w:val="6006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BE377F5"/>
    <w:multiLevelType w:val="multilevel"/>
    <w:tmpl w:val="8FF63436"/>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1"/>
      <w:numFmt w:val="decimal"/>
      <w:suff w:val="space"/>
      <w:lvlText w:val="%1.%2.%3.%4"/>
      <w:lvlJc w:val="left"/>
      <w:pPr>
        <w:ind w:left="720" w:hanging="720"/>
      </w:pPr>
      <w:rPr>
        <w:rFonts w:hint="default"/>
        <w:b/>
        <w:i w:val="0"/>
        <w:strike w:val="0"/>
        <w:em w:val="none"/>
      </w:rPr>
    </w:lvl>
    <w:lvl w:ilvl="4">
      <w:start w:val="1"/>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nsid w:val="1CC86338"/>
    <w:multiLevelType w:val="multilevel"/>
    <w:tmpl w:val="2194ADD4"/>
    <w:lvl w:ilvl="0">
      <w:start w:val="9"/>
      <w:numFmt w:val="decimal"/>
      <w:lvlText w:val="%1"/>
      <w:lvlJc w:val="left"/>
      <w:pPr>
        <w:tabs>
          <w:tab w:val="num" w:pos="540"/>
        </w:tabs>
        <w:ind w:left="540" w:hanging="540"/>
      </w:pPr>
      <w:rPr>
        <w:rFonts w:hint="default"/>
        <w:b/>
      </w:rPr>
    </w:lvl>
    <w:lvl w:ilvl="1">
      <w:start w:val="33"/>
      <w:numFmt w:val="decimal"/>
      <w:lvlRestart w:val="0"/>
      <w:lvlText w:val="%1.15"/>
      <w:lvlJc w:val="left"/>
      <w:pPr>
        <w:tabs>
          <w:tab w:val="num" w:pos="540"/>
        </w:tabs>
        <w:ind w:left="540" w:hanging="540"/>
      </w:pPr>
      <w:rPr>
        <w:rFonts w:hint="default"/>
        <w:b/>
      </w:rPr>
    </w:lvl>
    <w:lvl w:ilvl="2">
      <w:start w:val="2"/>
      <w:numFmt w:val="decimal"/>
      <w:lvlRestart w:val="0"/>
      <w:suff w:val="space"/>
      <w:lvlText w:val="%1.%2.9"/>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1">
    <w:nsid w:val="1D7F55D6"/>
    <w:multiLevelType w:val="multilevel"/>
    <w:tmpl w:val="309A0AF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2">
    <w:nsid w:val="1EEA407C"/>
    <w:multiLevelType w:val="multilevel"/>
    <w:tmpl w:val="15FE22F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decimal"/>
      <w:lvlRestart w:val="0"/>
      <w:suff w:val="space"/>
      <w:lvlText w:val="%3%1.%2.9"/>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3">
    <w:nsid w:val="1F0258CF"/>
    <w:multiLevelType w:val="multilevel"/>
    <w:tmpl w:val="74461D66"/>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63"/>
      <w:numFmt w:val="none"/>
      <w:lvlRestart w:val="0"/>
      <w:lvlText w:val="7.4.1.5"/>
      <w:lvlJc w:val="left"/>
      <w:pPr>
        <w:tabs>
          <w:tab w:val="num" w:pos="1080"/>
        </w:tabs>
        <w:ind w:left="1080" w:hanging="1080"/>
      </w:pPr>
      <w:rPr>
        <w:rFonts w:hint="default"/>
      </w:rPr>
    </w:lvl>
    <w:lvl w:ilvl="4">
      <w:start w:val="1"/>
      <w:numFmt w:val="decimal"/>
      <w:lvlRestart w:val="0"/>
      <w:lvlText w:val="%1.%2.%3.%425.3"/>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1F6E0576"/>
    <w:multiLevelType w:val="multilevel"/>
    <w:tmpl w:val="C4069600"/>
    <w:lvl w:ilvl="0">
      <w:start w:val="11"/>
      <w:numFmt w:val="decimal"/>
      <w:lvlText w:val="%1"/>
      <w:lvlJc w:val="left"/>
      <w:pPr>
        <w:tabs>
          <w:tab w:val="num" w:pos="540"/>
        </w:tabs>
        <w:ind w:left="540" w:hanging="540"/>
      </w:pPr>
      <w:rPr>
        <w:rFonts w:hint="default"/>
        <w:b/>
      </w:rPr>
    </w:lvl>
    <w:lvl w:ilvl="1">
      <w:start w:val="19"/>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5">
    <w:nsid w:val="202313F7"/>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6">
    <w:nsid w:val="204C29FC"/>
    <w:multiLevelType w:val="hybridMultilevel"/>
    <w:tmpl w:val="E7041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0E36BA3"/>
    <w:multiLevelType w:val="multilevel"/>
    <w:tmpl w:val="17240702"/>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8">
    <w:nsid w:val="249A58B6"/>
    <w:multiLevelType w:val="multilevel"/>
    <w:tmpl w:val="EE9C5F2A"/>
    <w:lvl w:ilvl="0">
      <w:start w:val="7"/>
      <w:numFmt w:val="decimal"/>
      <w:lvlText w:val="%1"/>
      <w:lvlJc w:val="left"/>
      <w:pPr>
        <w:tabs>
          <w:tab w:val="num" w:pos="975"/>
        </w:tabs>
        <w:ind w:left="975" w:hanging="975"/>
      </w:pPr>
      <w:rPr>
        <w:rFonts w:hint="default"/>
      </w:rPr>
    </w:lvl>
    <w:lvl w:ilvl="1">
      <w:start w:val="3"/>
      <w:numFmt w:val="decimal"/>
      <w:lvlText w:val="%1.%2"/>
      <w:lvlJc w:val="left"/>
      <w:pPr>
        <w:tabs>
          <w:tab w:val="num" w:pos="975"/>
        </w:tabs>
        <w:ind w:left="975" w:hanging="975"/>
      </w:pPr>
      <w:rPr>
        <w:rFonts w:hint="default"/>
      </w:rPr>
    </w:lvl>
    <w:lvl w:ilvl="2">
      <w:start w:val="2"/>
      <w:numFmt w:val="decimal"/>
      <w:lvlText w:val="%1.%2.%3"/>
      <w:lvlJc w:val="left"/>
      <w:pPr>
        <w:tabs>
          <w:tab w:val="num" w:pos="975"/>
        </w:tabs>
        <w:ind w:left="975" w:hanging="975"/>
      </w:pPr>
      <w:rPr>
        <w:rFonts w:hint="default"/>
      </w:rPr>
    </w:lvl>
    <w:lvl w:ilvl="3">
      <w:start w:val="7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24EC26F6"/>
    <w:multiLevelType w:val="hybridMultilevel"/>
    <w:tmpl w:val="E6D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3061B7"/>
    <w:multiLevelType w:val="multilevel"/>
    <w:tmpl w:val="BE9E626C"/>
    <w:lvl w:ilvl="0">
      <w:start w:val="7"/>
      <w:numFmt w:val="decimal"/>
      <w:lvlText w:val="%1"/>
      <w:lvlJc w:val="left"/>
      <w:pPr>
        <w:ind w:left="855" w:hanging="855"/>
      </w:pPr>
      <w:rPr>
        <w:rFonts w:hint="default"/>
      </w:rPr>
    </w:lvl>
    <w:lvl w:ilvl="1">
      <w:start w:val="3"/>
      <w:numFmt w:val="decimal"/>
      <w:lvlText w:val="%1.%2"/>
      <w:lvlJc w:val="left"/>
      <w:pPr>
        <w:ind w:left="1095" w:hanging="855"/>
      </w:pPr>
      <w:rPr>
        <w:rFonts w:hint="default"/>
      </w:rPr>
    </w:lvl>
    <w:lvl w:ilvl="2">
      <w:start w:val="2"/>
      <w:numFmt w:val="decimal"/>
      <w:lvlText w:val="%1.%2.%3"/>
      <w:lvlJc w:val="left"/>
      <w:pPr>
        <w:ind w:left="1335" w:hanging="855"/>
      </w:pPr>
      <w:rPr>
        <w:rFonts w:hint="default"/>
      </w:rPr>
    </w:lvl>
    <w:lvl w:ilvl="3">
      <w:start w:val="50"/>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71">
    <w:nsid w:val="25920D98"/>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2">
    <w:nsid w:val="259741A9"/>
    <w:multiLevelType w:val="multilevel"/>
    <w:tmpl w:val="24D6A940"/>
    <w:lvl w:ilvl="0">
      <w:start w:val="9"/>
      <w:numFmt w:val="decimal"/>
      <w:lvlText w:val="%1"/>
      <w:lvlJc w:val="left"/>
      <w:pPr>
        <w:tabs>
          <w:tab w:val="num" w:pos="540"/>
        </w:tabs>
        <w:ind w:left="540" w:hanging="540"/>
      </w:pPr>
      <w:rPr>
        <w:rFonts w:hint="default"/>
        <w:b/>
      </w:rPr>
    </w:lvl>
    <w:lvl w:ilvl="1">
      <w:start w:val="23"/>
      <w:numFmt w:val="none"/>
      <w:lvlRestart w:val="0"/>
      <w:lvlText w:val="11.26"/>
      <w:lvlJc w:val="left"/>
      <w:pPr>
        <w:tabs>
          <w:tab w:val="num" w:pos="540"/>
        </w:tabs>
        <w:ind w:left="540" w:hanging="540"/>
      </w:pPr>
      <w:rPr>
        <w:rFonts w:hint="default"/>
        <w:b/>
      </w:rPr>
    </w:lvl>
    <w:lvl w:ilvl="2">
      <w:start w:val="5"/>
      <w:numFmt w:val="decimal"/>
      <w:suff w:val="space"/>
      <w:lvlText w:val="%1.%2.%3"/>
      <w:lvlJc w:val="left"/>
      <w:pPr>
        <w:ind w:left="720" w:hanging="720"/>
      </w:pPr>
      <w:rPr>
        <w:rFonts w:hint="default"/>
        <w:b/>
      </w:rPr>
    </w:lvl>
    <w:lvl w:ilvl="3">
      <w:start w:val="7"/>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3">
    <w:nsid w:val="273B328A"/>
    <w:multiLevelType w:val="hybridMultilevel"/>
    <w:tmpl w:val="561E1828"/>
    <w:lvl w:ilvl="0" w:tplc="0456C88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275D4496"/>
    <w:multiLevelType w:val="multilevel"/>
    <w:tmpl w:val="7AA45FEC"/>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5">
    <w:nsid w:val="27AC18D3"/>
    <w:multiLevelType w:val="hybridMultilevel"/>
    <w:tmpl w:val="13589446"/>
    <w:lvl w:ilvl="0" w:tplc="A4D2C002">
      <w:start w:val="8"/>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286035D5"/>
    <w:multiLevelType w:val="hybridMultilevel"/>
    <w:tmpl w:val="C1382A64"/>
    <w:lvl w:ilvl="0" w:tplc="E3549DAC">
      <w:start w:val="2"/>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290F6887"/>
    <w:multiLevelType w:val="hybridMultilevel"/>
    <w:tmpl w:val="04F6A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2A966889"/>
    <w:multiLevelType w:val="hybridMultilevel"/>
    <w:tmpl w:val="4CDA9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B6E656F"/>
    <w:multiLevelType w:val="hybridMultilevel"/>
    <w:tmpl w:val="A83A58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BD24BB1"/>
    <w:multiLevelType w:val="multilevel"/>
    <w:tmpl w:val="68E21D8C"/>
    <w:lvl w:ilvl="0">
      <w:start w:val="1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1">
    <w:nsid w:val="2CE04A28"/>
    <w:multiLevelType w:val="multilevel"/>
    <w:tmpl w:val="ECA291A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2DE605B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3">
    <w:nsid w:val="2E3026CD"/>
    <w:multiLevelType w:val="hybridMultilevel"/>
    <w:tmpl w:val="7CB49892"/>
    <w:lvl w:ilvl="0" w:tplc="27C4F4C4">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4">
    <w:nsid w:val="2E79204D"/>
    <w:multiLevelType w:val="multilevel"/>
    <w:tmpl w:val="CD721F1C"/>
    <w:lvl w:ilvl="0">
      <w:start w:val="8"/>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2F2C65B7"/>
    <w:multiLevelType w:val="hybridMultilevel"/>
    <w:tmpl w:val="B308ADE6"/>
    <w:lvl w:ilvl="0" w:tplc="F1CA84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2F411AF2"/>
    <w:multiLevelType w:val="hybridMultilevel"/>
    <w:tmpl w:val="C492C5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2FA167A4"/>
    <w:multiLevelType w:val="multilevel"/>
    <w:tmpl w:val="754A37F8"/>
    <w:lvl w:ilvl="0">
      <w:start w:val="8"/>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2FB20132"/>
    <w:multiLevelType w:val="multilevel"/>
    <w:tmpl w:val="C8B66B8E"/>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1"/>
      <w:numFmt w:val="decimal"/>
      <w:suff w:val="space"/>
      <w:lvlText w:val="%1.10.%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9">
    <w:nsid w:val="30154F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31233AE5"/>
    <w:multiLevelType w:val="multilevel"/>
    <w:tmpl w:val="907457F4"/>
    <w:lvl w:ilvl="0">
      <w:start w:val="11"/>
      <w:numFmt w:val="decimal"/>
      <w:lvlText w:val="%1"/>
      <w:lvlJc w:val="left"/>
      <w:pPr>
        <w:tabs>
          <w:tab w:val="num" w:pos="540"/>
        </w:tabs>
        <w:ind w:left="540" w:hanging="540"/>
      </w:pPr>
      <w:rPr>
        <w:rFonts w:hint="default"/>
        <w:b/>
      </w:rPr>
    </w:lvl>
    <w:lvl w:ilvl="1">
      <w:start w:val="25"/>
      <w:numFmt w:val="decimal"/>
      <w:lvlText w:val="%1.26"/>
      <w:lvlJc w:val="left"/>
      <w:pPr>
        <w:tabs>
          <w:tab w:val="num" w:pos="540"/>
        </w:tabs>
        <w:ind w:left="540" w:hanging="540"/>
      </w:pPr>
      <w:rPr>
        <w:rFonts w:hint="default"/>
        <w:b/>
      </w:rPr>
    </w:lvl>
    <w:lvl w:ilvl="2">
      <w:start w:val="1"/>
      <w:numFmt w:val="decimal"/>
      <w:lvlRestart w:val="0"/>
      <w:suff w:val="space"/>
      <w:lvlText w:val="%1.26.%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1">
    <w:nsid w:val="323009F7"/>
    <w:multiLevelType w:val="multilevel"/>
    <w:tmpl w:val="E788DA0A"/>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46"/>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326C27C3"/>
    <w:multiLevelType w:val="multilevel"/>
    <w:tmpl w:val="30C2FF84"/>
    <w:lvl w:ilvl="0">
      <w:start w:val="9"/>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3273286D"/>
    <w:multiLevelType w:val="hybridMultilevel"/>
    <w:tmpl w:val="201E726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4">
    <w:nsid w:val="33F33B95"/>
    <w:multiLevelType w:val="hybridMultilevel"/>
    <w:tmpl w:val="F554347C"/>
    <w:lvl w:ilvl="0" w:tplc="E5A442C8">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346A0035"/>
    <w:multiLevelType w:val="multilevel"/>
    <w:tmpl w:val="F9DAC0F6"/>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30"/>
      <w:numFmt w:val="decimal"/>
      <w:suff w:val="space"/>
      <w:lvlText w:val="%1.%2.%3.25"/>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6">
    <w:nsid w:val="352E58C3"/>
    <w:multiLevelType w:val="hybridMultilevel"/>
    <w:tmpl w:val="02A24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nsid w:val="35897F3D"/>
    <w:multiLevelType w:val="hybridMultilevel"/>
    <w:tmpl w:val="27380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6A221ED"/>
    <w:multiLevelType w:val="multilevel"/>
    <w:tmpl w:val="7C92858C"/>
    <w:lvl w:ilvl="0">
      <w:start w:val="9"/>
      <w:numFmt w:val="decimal"/>
      <w:lvlText w:val="%1"/>
      <w:lvlJc w:val="left"/>
      <w:pPr>
        <w:ind w:left="855" w:hanging="855"/>
      </w:pPr>
      <w:rPr>
        <w:rFonts w:hint="default"/>
      </w:rPr>
    </w:lvl>
    <w:lvl w:ilvl="1">
      <w:start w:val="25"/>
      <w:numFmt w:val="decimal"/>
      <w:lvlText w:val="%1.%2"/>
      <w:lvlJc w:val="left"/>
      <w:pPr>
        <w:ind w:left="855" w:hanging="855"/>
      </w:pPr>
      <w:rPr>
        <w:rFonts w:hint="default"/>
      </w:rPr>
    </w:lvl>
    <w:lvl w:ilvl="2">
      <w:start w:val="4"/>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370F0907"/>
    <w:multiLevelType w:val="hybridMultilevel"/>
    <w:tmpl w:val="8B387724"/>
    <w:lvl w:ilvl="0" w:tplc="8FC87090">
      <w:start w:val="1"/>
      <w:numFmt w:val="lowerLetter"/>
      <w:lvlText w:val="%1)"/>
      <w:lvlJc w:val="left"/>
      <w:pPr>
        <w:tabs>
          <w:tab w:val="num" w:pos="720"/>
        </w:tabs>
        <w:ind w:left="720" w:hanging="360"/>
      </w:pPr>
      <w:rPr>
        <w:rFonts w:hint="default"/>
      </w:rPr>
    </w:lvl>
    <w:lvl w:ilvl="1" w:tplc="D0FA8D88" w:tentative="1">
      <w:start w:val="1"/>
      <w:numFmt w:val="lowerLetter"/>
      <w:lvlText w:val="%2."/>
      <w:lvlJc w:val="left"/>
      <w:pPr>
        <w:tabs>
          <w:tab w:val="num" w:pos="1440"/>
        </w:tabs>
        <w:ind w:left="1440" w:hanging="360"/>
      </w:pPr>
    </w:lvl>
    <w:lvl w:ilvl="2" w:tplc="15467A98" w:tentative="1">
      <w:start w:val="1"/>
      <w:numFmt w:val="lowerRoman"/>
      <w:lvlText w:val="%3."/>
      <w:lvlJc w:val="right"/>
      <w:pPr>
        <w:tabs>
          <w:tab w:val="num" w:pos="2160"/>
        </w:tabs>
        <w:ind w:left="2160" w:hanging="180"/>
      </w:pPr>
    </w:lvl>
    <w:lvl w:ilvl="3" w:tplc="BC50D474" w:tentative="1">
      <w:start w:val="1"/>
      <w:numFmt w:val="decimal"/>
      <w:lvlText w:val="%4."/>
      <w:lvlJc w:val="left"/>
      <w:pPr>
        <w:tabs>
          <w:tab w:val="num" w:pos="2880"/>
        </w:tabs>
        <w:ind w:left="2880" w:hanging="360"/>
      </w:pPr>
    </w:lvl>
    <w:lvl w:ilvl="4" w:tplc="E5C6611C">
      <w:start w:val="1"/>
      <w:numFmt w:val="lowerLetter"/>
      <w:lvlText w:val="%5."/>
      <w:lvlJc w:val="left"/>
      <w:pPr>
        <w:tabs>
          <w:tab w:val="num" w:pos="3600"/>
        </w:tabs>
        <w:ind w:left="3600" w:hanging="360"/>
      </w:pPr>
    </w:lvl>
    <w:lvl w:ilvl="5" w:tplc="FE86047C" w:tentative="1">
      <w:start w:val="1"/>
      <w:numFmt w:val="lowerRoman"/>
      <w:lvlText w:val="%6."/>
      <w:lvlJc w:val="right"/>
      <w:pPr>
        <w:tabs>
          <w:tab w:val="num" w:pos="4320"/>
        </w:tabs>
        <w:ind w:left="4320" w:hanging="180"/>
      </w:pPr>
    </w:lvl>
    <w:lvl w:ilvl="6" w:tplc="5186F7CA" w:tentative="1">
      <w:start w:val="1"/>
      <w:numFmt w:val="decimal"/>
      <w:lvlText w:val="%7."/>
      <w:lvlJc w:val="left"/>
      <w:pPr>
        <w:tabs>
          <w:tab w:val="num" w:pos="5040"/>
        </w:tabs>
        <w:ind w:left="5040" w:hanging="360"/>
      </w:pPr>
    </w:lvl>
    <w:lvl w:ilvl="7" w:tplc="8D52F5D8" w:tentative="1">
      <w:start w:val="1"/>
      <w:numFmt w:val="lowerLetter"/>
      <w:lvlText w:val="%8."/>
      <w:lvlJc w:val="left"/>
      <w:pPr>
        <w:tabs>
          <w:tab w:val="num" w:pos="5760"/>
        </w:tabs>
        <w:ind w:left="5760" w:hanging="360"/>
      </w:pPr>
    </w:lvl>
    <w:lvl w:ilvl="8" w:tplc="165AD72E" w:tentative="1">
      <w:start w:val="1"/>
      <w:numFmt w:val="lowerRoman"/>
      <w:lvlText w:val="%9."/>
      <w:lvlJc w:val="right"/>
      <w:pPr>
        <w:tabs>
          <w:tab w:val="num" w:pos="6480"/>
        </w:tabs>
        <w:ind w:left="6480" w:hanging="180"/>
      </w:pPr>
    </w:lvl>
  </w:abstractNum>
  <w:abstractNum w:abstractNumId="100">
    <w:nsid w:val="37AB5336"/>
    <w:multiLevelType w:val="multilevel"/>
    <w:tmpl w:val="A4D8663C"/>
    <w:lvl w:ilvl="0">
      <w:start w:val="1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1">
    <w:nsid w:val="37E2251A"/>
    <w:multiLevelType w:val="multilevel"/>
    <w:tmpl w:val="3CA05462"/>
    <w:lvl w:ilvl="0">
      <w:start w:val="8"/>
      <w:numFmt w:val="decimal"/>
      <w:lvlText w:val="%1"/>
      <w:lvlJc w:val="left"/>
      <w:pPr>
        <w:tabs>
          <w:tab w:val="num" w:pos="930"/>
        </w:tabs>
        <w:ind w:left="930" w:hanging="930"/>
      </w:pPr>
      <w:rPr>
        <w:rFonts w:eastAsia="MS Mincho" w:hint="default"/>
      </w:rPr>
    </w:lvl>
    <w:lvl w:ilvl="1">
      <w:start w:val="4"/>
      <w:numFmt w:val="decimal"/>
      <w:lvlText w:val="%1.%2"/>
      <w:lvlJc w:val="left"/>
      <w:pPr>
        <w:tabs>
          <w:tab w:val="num" w:pos="930"/>
        </w:tabs>
        <w:ind w:left="930" w:hanging="930"/>
      </w:pPr>
      <w:rPr>
        <w:rFonts w:eastAsia="MS Mincho" w:hint="default"/>
      </w:rPr>
    </w:lvl>
    <w:lvl w:ilvl="2">
      <w:start w:val="1"/>
      <w:numFmt w:val="decimal"/>
      <w:lvlText w:val="%1.%2.%3"/>
      <w:lvlJc w:val="left"/>
      <w:pPr>
        <w:tabs>
          <w:tab w:val="num" w:pos="930"/>
        </w:tabs>
        <w:ind w:left="930" w:hanging="930"/>
      </w:pPr>
      <w:rPr>
        <w:rFonts w:eastAsia="MS Mincho" w:hint="default"/>
      </w:rPr>
    </w:lvl>
    <w:lvl w:ilvl="3">
      <w:start w:val="1"/>
      <w:numFmt w:val="decimal"/>
      <w:lvlText w:val="%1.%2.%3.%4"/>
      <w:lvlJc w:val="left"/>
      <w:pPr>
        <w:tabs>
          <w:tab w:val="num" w:pos="1080"/>
        </w:tabs>
        <w:ind w:left="1080" w:hanging="1080"/>
      </w:pPr>
      <w:rPr>
        <w:rFonts w:eastAsia="MS Mincho" w:hint="default"/>
      </w:rPr>
    </w:lvl>
    <w:lvl w:ilvl="4">
      <w:start w:val="2"/>
      <w:numFmt w:val="decimal"/>
      <w:lvlText w:val="%1.%2.%3.%4.%5"/>
      <w:lvlJc w:val="left"/>
      <w:pPr>
        <w:tabs>
          <w:tab w:val="num" w:pos="1080"/>
        </w:tabs>
        <w:ind w:left="1080" w:hanging="1080"/>
      </w:pPr>
      <w:rPr>
        <w:rFonts w:eastAsia="MS Mincho" w:hint="default"/>
      </w:rPr>
    </w:lvl>
    <w:lvl w:ilvl="5">
      <w:start w:val="1"/>
      <w:numFmt w:val="decimal"/>
      <w:lvlText w:val="%1.%2.%3.%4.%5.%6"/>
      <w:lvlJc w:val="left"/>
      <w:pPr>
        <w:tabs>
          <w:tab w:val="num" w:pos="1440"/>
        </w:tabs>
        <w:ind w:left="1440" w:hanging="1440"/>
      </w:pPr>
      <w:rPr>
        <w:rFonts w:eastAsia="MS Mincho" w:hint="default"/>
      </w:rPr>
    </w:lvl>
    <w:lvl w:ilvl="6">
      <w:start w:val="1"/>
      <w:numFmt w:val="decimal"/>
      <w:lvlText w:val="%1.%2.%3.%4.%5.%6.%7"/>
      <w:lvlJc w:val="left"/>
      <w:pPr>
        <w:tabs>
          <w:tab w:val="num" w:pos="1440"/>
        </w:tabs>
        <w:ind w:left="1440" w:hanging="1440"/>
      </w:pPr>
      <w:rPr>
        <w:rFonts w:eastAsia="MS Mincho" w:hint="default"/>
      </w:rPr>
    </w:lvl>
    <w:lvl w:ilvl="7">
      <w:start w:val="1"/>
      <w:numFmt w:val="decimal"/>
      <w:lvlText w:val="%1.%2.%3.%4.%5.%6.%7.%8"/>
      <w:lvlJc w:val="left"/>
      <w:pPr>
        <w:tabs>
          <w:tab w:val="num" w:pos="1800"/>
        </w:tabs>
        <w:ind w:left="1800" w:hanging="1800"/>
      </w:pPr>
      <w:rPr>
        <w:rFonts w:eastAsia="MS Mincho" w:hint="default"/>
      </w:rPr>
    </w:lvl>
    <w:lvl w:ilvl="8">
      <w:start w:val="1"/>
      <w:numFmt w:val="decimal"/>
      <w:lvlText w:val="%1.%2.%3.%4.%5.%6.%7.%8.%9"/>
      <w:lvlJc w:val="left"/>
      <w:pPr>
        <w:tabs>
          <w:tab w:val="num" w:pos="1800"/>
        </w:tabs>
        <w:ind w:left="1800" w:hanging="1800"/>
      </w:pPr>
      <w:rPr>
        <w:rFonts w:eastAsia="MS Mincho" w:hint="default"/>
      </w:rPr>
    </w:lvl>
  </w:abstractNum>
  <w:abstractNum w:abstractNumId="102">
    <w:nsid w:val="39302212"/>
    <w:multiLevelType w:val="hybridMultilevel"/>
    <w:tmpl w:val="AA32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5A610A"/>
    <w:multiLevelType w:val="multilevel"/>
    <w:tmpl w:val="FE9432D2"/>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3AAA5DA3"/>
    <w:multiLevelType w:val="multilevel"/>
    <w:tmpl w:val="B1522778"/>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5">
    <w:nsid w:val="3AED449C"/>
    <w:multiLevelType w:val="multilevel"/>
    <w:tmpl w:val="C660CB26"/>
    <w:lvl w:ilvl="0">
      <w:start w:val="8"/>
      <w:numFmt w:val="decimal"/>
      <w:lvlText w:val="%1"/>
      <w:lvlJc w:val="left"/>
      <w:pPr>
        <w:tabs>
          <w:tab w:val="num" w:pos="930"/>
        </w:tabs>
        <w:ind w:left="930" w:hanging="930"/>
      </w:pPr>
      <w:rPr>
        <w:rFonts w:hint="default"/>
      </w:rPr>
    </w:lvl>
    <w:lvl w:ilvl="1">
      <w:start w:val="3"/>
      <w:numFmt w:val="decimal"/>
      <w:lvlText w:val="%1.%2"/>
      <w:lvlJc w:val="left"/>
      <w:pPr>
        <w:tabs>
          <w:tab w:val="num" w:pos="930"/>
        </w:tabs>
        <w:ind w:left="930" w:hanging="930"/>
      </w:pPr>
      <w:rPr>
        <w:rFonts w:hint="default"/>
      </w:rPr>
    </w:lvl>
    <w:lvl w:ilvl="2">
      <w:start w:val="5"/>
      <w:numFmt w:val="decimal"/>
      <w:lvlText w:val="%1.%2.%3"/>
      <w:lvlJc w:val="left"/>
      <w:pPr>
        <w:tabs>
          <w:tab w:val="num" w:pos="930"/>
        </w:tabs>
        <w:ind w:left="930" w:hanging="930"/>
      </w:pPr>
      <w:rPr>
        <w:rFonts w:hint="default"/>
      </w:rPr>
    </w:lvl>
    <w:lvl w:ilvl="3">
      <w:start w:val="4"/>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3B475CBF"/>
    <w:multiLevelType w:val="multilevel"/>
    <w:tmpl w:val="B706DDE0"/>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7">
    <w:nsid w:val="3B5F5F2C"/>
    <w:multiLevelType w:val="hybridMultilevel"/>
    <w:tmpl w:val="CE8C53D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3CD91497"/>
    <w:multiLevelType w:val="multilevel"/>
    <w:tmpl w:val="F6F24242"/>
    <w:lvl w:ilvl="0">
      <w:start w:val="9"/>
      <w:numFmt w:val="decimal"/>
      <w:lvlText w:val="%1"/>
      <w:lvlJc w:val="left"/>
      <w:pPr>
        <w:tabs>
          <w:tab w:val="num" w:pos="540"/>
        </w:tabs>
        <w:ind w:left="540" w:hanging="540"/>
      </w:pPr>
      <w:rPr>
        <w:rFonts w:hint="default"/>
        <w:b/>
      </w:rPr>
    </w:lvl>
    <w:lvl w:ilvl="1">
      <w:start w:val="25"/>
      <w:numFmt w:val="none"/>
      <w:lvlText w:val="9.35"/>
      <w:lvlJc w:val="left"/>
      <w:pPr>
        <w:tabs>
          <w:tab w:val="num" w:pos="540"/>
        </w:tabs>
        <w:ind w:left="540" w:hanging="540"/>
      </w:pPr>
      <w:rPr>
        <w:rFonts w:hint="default"/>
        <w:b/>
      </w:rPr>
    </w:lvl>
    <w:lvl w:ilvl="2">
      <w:start w:val="5"/>
      <w:numFmt w:val="decimal"/>
      <w:suff w:val="space"/>
      <w:lvlText w:val="%1.33.2"/>
      <w:lvlJc w:val="left"/>
      <w:pPr>
        <w:ind w:left="720" w:hanging="720"/>
      </w:pPr>
      <w:rPr>
        <w:rFonts w:hint="default"/>
        <w:b/>
      </w:rPr>
    </w:lvl>
    <w:lvl w:ilvl="3">
      <w:start w:val="1"/>
      <w:numFmt w:val="decimal"/>
      <w:lvlRestart w:val="0"/>
      <w:suff w:val="space"/>
      <w:lvlText w:val=" %1.%2.6.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9">
    <w:nsid w:val="3DA46FCC"/>
    <w:multiLevelType w:val="hybridMultilevel"/>
    <w:tmpl w:val="4594B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3EF4490A"/>
    <w:multiLevelType w:val="multilevel"/>
    <w:tmpl w:val="D36428B2"/>
    <w:lvl w:ilvl="0">
      <w:start w:val="11"/>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2"/>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1">
    <w:nsid w:val="400375AA"/>
    <w:multiLevelType w:val="hybridMultilevel"/>
    <w:tmpl w:val="88C44F94"/>
    <w:lvl w:ilvl="0" w:tplc="D2AE036A">
      <w:start w:val="186"/>
      <w:numFmt w:val="bullet"/>
      <w:lvlText w:val="–"/>
      <w:lvlJc w:val="left"/>
      <w:pPr>
        <w:tabs>
          <w:tab w:val="num" w:pos="420"/>
        </w:tabs>
        <w:ind w:left="420" w:hanging="360"/>
      </w:pPr>
      <w:rPr>
        <w:rFonts w:ascii="PMingLiU" w:hAnsi="PMingLiU"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41C30A39"/>
    <w:multiLevelType w:val="hybridMultilevel"/>
    <w:tmpl w:val="F1C812BC"/>
    <w:lvl w:ilvl="0" w:tplc="CEC4DB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225427D"/>
    <w:multiLevelType w:val="hybridMultilevel"/>
    <w:tmpl w:val="DBD632E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nsid w:val="42EB01E6"/>
    <w:multiLevelType w:val="multilevel"/>
    <w:tmpl w:val="F1BA0546"/>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7"/>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nsid w:val="43A138EC"/>
    <w:multiLevelType w:val="multilevel"/>
    <w:tmpl w:val="AEFC6B6E"/>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6">
    <w:nsid w:val="44A82257"/>
    <w:multiLevelType w:val="multilevel"/>
    <w:tmpl w:val="D0DACF26"/>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63"/>
      <w:numFmt w:val="none"/>
      <w:lvlRestart w:val="0"/>
      <w:lvlText w:val="7.4.1.5"/>
      <w:lvlJc w:val="left"/>
      <w:pPr>
        <w:tabs>
          <w:tab w:val="num" w:pos="1080"/>
        </w:tabs>
        <w:ind w:left="1080" w:hanging="1080"/>
      </w:pPr>
      <w:rPr>
        <w:rFonts w:hint="default"/>
      </w:rPr>
    </w:lvl>
    <w:lvl w:ilvl="4">
      <w:start w:val="1"/>
      <w:numFmt w:val="decimal"/>
      <w:lvlRestart w:val="0"/>
      <w:lvlText w:val="%1.%2.%3.%425.1"/>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44E11EE1"/>
    <w:multiLevelType w:val="hybridMultilevel"/>
    <w:tmpl w:val="878A47E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44E30B02"/>
    <w:multiLevelType w:val="multilevel"/>
    <w:tmpl w:val="FC3ACE84"/>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3"/>
      <w:numFmt w:val="decimal"/>
      <w:suff w:val="space"/>
      <w:lvlText w:val="%1.%2.%3"/>
      <w:lvlJc w:val="left"/>
      <w:pPr>
        <w:ind w:left="720" w:hanging="720"/>
      </w:pPr>
      <w:rPr>
        <w:rFonts w:hint="default"/>
        <w:b/>
      </w:rPr>
    </w:lvl>
    <w:lvl w:ilvl="3">
      <w:start w:val="14"/>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9">
    <w:nsid w:val="44E53CDC"/>
    <w:multiLevelType w:val="multilevel"/>
    <w:tmpl w:val="1716F73C"/>
    <w:lvl w:ilvl="0">
      <w:start w:val="11"/>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450646B2"/>
    <w:multiLevelType w:val="multilevel"/>
    <w:tmpl w:val="EF645A9C"/>
    <w:lvl w:ilvl="0">
      <w:start w:val="11"/>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1"/>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1">
    <w:nsid w:val="451567E7"/>
    <w:multiLevelType w:val="hybridMultilevel"/>
    <w:tmpl w:val="E53A7ED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nsid w:val="468A5F56"/>
    <w:multiLevelType w:val="multilevel"/>
    <w:tmpl w:val="B706DDE0"/>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3">
    <w:nsid w:val="46D822CF"/>
    <w:multiLevelType w:val="multilevel"/>
    <w:tmpl w:val="938CFF9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none"/>
      <w:lvlRestart w:val="0"/>
      <w:suff w:val="space"/>
      <w:lvlText w:val="21.2.3"/>
      <w:lvlJc w:val="left"/>
      <w:pPr>
        <w:ind w:left="720" w:hanging="720"/>
      </w:pPr>
      <w:rPr>
        <w:rFonts w:hint="default"/>
        <w:b/>
      </w:rPr>
    </w:lvl>
    <w:lvl w:ilvl="3">
      <w:start w:val="1"/>
      <w:numFmt w:val="decimal"/>
      <w:lvlRestart w:val="0"/>
      <w:suff w:val="space"/>
      <w:lvlText w:val="%1.%2.%3.3"/>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4">
    <w:nsid w:val="472406B0"/>
    <w:multiLevelType w:val="hybridMultilevel"/>
    <w:tmpl w:val="4896F766"/>
    <w:lvl w:ilvl="0" w:tplc="04090011">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476D6F25"/>
    <w:multiLevelType w:val="multilevel"/>
    <w:tmpl w:val="13087D74"/>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6">
    <w:nsid w:val="47735CC4"/>
    <w:multiLevelType w:val="multilevel"/>
    <w:tmpl w:val="64D2359A"/>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7">
    <w:nsid w:val="47931CEB"/>
    <w:multiLevelType w:val="multilevel"/>
    <w:tmpl w:val="B4DE6038"/>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8">
    <w:nsid w:val="479E45F4"/>
    <w:multiLevelType w:val="multilevel"/>
    <w:tmpl w:val="B1A0C66C"/>
    <w:lvl w:ilvl="0">
      <w:start w:val="8"/>
      <w:numFmt w:val="decimal"/>
      <w:lvlText w:val="%1"/>
      <w:lvlJc w:val="left"/>
      <w:pPr>
        <w:tabs>
          <w:tab w:val="num" w:pos="930"/>
        </w:tabs>
        <w:ind w:left="930" w:hanging="930"/>
      </w:pPr>
      <w:rPr>
        <w:rFonts w:hint="default"/>
      </w:rPr>
    </w:lvl>
    <w:lvl w:ilvl="1">
      <w:start w:val="3"/>
      <w:numFmt w:val="decimal"/>
      <w:lvlText w:val="%1.%2"/>
      <w:lvlJc w:val="left"/>
      <w:pPr>
        <w:tabs>
          <w:tab w:val="num" w:pos="930"/>
        </w:tabs>
        <w:ind w:left="930" w:hanging="930"/>
      </w:pPr>
      <w:rPr>
        <w:rFonts w:hint="default"/>
      </w:rPr>
    </w:lvl>
    <w:lvl w:ilvl="2">
      <w:start w:val="5"/>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nsid w:val="47C06085"/>
    <w:multiLevelType w:val="hybridMultilevel"/>
    <w:tmpl w:val="1842E9BC"/>
    <w:lvl w:ilvl="0" w:tplc="27C4F4C4">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30">
    <w:nsid w:val="47CE5EF9"/>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1">
    <w:nsid w:val="49C308B2"/>
    <w:multiLevelType w:val="hybridMultilevel"/>
    <w:tmpl w:val="883CC6CA"/>
    <w:lvl w:ilvl="0" w:tplc="DE7E274A">
      <w:start w:val="1"/>
      <w:numFmt w:val="lowerLetter"/>
      <w:lvlText w:val="%1)"/>
      <w:lvlJc w:val="left"/>
      <w:pPr>
        <w:tabs>
          <w:tab w:val="num" w:pos="720"/>
        </w:tabs>
        <w:ind w:left="720" w:hanging="360"/>
      </w:pPr>
      <w:rPr>
        <w:rFonts w:hint="default"/>
      </w:rPr>
    </w:lvl>
    <w:lvl w:ilvl="1" w:tplc="B34AA47E" w:tentative="1">
      <w:start w:val="1"/>
      <w:numFmt w:val="lowerLetter"/>
      <w:lvlText w:val="%2."/>
      <w:lvlJc w:val="left"/>
      <w:pPr>
        <w:tabs>
          <w:tab w:val="num" w:pos="1440"/>
        </w:tabs>
        <w:ind w:left="1440" w:hanging="360"/>
      </w:pPr>
    </w:lvl>
    <w:lvl w:ilvl="2" w:tplc="0D689150" w:tentative="1">
      <w:start w:val="1"/>
      <w:numFmt w:val="lowerRoman"/>
      <w:lvlText w:val="%3."/>
      <w:lvlJc w:val="right"/>
      <w:pPr>
        <w:tabs>
          <w:tab w:val="num" w:pos="2160"/>
        </w:tabs>
        <w:ind w:left="2160" w:hanging="180"/>
      </w:pPr>
    </w:lvl>
    <w:lvl w:ilvl="3" w:tplc="40A66A42" w:tentative="1">
      <w:start w:val="1"/>
      <w:numFmt w:val="decimal"/>
      <w:lvlText w:val="%4."/>
      <w:lvlJc w:val="left"/>
      <w:pPr>
        <w:tabs>
          <w:tab w:val="num" w:pos="2880"/>
        </w:tabs>
        <w:ind w:left="2880" w:hanging="360"/>
      </w:pPr>
    </w:lvl>
    <w:lvl w:ilvl="4" w:tplc="F24E46E2">
      <w:start w:val="1"/>
      <w:numFmt w:val="lowerLetter"/>
      <w:lvlText w:val="%5."/>
      <w:lvlJc w:val="left"/>
      <w:pPr>
        <w:tabs>
          <w:tab w:val="num" w:pos="3600"/>
        </w:tabs>
        <w:ind w:left="3600" w:hanging="360"/>
      </w:pPr>
    </w:lvl>
    <w:lvl w:ilvl="5" w:tplc="C652EBBC" w:tentative="1">
      <w:start w:val="1"/>
      <w:numFmt w:val="lowerRoman"/>
      <w:lvlText w:val="%6."/>
      <w:lvlJc w:val="right"/>
      <w:pPr>
        <w:tabs>
          <w:tab w:val="num" w:pos="4320"/>
        </w:tabs>
        <w:ind w:left="4320" w:hanging="180"/>
      </w:pPr>
    </w:lvl>
    <w:lvl w:ilvl="6" w:tplc="27544CF2" w:tentative="1">
      <w:start w:val="1"/>
      <w:numFmt w:val="decimal"/>
      <w:lvlText w:val="%7."/>
      <w:lvlJc w:val="left"/>
      <w:pPr>
        <w:tabs>
          <w:tab w:val="num" w:pos="5040"/>
        </w:tabs>
        <w:ind w:left="5040" w:hanging="360"/>
      </w:pPr>
    </w:lvl>
    <w:lvl w:ilvl="7" w:tplc="59BCDF2E" w:tentative="1">
      <w:start w:val="1"/>
      <w:numFmt w:val="lowerLetter"/>
      <w:lvlText w:val="%8."/>
      <w:lvlJc w:val="left"/>
      <w:pPr>
        <w:tabs>
          <w:tab w:val="num" w:pos="5760"/>
        </w:tabs>
        <w:ind w:left="5760" w:hanging="360"/>
      </w:pPr>
    </w:lvl>
    <w:lvl w:ilvl="8" w:tplc="77383BBC" w:tentative="1">
      <w:start w:val="1"/>
      <w:numFmt w:val="lowerRoman"/>
      <w:lvlText w:val="%9."/>
      <w:lvlJc w:val="right"/>
      <w:pPr>
        <w:tabs>
          <w:tab w:val="num" w:pos="6480"/>
        </w:tabs>
        <w:ind w:left="6480" w:hanging="180"/>
      </w:pPr>
    </w:lvl>
  </w:abstractNum>
  <w:abstractNum w:abstractNumId="132">
    <w:nsid w:val="4AA859FF"/>
    <w:multiLevelType w:val="multilevel"/>
    <w:tmpl w:val="937A13A0"/>
    <w:lvl w:ilvl="0">
      <w:start w:val="7"/>
      <w:numFmt w:val="decimal"/>
      <w:lvlText w:val="%1"/>
      <w:lvlJc w:val="left"/>
      <w:pPr>
        <w:tabs>
          <w:tab w:val="num" w:pos="1305"/>
        </w:tabs>
        <w:ind w:left="1305" w:hanging="1305"/>
      </w:pPr>
      <w:rPr>
        <w:rFonts w:hint="default"/>
      </w:rPr>
    </w:lvl>
    <w:lvl w:ilvl="1">
      <w:start w:val="3"/>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21"/>
      <w:numFmt w:val="decimal"/>
      <w:lvlText w:val="%1.%2.%3.%4"/>
      <w:lvlJc w:val="left"/>
      <w:pPr>
        <w:tabs>
          <w:tab w:val="num" w:pos="1305"/>
        </w:tabs>
        <w:ind w:left="1305" w:hanging="1305"/>
      </w:pPr>
      <w:rPr>
        <w:rFonts w:hint="default"/>
      </w:rPr>
    </w:lvl>
    <w:lvl w:ilvl="4">
      <w:start w:val="12"/>
      <w:numFmt w:val="decimal"/>
      <w:lvlText w:val="%1.%2.%3.%4.%5"/>
      <w:lvlJc w:val="left"/>
      <w:pPr>
        <w:tabs>
          <w:tab w:val="num" w:pos="1305"/>
        </w:tabs>
        <w:ind w:left="1305" w:hanging="130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4BCF08B1"/>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4">
    <w:nsid w:val="4DA032BF"/>
    <w:multiLevelType w:val="multilevel"/>
    <w:tmpl w:val="10C4A26E"/>
    <w:lvl w:ilvl="0">
      <w:start w:val="11"/>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5">
    <w:nsid w:val="4DA03EB5"/>
    <w:multiLevelType w:val="multilevel"/>
    <w:tmpl w:val="AFFE508E"/>
    <w:lvl w:ilvl="0">
      <w:start w:val="11"/>
      <w:numFmt w:val="decimal"/>
      <w:lvlText w:val="%1"/>
      <w:lvlJc w:val="left"/>
      <w:pPr>
        <w:ind w:left="990" w:hanging="990"/>
      </w:pPr>
      <w:rPr>
        <w:rFonts w:hint="default"/>
      </w:rPr>
    </w:lvl>
    <w:lvl w:ilvl="1">
      <w:start w:val="34"/>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6">
    <w:nsid w:val="4DE87266"/>
    <w:multiLevelType w:val="multilevel"/>
    <w:tmpl w:val="A66026F8"/>
    <w:lvl w:ilvl="0">
      <w:start w:val="8"/>
      <w:numFmt w:val="decimal"/>
      <w:lvlText w:val="%1"/>
      <w:lvlJc w:val="left"/>
      <w:pPr>
        <w:tabs>
          <w:tab w:val="num" w:pos="765"/>
        </w:tabs>
        <w:ind w:left="765" w:hanging="765"/>
      </w:pPr>
      <w:rPr>
        <w:rFonts w:hint="default"/>
        <w:b w:val="0"/>
        <w:sz w:val="28"/>
      </w:rPr>
    </w:lvl>
    <w:lvl w:ilvl="1">
      <w:start w:val="3"/>
      <w:numFmt w:val="decimal"/>
      <w:lvlText w:val="%1.%2"/>
      <w:lvlJc w:val="left"/>
      <w:pPr>
        <w:tabs>
          <w:tab w:val="num" w:pos="1125"/>
        </w:tabs>
        <w:ind w:left="1125" w:hanging="765"/>
      </w:pPr>
      <w:rPr>
        <w:rFonts w:hint="default"/>
        <w:b w:val="0"/>
        <w:sz w:val="28"/>
      </w:rPr>
    </w:lvl>
    <w:lvl w:ilvl="2">
      <w:start w:val="1"/>
      <w:numFmt w:val="decimal"/>
      <w:lvlText w:val="%1.%2.%3"/>
      <w:lvlJc w:val="left"/>
      <w:pPr>
        <w:tabs>
          <w:tab w:val="num" w:pos="1485"/>
        </w:tabs>
        <w:ind w:left="1485" w:hanging="765"/>
      </w:pPr>
      <w:rPr>
        <w:rFonts w:hint="default"/>
        <w:b w:val="0"/>
        <w:sz w:val="28"/>
      </w:rPr>
    </w:lvl>
    <w:lvl w:ilvl="3">
      <w:start w:val="9"/>
      <w:numFmt w:val="decimal"/>
      <w:lvlText w:val="%1.%2.%3.%4"/>
      <w:lvlJc w:val="left"/>
      <w:pPr>
        <w:tabs>
          <w:tab w:val="num" w:pos="1845"/>
        </w:tabs>
        <w:ind w:left="1845" w:hanging="765"/>
      </w:pPr>
      <w:rPr>
        <w:rFonts w:hint="default"/>
        <w:b w:val="0"/>
        <w:sz w:val="28"/>
      </w:rPr>
    </w:lvl>
    <w:lvl w:ilvl="4">
      <w:start w:val="1"/>
      <w:numFmt w:val="decimal"/>
      <w:lvlText w:val="%1.%2.%3.%4.%5"/>
      <w:lvlJc w:val="left"/>
      <w:pPr>
        <w:tabs>
          <w:tab w:val="num" w:pos="2520"/>
        </w:tabs>
        <w:ind w:left="2520" w:hanging="1080"/>
      </w:pPr>
      <w:rPr>
        <w:rFonts w:hint="default"/>
        <w:b w:val="0"/>
        <w:sz w:val="28"/>
      </w:rPr>
    </w:lvl>
    <w:lvl w:ilvl="5">
      <w:start w:val="1"/>
      <w:numFmt w:val="decimal"/>
      <w:lvlText w:val="%1.%2.%3.%4.%5.%6"/>
      <w:lvlJc w:val="left"/>
      <w:pPr>
        <w:tabs>
          <w:tab w:val="num" w:pos="2880"/>
        </w:tabs>
        <w:ind w:left="2880" w:hanging="1080"/>
      </w:pPr>
      <w:rPr>
        <w:rFonts w:hint="default"/>
        <w:b w:val="0"/>
        <w:sz w:val="28"/>
      </w:rPr>
    </w:lvl>
    <w:lvl w:ilvl="6">
      <w:start w:val="1"/>
      <w:numFmt w:val="decimal"/>
      <w:lvlText w:val="%1.%2.%3.%4.%5.%6.%7"/>
      <w:lvlJc w:val="left"/>
      <w:pPr>
        <w:tabs>
          <w:tab w:val="num" w:pos="3600"/>
        </w:tabs>
        <w:ind w:left="3600" w:hanging="1440"/>
      </w:pPr>
      <w:rPr>
        <w:rFonts w:hint="default"/>
        <w:b w:val="0"/>
        <w:sz w:val="28"/>
      </w:rPr>
    </w:lvl>
    <w:lvl w:ilvl="7">
      <w:start w:val="1"/>
      <w:numFmt w:val="decimal"/>
      <w:lvlText w:val="%1.%2.%3.%4.%5.%6.%7.%8"/>
      <w:lvlJc w:val="left"/>
      <w:pPr>
        <w:tabs>
          <w:tab w:val="num" w:pos="3960"/>
        </w:tabs>
        <w:ind w:left="3960" w:hanging="1440"/>
      </w:pPr>
      <w:rPr>
        <w:rFonts w:hint="default"/>
        <w:b w:val="0"/>
        <w:sz w:val="28"/>
      </w:rPr>
    </w:lvl>
    <w:lvl w:ilvl="8">
      <w:start w:val="1"/>
      <w:numFmt w:val="decimal"/>
      <w:lvlText w:val="%1.%2.%3.%4.%5.%6.%7.%8.%9"/>
      <w:lvlJc w:val="left"/>
      <w:pPr>
        <w:tabs>
          <w:tab w:val="num" w:pos="4680"/>
        </w:tabs>
        <w:ind w:left="4680" w:hanging="1800"/>
      </w:pPr>
      <w:rPr>
        <w:rFonts w:hint="default"/>
        <w:b w:val="0"/>
        <w:sz w:val="28"/>
      </w:rPr>
    </w:lvl>
  </w:abstractNum>
  <w:abstractNum w:abstractNumId="137">
    <w:nsid w:val="4DE932F9"/>
    <w:multiLevelType w:val="hybridMultilevel"/>
    <w:tmpl w:val="62586962"/>
    <w:lvl w:ilvl="0" w:tplc="CEC4DB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4DFD29E2"/>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9">
    <w:nsid w:val="4F9545DE"/>
    <w:multiLevelType w:val="hybridMultilevel"/>
    <w:tmpl w:val="852699B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4FCA42FB"/>
    <w:multiLevelType w:val="hybridMultilevel"/>
    <w:tmpl w:val="DC2C0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04245F8"/>
    <w:multiLevelType w:val="multilevel"/>
    <w:tmpl w:val="19CE3F0A"/>
    <w:lvl w:ilvl="0">
      <w:start w:val="11"/>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51C24DE0"/>
    <w:multiLevelType w:val="hybridMultilevel"/>
    <w:tmpl w:val="1630A7CE"/>
    <w:lvl w:ilvl="0" w:tplc="530A3972">
      <w:start w:val="9"/>
      <w:numFmt w:val="bullet"/>
      <w:lvlText w:val="—"/>
      <w:lvlJc w:val="left"/>
      <w:pPr>
        <w:tabs>
          <w:tab w:val="num" w:pos="1080"/>
        </w:tabs>
        <w:ind w:left="1080" w:hanging="360"/>
      </w:pPr>
      <w:rPr>
        <w:rFonts w:ascii="TimesNewRomanPSMT" w:eastAsia="Batang" w:hAnsi="TimesNewRomanPSMT" w:cs="TimesNewRomanPSMT"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51D17989"/>
    <w:multiLevelType w:val="multilevel"/>
    <w:tmpl w:val="ACAE3724"/>
    <w:lvl w:ilvl="0">
      <w:start w:val="8"/>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nsid w:val="51DB76C1"/>
    <w:multiLevelType w:val="hybridMultilevel"/>
    <w:tmpl w:val="DA92AB34"/>
    <w:lvl w:ilvl="0" w:tplc="309AE4E6">
      <w:start w:val="4"/>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5">
    <w:nsid w:val="52067DF9"/>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6">
    <w:nsid w:val="523E55F5"/>
    <w:multiLevelType w:val="hybridMultilevel"/>
    <w:tmpl w:val="C3D428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54D41CD8"/>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8">
    <w:nsid w:val="56651C15"/>
    <w:multiLevelType w:val="hybridMultilevel"/>
    <w:tmpl w:val="B1FC9768"/>
    <w:lvl w:ilvl="0" w:tplc="27C4F4C4">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9">
    <w:nsid w:val="56A072C3"/>
    <w:multiLevelType w:val="hybridMultilevel"/>
    <w:tmpl w:val="76087AFE"/>
    <w:lvl w:ilvl="0" w:tplc="04090011">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57523AFB"/>
    <w:multiLevelType w:val="multilevel"/>
    <w:tmpl w:val="DD7A1FC0"/>
    <w:lvl w:ilvl="0">
      <w:start w:val="7"/>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1">
    <w:nsid w:val="5761636D"/>
    <w:multiLevelType w:val="multilevel"/>
    <w:tmpl w:val="2FC8781A"/>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lvlRestart w:val="0"/>
      <w:suff w:val="space"/>
      <w:lvlText w:val="%3%1.%2.9"/>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2">
    <w:nsid w:val="57D36FD9"/>
    <w:multiLevelType w:val="multilevel"/>
    <w:tmpl w:val="8B2A6FBC"/>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9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nsid w:val="581C6DA5"/>
    <w:multiLevelType w:val="multilevel"/>
    <w:tmpl w:val="91D63600"/>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9"/>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4">
    <w:nsid w:val="58335DE0"/>
    <w:multiLevelType w:val="hybridMultilevel"/>
    <w:tmpl w:val="82B4973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590A0D9C"/>
    <w:multiLevelType w:val="multilevel"/>
    <w:tmpl w:val="712AD860"/>
    <w:lvl w:ilvl="0">
      <w:start w:val="9"/>
      <w:numFmt w:val="decimal"/>
      <w:lvlText w:val="%1"/>
      <w:lvlJc w:val="left"/>
      <w:pPr>
        <w:tabs>
          <w:tab w:val="num" w:pos="540"/>
        </w:tabs>
        <w:ind w:left="540" w:hanging="540"/>
      </w:pPr>
      <w:rPr>
        <w:rFonts w:hint="default"/>
        <w:b/>
      </w:rPr>
    </w:lvl>
    <w:lvl w:ilvl="1">
      <w:start w:val="2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6">
    <w:nsid w:val="590D1DE4"/>
    <w:multiLevelType w:val="hybridMultilevel"/>
    <w:tmpl w:val="C5D6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A1E7B18"/>
    <w:multiLevelType w:val="hybridMultilevel"/>
    <w:tmpl w:val="4EC2C814"/>
    <w:lvl w:ilvl="0" w:tplc="81F65E7C">
      <w:start w:val="11"/>
      <w:numFmt w:val="bullet"/>
      <w:lvlText w:val="—"/>
      <w:lvlJc w:val="left"/>
      <w:pPr>
        <w:tabs>
          <w:tab w:val="num" w:pos="360"/>
        </w:tabs>
        <w:ind w:left="360" w:hanging="360"/>
      </w:pPr>
      <w:rPr>
        <w:rFonts w:ascii="TimesNewRoman" w:eastAsia="Batang" w:hAnsi="TimesNewRoman" w:cs="TimesNew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8">
    <w:nsid w:val="5A5E060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9">
    <w:nsid w:val="5B4E15D8"/>
    <w:multiLevelType w:val="multilevel"/>
    <w:tmpl w:val="3A2AEEA8"/>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0">
    <w:nsid w:val="5B754F31"/>
    <w:multiLevelType w:val="multilevel"/>
    <w:tmpl w:val="95F8B1F6"/>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1">
    <w:nsid w:val="5BBB5563"/>
    <w:multiLevelType w:val="multilevel"/>
    <w:tmpl w:val="A17C8E9C"/>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1"/>
      <w:numFmt w:val="decimal"/>
      <w:suff w:val="space"/>
      <w:lvlText w:val="%1.2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2">
    <w:nsid w:val="5CF73554"/>
    <w:multiLevelType w:val="hybridMultilevel"/>
    <w:tmpl w:val="4D7AB898"/>
    <w:lvl w:ilvl="0" w:tplc="F1CA84D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5D0C5587"/>
    <w:multiLevelType w:val="hybridMultilevel"/>
    <w:tmpl w:val="A5F88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5FC7160D"/>
    <w:multiLevelType w:val="multilevel"/>
    <w:tmpl w:val="5D0E5A62"/>
    <w:lvl w:ilvl="0">
      <w:start w:val="11"/>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3"/>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5">
    <w:nsid w:val="5FDF31C1"/>
    <w:multiLevelType w:val="multilevel"/>
    <w:tmpl w:val="0C9865E8"/>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6">
    <w:nsid w:val="61A12AB9"/>
    <w:multiLevelType w:val="hybridMultilevel"/>
    <w:tmpl w:val="77F8EE42"/>
    <w:lvl w:ilvl="0" w:tplc="E5128026">
      <w:start w:val="1"/>
      <w:numFmt w:val="lowerLetter"/>
      <w:lvlText w:val="%1)"/>
      <w:lvlJc w:val="left"/>
      <w:pPr>
        <w:tabs>
          <w:tab w:val="num" w:pos="720"/>
        </w:tabs>
        <w:ind w:left="720" w:hanging="360"/>
      </w:pPr>
      <w:rPr>
        <w:rFonts w:hint="default"/>
      </w:rPr>
    </w:lvl>
    <w:lvl w:ilvl="1" w:tplc="AFF499A6" w:tentative="1">
      <w:start w:val="1"/>
      <w:numFmt w:val="lowerLetter"/>
      <w:lvlText w:val="%2."/>
      <w:lvlJc w:val="left"/>
      <w:pPr>
        <w:tabs>
          <w:tab w:val="num" w:pos="1440"/>
        </w:tabs>
        <w:ind w:left="1440" w:hanging="360"/>
      </w:pPr>
    </w:lvl>
    <w:lvl w:ilvl="2" w:tplc="220A3086" w:tentative="1">
      <w:start w:val="1"/>
      <w:numFmt w:val="lowerRoman"/>
      <w:lvlText w:val="%3."/>
      <w:lvlJc w:val="right"/>
      <w:pPr>
        <w:tabs>
          <w:tab w:val="num" w:pos="2160"/>
        </w:tabs>
        <w:ind w:left="2160" w:hanging="180"/>
      </w:pPr>
    </w:lvl>
    <w:lvl w:ilvl="3" w:tplc="FEC4715E">
      <w:start w:val="1"/>
      <w:numFmt w:val="decimal"/>
      <w:lvlText w:val="%4."/>
      <w:lvlJc w:val="left"/>
      <w:pPr>
        <w:tabs>
          <w:tab w:val="num" w:pos="2880"/>
        </w:tabs>
        <w:ind w:left="2880" w:hanging="360"/>
      </w:pPr>
    </w:lvl>
    <w:lvl w:ilvl="4" w:tplc="89423E3C" w:tentative="1">
      <w:start w:val="1"/>
      <w:numFmt w:val="lowerLetter"/>
      <w:lvlText w:val="%5."/>
      <w:lvlJc w:val="left"/>
      <w:pPr>
        <w:tabs>
          <w:tab w:val="num" w:pos="3600"/>
        </w:tabs>
        <w:ind w:left="3600" w:hanging="360"/>
      </w:pPr>
    </w:lvl>
    <w:lvl w:ilvl="5" w:tplc="F1F87B62" w:tentative="1">
      <w:start w:val="1"/>
      <w:numFmt w:val="lowerRoman"/>
      <w:lvlText w:val="%6."/>
      <w:lvlJc w:val="right"/>
      <w:pPr>
        <w:tabs>
          <w:tab w:val="num" w:pos="4320"/>
        </w:tabs>
        <w:ind w:left="4320" w:hanging="180"/>
      </w:pPr>
    </w:lvl>
    <w:lvl w:ilvl="6" w:tplc="F070933E" w:tentative="1">
      <w:start w:val="1"/>
      <w:numFmt w:val="decimal"/>
      <w:lvlText w:val="%7."/>
      <w:lvlJc w:val="left"/>
      <w:pPr>
        <w:tabs>
          <w:tab w:val="num" w:pos="5040"/>
        </w:tabs>
        <w:ind w:left="5040" w:hanging="360"/>
      </w:pPr>
    </w:lvl>
    <w:lvl w:ilvl="7" w:tplc="1E90BC48" w:tentative="1">
      <w:start w:val="1"/>
      <w:numFmt w:val="lowerLetter"/>
      <w:lvlText w:val="%8."/>
      <w:lvlJc w:val="left"/>
      <w:pPr>
        <w:tabs>
          <w:tab w:val="num" w:pos="5760"/>
        </w:tabs>
        <w:ind w:left="5760" w:hanging="360"/>
      </w:pPr>
    </w:lvl>
    <w:lvl w:ilvl="8" w:tplc="CA9667AE" w:tentative="1">
      <w:start w:val="1"/>
      <w:numFmt w:val="lowerRoman"/>
      <w:lvlText w:val="%9."/>
      <w:lvlJc w:val="right"/>
      <w:pPr>
        <w:tabs>
          <w:tab w:val="num" w:pos="6480"/>
        </w:tabs>
        <w:ind w:left="6480" w:hanging="180"/>
      </w:pPr>
    </w:lvl>
  </w:abstractNum>
  <w:abstractNum w:abstractNumId="167">
    <w:nsid w:val="62B34556"/>
    <w:multiLevelType w:val="multilevel"/>
    <w:tmpl w:val="594E7D48"/>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8">
    <w:nsid w:val="62CA285B"/>
    <w:multiLevelType w:val="hybridMultilevel"/>
    <w:tmpl w:val="5AB8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300360F"/>
    <w:multiLevelType w:val="hybridMultilevel"/>
    <w:tmpl w:val="E03A993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nsid w:val="631578D8"/>
    <w:multiLevelType w:val="hybridMultilevel"/>
    <w:tmpl w:val="CC9C31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nsid w:val="63627CEE"/>
    <w:multiLevelType w:val="multilevel"/>
    <w:tmpl w:val="F1BA0546"/>
    <w:lvl w:ilvl="0">
      <w:start w:val="7"/>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8"/>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2">
    <w:nsid w:val="63AC1278"/>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3">
    <w:nsid w:val="658C0546"/>
    <w:multiLevelType w:val="multilevel"/>
    <w:tmpl w:val="46D6E96E"/>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4">
    <w:nsid w:val="65B517C6"/>
    <w:multiLevelType w:val="multilevel"/>
    <w:tmpl w:val="9E767CBC"/>
    <w:lvl w:ilvl="0">
      <w:start w:val="11"/>
      <w:numFmt w:val="decimal"/>
      <w:lvlText w:val="%1"/>
      <w:lvlJc w:val="left"/>
      <w:pPr>
        <w:tabs>
          <w:tab w:val="num" w:pos="495"/>
        </w:tabs>
        <w:ind w:left="495" w:hanging="495"/>
      </w:pPr>
      <w:rPr>
        <w:rFonts w:hint="default"/>
      </w:rPr>
    </w:lvl>
    <w:lvl w:ilvl="1">
      <w:start w:val="8"/>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5">
    <w:nsid w:val="65DB5B69"/>
    <w:multiLevelType w:val="hybridMultilevel"/>
    <w:tmpl w:val="4D947D7E"/>
    <w:lvl w:ilvl="0" w:tplc="08DAE3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6">
    <w:nsid w:val="667E47BF"/>
    <w:multiLevelType w:val="hybridMultilevel"/>
    <w:tmpl w:val="77C680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676A0926"/>
    <w:multiLevelType w:val="hybridMultilevel"/>
    <w:tmpl w:val="FEB04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81A00B2"/>
    <w:multiLevelType w:val="multilevel"/>
    <w:tmpl w:val="CE16B2E6"/>
    <w:lvl w:ilvl="0">
      <w:start w:val="7"/>
      <w:numFmt w:val="decimal"/>
      <w:lvlText w:val="%1"/>
      <w:lvlJc w:val="left"/>
      <w:pPr>
        <w:ind w:left="855" w:hanging="855"/>
      </w:pPr>
      <w:rPr>
        <w:rFonts w:hint="default"/>
      </w:rPr>
    </w:lvl>
    <w:lvl w:ilvl="1">
      <w:start w:val="3"/>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9">
    <w:nsid w:val="685B33CF"/>
    <w:multiLevelType w:val="multilevel"/>
    <w:tmpl w:val="63621C24"/>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1"/>
      <w:numFmt w:val="decimal"/>
      <w:lvlRestart w:val="0"/>
      <w:suff w:val="space"/>
      <w:lvlText w:val="%1.22.15"/>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0">
    <w:nsid w:val="68705810"/>
    <w:multiLevelType w:val="multilevel"/>
    <w:tmpl w:val="BB787B62"/>
    <w:lvl w:ilvl="0">
      <w:start w:val="9"/>
      <w:numFmt w:val="decimal"/>
      <w:lvlText w:val="%1"/>
      <w:lvlJc w:val="left"/>
      <w:pPr>
        <w:tabs>
          <w:tab w:val="num" w:pos="540"/>
        </w:tabs>
        <w:ind w:left="540" w:hanging="540"/>
      </w:pPr>
      <w:rPr>
        <w:rFonts w:hint="default"/>
        <w:b/>
      </w:rPr>
    </w:lvl>
    <w:lvl w:ilvl="1">
      <w:start w:val="1"/>
      <w:numFmt w:val="none"/>
      <w:lvlRestart w:val="0"/>
      <w:lvlText w:val="11.34"/>
      <w:lvlJc w:val="left"/>
      <w:pPr>
        <w:tabs>
          <w:tab w:val="num" w:pos="540"/>
        </w:tabs>
        <w:ind w:left="540" w:hanging="540"/>
      </w:pPr>
      <w:rPr>
        <w:rFonts w:hint="default"/>
        <w:b/>
      </w:rPr>
    </w:lvl>
    <w:lvl w:ilvl="2">
      <w:start w:val="7"/>
      <w:numFmt w:val="none"/>
      <w:suff w:val="space"/>
      <w:lvlText w:val="9.9.1"/>
      <w:lvlJc w:val="left"/>
      <w:pPr>
        <w:ind w:left="720" w:hanging="720"/>
      </w:pPr>
      <w:rPr>
        <w:rFonts w:hint="default"/>
        <w:b/>
      </w:rPr>
    </w:lvl>
    <w:lvl w:ilvl="3">
      <w:start w:val="1"/>
      <w:numFmt w:val="none"/>
      <w:suff w:val="space"/>
      <w:lvlText w:val="9.9.1.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1">
    <w:nsid w:val="6956561A"/>
    <w:multiLevelType w:val="hybridMultilevel"/>
    <w:tmpl w:val="F5BC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977551F"/>
    <w:multiLevelType w:val="multilevel"/>
    <w:tmpl w:val="95822EB8"/>
    <w:lvl w:ilvl="0">
      <w:start w:val="11"/>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3">
    <w:nsid w:val="69B91B5B"/>
    <w:multiLevelType w:val="hybridMultilevel"/>
    <w:tmpl w:val="3A2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B125FD6"/>
    <w:multiLevelType w:val="hybridMultilevel"/>
    <w:tmpl w:val="D68670B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6D2E4F9B"/>
    <w:multiLevelType w:val="multilevel"/>
    <w:tmpl w:val="7D92D57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6">
    <w:nsid w:val="6D884130"/>
    <w:multiLevelType w:val="multilevel"/>
    <w:tmpl w:val="1160F170"/>
    <w:lvl w:ilvl="0">
      <w:start w:val="8"/>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nsid w:val="70FF24BC"/>
    <w:multiLevelType w:val="hybridMultilevel"/>
    <w:tmpl w:val="9074300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71EF336F"/>
    <w:multiLevelType w:val="multilevel"/>
    <w:tmpl w:val="CC903936"/>
    <w:lvl w:ilvl="0">
      <w:start w:val="7"/>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2"/>
      <w:numFmt w:val="decimal"/>
      <w:lvlText w:val="%1.%2.%3"/>
      <w:lvlJc w:val="left"/>
      <w:pPr>
        <w:tabs>
          <w:tab w:val="num" w:pos="1800"/>
        </w:tabs>
        <w:ind w:left="1800" w:hanging="720"/>
      </w:pPr>
      <w:rPr>
        <w:rFonts w:cs="Times New Roman" w:hint="default"/>
        <w:bCs/>
        <w:iCs w:val="0"/>
        <w:dstrike w:val="0"/>
        <w:emboss w:val="0"/>
        <w:imprint w:val="0"/>
        <w:color w:val="000000"/>
        <w:w w:val="100"/>
        <w:szCs w:val="24"/>
        <w:effect w:val="none"/>
      </w:rPr>
    </w:lvl>
    <w:lvl w:ilvl="3">
      <w:start w:val="64"/>
      <w:numFmt w:val="decimal"/>
      <w:lvlRestart w:val="0"/>
      <w:suff w:val="space"/>
      <w:lvlText w:val="%1.%2.%3.%4"/>
      <w:lvlJc w:val="left"/>
      <w:pPr>
        <w:ind w:left="1098" w:hanging="18"/>
      </w:pPr>
      <w:rPr>
        <w:rFonts w:hint="default"/>
        <w:b/>
        <w:i w:val="0"/>
        <w:strike w:val="0"/>
        <w:em w:val="none"/>
      </w:rPr>
    </w:lvl>
    <w:lvl w:ilvl="4">
      <w:start w:val="1"/>
      <w:numFmt w:val="decimal"/>
      <w:lvlText w:val="%1.%2.%3.%4.%5"/>
      <w:lvlJc w:val="left"/>
      <w:pPr>
        <w:tabs>
          <w:tab w:val="num" w:pos="1008"/>
        </w:tabs>
        <w:ind w:left="1008" w:hanging="1008"/>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9">
    <w:nsid w:val="746E01A8"/>
    <w:multiLevelType w:val="multilevel"/>
    <w:tmpl w:val="851E38C2"/>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3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0">
    <w:nsid w:val="76572DFC"/>
    <w:multiLevelType w:val="multilevel"/>
    <w:tmpl w:val="06F2BFE6"/>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1">
    <w:nsid w:val="772E7983"/>
    <w:multiLevelType w:val="multilevel"/>
    <w:tmpl w:val="50A085C2"/>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2">
    <w:nsid w:val="780057D1"/>
    <w:multiLevelType w:val="multilevel"/>
    <w:tmpl w:val="7EDE7490"/>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3">
    <w:nsid w:val="79A50A96"/>
    <w:multiLevelType w:val="multilevel"/>
    <w:tmpl w:val="37A66B64"/>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lang w:val="en-US"/>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4">
    <w:nsid w:val="7A9E491B"/>
    <w:multiLevelType w:val="hybridMultilevel"/>
    <w:tmpl w:val="C9F40F4C"/>
    <w:lvl w:ilvl="0" w:tplc="F1CA84D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7AD46467"/>
    <w:multiLevelType w:val="multilevel"/>
    <w:tmpl w:val="1990E760"/>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6">
    <w:nsid w:val="7B203FF3"/>
    <w:multiLevelType w:val="hybridMultilevel"/>
    <w:tmpl w:val="3510150A"/>
    <w:lvl w:ilvl="0" w:tplc="95406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nsid w:val="7BA67219"/>
    <w:multiLevelType w:val="multilevel"/>
    <w:tmpl w:val="8F4E43DE"/>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8">
    <w:nsid w:val="7CD67AD3"/>
    <w:multiLevelType w:val="multilevel"/>
    <w:tmpl w:val="31E6D3E6"/>
    <w:lvl w:ilvl="0">
      <w:start w:val="7"/>
      <w:numFmt w:val="decimal"/>
      <w:lvlText w:val="%1"/>
      <w:lvlJc w:val="left"/>
      <w:pPr>
        <w:tabs>
          <w:tab w:val="num" w:pos="540"/>
        </w:tabs>
        <w:ind w:left="540" w:hanging="540"/>
      </w:pPr>
      <w:rPr>
        <w:rFonts w:hint="default"/>
        <w:b/>
      </w:rPr>
    </w:lvl>
    <w:lvl w:ilvl="1">
      <w:start w:val="3"/>
      <w:numFmt w:val="decimal"/>
      <w:lvlText w:val="8.%2"/>
      <w:lvlJc w:val="left"/>
      <w:pPr>
        <w:tabs>
          <w:tab w:val="num" w:pos="540"/>
        </w:tabs>
        <w:ind w:left="540" w:hanging="540"/>
      </w:pPr>
      <w:rPr>
        <w:rFonts w:hint="default"/>
        <w:b/>
      </w:rPr>
    </w:lvl>
    <w:lvl w:ilvl="2">
      <w:start w:val="2"/>
      <w:numFmt w:val="decimal"/>
      <w:suff w:val="space"/>
      <w:lvlText w:val="8.%2.5"/>
      <w:lvlJc w:val="left"/>
      <w:pPr>
        <w:ind w:left="720" w:hanging="720"/>
      </w:pPr>
      <w:rPr>
        <w:rFonts w:hint="default"/>
        <w:b/>
      </w:rPr>
    </w:lvl>
    <w:lvl w:ilvl="3">
      <w:start w:val="30"/>
      <w:numFmt w:val="decimal"/>
      <w:suff w:val="space"/>
      <w:lvlText w:val="%1.%2.%3.25"/>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9">
    <w:nsid w:val="7D66100A"/>
    <w:multiLevelType w:val="hybridMultilevel"/>
    <w:tmpl w:val="149E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D962698"/>
    <w:multiLevelType w:val="multilevel"/>
    <w:tmpl w:val="C29A0394"/>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1">
    <w:nsid w:val="7E820E3D"/>
    <w:multiLevelType w:val="multilevel"/>
    <w:tmpl w:val="D12878CE"/>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2">
    <w:nsid w:val="7EB4161E"/>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3">
    <w:nsid w:val="7EE568DC"/>
    <w:multiLevelType w:val="multilevel"/>
    <w:tmpl w:val="FABC9A00"/>
    <w:lvl w:ilvl="0">
      <w:start w:val="8"/>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nsid w:val="7F35763E"/>
    <w:multiLevelType w:val="multilevel"/>
    <w:tmpl w:val="FFF4CDF2"/>
    <w:lvl w:ilvl="0">
      <w:start w:val="9"/>
      <w:numFmt w:val="decimal"/>
      <w:lvlText w:val="%1"/>
      <w:lvlJc w:val="left"/>
      <w:pPr>
        <w:tabs>
          <w:tab w:val="num" w:pos="765"/>
        </w:tabs>
        <w:ind w:left="765" w:hanging="765"/>
      </w:pPr>
      <w:rPr>
        <w:rFonts w:hint="default"/>
        <w:b w:val="0"/>
        <w:sz w:val="28"/>
      </w:rPr>
    </w:lvl>
    <w:lvl w:ilvl="1">
      <w:start w:val="24"/>
      <w:numFmt w:val="decimal"/>
      <w:lvlText w:val="%1.%2"/>
      <w:lvlJc w:val="left"/>
      <w:pPr>
        <w:tabs>
          <w:tab w:val="num" w:pos="1125"/>
        </w:tabs>
        <w:ind w:left="1125" w:hanging="765"/>
      </w:pPr>
      <w:rPr>
        <w:rFonts w:hint="default"/>
        <w:b w:val="0"/>
        <w:sz w:val="28"/>
      </w:rPr>
    </w:lvl>
    <w:lvl w:ilvl="2">
      <w:start w:val="1"/>
      <w:numFmt w:val="decimal"/>
      <w:lvlText w:val="%1.%2.%3"/>
      <w:lvlJc w:val="left"/>
      <w:pPr>
        <w:tabs>
          <w:tab w:val="num" w:pos="1485"/>
        </w:tabs>
        <w:ind w:left="1485" w:hanging="765"/>
      </w:pPr>
      <w:rPr>
        <w:rFonts w:hint="default"/>
        <w:b w:val="0"/>
        <w:sz w:val="28"/>
      </w:rPr>
    </w:lvl>
    <w:lvl w:ilvl="3">
      <w:start w:val="9"/>
      <w:numFmt w:val="decimal"/>
      <w:lvlText w:val="%1.%2.%3.%4"/>
      <w:lvlJc w:val="left"/>
      <w:pPr>
        <w:tabs>
          <w:tab w:val="num" w:pos="1845"/>
        </w:tabs>
        <w:ind w:left="1845" w:hanging="765"/>
      </w:pPr>
      <w:rPr>
        <w:rFonts w:hint="default"/>
        <w:b w:val="0"/>
        <w:sz w:val="28"/>
      </w:rPr>
    </w:lvl>
    <w:lvl w:ilvl="4">
      <w:start w:val="1"/>
      <w:numFmt w:val="decimal"/>
      <w:lvlText w:val="%1.%2.%3.%4.%5"/>
      <w:lvlJc w:val="left"/>
      <w:pPr>
        <w:tabs>
          <w:tab w:val="num" w:pos="2520"/>
        </w:tabs>
        <w:ind w:left="2520" w:hanging="1080"/>
      </w:pPr>
      <w:rPr>
        <w:rFonts w:hint="default"/>
        <w:b w:val="0"/>
        <w:sz w:val="28"/>
      </w:rPr>
    </w:lvl>
    <w:lvl w:ilvl="5">
      <w:start w:val="1"/>
      <w:numFmt w:val="decimal"/>
      <w:lvlText w:val="%1.%2.%3.%4.%5.%6"/>
      <w:lvlJc w:val="left"/>
      <w:pPr>
        <w:tabs>
          <w:tab w:val="num" w:pos="2880"/>
        </w:tabs>
        <w:ind w:left="2880" w:hanging="1080"/>
      </w:pPr>
      <w:rPr>
        <w:rFonts w:hint="default"/>
        <w:b w:val="0"/>
        <w:sz w:val="28"/>
      </w:rPr>
    </w:lvl>
    <w:lvl w:ilvl="6">
      <w:start w:val="1"/>
      <w:numFmt w:val="decimal"/>
      <w:lvlText w:val="%1.%2.%3.%4.%5.%6.%7"/>
      <w:lvlJc w:val="left"/>
      <w:pPr>
        <w:tabs>
          <w:tab w:val="num" w:pos="3600"/>
        </w:tabs>
        <w:ind w:left="3600" w:hanging="1440"/>
      </w:pPr>
      <w:rPr>
        <w:rFonts w:hint="default"/>
        <w:b w:val="0"/>
        <w:sz w:val="28"/>
      </w:rPr>
    </w:lvl>
    <w:lvl w:ilvl="7">
      <w:start w:val="1"/>
      <w:numFmt w:val="decimal"/>
      <w:lvlText w:val="%1.%2.%3.%4.%5.%6.%7.%8"/>
      <w:lvlJc w:val="left"/>
      <w:pPr>
        <w:tabs>
          <w:tab w:val="num" w:pos="3960"/>
        </w:tabs>
        <w:ind w:left="3960" w:hanging="1440"/>
      </w:pPr>
      <w:rPr>
        <w:rFonts w:hint="default"/>
        <w:b w:val="0"/>
        <w:sz w:val="28"/>
      </w:rPr>
    </w:lvl>
    <w:lvl w:ilvl="8">
      <w:start w:val="1"/>
      <w:numFmt w:val="decimal"/>
      <w:lvlText w:val="%1.%2.%3.%4.%5.%6.%7.%8.%9"/>
      <w:lvlJc w:val="left"/>
      <w:pPr>
        <w:tabs>
          <w:tab w:val="num" w:pos="4680"/>
        </w:tabs>
        <w:ind w:left="4680" w:hanging="1800"/>
      </w:pPr>
      <w:rPr>
        <w:rFonts w:hint="default"/>
        <w:b w:val="0"/>
        <w:sz w:val="28"/>
      </w:rPr>
    </w:lvl>
  </w:abstractNum>
  <w:abstractNum w:abstractNumId="205">
    <w:nsid w:val="7F9D114A"/>
    <w:multiLevelType w:val="multilevel"/>
    <w:tmpl w:val="7EEE00DA"/>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lvlRestart w:val="0"/>
      <w:suff w:val="space"/>
      <w:lvlText w:val="21.9.2"/>
      <w:lvlJc w:val="left"/>
      <w:pPr>
        <w:ind w:left="720" w:hanging="720"/>
      </w:pPr>
      <w:rPr>
        <w:rFonts w:hint="default"/>
        <w:b/>
      </w:rPr>
    </w:lvl>
    <w:lvl w:ilvl="3">
      <w:start w:val="1"/>
      <w:numFmt w:val="none"/>
      <w:suff w:val="space"/>
      <w:lvlText w:val="9.2.5.7"/>
      <w:lvlJc w:val="left"/>
      <w:pPr>
        <w:ind w:left="720" w:hanging="720"/>
      </w:pPr>
      <w:rPr>
        <w:rFonts w:hint="default"/>
        <w:b/>
      </w:rPr>
    </w:lvl>
    <w:lvl w:ilvl="4">
      <w:start w:val="1"/>
      <w:numFmt w:val="none"/>
      <w:lvlRestart w:val="0"/>
      <w:suff w:val="space"/>
      <w:lvlText w:val="11.1.3.2.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3"/>
  </w:num>
  <w:num w:numId="2">
    <w:abstractNumId w:val="166"/>
  </w:num>
  <w:num w:numId="3">
    <w:abstractNumId w:val="99"/>
  </w:num>
  <w:num w:numId="4">
    <w:abstractNumId w:val="124"/>
  </w:num>
  <w:num w:numId="5">
    <w:abstractNumId w:val="131"/>
  </w:num>
  <w:num w:numId="6">
    <w:abstractNumId w:val="148"/>
  </w:num>
  <w:num w:numId="7">
    <w:abstractNumId w:val="121"/>
  </w:num>
  <w:num w:numId="8">
    <w:abstractNumId w:val="136"/>
  </w:num>
  <w:num w:numId="9">
    <w:abstractNumId w:val="34"/>
  </w:num>
  <w:num w:numId="10">
    <w:abstractNumId w:val="129"/>
  </w:num>
  <w:num w:numId="11">
    <w:abstractNumId w:val="33"/>
  </w:num>
  <w:num w:numId="12">
    <w:abstractNumId w:val="168"/>
  </w:num>
  <w:num w:numId="13">
    <w:abstractNumId w:val="96"/>
  </w:num>
  <w:num w:numId="14">
    <w:abstractNumId w:val="23"/>
  </w:num>
  <w:num w:numId="15">
    <w:abstractNumId w:val="36"/>
  </w:num>
  <w:num w:numId="16">
    <w:abstractNumId w:val="39"/>
  </w:num>
  <w:num w:numId="17">
    <w:abstractNumId w:val="21"/>
  </w:num>
  <w:num w:numId="18">
    <w:abstractNumId w:val="162"/>
  </w:num>
  <w:num w:numId="19">
    <w:abstractNumId w:val="142"/>
  </w:num>
  <w:num w:numId="20">
    <w:abstractNumId w:val="174"/>
  </w:num>
  <w:num w:numId="21">
    <w:abstractNumId w:val="157"/>
  </w:num>
  <w:num w:numId="22">
    <w:abstractNumId w:val="111"/>
  </w:num>
  <w:num w:numId="23">
    <w:abstractNumId w:val="40"/>
  </w:num>
  <w:num w:numId="24">
    <w:abstractNumId w:val="31"/>
  </w:num>
  <w:num w:numId="25">
    <w:abstractNumId w:val="127"/>
  </w:num>
  <w:num w:numId="26">
    <w:abstractNumId w:val="118"/>
  </w:num>
  <w:num w:numId="27">
    <w:abstractNumId w:val="67"/>
  </w:num>
  <w:num w:numId="28">
    <w:abstractNumId w:val="106"/>
  </w:num>
  <w:num w:numId="29">
    <w:abstractNumId w:val="155"/>
  </w:num>
  <w:num w:numId="30">
    <w:abstractNumId w:val="204"/>
    <w:lvlOverride w:ilvl="0">
      <w:lvl w:ilvl="0">
        <w:start w:val="9"/>
        <w:numFmt w:val="decimal"/>
        <w:lvlText w:val="%1"/>
        <w:lvlJc w:val="left"/>
        <w:pPr>
          <w:tabs>
            <w:tab w:val="num" w:pos="540"/>
          </w:tabs>
          <w:ind w:left="540" w:hanging="540"/>
        </w:pPr>
        <w:rPr>
          <w:rFonts w:hint="default"/>
          <w:b/>
        </w:rPr>
      </w:lvl>
    </w:lvlOverride>
    <w:lvlOverride w:ilvl="1">
      <w:lvl w:ilvl="1">
        <w:start w:val="24"/>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7"/>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31">
    <w:abstractNumId w:val="100"/>
  </w:num>
  <w:num w:numId="32">
    <w:abstractNumId w:val="38"/>
  </w:num>
  <w:num w:numId="33">
    <w:abstractNumId w:val="80"/>
  </w:num>
  <w:num w:numId="34">
    <w:abstractNumId w:val="191"/>
  </w:num>
  <w:num w:numId="35">
    <w:abstractNumId w:val="65"/>
  </w:num>
  <w:num w:numId="36">
    <w:abstractNumId w:val="185"/>
  </w:num>
  <w:num w:numId="37">
    <w:abstractNumId w:val="61"/>
  </w:num>
  <w:num w:numId="38">
    <w:abstractNumId w:val="125"/>
  </w:num>
  <w:num w:numId="39">
    <w:abstractNumId w:val="104"/>
  </w:num>
  <w:num w:numId="40">
    <w:abstractNumId w:val="200"/>
  </w:num>
  <w:num w:numId="41">
    <w:abstractNumId w:val="188"/>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64"/>
        <w:numFmt w:val="decimal"/>
        <w:suff w:val="space"/>
        <w:lvlText w:val="%1.%2.%3.%4"/>
        <w:lvlJc w:val="left"/>
        <w:pPr>
          <w:ind w:left="720" w:hanging="720"/>
        </w:pPr>
        <w:rPr>
          <w:rFonts w:hint="default"/>
          <w:b/>
        </w:rPr>
      </w:lvl>
    </w:lvlOverride>
    <w:lvlOverride w:ilvl="4">
      <w:lvl w:ilvl="4">
        <w:start w:val="1"/>
        <w:numFmt w:val="decimal"/>
        <w:lvlRestart w:val="0"/>
        <w:suff w:val="space"/>
        <w:lvlText w:val="%1.1.3.5.8"/>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42">
    <w:abstractNumId w:val="35"/>
  </w:num>
  <w:num w:numId="43">
    <w:abstractNumId w:val="74"/>
  </w:num>
  <w:num w:numId="44">
    <w:abstractNumId w:val="62"/>
  </w:num>
  <w:num w:numId="45">
    <w:abstractNumId w:val="175"/>
  </w:num>
  <w:num w:numId="46">
    <w:abstractNumId w:val="51"/>
  </w:num>
  <w:num w:numId="47">
    <w:abstractNumId w:val="126"/>
  </w:num>
  <w:num w:numId="48">
    <w:abstractNumId w:val="50"/>
  </w:num>
  <w:num w:numId="49">
    <w:abstractNumId w:val="50"/>
  </w:num>
  <w:num w:numId="50">
    <w:abstractNumId w:val="29"/>
  </w:num>
  <w:num w:numId="51">
    <w:abstractNumId w:val="57"/>
  </w:num>
  <w:num w:numId="52">
    <w:abstractNumId w:val="173"/>
  </w:num>
  <w:num w:numId="53">
    <w:abstractNumId w:val="42"/>
  </w:num>
  <w:num w:numId="54">
    <w:abstractNumId w:val="197"/>
  </w:num>
  <w:num w:numId="55">
    <w:abstractNumId w:val="190"/>
  </w:num>
  <w:num w:numId="56">
    <w:abstractNumId w:val="59"/>
  </w:num>
  <w:num w:numId="57">
    <w:abstractNumId w:val="115"/>
    <w:lvlOverride w:ilvl="0">
      <w:lvl w:ilvl="0">
        <w:start w:val="7"/>
        <w:numFmt w:val="decimal"/>
        <w:lvlText w:val="%1"/>
        <w:lvlJc w:val="left"/>
        <w:pPr>
          <w:tabs>
            <w:tab w:val="num" w:pos="540"/>
          </w:tabs>
          <w:ind w:left="540" w:hanging="540"/>
        </w:pPr>
        <w:rPr>
          <w:rFonts w:hint="default"/>
          <w:b/>
        </w:rPr>
      </w:lvl>
    </w:lvlOverride>
    <w:lvlOverride w:ilvl="1">
      <w:lvl w:ilvl="1">
        <w:start w:val="4"/>
        <w:numFmt w:val="decimal"/>
        <w:lvlText w:val="%1.%2"/>
        <w:lvlJc w:val="left"/>
        <w:pPr>
          <w:tabs>
            <w:tab w:val="num" w:pos="540"/>
          </w:tabs>
          <w:ind w:left="540" w:hanging="540"/>
        </w:pPr>
        <w:rPr>
          <w:rFonts w:hint="default"/>
          <w:b/>
        </w:rPr>
      </w:lvl>
    </w:lvlOverride>
    <w:lvlOverride w:ilvl="2">
      <w:lvl w:ilvl="2">
        <w:start w:val="2"/>
        <w:numFmt w:val="decimal"/>
        <w:suff w:val="space"/>
        <w:lvlText w:val="%1.%2.4"/>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58">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1.%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59">
    <w:abstractNumId w:val="108"/>
    <w:lvlOverride w:ilvl="0">
      <w:lvl w:ilvl="0">
        <w:start w:val="9"/>
        <w:numFmt w:val="decimal"/>
        <w:lvlText w:val="%1"/>
        <w:lvlJc w:val="left"/>
        <w:pPr>
          <w:tabs>
            <w:tab w:val="num" w:pos="540"/>
          </w:tabs>
          <w:ind w:left="540" w:hanging="540"/>
        </w:pPr>
        <w:rPr>
          <w:rFonts w:hint="default"/>
          <w:b/>
        </w:rPr>
      </w:lvl>
    </w:lvlOverride>
    <w:lvlOverride w:ilvl="1">
      <w:lvl w:ilvl="1">
        <w:start w:val="25"/>
        <w:numFmt w:val="decimal"/>
        <w:lvlText w:val="%1.36"/>
        <w:lvlJc w:val="left"/>
        <w:pPr>
          <w:tabs>
            <w:tab w:val="num" w:pos="540"/>
          </w:tabs>
          <w:ind w:left="540" w:hanging="540"/>
        </w:pPr>
        <w:rPr>
          <w:rFonts w:hint="default"/>
          <w:b/>
        </w:rPr>
      </w:lvl>
    </w:lvlOverride>
    <w:lvlOverride w:ilvl="2">
      <w:lvl w:ilvl="2">
        <w:start w:val="5"/>
        <w:numFmt w:val="decimal"/>
        <w:suff w:val="space"/>
        <w:lvlText w:val="%1.33.2"/>
        <w:lvlJc w:val="left"/>
        <w:pPr>
          <w:ind w:left="720" w:hanging="720"/>
        </w:pPr>
        <w:rPr>
          <w:rFonts w:hint="default"/>
          <w:b/>
        </w:rPr>
      </w:lvl>
    </w:lvlOverride>
    <w:lvlOverride w:ilvl="3">
      <w:lvl w:ilvl="3">
        <w:start w:val="1"/>
        <w:numFmt w:val="decimal"/>
        <w:lvlRestart w:val="0"/>
        <w:suff w:val="space"/>
        <w:lvlText w:val="%1.%2.5.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60">
    <w:abstractNumId w:val="83"/>
  </w:num>
  <w:num w:numId="61">
    <w:abstractNumId w:val="81"/>
  </w:num>
  <w:num w:numId="62">
    <w:abstractNumId w:val="176"/>
  </w:num>
  <w:num w:numId="63">
    <w:abstractNumId w:val="109"/>
  </w:num>
  <w:num w:numId="64">
    <w:abstractNumId w:val="77"/>
  </w:num>
  <w:num w:numId="65">
    <w:abstractNumId w:val="196"/>
  </w:num>
  <w:num w:numId="66">
    <w:abstractNumId w:val="146"/>
  </w:num>
  <w:num w:numId="67">
    <w:abstractNumId w:val="163"/>
  </w:num>
  <w:num w:numId="68">
    <w:abstractNumId w:val="86"/>
  </w:num>
  <w:num w:numId="69">
    <w:abstractNumId w:val="107"/>
  </w:num>
  <w:num w:numId="70">
    <w:abstractNumId w:val="153"/>
  </w:num>
  <w:num w:numId="71">
    <w:abstractNumId w:val="151"/>
  </w:num>
  <w:num w:numId="72">
    <w:abstractNumId w:val="94"/>
  </w:num>
  <w:num w:numId="73">
    <w:abstractNumId w:val="48"/>
  </w:num>
  <w:num w:numId="74">
    <w:abstractNumId w:val="95"/>
  </w:num>
  <w:num w:numId="75">
    <w:abstractNumId w:val="10"/>
  </w:num>
  <w:num w:numId="76">
    <w:abstractNumId w:val="11"/>
  </w:num>
  <w:num w:numId="77">
    <w:abstractNumId w:val="12"/>
  </w:num>
  <w:num w:numId="78">
    <w:abstractNumId w:val="13"/>
  </w:num>
  <w:num w:numId="79">
    <w:abstractNumId w:val="14"/>
  </w:num>
  <w:num w:numId="80">
    <w:abstractNumId w:val="15"/>
  </w:num>
  <w:num w:numId="81">
    <w:abstractNumId w:val="198"/>
  </w:num>
  <w:num w:numId="82">
    <w:abstractNumId w:val="16"/>
  </w:num>
  <w:num w:numId="83">
    <w:abstractNumId w:val="17"/>
  </w:num>
  <w:num w:numId="84">
    <w:abstractNumId w:val="194"/>
  </w:num>
  <w:num w:numId="85">
    <w:abstractNumId w:val="38"/>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46"/>
        <w:numFmt w:val="decimal"/>
        <w:suff w:val="space"/>
        <w:lvlText w:val="%1.%2.%3.%4"/>
        <w:lvlJc w:val="left"/>
        <w:pPr>
          <w:ind w:left="720" w:hanging="720"/>
        </w:pPr>
        <w:rPr>
          <w:rFonts w:hint="default"/>
          <w:b/>
        </w:rPr>
      </w:lvl>
    </w:lvlOverride>
    <w:lvlOverride w:ilvl="4">
      <w:lvl w:ilvl="4">
        <w:start w:val="1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6">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1"/>
        <w:lvlJc w:val="left"/>
        <w:pPr>
          <w:ind w:left="720" w:hanging="720"/>
        </w:pPr>
        <w:rPr>
          <w:rFonts w:hint="default"/>
          <w:b/>
        </w:rPr>
      </w:lvl>
    </w:lvlOverride>
    <w:lvlOverride w:ilvl="4">
      <w:lvl w:ilvl="4">
        <w:start w:val="1"/>
        <w:numFmt w:val="decimal"/>
        <w:suff w:val="space"/>
        <w:lvlText w:val="%1.%2.3.1.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7">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4"/>
        <w:lvlJc w:val="left"/>
        <w:pPr>
          <w:ind w:left="720" w:hanging="720"/>
        </w:pPr>
        <w:rPr>
          <w:rFonts w:hint="default"/>
          <w:b/>
        </w:rPr>
      </w:lvl>
    </w:lvlOverride>
    <w:lvlOverride w:ilvl="3">
      <w:lvl w:ilvl="3">
        <w:start w:val="1"/>
        <w:numFmt w:val="none"/>
        <w:suff w:val="space"/>
        <w:lvlText w:val="11.1.3.3."/>
        <w:lvlJc w:val="left"/>
        <w:pPr>
          <w:ind w:left="720" w:hanging="720"/>
        </w:pPr>
        <w:rPr>
          <w:rFonts w:hint="default"/>
          <w:b/>
        </w:rPr>
      </w:lvl>
    </w:lvlOverride>
    <w:lvlOverride w:ilvl="4">
      <w:lvl w:ilvl="4">
        <w:start w:val="1"/>
        <w:numFmt w:val="none"/>
        <w:suff w:val="space"/>
        <w:lvlText w:val="11.1.3.3.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8">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none"/>
        <w:suff w:val="space"/>
        <w:lvlText w:val="11.1.6"/>
        <w:lvlJc w:val="left"/>
        <w:pPr>
          <w:ind w:left="720" w:hanging="720"/>
        </w:pPr>
        <w:rPr>
          <w:rFonts w:hint="default"/>
          <w:b/>
        </w:rPr>
      </w:lvl>
    </w:lvlOverride>
    <w:lvlOverride w:ilvl="3">
      <w:lvl w:ilvl="3">
        <w:start w:val="1"/>
        <w:numFmt w:val="none"/>
        <w:suff w:val="space"/>
        <w:lvlText w:val="11.1.3.3."/>
        <w:lvlJc w:val="left"/>
        <w:pPr>
          <w:ind w:left="720" w:hanging="720"/>
        </w:pPr>
        <w:rPr>
          <w:rFonts w:hint="default"/>
          <w:b/>
        </w:rPr>
      </w:lvl>
    </w:lvlOverride>
    <w:lvlOverride w:ilvl="4">
      <w:lvl w:ilvl="4">
        <w:start w:val="1"/>
        <w:numFmt w:val="none"/>
        <w:suff w:val="space"/>
        <w:lvlText w:val="11.1.3.3.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9">
    <w:abstractNumId w:val="85"/>
  </w:num>
  <w:num w:numId="90">
    <w:abstractNumId w:val="88"/>
  </w:num>
  <w:num w:numId="91">
    <w:abstractNumId w:val="112"/>
  </w:num>
  <w:num w:numId="92">
    <w:abstractNumId w:val="137"/>
  </w:num>
  <w:num w:numId="93">
    <w:abstractNumId w:val="182"/>
  </w:num>
  <w:num w:numId="94">
    <w:abstractNumId w:val="134"/>
  </w:num>
  <w:num w:numId="95">
    <w:abstractNumId w:val="159"/>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30"/>
        <w:lvlJc w:val="left"/>
        <w:pPr>
          <w:tabs>
            <w:tab w:val="num" w:pos="540"/>
          </w:tabs>
          <w:ind w:left="540" w:hanging="540"/>
        </w:pPr>
        <w:rPr>
          <w:rFonts w:hint="default"/>
          <w:b/>
        </w:rPr>
      </w:lvl>
    </w:lvlOverride>
    <w:lvlOverride w:ilvl="2">
      <w:lvl w:ilvl="2">
        <w:start w:val="7"/>
        <w:numFmt w:val="decimal"/>
        <w:suff w:val="space"/>
        <w:lvlText w:val="%1.%2.%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6">
    <w:abstractNumId w:val="64"/>
    <w:lvlOverride w:ilvl="0">
      <w:lvl w:ilvl="0">
        <w:start w:val="11"/>
        <w:numFmt w:val="decimal"/>
        <w:lvlText w:val="%1"/>
        <w:lvlJc w:val="left"/>
        <w:pPr>
          <w:tabs>
            <w:tab w:val="num" w:pos="540"/>
          </w:tabs>
          <w:ind w:left="540" w:hanging="540"/>
        </w:pPr>
        <w:rPr>
          <w:rFonts w:hint="default"/>
          <w:b/>
        </w:rPr>
      </w:lvl>
    </w:lvlOverride>
    <w:lvlOverride w:ilvl="1">
      <w:lvl w:ilvl="1">
        <w:start w:val="19"/>
        <w:numFmt w:val="decimal"/>
        <w:lvlText w:val="%1.%2"/>
        <w:lvlJc w:val="left"/>
        <w:pPr>
          <w:tabs>
            <w:tab w:val="num" w:pos="540"/>
          </w:tabs>
          <w:ind w:left="540" w:hanging="540"/>
        </w:pPr>
        <w:rPr>
          <w:rFonts w:hint="default"/>
          <w:b/>
        </w:rPr>
      </w:lvl>
    </w:lvlOverride>
    <w:lvlOverride w:ilvl="2">
      <w:lvl w:ilvl="2">
        <w:start w:val="1"/>
        <w:numFmt w:val="decimal"/>
        <w:suff w:val="space"/>
        <w:lvlText w:val="%1.30.%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7">
    <w:abstractNumId w:val="64"/>
    <w:lvlOverride w:ilvl="0">
      <w:lvl w:ilvl="0">
        <w:start w:val="11"/>
        <w:numFmt w:val="decimal"/>
        <w:lvlText w:val="%1"/>
        <w:lvlJc w:val="left"/>
        <w:pPr>
          <w:tabs>
            <w:tab w:val="num" w:pos="540"/>
          </w:tabs>
          <w:ind w:left="540" w:hanging="540"/>
        </w:pPr>
        <w:rPr>
          <w:rFonts w:hint="default"/>
          <w:b/>
        </w:rPr>
      </w:lvl>
    </w:lvlOverride>
    <w:lvlOverride w:ilvl="1">
      <w:lvl w:ilvl="1">
        <w:start w:val="19"/>
        <w:numFmt w:val="decimal"/>
        <w:lvlText w:val="%1.%2"/>
        <w:lvlJc w:val="left"/>
        <w:pPr>
          <w:tabs>
            <w:tab w:val="num" w:pos="540"/>
          </w:tabs>
          <w:ind w:left="540" w:hanging="540"/>
        </w:pPr>
        <w:rPr>
          <w:rFonts w:hint="default"/>
          <w:b/>
        </w:rPr>
      </w:lvl>
    </w:lvlOverride>
    <w:lvlOverride w:ilvl="2">
      <w:lvl w:ilvl="2">
        <w:start w:val="1"/>
        <w:numFmt w:val="decimal"/>
        <w:lvlRestart w:val="0"/>
        <w:suff w:val="space"/>
        <w:lvlText w:val="%1.30.%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8">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1.%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9">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none"/>
        <w:lvlText w:val="11.3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0">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1">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2">
    <w:abstractNumId w:val="161"/>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3">
    <w:abstractNumId w:val="179"/>
  </w:num>
  <w:num w:numId="104">
    <w:abstractNumId w:val="90"/>
    <w:lvlOverride w:ilvl="0">
      <w:lvl w:ilvl="0">
        <w:start w:val="11"/>
        <w:numFmt w:val="decimal"/>
        <w:lvlText w:val="%1"/>
        <w:lvlJc w:val="left"/>
        <w:pPr>
          <w:tabs>
            <w:tab w:val="num" w:pos="540"/>
          </w:tabs>
          <w:ind w:left="540" w:hanging="540"/>
        </w:pPr>
        <w:rPr>
          <w:rFonts w:hint="default"/>
          <w:b/>
        </w:rPr>
      </w:lvl>
    </w:lvlOverride>
    <w:lvlOverride w:ilvl="1">
      <w:lvl w:ilvl="1">
        <w:start w:val="25"/>
        <w:numFmt w:val="decimal"/>
        <w:lvlText w:val="%1.26"/>
        <w:lvlJc w:val="left"/>
        <w:pPr>
          <w:tabs>
            <w:tab w:val="num" w:pos="540"/>
          </w:tabs>
          <w:ind w:left="540" w:hanging="540"/>
        </w:pPr>
        <w:rPr>
          <w:rFonts w:hint="default"/>
          <w:b/>
        </w:rPr>
      </w:lvl>
    </w:lvlOverride>
    <w:lvlOverride w:ilvl="2">
      <w:lvl w:ilvl="2">
        <w:start w:val="1"/>
        <w:numFmt w:val="decimal"/>
        <w:lvlRestart w:val="0"/>
        <w:suff w:val="space"/>
        <w:lvlText w:val="%1.34.%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5">
    <w:abstractNumId w:val="72"/>
    <w:lvlOverride w:ilvl="0">
      <w:lvl w:ilvl="0">
        <w:start w:val="9"/>
        <w:numFmt w:val="decimal"/>
        <w:lvlText w:val="%1"/>
        <w:lvlJc w:val="left"/>
        <w:pPr>
          <w:tabs>
            <w:tab w:val="num" w:pos="540"/>
          </w:tabs>
          <w:ind w:left="540" w:hanging="540"/>
        </w:pPr>
        <w:rPr>
          <w:rFonts w:hint="default"/>
          <w:b/>
        </w:rPr>
      </w:lvl>
    </w:lvlOverride>
    <w:lvlOverride w:ilvl="1">
      <w:lvl w:ilvl="1">
        <w:start w:val="23"/>
        <w:numFmt w:val="none"/>
        <w:lvlRestart w:val="0"/>
        <w:lvlText w:val="11.35"/>
        <w:lvlJc w:val="left"/>
        <w:pPr>
          <w:tabs>
            <w:tab w:val="num" w:pos="540"/>
          </w:tabs>
          <w:ind w:left="540" w:hanging="540"/>
        </w:pPr>
        <w:rPr>
          <w:rFonts w:hint="default"/>
          <w:b/>
        </w:rPr>
      </w:lvl>
    </w:lvlOverride>
    <w:lvlOverride w:ilvl="2">
      <w:lvl w:ilvl="2">
        <w:start w:val="5"/>
        <w:numFmt w:val="decimal"/>
        <w:suff w:val="space"/>
        <w:lvlText w:val="%1.%2.%3"/>
        <w:lvlJc w:val="left"/>
        <w:pPr>
          <w:ind w:left="720" w:hanging="720"/>
        </w:pPr>
        <w:rPr>
          <w:rFonts w:hint="default"/>
          <w:b/>
        </w:rPr>
      </w:lvl>
    </w:lvlOverride>
    <w:lvlOverride w:ilvl="3">
      <w:lvl w:ilvl="3">
        <w:start w:val="7"/>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6">
    <w:abstractNumId w:val="18"/>
  </w:num>
  <w:num w:numId="107">
    <w:abstractNumId w:val="42"/>
    <w:lvlOverride w:ilvl="0">
      <w:lvl w:ilvl="0">
        <w:start w:val="7"/>
        <w:numFmt w:val="decimal"/>
        <w:lvlText w:val="%1"/>
        <w:lvlJc w:val="left"/>
        <w:pPr>
          <w:tabs>
            <w:tab w:val="num" w:pos="540"/>
          </w:tabs>
          <w:ind w:left="540" w:hanging="540"/>
        </w:pPr>
        <w:rPr>
          <w:rFonts w:hint="default"/>
          <w:b/>
        </w:rPr>
      </w:lvl>
    </w:lvlOverride>
    <w:lvlOverride w:ilvl="1">
      <w:lvl w:ilvl="1">
        <w:start w:val="2"/>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2"/>
        <w:numFmt w:val="none"/>
        <w:suff w:val="space"/>
        <w:lvlText w:val="7.2.3.4"/>
        <w:lvlJc w:val="left"/>
        <w:pPr>
          <w:ind w:left="720" w:hanging="720"/>
        </w:pPr>
        <w:rPr>
          <w:rFonts w:hint="default"/>
          <w:b/>
        </w:rPr>
      </w:lvl>
    </w:lvlOverride>
    <w:lvlOverride w:ilvl="4">
      <w:lvl w:ilvl="4">
        <w:start w:val="3"/>
        <w:numFmt w:val="decimal"/>
        <w:lvlRestart w:val="0"/>
        <w:suff w:val="space"/>
        <w:lvlText w:val="%1.%2.%3.%4.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8">
    <w:abstractNumId w:val="204"/>
    <w:lvlOverride w:ilvl="0">
      <w:lvl w:ilvl="0">
        <w:start w:val="9"/>
        <w:numFmt w:val="decimal"/>
        <w:lvlText w:val="%1"/>
        <w:lvlJc w:val="left"/>
        <w:pPr>
          <w:tabs>
            <w:tab w:val="num" w:pos="540"/>
          </w:tabs>
          <w:ind w:left="540" w:hanging="540"/>
        </w:pPr>
        <w:rPr>
          <w:rFonts w:hint="default"/>
          <w:b/>
        </w:rPr>
      </w:lvl>
    </w:lvlOverride>
    <w:lvlOverride w:ilvl="1">
      <w:lvl w:ilvl="1">
        <w:start w:val="24"/>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9"/>
        <w:numFmt w:val="decimal"/>
        <w:suff w:val="space"/>
        <w:lvlText w:val="%1.%2.%3.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9">
    <w:abstractNumId w:val="60"/>
  </w:num>
  <w:num w:numId="110">
    <w:abstractNumId w:val="140"/>
  </w:num>
  <w:num w:numId="111">
    <w:abstractNumId w:val="71"/>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2">
    <w:abstractNumId w:val="20"/>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6"/>
        <w:lvlJc w:val="left"/>
        <w:pPr>
          <w:tabs>
            <w:tab w:val="num" w:pos="540"/>
          </w:tabs>
          <w:ind w:left="540" w:hanging="540"/>
        </w:pPr>
        <w:rPr>
          <w:rFonts w:hint="default"/>
          <w:b/>
        </w:rPr>
      </w:lvl>
    </w:lvlOverride>
    <w:lvlOverride w:ilvl="2">
      <w:lvl w:ilvl="2">
        <w:start w:val="7"/>
        <w:numFmt w:val="none"/>
        <w:suff w:val="space"/>
        <w:lvlText w:val="9.6.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3">
    <w:abstractNumId w:val="55"/>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1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4">
    <w:abstractNumId w:val="145"/>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7"/>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5">
    <w:abstractNumId w:val="8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6">
    <w:abstractNumId w:val="138"/>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4"/>
        <w:lvlJc w:val="left"/>
        <w:pPr>
          <w:tabs>
            <w:tab w:val="num" w:pos="540"/>
          </w:tabs>
          <w:ind w:left="540" w:hanging="540"/>
        </w:pPr>
        <w:rPr>
          <w:rFonts w:hint="default"/>
          <w:b/>
        </w:rPr>
      </w:lvl>
    </w:lvlOverride>
    <w:lvlOverride w:ilvl="2">
      <w:lvl w:ilvl="2">
        <w:start w:val="7"/>
        <w:numFmt w:val="none"/>
        <w:suff w:val="space"/>
        <w:lvlText w:val="9.6.1"/>
        <w:lvlJc w:val="left"/>
        <w:pPr>
          <w:ind w:left="720" w:hanging="720"/>
        </w:pPr>
        <w:rPr>
          <w:rFonts w:hint="default"/>
          <w:b/>
        </w:rPr>
      </w:lvl>
    </w:lvlOverride>
    <w:lvlOverride w:ilvl="3">
      <w:lvl w:ilvl="3">
        <w:start w:val="1"/>
        <w:numFmt w:val="none"/>
        <w:suff w:val="space"/>
        <w:lvlText w:val="9.2.5.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7">
    <w:abstractNumId w:val="130"/>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lvlRestart w:val="0"/>
        <w:suff w:val="space"/>
        <w:lvlText w:val="9.2.5.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8">
    <w:abstractNumId w:val="20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lvlRestart w:val="0"/>
        <w:suff w:val="space"/>
        <w:lvlText w:val="9.2.5.2"/>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9">
    <w:abstractNumId w:val="30"/>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lvlRestart w:val="0"/>
        <w:suff w:val="space"/>
        <w:lvlText w:val="9.2.5.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0">
    <w:abstractNumId w:val="26"/>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5"/>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1">
    <w:abstractNumId w:val="2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2">
    <w:abstractNumId w:val="133"/>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3">
    <w:abstractNumId w:val="158"/>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6"/>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4">
    <w:abstractNumId w:val="5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5">
    <w:abstractNumId w:val="147"/>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6">
    <w:abstractNumId w:val="17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3"/>
        <w:lvlJc w:val="left"/>
        <w:pPr>
          <w:ind w:left="720" w:hanging="720"/>
        </w:pPr>
        <w:rPr>
          <w:rFonts w:hint="default"/>
          <w:b/>
        </w:rPr>
      </w:lvl>
    </w:lvlOverride>
    <w:lvlOverride w:ilvl="3">
      <w:lvl w:ilvl="3">
        <w:start w:val="1"/>
        <w:numFmt w:val="none"/>
        <w:lvlRestart w:val="0"/>
        <w:suff w:val="space"/>
        <w:lvlText w:val="9.2.3.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7">
    <w:abstractNumId w:val="122"/>
    <w:lvlOverride w:ilvl="0">
      <w:lvl w:ilvl="0">
        <w:start w:val="9"/>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7"/>
        <w:numFmt w:val="decimal"/>
        <w:suff w:val="space"/>
        <w:lvlText w:val="%1.%2.5"/>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8">
    <w:abstractNumId w:val="193"/>
    <w:lvlOverride w:ilvl="0">
      <w:lvl w:ilvl="0">
        <w:start w:val="7"/>
        <w:numFmt w:val="decimal"/>
        <w:lvlText w:val="%1"/>
        <w:lvlJc w:val="left"/>
        <w:pPr>
          <w:tabs>
            <w:tab w:val="num" w:pos="540"/>
          </w:tabs>
          <w:ind w:left="540" w:hanging="540"/>
        </w:pPr>
        <w:rPr>
          <w:rFonts w:hint="default"/>
          <w:b/>
        </w:rPr>
      </w:lvl>
    </w:lvlOverride>
    <w:lvlOverride w:ilvl="1">
      <w:lvl w:ilvl="1">
        <w:start w:val="2"/>
        <w:numFmt w:val="decimal"/>
        <w:lvlText w:val="%1.3"/>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Override>
    <w:lvlOverride w:ilvl="3">
      <w:lvl w:ilvl="3">
        <w:start w:val="2"/>
        <w:numFmt w:val="decimal"/>
        <w:suff w:val="space"/>
        <w:lvlText w:val="%1.%2.%3.%4"/>
        <w:lvlJc w:val="left"/>
        <w:pPr>
          <w:ind w:left="720" w:hanging="720"/>
        </w:pPr>
        <w:rPr>
          <w:rFonts w:hint="default"/>
          <w:b/>
          <w:i w:val="0"/>
          <w:strike w:val="0"/>
          <w:em w:val="none"/>
        </w:rPr>
      </w:lvl>
    </w:lvlOverride>
    <w:lvlOverride w:ilvl="4">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9">
    <w:abstractNumId w:val="41"/>
  </w:num>
  <w:num w:numId="130">
    <w:abstractNumId w:val="47"/>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2"/>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1">
    <w:abstractNumId w:val="47"/>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2">
    <w:abstractNumId w:val="47"/>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3">
    <w:abstractNumId w:val="123"/>
  </w:num>
  <w:num w:numId="134">
    <w:abstractNumId w:val="123"/>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none"/>
        <w:lvlRestart w:val="0"/>
        <w:suff w:val="space"/>
        <w:lvlText w:val="21.2.1"/>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5">
    <w:abstractNumId w:val="123"/>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none"/>
        <w:lvlRestart w:val="0"/>
        <w:suff w:val="space"/>
        <w:lvlText w:val="21.2.2"/>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6">
    <w:abstractNumId w:val="205"/>
  </w:num>
  <w:num w:numId="137">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2"/>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8">
    <w:abstractNumId w:val="38"/>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9">
    <w:abstractNumId w:val="198"/>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8.%2"/>
        <w:lvlJc w:val="left"/>
        <w:pPr>
          <w:tabs>
            <w:tab w:val="num" w:pos="540"/>
          </w:tabs>
          <w:ind w:left="540" w:hanging="540"/>
        </w:pPr>
        <w:rPr>
          <w:rFonts w:hint="default"/>
          <w:b/>
        </w:rPr>
      </w:lvl>
    </w:lvlOverride>
    <w:lvlOverride w:ilvl="2">
      <w:lvl w:ilvl="2">
        <w:start w:val="2"/>
        <w:numFmt w:val="none"/>
        <w:suff w:val="space"/>
        <w:lvlText w:val="8.3.1"/>
        <w:lvlJc w:val="left"/>
        <w:pPr>
          <w:ind w:left="720" w:hanging="720"/>
        </w:pPr>
        <w:rPr>
          <w:rFonts w:hint="default"/>
          <w:b/>
        </w:rPr>
      </w:lvl>
    </w:lvlOverride>
    <w:lvlOverride w:ilvl="3">
      <w:lvl w:ilvl="3">
        <w:start w:val="30"/>
        <w:numFmt w:val="decimal"/>
        <w:suff w:val="space"/>
        <w:lvlText w:val="%1.%2.%3.25"/>
        <w:lvlJc w:val="left"/>
        <w:pPr>
          <w:ind w:left="720" w:hanging="720"/>
        </w:pPr>
        <w:rPr>
          <w:rFonts w:hint="default"/>
          <w:b/>
        </w:rPr>
      </w:lvl>
    </w:lvlOverride>
    <w:lvlOverride w:ilvl="4">
      <w:lvl w:ilvl="4">
        <w:start w:val="1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40">
    <w:abstractNumId w:val="186"/>
  </w:num>
  <w:num w:numId="141">
    <w:abstractNumId w:val="128"/>
  </w:num>
  <w:num w:numId="142">
    <w:abstractNumId w:val="105"/>
  </w:num>
  <w:num w:numId="143">
    <w:abstractNumId w:val="87"/>
  </w:num>
  <w:num w:numId="144">
    <w:abstractNumId w:val="101"/>
  </w:num>
  <w:num w:numId="145">
    <w:abstractNumId w:val="101"/>
    <w:lvlOverride w:ilvl="0">
      <w:lvl w:ilvl="0">
        <w:start w:val="8"/>
        <w:numFmt w:val="decimal"/>
        <w:lvlText w:val="%1"/>
        <w:lvlJc w:val="left"/>
        <w:pPr>
          <w:tabs>
            <w:tab w:val="num" w:pos="930"/>
          </w:tabs>
          <w:ind w:left="930" w:hanging="930"/>
        </w:pPr>
        <w:rPr>
          <w:rFonts w:eastAsia="MS Mincho" w:hint="default"/>
        </w:rPr>
      </w:lvl>
    </w:lvlOverride>
    <w:lvlOverride w:ilvl="1">
      <w:lvl w:ilvl="1">
        <w:start w:val="4"/>
        <w:numFmt w:val="decimal"/>
        <w:lvlText w:val="%1.%2"/>
        <w:lvlJc w:val="left"/>
        <w:pPr>
          <w:tabs>
            <w:tab w:val="num" w:pos="930"/>
          </w:tabs>
          <w:ind w:left="930" w:hanging="930"/>
        </w:pPr>
        <w:rPr>
          <w:rFonts w:eastAsia="MS Mincho" w:hint="default"/>
        </w:rPr>
      </w:lvl>
    </w:lvlOverride>
    <w:lvlOverride w:ilvl="2">
      <w:lvl w:ilvl="2">
        <w:start w:val="1"/>
        <w:numFmt w:val="decimal"/>
        <w:lvlText w:val="%1.%2.%3"/>
        <w:lvlJc w:val="left"/>
        <w:pPr>
          <w:tabs>
            <w:tab w:val="num" w:pos="930"/>
          </w:tabs>
          <w:ind w:left="930" w:hanging="930"/>
        </w:pPr>
        <w:rPr>
          <w:rFonts w:eastAsia="MS Mincho" w:hint="default"/>
        </w:rPr>
      </w:lvl>
    </w:lvlOverride>
    <w:lvlOverride w:ilvl="3">
      <w:lvl w:ilvl="3">
        <w:start w:val="1"/>
        <w:numFmt w:val="decimal"/>
        <w:lvlText w:val="%1.%2.%3.%4"/>
        <w:lvlJc w:val="left"/>
        <w:pPr>
          <w:tabs>
            <w:tab w:val="num" w:pos="1080"/>
          </w:tabs>
          <w:ind w:left="1080" w:hanging="1080"/>
        </w:pPr>
        <w:rPr>
          <w:rFonts w:eastAsia="MS Mincho" w:hint="default"/>
        </w:rPr>
      </w:lvl>
    </w:lvlOverride>
    <w:lvlOverride w:ilvl="4">
      <w:lvl w:ilvl="4">
        <w:start w:val="2"/>
        <w:numFmt w:val="decimal"/>
        <w:lvlText w:val="%1.%2.%3.%4.5"/>
        <w:lvlJc w:val="left"/>
        <w:pPr>
          <w:tabs>
            <w:tab w:val="num" w:pos="1080"/>
          </w:tabs>
          <w:ind w:left="1080" w:hanging="1080"/>
        </w:pPr>
        <w:rPr>
          <w:rFonts w:eastAsia="MS Mincho" w:hint="default"/>
        </w:rPr>
      </w:lvl>
    </w:lvlOverride>
    <w:lvlOverride w:ilvl="5">
      <w:lvl w:ilvl="5">
        <w:start w:val="1"/>
        <w:numFmt w:val="decimal"/>
        <w:lvlText w:val="%1.%2.%3.%4.%5.%6"/>
        <w:lvlJc w:val="left"/>
        <w:pPr>
          <w:tabs>
            <w:tab w:val="num" w:pos="1440"/>
          </w:tabs>
          <w:ind w:left="1440" w:hanging="1440"/>
        </w:pPr>
        <w:rPr>
          <w:rFonts w:eastAsia="MS Mincho" w:hint="default"/>
        </w:rPr>
      </w:lvl>
    </w:lvlOverride>
    <w:lvlOverride w:ilvl="6">
      <w:lvl w:ilvl="6">
        <w:start w:val="1"/>
        <w:numFmt w:val="decimal"/>
        <w:lvlText w:val="%1.%2.%3.%4.%5.%6.%7"/>
        <w:lvlJc w:val="left"/>
        <w:pPr>
          <w:tabs>
            <w:tab w:val="num" w:pos="1440"/>
          </w:tabs>
          <w:ind w:left="1440" w:hanging="1440"/>
        </w:pPr>
        <w:rPr>
          <w:rFonts w:eastAsia="MS Mincho" w:hint="default"/>
        </w:rPr>
      </w:lvl>
    </w:lvlOverride>
    <w:lvlOverride w:ilvl="7">
      <w:lvl w:ilvl="7">
        <w:start w:val="1"/>
        <w:numFmt w:val="decimal"/>
        <w:lvlText w:val="%1.%2.%3.%4.%5.%6.%7.%8"/>
        <w:lvlJc w:val="left"/>
        <w:pPr>
          <w:tabs>
            <w:tab w:val="num" w:pos="1800"/>
          </w:tabs>
          <w:ind w:left="1800" w:hanging="1800"/>
        </w:pPr>
        <w:rPr>
          <w:rFonts w:eastAsia="MS Mincho" w:hint="default"/>
        </w:rPr>
      </w:lvl>
    </w:lvlOverride>
    <w:lvlOverride w:ilvl="8">
      <w:lvl w:ilvl="8">
        <w:start w:val="1"/>
        <w:numFmt w:val="decimal"/>
        <w:lvlText w:val="%1.%2.%3.%4.%5.%6.%7.%8.%9"/>
        <w:lvlJc w:val="left"/>
        <w:pPr>
          <w:tabs>
            <w:tab w:val="num" w:pos="1800"/>
          </w:tabs>
          <w:ind w:left="1800" w:hanging="1800"/>
        </w:pPr>
        <w:rPr>
          <w:rFonts w:eastAsia="MS Mincho" w:hint="default"/>
        </w:rPr>
      </w:lvl>
    </w:lvlOverride>
  </w:num>
  <w:num w:numId="146">
    <w:abstractNumId w:val="143"/>
  </w:num>
  <w:num w:numId="147">
    <w:abstractNumId w:val="25"/>
  </w:num>
  <w:num w:numId="148">
    <w:abstractNumId w:val="203"/>
  </w:num>
  <w:num w:numId="149">
    <w:abstractNumId w:val="27"/>
  </w:num>
  <w:num w:numId="150">
    <w:abstractNumId w:val="189"/>
  </w:num>
  <w:num w:numId="151">
    <w:abstractNumId w:val="68"/>
  </w:num>
  <w:num w:numId="152">
    <w:abstractNumId w:val="152"/>
  </w:num>
  <w:num w:numId="153">
    <w:abstractNumId w:val="91"/>
  </w:num>
  <w:num w:numId="154">
    <w:abstractNumId w:val="141"/>
  </w:num>
  <w:num w:numId="155">
    <w:abstractNumId w:val="119"/>
  </w:num>
  <w:num w:numId="156">
    <w:abstractNumId w:val="132"/>
  </w:num>
  <w:num w:numId="157">
    <w:abstractNumId w:val="66"/>
  </w:num>
  <w:num w:numId="158">
    <w:abstractNumId w:val="144"/>
  </w:num>
  <w:num w:numId="159">
    <w:abstractNumId w:val="25"/>
    <w:lvlOverride w:ilvl="0">
      <w:lvl w:ilvl="0">
        <w:start w:val="8"/>
        <w:numFmt w:val="decimal"/>
        <w:lvlText w:val="%1"/>
        <w:lvlJc w:val="left"/>
        <w:pPr>
          <w:tabs>
            <w:tab w:val="num" w:pos="525"/>
          </w:tabs>
          <w:ind w:left="525" w:hanging="525"/>
        </w:pPr>
        <w:rPr>
          <w:rFonts w:hint="default"/>
        </w:rPr>
      </w:lvl>
    </w:lvlOverride>
    <w:lvlOverride w:ilvl="1">
      <w:lvl w:ilvl="1">
        <w:start w:val="5"/>
        <w:numFmt w:val="decimal"/>
        <w:lvlText w:val="%1.%2"/>
        <w:lvlJc w:val="left"/>
        <w:pPr>
          <w:tabs>
            <w:tab w:val="num" w:pos="525"/>
          </w:tabs>
          <w:ind w:left="525" w:hanging="525"/>
        </w:pPr>
        <w:rPr>
          <w:rFonts w:hint="default"/>
        </w:rPr>
      </w:lvl>
    </w:lvlOverride>
    <w:lvlOverride w:ilvl="2">
      <w:lvl w:ilvl="2">
        <w:start w:val="2"/>
        <w:numFmt w:val="decimal"/>
        <w:lvlText w:val="%1.7.2"/>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60">
    <w:abstractNumId w:val="25"/>
    <w:lvlOverride w:ilvl="0">
      <w:lvl w:ilvl="0">
        <w:start w:val="8"/>
        <w:numFmt w:val="decimal"/>
        <w:lvlText w:val="%1"/>
        <w:lvlJc w:val="left"/>
        <w:pPr>
          <w:tabs>
            <w:tab w:val="num" w:pos="525"/>
          </w:tabs>
          <w:ind w:left="525" w:hanging="525"/>
        </w:pPr>
        <w:rPr>
          <w:rFonts w:hint="default"/>
        </w:rPr>
      </w:lvl>
    </w:lvlOverride>
    <w:lvlOverride w:ilvl="1">
      <w:lvl w:ilvl="1">
        <w:start w:val="5"/>
        <w:numFmt w:val="decimal"/>
        <w:lvlText w:val="%1.%2"/>
        <w:lvlJc w:val="left"/>
        <w:pPr>
          <w:tabs>
            <w:tab w:val="num" w:pos="525"/>
          </w:tabs>
          <w:ind w:left="525" w:hanging="525"/>
        </w:pPr>
        <w:rPr>
          <w:rFonts w:hint="default"/>
        </w:rPr>
      </w:lvl>
    </w:lvlOverride>
    <w:lvlOverride w:ilvl="2">
      <w:lvl w:ilvl="2">
        <w:start w:val="2"/>
        <w:numFmt w:val="decimal"/>
        <w:lvlText w:val="%1.7.2"/>
        <w:lvlJc w:val="left"/>
        <w:pPr>
          <w:tabs>
            <w:tab w:val="num" w:pos="720"/>
          </w:tabs>
          <w:ind w:left="720" w:hanging="720"/>
        </w:pPr>
        <w:rPr>
          <w:rFonts w:hint="default"/>
        </w:rPr>
      </w:lvl>
    </w:lvlOverride>
    <w:lvlOverride w:ilvl="3">
      <w:lvl w:ilvl="3">
        <w:start w:val="1"/>
        <w:numFmt w:val="decimal"/>
        <w:lvlRestart w:val="0"/>
        <w:lvlText w:val="%1.7.2.3"/>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61">
    <w:abstractNumId w:val="116"/>
    <w:lvlOverride w:ilvl="0">
      <w:lvl w:ilvl="0">
        <w:start w:val="7"/>
        <w:numFmt w:val="decimal"/>
        <w:lvlText w:val="%1"/>
        <w:lvlJc w:val="left"/>
        <w:pPr>
          <w:tabs>
            <w:tab w:val="num" w:pos="855"/>
          </w:tabs>
          <w:ind w:left="855" w:hanging="855"/>
        </w:pPr>
        <w:rPr>
          <w:rFonts w:hint="default"/>
        </w:rPr>
      </w:lvl>
    </w:lvlOverride>
    <w:lvlOverride w:ilvl="1">
      <w:lvl w:ilvl="1">
        <w:start w:val="3"/>
        <w:numFmt w:val="decimal"/>
        <w:lvlText w:val="%1.%2"/>
        <w:lvlJc w:val="left"/>
        <w:pPr>
          <w:tabs>
            <w:tab w:val="num" w:pos="855"/>
          </w:tabs>
          <w:ind w:left="855" w:hanging="855"/>
        </w:pPr>
        <w:rPr>
          <w:rFonts w:hint="default"/>
        </w:rPr>
      </w:lvl>
    </w:lvlOverride>
    <w:lvlOverride w:ilvl="2">
      <w:lvl w:ilvl="2">
        <w:start w:val="2"/>
        <w:numFmt w:val="decimal"/>
        <w:lvlText w:val="%1.%2.%3"/>
        <w:lvlJc w:val="left"/>
        <w:pPr>
          <w:tabs>
            <w:tab w:val="num" w:pos="855"/>
          </w:tabs>
          <w:ind w:left="855" w:hanging="855"/>
        </w:pPr>
        <w:rPr>
          <w:rFonts w:hint="default"/>
        </w:rPr>
      </w:lvl>
    </w:lvlOverride>
    <w:lvlOverride w:ilvl="3">
      <w:lvl w:ilvl="3">
        <w:start w:val="63"/>
        <w:numFmt w:val="none"/>
        <w:lvlRestart w:val="0"/>
        <w:lvlText w:val="7.4.1.5"/>
        <w:lvlJc w:val="left"/>
        <w:pPr>
          <w:tabs>
            <w:tab w:val="num" w:pos="1080"/>
          </w:tabs>
          <w:ind w:left="1080" w:hanging="1080"/>
        </w:pPr>
        <w:rPr>
          <w:rFonts w:hint="default"/>
        </w:rPr>
      </w:lvl>
    </w:lvlOverride>
    <w:lvlOverride w:ilvl="4">
      <w:lvl w:ilvl="4">
        <w:start w:val="1"/>
        <w:numFmt w:val="decimal"/>
        <w:lvlRestart w:val="0"/>
        <w:lvlText w:val="%1.%2.%3.%425.1"/>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62">
    <w:abstractNumId w:val="63"/>
  </w:num>
  <w:num w:numId="163">
    <w:abstractNumId w:val="180"/>
  </w:num>
  <w:num w:numId="164">
    <w:abstractNumId w:val="24"/>
  </w:num>
  <w:num w:numId="165">
    <w:abstractNumId w:val="24"/>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Restart w:val="0"/>
        <w:lvlText w:val="11.31"/>
        <w:lvlJc w:val="left"/>
        <w:pPr>
          <w:tabs>
            <w:tab w:val="num" w:pos="540"/>
          </w:tabs>
          <w:ind w:left="540" w:hanging="540"/>
        </w:pPr>
        <w:rPr>
          <w:rFonts w:hint="default"/>
          <w:b/>
        </w:rPr>
      </w:lvl>
    </w:lvlOverride>
    <w:lvlOverride w:ilvl="2">
      <w:lvl w:ilvl="2">
        <w:start w:val="7"/>
        <w:numFmt w:val="none"/>
        <w:suff w:val="space"/>
        <w:lvlText w:val="9.9.1"/>
        <w:lvlJc w:val="left"/>
        <w:pPr>
          <w:ind w:left="720" w:hanging="720"/>
        </w:pPr>
        <w:rPr>
          <w:rFonts w:hint="default"/>
          <w:b/>
        </w:rPr>
      </w:lvl>
    </w:lvlOverride>
    <w:lvlOverride w:ilvl="3">
      <w:lvl w:ilvl="3">
        <w:start w:val="1"/>
        <w:numFmt w:val="none"/>
        <w:suff w:val="space"/>
        <w:lvlText w:val="9.9.1.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6">
    <w:abstractNumId w:val="29"/>
    <w:lvlOverride w:ilvl="0">
      <w:lvl w:ilvl="0">
        <w:start w:val="11"/>
        <w:numFmt w:val="decimal"/>
        <w:lvlText w:val="%1"/>
        <w:lvlJc w:val="left"/>
        <w:pPr>
          <w:tabs>
            <w:tab w:val="num" w:pos="540"/>
          </w:tabs>
          <w:ind w:left="540" w:hanging="540"/>
        </w:pPr>
        <w:rPr>
          <w:rFonts w:hint="default"/>
          <w:b/>
        </w:rPr>
      </w:lvl>
    </w:lvlOverride>
    <w:lvlOverride w:ilvl="1">
      <w:lvl w:ilvl="1">
        <w:start w:val="3"/>
        <w:numFmt w:val="decimal"/>
        <w:lvlText w:val="%1.33"/>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21"/>
        <w:numFmt w:val="decimal"/>
        <w:suff w:val="space"/>
        <w:lvlText w:val="%1.%2.%3.%4"/>
        <w:lvlJc w:val="left"/>
        <w:pPr>
          <w:ind w:left="720" w:hanging="720"/>
        </w:pPr>
        <w:rPr>
          <w:rFonts w:hint="default"/>
          <w:b/>
        </w:rPr>
      </w:lvl>
    </w:lvlOverride>
    <w:lvlOverride w:ilvl="4">
      <w:lvl w:ilvl="4">
        <w:start w:val="12"/>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7">
    <w:abstractNumId w:val="58"/>
  </w:num>
  <w:num w:numId="168">
    <w:abstractNumId w:val="32"/>
  </w:num>
  <w:num w:numId="169">
    <w:abstractNumId w:val="154"/>
  </w:num>
  <w:num w:numId="170">
    <w:abstractNumId w:val="44"/>
  </w:num>
  <w:num w:numId="171">
    <w:abstractNumId w:val="49"/>
  </w:num>
  <w:num w:numId="172">
    <w:abstractNumId w:val="9"/>
  </w:num>
  <w:num w:numId="173">
    <w:abstractNumId w:val="7"/>
  </w:num>
  <w:num w:numId="174">
    <w:abstractNumId w:val="6"/>
  </w:num>
  <w:num w:numId="175">
    <w:abstractNumId w:val="5"/>
  </w:num>
  <w:num w:numId="176">
    <w:abstractNumId w:val="4"/>
  </w:num>
  <w:num w:numId="177">
    <w:abstractNumId w:val="8"/>
  </w:num>
  <w:num w:numId="178">
    <w:abstractNumId w:val="3"/>
  </w:num>
  <w:num w:numId="179">
    <w:abstractNumId w:val="2"/>
  </w:num>
  <w:num w:numId="180">
    <w:abstractNumId w:val="1"/>
  </w:num>
  <w:num w:numId="181">
    <w:abstractNumId w:val="0"/>
  </w:num>
  <w:num w:numId="182">
    <w:abstractNumId w:val="70"/>
  </w:num>
  <w:num w:numId="183">
    <w:abstractNumId w:val="79"/>
  </w:num>
  <w:num w:numId="184">
    <w:abstractNumId w:val="102"/>
  </w:num>
  <w:num w:numId="185">
    <w:abstractNumId w:val="135"/>
  </w:num>
  <w:num w:numId="186">
    <w:abstractNumId w:val="170"/>
  </w:num>
  <w:num w:numId="187">
    <w:abstractNumId w:val="84"/>
  </w:num>
  <w:num w:numId="188">
    <w:abstractNumId w:val="98"/>
  </w:num>
  <w:num w:numId="189">
    <w:abstractNumId w:val="37"/>
  </w:num>
  <w:num w:numId="190">
    <w:abstractNumId w:val="78"/>
  </w:num>
  <w:num w:numId="191">
    <w:abstractNumId w:val="19"/>
  </w:num>
  <w:num w:numId="192">
    <w:abstractNumId w:val="54"/>
  </w:num>
  <w:num w:numId="193">
    <w:abstractNumId w:val="89"/>
  </w:num>
  <w:num w:numId="194">
    <w:abstractNumId w:val="192"/>
  </w:num>
  <w:num w:numId="195">
    <w:abstractNumId w:val="114"/>
  </w:num>
  <w:num w:numId="196">
    <w:abstractNumId w:val="150"/>
  </w:num>
  <w:num w:numId="197">
    <w:abstractNumId w:val="201"/>
  </w:num>
  <w:num w:numId="198">
    <w:abstractNumId w:val="103"/>
  </w:num>
  <w:num w:numId="199">
    <w:abstractNumId w:val="167"/>
  </w:num>
  <w:num w:numId="200">
    <w:abstractNumId w:val="195"/>
  </w:num>
  <w:num w:numId="201">
    <w:abstractNumId w:val="178"/>
  </w:num>
  <w:num w:numId="202">
    <w:abstractNumId w:val="53"/>
  </w:num>
  <w:num w:numId="203">
    <w:abstractNumId w:val="171"/>
  </w:num>
  <w:num w:numId="204">
    <w:abstractNumId w:val="45"/>
  </w:num>
  <w:num w:numId="205">
    <w:abstractNumId w:val="28"/>
  </w:num>
  <w:num w:numId="206">
    <w:abstractNumId w:val="165"/>
  </w:num>
  <w:num w:numId="207">
    <w:abstractNumId w:val="92"/>
  </w:num>
  <w:num w:numId="208">
    <w:abstractNumId w:val="181"/>
  </w:num>
  <w:num w:numId="209">
    <w:abstractNumId w:val="199"/>
  </w:num>
  <w:num w:numId="210">
    <w:abstractNumId w:val="93"/>
  </w:num>
  <w:num w:numId="211">
    <w:abstractNumId w:val="160"/>
  </w:num>
  <w:num w:numId="212">
    <w:abstractNumId w:val="113"/>
  </w:num>
  <w:num w:numId="213">
    <w:abstractNumId w:val="75"/>
  </w:num>
  <w:num w:numId="214">
    <w:abstractNumId w:val="187"/>
  </w:num>
  <w:num w:numId="215">
    <w:abstractNumId w:val="139"/>
  </w:num>
  <w:num w:numId="216">
    <w:abstractNumId w:val="169"/>
  </w:num>
  <w:num w:numId="217">
    <w:abstractNumId w:val="184"/>
  </w:num>
  <w:num w:numId="218">
    <w:abstractNumId w:val="117"/>
  </w:num>
  <w:num w:numId="2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num>
  <w:num w:numId="222">
    <w:abstractNumId w:val="177"/>
  </w:num>
  <w:num w:numId="223">
    <w:abstractNumId w:val="149"/>
  </w:num>
  <w:num w:numId="224">
    <w:abstractNumId w:val="120"/>
  </w:num>
  <w:num w:numId="225">
    <w:abstractNumId w:val="110"/>
  </w:num>
  <w:num w:numId="226">
    <w:abstractNumId w:val="164"/>
  </w:num>
  <w:num w:numId="227">
    <w:abstractNumId w:val="43"/>
  </w:num>
  <w:num w:numId="228">
    <w:abstractNumId w:val="56"/>
  </w:num>
  <w:num w:numId="229">
    <w:abstractNumId w:val="156"/>
  </w:num>
  <w:num w:numId="230">
    <w:abstractNumId w:val="69"/>
  </w:num>
  <w:num w:numId="231">
    <w:abstractNumId w:val="183"/>
  </w:num>
  <w:numIdMacAtCleanup w:val="2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6"/>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stylePaneFormatFilter w:val="0004"/>
  <w:documentProtection w:edit="trackedChanges" w:enforcement="0"/>
  <w:defaultTabStop w:val="720"/>
  <w:drawingGridHorizontalSpacing w:val="120"/>
  <w:displayHorizontalDrawingGridEvery w:val="2"/>
  <w:characterSpacingControl w:val="doNotCompress"/>
  <w:hdrShapeDefaults>
    <o:shapedefaults v:ext="edit" spidmax="150530"/>
  </w:hdrShapeDefaults>
  <w:footnotePr>
    <w:footnote w:id="-1"/>
    <w:footnote w:id="0"/>
  </w:footnotePr>
  <w:endnotePr>
    <w:endnote w:id="-1"/>
    <w:endnote w:id="0"/>
  </w:endnotePr>
  <w:compat/>
  <w:rsids>
    <w:rsidRoot w:val="00890A4A"/>
    <w:rsid w:val="000001BF"/>
    <w:rsid w:val="00000643"/>
    <w:rsid w:val="000008D5"/>
    <w:rsid w:val="000008F9"/>
    <w:rsid w:val="00000A1A"/>
    <w:rsid w:val="00000C5F"/>
    <w:rsid w:val="00000FF9"/>
    <w:rsid w:val="0000124D"/>
    <w:rsid w:val="0000163C"/>
    <w:rsid w:val="00001BE7"/>
    <w:rsid w:val="00001C5F"/>
    <w:rsid w:val="000020AA"/>
    <w:rsid w:val="000022BF"/>
    <w:rsid w:val="000025C7"/>
    <w:rsid w:val="00002FEC"/>
    <w:rsid w:val="000036A8"/>
    <w:rsid w:val="00003847"/>
    <w:rsid w:val="0000436C"/>
    <w:rsid w:val="000045EA"/>
    <w:rsid w:val="000046BD"/>
    <w:rsid w:val="00004919"/>
    <w:rsid w:val="00004A9F"/>
    <w:rsid w:val="00004CB5"/>
    <w:rsid w:val="0000500B"/>
    <w:rsid w:val="00005397"/>
    <w:rsid w:val="00005592"/>
    <w:rsid w:val="00005836"/>
    <w:rsid w:val="00005F49"/>
    <w:rsid w:val="00005FD2"/>
    <w:rsid w:val="0000638D"/>
    <w:rsid w:val="000064F7"/>
    <w:rsid w:val="00006E04"/>
    <w:rsid w:val="00006F6B"/>
    <w:rsid w:val="00007031"/>
    <w:rsid w:val="0000705B"/>
    <w:rsid w:val="000070C2"/>
    <w:rsid w:val="000072AF"/>
    <w:rsid w:val="0000761C"/>
    <w:rsid w:val="00007671"/>
    <w:rsid w:val="00007695"/>
    <w:rsid w:val="000102FE"/>
    <w:rsid w:val="000104A0"/>
    <w:rsid w:val="00010A08"/>
    <w:rsid w:val="00010C22"/>
    <w:rsid w:val="000111CE"/>
    <w:rsid w:val="00011B1C"/>
    <w:rsid w:val="00011BE3"/>
    <w:rsid w:val="00011F23"/>
    <w:rsid w:val="00011F74"/>
    <w:rsid w:val="0001228B"/>
    <w:rsid w:val="00012CAB"/>
    <w:rsid w:val="00012CCE"/>
    <w:rsid w:val="0001351C"/>
    <w:rsid w:val="0001386A"/>
    <w:rsid w:val="00013AAA"/>
    <w:rsid w:val="00013C17"/>
    <w:rsid w:val="00013E97"/>
    <w:rsid w:val="00013FD2"/>
    <w:rsid w:val="00014713"/>
    <w:rsid w:val="00014D5B"/>
    <w:rsid w:val="00015152"/>
    <w:rsid w:val="000154A9"/>
    <w:rsid w:val="00015517"/>
    <w:rsid w:val="000156FC"/>
    <w:rsid w:val="00015D53"/>
    <w:rsid w:val="00015D85"/>
    <w:rsid w:val="0001640D"/>
    <w:rsid w:val="00016547"/>
    <w:rsid w:val="0001677D"/>
    <w:rsid w:val="00016A1C"/>
    <w:rsid w:val="00017103"/>
    <w:rsid w:val="00017185"/>
    <w:rsid w:val="00017630"/>
    <w:rsid w:val="00017BFE"/>
    <w:rsid w:val="00020287"/>
    <w:rsid w:val="00020796"/>
    <w:rsid w:val="0002093A"/>
    <w:rsid w:val="00020952"/>
    <w:rsid w:val="00020BEC"/>
    <w:rsid w:val="00020E96"/>
    <w:rsid w:val="0002112C"/>
    <w:rsid w:val="0002113B"/>
    <w:rsid w:val="00021710"/>
    <w:rsid w:val="00021C0B"/>
    <w:rsid w:val="00021F06"/>
    <w:rsid w:val="00022022"/>
    <w:rsid w:val="00022151"/>
    <w:rsid w:val="000225A2"/>
    <w:rsid w:val="000229FD"/>
    <w:rsid w:val="00022C45"/>
    <w:rsid w:val="00022D1A"/>
    <w:rsid w:val="00022F6D"/>
    <w:rsid w:val="00023664"/>
    <w:rsid w:val="00023934"/>
    <w:rsid w:val="00023E9F"/>
    <w:rsid w:val="0002429F"/>
    <w:rsid w:val="0002455D"/>
    <w:rsid w:val="0002484A"/>
    <w:rsid w:val="00024964"/>
    <w:rsid w:val="00024BDB"/>
    <w:rsid w:val="00024F87"/>
    <w:rsid w:val="000254E1"/>
    <w:rsid w:val="00025869"/>
    <w:rsid w:val="0002598E"/>
    <w:rsid w:val="00025AC1"/>
    <w:rsid w:val="00026B34"/>
    <w:rsid w:val="00026F4C"/>
    <w:rsid w:val="00027517"/>
    <w:rsid w:val="0002785E"/>
    <w:rsid w:val="00027E1D"/>
    <w:rsid w:val="000307A8"/>
    <w:rsid w:val="0003084F"/>
    <w:rsid w:val="00030887"/>
    <w:rsid w:val="00030B16"/>
    <w:rsid w:val="00030B67"/>
    <w:rsid w:val="00030E49"/>
    <w:rsid w:val="00030E59"/>
    <w:rsid w:val="000312CF"/>
    <w:rsid w:val="000312EB"/>
    <w:rsid w:val="00031B4B"/>
    <w:rsid w:val="00031E7D"/>
    <w:rsid w:val="00032033"/>
    <w:rsid w:val="00032059"/>
    <w:rsid w:val="000321BC"/>
    <w:rsid w:val="000321EB"/>
    <w:rsid w:val="0003257E"/>
    <w:rsid w:val="0003270A"/>
    <w:rsid w:val="00032DD0"/>
    <w:rsid w:val="000332C7"/>
    <w:rsid w:val="000332FC"/>
    <w:rsid w:val="00033719"/>
    <w:rsid w:val="0003392B"/>
    <w:rsid w:val="00034074"/>
    <w:rsid w:val="000345E1"/>
    <w:rsid w:val="000349EB"/>
    <w:rsid w:val="00034C51"/>
    <w:rsid w:val="00034CED"/>
    <w:rsid w:val="00034F02"/>
    <w:rsid w:val="00034F7B"/>
    <w:rsid w:val="000352DE"/>
    <w:rsid w:val="000353E1"/>
    <w:rsid w:val="0003545E"/>
    <w:rsid w:val="00035FA3"/>
    <w:rsid w:val="00036049"/>
    <w:rsid w:val="00036114"/>
    <w:rsid w:val="00036477"/>
    <w:rsid w:val="00036588"/>
    <w:rsid w:val="000367F0"/>
    <w:rsid w:val="0003680C"/>
    <w:rsid w:val="000368C1"/>
    <w:rsid w:val="00036F07"/>
    <w:rsid w:val="00037221"/>
    <w:rsid w:val="00037331"/>
    <w:rsid w:val="00037473"/>
    <w:rsid w:val="000374B1"/>
    <w:rsid w:val="0003768A"/>
    <w:rsid w:val="00037A60"/>
    <w:rsid w:val="00037AD7"/>
    <w:rsid w:val="000404F9"/>
    <w:rsid w:val="00040631"/>
    <w:rsid w:val="0004087A"/>
    <w:rsid w:val="00040919"/>
    <w:rsid w:val="0004091F"/>
    <w:rsid w:val="00040B4F"/>
    <w:rsid w:val="00040D9E"/>
    <w:rsid w:val="00041214"/>
    <w:rsid w:val="000412CE"/>
    <w:rsid w:val="00041359"/>
    <w:rsid w:val="00041365"/>
    <w:rsid w:val="00041A43"/>
    <w:rsid w:val="00041B7B"/>
    <w:rsid w:val="00041CDC"/>
    <w:rsid w:val="00041E4E"/>
    <w:rsid w:val="000421D4"/>
    <w:rsid w:val="00042203"/>
    <w:rsid w:val="000422CD"/>
    <w:rsid w:val="00042366"/>
    <w:rsid w:val="000424CB"/>
    <w:rsid w:val="000425F6"/>
    <w:rsid w:val="00042B7C"/>
    <w:rsid w:val="00042C4E"/>
    <w:rsid w:val="00042CD1"/>
    <w:rsid w:val="00042D22"/>
    <w:rsid w:val="000430F3"/>
    <w:rsid w:val="000432E8"/>
    <w:rsid w:val="000433BA"/>
    <w:rsid w:val="00043A57"/>
    <w:rsid w:val="00043C7F"/>
    <w:rsid w:val="00043DD7"/>
    <w:rsid w:val="00044E63"/>
    <w:rsid w:val="00044EF8"/>
    <w:rsid w:val="00045034"/>
    <w:rsid w:val="00045397"/>
    <w:rsid w:val="00045718"/>
    <w:rsid w:val="000458E4"/>
    <w:rsid w:val="00045A4E"/>
    <w:rsid w:val="00045EFF"/>
    <w:rsid w:val="00046C70"/>
    <w:rsid w:val="00046FCB"/>
    <w:rsid w:val="00047174"/>
    <w:rsid w:val="00047828"/>
    <w:rsid w:val="00047869"/>
    <w:rsid w:val="000478F8"/>
    <w:rsid w:val="00047A84"/>
    <w:rsid w:val="00047E88"/>
    <w:rsid w:val="00050032"/>
    <w:rsid w:val="0005085D"/>
    <w:rsid w:val="00050F2A"/>
    <w:rsid w:val="00051184"/>
    <w:rsid w:val="00051A3E"/>
    <w:rsid w:val="00051A8A"/>
    <w:rsid w:val="00051DB7"/>
    <w:rsid w:val="00052554"/>
    <w:rsid w:val="0005298B"/>
    <w:rsid w:val="00052B26"/>
    <w:rsid w:val="00053DA8"/>
    <w:rsid w:val="00053DA9"/>
    <w:rsid w:val="00053EAB"/>
    <w:rsid w:val="00054020"/>
    <w:rsid w:val="000543BC"/>
    <w:rsid w:val="0005478B"/>
    <w:rsid w:val="00054839"/>
    <w:rsid w:val="0005515D"/>
    <w:rsid w:val="0005531F"/>
    <w:rsid w:val="000553BD"/>
    <w:rsid w:val="00055878"/>
    <w:rsid w:val="00055AF0"/>
    <w:rsid w:val="00056C5F"/>
    <w:rsid w:val="00056C6F"/>
    <w:rsid w:val="000572FE"/>
    <w:rsid w:val="00057495"/>
    <w:rsid w:val="0005754F"/>
    <w:rsid w:val="000579CA"/>
    <w:rsid w:val="00057A45"/>
    <w:rsid w:val="00057E40"/>
    <w:rsid w:val="000602CA"/>
    <w:rsid w:val="000602D1"/>
    <w:rsid w:val="000603B0"/>
    <w:rsid w:val="000603DD"/>
    <w:rsid w:val="000605E2"/>
    <w:rsid w:val="000605EA"/>
    <w:rsid w:val="00060658"/>
    <w:rsid w:val="000606BD"/>
    <w:rsid w:val="00060A66"/>
    <w:rsid w:val="000610CF"/>
    <w:rsid w:val="00061B65"/>
    <w:rsid w:val="00061D1E"/>
    <w:rsid w:val="00061DD6"/>
    <w:rsid w:val="00061F93"/>
    <w:rsid w:val="0006211E"/>
    <w:rsid w:val="000624DC"/>
    <w:rsid w:val="00062639"/>
    <w:rsid w:val="00062750"/>
    <w:rsid w:val="00062782"/>
    <w:rsid w:val="000627A9"/>
    <w:rsid w:val="000627BB"/>
    <w:rsid w:val="000627CF"/>
    <w:rsid w:val="0006285E"/>
    <w:rsid w:val="000633EF"/>
    <w:rsid w:val="000639D7"/>
    <w:rsid w:val="0006459C"/>
    <w:rsid w:val="000645E5"/>
    <w:rsid w:val="00064616"/>
    <w:rsid w:val="000646AC"/>
    <w:rsid w:val="000650FD"/>
    <w:rsid w:val="00065407"/>
    <w:rsid w:val="00065BE1"/>
    <w:rsid w:val="00065E8D"/>
    <w:rsid w:val="00065FD7"/>
    <w:rsid w:val="00066039"/>
    <w:rsid w:val="00066117"/>
    <w:rsid w:val="0006695F"/>
    <w:rsid w:val="00066967"/>
    <w:rsid w:val="00066CF3"/>
    <w:rsid w:val="00066F65"/>
    <w:rsid w:val="00067012"/>
    <w:rsid w:val="00067173"/>
    <w:rsid w:val="0006719A"/>
    <w:rsid w:val="00067233"/>
    <w:rsid w:val="00067402"/>
    <w:rsid w:val="00067A53"/>
    <w:rsid w:val="00067A9C"/>
    <w:rsid w:val="00067CFB"/>
    <w:rsid w:val="00067FD9"/>
    <w:rsid w:val="0007008C"/>
    <w:rsid w:val="0007036E"/>
    <w:rsid w:val="0007074C"/>
    <w:rsid w:val="0007080B"/>
    <w:rsid w:val="00070934"/>
    <w:rsid w:val="00071264"/>
    <w:rsid w:val="00071292"/>
    <w:rsid w:val="0007143E"/>
    <w:rsid w:val="0007148E"/>
    <w:rsid w:val="00071595"/>
    <w:rsid w:val="00071C5B"/>
    <w:rsid w:val="00071CCB"/>
    <w:rsid w:val="00071DC3"/>
    <w:rsid w:val="00072042"/>
    <w:rsid w:val="0007272C"/>
    <w:rsid w:val="00072841"/>
    <w:rsid w:val="00072A9C"/>
    <w:rsid w:val="00072DCF"/>
    <w:rsid w:val="00073145"/>
    <w:rsid w:val="0007345F"/>
    <w:rsid w:val="00073498"/>
    <w:rsid w:val="000734C4"/>
    <w:rsid w:val="000739AB"/>
    <w:rsid w:val="0007413B"/>
    <w:rsid w:val="0007435C"/>
    <w:rsid w:val="00074699"/>
    <w:rsid w:val="0007488E"/>
    <w:rsid w:val="00074C2F"/>
    <w:rsid w:val="00075463"/>
    <w:rsid w:val="000754C6"/>
    <w:rsid w:val="0007567B"/>
    <w:rsid w:val="000757AF"/>
    <w:rsid w:val="00075A4C"/>
    <w:rsid w:val="00075B90"/>
    <w:rsid w:val="00075DF0"/>
    <w:rsid w:val="00075F57"/>
    <w:rsid w:val="0007661B"/>
    <w:rsid w:val="00076B02"/>
    <w:rsid w:val="00076CB2"/>
    <w:rsid w:val="00076D0C"/>
    <w:rsid w:val="00077165"/>
    <w:rsid w:val="0007756C"/>
    <w:rsid w:val="0007788B"/>
    <w:rsid w:val="0007791B"/>
    <w:rsid w:val="000779AC"/>
    <w:rsid w:val="00077BE3"/>
    <w:rsid w:val="00080054"/>
    <w:rsid w:val="000801CF"/>
    <w:rsid w:val="0008032B"/>
    <w:rsid w:val="00080421"/>
    <w:rsid w:val="000806CB"/>
    <w:rsid w:val="00080A75"/>
    <w:rsid w:val="00080CCA"/>
    <w:rsid w:val="0008114C"/>
    <w:rsid w:val="0008174D"/>
    <w:rsid w:val="0008197F"/>
    <w:rsid w:val="00081CF5"/>
    <w:rsid w:val="00081E9A"/>
    <w:rsid w:val="0008234C"/>
    <w:rsid w:val="000824F2"/>
    <w:rsid w:val="00082779"/>
    <w:rsid w:val="0008307E"/>
    <w:rsid w:val="00083712"/>
    <w:rsid w:val="000837BA"/>
    <w:rsid w:val="00083817"/>
    <w:rsid w:val="000838A7"/>
    <w:rsid w:val="00083BC4"/>
    <w:rsid w:val="00083D1E"/>
    <w:rsid w:val="00083D9C"/>
    <w:rsid w:val="000848F8"/>
    <w:rsid w:val="00084976"/>
    <w:rsid w:val="00084A94"/>
    <w:rsid w:val="00084C5B"/>
    <w:rsid w:val="00084DCD"/>
    <w:rsid w:val="00085AF8"/>
    <w:rsid w:val="00085EAB"/>
    <w:rsid w:val="000861FC"/>
    <w:rsid w:val="000862D0"/>
    <w:rsid w:val="0008656B"/>
    <w:rsid w:val="00086937"/>
    <w:rsid w:val="00086AE7"/>
    <w:rsid w:val="00086DB2"/>
    <w:rsid w:val="00087B14"/>
    <w:rsid w:val="00087F8F"/>
    <w:rsid w:val="0009040F"/>
    <w:rsid w:val="000904BC"/>
    <w:rsid w:val="00090EF8"/>
    <w:rsid w:val="00091C75"/>
    <w:rsid w:val="00091E66"/>
    <w:rsid w:val="00092117"/>
    <w:rsid w:val="0009219E"/>
    <w:rsid w:val="00092583"/>
    <w:rsid w:val="000926D5"/>
    <w:rsid w:val="000926D7"/>
    <w:rsid w:val="0009311B"/>
    <w:rsid w:val="0009331E"/>
    <w:rsid w:val="00093EDE"/>
    <w:rsid w:val="000940E4"/>
    <w:rsid w:val="000944BE"/>
    <w:rsid w:val="0009466A"/>
    <w:rsid w:val="000946B0"/>
    <w:rsid w:val="000946EE"/>
    <w:rsid w:val="00094710"/>
    <w:rsid w:val="00095B69"/>
    <w:rsid w:val="00095B98"/>
    <w:rsid w:val="00095E52"/>
    <w:rsid w:val="00096039"/>
    <w:rsid w:val="00096259"/>
    <w:rsid w:val="000962D3"/>
    <w:rsid w:val="0009649D"/>
    <w:rsid w:val="000966C9"/>
    <w:rsid w:val="00096AB5"/>
    <w:rsid w:val="00097541"/>
    <w:rsid w:val="0009767A"/>
    <w:rsid w:val="000978EF"/>
    <w:rsid w:val="00097978"/>
    <w:rsid w:val="00097AFD"/>
    <w:rsid w:val="00097B5A"/>
    <w:rsid w:val="00097CE0"/>
    <w:rsid w:val="000A0288"/>
    <w:rsid w:val="000A03BB"/>
    <w:rsid w:val="000A03E3"/>
    <w:rsid w:val="000A090A"/>
    <w:rsid w:val="000A09AA"/>
    <w:rsid w:val="000A0C01"/>
    <w:rsid w:val="000A1372"/>
    <w:rsid w:val="000A137A"/>
    <w:rsid w:val="000A137B"/>
    <w:rsid w:val="000A1419"/>
    <w:rsid w:val="000A1876"/>
    <w:rsid w:val="000A1BC3"/>
    <w:rsid w:val="000A1ED7"/>
    <w:rsid w:val="000A2018"/>
    <w:rsid w:val="000A22C2"/>
    <w:rsid w:val="000A234A"/>
    <w:rsid w:val="000A264A"/>
    <w:rsid w:val="000A2A25"/>
    <w:rsid w:val="000A2A2B"/>
    <w:rsid w:val="000A2FDF"/>
    <w:rsid w:val="000A31B2"/>
    <w:rsid w:val="000A33CE"/>
    <w:rsid w:val="000A343B"/>
    <w:rsid w:val="000A345C"/>
    <w:rsid w:val="000A3511"/>
    <w:rsid w:val="000A36DB"/>
    <w:rsid w:val="000A4549"/>
    <w:rsid w:val="000A49C7"/>
    <w:rsid w:val="000A4EA9"/>
    <w:rsid w:val="000A5253"/>
    <w:rsid w:val="000A5A5D"/>
    <w:rsid w:val="000A5ED3"/>
    <w:rsid w:val="000A5F08"/>
    <w:rsid w:val="000A6146"/>
    <w:rsid w:val="000A64F5"/>
    <w:rsid w:val="000A6842"/>
    <w:rsid w:val="000A6DC9"/>
    <w:rsid w:val="000A6DEB"/>
    <w:rsid w:val="000A7078"/>
    <w:rsid w:val="000A70A0"/>
    <w:rsid w:val="000A7152"/>
    <w:rsid w:val="000A7248"/>
    <w:rsid w:val="000A7272"/>
    <w:rsid w:val="000A772D"/>
    <w:rsid w:val="000A7813"/>
    <w:rsid w:val="000A7992"/>
    <w:rsid w:val="000A79F6"/>
    <w:rsid w:val="000A7FED"/>
    <w:rsid w:val="000B0464"/>
    <w:rsid w:val="000B0482"/>
    <w:rsid w:val="000B07AB"/>
    <w:rsid w:val="000B0C54"/>
    <w:rsid w:val="000B0E91"/>
    <w:rsid w:val="000B120C"/>
    <w:rsid w:val="000B15B2"/>
    <w:rsid w:val="000B18D7"/>
    <w:rsid w:val="000B21EE"/>
    <w:rsid w:val="000B23F3"/>
    <w:rsid w:val="000B24BB"/>
    <w:rsid w:val="000B278B"/>
    <w:rsid w:val="000B2A7D"/>
    <w:rsid w:val="000B2E33"/>
    <w:rsid w:val="000B2FB7"/>
    <w:rsid w:val="000B3438"/>
    <w:rsid w:val="000B386C"/>
    <w:rsid w:val="000B3A1B"/>
    <w:rsid w:val="000B40BF"/>
    <w:rsid w:val="000B4119"/>
    <w:rsid w:val="000B4732"/>
    <w:rsid w:val="000B48E7"/>
    <w:rsid w:val="000B4C44"/>
    <w:rsid w:val="000B4CB6"/>
    <w:rsid w:val="000B518A"/>
    <w:rsid w:val="000B52DB"/>
    <w:rsid w:val="000B5355"/>
    <w:rsid w:val="000B5758"/>
    <w:rsid w:val="000B5DCA"/>
    <w:rsid w:val="000B6211"/>
    <w:rsid w:val="000B685D"/>
    <w:rsid w:val="000B6DB4"/>
    <w:rsid w:val="000B7320"/>
    <w:rsid w:val="000B7433"/>
    <w:rsid w:val="000B7CB3"/>
    <w:rsid w:val="000B7F60"/>
    <w:rsid w:val="000C0053"/>
    <w:rsid w:val="000C0194"/>
    <w:rsid w:val="000C053E"/>
    <w:rsid w:val="000C084D"/>
    <w:rsid w:val="000C086A"/>
    <w:rsid w:val="000C0E52"/>
    <w:rsid w:val="000C0E78"/>
    <w:rsid w:val="000C107E"/>
    <w:rsid w:val="000C15CF"/>
    <w:rsid w:val="000C17B6"/>
    <w:rsid w:val="000C1C55"/>
    <w:rsid w:val="000C2017"/>
    <w:rsid w:val="000C208C"/>
    <w:rsid w:val="000C2304"/>
    <w:rsid w:val="000C2671"/>
    <w:rsid w:val="000C26FA"/>
    <w:rsid w:val="000C2786"/>
    <w:rsid w:val="000C2937"/>
    <w:rsid w:val="000C2F3A"/>
    <w:rsid w:val="000C33AC"/>
    <w:rsid w:val="000C3567"/>
    <w:rsid w:val="000C3BA0"/>
    <w:rsid w:val="000C3EFF"/>
    <w:rsid w:val="000C4286"/>
    <w:rsid w:val="000C4342"/>
    <w:rsid w:val="000C439E"/>
    <w:rsid w:val="000C4F3F"/>
    <w:rsid w:val="000C52DF"/>
    <w:rsid w:val="000C56C8"/>
    <w:rsid w:val="000C5734"/>
    <w:rsid w:val="000C5811"/>
    <w:rsid w:val="000C5C7A"/>
    <w:rsid w:val="000C6055"/>
    <w:rsid w:val="000C6249"/>
    <w:rsid w:val="000C62A6"/>
    <w:rsid w:val="000C67AD"/>
    <w:rsid w:val="000C6959"/>
    <w:rsid w:val="000C6974"/>
    <w:rsid w:val="000C6CA1"/>
    <w:rsid w:val="000C7455"/>
    <w:rsid w:val="000C78DB"/>
    <w:rsid w:val="000D0047"/>
    <w:rsid w:val="000D00BC"/>
    <w:rsid w:val="000D02D4"/>
    <w:rsid w:val="000D0976"/>
    <w:rsid w:val="000D0AA4"/>
    <w:rsid w:val="000D0B99"/>
    <w:rsid w:val="000D137C"/>
    <w:rsid w:val="000D138C"/>
    <w:rsid w:val="000D18B4"/>
    <w:rsid w:val="000D1A7B"/>
    <w:rsid w:val="000D1CC2"/>
    <w:rsid w:val="000D1CE0"/>
    <w:rsid w:val="000D1DB6"/>
    <w:rsid w:val="000D1E04"/>
    <w:rsid w:val="000D1E86"/>
    <w:rsid w:val="000D20B2"/>
    <w:rsid w:val="000D20E5"/>
    <w:rsid w:val="000D2540"/>
    <w:rsid w:val="000D25FB"/>
    <w:rsid w:val="000D28F2"/>
    <w:rsid w:val="000D2976"/>
    <w:rsid w:val="000D3265"/>
    <w:rsid w:val="000D326B"/>
    <w:rsid w:val="000D3578"/>
    <w:rsid w:val="000D3F01"/>
    <w:rsid w:val="000D41C6"/>
    <w:rsid w:val="000D4250"/>
    <w:rsid w:val="000D4511"/>
    <w:rsid w:val="000D4AF1"/>
    <w:rsid w:val="000D4F39"/>
    <w:rsid w:val="000D544B"/>
    <w:rsid w:val="000D5944"/>
    <w:rsid w:val="000D64B1"/>
    <w:rsid w:val="000D6A28"/>
    <w:rsid w:val="000D6B23"/>
    <w:rsid w:val="000D6B6D"/>
    <w:rsid w:val="000D6D9B"/>
    <w:rsid w:val="000D7324"/>
    <w:rsid w:val="000D7502"/>
    <w:rsid w:val="000D761C"/>
    <w:rsid w:val="000D79A1"/>
    <w:rsid w:val="000D7AA1"/>
    <w:rsid w:val="000D7D5B"/>
    <w:rsid w:val="000D7F45"/>
    <w:rsid w:val="000E020E"/>
    <w:rsid w:val="000E0237"/>
    <w:rsid w:val="000E0B6E"/>
    <w:rsid w:val="000E0F5C"/>
    <w:rsid w:val="000E1554"/>
    <w:rsid w:val="000E19E5"/>
    <w:rsid w:val="000E1C00"/>
    <w:rsid w:val="000E1CF8"/>
    <w:rsid w:val="000E1DA3"/>
    <w:rsid w:val="000E20FA"/>
    <w:rsid w:val="000E2312"/>
    <w:rsid w:val="000E2470"/>
    <w:rsid w:val="000E29E3"/>
    <w:rsid w:val="000E30D6"/>
    <w:rsid w:val="000E345A"/>
    <w:rsid w:val="000E3A33"/>
    <w:rsid w:val="000E3C72"/>
    <w:rsid w:val="000E3DB7"/>
    <w:rsid w:val="000E3DF1"/>
    <w:rsid w:val="000E3E6C"/>
    <w:rsid w:val="000E45A7"/>
    <w:rsid w:val="000E4815"/>
    <w:rsid w:val="000E495B"/>
    <w:rsid w:val="000E4F4D"/>
    <w:rsid w:val="000E4FC1"/>
    <w:rsid w:val="000E555A"/>
    <w:rsid w:val="000E6026"/>
    <w:rsid w:val="000E627D"/>
    <w:rsid w:val="000E6347"/>
    <w:rsid w:val="000E66A8"/>
    <w:rsid w:val="000E6E5A"/>
    <w:rsid w:val="000E71E3"/>
    <w:rsid w:val="000E72D1"/>
    <w:rsid w:val="000E73FA"/>
    <w:rsid w:val="000E7405"/>
    <w:rsid w:val="000E7789"/>
    <w:rsid w:val="000E7889"/>
    <w:rsid w:val="000E7E88"/>
    <w:rsid w:val="000F0319"/>
    <w:rsid w:val="000F07C3"/>
    <w:rsid w:val="000F0BF4"/>
    <w:rsid w:val="000F0C1D"/>
    <w:rsid w:val="000F0E5E"/>
    <w:rsid w:val="000F0E62"/>
    <w:rsid w:val="000F17B7"/>
    <w:rsid w:val="000F17EC"/>
    <w:rsid w:val="000F1D47"/>
    <w:rsid w:val="000F1DD7"/>
    <w:rsid w:val="000F2789"/>
    <w:rsid w:val="000F27FC"/>
    <w:rsid w:val="000F29FA"/>
    <w:rsid w:val="000F2A8D"/>
    <w:rsid w:val="000F2B1A"/>
    <w:rsid w:val="000F2E94"/>
    <w:rsid w:val="000F2E9F"/>
    <w:rsid w:val="000F2F5D"/>
    <w:rsid w:val="000F3053"/>
    <w:rsid w:val="000F3282"/>
    <w:rsid w:val="000F405E"/>
    <w:rsid w:val="000F40B1"/>
    <w:rsid w:val="000F4A0E"/>
    <w:rsid w:val="000F4A6E"/>
    <w:rsid w:val="000F4E32"/>
    <w:rsid w:val="000F4F1B"/>
    <w:rsid w:val="000F4FDC"/>
    <w:rsid w:val="000F50A4"/>
    <w:rsid w:val="000F554C"/>
    <w:rsid w:val="000F5629"/>
    <w:rsid w:val="000F57B5"/>
    <w:rsid w:val="000F57D1"/>
    <w:rsid w:val="000F5840"/>
    <w:rsid w:val="000F58C1"/>
    <w:rsid w:val="000F5A0E"/>
    <w:rsid w:val="000F5DFB"/>
    <w:rsid w:val="000F5E11"/>
    <w:rsid w:val="000F6082"/>
    <w:rsid w:val="000F619F"/>
    <w:rsid w:val="000F66F8"/>
    <w:rsid w:val="000F6866"/>
    <w:rsid w:val="000F72E4"/>
    <w:rsid w:val="000F7406"/>
    <w:rsid w:val="000F7631"/>
    <w:rsid w:val="000F76FA"/>
    <w:rsid w:val="000F7786"/>
    <w:rsid w:val="00100135"/>
    <w:rsid w:val="00100168"/>
    <w:rsid w:val="001006CD"/>
    <w:rsid w:val="001006F7"/>
    <w:rsid w:val="00100821"/>
    <w:rsid w:val="00100B61"/>
    <w:rsid w:val="00100D94"/>
    <w:rsid w:val="00100D96"/>
    <w:rsid w:val="0010105E"/>
    <w:rsid w:val="001017A1"/>
    <w:rsid w:val="001018D8"/>
    <w:rsid w:val="00101A2F"/>
    <w:rsid w:val="00101F2E"/>
    <w:rsid w:val="00102775"/>
    <w:rsid w:val="00102AE9"/>
    <w:rsid w:val="00102B5A"/>
    <w:rsid w:val="00102CC7"/>
    <w:rsid w:val="00102EB4"/>
    <w:rsid w:val="00103062"/>
    <w:rsid w:val="001030FB"/>
    <w:rsid w:val="0010325F"/>
    <w:rsid w:val="00103270"/>
    <w:rsid w:val="001036F1"/>
    <w:rsid w:val="00103797"/>
    <w:rsid w:val="0010379D"/>
    <w:rsid w:val="00103CB6"/>
    <w:rsid w:val="00104423"/>
    <w:rsid w:val="001051E5"/>
    <w:rsid w:val="001052A8"/>
    <w:rsid w:val="001052B8"/>
    <w:rsid w:val="001054F5"/>
    <w:rsid w:val="001056FD"/>
    <w:rsid w:val="00105961"/>
    <w:rsid w:val="001059D5"/>
    <w:rsid w:val="001059DA"/>
    <w:rsid w:val="001059E9"/>
    <w:rsid w:val="00105D44"/>
    <w:rsid w:val="0010679A"/>
    <w:rsid w:val="0010688F"/>
    <w:rsid w:val="0010699B"/>
    <w:rsid w:val="00106CEA"/>
    <w:rsid w:val="00106D18"/>
    <w:rsid w:val="00106EF4"/>
    <w:rsid w:val="00106F90"/>
    <w:rsid w:val="001078CB"/>
    <w:rsid w:val="00107952"/>
    <w:rsid w:val="00107BE9"/>
    <w:rsid w:val="00107F1A"/>
    <w:rsid w:val="00110812"/>
    <w:rsid w:val="001109CC"/>
    <w:rsid w:val="00110AB7"/>
    <w:rsid w:val="00110C90"/>
    <w:rsid w:val="001111B3"/>
    <w:rsid w:val="001112E0"/>
    <w:rsid w:val="00111447"/>
    <w:rsid w:val="001117D5"/>
    <w:rsid w:val="00112221"/>
    <w:rsid w:val="001129F3"/>
    <w:rsid w:val="00112E9F"/>
    <w:rsid w:val="00112F8C"/>
    <w:rsid w:val="001140CA"/>
    <w:rsid w:val="001140F2"/>
    <w:rsid w:val="00114176"/>
    <w:rsid w:val="001144ED"/>
    <w:rsid w:val="0011476E"/>
    <w:rsid w:val="00114F94"/>
    <w:rsid w:val="001150C7"/>
    <w:rsid w:val="0011521B"/>
    <w:rsid w:val="00115233"/>
    <w:rsid w:val="001152BF"/>
    <w:rsid w:val="001153ED"/>
    <w:rsid w:val="00115A6F"/>
    <w:rsid w:val="00115B58"/>
    <w:rsid w:val="00115F57"/>
    <w:rsid w:val="00115FAE"/>
    <w:rsid w:val="001168E8"/>
    <w:rsid w:val="00116C63"/>
    <w:rsid w:val="00117073"/>
    <w:rsid w:val="001170A3"/>
    <w:rsid w:val="001173E1"/>
    <w:rsid w:val="00117A88"/>
    <w:rsid w:val="00117AC4"/>
    <w:rsid w:val="00117C6B"/>
    <w:rsid w:val="00117D25"/>
    <w:rsid w:val="0012037C"/>
    <w:rsid w:val="001205D2"/>
    <w:rsid w:val="00120A30"/>
    <w:rsid w:val="00120C14"/>
    <w:rsid w:val="00120E53"/>
    <w:rsid w:val="00121455"/>
    <w:rsid w:val="001216A9"/>
    <w:rsid w:val="0012189B"/>
    <w:rsid w:val="00121989"/>
    <w:rsid w:val="00121BB4"/>
    <w:rsid w:val="00121CA7"/>
    <w:rsid w:val="001229B3"/>
    <w:rsid w:val="00122AD5"/>
    <w:rsid w:val="00122BD4"/>
    <w:rsid w:val="00122C09"/>
    <w:rsid w:val="00122E9A"/>
    <w:rsid w:val="00122ECB"/>
    <w:rsid w:val="00123091"/>
    <w:rsid w:val="00123227"/>
    <w:rsid w:val="001238F1"/>
    <w:rsid w:val="00123B09"/>
    <w:rsid w:val="00123BB1"/>
    <w:rsid w:val="001240B4"/>
    <w:rsid w:val="0012468A"/>
    <w:rsid w:val="001251B7"/>
    <w:rsid w:val="00125386"/>
    <w:rsid w:val="00125568"/>
    <w:rsid w:val="00125EAD"/>
    <w:rsid w:val="00125F45"/>
    <w:rsid w:val="00126779"/>
    <w:rsid w:val="00126BDA"/>
    <w:rsid w:val="00127725"/>
    <w:rsid w:val="001279B1"/>
    <w:rsid w:val="00127EC5"/>
    <w:rsid w:val="001302CB"/>
    <w:rsid w:val="001303C2"/>
    <w:rsid w:val="0013048C"/>
    <w:rsid w:val="001307A3"/>
    <w:rsid w:val="001309C9"/>
    <w:rsid w:val="00130CED"/>
    <w:rsid w:val="00130E92"/>
    <w:rsid w:val="00130FC8"/>
    <w:rsid w:val="00131272"/>
    <w:rsid w:val="0013142C"/>
    <w:rsid w:val="001314D9"/>
    <w:rsid w:val="00131A48"/>
    <w:rsid w:val="0013242F"/>
    <w:rsid w:val="00132BD2"/>
    <w:rsid w:val="00132E77"/>
    <w:rsid w:val="0013309F"/>
    <w:rsid w:val="0013322C"/>
    <w:rsid w:val="0013378D"/>
    <w:rsid w:val="001337A8"/>
    <w:rsid w:val="001339BF"/>
    <w:rsid w:val="00133E93"/>
    <w:rsid w:val="00133FC8"/>
    <w:rsid w:val="0013421A"/>
    <w:rsid w:val="00134B38"/>
    <w:rsid w:val="00134D7A"/>
    <w:rsid w:val="00134DE4"/>
    <w:rsid w:val="00134DF4"/>
    <w:rsid w:val="00135A40"/>
    <w:rsid w:val="00135ABB"/>
    <w:rsid w:val="00136077"/>
    <w:rsid w:val="001363F5"/>
    <w:rsid w:val="001376C7"/>
    <w:rsid w:val="00137ADE"/>
    <w:rsid w:val="00137BD5"/>
    <w:rsid w:val="0014063A"/>
    <w:rsid w:val="001406F8"/>
    <w:rsid w:val="00140777"/>
    <w:rsid w:val="00140830"/>
    <w:rsid w:val="00140EEE"/>
    <w:rsid w:val="001411EA"/>
    <w:rsid w:val="001416C0"/>
    <w:rsid w:val="00141D21"/>
    <w:rsid w:val="00141D59"/>
    <w:rsid w:val="001421D6"/>
    <w:rsid w:val="0014227A"/>
    <w:rsid w:val="00142387"/>
    <w:rsid w:val="0014262C"/>
    <w:rsid w:val="00142C56"/>
    <w:rsid w:val="00143488"/>
    <w:rsid w:val="001436E9"/>
    <w:rsid w:val="00143CDF"/>
    <w:rsid w:val="001446ED"/>
    <w:rsid w:val="00144824"/>
    <w:rsid w:val="00144A9A"/>
    <w:rsid w:val="00144D71"/>
    <w:rsid w:val="00144E29"/>
    <w:rsid w:val="00145266"/>
    <w:rsid w:val="00145301"/>
    <w:rsid w:val="001455C7"/>
    <w:rsid w:val="001457B6"/>
    <w:rsid w:val="00145811"/>
    <w:rsid w:val="00146090"/>
    <w:rsid w:val="001463F3"/>
    <w:rsid w:val="00146A3A"/>
    <w:rsid w:val="00146D75"/>
    <w:rsid w:val="00146D8F"/>
    <w:rsid w:val="00146F0D"/>
    <w:rsid w:val="00146FFE"/>
    <w:rsid w:val="001475A5"/>
    <w:rsid w:val="0014769A"/>
    <w:rsid w:val="00147AA8"/>
    <w:rsid w:val="00147B93"/>
    <w:rsid w:val="00147F2A"/>
    <w:rsid w:val="001507AB"/>
    <w:rsid w:val="00150AC3"/>
    <w:rsid w:val="0015117C"/>
    <w:rsid w:val="0015159B"/>
    <w:rsid w:val="001515CD"/>
    <w:rsid w:val="00151A26"/>
    <w:rsid w:val="00151B05"/>
    <w:rsid w:val="00151E54"/>
    <w:rsid w:val="00151F89"/>
    <w:rsid w:val="0015247A"/>
    <w:rsid w:val="001528D1"/>
    <w:rsid w:val="00152B65"/>
    <w:rsid w:val="00152CE3"/>
    <w:rsid w:val="00153652"/>
    <w:rsid w:val="0015371B"/>
    <w:rsid w:val="001538AD"/>
    <w:rsid w:val="00153AAE"/>
    <w:rsid w:val="001541BD"/>
    <w:rsid w:val="00154369"/>
    <w:rsid w:val="00154964"/>
    <w:rsid w:val="00154E75"/>
    <w:rsid w:val="00155064"/>
    <w:rsid w:val="001552FB"/>
    <w:rsid w:val="001553BC"/>
    <w:rsid w:val="00155830"/>
    <w:rsid w:val="001558CD"/>
    <w:rsid w:val="00155942"/>
    <w:rsid w:val="00155CE9"/>
    <w:rsid w:val="0015604B"/>
    <w:rsid w:val="001563B4"/>
    <w:rsid w:val="0015705D"/>
    <w:rsid w:val="00157179"/>
    <w:rsid w:val="00157268"/>
    <w:rsid w:val="00157341"/>
    <w:rsid w:val="001577BB"/>
    <w:rsid w:val="001578B9"/>
    <w:rsid w:val="00157B6D"/>
    <w:rsid w:val="00157EE7"/>
    <w:rsid w:val="00157F33"/>
    <w:rsid w:val="00157FFB"/>
    <w:rsid w:val="0016071E"/>
    <w:rsid w:val="0016090B"/>
    <w:rsid w:val="001609D7"/>
    <w:rsid w:val="00160E41"/>
    <w:rsid w:val="00160F94"/>
    <w:rsid w:val="00160FFD"/>
    <w:rsid w:val="001611AC"/>
    <w:rsid w:val="001614A2"/>
    <w:rsid w:val="00161E59"/>
    <w:rsid w:val="001622DC"/>
    <w:rsid w:val="001622ED"/>
    <w:rsid w:val="001623F2"/>
    <w:rsid w:val="001625ED"/>
    <w:rsid w:val="001633B6"/>
    <w:rsid w:val="001634F8"/>
    <w:rsid w:val="00163507"/>
    <w:rsid w:val="00163802"/>
    <w:rsid w:val="00163836"/>
    <w:rsid w:val="00163A54"/>
    <w:rsid w:val="00163D6C"/>
    <w:rsid w:val="00163DC1"/>
    <w:rsid w:val="001643F6"/>
    <w:rsid w:val="00164C63"/>
    <w:rsid w:val="00164ED7"/>
    <w:rsid w:val="001653CA"/>
    <w:rsid w:val="001653FE"/>
    <w:rsid w:val="001655E9"/>
    <w:rsid w:val="0016569A"/>
    <w:rsid w:val="001657A4"/>
    <w:rsid w:val="00165815"/>
    <w:rsid w:val="00165830"/>
    <w:rsid w:val="00165EB5"/>
    <w:rsid w:val="00166456"/>
    <w:rsid w:val="00166F46"/>
    <w:rsid w:val="00166FCB"/>
    <w:rsid w:val="00167001"/>
    <w:rsid w:val="00167F9F"/>
    <w:rsid w:val="00170300"/>
    <w:rsid w:val="00170434"/>
    <w:rsid w:val="00170AA8"/>
    <w:rsid w:val="00171B57"/>
    <w:rsid w:val="00171E16"/>
    <w:rsid w:val="00172269"/>
    <w:rsid w:val="00172B2B"/>
    <w:rsid w:val="0017355A"/>
    <w:rsid w:val="00173930"/>
    <w:rsid w:val="00173AA9"/>
    <w:rsid w:val="00174026"/>
    <w:rsid w:val="00174178"/>
    <w:rsid w:val="001741EF"/>
    <w:rsid w:val="0017420E"/>
    <w:rsid w:val="00174959"/>
    <w:rsid w:val="00174ABF"/>
    <w:rsid w:val="00174E1B"/>
    <w:rsid w:val="00175248"/>
    <w:rsid w:val="001755EE"/>
    <w:rsid w:val="0017564A"/>
    <w:rsid w:val="00175769"/>
    <w:rsid w:val="00175BC9"/>
    <w:rsid w:val="0017659A"/>
    <w:rsid w:val="0017664F"/>
    <w:rsid w:val="00176720"/>
    <w:rsid w:val="00176A09"/>
    <w:rsid w:val="00176BB0"/>
    <w:rsid w:val="00176D8F"/>
    <w:rsid w:val="00177101"/>
    <w:rsid w:val="00177324"/>
    <w:rsid w:val="001773DD"/>
    <w:rsid w:val="001773DE"/>
    <w:rsid w:val="001779A1"/>
    <w:rsid w:val="00177AD5"/>
    <w:rsid w:val="00177DA0"/>
    <w:rsid w:val="00180086"/>
    <w:rsid w:val="00180542"/>
    <w:rsid w:val="001805A4"/>
    <w:rsid w:val="0018062F"/>
    <w:rsid w:val="0018073F"/>
    <w:rsid w:val="00180BA0"/>
    <w:rsid w:val="00180C52"/>
    <w:rsid w:val="00180FA1"/>
    <w:rsid w:val="0018149C"/>
    <w:rsid w:val="0018162E"/>
    <w:rsid w:val="001817B0"/>
    <w:rsid w:val="00181FB1"/>
    <w:rsid w:val="00181FDD"/>
    <w:rsid w:val="001822BC"/>
    <w:rsid w:val="0018243A"/>
    <w:rsid w:val="00182BC3"/>
    <w:rsid w:val="00182D1B"/>
    <w:rsid w:val="0018313B"/>
    <w:rsid w:val="001833B7"/>
    <w:rsid w:val="001835FE"/>
    <w:rsid w:val="00183618"/>
    <w:rsid w:val="00183863"/>
    <w:rsid w:val="00183B09"/>
    <w:rsid w:val="00183B12"/>
    <w:rsid w:val="00183BFA"/>
    <w:rsid w:val="00183F62"/>
    <w:rsid w:val="00184039"/>
    <w:rsid w:val="001843D3"/>
    <w:rsid w:val="001843D6"/>
    <w:rsid w:val="00184D21"/>
    <w:rsid w:val="00184E3D"/>
    <w:rsid w:val="00185145"/>
    <w:rsid w:val="00185357"/>
    <w:rsid w:val="00185365"/>
    <w:rsid w:val="001853AC"/>
    <w:rsid w:val="00185BA9"/>
    <w:rsid w:val="00185CAE"/>
    <w:rsid w:val="00185FAE"/>
    <w:rsid w:val="00186CAF"/>
    <w:rsid w:val="00186D96"/>
    <w:rsid w:val="00187796"/>
    <w:rsid w:val="00187C3D"/>
    <w:rsid w:val="00187D7B"/>
    <w:rsid w:val="00187E86"/>
    <w:rsid w:val="00187ED9"/>
    <w:rsid w:val="001907C8"/>
    <w:rsid w:val="00190B3E"/>
    <w:rsid w:val="00190E6E"/>
    <w:rsid w:val="00190EFF"/>
    <w:rsid w:val="00191011"/>
    <w:rsid w:val="00191018"/>
    <w:rsid w:val="00191048"/>
    <w:rsid w:val="00191813"/>
    <w:rsid w:val="00191D0B"/>
    <w:rsid w:val="00191DBF"/>
    <w:rsid w:val="00191E40"/>
    <w:rsid w:val="001920E7"/>
    <w:rsid w:val="0019213F"/>
    <w:rsid w:val="00192178"/>
    <w:rsid w:val="001923DA"/>
    <w:rsid w:val="00192FEF"/>
    <w:rsid w:val="0019343C"/>
    <w:rsid w:val="00193564"/>
    <w:rsid w:val="00193678"/>
    <w:rsid w:val="00193751"/>
    <w:rsid w:val="0019394A"/>
    <w:rsid w:val="00193D73"/>
    <w:rsid w:val="00193DF4"/>
    <w:rsid w:val="00194368"/>
    <w:rsid w:val="001944FB"/>
    <w:rsid w:val="001946F2"/>
    <w:rsid w:val="00194C17"/>
    <w:rsid w:val="00195560"/>
    <w:rsid w:val="00195C66"/>
    <w:rsid w:val="00195E7B"/>
    <w:rsid w:val="00196253"/>
    <w:rsid w:val="00196669"/>
    <w:rsid w:val="0019673B"/>
    <w:rsid w:val="00196860"/>
    <w:rsid w:val="0019687A"/>
    <w:rsid w:val="001968D4"/>
    <w:rsid w:val="00196C5E"/>
    <w:rsid w:val="00197226"/>
    <w:rsid w:val="00197293"/>
    <w:rsid w:val="0019757B"/>
    <w:rsid w:val="001975EC"/>
    <w:rsid w:val="0019769E"/>
    <w:rsid w:val="001978BF"/>
    <w:rsid w:val="00197B6C"/>
    <w:rsid w:val="001A08DA"/>
    <w:rsid w:val="001A09A5"/>
    <w:rsid w:val="001A0B00"/>
    <w:rsid w:val="001A0E8C"/>
    <w:rsid w:val="001A0FD4"/>
    <w:rsid w:val="001A103E"/>
    <w:rsid w:val="001A10A0"/>
    <w:rsid w:val="001A1206"/>
    <w:rsid w:val="001A12BE"/>
    <w:rsid w:val="001A143A"/>
    <w:rsid w:val="001A1673"/>
    <w:rsid w:val="001A1762"/>
    <w:rsid w:val="001A19F9"/>
    <w:rsid w:val="001A1B1A"/>
    <w:rsid w:val="001A1B39"/>
    <w:rsid w:val="001A1C66"/>
    <w:rsid w:val="001A201F"/>
    <w:rsid w:val="001A2041"/>
    <w:rsid w:val="001A20F2"/>
    <w:rsid w:val="001A2137"/>
    <w:rsid w:val="001A22C8"/>
    <w:rsid w:val="001A26CA"/>
    <w:rsid w:val="001A2A4E"/>
    <w:rsid w:val="001A2C46"/>
    <w:rsid w:val="001A2CDB"/>
    <w:rsid w:val="001A2EFB"/>
    <w:rsid w:val="001A307A"/>
    <w:rsid w:val="001A32CD"/>
    <w:rsid w:val="001A3498"/>
    <w:rsid w:val="001A3BF9"/>
    <w:rsid w:val="001A3D5A"/>
    <w:rsid w:val="001A3D7E"/>
    <w:rsid w:val="001A3DB1"/>
    <w:rsid w:val="001A3E94"/>
    <w:rsid w:val="001A404B"/>
    <w:rsid w:val="001A41FC"/>
    <w:rsid w:val="001A4310"/>
    <w:rsid w:val="001A4502"/>
    <w:rsid w:val="001A46D0"/>
    <w:rsid w:val="001A49FC"/>
    <w:rsid w:val="001A4C14"/>
    <w:rsid w:val="001A4D60"/>
    <w:rsid w:val="001A4E0C"/>
    <w:rsid w:val="001A4E47"/>
    <w:rsid w:val="001A56B9"/>
    <w:rsid w:val="001A56CB"/>
    <w:rsid w:val="001A5A04"/>
    <w:rsid w:val="001A5A5D"/>
    <w:rsid w:val="001A5B24"/>
    <w:rsid w:val="001A5EFC"/>
    <w:rsid w:val="001A5FD4"/>
    <w:rsid w:val="001A61B0"/>
    <w:rsid w:val="001A6246"/>
    <w:rsid w:val="001A6420"/>
    <w:rsid w:val="001A66EF"/>
    <w:rsid w:val="001A6716"/>
    <w:rsid w:val="001A675E"/>
    <w:rsid w:val="001A6763"/>
    <w:rsid w:val="001A6B80"/>
    <w:rsid w:val="001A6F77"/>
    <w:rsid w:val="001A6FE3"/>
    <w:rsid w:val="001A72F6"/>
    <w:rsid w:val="001A72F8"/>
    <w:rsid w:val="001A743C"/>
    <w:rsid w:val="001A7ACB"/>
    <w:rsid w:val="001B001B"/>
    <w:rsid w:val="001B007B"/>
    <w:rsid w:val="001B00D0"/>
    <w:rsid w:val="001B01FF"/>
    <w:rsid w:val="001B028C"/>
    <w:rsid w:val="001B0A71"/>
    <w:rsid w:val="001B0A74"/>
    <w:rsid w:val="001B0ABE"/>
    <w:rsid w:val="001B0E2E"/>
    <w:rsid w:val="001B13DC"/>
    <w:rsid w:val="001B1E6E"/>
    <w:rsid w:val="001B2235"/>
    <w:rsid w:val="001B2525"/>
    <w:rsid w:val="001B2671"/>
    <w:rsid w:val="001B269C"/>
    <w:rsid w:val="001B27E7"/>
    <w:rsid w:val="001B2C99"/>
    <w:rsid w:val="001B2EDA"/>
    <w:rsid w:val="001B32C6"/>
    <w:rsid w:val="001B3770"/>
    <w:rsid w:val="001B37CC"/>
    <w:rsid w:val="001B3BD4"/>
    <w:rsid w:val="001B3DBA"/>
    <w:rsid w:val="001B3E7A"/>
    <w:rsid w:val="001B4070"/>
    <w:rsid w:val="001B422E"/>
    <w:rsid w:val="001B42CC"/>
    <w:rsid w:val="001B45D1"/>
    <w:rsid w:val="001B4CE2"/>
    <w:rsid w:val="001B4D81"/>
    <w:rsid w:val="001B5192"/>
    <w:rsid w:val="001B538D"/>
    <w:rsid w:val="001B5784"/>
    <w:rsid w:val="001B5A60"/>
    <w:rsid w:val="001B5ADC"/>
    <w:rsid w:val="001B5B12"/>
    <w:rsid w:val="001B6345"/>
    <w:rsid w:val="001B6359"/>
    <w:rsid w:val="001B6541"/>
    <w:rsid w:val="001B65B0"/>
    <w:rsid w:val="001B717A"/>
    <w:rsid w:val="001B7456"/>
    <w:rsid w:val="001B74F3"/>
    <w:rsid w:val="001B7853"/>
    <w:rsid w:val="001B7930"/>
    <w:rsid w:val="001B7C02"/>
    <w:rsid w:val="001B7DA1"/>
    <w:rsid w:val="001C009C"/>
    <w:rsid w:val="001C0739"/>
    <w:rsid w:val="001C0805"/>
    <w:rsid w:val="001C0853"/>
    <w:rsid w:val="001C0A90"/>
    <w:rsid w:val="001C1131"/>
    <w:rsid w:val="001C1377"/>
    <w:rsid w:val="001C13CA"/>
    <w:rsid w:val="001C13DA"/>
    <w:rsid w:val="001C146A"/>
    <w:rsid w:val="001C165E"/>
    <w:rsid w:val="001C1712"/>
    <w:rsid w:val="001C1C41"/>
    <w:rsid w:val="001C1DE1"/>
    <w:rsid w:val="001C2331"/>
    <w:rsid w:val="001C2CCF"/>
    <w:rsid w:val="001C3517"/>
    <w:rsid w:val="001C35E8"/>
    <w:rsid w:val="001C3B55"/>
    <w:rsid w:val="001C44C8"/>
    <w:rsid w:val="001C46C0"/>
    <w:rsid w:val="001C4D1C"/>
    <w:rsid w:val="001C4ECB"/>
    <w:rsid w:val="001C4FB8"/>
    <w:rsid w:val="001C59FD"/>
    <w:rsid w:val="001C612B"/>
    <w:rsid w:val="001C6374"/>
    <w:rsid w:val="001C6432"/>
    <w:rsid w:val="001C6B87"/>
    <w:rsid w:val="001C6C3C"/>
    <w:rsid w:val="001C743A"/>
    <w:rsid w:val="001C76F0"/>
    <w:rsid w:val="001C7BB8"/>
    <w:rsid w:val="001C7E57"/>
    <w:rsid w:val="001D021A"/>
    <w:rsid w:val="001D085A"/>
    <w:rsid w:val="001D0D20"/>
    <w:rsid w:val="001D0EAF"/>
    <w:rsid w:val="001D10C6"/>
    <w:rsid w:val="001D14E5"/>
    <w:rsid w:val="001D1828"/>
    <w:rsid w:val="001D1899"/>
    <w:rsid w:val="001D1AC6"/>
    <w:rsid w:val="001D1C50"/>
    <w:rsid w:val="001D1CB1"/>
    <w:rsid w:val="001D1F90"/>
    <w:rsid w:val="001D24F4"/>
    <w:rsid w:val="001D266E"/>
    <w:rsid w:val="001D26D6"/>
    <w:rsid w:val="001D3153"/>
    <w:rsid w:val="001D3275"/>
    <w:rsid w:val="001D3430"/>
    <w:rsid w:val="001D3D19"/>
    <w:rsid w:val="001D444E"/>
    <w:rsid w:val="001D46F8"/>
    <w:rsid w:val="001D470F"/>
    <w:rsid w:val="001D495A"/>
    <w:rsid w:val="001D49DB"/>
    <w:rsid w:val="001D49F1"/>
    <w:rsid w:val="001D4BE3"/>
    <w:rsid w:val="001D509D"/>
    <w:rsid w:val="001D526F"/>
    <w:rsid w:val="001D5978"/>
    <w:rsid w:val="001D697C"/>
    <w:rsid w:val="001D6AD1"/>
    <w:rsid w:val="001D6D2C"/>
    <w:rsid w:val="001D6F82"/>
    <w:rsid w:val="001D733D"/>
    <w:rsid w:val="001D74D7"/>
    <w:rsid w:val="001D7E17"/>
    <w:rsid w:val="001E01CF"/>
    <w:rsid w:val="001E0483"/>
    <w:rsid w:val="001E05E6"/>
    <w:rsid w:val="001E0A35"/>
    <w:rsid w:val="001E0BD3"/>
    <w:rsid w:val="001E0E47"/>
    <w:rsid w:val="001E0E95"/>
    <w:rsid w:val="001E0FE7"/>
    <w:rsid w:val="001E1305"/>
    <w:rsid w:val="001E13A7"/>
    <w:rsid w:val="001E1693"/>
    <w:rsid w:val="001E1812"/>
    <w:rsid w:val="001E1BA5"/>
    <w:rsid w:val="001E1CB1"/>
    <w:rsid w:val="001E1D77"/>
    <w:rsid w:val="001E2441"/>
    <w:rsid w:val="001E2875"/>
    <w:rsid w:val="001E28AF"/>
    <w:rsid w:val="001E28D2"/>
    <w:rsid w:val="001E2AB2"/>
    <w:rsid w:val="001E2B04"/>
    <w:rsid w:val="001E2DAA"/>
    <w:rsid w:val="001E36B0"/>
    <w:rsid w:val="001E3E65"/>
    <w:rsid w:val="001E3FA5"/>
    <w:rsid w:val="001E40E3"/>
    <w:rsid w:val="001E4200"/>
    <w:rsid w:val="001E4A57"/>
    <w:rsid w:val="001E523D"/>
    <w:rsid w:val="001E6075"/>
    <w:rsid w:val="001E65D4"/>
    <w:rsid w:val="001E6C03"/>
    <w:rsid w:val="001E6E84"/>
    <w:rsid w:val="001E70C0"/>
    <w:rsid w:val="001E71E5"/>
    <w:rsid w:val="001E730D"/>
    <w:rsid w:val="001E7694"/>
    <w:rsid w:val="001E7AF3"/>
    <w:rsid w:val="001E7BCC"/>
    <w:rsid w:val="001E7EDC"/>
    <w:rsid w:val="001F0773"/>
    <w:rsid w:val="001F07E7"/>
    <w:rsid w:val="001F154E"/>
    <w:rsid w:val="001F1BFF"/>
    <w:rsid w:val="001F2293"/>
    <w:rsid w:val="001F287A"/>
    <w:rsid w:val="001F2A20"/>
    <w:rsid w:val="001F2D83"/>
    <w:rsid w:val="001F2DD1"/>
    <w:rsid w:val="001F2E94"/>
    <w:rsid w:val="001F2FD7"/>
    <w:rsid w:val="001F31D1"/>
    <w:rsid w:val="001F3478"/>
    <w:rsid w:val="001F3751"/>
    <w:rsid w:val="001F377A"/>
    <w:rsid w:val="001F3936"/>
    <w:rsid w:val="001F3B6D"/>
    <w:rsid w:val="001F3F1B"/>
    <w:rsid w:val="001F424F"/>
    <w:rsid w:val="001F463D"/>
    <w:rsid w:val="001F4954"/>
    <w:rsid w:val="001F4959"/>
    <w:rsid w:val="001F4BDD"/>
    <w:rsid w:val="001F4D1C"/>
    <w:rsid w:val="001F4FDA"/>
    <w:rsid w:val="001F5127"/>
    <w:rsid w:val="001F563D"/>
    <w:rsid w:val="001F5B4B"/>
    <w:rsid w:val="001F5C39"/>
    <w:rsid w:val="001F5EB7"/>
    <w:rsid w:val="001F5F02"/>
    <w:rsid w:val="001F6389"/>
    <w:rsid w:val="001F6520"/>
    <w:rsid w:val="001F67EE"/>
    <w:rsid w:val="001F68DD"/>
    <w:rsid w:val="001F6942"/>
    <w:rsid w:val="001F69E5"/>
    <w:rsid w:val="001F6BB2"/>
    <w:rsid w:val="001F6D25"/>
    <w:rsid w:val="001F7167"/>
    <w:rsid w:val="001F7377"/>
    <w:rsid w:val="001F74C0"/>
    <w:rsid w:val="001F754F"/>
    <w:rsid w:val="001F765B"/>
    <w:rsid w:val="001F768F"/>
    <w:rsid w:val="001F76A4"/>
    <w:rsid w:val="001F7BC9"/>
    <w:rsid w:val="001F7BD4"/>
    <w:rsid w:val="00200293"/>
    <w:rsid w:val="00200416"/>
    <w:rsid w:val="00200905"/>
    <w:rsid w:val="00200A1F"/>
    <w:rsid w:val="00201693"/>
    <w:rsid w:val="002016C3"/>
    <w:rsid w:val="002016D5"/>
    <w:rsid w:val="00201B85"/>
    <w:rsid w:val="00201C33"/>
    <w:rsid w:val="00201DA5"/>
    <w:rsid w:val="00202050"/>
    <w:rsid w:val="002022A8"/>
    <w:rsid w:val="002022C5"/>
    <w:rsid w:val="00202C96"/>
    <w:rsid w:val="00202FB2"/>
    <w:rsid w:val="00203A75"/>
    <w:rsid w:val="00203C38"/>
    <w:rsid w:val="00203DB8"/>
    <w:rsid w:val="002041FE"/>
    <w:rsid w:val="00204466"/>
    <w:rsid w:val="00204633"/>
    <w:rsid w:val="00204687"/>
    <w:rsid w:val="00204826"/>
    <w:rsid w:val="002048DA"/>
    <w:rsid w:val="00204B4F"/>
    <w:rsid w:val="00204E4B"/>
    <w:rsid w:val="00205180"/>
    <w:rsid w:val="002052AE"/>
    <w:rsid w:val="0020549F"/>
    <w:rsid w:val="002054CD"/>
    <w:rsid w:val="0020582E"/>
    <w:rsid w:val="00205CBD"/>
    <w:rsid w:val="0020605F"/>
    <w:rsid w:val="00206598"/>
    <w:rsid w:val="002068D6"/>
    <w:rsid w:val="00206F11"/>
    <w:rsid w:val="002073BD"/>
    <w:rsid w:val="002073CE"/>
    <w:rsid w:val="00207404"/>
    <w:rsid w:val="00210136"/>
    <w:rsid w:val="0021013E"/>
    <w:rsid w:val="002104AC"/>
    <w:rsid w:val="0021054F"/>
    <w:rsid w:val="00211244"/>
    <w:rsid w:val="00211514"/>
    <w:rsid w:val="002115D8"/>
    <w:rsid w:val="002119D5"/>
    <w:rsid w:val="00211DB1"/>
    <w:rsid w:val="002120EE"/>
    <w:rsid w:val="00212230"/>
    <w:rsid w:val="002122CF"/>
    <w:rsid w:val="002124F5"/>
    <w:rsid w:val="00212553"/>
    <w:rsid w:val="0021265A"/>
    <w:rsid w:val="00212BC5"/>
    <w:rsid w:val="00212C3E"/>
    <w:rsid w:val="00212C74"/>
    <w:rsid w:val="00212F5C"/>
    <w:rsid w:val="00213158"/>
    <w:rsid w:val="002131A2"/>
    <w:rsid w:val="00213370"/>
    <w:rsid w:val="002134FD"/>
    <w:rsid w:val="00213528"/>
    <w:rsid w:val="00213650"/>
    <w:rsid w:val="00213ADA"/>
    <w:rsid w:val="00213BB8"/>
    <w:rsid w:val="00213C21"/>
    <w:rsid w:val="002142F2"/>
    <w:rsid w:val="00214689"/>
    <w:rsid w:val="002148B4"/>
    <w:rsid w:val="00214B35"/>
    <w:rsid w:val="00214D15"/>
    <w:rsid w:val="00215326"/>
    <w:rsid w:val="0021543B"/>
    <w:rsid w:val="002154C5"/>
    <w:rsid w:val="00215C57"/>
    <w:rsid w:val="00215FEB"/>
    <w:rsid w:val="002164E7"/>
    <w:rsid w:val="002169F9"/>
    <w:rsid w:val="00216B73"/>
    <w:rsid w:val="00217626"/>
    <w:rsid w:val="00217B7D"/>
    <w:rsid w:val="00217D55"/>
    <w:rsid w:val="00217E09"/>
    <w:rsid w:val="00220520"/>
    <w:rsid w:val="0022080A"/>
    <w:rsid w:val="002209D4"/>
    <w:rsid w:val="00220AD9"/>
    <w:rsid w:val="00220AF4"/>
    <w:rsid w:val="00220EB7"/>
    <w:rsid w:val="00220F2D"/>
    <w:rsid w:val="00220F80"/>
    <w:rsid w:val="0022125E"/>
    <w:rsid w:val="002213DB"/>
    <w:rsid w:val="002219DA"/>
    <w:rsid w:val="00221A29"/>
    <w:rsid w:val="00221C2F"/>
    <w:rsid w:val="00221C9B"/>
    <w:rsid w:val="00221CAF"/>
    <w:rsid w:val="00221F00"/>
    <w:rsid w:val="00222006"/>
    <w:rsid w:val="002223EF"/>
    <w:rsid w:val="00222554"/>
    <w:rsid w:val="002228B2"/>
    <w:rsid w:val="00223001"/>
    <w:rsid w:val="00223136"/>
    <w:rsid w:val="0022327A"/>
    <w:rsid w:val="0022341F"/>
    <w:rsid w:val="002235F8"/>
    <w:rsid w:val="00223741"/>
    <w:rsid w:val="0022392A"/>
    <w:rsid w:val="00223C1E"/>
    <w:rsid w:val="002240FF"/>
    <w:rsid w:val="00224734"/>
    <w:rsid w:val="00224824"/>
    <w:rsid w:val="00224CE7"/>
    <w:rsid w:val="00224EDD"/>
    <w:rsid w:val="002253C9"/>
    <w:rsid w:val="00225574"/>
    <w:rsid w:val="0022566C"/>
    <w:rsid w:val="002260F7"/>
    <w:rsid w:val="0022622E"/>
    <w:rsid w:val="00226231"/>
    <w:rsid w:val="00226A5B"/>
    <w:rsid w:val="00226E89"/>
    <w:rsid w:val="00226FCF"/>
    <w:rsid w:val="002270C7"/>
    <w:rsid w:val="00227B88"/>
    <w:rsid w:val="00227BB9"/>
    <w:rsid w:val="00230372"/>
    <w:rsid w:val="00230685"/>
    <w:rsid w:val="002306B7"/>
    <w:rsid w:val="00230998"/>
    <w:rsid w:val="00230D7A"/>
    <w:rsid w:val="00230F04"/>
    <w:rsid w:val="00230F86"/>
    <w:rsid w:val="0023146D"/>
    <w:rsid w:val="00231513"/>
    <w:rsid w:val="00231BED"/>
    <w:rsid w:val="00232ABA"/>
    <w:rsid w:val="00232BAE"/>
    <w:rsid w:val="00232C8D"/>
    <w:rsid w:val="00233F0D"/>
    <w:rsid w:val="00234232"/>
    <w:rsid w:val="00234455"/>
    <w:rsid w:val="0023455C"/>
    <w:rsid w:val="0023481B"/>
    <w:rsid w:val="00234A75"/>
    <w:rsid w:val="00234ADE"/>
    <w:rsid w:val="002350DF"/>
    <w:rsid w:val="00235B9D"/>
    <w:rsid w:val="00235C9A"/>
    <w:rsid w:val="00235D9D"/>
    <w:rsid w:val="002363DC"/>
    <w:rsid w:val="002363FB"/>
    <w:rsid w:val="002364AD"/>
    <w:rsid w:val="002368A4"/>
    <w:rsid w:val="00236D60"/>
    <w:rsid w:val="00236DD1"/>
    <w:rsid w:val="00236DEB"/>
    <w:rsid w:val="00236F36"/>
    <w:rsid w:val="0023727E"/>
    <w:rsid w:val="002378C5"/>
    <w:rsid w:val="00237C86"/>
    <w:rsid w:val="0024076A"/>
    <w:rsid w:val="00240D38"/>
    <w:rsid w:val="00240DC1"/>
    <w:rsid w:val="00240FAC"/>
    <w:rsid w:val="0024108F"/>
    <w:rsid w:val="002417DA"/>
    <w:rsid w:val="00241EDB"/>
    <w:rsid w:val="00241F19"/>
    <w:rsid w:val="0024226F"/>
    <w:rsid w:val="002426F7"/>
    <w:rsid w:val="00242823"/>
    <w:rsid w:val="002432AA"/>
    <w:rsid w:val="0024375D"/>
    <w:rsid w:val="00243964"/>
    <w:rsid w:val="00244490"/>
    <w:rsid w:val="002444B2"/>
    <w:rsid w:val="0024479E"/>
    <w:rsid w:val="00244F9C"/>
    <w:rsid w:val="00246256"/>
    <w:rsid w:val="002462E7"/>
    <w:rsid w:val="0024656A"/>
    <w:rsid w:val="002466D4"/>
    <w:rsid w:val="00246736"/>
    <w:rsid w:val="00246AD2"/>
    <w:rsid w:val="00246E8A"/>
    <w:rsid w:val="0025019A"/>
    <w:rsid w:val="00250277"/>
    <w:rsid w:val="00250360"/>
    <w:rsid w:val="00250755"/>
    <w:rsid w:val="002507AD"/>
    <w:rsid w:val="002508E5"/>
    <w:rsid w:val="002509B6"/>
    <w:rsid w:val="00250C00"/>
    <w:rsid w:val="0025140E"/>
    <w:rsid w:val="002517B1"/>
    <w:rsid w:val="002519AD"/>
    <w:rsid w:val="00252381"/>
    <w:rsid w:val="00252D2F"/>
    <w:rsid w:val="00253249"/>
    <w:rsid w:val="00253956"/>
    <w:rsid w:val="00253A2E"/>
    <w:rsid w:val="00253AF1"/>
    <w:rsid w:val="00253F69"/>
    <w:rsid w:val="002540BA"/>
    <w:rsid w:val="00254C8A"/>
    <w:rsid w:val="00255793"/>
    <w:rsid w:val="002557C2"/>
    <w:rsid w:val="00256290"/>
    <w:rsid w:val="002565CD"/>
    <w:rsid w:val="00256AEC"/>
    <w:rsid w:val="002571FE"/>
    <w:rsid w:val="002574EE"/>
    <w:rsid w:val="002578A4"/>
    <w:rsid w:val="00260020"/>
    <w:rsid w:val="0026016D"/>
    <w:rsid w:val="00260493"/>
    <w:rsid w:val="0026071C"/>
    <w:rsid w:val="002609DE"/>
    <w:rsid w:val="00260AA4"/>
    <w:rsid w:val="00260EBF"/>
    <w:rsid w:val="00260FA5"/>
    <w:rsid w:val="00261424"/>
    <w:rsid w:val="002615CC"/>
    <w:rsid w:val="0026163B"/>
    <w:rsid w:val="002616F7"/>
    <w:rsid w:val="00261EE5"/>
    <w:rsid w:val="00262142"/>
    <w:rsid w:val="0026244F"/>
    <w:rsid w:val="0026266E"/>
    <w:rsid w:val="002629EF"/>
    <w:rsid w:val="00262FC8"/>
    <w:rsid w:val="00263391"/>
    <w:rsid w:val="0026355D"/>
    <w:rsid w:val="002637C6"/>
    <w:rsid w:val="0026384C"/>
    <w:rsid w:val="00263C9C"/>
    <w:rsid w:val="00263D10"/>
    <w:rsid w:val="0026429E"/>
    <w:rsid w:val="00264637"/>
    <w:rsid w:val="002652FB"/>
    <w:rsid w:val="00265782"/>
    <w:rsid w:val="00265ACB"/>
    <w:rsid w:val="00266265"/>
    <w:rsid w:val="0026651E"/>
    <w:rsid w:val="00266AA9"/>
    <w:rsid w:val="00266BD7"/>
    <w:rsid w:val="00266DDD"/>
    <w:rsid w:val="002672F5"/>
    <w:rsid w:val="00267492"/>
    <w:rsid w:val="0026787B"/>
    <w:rsid w:val="00270136"/>
    <w:rsid w:val="002707D0"/>
    <w:rsid w:val="00270BCC"/>
    <w:rsid w:val="00270E16"/>
    <w:rsid w:val="00270EF2"/>
    <w:rsid w:val="0027132D"/>
    <w:rsid w:val="00271F9E"/>
    <w:rsid w:val="00272577"/>
    <w:rsid w:val="00272C50"/>
    <w:rsid w:val="0027356E"/>
    <w:rsid w:val="00273AA2"/>
    <w:rsid w:val="00273BB0"/>
    <w:rsid w:val="00273F6B"/>
    <w:rsid w:val="00274150"/>
    <w:rsid w:val="00274384"/>
    <w:rsid w:val="00274A0C"/>
    <w:rsid w:val="00274A8A"/>
    <w:rsid w:val="00274F5B"/>
    <w:rsid w:val="00275244"/>
    <w:rsid w:val="002753BD"/>
    <w:rsid w:val="0027542E"/>
    <w:rsid w:val="002756C7"/>
    <w:rsid w:val="0027586C"/>
    <w:rsid w:val="0027597A"/>
    <w:rsid w:val="00275A32"/>
    <w:rsid w:val="00276195"/>
    <w:rsid w:val="002763EE"/>
    <w:rsid w:val="00276676"/>
    <w:rsid w:val="00276694"/>
    <w:rsid w:val="00276E77"/>
    <w:rsid w:val="00277242"/>
    <w:rsid w:val="00277286"/>
    <w:rsid w:val="002772A8"/>
    <w:rsid w:val="00277462"/>
    <w:rsid w:val="00277607"/>
    <w:rsid w:val="0027792A"/>
    <w:rsid w:val="0027799F"/>
    <w:rsid w:val="00277F48"/>
    <w:rsid w:val="002802F7"/>
    <w:rsid w:val="0028065D"/>
    <w:rsid w:val="00280832"/>
    <w:rsid w:val="00280FBB"/>
    <w:rsid w:val="0028108C"/>
    <w:rsid w:val="0028146B"/>
    <w:rsid w:val="00281486"/>
    <w:rsid w:val="00281600"/>
    <w:rsid w:val="00281803"/>
    <w:rsid w:val="00281903"/>
    <w:rsid w:val="00281C88"/>
    <w:rsid w:val="00282083"/>
    <w:rsid w:val="002821B6"/>
    <w:rsid w:val="002822DF"/>
    <w:rsid w:val="00282341"/>
    <w:rsid w:val="00282561"/>
    <w:rsid w:val="002826B1"/>
    <w:rsid w:val="002827C0"/>
    <w:rsid w:val="002828EF"/>
    <w:rsid w:val="0028352E"/>
    <w:rsid w:val="002839F3"/>
    <w:rsid w:val="00283B7D"/>
    <w:rsid w:val="00283E92"/>
    <w:rsid w:val="00283F4B"/>
    <w:rsid w:val="0028434F"/>
    <w:rsid w:val="00284516"/>
    <w:rsid w:val="002845C9"/>
    <w:rsid w:val="002846C8"/>
    <w:rsid w:val="00284CD0"/>
    <w:rsid w:val="00284FB7"/>
    <w:rsid w:val="002850D1"/>
    <w:rsid w:val="00285230"/>
    <w:rsid w:val="00285238"/>
    <w:rsid w:val="00285271"/>
    <w:rsid w:val="002854F4"/>
    <w:rsid w:val="0028578F"/>
    <w:rsid w:val="002858FB"/>
    <w:rsid w:val="00285A4B"/>
    <w:rsid w:val="00285B34"/>
    <w:rsid w:val="00285DBA"/>
    <w:rsid w:val="00285F25"/>
    <w:rsid w:val="002861DE"/>
    <w:rsid w:val="0028634C"/>
    <w:rsid w:val="002863A8"/>
    <w:rsid w:val="002866F6"/>
    <w:rsid w:val="002866FC"/>
    <w:rsid w:val="00286918"/>
    <w:rsid w:val="002869D2"/>
    <w:rsid w:val="00286E8C"/>
    <w:rsid w:val="00287051"/>
    <w:rsid w:val="00287223"/>
    <w:rsid w:val="002873BD"/>
    <w:rsid w:val="002878E5"/>
    <w:rsid w:val="00287AD2"/>
    <w:rsid w:val="00287CFC"/>
    <w:rsid w:val="00290121"/>
    <w:rsid w:val="0029077C"/>
    <w:rsid w:val="002909BC"/>
    <w:rsid w:val="00291083"/>
    <w:rsid w:val="002914EA"/>
    <w:rsid w:val="00291764"/>
    <w:rsid w:val="002918FA"/>
    <w:rsid w:val="00291DA1"/>
    <w:rsid w:val="002922B0"/>
    <w:rsid w:val="00292AD8"/>
    <w:rsid w:val="00292E5B"/>
    <w:rsid w:val="00292F31"/>
    <w:rsid w:val="00292F73"/>
    <w:rsid w:val="00293113"/>
    <w:rsid w:val="00293306"/>
    <w:rsid w:val="00293712"/>
    <w:rsid w:val="00293A80"/>
    <w:rsid w:val="00293AA6"/>
    <w:rsid w:val="00293BD2"/>
    <w:rsid w:val="0029442A"/>
    <w:rsid w:val="00294702"/>
    <w:rsid w:val="00294C1F"/>
    <w:rsid w:val="0029536B"/>
    <w:rsid w:val="0029557E"/>
    <w:rsid w:val="00295BCA"/>
    <w:rsid w:val="00295EBF"/>
    <w:rsid w:val="00295FC9"/>
    <w:rsid w:val="002966F3"/>
    <w:rsid w:val="00296996"/>
    <w:rsid w:val="002969DE"/>
    <w:rsid w:val="00296AB2"/>
    <w:rsid w:val="0029721D"/>
    <w:rsid w:val="002978DA"/>
    <w:rsid w:val="00297B77"/>
    <w:rsid w:val="00297C35"/>
    <w:rsid w:val="00297CFE"/>
    <w:rsid w:val="002A07B1"/>
    <w:rsid w:val="002A0EE9"/>
    <w:rsid w:val="002A0F39"/>
    <w:rsid w:val="002A10D8"/>
    <w:rsid w:val="002A1439"/>
    <w:rsid w:val="002A1F9B"/>
    <w:rsid w:val="002A22E0"/>
    <w:rsid w:val="002A26C0"/>
    <w:rsid w:val="002A2EC2"/>
    <w:rsid w:val="002A2FFF"/>
    <w:rsid w:val="002A375C"/>
    <w:rsid w:val="002A3FE7"/>
    <w:rsid w:val="002A4144"/>
    <w:rsid w:val="002A5390"/>
    <w:rsid w:val="002A55C2"/>
    <w:rsid w:val="002A5815"/>
    <w:rsid w:val="002A5BA5"/>
    <w:rsid w:val="002A5C59"/>
    <w:rsid w:val="002A5E95"/>
    <w:rsid w:val="002A5EEE"/>
    <w:rsid w:val="002A67DE"/>
    <w:rsid w:val="002A6A3E"/>
    <w:rsid w:val="002A6EE7"/>
    <w:rsid w:val="002A722B"/>
    <w:rsid w:val="002A738E"/>
    <w:rsid w:val="002A75BA"/>
    <w:rsid w:val="002A75EC"/>
    <w:rsid w:val="002A7A8E"/>
    <w:rsid w:val="002A7AD2"/>
    <w:rsid w:val="002A7C20"/>
    <w:rsid w:val="002B0026"/>
    <w:rsid w:val="002B04ED"/>
    <w:rsid w:val="002B0B80"/>
    <w:rsid w:val="002B0D12"/>
    <w:rsid w:val="002B0F19"/>
    <w:rsid w:val="002B0F1A"/>
    <w:rsid w:val="002B16C9"/>
    <w:rsid w:val="002B1A24"/>
    <w:rsid w:val="002B1F14"/>
    <w:rsid w:val="002B2199"/>
    <w:rsid w:val="002B2233"/>
    <w:rsid w:val="002B22B5"/>
    <w:rsid w:val="002B25C7"/>
    <w:rsid w:val="002B25D7"/>
    <w:rsid w:val="002B2687"/>
    <w:rsid w:val="002B2688"/>
    <w:rsid w:val="002B2822"/>
    <w:rsid w:val="002B2932"/>
    <w:rsid w:val="002B2D01"/>
    <w:rsid w:val="002B2F79"/>
    <w:rsid w:val="002B3054"/>
    <w:rsid w:val="002B30B6"/>
    <w:rsid w:val="002B3337"/>
    <w:rsid w:val="002B3E16"/>
    <w:rsid w:val="002B40BA"/>
    <w:rsid w:val="002B40D5"/>
    <w:rsid w:val="002B4816"/>
    <w:rsid w:val="002B4F74"/>
    <w:rsid w:val="002B509A"/>
    <w:rsid w:val="002B55F9"/>
    <w:rsid w:val="002B66A6"/>
    <w:rsid w:val="002B6B80"/>
    <w:rsid w:val="002B6EAE"/>
    <w:rsid w:val="002B7DE3"/>
    <w:rsid w:val="002B7FE6"/>
    <w:rsid w:val="002C0BC6"/>
    <w:rsid w:val="002C0E5A"/>
    <w:rsid w:val="002C1066"/>
    <w:rsid w:val="002C10FA"/>
    <w:rsid w:val="002C1254"/>
    <w:rsid w:val="002C1653"/>
    <w:rsid w:val="002C1AC7"/>
    <w:rsid w:val="002C1AEE"/>
    <w:rsid w:val="002C1C2B"/>
    <w:rsid w:val="002C1D9E"/>
    <w:rsid w:val="002C1F69"/>
    <w:rsid w:val="002C212D"/>
    <w:rsid w:val="002C2471"/>
    <w:rsid w:val="002C2DA9"/>
    <w:rsid w:val="002C3C41"/>
    <w:rsid w:val="002C3E9C"/>
    <w:rsid w:val="002C457F"/>
    <w:rsid w:val="002C48BC"/>
    <w:rsid w:val="002C4D9B"/>
    <w:rsid w:val="002C4DE9"/>
    <w:rsid w:val="002C53B2"/>
    <w:rsid w:val="002C5581"/>
    <w:rsid w:val="002C5716"/>
    <w:rsid w:val="002C5727"/>
    <w:rsid w:val="002C5846"/>
    <w:rsid w:val="002C5A5A"/>
    <w:rsid w:val="002C5F61"/>
    <w:rsid w:val="002C62CC"/>
    <w:rsid w:val="002C64AA"/>
    <w:rsid w:val="002C6538"/>
    <w:rsid w:val="002C662E"/>
    <w:rsid w:val="002C6BD5"/>
    <w:rsid w:val="002C6EFB"/>
    <w:rsid w:val="002C783A"/>
    <w:rsid w:val="002C78AB"/>
    <w:rsid w:val="002C7BCA"/>
    <w:rsid w:val="002C7BE7"/>
    <w:rsid w:val="002C7EBC"/>
    <w:rsid w:val="002C7F4D"/>
    <w:rsid w:val="002D03A7"/>
    <w:rsid w:val="002D04B6"/>
    <w:rsid w:val="002D0AB6"/>
    <w:rsid w:val="002D0C74"/>
    <w:rsid w:val="002D0F00"/>
    <w:rsid w:val="002D104E"/>
    <w:rsid w:val="002D13EB"/>
    <w:rsid w:val="002D1592"/>
    <w:rsid w:val="002D1807"/>
    <w:rsid w:val="002D1A1F"/>
    <w:rsid w:val="002D1F84"/>
    <w:rsid w:val="002D1FC7"/>
    <w:rsid w:val="002D2480"/>
    <w:rsid w:val="002D26F6"/>
    <w:rsid w:val="002D2A31"/>
    <w:rsid w:val="002D3129"/>
    <w:rsid w:val="002D318C"/>
    <w:rsid w:val="002D333D"/>
    <w:rsid w:val="002D3A22"/>
    <w:rsid w:val="002D42FE"/>
    <w:rsid w:val="002D450A"/>
    <w:rsid w:val="002D4728"/>
    <w:rsid w:val="002D4764"/>
    <w:rsid w:val="002D4A83"/>
    <w:rsid w:val="002D4B14"/>
    <w:rsid w:val="002D4C28"/>
    <w:rsid w:val="002D4C55"/>
    <w:rsid w:val="002D5011"/>
    <w:rsid w:val="002D5192"/>
    <w:rsid w:val="002D52D7"/>
    <w:rsid w:val="002D5307"/>
    <w:rsid w:val="002D58EB"/>
    <w:rsid w:val="002D5AD4"/>
    <w:rsid w:val="002D5B96"/>
    <w:rsid w:val="002D714A"/>
    <w:rsid w:val="002D73DE"/>
    <w:rsid w:val="002D74CD"/>
    <w:rsid w:val="002D7A20"/>
    <w:rsid w:val="002D7BB3"/>
    <w:rsid w:val="002D7E90"/>
    <w:rsid w:val="002E0408"/>
    <w:rsid w:val="002E138F"/>
    <w:rsid w:val="002E1CED"/>
    <w:rsid w:val="002E1EDF"/>
    <w:rsid w:val="002E2469"/>
    <w:rsid w:val="002E2801"/>
    <w:rsid w:val="002E290E"/>
    <w:rsid w:val="002E299C"/>
    <w:rsid w:val="002E4073"/>
    <w:rsid w:val="002E444A"/>
    <w:rsid w:val="002E4542"/>
    <w:rsid w:val="002E4B0C"/>
    <w:rsid w:val="002E4EB2"/>
    <w:rsid w:val="002E4F29"/>
    <w:rsid w:val="002E503E"/>
    <w:rsid w:val="002E52F3"/>
    <w:rsid w:val="002E54A2"/>
    <w:rsid w:val="002E5AD2"/>
    <w:rsid w:val="002E5E4F"/>
    <w:rsid w:val="002E5F96"/>
    <w:rsid w:val="002E6019"/>
    <w:rsid w:val="002E640D"/>
    <w:rsid w:val="002E6561"/>
    <w:rsid w:val="002E65BB"/>
    <w:rsid w:val="002E7191"/>
    <w:rsid w:val="002E7278"/>
    <w:rsid w:val="002E7491"/>
    <w:rsid w:val="002E76C0"/>
    <w:rsid w:val="002E7C99"/>
    <w:rsid w:val="002E7E6E"/>
    <w:rsid w:val="002F0148"/>
    <w:rsid w:val="002F030F"/>
    <w:rsid w:val="002F037A"/>
    <w:rsid w:val="002F054C"/>
    <w:rsid w:val="002F072C"/>
    <w:rsid w:val="002F0799"/>
    <w:rsid w:val="002F0A76"/>
    <w:rsid w:val="002F0A96"/>
    <w:rsid w:val="002F10FE"/>
    <w:rsid w:val="002F13DC"/>
    <w:rsid w:val="002F1577"/>
    <w:rsid w:val="002F1C70"/>
    <w:rsid w:val="002F2194"/>
    <w:rsid w:val="002F229B"/>
    <w:rsid w:val="002F25A2"/>
    <w:rsid w:val="002F2729"/>
    <w:rsid w:val="002F2746"/>
    <w:rsid w:val="002F326F"/>
    <w:rsid w:val="002F32CE"/>
    <w:rsid w:val="002F36E1"/>
    <w:rsid w:val="002F3A86"/>
    <w:rsid w:val="002F3CEA"/>
    <w:rsid w:val="002F3F8C"/>
    <w:rsid w:val="002F408C"/>
    <w:rsid w:val="002F4305"/>
    <w:rsid w:val="002F5369"/>
    <w:rsid w:val="002F59BB"/>
    <w:rsid w:val="002F638F"/>
    <w:rsid w:val="002F6FBA"/>
    <w:rsid w:val="002F7077"/>
    <w:rsid w:val="002F7482"/>
    <w:rsid w:val="002F7B36"/>
    <w:rsid w:val="002F7CB1"/>
    <w:rsid w:val="0030003D"/>
    <w:rsid w:val="003000E9"/>
    <w:rsid w:val="00300219"/>
    <w:rsid w:val="0030069E"/>
    <w:rsid w:val="003006D4"/>
    <w:rsid w:val="003006FF"/>
    <w:rsid w:val="0030094C"/>
    <w:rsid w:val="00300B68"/>
    <w:rsid w:val="00300C06"/>
    <w:rsid w:val="00300EC8"/>
    <w:rsid w:val="00301051"/>
    <w:rsid w:val="00301310"/>
    <w:rsid w:val="0030179D"/>
    <w:rsid w:val="00301940"/>
    <w:rsid w:val="00301B59"/>
    <w:rsid w:val="00301BDB"/>
    <w:rsid w:val="00302802"/>
    <w:rsid w:val="003028FF"/>
    <w:rsid w:val="00302960"/>
    <w:rsid w:val="00302B30"/>
    <w:rsid w:val="00302C7F"/>
    <w:rsid w:val="00302E81"/>
    <w:rsid w:val="003033B0"/>
    <w:rsid w:val="0030386C"/>
    <w:rsid w:val="00304494"/>
    <w:rsid w:val="003046EF"/>
    <w:rsid w:val="0030498B"/>
    <w:rsid w:val="0030587B"/>
    <w:rsid w:val="00305C72"/>
    <w:rsid w:val="00305E20"/>
    <w:rsid w:val="00305F1C"/>
    <w:rsid w:val="00305FA5"/>
    <w:rsid w:val="00306138"/>
    <w:rsid w:val="0030614E"/>
    <w:rsid w:val="00306AA6"/>
    <w:rsid w:val="00306AF1"/>
    <w:rsid w:val="00306E3F"/>
    <w:rsid w:val="00306EDC"/>
    <w:rsid w:val="0030715A"/>
    <w:rsid w:val="0030718D"/>
    <w:rsid w:val="0030785F"/>
    <w:rsid w:val="00307938"/>
    <w:rsid w:val="00307B03"/>
    <w:rsid w:val="00307C9C"/>
    <w:rsid w:val="00307D7E"/>
    <w:rsid w:val="00307EB3"/>
    <w:rsid w:val="00310226"/>
    <w:rsid w:val="00310453"/>
    <w:rsid w:val="003108CC"/>
    <w:rsid w:val="003109EA"/>
    <w:rsid w:val="00310C7C"/>
    <w:rsid w:val="0031110A"/>
    <w:rsid w:val="0031178D"/>
    <w:rsid w:val="00311B85"/>
    <w:rsid w:val="003123B2"/>
    <w:rsid w:val="003124A3"/>
    <w:rsid w:val="00312841"/>
    <w:rsid w:val="003129D3"/>
    <w:rsid w:val="00313FD2"/>
    <w:rsid w:val="00314759"/>
    <w:rsid w:val="00315486"/>
    <w:rsid w:val="00315555"/>
    <w:rsid w:val="00316789"/>
    <w:rsid w:val="00316AB0"/>
    <w:rsid w:val="00316B24"/>
    <w:rsid w:val="00316B37"/>
    <w:rsid w:val="00316CA8"/>
    <w:rsid w:val="00316D18"/>
    <w:rsid w:val="003172B8"/>
    <w:rsid w:val="00317300"/>
    <w:rsid w:val="00317368"/>
    <w:rsid w:val="003174AF"/>
    <w:rsid w:val="00317A22"/>
    <w:rsid w:val="00317D1C"/>
    <w:rsid w:val="0032035E"/>
    <w:rsid w:val="00320362"/>
    <w:rsid w:val="0032037D"/>
    <w:rsid w:val="0032085B"/>
    <w:rsid w:val="00320D1E"/>
    <w:rsid w:val="00320EFD"/>
    <w:rsid w:val="003213D2"/>
    <w:rsid w:val="00321576"/>
    <w:rsid w:val="00321864"/>
    <w:rsid w:val="00321B41"/>
    <w:rsid w:val="00321BA9"/>
    <w:rsid w:val="00321F6C"/>
    <w:rsid w:val="00322208"/>
    <w:rsid w:val="003227F8"/>
    <w:rsid w:val="00322D83"/>
    <w:rsid w:val="00323344"/>
    <w:rsid w:val="003233D7"/>
    <w:rsid w:val="00323462"/>
    <w:rsid w:val="00323574"/>
    <w:rsid w:val="00323938"/>
    <w:rsid w:val="00324676"/>
    <w:rsid w:val="003246C3"/>
    <w:rsid w:val="00324AF9"/>
    <w:rsid w:val="00324D25"/>
    <w:rsid w:val="003255E4"/>
    <w:rsid w:val="003256EB"/>
    <w:rsid w:val="003261E8"/>
    <w:rsid w:val="00326517"/>
    <w:rsid w:val="00326635"/>
    <w:rsid w:val="00326764"/>
    <w:rsid w:val="00326EA9"/>
    <w:rsid w:val="00327211"/>
    <w:rsid w:val="003276B0"/>
    <w:rsid w:val="00327A5F"/>
    <w:rsid w:val="00327E0F"/>
    <w:rsid w:val="00327E2C"/>
    <w:rsid w:val="00327EC6"/>
    <w:rsid w:val="00330080"/>
    <w:rsid w:val="003301A8"/>
    <w:rsid w:val="003305D4"/>
    <w:rsid w:val="003308B2"/>
    <w:rsid w:val="00330CED"/>
    <w:rsid w:val="00331243"/>
    <w:rsid w:val="00331624"/>
    <w:rsid w:val="0033177B"/>
    <w:rsid w:val="003319B9"/>
    <w:rsid w:val="00331C4B"/>
    <w:rsid w:val="00331C84"/>
    <w:rsid w:val="00332385"/>
    <w:rsid w:val="0033238D"/>
    <w:rsid w:val="003326D2"/>
    <w:rsid w:val="00332AF5"/>
    <w:rsid w:val="00332B84"/>
    <w:rsid w:val="00332BFA"/>
    <w:rsid w:val="00332E82"/>
    <w:rsid w:val="00333749"/>
    <w:rsid w:val="003339D4"/>
    <w:rsid w:val="00333AFB"/>
    <w:rsid w:val="00333CE0"/>
    <w:rsid w:val="0033428A"/>
    <w:rsid w:val="003342E8"/>
    <w:rsid w:val="0033440C"/>
    <w:rsid w:val="00334782"/>
    <w:rsid w:val="00334A94"/>
    <w:rsid w:val="00334BE9"/>
    <w:rsid w:val="00334FC4"/>
    <w:rsid w:val="0033526F"/>
    <w:rsid w:val="00335390"/>
    <w:rsid w:val="0033582A"/>
    <w:rsid w:val="00335C44"/>
    <w:rsid w:val="00335C5B"/>
    <w:rsid w:val="00335F6B"/>
    <w:rsid w:val="00335FAF"/>
    <w:rsid w:val="00336281"/>
    <w:rsid w:val="00336605"/>
    <w:rsid w:val="003366D8"/>
    <w:rsid w:val="00336803"/>
    <w:rsid w:val="003368E9"/>
    <w:rsid w:val="00336905"/>
    <w:rsid w:val="00336968"/>
    <w:rsid w:val="00336AB5"/>
    <w:rsid w:val="00336C05"/>
    <w:rsid w:val="00336E35"/>
    <w:rsid w:val="00337181"/>
    <w:rsid w:val="0033719F"/>
    <w:rsid w:val="00337490"/>
    <w:rsid w:val="003376F3"/>
    <w:rsid w:val="00337BAE"/>
    <w:rsid w:val="00337DE5"/>
    <w:rsid w:val="00337E18"/>
    <w:rsid w:val="00340306"/>
    <w:rsid w:val="00340346"/>
    <w:rsid w:val="00340568"/>
    <w:rsid w:val="00340635"/>
    <w:rsid w:val="0034073A"/>
    <w:rsid w:val="00340ABC"/>
    <w:rsid w:val="00340D14"/>
    <w:rsid w:val="00340E7B"/>
    <w:rsid w:val="00340F14"/>
    <w:rsid w:val="003411A4"/>
    <w:rsid w:val="0034131E"/>
    <w:rsid w:val="00341440"/>
    <w:rsid w:val="003419D1"/>
    <w:rsid w:val="00341B14"/>
    <w:rsid w:val="003420C3"/>
    <w:rsid w:val="003422CE"/>
    <w:rsid w:val="00342524"/>
    <w:rsid w:val="00342674"/>
    <w:rsid w:val="003427CA"/>
    <w:rsid w:val="00342A37"/>
    <w:rsid w:val="00342B3C"/>
    <w:rsid w:val="00342C68"/>
    <w:rsid w:val="003431AF"/>
    <w:rsid w:val="003432C6"/>
    <w:rsid w:val="00343540"/>
    <w:rsid w:val="003435D1"/>
    <w:rsid w:val="003437C7"/>
    <w:rsid w:val="003439C2"/>
    <w:rsid w:val="003439CF"/>
    <w:rsid w:val="00343D43"/>
    <w:rsid w:val="003442CF"/>
    <w:rsid w:val="003445AC"/>
    <w:rsid w:val="003446EA"/>
    <w:rsid w:val="00344DB2"/>
    <w:rsid w:val="00344FB1"/>
    <w:rsid w:val="003451A3"/>
    <w:rsid w:val="003451F1"/>
    <w:rsid w:val="003451F2"/>
    <w:rsid w:val="0034576B"/>
    <w:rsid w:val="0034580E"/>
    <w:rsid w:val="00345E0A"/>
    <w:rsid w:val="00345EB2"/>
    <w:rsid w:val="00346236"/>
    <w:rsid w:val="003463FC"/>
    <w:rsid w:val="00346D59"/>
    <w:rsid w:val="003473F1"/>
    <w:rsid w:val="00350006"/>
    <w:rsid w:val="0035004A"/>
    <w:rsid w:val="00350333"/>
    <w:rsid w:val="003503BD"/>
    <w:rsid w:val="00350811"/>
    <w:rsid w:val="0035095C"/>
    <w:rsid w:val="0035247A"/>
    <w:rsid w:val="003527AF"/>
    <w:rsid w:val="00352C05"/>
    <w:rsid w:val="00352CFB"/>
    <w:rsid w:val="00352E20"/>
    <w:rsid w:val="00352EBA"/>
    <w:rsid w:val="00353372"/>
    <w:rsid w:val="00353511"/>
    <w:rsid w:val="0035361B"/>
    <w:rsid w:val="0035361F"/>
    <w:rsid w:val="003539BB"/>
    <w:rsid w:val="00353A05"/>
    <w:rsid w:val="00353C4A"/>
    <w:rsid w:val="00353C65"/>
    <w:rsid w:val="00353F09"/>
    <w:rsid w:val="003541AC"/>
    <w:rsid w:val="00354A0E"/>
    <w:rsid w:val="00354ACF"/>
    <w:rsid w:val="00355402"/>
    <w:rsid w:val="003556DF"/>
    <w:rsid w:val="00355B34"/>
    <w:rsid w:val="00356400"/>
    <w:rsid w:val="003568B3"/>
    <w:rsid w:val="00356C50"/>
    <w:rsid w:val="00356CEB"/>
    <w:rsid w:val="003571A0"/>
    <w:rsid w:val="003576D1"/>
    <w:rsid w:val="0035777B"/>
    <w:rsid w:val="00357893"/>
    <w:rsid w:val="00357D0D"/>
    <w:rsid w:val="0036012A"/>
    <w:rsid w:val="003604B8"/>
    <w:rsid w:val="00360652"/>
    <w:rsid w:val="0036094A"/>
    <w:rsid w:val="00360E53"/>
    <w:rsid w:val="00360F71"/>
    <w:rsid w:val="00360F78"/>
    <w:rsid w:val="00360FDC"/>
    <w:rsid w:val="00361897"/>
    <w:rsid w:val="00361955"/>
    <w:rsid w:val="00361C7D"/>
    <w:rsid w:val="00361D85"/>
    <w:rsid w:val="00362771"/>
    <w:rsid w:val="00362A00"/>
    <w:rsid w:val="00363A28"/>
    <w:rsid w:val="00363C13"/>
    <w:rsid w:val="00363D35"/>
    <w:rsid w:val="0036405E"/>
    <w:rsid w:val="0036442A"/>
    <w:rsid w:val="00364BF8"/>
    <w:rsid w:val="00364F23"/>
    <w:rsid w:val="00365226"/>
    <w:rsid w:val="003653A4"/>
    <w:rsid w:val="003655B8"/>
    <w:rsid w:val="00365A0D"/>
    <w:rsid w:val="00365E8E"/>
    <w:rsid w:val="00365F22"/>
    <w:rsid w:val="003660C2"/>
    <w:rsid w:val="003662EB"/>
    <w:rsid w:val="0036699D"/>
    <w:rsid w:val="00366FB0"/>
    <w:rsid w:val="00367157"/>
    <w:rsid w:val="00367385"/>
    <w:rsid w:val="003673FA"/>
    <w:rsid w:val="003676BE"/>
    <w:rsid w:val="00367947"/>
    <w:rsid w:val="00367C9E"/>
    <w:rsid w:val="00367E39"/>
    <w:rsid w:val="003701DB"/>
    <w:rsid w:val="00370717"/>
    <w:rsid w:val="00370890"/>
    <w:rsid w:val="003708E4"/>
    <w:rsid w:val="00370CE2"/>
    <w:rsid w:val="00371404"/>
    <w:rsid w:val="0037178D"/>
    <w:rsid w:val="00371F48"/>
    <w:rsid w:val="00372710"/>
    <w:rsid w:val="0037273A"/>
    <w:rsid w:val="00372F1C"/>
    <w:rsid w:val="00372FD1"/>
    <w:rsid w:val="00373022"/>
    <w:rsid w:val="00373274"/>
    <w:rsid w:val="0037334B"/>
    <w:rsid w:val="0037360E"/>
    <w:rsid w:val="003736A8"/>
    <w:rsid w:val="00373C45"/>
    <w:rsid w:val="0037408B"/>
    <w:rsid w:val="00374117"/>
    <w:rsid w:val="00374200"/>
    <w:rsid w:val="0037453F"/>
    <w:rsid w:val="003745A9"/>
    <w:rsid w:val="0037483C"/>
    <w:rsid w:val="00374BE4"/>
    <w:rsid w:val="00374FE6"/>
    <w:rsid w:val="00376543"/>
    <w:rsid w:val="00376756"/>
    <w:rsid w:val="00376C33"/>
    <w:rsid w:val="00376EE8"/>
    <w:rsid w:val="00377195"/>
    <w:rsid w:val="0037749A"/>
    <w:rsid w:val="0037753E"/>
    <w:rsid w:val="00377712"/>
    <w:rsid w:val="00377A3E"/>
    <w:rsid w:val="00377D2F"/>
    <w:rsid w:val="00377F25"/>
    <w:rsid w:val="00380352"/>
    <w:rsid w:val="00380445"/>
    <w:rsid w:val="00380517"/>
    <w:rsid w:val="00380D52"/>
    <w:rsid w:val="00380F89"/>
    <w:rsid w:val="003812CC"/>
    <w:rsid w:val="00381487"/>
    <w:rsid w:val="003816FB"/>
    <w:rsid w:val="00381C0F"/>
    <w:rsid w:val="00381F71"/>
    <w:rsid w:val="00382205"/>
    <w:rsid w:val="0038240D"/>
    <w:rsid w:val="003825B3"/>
    <w:rsid w:val="003828C2"/>
    <w:rsid w:val="00382ABF"/>
    <w:rsid w:val="00382D9F"/>
    <w:rsid w:val="00383A03"/>
    <w:rsid w:val="00383BE3"/>
    <w:rsid w:val="0038401E"/>
    <w:rsid w:val="003840EE"/>
    <w:rsid w:val="0038424B"/>
    <w:rsid w:val="0038433D"/>
    <w:rsid w:val="003843BB"/>
    <w:rsid w:val="00384449"/>
    <w:rsid w:val="003844AE"/>
    <w:rsid w:val="00384696"/>
    <w:rsid w:val="003847AB"/>
    <w:rsid w:val="00384DCC"/>
    <w:rsid w:val="00384F16"/>
    <w:rsid w:val="00385174"/>
    <w:rsid w:val="00385279"/>
    <w:rsid w:val="00385432"/>
    <w:rsid w:val="0038567A"/>
    <w:rsid w:val="00385788"/>
    <w:rsid w:val="00385D53"/>
    <w:rsid w:val="00385F53"/>
    <w:rsid w:val="0038629B"/>
    <w:rsid w:val="003867F0"/>
    <w:rsid w:val="00386802"/>
    <w:rsid w:val="00386A1C"/>
    <w:rsid w:val="00386A92"/>
    <w:rsid w:val="00386BEE"/>
    <w:rsid w:val="00387412"/>
    <w:rsid w:val="00387B56"/>
    <w:rsid w:val="00387C7E"/>
    <w:rsid w:val="00390548"/>
    <w:rsid w:val="00390561"/>
    <w:rsid w:val="003909F8"/>
    <w:rsid w:val="00390C73"/>
    <w:rsid w:val="00390D55"/>
    <w:rsid w:val="0039128B"/>
    <w:rsid w:val="003912A7"/>
    <w:rsid w:val="003913C9"/>
    <w:rsid w:val="00391B5F"/>
    <w:rsid w:val="00391F67"/>
    <w:rsid w:val="00392051"/>
    <w:rsid w:val="00392496"/>
    <w:rsid w:val="003924DD"/>
    <w:rsid w:val="00392A18"/>
    <w:rsid w:val="00392EFF"/>
    <w:rsid w:val="00393165"/>
    <w:rsid w:val="003932F2"/>
    <w:rsid w:val="003937F9"/>
    <w:rsid w:val="003938BA"/>
    <w:rsid w:val="00393B57"/>
    <w:rsid w:val="00393BA5"/>
    <w:rsid w:val="003941D1"/>
    <w:rsid w:val="003946AD"/>
    <w:rsid w:val="00394EC4"/>
    <w:rsid w:val="0039508B"/>
    <w:rsid w:val="003950E5"/>
    <w:rsid w:val="00395260"/>
    <w:rsid w:val="003953ED"/>
    <w:rsid w:val="003955CA"/>
    <w:rsid w:val="00395828"/>
    <w:rsid w:val="0039588D"/>
    <w:rsid w:val="00395A26"/>
    <w:rsid w:val="00395A5F"/>
    <w:rsid w:val="00395B66"/>
    <w:rsid w:val="00395F34"/>
    <w:rsid w:val="00396588"/>
    <w:rsid w:val="00396999"/>
    <w:rsid w:val="00396B2C"/>
    <w:rsid w:val="00396D43"/>
    <w:rsid w:val="003972A7"/>
    <w:rsid w:val="00397582"/>
    <w:rsid w:val="00397734"/>
    <w:rsid w:val="00397A3D"/>
    <w:rsid w:val="00397C10"/>
    <w:rsid w:val="00397D0B"/>
    <w:rsid w:val="00397EF1"/>
    <w:rsid w:val="003A010A"/>
    <w:rsid w:val="003A057B"/>
    <w:rsid w:val="003A062B"/>
    <w:rsid w:val="003A0776"/>
    <w:rsid w:val="003A0A0C"/>
    <w:rsid w:val="003A0BAA"/>
    <w:rsid w:val="003A0FCF"/>
    <w:rsid w:val="003A1307"/>
    <w:rsid w:val="003A192C"/>
    <w:rsid w:val="003A2251"/>
    <w:rsid w:val="003A24AB"/>
    <w:rsid w:val="003A288C"/>
    <w:rsid w:val="003A3AD3"/>
    <w:rsid w:val="003A4193"/>
    <w:rsid w:val="003A49D4"/>
    <w:rsid w:val="003A4AD3"/>
    <w:rsid w:val="003A4ED4"/>
    <w:rsid w:val="003A5114"/>
    <w:rsid w:val="003A51CE"/>
    <w:rsid w:val="003A5238"/>
    <w:rsid w:val="003A5283"/>
    <w:rsid w:val="003A5683"/>
    <w:rsid w:val="003A5A45"/>
    <w:rsid w:val="003A60A3"/>
    <w:rsid w:val="003A60A6"/>
    <w:rsid w:val="003A60F0"/>
    <w:rsid w:val="003A641B"/>
    <w:rsid w:val="003A6576"/>
    <w:rsid w:val="003A675E"/>
    <w:rsid w:val="003A6FF3"/>
    <w:rsid w:val="003A7296"/>
    <w:rsid w:val="003A735B"/>
    <w:rsid w:val="003A76EA"/>
    <w:rsid w:val="003A7E34"/>
    <w:rsid w:val="003A7EC7"/>
    <w:rsid w:val="003B001F"/>
    <w:rsid w:val="003B126E"/>
    <w:rsid w:val="003B1680"/>
    <w:rsid w:val="003B18F0"/>
    <w:rsid w:val="003B208B"/>
    <w:rsid w:val="003B30F1"/>
    <w:rsid w:val="003B318B"/>
    <w:rsid w:val="003B33B8"/>
    <w:rsid w:val="003B34EB"/>
    <w:rsid w:val="003B362C"/>
    <w:rsid w:val="003B3829"/>
    <w:rsid w:val="003B3AAF"/>
    <w:rsid w:val="003B3DEC"/>
    <w:rsid w:val="003B3F81"/>
    <w:rsid w:val="003B4066"/>
    <w:rsid w:val="003B457E"/>
    <w:rsid w:val="003B468D"/>
    <w:rsid w:val="003B46D4"/>
    <w:rsid w:val="003B4D64"/>
    <w:rsid w:val="003B5932"/>
    <w:rsid w:val="003B5D92"/>
    <w:rsid w:val="003B5E53"/>
    <w:rsid w:val="003B6299"/>
    <w:rsid w:val="003B6354"/>
    <w:rsid w:val="003B66BE"/>
    <w:rsid w:val="003B67F4"/>
    <w:rsid w:val="003B6825"/>
    <w:rsid w:val="003B6EBD"/>
    <w:rsid w:val="003B73B3"/>
    <w:rsid w:val="003B7432"/>
    <w:rsid w:val="003B7B11"/>
    <w:rsid w:val="003B7FBB"/>
    <w:rsid w:val="003C0485"/>
    <w:rsid w:val="003C0A2E"/>
    <w:rsid w:val="003C1135"/>
    <w:rsid w:val="003C15FE"/>
    <w:rsid w:val="003C189E"/>
    <w:rsid w:val="003C224E"/>
    <w:rsid w:val="003C26B4"/>
    <w:rsid w:val="003C282E"/>
    <w:rsid w:val="003C28F7"/>
    <w:rsid w:val="003C3273"/>
    <w:rsid w:val="003C32C3"/>
    <w:rsid w:val="003C381A"/>
    <w:rsid w:val="003C395F"/>
    <w:rsid w:val="003C3976"/>
    <w:rsid w:val="003C3B7A"/>
    <w:rsid w:val="003C3D12"/>
    <w:rsid w:val="003C459B"/>
    <w:rsid w:val="003C45BF"/>
    <w:rsid w:val="003C4840"/>
    <w:rsid w:val="003C4887"/>
    <w:rsid w:val="003C4898"/>
    <w:rsid w:val="003C4A89"/>
    <w:rsid w:val="003C4DCC"/>
    <w:rsid w:val="003C4FDD"/>
    <w:rsid w:val="003C5507"/>
    <w:rsid w:val="003C5643"/>
    <w:rsid w:val="003C57D6"/>
    <w:rsid w:val="003C59AF"/>
    <w:rsid w:val="003C618B"/>
    <w:rsid w:val="003C6762"/>
    <w:rsid w:val="003C6A0C"/>
    <w:rsid w:val="003C6A4D"/>
    <w:rsid w:val="003C6A80"/>
    <w:rsid w:val="003C79C7"/>
    <w:rsid w:val="003C7BF7"/>
    <w:rsid w:val="003C7E0F"/>
    <w:rsid w:val="003C7F0C"/>
    <w:rsid w:val="003D04A5"/>
    <w:rsid w:val="003D04C4"/>
    <w:rsid w:val="003D0505"/>
    <w:rsid w:val="003D0543"/>
    <w:rsid w:val="003D0606"/>
    <w:rsid w:val="003D1491"/>
    <w:rsid w:val="003D162F"/>
    <w:rsid w:val="003D1759"/>
    <w:rsid w:val="003D1870"/>
    <w:rsid w:val="003D1A0C"/>
    <w:rsid w:val="003D1A31"/>
    <w:rsid w:val="003D1C6B"/>
    <w:rsid w:val="003D1C94"/>
    <w:rsid w:val="003D2404"/>
    <w:rsid w:val="003D2684"/>
    <w:rsid w:val="003D2714"/>
    <w:rsid w:val="003D2DF7"/>
    <w:rsid w:val="003D2E66"/>
    <w:rsid w:val="003D3231"/>
    <w:rsid w:val="003D329E"/>
    <w:rsid w:val="003D38B9"/>
    <w:rsid w:val="003D3D22"/>
    <w:rsid w:val="003D4250"/>
    <w:rsid w:val="003D4945"/>
    <w:rsid w:val="003D5151"/>
    <w:rsid w:val="003D5590"/>
    <w:rsid w:val="003D570B"/>
    <w:rsid w:val="003D5984"/>
    <w:rsid w:val="003D5C16"/>
    <w:rsid w:val="003D5C1D"/>
    <w:rsid w:val="003D61BD"/>
    <w:rsid w:val="003D625F"/>
    <w:rsid w:val="003D6741"/>
    <w:rsid w:val="003D6E33"/>
    <w:rsid w:val="003D71FE"/>
    <w:rsid w:val="003D7C50"/>
    <w:rsid w:val="003D7E0A"/>
    <w:rsid w:val="003E012B"/>
    <w:rsid w:val="003E02B8"/>
    <w:rsid w:val="003E0596"/>
    <w:rsid w:val="003E08AD"/>
    <w:rsid w:val="003E08D6"/>
    <w:rsid w:val="003E0914"/>
    <w:rsid w:val="003E0934"/>
    <w:rsid w:val="003E1230"/>
    <w:rsid w:val="003E161B"/>
    <w:rsid w:val="003E189E"/>
    <w:rsid w:val="003E1BAE"/>
    <w:rsid w:val="003E1BF1"/>
    <w:rsid w:val="003E223D"/>
    <w:rsid w:val="003E226E"/>
    <w:rsid w:val="003E2796"/>
    <w:rsid w:val="003E2C30"/>
    <w:rsid w:val="003E2CA9"/>
    <w:rsid w:val="003E2CE9"/>
    <w:rsid w:val="003E2E07"/>
    <w:rsid w:val="003E32F7"/>
    <w:rsid w:val="003E34A9"/>
    <w:rsid w:val="003E35E9"/>
    <w:rsid w:val="003E36CE"/>
    <w:rsid w:val="003E386D"/>
    <w:rsid w:val="003E393C"/>
    <w:rsid w:val="003E3C9B"/>
    <w:rsid w:val="003E3F1A"/>
    <w:rsid w:val="003E4210"/>
    <w:rsid w:val="003E45FC"/>
    <w:rsid w:val="003E4724"/>
    <w:rsid w:val="003E49AD"/>
    <w:rsid w:val="003E4F99"/>
    <w:rsid w:val="003E4FA1"/>
    <w:rsid w:val="003E52CC"/>
    <w:rsid w:val="003E5318"/>
    <w:rsid w:val="003E55FC"/>
    <w:rsid w:val="003E5A21"/>
    <w:rsid w:val="003E5D94"/>
    <w:rsid w:val="003E5E6B"/>
    <w:rsid w:val="003E68D4"/>
    <w:rsid w:val="003E69D0"/>
    <w:rsid w:val="003E6AD3"/>
    <w:rsid w:val="003E6E0B"/>
    <w:rsid w:val="003E7178"/>
    <w:rsid w:val="003E737B"/>
    <w:rsid w:val="003E76CC"/>
    <w:rsid w:val="003E77BC"/>
    <w:rsid w:val="003E786A"/>
    <w:rsid w:val="003E7BE7"/>
    <w:rsid w:val="003F009C"/>
    <w:rsid w:val="003F0294"/>
    <w:rsid w:val="003F049B"/>
    <w:rsid w:val="003F0E11"/>
    <w:rsid w:val="003F0EC8"/>
    <w:rsid w:val="003F23A9"/>
    <w:rsid w:val="003F25C6"/>
    <w:rsid w:val="003F3015"/>
    <w:rsid w:val="003F3427"/>
    <w:rsid w:val="003F357E"/>
    <w:rsid w:val="003F3A0F"/>
    <w:rsid w:val="003F3AE3"/>
    <w:rsid w:val="003F4B6D"/>
    <w:rsid w:val="003F5204"/>
    <w:rsid w:val="003F5637"/>
    <w:rsid w:val="003F5BB0"/>
    <w:rsid w:val="003F5C5D"/>
    <w:rsid w:val="003F5E8B"/>
    <w:rsid w:val="003F6606"/>
    <w:rsid w:val="003F6DC0"/>
    <w:rsid w:val="003F70F8"/>
    <w:rsid w:val="003F7142"/>
    <w:rsid w:val="003F7266"/>
    <w:rsid w:val="003F7EBB"/>
    <w:rsid w:val="003F7F01"/>
    <w:rsid w:val="003F7F26"/>
    <w:rsid w:val="004002E9"/>
    <w:rsid w:val="004007C0"/>
    <w:rsid w:val="00400B53"/>
    <w:rsid w:val="00401133"/>
    <w:rsid w:val="00401567"/>
    <w:rsid w:val="0040178E"/>
    <w:rsid w:val="00401CDB"/>
    <w:rsid w:val="00401F7B"/>
    <w:rsid w:val="0040243E"/>
    <w:rsid w:val="00402560"/>
    <w:rsid w:val="00402C17"/>
    <w:rsid w:val="00402C20"/>
    <w:rsid w:val="00402D9D"/>
    <w:rsid w:val="00402E0F"/>
    <w:rsid w:val="00403223"/>
    <w:rsid w:val="00403428"/>
    <w:rsid w:val="00403567"/>
    <w:rsid w:val="00403BA0"/>
    <w:rsid w:val="00403C89"/>
    <w:rsid w:val="00403CE7"/>
    <w:rsid w:val="00404566"/>
    <w:rsid w:val="004045AF"/>
    <w:rsid w:val="004045DB"/>
    <w:rsid w:val="00404798"/>
    <w:rsid w:val="00404CBA"/>
    <w:rsid w:val="00404E63"/>
    <w:rsid w:val="00404F16"/>
    <w:rsid w:val="00404F88"/>
    <w:rsid w:val="00405657"/>
    <w:rsid w:val="00405994"/>
    <w:rsid w:val="00405DC6"/>
    <w:rsid w:val="00406324"/>
    <w:rsid w:val="0040632B"/>
    <w:rsid w:val="00406A14"/>
    <w:rsid w:val="00406E2A"/>
    <w:rsid w:val="004075AD"/>
    <w:rsid w:val="0040788A"/>
    <w:rsid w:val="00407CF2"/>
    <w:rsid w:val="004109E2"/>
    <w:rsid w:val="00410A61"/>
    <w:rsid w:val="0041122E"/>
    <w:rsid w:val="00411497"/>
    <w:rsid w:val="00411681"/>
    <w:rsid w:val="00411B53"/>
    <w:rsid w:val="004121CC"/>
    <w:rsid w:val="004125EC"/>
    <w:rsid w:val="004128FC"/>
    <w:rsid w:val="00412B58"/>
    <w:rsid w:val="00412B7D"/>
    <w:rsid w:val="00412C70"/>
    <w:rsid w:val="00412CBA"/>
    <w:rsid w:val="00413154"/>
    <w:rsid w:val="004135DB"/>
    <w:rsid w:val="00413B92"/>
    <w:rsid w:val="00413C13"/>
    <w:rsid w:val="004143A7"/>
    <w:rsid w:val="004146DD"/>
    <w:rsid w:val="00414759"/>
    <w:rsid w:val="004147A2"/>
    <w:rsid w:val="004148FE"/>
    <w:rsid w:val="00414BEA"/>
    <w:rsid w:val="00415D0E"/>
    <w:rsid w:val="0041639D"/>
    <w:rsid w:val="00416492"/>
    <w:rsid w:val="004169D0"/>
    <w:rsid w:val="00416B40"/>
    <w:rsid w:val="00416F8B"/>
    <w:rsid w:val="00417000"/>
    <w:rsid w:val="004172D6"/>
    <w:rsid w:val="00417336"/>
    <w:rsid w:val="004178C3"/>
    <w:rsid w:val="004178C6"/>
    <w:rsid w:val="004178F4"/>
    <w:rsid w:val="00417F16"/>
    <w:rsid w:val="004201F0"/>
    <w:rsid w:val="00420967"/>
    <w:rsid w:val="00420A35"/>
    <w:rsid w:val="00420A53"/>
    <w:rsid w:val="0042115E"/>
    <w:rsid w:val="004216D9"/>
    <w:rsid w:val="00421C01"/>
    <w:rsid w:val="00421C2D"/>
    <w:rsid w:val="004225B3"/>
    <w:rsid w:val="00422BA0"/>
    <w:rsid w:val="0042324C"/>
    <w:rsid w:val="00423451"/>
    <w:rsid w:val="00423664"/>
    <w:rsid w:val="00423767"/>
    <w:rsid w:val="00423A9E"/>
    <w:rsid w:val="00423B54"/>
    <w:rsid w:val="00423DF1"/>
    <w:rsid w:val="004244E7"/>
    <w:rsid w:val="00424762"/>
    <w:rsid w:val="004249C6"/>
    <w:rsid w:val="00424BE9"/>
    <w:rsid w:val="00424C2C"/>
    <w:rsid w:val="0042565A"/>
    <w:rsid w:val="00425A4D"/>
    <w:rsid w:val="00425E08"/>
    <w:rsid w:val="00425FBD"/>
    <w:rsid w:val="00426113"/>
    <w:rsid w:val="00426373"/>
    <w:rsid w:val="00426405"/>
    <w:rsid w:val="00426EFC"/>
    <w:rsid w:val="00426FFC"/>
    <w:rsid w:val="00427210"/>
    <w:rsid w:val="00427266"/>
    <w:rsid w:val="004274CF"/>
    <w:rsid w:val="004274D5"/>
    <w:rsid w:val="00427825"/>
    <w:rsid w:val="00427921"/>
    <w:rsid w:val="00427A19"/>
    <w:rsid w:val="00427C8A"/>
    <w:rsid w:val="00427CA1"/>
    <w:rsid w:val="004300CE"/>
    <w:rsid w:val="00430491"/>
    <w:rsid w:val="00430999"/>
    <w:rsid w:val="004310A9"/>
    <w:rsid w:val="00431158"/>
    <w:rsid w:val="00431160"/>
    <w:rsid w:val="0043125A"/>
    <w:rsid w:val="0043151E"/>
    <w:rsid w:val="004317C2"/>
    <w:rsid w:val="00431AF4"/>
    <w:rsid w:val="00432CB1"/>
    <w:rsid w:val="00433226"/>
    <w:rsid w:val="00433253"/>
    <w:rsid w:val="0043358F"/>
    <w:rsid w:val="004338BE"/>
    <w:rsid w:val="00433AEA"/>
    <w:rsid w:val="00433C0A"/>
    <w:rsid w:val="004343F9"/>
    <w:rsid w:val="00434779"/>
    <w:rsid w:val="004348AA"/>
    <w:rsid w:val="00434945"/>
    <w:rsid w:val="00434A28"/>
    <w:rsid w:val="00434F76"/>
    <w:rsid w:val="00434F84"/>
    <w:rsid w:val="0043551B"/>
    <w:rsid w:val="00435656"/>
    <w:rsid w:val="00435819"/>
    <w:rsid w:val="00435A11"/>
    <w:rsid w:val="004366D4"/>
    <w:rsid w:val="004366E7"/>
    <w:rsid w:val="00436807"/>
    <w:rsid w:val="00436A67"/>
    <w:rsid w:val="00436C23"/>
    <w:rsid w:val="00437263"/>
    <w:rsid w:val="004372ED"/>
    <w:rsid w:val="0043766C"/>
    <w:rsid w:val="0043771C"/>
    <w:rsid w:val="004377CE"/>
    <w:rsid w:val="0043780A"/>
    <w:rsid w:val="00437B08"/>
    <w:rsid w:val="004407A2"/>
    <w:rsid w:val="0044098A"/>
    <w:rsid w:val="00440B23"/>
    <w:rsid w:val="00440C91"/>
    <w:rsid w:val="00440DB4"/>
    <w:rsid w:val="004410DC"/>
    <w:rsid w:val="004414AA"/>
    <w:rsid w:val="0044162E"/>
    <w:rsid w:val="00441B50"/>
    <w:rsid w:val="00441C50"/>
    <w:rsid w:val="00441C74"/>
    <w:rsid w:val="00441E61"/>
    <w:rsid w:val="00441F16"/>
    <w:rsid w:val="0044218F"/>
    <w:rsid w:val="004421EB"/>
    <w:rsid w:val="0044268A"/>
    <w:rsid w:val="00442843"/>
    <w:rsid w:val="00442A89"/>
    <w:rsid w:val="00442EEC"/>
    <w:rsid w:val="004434E0"/>
    <w:rsid w:val="0044361B"/>
    <w:rsid w:val="00443800"/>
    <w:rsid w:val="00443A55"/>
    <w:rsid w:val="0044403D"/>
    <w:rsid w:val="00444106"/>
    <w:rsid w:val="0044413D"/>
    <w:rsid w:val="004441DD"/>
    <w:rsid w:val="0044468E"/>
    <w:rsid w:val="004446E3"/>
    <w:rsid w:val="00444738"/>
    <w:rsid w:val="00444B19"/>
    <w:rsid w:val="00444C87"/>
    <w:rsid w:val="00444ED9"/>
    <w:rsid w:val="00444FB5"/>
    <w:rsid w:val="0044517B"/>
    <w:rsid w:val="0044550D"/>
    <w:rsid w:val="004459A2"/>
    <w:rsid w:val="00445BE5"/>
    <w:rsid w:val="00446164"/>
    <w:rsid w:val="004466D9"/>
    <w:rsid w:val="00446AC6"/>
    <w:rsid w:val="00446DE3"/>
    <w:rsid w:val="00447031"/>
    <w:rsid w:val="004471B2"/>
    <w:rsid w:val="0045053A"/>
    <w:rsid w:val="00450564"/>
    <w:rsid w:val="0045074C"/>
    <w:rsid w:val="00450796"/>
    <w:rsid w:val="00450A41"/>
    <w:rsid w:val="00451008"/>
    <w:rsid w:val="004510BC"/>
    <w:rsid w:val="004513AA"/>
    <w:rsid w:val="00451603"/>
    <w:rsid w:val="00451B20"/>
    <w:rsid w:val="004520D2"/>
    <w:rsid w:val="004526C8"/>
    <w:rsid w:val="00452C23"/>
    <w:rsid w:val="00452CE3"/>
    <w:rsid w:val="00452CE8"/>
    <w:rsid w:val="00452D65"/>
    <w:rsid w:val="00452DF9"/>
    <w:rsid w:val="00452F22"/>
    <w:rsid w:val="0045301F"/>
    <w:rsid w:val="004535CB"/>
    <w:rsid w:val="00453714"/>
    <w:rsid w:val="0045410C"/>
    <w:rsid w:val="00454187"/>
    <w:rsid w:val="00454245"/>
    <w:rsid w:val="0045439D"/>
    <w:rsid w:val="004544BD"/>
    <w:rsid w:val="00454872"/>
    <w:rsid w:val="00454BE7"/>
    <w:rsid w:val="00454CFC"/>
    <w:rsid w:val="004557CC"/>
    <w:rsid w:val="00455862"/>
    <w:rsid w:val="00455BC5"/>
    <w:rsid w:val="00455E02"/>
    <w:rsid w:val="00456030"/>
    <w:rsid w:val="004564FA"/>
    <w:rsid w:val="00456531"/>
    <w:rsid w:val="004566E0"/>
    <w:rsid w:val="00456A4C"/>
    <w:rsid w:val="00456D77"/>
    <w:rsid w:val="00456F65"/>
    <w:rsid w:val="00457024"/>
    <w:rsid w:val="004571BC"/>
    <w:rsid w:val="004573C9"/>
    <w:rsid w:val="004575AB"/>
    <w:rsid w:val="004577F3"/>
    <w:rsid w:val="004579E6"/>
    <w:rsid w:val="00457BD1"/>
    <w:rsid w:val="00460852"/>
    <w:rsid w:val="004608C3"/>
    <w:rsid w:val="004608CA"/>
    <w:rsid w:val="004610A7"/>
    <w:rsid w:val="00461537"/>
    <w:rsid w:val="004616E7"/>
    <w:rsid w:val="00461964"/>
    <w:rsid w:val="004619AA"/>
    <w:rsid w:val="00461A5F"/>
    <w:rsid w:val="00461E71"/>
    <w:rsid w:val="00462075"/>
    <w:rsid w:val="004625C0"/>
    <w:rsid w:val="004625C7"/>
    <w:rsid w:val="004626E5"/>
    <w:rsid w:val="0046270F"/>
    <w:rsid w:val="00462898"/>
    <w:rsid w:val="00462A03"/>
    <w:rsid w:val="0046325B"/>
    <w:rsid w:val="0046351B"/>
    <w:rsid w:val="00463715"/>
    <w:rsid w:val="00463AB2"/>
    <w:rsid w:val="00463C0E"/>
    <w:rsid w:val="00463C38"/>
    <w:rsid w:val="00463F84"/>
    <w:rsid w:val="00463FA8"/>
    <w:rsid w:val="00464222"/>
    <w:rsid w:val="004644B5"/>
    <w:rsid w:val="004644C8"/>
    <w:rsid w:val="00464C0D"/>
    <w:rsid w:val="00464E9D"/>
    <w:rsid w:val="00465365"/>
    <w:rsid w:val="00465876"/>
    <w:rsid w:val="00465950"/>
    <w:rsid w:val="004659EF"/>
    <w:rsid w:val="00465EE0"/>
    <w:rsid w:val="00466031"/>
    <w:rsid w:val="004665DB"/>
    <w:rsid w:val="00466640"/>
    <w:rsid w:val="00466B25"/>
    <w:rsid w:val="00466BEA"/>
    <w:rsid w:val="004674F0"/>
    <w:rsid w:val="004679A0"/>
    <w:rsid w:val="00467DBD"/>
    <w:rsid w:val="0047028C"/>
    <w:rsid w:val="0047041A"/>
    <w:rsid w:val="0047068F"/>
    <w:rsid w:val="004706A8"/>
    <w:rsid w:val="0047096B"/>
    <w:rsid w:val="0047100C"/>
    <w:rsid w:val="0047102F"/>
    <w:rsid w:val="00471536"/>
    <w:rsid w:val="00471916"/>
    <w:rsid w:val="004719AD"/>
    <w:rsid w:val="00471A40"/>
    <w:rsid w:val="00471A8A"/>
    <w:rsid w:val="0047211E"/>
    <w:rsid w:val="00472A52"/>
    <w:rsid w:val="00472E4A"/>
    <w:rsid w:val="004732C4"/>
    <w:rsid w:val="004736C4"/>
    <w:rsid w:val="004738AA"/>
    <w:rsid w:val="004741E4"/>
    <w:rsid w:val="004756A3"/>
    <w:rsid w:val="00475899"/>
    <w:rsid w:val="004759A5"/>
    <w:rsid w:val="00475A8C"/>
    <w:rsid w:val="00475C26"/>
    <w:rsid w:val="00475C96"/>
    <w:rsid w:val="004760AD"/>
    <w:rsid w:val="00476250"/>
    <w:rsid w:val="00476788"/>
    <w:rsid w:val="00476C21"/>
    <w:rsid w:val="00476D9E"/>
    <w:rsid w:val="00476DE9"/>
    <w:rsid w:val="0047735A"/>
    <w:rsid w:val="0047742A"/>
    <w:rsid w:val="00477518"/>
    <w:rsid w:val="00477607"/>
    <w:rsid w:val="00477655"/>
    <w:rsid w:val="004776DC"/>
    <w:rsid w:val="00477F7F"/>
    <w:rsid w:val="00480331"/>
    <w:rsid w:val="00480552"/>
    <w:rsid w:val="004805C4"/>
    <w:rsid w:val="00480778"/>
    <w:rsid w:val="004808B3"/>
    <w:rsid w:val="00480E52"/>
    <w:rsid w:val="00481767"/>
    <w:rsid w:val="0048184E"/>
    <w:rsid w:val="004819B8"/>
    <w:rsid w:val="00481CF8"/>
    <w:rsid w:val="004825C5"/>
    <w:rsid w:val="00482783"/>
    <w:rsid w:val="00482872"/>
    <w:rsid w:val="0048334A"/>
    <w:rsid w:val="00483AEC"/>
    <w:rsid w:val="00483CB8"/>
    <w:rsid w:val="00483D9E"/>
    <w:rsid w:val="00483EDB"/>
    <w:rsid w:val="0048417B"/>
    <w:rsid w:val="004846A2"/>
    <w:rsid w:val="00484A1C"/>
    <w:rsid w:val="00484A55"/>
    <w:rsid w:val="00484D99"/>
    <w:rsid w:val="00484E2E"/>
    <w:rsid w:val="00485100"/>
    <w:rsid w:val="0048510F"/>
    <w:rsid w:val="00485224"/>
    <w:rsid w:val="00485251"/>
    <w:rsid w:val="00485A7B"/>
    <w:rsid w:val="0048633A"/>
    <w:rsid w:val="00486408"/>
    <w:rsid w:val="00486906"/>
    <w:rsid w:val="00486B71"/>
    <w:rsid w:val="00486BD1"/>
    <w:rsid w:val="00486D96"/>
    <w:rsid w:val="00487343"/>
    <w:rsid w:val="004878B6"/>
    <w:rsid w:val="004879C9"/>
    <w:rsid w:val="00487B49"/>
    <w:rsid w:val="00487DE4"/>
    <w:rsid w:val="00490064"/>
    <w:rsid w:val="0049010B"/>
    <w:rsid w:val="00490C8B"/>
    <w:rsid w:val="00490F99"/>
    <w:rsid w:val="00491240"/>
    <w:rsid w:val="004914E9"/>
    <w:rsid w:val="00491D23"/>
    <w:rsid w:val="00491E3A"/>
    <w:rsid w:val="00492238"/>
    <w:rsid w:val="00492750"/>
    <w:rsid w:val="004927CA"/>
    <w:rsid w:val="00492BD6"/>
    <w:rsid w:val="004931A5"/>
    <w:rsid w:val="00493A40"/>
    <w:rsid w:val="00493D83"/>
    <w:rsid w:val="00493DD7"/>
    <w:rsid w:val="00493F05"/>
    <w:rsid w:val="00493F7B"/>
    <w:rsid w:val="00494077"/>
    <w:rsid w:val="00494706"/>
    <w:rsid w:val="00494867"/>
    <w:rsid w:val="00494C90"/>
    <w:rsid w:val="00494D24"/>
    <w:rsid w:val="00494EF2"/>
    <w:rsid w:val="00494FAB"/>
    <w:rsid w:val="00495E44"/>
    <w:rsid w:val="00495E5A"/>
    <w:rsid w:val="00495E80"/>
    <w:rsid w:val="004960E7"/>
    <w:rsid w:val="00496142"/>
    <w:rsid w:val="0049630E"/>
    <w:rsid w:val="004963B6"/>
    <w:rsid w:val="0049644C"/>
    <w:rsid w:val="00496CBB"/>
    <w:rsid w:val="00496D88"/>
    <w:rsid w:val="00496DCD"/>
    <w:rsid w:val="00497088"/>
    <w:rsid w:val="004971B3"/>
    <w:rsid w:val="004971CE"/>
    <w:rsid w:val="0049720C"/>
    <w:rsid w:val="00497A2F"/>
    <w:rsid w:val="00497B2E"/>
    <w:rsid w:val="00497BE9"/>
    <w:rsid w:val="00497C53"/>
    <w:rsid w:val="004A0072"/>
    <w:rsid w:val="004A012F"/>
    <w:rsid w:val="004A01B3"/>
    <w:rsid w:val="004A05CB"/>
    <w:rsid w:val="004A089D"/>
    <w:rsid w:val="004A08E0"/>
    <w:rsid w:val="004A09DA"/>
    <w:rsid w:val="004A0DC7"/>
    <w:rsid w:val="004A1024"/>
    <w:rsid w:val="004A10F4"/>
    <w:rsid w:val="004A12AE"/>
    <w:rsid w:val="004A13E0"/>
    <w:rsid w:val="004A151D"/>
    <w:rsid w:val="004A180C"/>
    <w:rsid w:val="004A189E"/>
    <w:rsid w:val="004A1B71"/>
    <w:rsid w:val="004A1CC0"/>
    <w:rsid w:val="004A1DAB"/>
    <w:rsid w:val="004A1F74"/>
    <w:rsid w:val="004A236E"/>
    <w:rsid w:val="004A2621"/>
    <w:rsid w:val="004A2AD2"/>
    <w:rsid w:val="004A2EA2"/>
    <w:rsid w:val="004A3218"/>
    <w:rsid w:val="004A32D0"/>
    <w:rsid w:val="004A3D1B"/>
    <w:rsid w:val="004A40E9"/>
    <w:rsid w:val="004A43A2"/>
    <w:rsid w:val="004A4400"/>
    <w:rsid w:val="004A4445"/>
    <w:rsid w:val="004A44FF"/>
    <w:rsid w:val="004A479D"/>
    <w:rsid w:val="004A4824"/>
    <w:rsid w:val="004A49C3"/>
    <w:rsid w:val="004A4DD3"/>
    <w:rsid w:val="004A4EE4"/>
    <w:rsid w:val="004A56D5"/>
    <w:rsid w:val="004A5DA9"/>
    <w:rsid w:val="004A67FC"/>
    <w:rsid w:val="004A692C"/>
    <w:rsid w:val="004A6A4A"/>
    <w:rsid w:val="004A6B7E"/>
    <w:rsid w:val="004A6EE5"/>
    <w:rsid w:val="004A7AB9"/>
    <w:rsid w:val="004A7B98"/>
    <w:rsid w:val="004A7D9C"/>
    <w:rsid w:val="004B0F55"/>
    <w:rsid w:val="004B123A"/>
    <w:rsid w:val="004B12F0"/>
    <w:rsid w:val="004B1780"/>
    <w:rsid w:val="004B1874"/>
    <w:rsid w:val="004B1A89"/>
    <w:rsid w:val="004B1B8F"/>
    <w:rsid w:val="004B1C76"/>
    <w:rsid w:val="004B1F83"/>
    <w:rsid w:val="004B22C8"/>
    <w:rsid w:val="004B2440"/>
    <w:rsid w:val="004B2B05"/>
    <w:rsid w:val="004B2E2C"/>
    <w:rsid w:val="004B3082"/>
    <w:rsid w:val="004B30C1"/>
    <w:rsid w:val="004B31B3"/>
    <w:rsid w:val="004B34F5"/>
    <w:rsid w:val="004B3525"/>
    <w:rsid w:val="004B389B"/>
    <w:rsid w:val="004B38AB"/>
    <w:rsid w:val="004B396F"/>
    <w:rsid w:val="004B437B"/>
    <w:rsid w:val="004B43E3"/>
    <w:rsid w:val="004B4408"/>
    <w:rsid w:val="004B4562"/>
    <w:rsid w:val="004B46E1"/>
    <w:rsid w:val="004B484E"/>
    <w:rsid w:val="004B4A1A"/>
    <w:rsid w:val="004B4CD8"/>
    <w:rsid w:val="004B4E42"/>
    <w:rsid w:val="004B4FC9"/>
    <w:rsid w:val="004B51D8"/>
    <w:rsid w:val="004B5617"/>
    <w:rsid w:val="004B5A14"/>
    <w:rsid w:val="004B5F1C"/>
    <w:rsid w:val="004B6237"/>
    <w:rsid w:val="004B67A5"/>
    <w:rsid w:val="004B738B"/>
    <w:rsid w:val="004B750F"/>
    <w:rsid w:val="004B7A98"/>
    <w:rsid w:val="004B7AF1"/>
    <w:rsid w:val="004C0390"/>
    <w:rsid w:val="004C0B2D"/>
    <w:rsid w:val="004C0F8C"/>
    <w:rsid w:val="004C10C1"/>
    <w:rsid w:val="004C11BB"/>
    <w:rsid w:val="004C11F6"/>
    <w:rsid w:val="004C1248"/>
    <w:rsid w:val="004C1371"/>
    <w:rsid w:val="004C1795"/>
    <w:rsid w:val="004C187D"/>
    <w:rsid w:val="004C18DC"/>
    <w:rsid w:val="004C1A97"/>
    <w:rsid w:val="004C1B9E"/>
    <w:rsid w:val="004C1CBA"/>
    <w:rsid w:val="004C1F9B"/>
    <w:rsid w:val="004C20C7"/>
    <w:rsid w:val="004C23E3"/>
    <w:rsid w:val="004C264B"/>
    <w:rsid w:val="004C28A3"/>
    <w:rsid w:val="004C2A5E"/>
    <w:rsid w:val="004C3611"/>
    <w:rsid w:val="004C3702"/>
    <w:rsid w:val="004C38CF"/>
    <w:rsid w:val="004C408A"/>
    <w:rsid w:val="004C4745"/>
    <w:rsid w:val="004C492D"/>
    <w:rsid w:val="004C4937"/>
    <w:rsid w:val="004C4D43"/>
    <w:rsid w:val="004C4E52"/>
    <w:rsid w:val="004C4FA4"/>
    <w:rsid w:val="004C5439"/>
    <w:rsid w:val="004C5495"/>
    <w:rsid w:val="004C54ED"/>
    <w:rsid w:val="004C5E8A"/>
    <w:rsid w:val="004C62D7"/>
    <w:rsid w:val="004C63A9"/>
    <w:rsid w:val="004C687B"/>
    <w:rsid w:val="004C6B07"/>
    <w:rsid w:val="004C6BBF"/>
    <w:rsid w:val="004C72FF"/>
    <w:rsid w:val="004C73F2"/>
    <w:rsid w:val="004C74B8"/>
    <w:rsid w:val="004C796A"/>
    <w:rsid w:val="004D022C"/>
    <w:rsid w:val="004D0A29"/>
    <w:rsid w:val="004D1633"/>
    <w:rsid w:val="004D1701"/>
    <w:rsid w:val="004D1755"/>
    <w:rsid w:val="004D18A3"/>
    <w:rsid w:val="004D1A1B"/>
    <w:rsid w:val="004D1CC6"/>
    <w:rsid w:val="004D1E99"/>
    <w:rsid w:val="004D22DF"/>
    <w:rsid w:val="004D2A36"/>
    <w:rsid w:val="004D2DF7"/>
    <w:rsid w:val="004D2E87"/>
    <w:rsid w:val="004D37A7"/>
    <w:rsid w:val="004D3860"/>
    <w:rsid w:val="004D3B79"/>
    <w:rsid w:val="004D3BA9"/>
    <w:rsid w:val="004D3FA0"/>
    <w:rsid w:val="004D3FC0"/>
    <w:rsid w:val="004D455C"/>
    <w:rsid w:val="004D4609"/>
    <w:rsid w:val="004D470F"/>
    <w:rsid w:val="004D473C"/>
    <w:rsid w:val="004D4783"/>
    <w:rsid w:val="004D4984"/>
    <w:rsid w:val="004D4B12"/>
    <w:rsid w:val="004D4E7A"/>
    <w:rsid w:val="004D4E92"/>
    <w:rsid w:val="004D4F20"/>
    <w:rsid w:val="004D525E"/>
    <w:rsid w:val="004D528B"/>
    <w:rsid w:val="004D545F"/>
    <w:rsid w:val="004D5502"/>
    <w:rsid w:val="004D5913"/>
    <w:rsid w:val="004D5964"/>
    <w:rsid w:val="004D5F8E"/>
    <w:rsid w:val="004D5FAE"/>
    <w:rsid w:val="004D6B18"/>
    <w:rsid w:val="004D6B4F"/>
    <w:rsid w:val="004D7214"/>
    <w:rsid w:val="004D7260"/>
    <w:rsid w:val="004D729C"/>
    <w:rsid w:val="004D785E"/>
    <w:rsid w:val="004D78C9"/>
    <w:rsid w:val="004E0BE5"/>
    <w:rsid w:val="004E0EDA"/>
    <w:rsid w:val="004E0F39"/>
    <w:rsid w:val="004E1490"/>
    <w:rsid w:val="004E186E"/>
    <w:rsid w:val="004E1BAA"/>
    <w:rsid w:val="004E1D7A"/>
    <w:rsid w:val="004E1E7C"/>
    <w:rsid w:val="004E1EA5"/>
    <w:rsid w:val="004E1FDE"/>
    <w:rsid w:val="004E2479"/>
    <w:rsid w:val="004E249F"/>
    <w:rsid w:val="004E24FF"/>
    <w:rsid w:val="004E2888"/>
    <w:rsid w:val="004E2A21"/>
    <w:rsid w:val="004E2CBE"/>
    <w:rsid w:val="004E319A"/>
    <w:rsid w:val="004E323A"/>
    <w:rsid w:val="004E32F9"/>
    <w:rsid w:val="004E341F"/>
    <w:rsid w:val="004E385D"/>
    <w:rsid w:val="004E3913"/>
    <w:rsid w:val="004E3BF8"/>
    <w:rsid w:val="004E41A1"/>
    <w:rsid w:val="004E44DF"/>
    <w:rsid w:val="004E4654"/>
    <w:rsid w:val="004E4D86"/>
    <w:rsid w:val="004E4D94"/>
    <w:rsid w:val="004E4F11"/>
    <w:rsid w:val="004E503F"/>
    <w:rsid w:val="004E568E"/>
    <w:rsid w:val="004E5704"/>
    <w:rsid w:val="004E573A"/>
    <w:rsid w:val="004E59B8"/>
    <w:rsid w:val="004E5E70"/>
    <w:rsid w:val="004E5EB9"/>
    <w:rsid w:val="004E6376"/>
    <w:rsid w:val="004E637B"/>
    <w:rsid w:val="004E6D97"/>
    <w:rsid w:val="004E6FDA"/>
    <w:rsid w:val="004E70BE"/>
    <w:rsid w:val="004E73BD"/>
    <w:rsid w:val="004E7647"/>
    <w:rsid w:val="004E76AC"/>
    <w:rsid w:val="004E7B57"/>
    <w:rsid w:val="004E7F9B"/>
    <w:rsid w:val="004F079C"/>
    <w:rsid w:val="004F0C91"/>
    <w:rsid w:val="004F0CE2"/>
    <w:rsid w:val="004F0FB7"/>
    <w:rsid w:val="004F12A7"/>
    <w:rsid w:val="004F15E4"/>
    <w:rsid w:val="004F17AB"/>
    <w:rsid w:val="004F187F"/>
    <w:rsid w:val="004F1A80"/>
    <w:rsid w:val="004F1F26"/>
    <w:rsid w:val="004F21EB"/>
    <w:rsid w:val="004F2855"/>
    <w:rsid w:val="004F2CB5"/>
    <w:rsid w:val="004F315A"/>
    <w:rsid w:val="004F351F"/>
    <w:rsid w:val="004F39E8"/>
    <w:rsid w:val="004F3B4F"/>
    <w:rsid w:val="004F3F8F"/>
    <w:rsid w:val="004F45A8"/>
    <w:rsid w:val="004F4BAD"/>
    <w:rsid w:val="004F4EBE"/>
    <w:rsid w:val="004F4F48"/>
    <w:rsid w:val="004F4F93"/>
    <w:rsid w:val="004F53BE"/>
    <w:rsid w:val="004F60D5"/>
    <w:rsid w:val="004F60EE"/>
    <w:rsid w:val="004F64E6"/>
    <w:rsid w:val="004F6E9F"/>
    <w:rsid w:val="004F7610"/>
    <w:rsid w:val="004F7748"/>
    <w:rsid w:val="004F7D15"/>
    <w:rsid w:val="00500023"/>
    <w:rsid w:val="005002C2"/>
    <w:rsid w:val="00500B94"/>
    <w:rsid w:val="0050176D"/>
    <w:rsid w:val="005018D3"/>
    <w:rsid w:val="00501C8B"/>
    <w:rsid w:val="005021FF"/>
    <w:rsid w:val="00502216"/>
    <w:rsid w:val="005023B5"/>
    <w:rsid w:val="00502715"/>
    <w:rsid w:val="00502CE3"/>
    <w:rsid w:val="00502D79"/>
    <w:rsid w:val="005030A3"/>
    <w:rsid w:val="00503C6C"/>
    <w:rsid w:val="00504180"/>
    <w:rsid w:val="005041F7"/>
    <w:rsid w:val="005042AC"/>
    <w:rsid w:val="0050461D"/>
    <w:rsid w:val="0050463A"/>
    <w:rsid w:val="005049AB"/>
    <w:rsid w:val="00504D41"/>
    <w:rsid w:val="00505C5C"/>
    <w:rsid w:val="00505D70"/>
    <w:rsid w:val="00505F5F"/>
    <w:rsid w:val="00506284"/>
    <w:rsid w:val="005064D9"/>
    <w:rsid w:val="0050698B"/>
    <w:rsid w:val="00507548"/>
    <w:rsid w:val="0050774F"/>
    <w:rsid w:val="00507F8B"/>
    <w:rsid w:val="005103B0"/>
    <w:rsid w:val="00510607"/>
    <w:rsid w:val="0051080E"/>
    <w:rsid w:val="00510F8F"/>
    <w:rsid w:val="005111BA"/>
    <w:rsid w:val="005118E6"/>
    <w:rsid w:val="005119FD"/>
    <w:rsid w:val="00511BC6"/>
    <w:rsid w:val="00511E91"/>
    <w:rsid w:val="005127A6"/>
    <w:rsid w:val="00512CC4"/>
    <w:rsid w:val="00512CCA"/>
    <w:rsid w:val="00512D3B"/>
    <w:rsid w:val="00512E2B"/>
    <w:rsid w:val="00512F00"/>
    <w:rsid w:val="005130FB"/>
    <w:rsid w:val="005134E3"/>
    <w:rsid w:val="00513557"/>
    <w:rsid w:val="00513C02"/>
    <w:rsid w:val="00514694"/>
    <w:rsid w:val="0051482E"/>
    <w:rsid w:val="00514F7E"/>
    <w:rsid w:val="005150CE"/>
    <w:rsid w:val="0051596B"/>
    <w:rsid w:val="00515A1B"/>
    <w:rsid w:val="00515BEF"/>
    <w:rsid w:val="00515D7B"/>
    <w:rsid w:val="00516446"/>
    <w:rsid w:val="0051684E"/>
    <w:rsid w:val="0051746A"/>
    <w:rsid w:val="00517497"/>
    <w:rsid w:val="00517709"/>
    <w:rsid w:val="00517CD3"/>
    <w:rsid w:val="00517E14"/>
    <w:rsid w:val="00517E4C"/>
    <w:rsid w:val="00517F83"/>
    <w:rsid w:val="0052024E"/>
    <w:rsid w:val="0052061D"/>
    <w:rsid w:val="005209E2"/>
    <w:rsid w:val="00520C76"/>
    <w:rsid w:val="00520C82"/>
    <w:rsid w:val="00520C86"/>
    <w:rsid w:val="005210DC"/>
    <w:rsid w:val="00521102"/>
    <w:rsid w:val="00521B5A"/>
    <w:rsid w:val="00521F04"/>
    <w:rsid w:val="00522376"/>
    <w:rsid w:val="00522660"/>
    <w:rsid w:val="0052296F"/>
    <w:rsid w:val="00522A6A"/>
    <w:rsid w:val="00522E7F"/>
    <w:rsid w:val="00522EF0"/>
    <w:rsid w:val="00523129"/>
    <w:rsid w:val="00523248"/>
    <w:rsid w:val="00523300"/>
    <w:rsid w:val="00523851"/>
    <w:rsid w:val="00523A9A"/>
    <w:rsid w:val="00523B91"/>
    <w:rsid w:val="00523C2B"/>
    <w:rsid w:val="00523F56"/>
    <w:rsid w:val="00524013"/>
    <w:rsid w:val="005242F4"/>
    <w:rsid w:val="00524F34"/>
    <w:rsid w:val="0052553B"/>
    <w:rsid w:val="00525FC4"/>
    <w:rsid w:val="00526479"/>
    <w:rsid w:val="005266F4"/>
    <w:rsid w:val="0052670C"/>
    <w:rsid w:val="00526FD4"/>
    <w:rsid w:val="0052717F"/>
    <w:rsid w:val="0052756E"/>
    <w:rsid w:val="00527572"/>
    <w:rsid w:val="005278E0"/>
    <w:rsid w:val="005279BB"/>
    <w:rsid w:val="00527CEE"/>
    <w:rsid w:val="00527D48"/>
    <w:rsid w:val="00527E2E"/>
    <w:rsid w:val="00527E61"/>
    <w:rsid w:val="005306FE"/>
    <w:rsid w:val="00530FAD"/>
    <w:rsid w:val="005314A7"/>
    <w:rsid w:val="00531593"/>
    <w:rsid w:val="00531771"/>
    <w:rsid w:val="005318C7"/>
    <w:rsid w:val="00531947"/>
    <w:rsid w:val="00531D29"/>
    <w:rsid w:val="005324A6"/>
    <w:rsid w:val="00532FA5"/>
    <w:rsid w:val="00533138"/>
    <w:rsid w:val="00533390"/>
    <w:rsid w:val="0053357F"/>
    <w:rsid w:val="005336A5"/>
    <w:rsid w:val="00533BE7"/>
    <w:rsid w:val="00534185"/>
    <w:rsid w:val="00534847"/>
    <w:rsid w:val="00534B7C"/>
    <w:rsid w:val="00534D0B"/>
    <w:rsid w:val="00534EEC"/>
    <w:rsid w:val="0053519F"/>
    <w:rsid w:val="005353F9"/>
    <w:rsid w:val="00535AF7"/>
    <w:rsid w:val="00535E5B"/>
    <w:rsid w:val="00535FB4"/>
    <w:rsid w:val="00536096"/>
    <w:rsid w:val="005361EE"/>
    <w:rsid w:val="005362A1"/>
    <w:rsid w:val="005362BC"/>
    <w:rsid w:val="00536327"/>
    <w:rsid w:val="005366A5"/>
    <w:rsid w:val="00536880"/>
    <w:rsid w:val="00536C84"/>
    <w:rsid w:val="005378C3"/>
    <w:rsid w:val="00537912"/>
    <w:rsid w:val="00537CD3"/>
    <w:rsid w:val="00540A9A"/>
    <w:rsid w:val="00540C1E"/>
    <w:rsid w:val="00540DCC"/>
    <w:rsid w:val="00540F6E"/>
    <w:rsid w:val="00541182"/>
    <w:rsid w:val="005416C6"/>
    <w:rsid w:val="00542091"/>
    <w:rsid w:val="005422BA"/>
    <w:rsid w:val="005422D9"/>
    <w:rsid w:val="005424F2"/>
    <w:rsid w:val="005428AD"/>
    <w:rsid w:val="00542940"/>
    <w:rsid w:val="00543256"/>
    <w:rsid w:val="00543700"/>
    <w:rsid w:val="0054399D"/>
    <w:rsid w:val="00543C60"/>
    <w:rsid w:val="00543DDA"/>
    <w:rsid w:val="00543EFA"/>
    <w:rsid w:val="005440DE"/>
    <w:rsid w:val="00544366"/>
    <w:rsid w:val="00544787"/>
    <w:rsid w:val="00544CFC"/>
    <w:rsid w:val="005453D7"/>
    <w:rsid w:val="0054541B"/>
    <w:rsid w:val="005456E7"/>
    <w:rsid w:val="0054573E"/>
    <w:rsid w:val="00545BBE"/>
    <w:rsid w:val="00545CBA"/>
    <w:rsid w:val="00546245"/>
    <w:rsid w:val="00546B2B"/>
    <w:rsid w:val="00546B6C"/>
    <w:rsid w:val="00546D8C"/>
    <w:rsid w:val="00546DE7"/>
    <w:rsid w:val="0054708F"/>
    <w:rsid w:val="00547145"/>
    <w:rsid w:val="005472FE"/>
    <w:rsid w:val="0054732F"/>
    <w:rsid w:val="00547450"/>
    <w:rsid w:val="00547619"/>
    <w:rsid w:val="005476C3"/>
    <w:rsid w:val="005476FD"/>
    <w:rsid w:val="005477EB"/>
    <w:rsid w:val="00550415"/>
    <w:rsid w:val="0055043C"/>
    <w:rsid w:val="0055055E"/>
    <w:rsid w:val="005505A7"/>
    <w:rsid w:val="00550821"/>
    <w:rsid w:val="0055115D"/>
    <w:rsid w:val="005515A4"/>
    <w:rsid w:val="00551FD9"/>
    <w:rsid w:val="00552128"/>
    <w:rsid w:val="0055216F"/>
    <w:rsid w:val="00552266"/>
    <w:rsid w:val="005525DC"/>
    <w:rsid w:val="00552612"/>
    <w:rsid w:val="00552649"/>
    <w:rsid w:val="005526CC"/>
    <w:rsid w:val="0055367F"/>
    <w:rsid w:val="00553A8A"/>
    <w:rsid w:val="00553AB4"/>
    <w:rsid w:val="00553F36"/>
    <w:rsid w:val="005545A8"/>
    <w:rsid w:val="005546DD"/>
    <w:rsid w:val="0055470E"/>
    <w:rsid w:val="005549BC"/>
    <w:rsid w:val="00554DF6"/>
    <w:rsid w:val="0055518A"/>
    <w:rsid w:val="00555295"/>
    <w:rsid w:val="00555645"/>
    <w:rsid w:val="0055579B"/>
    <w:rsid w:val="005557DE"/>
    <w:rsid w:val="00555860"/>
    <w:rsid w:val="00555E9C"/>
    <w:rsid w:val="005566B0"/>
    <w:rsid w:val="005567E6"/>
    <w:rsid w:val="00556C6C"/>
    <w:rsid w:val="0055772C"/>
    <w:rsid w:val="0055790F"/>
    <w:rsid w:val="00557B6F"/>
    <w:rsid w:val="00557BBA"/>
    <w:rsid w:val="00557BD5"/>
    <w:rsid w:val="00557C74"/>
    <w:rsid w:val="0056013F"/>
    <w:rsid w:val="00560180"/>
    <w:rsid w:val="005602F3"/>
    <w:rsid w:val="005603A5"/>
    <w:rsid w:val="005607BA"/>
    <w:rsid w:val="00560AB0"/>
    <w:rsid w:val="00560B04"/>
    <w:rsid w:val="005615C8"/>
    <w:rsid w:val="00561B72"/>
    <w:rsid w:val="00561F6C"/>
    <w:rsid w:val="00561F80"/>
    <w:rsid w:val="00562098"/>
    <w:rsid w:val="00562137"/>
    <w:rsid w:val="0056266F"/>
    <w:rsid w:val="00562677"/>
    <w:rsid w:val="00562FAA"/>
    <w:rsid w:val="005639C3"/>
    <w:rsid w:val="00563C81"/>
    <w:rsid w:val="00563F1E"/>
    <w:rsid w:val="00564CD3"/>
    <w:rsid w:val="00564D36"/>
    <w:rsid w:val="005650F3"/>
    <w:rsid w:val="00565568"/>
    <w:rsid w:val="00565840"/>
    <w:rsid w:val="0056591A"/>
    <w:rsid w:val="005659CA"/>
    <w:rsid w:val="00565D8A"/>
    <w:rsid w:val="00565FD0"/>
    <w:rsid w:val="0056630F"/>
    <w:rsid w:val="0056635F"/>
    <w:rsid w:val="00566604"/>
    <w:rsid w:val="00566EFA"/>
    <w:rsid w:val="00567177"/>
    <w:rsid w:val="0056719D"/>
    <w:rsid w:val="00567283"/>
    <w:rsid w:val="005678E4"/>
    <w:rsid w:val="00567E4A"/>
    <w:rsid w:val="005707F2"/>
    <w:rsid w:val="00570B75"/>
    <w:rsid w:val="00570D9F"/>
    <w:rsid w:val="00570F73"/>
    <w:rsid w:val="0057167B"/>
    <w:rsid w:val="00571C5A"/>
    <w:rsid w:val="00571CD3"/>
    <w:rsid w:val="00571D53"/>
    <w:rsid w:val="00571D79"/>
    <w:rsid w:val="00571D97"/>
    <w:rsid w:val="005721B6"/>
    <w:rsid w:val="005721BD"/>
    <w:rsid w:val="00572C2F"/>
    <w:rsid w:val="00572D60"/>
    <w:rsid w:val="00572D61"/>
    <w:rsid w:val="00572E25"/>
    <w:rsid w:val="00572FDE"/>
    <w:rsid w:val="00573287"/>
    <w:rsid w:val="0057328A"/>
    <w:rsid w:val="0057337E"/>
    <w:rsid w:val="005739F2"/>
    <w:rsid w:val="00573A7F"/>
    <w:rsid w:val="00573DFD"/>
    <w:rsid w:val="00574323"/>
    <w:rsid w:val="0057499C"/>
    <w:rsid w:val="00574A74"/>
    <w:rsid w:val="00574B7B"/>
    <w:rsid w:val="00574B97"/>
    <w:rsid w:val="0057501D"/>
    <w:rsid w:val="00575366"/>
    <w:rsid w:val="00575367"/>
    <w:rsid w:val="0057574C"/>
    <w:rsid w:val="00575D3C"/>
    <w:rsid w:val="00575E6D"/>
    <w:rsid w:val="0057602C"/>
    <w:rsid w:val="0057627E"/>
    <w:rsid w:val="0057628E"/>
    <w:rsid w:val="0057636A"/>
    <w:rsid w:val="005763B1"/>
    <w:rsid w:val="00576706"/>
    <w:rsid w:val="00576718"/>
    <w:rsid w:val="00576890"/>
    <w:rsid w:val="00576A63"/>
    <w:rsid w:val="00576BCD"/>
    <w:rsid w:val="0057711D"/>
    <w:rsid w:val="0057717B"/>
    <w:rsid w:val="005771CB"/>
    <w:rsid w:val="005775D8"/>
    <w:rsid w:val="0057774D"/>
    <w:rsid w:val="005778BA"/>
    <w:rsid w:val="00577D11"/>
    <w:rsid w:val="00577EF0"/>
    <w:rsid w:val="0058021A"/>
    <w:rsid w:val="0058037D"/>
    <w:rsid w:val="00580386"/>
    <w:rsid w:val="00580450"/>
    <w:rsid w:val="005805C5"/>
    <w:rsid w:val="0058066D"/>
    <w:rsid w:val="00580916"/>
    <w:rsid w:val="005815F2"/>
    <w:rsid w:val="0058161F"/>
    <w:rsid w:val="00581D79"/>
    <w:rsid w:val="00581F60"/>
    <w:rsid w:val="005823C5"/>
    <w:rsid w:val="0058243D"/>
    <w:rsid w:val="005827CE"/>
    <w:rsid w:val="00582CE1"/>
    <w:rsid w:val="00582DD5"/>
    <w:rsid w:val="00582F39"/>
    <w:rsid w:val="005833EB"/>
    <w:rsid w:val="00583AF4"/>
    <w:rsid w:val="005843DF"/>
    <w:rsid w:val="00584553"/>
    <w:rsid w:val="00585084"/>
    <w:rsid w:val="005852A0"/>
    <w:rsid w:val="005852DB"/>
    <w:rsid w:val="005858E0"/>
    <w:rsid w:val="00585ACC"/>
    <w:rsid w:val="00585E7D"/>
    <w:rsid w:val="00585F54"/>
    <w:rsid w:val="005860BD"/>
    <w:rsid w:val="00586491"/>
    <w:rsid w:val="00586B31"/>
    <w:rsid w:val="00586B7C"/>
    <w:rsid w:val="00586C27"/>
    <w:rsid w:val="00586CF3"/>
    <w:rsid w:val="0058728D"/>
    <w:rsid w:val="00587473"/>
    <w:rsid w:val="00587B49"/>
    <w:rsid w:val="00587B57"/>
    <w:rsid w:val="00587B64"/>
    <w:rsid w:val="0059024E"/>
    <w:rsid w:val="0059027B"/>
    <w:rsid w:val="005902DA"/>
    <w:rsid w:val="00590326"/>
    <w:rsid w:val="0059083C"/>
    <w:rsid w:val="005909BC"/>
    <w:rsid w:val="0059129F"/>
    <w:rsid w:val="005916F3"/>
    <w:rsid w:val="00591973"/>
    <w:rsid w:val="005919E9"/>
    <w:rsid w:val="00591BA8"/>
    <w:rsid w:val="00591C6E"/>
    <w:rsid w:val="00591CEA"/>
    <w:rsid w:val="00591E5F"/>
    <w:rsid w:val="005922C3"/>
    <w:rsid w:val="0059259A"/>
    <w:rsid w:val="00593027"/>
    <w:rsid w:val="00593348"/>
    <w:rsid w:val="00593E02"/>
    <w:rsid w:val="0059434C"/>
    <w:rsid w:val="00594503"/>
    <w:rsid w:val="00594638"/>
    <w:rsid w:val="00594751"/>
    <w:rsid w:val="00594951"/>
    <w:rsid w:val="005949D2"/>
    <w:rsid w:val="005949FA"/>
    <w:rsid w:val="00594A04"/>
    <w:rsid w:val="00594A49"/>
    <w:rsid w:val="00594C1E"/>
    <w:rsid w:val="00594D8B"/>
    <w:rsid w:val="00594E5A"/>
    <w:rsid w:val="005951BF"/>
    <w:rsid w:val="00595837"/>
    <w:rsid w:val="00595870"/>
    <w:rsid w:val="00595BAD"/>
    <w:rsid w:val="00595F37"/>
    <w:rsid w:val="00595F71"/>
    <w:rsid w:val="005962FA"/>
    <w:rsid w:val="0059664C"/>
    <w:rsid w:val="005969AA"/>
    <w:rsid w:val="00596C05"/>
    <w:rsid w:val="00596E7C"/>
    <w:rsid w:val="005974A3"/>
    <w:rsid w:val="005977DF"/>
    <w:rsid w:val="00597CE7"/>
    <w:rsid w:val="00597F63"/>
    <w:rsid w:val="005A00FF"/>
    <w:rsid w:val="005A05F2"/>
    <w:rsid w:val="005A1262"/>
    <w:rsid w:val="005A1299"/>
    <w:rsid w:val="005A189B"/>
    <w:rsid w:val="005A1DBD"/>
    <w:rsid w:val="005A207A"/>
    <w:rsid w:val="005A23F3"/>
    <w:rsid w:val="005A2512"/>
    <w:rsid w:val="005A25C0"/>
    <w:rsid w:val="005A2A99"/>
    <w:rsid w:val="005A2DEA"/>
    <w:rsid w:val="005A2E05"/>
    <w:rsid w:val="005A2EC1"/>
    <w:rsid w:val="005A2F5E"/>
    <w:rsid w:val="005A2FE5"/>
    <w:rsid w:val="005A310D"/>
    <w:rsid w:val="005A32A8"/>
    <w:rsid w:val="005A39AB"/>
    <w:rsid w:val="005A3AC0"/>
    <w:rsid w:val="005A3AF5"/>
    <w:rsid w:val="005A3B47"/>
    <w:rsid w:val="005A3CF5"/>
    <w:rsid w:val="005A3E01"/>
    <w:rsid w:val="005A3F01"/>
    <w:rsid w:val="005A40C4"/>
    <w:rsid w:val="005A40F1"/>
    <w:rsid w:val="005A4977"/>
    <w:rsid w:val="005A4B84"/>
    <w:rsid w:val="005A4CF1"/>
    <w:rsid w:val="005A515D"/>
    <w:rsid w:val="005A54FC"/>
    <w:rsid w:val="005A5523"/>
    <w:rsid w:val="005A57B9"/>
    <w:rsid w:val="005A5837"/>
    <w:rsid w:val="005A5FEA"/>
    <w:rsid w:val="005A5FFE"/>
    <w:rsid w:val="005A6025"/>
    <w:rsid w:val="005A6037"/>
    <w:rsid w:val="005A62C7"/>
    <w:rsid w:val="005A6A63"/>
    <w:rsid w:val="005A6B00"/>
    <w:rsid w:val="005A6D8D"/>
    <w:rsid w:val="005A6EA3"/>
    <w:rsid w:val="005A6F49"/>
    <w:rsid w:val="005A7059"/>
    <w:rsid w:val="005A70E0"/>
    <w:rsid w:val="005A70EB"/>
    <w:rsid w:val="005A7C6B"/>
    <w:rsid w:val="005A7F44"/>
    <w:rsid w:val="005B0009"/>
    <w:rsid w:val="005B022B"/>
    <w:rsid w:val="005B034B"/>
    <w:rsid w:val="005B0D19"/>
    <w:rsid w:val="005B0D77"/>
    <w:rsid w:val="005B1076"/>
    <w:rsid w:val="005B122C"/>
    <w:rsid w:val="005B1580"/>
    <w:rsid w:val="005B17AC"/>
    <w:rsid w:val="005B2145"/>
    <w:rsid w:val="005B25EB"/>
    <w:rsid w:val="005B291D"/>
    <w:rsid w:val="005B31B9"/>
    <w:rsid w:val="005B3281"/>
    <w:rsid w:val="005B3331"/>
    <w:rsid w:val="005B3CC2"/>
    <w:rsid w:val="005B3CEE"/>
    <w:rsid w:val="005B3E46"/>
    <w:rsid w:val="005B3F78"/>
    <w:rsid w:val="005B4015"/>
    <w:rsid w:val="005B404C"/>
    <w:rsid w:val="005B4131"/>
    <w:rsid w:val="005B422C"/>
    <w:rsid w:val="005B42DB"/>
    <w:rsid w:val="005B4467"/>
    <w:rsid w:val="005B4666"/>
    <w:rsid w:val="005B492C"/>
    <w:rsid w:val="005B4B50"/>
    <w:rsid w:val="005B4E34"/>
    <w:rsid w:val="005B4F79"/>
    <w:rsid w:val="005B4FC2"/>
    <w:rsid w:val="005B5F08"/>
    <w:rsid w:val="005B606F"/>
    <w:rsid w:val="005B60D2"/>
    <w:rsid w:val="005B65CE"/>
    <w:rsid w:val="005B67E2"/>
    <w:rsid w:val="005B6A10"/>
    <w:rsid w:val="005B74CB"/>
    <w:rsid w:val="005B77BC"/>
    <w:rsid w:val="005B7936"/>
    <w:rsid w:val="005B7B37"/>
    <w:rsid w:val="005B7E5B"/>
    <w:rsid w:val="005B7F4C"/>
    <w:rsid w:val="005C074E"/>
    <w:rsid w:val="005C0BC7"/>
    <w:rsid w:val="005C11EA"/>
    <w:rsid w:val="005C1325"/>
    <w:rsid w:val="005C137A"/>
    <w:rsid w:val="005C138A"/>
    <w:rsid w:val="005C1655"/>
    <w:rsid w:val="005C176C"/>
    <w:rsid w:val="005C1B9A"/>
    <w:rsid w:val="005C20D0"/>
    <w:rsid w:val="005C20D4"/>
    <w:rsid w:val="005C24A8"/>
    <w:rsid w:val="005C24D3"/>
    <w:rsid w:val="005C25BE"/>
    <w:rsid w:val="005C269A"/>
    <w:rsid w:val="005C2876"/>
    <w:rsid w:val="005C2D79"/>
    <w:rsid w:val="005C2F13"/>
    <w:rsid w:val="005C3899"/>
    <w:rsid w:val="005C3943"/>
    <w:rsid w:val="005C3E7D"/>
    <w:rsid w:val="005C4374"/>
    <w:rsid w:val="005C4927"/>
    <w:rsid w:val="005C4938"/>
    <w:rsid w:val="005C4A18"/>
    <w:rsid w:val="005C4A4E"/>
    <w:rsid w:val="005C4B36"/>
    <w:rsid w:val="005C4D21"/>
    <w:rsid w:val="005C51CC"/>
    <w:rsid w:val="005C5439"/>
    <w:rsid w:val="005C55A9"/>
    <w:rsid w:val="005C5633"/>
    <w:rsid w:val="005C571B"/>
    <w:rsid w:val="005C58D4"/>
    <w:rsid w:val="005C598C"/>
    <w:rsid w:val="005C6287"/>
    <w:rsid w:val="005C6593"/>
    <w:rsid w:val="005C65C5"/>
    <w:rsid w:val="005C66FA"/>
    <w:rsid w:val="005C6CDF"/>
    <w:rsid w:val="005C6F60"/>
    <w:rsid w:val="005C70D5"/>
    <w:rsid w:val="005C731D"/>
    <w:rsid w:val="005C7632"/>
    <w:rsid w:val="005C776E"/>
    <w:rsid w:val="005C7872"/>
    <w:rsid w:val="005C7F4A"/>
    <w:rsid w:val="005D00AE"/>
    <w:rsid w:val="005D0351"/>
    <w:rsid w:val="005D045D"/>
    <w:rsid w:val="005D09F6"/>
    <w:rsid w:val="005D0A78"/>
    <w:rsid w:val="005D0EE1"/>
    <w:rsid w:val="005D108E"/>
    <w:rsid w:val="005D18B4"/>
    <w:rsid w:val="005D1B3F"/>
    <w:rsid w:val="005D2322"/>
    <w:rsid w:val="005D28CA"/>
    <w:rsid w:val="005D2986"/>
    <w:rsid w:val="005D2C93"/>
    <w:rsid w:val="005D2E7A"/>
    <w:rsid w:val="005D3689"/>
    <w:rsid w:val="005D398D"/>
    <w:rsid w:val="005D3BD4"/>
    <w:rsid w:val="005D3C4D"/>
    <w:rsid w:val="005D3C9A"/>
    <w:rsid w:val="005D3EBA"/>
    <w:rsid w:val="005D3EE1"/>
    <w:rsid w:val="005D4081"/>
    <w:rsid w:val="005D4A28"/>
    <w:rsid w:val="005D4BC4"/>
    <w:rsid w:val="005D548F"/>
    <w:rsid w:val="005D549D"/>
    <w:rsid w:val="005D583D"/>
    <w:rsid w:val="005D5A3C"/>
    <w:rsid w:val="005D5D66"/>
    <w:rsid w:val="005D629E"/>
    <w:rsid w:val="005D6666"/>
    <w:rsid w:val="005D66BB"/>
    <w:rsid w:val="005D66FF"/>
    <w:rsid w:val="005D7163"/>
    <w:rsid w:val="005D7345"/>
    <w:rsid w:val="005D7428"/>
    <w:rsid w:val="005D74A9"/>
    <w:rsid w:val="005D75AA"/>
    <w:rsid w:val="005E0C55"/>
    <w:rsid w:val="005E1A36"/>
    <w:rsid w:val="005E1ABC"/>
    <w:rsid w:val="005E1CD5"/>
    <w:rsid w:val="005E2BFC"/>
    <w:rsid w:val="005E338B"/>
    <w:rsid w:val="005E3965"/>
    <w:rsid w:val="005E411B"/>
    <w:rsid w:val="005E4DAC"/>
    <w:rsid w:val="005E4ED1"/>
    <w:rsid w:val="005E549B"/>
    <w:rsid w:val="005E5B7E"/>
    <w:rsid w:val="005E5CD4"/>
    <w:rsid w:val="005E5F55"/>
    <w:rsid w:val="005E6440"/>
    <w:rsid w:val="005E644D"/>
    <w:rsid w:val="005E689C"/>
    <w:rsid w:val="005E6B89"/>
    <w:rsid w:val="005E6EFB"/>
    <w:rsid w:val="005E71A7"/>
    <w:rsid w:val="005E731F"/>
    <w:rsid w:val="005E7545"/>
    <w:rsid w:val="005E7C05"/>
    <w:rsid w:val="005F030D"/>
    <w:rsid w:val="005F09A9"/>
    <w:rsid w:val="005F13BA"/>
    <w:rsid w:val="005F1661"/>
    <w:rsid w:val="005F1D83"/>
    <w:rsid w:val="005F23D1"/>
    <w:rsid w:val="005F2944"/>
    <w:rsid w:val="005F3344"/>
    <w:rsid w:val="005F368C"/>
    <w:rsid w:val="005F3B2B"/>
    <w:rsid w:val="005F3DB0"/>
    <w:rsid w:val="005F3DE3"/>
    <w:rsid w:val="005F4139"/>
    <w:rsid w:val="005F471B"/>
    <w:rsid w:val="005F4A19"/>
    <w:rsid w:val="005F4CF0"/>
    <w:rsid w:val="005F4DB3"/>
    <w:rsid w:val="005F50CF"/>
    <w:rsid w:val="005F5220"/>
    <w:rsid w:val="005F54EE"/>
    <w:rsid w:val="005F55E3"/>
    <w:rsid w:val="005F57E2"/>
    <w:rsid w:val="005F5D6A"/>
    <w:rsid w:val="005F5FC0"/>
    <w:rsid w:val="005F60E1"/>
    <w:rsid w:val="005F6A04"/>
    <w:rsid w:val="005F6F7E"/>
    <w:rsid w:val="005F7103"/>
    <w:rsid w:val="005F7464"/>
    <w:rsid w:val="005F7A11"/>
    <w:rsid w:val="005F7E78"/>
    <w:rsid w:val="00600062"/>
    <w:rsid w:val="00600089"/>
    <w:rsid w:val="0060045A"/>
    <w:rsid w:val="006004E5"/>
    <w:rsid w:val="00600689"/>
    <w:rsid w:val="006009F4"/>
    <w:rsid w:val="00600A1F"/>
    <w:rsid w:val="00600D21"/>
    <w:rsid w:val="00601062"/>
    <w:rsid w:val="00601114"/>
    <w:rsid w:val="006012A4"/>
    <w:rsid w:val="006013C1"/>
    <w:rsid w:val="006015D9"/>
    <w:rsid w:val="00601954"/>
    <w:rsid w:val="00601B46"/>
    <w:rsid w:val="00601BD1"/>
    <w:rsid w:val="00601EDA"/>
    <w:rsid w:val="0060220E"/>
    <w:rsid w:val="0060260F"/>
    <w:rsid w:val="0060275E"/>
    <w:rsid w:val="00602A6E"/>
    <w:rsid w:val="00602B46"/>
    <w:rsid w:val="00602D1C"/>
    <w:rsid w:val="00602F9F"/>
    <w:rsid w:val="0060356C"/>
    <w:rsid w:val="00603761"/>
    <w:rsid w:val="006037A7"/>
    <w:rsid w:val="00603C4E"/>
    <w:rsid w:val="00603EE4"/>
    <w:rsid w:val="0060464E"/>
    <w:rsid w:val="006046A6"/>
    <w:rsid w:val="006048E2"/>
    <w:rsid w:val="00604B66"/>
    <w:rsid w:val="00604F82"/>
    <w:rsid w:val="00605149"/>
    <w:rsid w:val="006051C6"/>
    <w:rsid w:val="006051E2"/>
    <w:rsid w:val="00605497"/>
    <w:rsid w:val="00605751"/>
    <w:rsid w:val="00605858"/>
    <w:rsid w:val="00605931"/>
    <w:rsid w:val="006066B3"/>
    <w:rsid w:val="00606722"/>
    <w:rsid w:val="00606A04"/>
    <w:rsid w:val="00606BC3"/>
    <w:rsid w:val="00606CF2"/>
    <w:rsid w:val="00607480"/>
    <w:rsid w:val="00607B6B"/>
    <w:rsid w:val="00607BB9"/>
    <w:rsid w:val="00607C0F"/>
    <w:rsid w:val="00610278"/>
    <w:rsid w:val="00610AE3"/>
    <w:rsid w:val="00610EFF"/>
    <w:rsid w:val="0061118C"/>
    <w:rsid w:val="006112DD"/>
    <w:rsid w:val="006114B5"/>
    <w:rsid w:val="00611ED6"/>
    <w:rsid w:val="006123D0"/>
    <w:rsid w:val="00612787"/>
    <w:rsid w:val="00612788"/>
    <w:rsid w:val="00612842"/>
    <w:rsid w:val="00612D8D"/>
    <w:rsid w:val="00612E82"/>
    <w:rsid w:val="00612F95"/>
    <w:rsid w:val="00613458"/>
    <w:rsid w:val="006134E1"/>
    <w:rsid w:val="006137FC"/>
    <w:rsid w:val="00613B75"/>
    <w:rsid w:val="00613C6F"/>
    <w:rsid w:val="00613D59"/>
    <w:rsid w:val="00613E73"/>
    <w:rsid w:val="00613F68"/>
    <w:rsid w:val="00614104"/>
    <w:rsid w:val="006142A2"/>
    <w:rsid w:val="00614F43"/>
    <w:rsid w:val="00614FFA"/>
    <w:rsid w:val="00615669"/>
    <w:rsid w:val="006159D1"/>
    <w:rsid w:val="00615F62"/>
    <w:rsid w:val="00615F64"/>
    <w:rsid w:val="00616006"/>
    <w:rsid w:val="0061645B"/>
    <w:rsid w:val="006169A7"/>
    <w:rsid w:val="00616EEA"/>
    <w:rsid w:val="00616F07"/>
    <w:rsid w:val="00617540"/>
    <w:rsid w:val="006176E8"/>
    <w:rsid w:val="00617D46"/>
    <w:rsid w:val="00617E00"/>
    <w:rsid w:val="00620EE4"/>
    <w:rsid w:val="0062143E"/>
    <w:rsid w:val="0062145A"/>
    <w:rsid w:val="0062186F"/>
    <w:rsid w:val="00621B6E"/>
    <w:rsid w:val="00621BBD"/>
    <w:rsid w:val="00621BC9"/>
    <w:rsid w:val="006222FE"/>
    <w:rsid w:val="006225E5"/>
    <w:rsid w:val="0062264D"/>
    <w:rsid w:val="00622AB6"/>
    <w:rsid w:val="00622DCF"/>
    <w:rsid w:val="00623171"/>
    <w:rsid w:val="00623174"/>
    <w:rsid w:val="00623333"/>
    <w:rsid w:val="00623493"/>
    <w:rsid w:val="006234B0"/>
    <w:rsid w:val="00623A15"/>
    <w:rsid w:val="00623AD2"/>
    <w:rsid w:val="00623BB9"/>
    <w:rsid w:val="006240AB"/>
    <w:rsid w:val="006242D7"/>
    <w:rsid w:val="00624402"/>
    <w:rsid w:val="006244CB"/>
    <w:rsid w:val="00624FB5"/>
    <w:rsid w:val="0062512F"/>
    <w:rsid w:val="00625AB3"/>
    <w:rsid w:val="00625CE4"/>
    <w:rsid w:val="00625D10"/>
    <w:rsid w:val="00626762"/>
    <w:rsid w:val="00626C00"/>
    <w:rsid w:val="00627848"/>
    <w:rsid w:val="006278CE"/>
    <w:rsid w:val="00627A2E"/>
    <w:rsid w:val="00627B2E"/>
    <w:rsid w:val="00627CA8"/>
    <w:rsid w:val="00630667"/>
    <w:rsid w:val="00630C87"/>
    <w:rsid w:val="00630D66"/>
    <w:rsid w:val="00631024"/>
    <w:rsid w:val="0063117D"/>
    <w:rsid w:val="00631389"/>
    <w:rsid w:val="006314C3"/>
    <w:rsid w:val="0063156E"/>
    <w:rsid w:val="006317E1"/>
    <w:rsid w:val="00631CA9"/>
    <w:rsid w:val="00631D14"/>
    <w:rsid w:val="00631E47"/>
    <w:rsid w:val="00631F6C"/>
    <w:rsid w:val="00631FB9"/>
    <w:rsid w:val="00632321"/>
    <w:rsid w:val="006329C3"/>
    <w:rsid w:val="00632B9E"/>
    <w:rsid w:val="00632F1D"/>
    <w:rsid w:val="00633135"/>
    <w:rsid w:val="0063332E"/>
    <w:rsid w:val="0063343A"/>
    <w:rsid w:val="006339CA"/>
    <w:rsid w:val="00633A5F"/>
    <w:rsid w:val="00633B6D"/>
    <w:rsid w:val="00633DA6"/>
    <w:rsid w:val="00634361"/>
    <w:rsid w:val="00634592"/>
    <w:rsid w:val="00634722"/>
    <w:rsid w:val="00634751"/>
    <w:rsid w:val="00634B8B"/>
    <w:rsid w:val="00634C04"/>
    <w:rsid w:val="006350C9"/>
    <w:rsid w:val="00635ABA"/>
    <w:rsid w:val="00635C9C"/>
    <w:rsid w:val="00635E62"/>
    <w:rsid w:val="0063601E"/>
    <w:rsid w:val="0063607D"/>
    <w:rsid w:val="0063612D"/>
    <w:rsid w:val="006361A9"/>
    <w:rsid w:val="0063653D"/>
    <w:rsid w:val="00636C50"/>
    <w:rsid w:val="00636F2B"/>
    <w:rsid w:val="0063705A"/>
    <w:rsid w:val="006371E2"/>
    <w:rsid w:val="0063752D"/>
    <w:rsid w:val="00637A77"/>
    <w:rsid w:val="00637A7D"/>
    <w:rsid w:val="00637CDD"/>
    <w:rsid w:val="006405E5"/>
    <w:rsid w:val="00640668"/>
    <w:rsid w:val="00640B1F"/>
    <w:rsid w:val="00640BF6"/>
    <w:rsid w:val="00640D39"/>
    <w:rsid w:val="00640E19"/>
    <w:rsid w:val="006416BD"/>
    <w:rsid w:val="006418CC"/>
    <w:rsid w:val="00641BBB"/>
    <w:rsid w:val="00641DD1"/>
    <w:rsid w:val="0064262B"/>
    <w:rsid w:val="006427ED"/>
    <w:rsid w:val="00642B1A"/>
    <w:rsid w:val="00642B85"/>
    <w:rsid w:val="00642F4A"/>
    <w:rsid w:val="0064343A"/>
    <w:rsid w:val="00643904"/>
    <w:rsid w:val="0064395F"/>
    <w:rsid w:val="0064419C"/>
    <w:rsid w:val="00644A3D"/>
    <w:rsid w:val="0064515C"/>
    <w:rsid w:val="00645189"/>
    <w:rsid w:val="00645434"/>
    <w:rsid w:val="006454B5"/>
    <w:rsid w:val="006454EE"/>
    <w:rsid w:val="00645BA4"/>
    <w:rsid w:val="0064638B"/>
    <w:rsid w:val="0064646F"/>
    <w:rsid w:val="00646AED"/>
    <w:rsid w:val="0064765A"/>
    <w:rsid w:val="00647AEC"/>
    <w:rsid w:val="00647B5E"/>
    <w:rsid w:val="00647D50"/>
    <w:rsid w:val="00647D8E"/>
    <w:rsid w:val="00647E6A"/>
    <w:rsid w:val="00650341"/>
    <w:rsid w:val="0065052C"/>
    <w:rsid w:val="00650810"/>
    <w:rsid w:val="00650E6E"/>
    <w:rsid w:val="00650FE2"/>
    <w:rsid w:val="006514B7"/>
    <w:rsid w:val="00651762"/>
    <w:rsid w:val="00651A38"/>
    <w:rsid w:val="00651C97"/>
    <w:rsid w:val="006521FB"/>
    <w:rsid w:val="0065234E"/>
    <w:rsid w:val="00652442"/>
    <w:rsid w:val="006524D2"/>
    <w:rsid w:val="00652A1B"/>
    <w:rsid w:val="00653090"/>
    <w:rsid w:val="00653282"/>
    <w:rsid w:val="00653ECA"/>
    <w:rsid w:val="0065405C"/>
    <w:rsid w:val="006542C8"/>
    <w:rsid w:val="0065447D"/>
    <w:rsid w:val="00654513"/>
    <w:rsid w:val="00654548"/>
    <w:rsid w:val="0065498D"/>
    <w:rsid w:val="006549F2"/>
    <w:rsid w:val="00654D68"/>
    <w:rsid w:val="006551F4"/>
    <w:rsid w:val="006552BA"/>
    <w:rsid w:val="0065542E"/>
    <w:rsid w:val="00655CC2"/>
    <w:rsid w:val="00655EA4"/>
    <w:rsid w:val="00655FE7"/>
    <w:rsid w:val="0065611B"/>
    <w:rsid w:val="00656BB9"/>
    <w:rsid w:val="00657072"/>
    <w:rsid w:val="0065792D"/>
    <w:rsid w:val="00660182"/>
    <w:rsid w:val="006605D2"/>
    <w:rsid w:val="0066064B"/>
    <w:rsid w:val="00660758"/>
    <w:rsid w:val="00660A0B"/>
    <w:rsid w:val="00660C95"/>
    <w:rsid w:val="00660D3E"/>
    <w:rsid w:val="00660E24"/>
    <w:rsid w:val="006610D8"/>
    <w:rsid w:val="006615DA"/>
    <w:rsid w:val="006619FB"/>
    <w:rsid w:val="00661A6D"/>
    <w:rsid w:val="00661B30"/>
    <w:rsid w:val="00661C4A"/>
    <w:rsid w:val="00662071"/>
    <w:rsid w:val="006621CC"/>
    <w:rsid w:val="00662668"/>
    <w:rsid w:val="006626EC"/>
    <w:rsid w:val="00662D34"/>
    <w:rsid w:val="00662E23"/>
    <w:rsid w:val="0066317D"/>
    <w:rsid w:val="00663914"/>
    <w:rsid w:val="00663DDC"/>
    <w:rsid w:val="00663F44"/>
    <w:rsid w:val="0066410A"/>
    <w:rsid w:val="0066416D"/>
    <w:rsid w:val="00664328"/>
    <w:rsid w:val="00664766"/>
    <w:rsid w:val="00664A8B"/>
    <w:rsid w:val="00664AEB"/>
    <w:rsid w:val="00664BE6"/>
    <w:rsid w:val="00664CAE"/>
    <w:rsid w:val="00664DC6"/>
    <w:rsid w:val="00664E7F"/>
    <w:rsid w:val="00664F80"/>
    <w:rsid w:val="00665F57"/>
    <w:rsid w:val="0066639D"/>
    <w:rsid w:val="00666A60"/>
    <w:rsid w:val="00666A6D"/>
    <w:rsid w:val="00666B2E"/>
    <w:rsid w:val="0066740E"/>
    <w:rsid w:val="006675C5"/>
    <w:rsid w:val="00667695"/>
    <w:rsid w:val="0067021E"/>
    <w:rsid w:val="006702C1"/>
    <w:rsid w:val="0067035F"/>
    <w:rsid w:val="00670695"/>
    <w:rsid w:val="00670784"/>
    <w:rsid w:val="006708F0"/>
    <w:rsid w:val="00670956"/>
    <w:rsid w:val="00670DA3"/>
    <w:rsid w:val="00671135"/>
    <w:rsid w:val="0067147C"/>
    <w:rsid w:val="00671826"/>
    <w:rsid w:val="00671AD3"/>
    <w:rsid w:val="00671AEC"/>
    <w:rsid w:val="006721D4"/>
    <w:rsid w:val="00672567"/>
    <w:rsid w:val="00672616"/>
    <w:rsid w:val="0067281C"/>
    <w:rsid w:val="00673265"/>
    <w:rsid w:val="006732AB"/>
    <w:rsid w:val="00674775"/>
    <w:rsid w:val="00674819"/>
    <w:rsid w:val="00674F23"/>
    <w:rsid w:val="00674F4A"/>
    <w:rsid w:val="006752CC"/>
    <w:rsid w:val="00675359"/>
    <w:rsid w:val="006757B6"/>
    <w:rsid w:val="00675878"/>
    <w:rsid w:val="00675A1C"/>
    <w:rsid w:val="00675A3F"/>
    <w:rsid w:val="00675F1A"/>
    <w:rsid w:val="006761FA"/>
    <w:rsid w:val="00676259"/>
    <w:rsid w:val="00676338"/>
    <w:rsid w:val="006766DF"/>
    <w:rsid w:val="0067684B"/>
    <w:rsid w:val="00676918"/>
    <w:rsid w:val="00676B77"/>
    <w:rsid w:val="00676CA2"/>
    <w:rsid w:val="0067715A"/>
    <w:rsid w:val="0067771D"/>
    <w:rsid w:val="00677748"/>
    <w:rsid w:val="00677B8D"/>
    <w:rsid w:val="00677B9A"/>
    <w:rsid w:val="00677DEC"/>
    <w:rsid w:val="00677FAE"/>
    <w:rsid w:val="00680143"/>
    <w:rsid w:val="0068035D"/>
    <w:rsid w:val="0068039A"/>
    <w:rsid w:val="0068041C"/>
    <w:rsid w:val="006808E3"/>
    <w:rsid w:val="006808F2"/>
    <w:rsid w:val="006809D2"/>
    <w:rsid w:val="00680FBB"/>
    <w:rsid w:val="006815C5"/>
    <w:rsid w:val="00681A74"/>
    <w:rsid w:val="00681AD4"/>
    <w:rsid w:val="00681ED5"/>
    <w:rsid w:val="00682971"/>
    <w:rsid w:val="00682ABE"/>
    <w:rsid w:val="00682C05"/>
    <w:rsid w:val="00682FD6"/>
    <w:rsid w:val="0068352A"/>
    <w:rsid w:val="00683648"/>
    <w:rsid w:val="0068377E"/>
    <w:rsid w:val="00683889"/>
    <w:rsid w:val="00683B61"/>
    <w:rsid w:val="00683E36"/>
    <w:rsid w:val="00684006"/>
    <w:rsid w:val="0068426E"/>
    <w:rsid w:val="00684638"/>
    <w:rsid w:val="00684671"/>
    <w:rsid w:val="006846A7"/>
    <w:rsid w:val="00684D0D"/>
    <w:rsid w:val="00684DDC"/>
    <w:rsid w:val="00684EFC"/>
    <w:rsid w:val="00685076"/>
    <w:rsid w:val="006852B4"/>
    <w:rsid w:val="006853F8"/>
    <w:rsid w:val="00685B61"/>
    <w:rsid w:val="00685BCF"/>
    <w:rsid w:val="00685C11"/>
    <w:rsid w:val="00685D41"/>
    <w:rsid w:val="006860A2"/>
    <w:rsid w:val="006860EA"/>
    <w:rsid w:val="00686778"/>
    <w:rsid w:val="00686AD4"/>
    <w:rsid w:val="00686F5C"/>
    <w:rsid w:val="00687001"/>
    <w:rsid w:val="0068705C"/>
    <w:rsid w:val="00687159"/>
    <w:rsid w:val="00687285"/>
    <w:rsid w:val="006879D5"/>
    <w:rsid w:val="00687C08"/>
    <w:rsid w:val="00687C1E"/>
    <w:rsid w:val="00687CFF"/>
    <w:rsid w:val="00687D09"/>
    <w:rsid w:val="00687F12"/>
    <w:rsid w:val="0069055A"/>
    <w:rsid w:val="00690800"/>
    <w:rsid w:val="0069084D"/>
    <w:rsid w:val="006909E6"/>
    <w:rsid w:val="00690CF6"/>
    <w:rsid w:val="00690DBC"/>
    <w:rsid w:val="00690FEF"/>
    <w:rsid w:val="00691495"/>
    <w:rsid w:val="006914A8"/>
    <w:rsid w:val="0069178A"/>
    <w:rsid w:val="006919BD"/>
    <w:rsid w:val="006920AB"/>
    <w:rsid w:val="00692235"/>
    <w:rsid w:val="00692241"/>
    <w:rsid w:val="00692384"/>
    <w:rsid w:val="00692B8A"/>
    <w:rsid w:val="00692B9E"/>
    <w:rsid w:val="00693298"/>
    <w:rsid w:val="00693817"/>
    <w:rsid w:val="0069393D"/>
    <w:rsid w:val="00693C51"/>
    <w:rsid w:val="00694908"/>
    <w:rsid w:val="006949C6"/>
    <w:rsid w:val="00694FB4"/>
    <w:rsid w:val="006951D0"/>
    <w:rsid w:val="00695432"/>
    <w:rsid w:val="006954F2"/>
    <w:rsid w:val="0069564A"/>
    <w:rsid w:val="00695865"/>
    <w:rsid w:val="00695A22"/>
    <w:rsid w:val="00695A4B"/>
    <w:rsid w:val="00695A7A"/>
    <w:rsid w:val="00695E08"/>
    <w:rsid w:val="00696375"/>
    <w:rsid w:val="00696770"/>
    <w:rsid w:val="00696D99"/>
    <w:rsid w:val="006970A0"/>
    <w:rsid w:val="0069712E"/>
    <w:rsid w:val="00697146"/>
    <w:rsid w:val="00697294"/>
    <w:rsid w:val="006972B7"/>
    <w:rsid w:val="00697334"/>
    <w:rsid w:val="0069773F"/>
    <w:rsid w:val="00697964"/>
    <w:rsid w:val="006A025C"/>
    <w:rsid w:val="006A0401"/>
    <w:rsid w:val="006A050E"/>
    <w:rsid w:val="006A0799"/>
    <w:rsid w:val="006A0BC9"/>
    <w:rsid w:val="006A0E0E"/>
    <w:rsid w:val="006A0E6D"/>
    <w:rsid w:val="006A12AB"/>
    <w:rsid w:val="006A1388"/>
    <w:rsid w:val="006A18CB"/>
    <w:rsid w:val="006A1C26"/>
    <w:rsid w:val="006A1C2B"/>
    <w:rsid w:val="006A1D85"/>
    <w:rsid w:val="006A1F89"/>
    <w:rsid w:val="006A271F"/>
    <w:rsid w:val="006A2966"/>
    <w:rsid w:val="006A2B75"/>
    <w:rsid w:val="006A2BCD"/>
    <w:rsid w:val="006A2D7D"/>
    <w:rsid w:val="006A3003"/>
    <w:rsid w:val="006A32C3"/>
    <w:rsid w:val="006A36CC"/>
    <w:rsid w:val="006A3777"/>
    <w:rsid w:val="006A37EE"/>
    <w:rsid w:val="006A37F6"/>
    <w:rsid w:val="006A384F"/>
    <w:rsid w:val="006A3D6D"/>
    <w:rsid w:val="006A3E3F"/>
    <w:rsid w:val="006A3FC0"/>
    <w:rsid w:val="006A42BE"/>
    <w:rsid w:val="006A461A"/>
    <w:rsid w:val="006A4C60"/>
    <w:rsid w:val="006A4D38"/>
    <w:rsid w:val="006A4F02"/>
    <w:rsid w:val="006A532E"/>
    <w:rsid w:val="006A5868"/>
    <w:rsid w:val="006A5937"/>
    <w:rsid w:val="006A5E97"/>
    <w:rsid w:val="006A6604"/>
    <w:rsid w:val="006A67DA"/>
    <w:rsid w:val="006A699F"/>
    <w:rsid w:val="006A6AD9"/>
    <w:rsid w:val="006A6AF9"/>
    <w:rsid w:val="006A6E6D"/>
    <w:rsid w:val="006A7185"/>
    <w:rsid w:val="006A7275"/>
    <w:rsid w:val="006A7290"/>
    <w:rsid w:val="006A73FF"/>
    <w:rsid w:val="006A7455"/>
    <w:rsid w:val="006A75B0"/>
    <w:rsid w:val="006A790E"/>
    <w:rsid w:val="006A7F0A"/>
    <w:rsid w:val="006B0186"/>
    <w:rsid w:val="006B059D"/>
    <w:rsid w:val="006B0A86"/>
    <w:rsid w:val="006B15C3"/>
    <w:rsid w:val="006B1691"/>
    <w:rsid w:val="006B16D9"/>
    <w:rsid w:val="006B1965"/>
    <w:rsid w:val="006B1F10"/>
    <w:rsid w:val="006B2280"/>
    <w:rsid w:val="006B22A9"/>
    <w:rsid w:val="006B2478"/>
    <w:rsid w:val="006B2AD2"/>
    <w:rsid w:val="006B2FA9"/>
    <w:rsid w:val="006B3280"/>
    <w:rsid w:val="006B3298"/>
    <w:rsid w:val="006B343F"/>
    <w:rsid w:val="006B3773"/>
    <w:rsid w:val="006B4026"/>
    <w:rsid w:val="006B421D"/>
    <w:rsid w:val="006B4B96"/>
    <w:rsid w:val="006B4D2C"/>
    <w:rsid w:val="006B523A"/>
    <w:rsid w:val="006B528E"/>
    <w:rsid w:val="006B549F"/>
    <w:rsid w:val="006B56C0"/>
    <w:rsid w:val="006B57BF"/>
    <w:rsid w:val="006B5879"/>
    <w:rsid w:val="006B5CF1"/>
    <w:rsid w:val="006B5EEA"/>
    <w:rsid w:val="006B5F62"/>
    <w:rsid w:val="006B625C"/>
    <w:rsid w:val="006B6729"/>
    <w:rsid w:val="006B6816"/>
    <w:rsid w:val="006B6C5C"/>
    <w:rsid w:val="006B727B"/>
    <w:rsid w:val="006B7ED1"/>
    <w:rsid w:val="006B7F99"/>
    <w:rsid w:val="006B7FAF"/>
    <w:rsid w:val="006C01E1"/>
    <w:rsid w:val="006C078A"/>
    <w:rsid w:val="006C0963"/>
    <w:rsid w:val="006C0AE5"/>
    <w:rsid w:val="006C124E"/>
    <w:rsid w:val="006C1352"/>
    <w:rsid w:val="006C180E"/>
    <w:rsid w:val="006C1A8C"/>
    <w:rsid w:val="006C20AB"/>
    <w:rsid w:val="006C25DD"/>
    <w:rsid w:val="006C293B"/>
    <w:rsid w:val="006C2E1A"/>
    <w:rsid w:val="006C2E30"/>
    <w:rsid w:val="006C2F63"/>
    <w:rsid w:val="006C31BB"/>
    <w:rsid w:val="006C3264"/>
    <w:rsid w:val="006C3447"/>
    <w:rsid w:val="006C354B"/>
    <w:rsid w:val="006C3DEE"/>
    <w:rsid w:val="006C43C7"/>
    <w:rsid w:val="006C46CD"/>
    <w:rsid w:val="006C4A49"/>
    <w:rsid w:val="006C537C"/>
    <w:rsid w:val="006C54E1"/>
    <w:rsid w:val="006C6482"/>
    <w:rsid w:val="006C671C"/>
    <w:rsid w:val="006C6929"/>
    <w:rsid w:val="006C69FB"/>
    <w:rsid w:val="006C73C8"/>
    <w:rsid w:val="006C7441"/>
    <w:rsid w:val="006C766E"/>
    <w:rsid w:val="006D030A"/>
    <w:rsid w:val="006D033B"/>
    <w:rsid w:val="006D0475"/>
    <w:rsid w:val="006D055C"/>
    <w:rsid w:val="006D0683"/>
    <w:rsid w:val="006D076D"/>
    <w:rsid w:val="006D0CE9"/>
    <w:rsid w:val="006D1366"/>
    <w:rsid w:val="006D1555"/>
    <w:rsid w:val="006D22DC"/>
    <w:rsid w:val="006D22FC"/>
    <w:rsid w:val="006D2B22"/>
    <w:rsid w:val="006D2E81"/>
    <w:rsid w:val="006D2EC0"/>
    <w:rsid w:val="006D2F99"/>
    <w:rsid w:val="006D36AB"/>
    <w:rsid w:val="006D3CF1"/>
    <w:rsid w:val="006D4053"/>
    <w:rsid w:val="006D4086"/>
    <w:rsid w:val="006D4314"/>
    <w:rsid w:val="006D4363"/>
    <w:rsid w:val="006D4888"/>
    <w:rsid w:val="006D4ED3"/>
    <w:rsid w:val="006D5010"/>
    <w:rsid w:val="006D5265"/>
    <w:rsid w:val="006D52B6"/>
    <w:rsid w:val="006D5CF5"/>
    <w:rsid w:val="006D6161"/>
    <w:rsid w:val="006D6BCD"/>
    <w:rsid w:val="006D7071"/>
    <w:rsid w:val="006D7752"/>
    <w:rsid w:val="006D777D"/>
    <w:rsid w:val="006D7834"/>
    <w:rsid w:val="006D7BC0"/>
    <w:rsid w:val="006E04BC"/>
    <w:rsid w:val="006E04BF"/>
    <w:rsid w:val="006E0EC9"/>
    <w:rsid w:val="006E1012"/>
    <w:rsid w:val="006E1565"/>
    <w:rsid w:val="006E19E8"/>
    <w:rsid w:val="006E1C2B"/>
    <w:rsid w:val="006E24EB"/>
    <w:rsid w:val="006E30F0"/>
    <w:rsid w:val="006E352B"/>
    <w:rsid w:val="006E374A"/>
    <w:rsid w:val="006E381E"/>
    <w:rsid w:val="006E41AE"/>
    <w:rsid w:val="006E44C6"/>
    <w:rsid w:val="006E472C"/>
    <w:rsid w:val="006E4A23"/>
    <w:rsid w:val="006E4CEF"/>
    <w:rsid w:val="006E52C9"/>
    <w:rsid w:val="006E5B10"/>
    <w:rsid w:val="006E728E"/>
    <w:rsid w:val="006E76DC"/>
    <w:rsid w:val="006E77E1"/>
    <w:rsid w:val="006E78A1"/>
    <w:rsid w:val="006E798D"/>
    <w:rsid w:val="006E7B27"/>
    <w:rsid w:val="006E7C79"/>
    <w:rsid w:val="006E7D6F"/>
    <w:rsid w:val="006E7FC1"/>
    <w:rsid w:val="006F04E3"/>
    <w:rsid w:val="006F05FB"/>
    <w:rsid w:val="006F0768"/>
    <w:rsid w:val="006F0835"/>
    <w:rsid w:val="006F0934"/>
    <w:rsid w:val="006F0E7E"/>
    <w:rsid w:val="006F0EE1"/>
    <w:rsid w:val="006F115A"/>
    <w:rsid w:val="006F1399"/>
    <w:rsid w:val="006F14A5"/>
    <w:rsid w:val="006F1567"/>
    <w:rsid w:val="006F1A3E"/>
    <w:rsid w:val="006F1AF0"/>
    <w:rsid w:val="006F2360"/>
    <w:rsid w:val="006F23C2"/>
    <w:rsid w:val="006F280D"/>
    <w:rsid w:val="006F2AA1"/>
    <w:rsid w:val="006F3078"/>
    <w:rsid w:val="006F3197"/>
    <w:rsid w:val="006F32EC"/>
    <w:rsid w:val="006F34CE"/>
    <w:rsid w:val="006F3660"/>
    <w:rsid w:val="006F3704"/>
    <w:rsid w:val="006F3749"/>
    <w:rsid w:val="006F378F"/>
    <w:rsid w:val="006F3BDC"/>
    <w:rsid w:val="006F4251"/>
    <w:rsid w:val="006F433E"/>
    <w:rsid w:val="006F4427"/>
    <w:rsid w:val="006F45E9"/>
    <w:rsid w:val="006F4885"/>
    <w:rsid w:val="006F4D72"/>
    <w:rsid w:val="006F51B1"/>
    <w:rsid w:val="006F5767"/>
    <w:rsid w:val="006F5BA2"/>
    <w:rsid w:val="006F5DB7"/>
    <w:rsid w:val="006F61D7"/>
    <w:rsid w:val="006F639F"/>
    <w:rsid w:val="006F6C15"/>
    <w:rsid w:val="006F6C58"/>
    <w:rsid w:val="006F6D46"/>
    <w:rsid w:val="006F6DA5"/>
    <w:rsid w:val="006F722B"/>
    <w:rsid w:val="006F7635"/>
    <w:rsid w:val="006F7667"/>
    <w:rsid w:val="006F79E2"/>
    <w:rsid w:val="006F7A1E"/>
    <w:rsid w:val="006F7B41"/>
    <w:rsid w:val="006F7C94"/>
    <w:rsid w:val="007003FD"/>
    <w:rsid w:val="007005A6"/>
    <w:rsid w:val="00700872"/>
    <w:rsid w:val="00700A07"/>
    <w:rsid w:val="00700B22"/>
    <w:rsid w:val="00701138"/>
    <w:rsid w:val="00701522"/>
    <w:rsid w:val="00701BF5"/>
    <w:rsid w:val="00701D4A"/>
    <w:rsid w:val="00701EB0"/>
    <w:rsid w:val="007021A3"/>
    <w:rsid w:val="00702292"/>
    <w:rsid w:val="00702565"/>
    <w:rsid w:val="00702F2D"/>
    <w:rsid w:val="0070347D"/>
    <w:rsid w:val="0070354D"/>
    <w:rsid w:val="00703888"/>
    <w:rsid w:val="007039F2"/>
    <w:rsid w:val="00703D25"/>
    <w:rsid w:val="00704235"/>
    <w:rsid w:val="007045FD"/>
    <w:rsid w:val="00704922"/>
    <w:rsid w:val="00704A67"/>
    <w:rsid w:val="00704B7E"/>
    <w:rsid w:val="00704D32"/>
    <w:rsid w:val="00704EF1"/>
    <w:rsid w:val="00705073"/>
    <w:rsid w:val="007050F5"/>
    <w:rsid w:val="007053D3"/>
    <w:rsid w:val="00705546"/>
    <w:rsid w:val="007056DF"/>
    <w:rsid w:val="007061DE"/>
    <w:rsid w:val="007062D8"/>
    <w:rsid w:val="00706E58"/>
    <w:rsid w:val="00707389"/>
    <w:rsid w:val="00707479"/>
    <w:rsid w:val="00707555"/>
    <w:rsid w:val="0070790A"/>
    <w:rsid w:val="00707B6E"/>
    <w:rsid w:val="00707E2E"/>
    <w:rsid w:val="00710830"/>
    <w:rsid w:val="007108BE"/>
    <w:rsid w:val="00710C6B"/>
    <w:rsid w:val="00710EA1"/>
    <w:rsid w:val="00710FBB"/>
    <w:rsid w:val="0071133C"/>
    <w:rsid w:val="00711738"/>
    <w:rsid w:val="00711B05"/>
    <w:rsid w:val="00711C07"/>
    <w:rsid w:val="00711CC0"/>
    <w:rsid w:val="00711D22"/>
    <w:rsid w:val="007120A7"/>
    <w:rsid w:val="00712215"/>
    <w:rsid w:val="0071238F"/>
    <w:rsid w:val="007123C0"/>
    <w:rsid w:val="007125DF"/>
    <w:rsid w:val="0071323B"/>
    <w:rsid w:val="00713447"/>
    <w:rsid w:val="00713A56"/>
    <w:rsid w:val="00713F5E"/>
    <w:rsid w:val="0071439B"/>
    <w:rsid w:val="007143E7"/>
    <w:rsid w:val="00714D32"/>
    <w:rsid w:val="00714E33"/>
    <w:rsid w:val="00714EE2"/>
    <w:rsid w:val="00714F04"/>
    <w:rsid w:val="00714F94"/>
    <w:rsid w:val="0071532A"/>
    <w:rsid w:val="0071549A"/>
    <w:rsid w:val="0071557A"/>
    <w:rsid w:val="007155B3"/>
    <w:rsid w:val="00715610"/>
    <w:rsid w:val="00715E49"/>
    <w:rsid w:val="00715E4E"/>
    <w:rsid w:val="00715EF9"/>
    <w:rsid w:val="0071611E"/>
    <w:rsid w:val="007164E2"/>
    <w:rsid w:val="00716848"/>
    <w:rsid w:val="00716CC0"/>
    <w:rsid w:val="00716CD4"/>
    <w:rsid w:val="00716F5E"/>
    <w:rsid w:val="00717037"/>
    <w:rsid w:val="007172EB"/>
    <w:rsid w:val="007175F8"/>
    <w:rsid w:val="00717C7B"/>
    <w:rsid w:val="00720178"/>
    <w:rsid w:val="0072097A"/>
    <w:rsid w:val="00720AA9"/>
    <w:rsid w:val="0072102B"/>
    <w:rsid w:val="00721131"/>
    <w:rsid w:val="00721236"/>
    <w:rsid w:val="00721623"/>
    <w:rsid w:val="007216C7"/>
    <w:rsid w:val="00721962"/>
    <w:rsid w:val="00721FE5"/>
    <w:rsid w:val="00721FFF"/>
    <w:rsid w:val="0072219B"/>
    <w:rsid w:val="007225C7"/>
    <w:rsid w:val="00722EB9"/>
    <w:rsid w:val="007234F0"/>
    <w:rsid w:val="007235D0"/>
    <w:rsid w:val="00723649"/>
    <w:rsid w:val="007238A6"/>
    <w:rsid w:val="00723C16"/>
    <w:rsid w:val="00724272"/>
    <w:rsid w:val="007245B9"/>
    <w:rsid w:val="00724674"/>
    <w:rsid w:val="00724F09"/>
    <w:rsid w:val="00725000"/>
    <w:rsid w:val="0072558C"/>
    <w:rsid w:val="00725B37"/>
    <w:rsid w:val="0072635A"/>
    <w:rsid w:val="007264DB"/>
    <w:rsid w:val="0072665C"/>
    <w:rsid w:val="007267AC"/>
    <w:rsid w:val="0072694B"/>
    <w:rsid w:val="00726956"/>
    <w:rsid w:val="00727156"/>
    <w:rsid w:val="00727252"/>
    <w:rsid w:val="00727545"/>
    <w:rsid w:val="007275A1"/>
    <w:rsid w:val="00727659"/>
    <w:rsid w:val="00727B27"/>
    <w:rsid w:val="007300AC"/>
    <w:rsid w:val="0073032D"/>
    <w:rsid w:val="0073042B"/>
    <w:rsid w:val="00730462"/>
    <w:rsid w:val="0073070C"/>
    <w:rsid w:val="00730DA4"/>
    <w:rsid w:val="00730EFA"/>
    <w:rsid w:val="007310AC"/>
    <w:rsid w:val="0073178D"/>
    <w:rsid w:val="00731AF2"/>
    <w:rsid w:val="00731C93"/>
    <w:rsid w:val="00731D38"/>
    <w:rsid w:val="0073208A"/>
    <w:rsid w:val="007325EB"/>
    <w:rsid w:val="0073283A"/>
    <w:rsid w:val="00732A39"/>
    <w:rsid w:val="00732F0F"/>
    <w:rsid w:val="00733142"/>
    <w:rsid w:val="00733397"/>
    <w:rsid w:val="0073344E"/>
    <w:rsid w:val="00733936"/>
    <w:rsid w:val="00733D3E"/>
    <w:rsid w:val="00734000"/>
    <w:rsid w:val="00735377"/>
    <w:rsid w:val="00735A98"/>
    <w:rsid w:val="00735DC0"/>
    <w:rsid w:val="0073641B"/>
    <w:rsid w:val="0073643B"/>
    <w:rsid w:val="007368EA"/>
    <w:rsid w:val="00736F39"/>
    <w:rsid w:val="007373B3"/>
    <w:rsid w:val="00737763"/>
    <w:rsid w:val="00737B53"/>
    <w:rsid w:val="00737C47"/>
    <w:rsid w:val="00740200"/>
    <w:rsid w:val="00740A96"/>
    <w:rsid w:val="0074117A"/>
    <w:rsid w:val="00741346"/>
    <w:rsid w:val="007418E0"/>
    <w:rsid w:val="00741C5E"/>
    <w:rsid w:val="00741E3C"/>
    <w:rsid w:val="00741F09"/>
    <w:rsid w:val="00742408"/>
    <w:rsid w:val="007428C9"/>
    <w:rsid w:val="00742DA0"/>
    <w:rsid w:val="00742ED2"/>
    <w:rsid w:val="00743011"/>
    <w:rsid w:val="00743364"/>
    <w:rsid w:val="007433A9"/>
    <w:rsid w:val="00743522"/>
    <w:rsid w:val="007437F2"/>
    <w:rsid w:val="0074382A"/>
    <w:rsid w:val="00743D5E"/>
    <w:rsid w:val="00743DC3"/>
    <w:rsid w:val="00743DD6"/>
    <w:rsid w:val="00743E54"/>
    <w:rsid w:val="00744494"/>
    <w:rsid w:val="007444E8"/>
    <w:rsid w:val="0074495C"/>
    <w:rsid w:val="00744E97"/>
    <w:rsid w:val="00745089"/>
    <w:rsid w:val="007450B6"/>
    <w:rsid w:val="00745385"/>
    <w:rsid w:val="0074585A"/>
    <w:rsid w:val="007459F7"/>
    <w:rsid w:val="00745BF3"/>
    <w:rsid w:val="00745C91"/>
    <w:rsid w:val="00745D38"/>
    <w:rsid w:val="007460CE"/>
    <w:rsid w:val="007465A2"/>
    <w:rsid w:val="00746B4E"/>
    <w:rsid w:val="00746BC1"/>
    <w:rsid w:val="00746C98"/>
    <w:rsid w:val="00746D1D"/>
    <w:rsid w:val="00746EA0"/>
    <w:rsid w:val="00747241"/>
    <w:rsid w:val="0074777C"/>
    <w:rsid w:val="00747785"/>
    <w:rsid w:val="007477C4"/>
    <w:rsid w:val="007477D8"/>
    <w:rsid w:val="00747886"/>
    <w:rsid w:val="0074797A"/>
    <w:rsid w:val="00747CBA"/>
    <w:rsid w:val="0075035B"/>
    <w:rsid w:val="007507ED"/>
    <w:rsid w:val="00751151"/>
    <w:rsid w:val="007514BC"/>
    <w:rsid w:val="007515A6"/>
    <w:rsid w:val="007516F5"/>
    <w:rsid w:val="0075184F"/>
    <w:rsid w:val="00751EC4"/>
    <w:rsid w:val="007521EE"/>
    <w:rsid w:val="00752B37"/>
    <w:rsid w:val="00752F7B"/>
    <w:rsid w:val="007531DC"/>
    <w:rsid w:val="0075333E"/>
    <w:rsid w:val="007533BE"/>
    <w:rsid w:val="00753499"/>
    <w:rsid w:val="00753922"/>
    <w:rsid w:val="00753942"/>
    <w:rsid w:val="00753D8A"/>
    <w:rsid w:val="00754539"/>
    <w:rsid w:val="00754D71"/>
    <w:rsid w:val="00754F9F"/>
    <w:rsid w:val="0075507F"/>
    <w:rsid w:val="007551ED"/>
    <w:rsid w:val="007554B3"/>
    <w:rsid w:val="00755841"/>
    <w:rsid w:val="00755C8D"/>
    <w:rsid w:val="007560FC"/>
    <w:rsid w:val="007563A3"/>
    <w:rsid w:val="007565A8"/>
    <w:rsid w:val="00756873"/>
    <w:rsid w:val="007569D3"/>
    <w:rsid w:val="00756D40"/>
    <w:rsid w:val="00756DA7"/>
    <w:rsid w:val="007572C5"/>
    <w:rsid w:val="00757896"/>
    <w:rsid w:val="00757AEA"/>
    <w:rsid w:val="00757BA9"/>
    <w:rsid w:val="00757D25"/>
    <w:rsid w:val="00757E3C"/>
    <w:rsid w:val="00760077"/>
    <w:rsid w:val="00760511"/>
    <w:rsid w:val="007607F2"/>
    <w:rsid w:val="00760B14"/>
    <w:rsid w:val="007610F0"/>
    <w:rsid w:val="0076136A"/>
    <w:rsid w:val="007617E5"/>
    <w:rsid w:val="007620F6"/>
    <w:rsid w:val="00762536"/>
    <w:rsid w:val="00762578"/>
    <w:rsid w:val="0076261F"/>
    <w:rsid w:val="00762EAC"/>
    <w:rsid w:val="00763374"/>
    <w:rsid w:val="007633E6"/>
    <w:rsid w:val="00763893"/>
    <w:rsid w:val="00763E56"/>
    <w:rsid w:val="0076479B"/>
    <w:rsid w:val="00764970"/>
    <w:rsid w:val="00764B84"/>
    <w:rsid w:val="00764C2F"/>
    <w:rsid w:val="007653A5"/>
    <w:rsid w:val="00765942"/>
    <w:rsid w:val="00765B1C"/>
    <w:rsid w:val="00765B4F"/>
    <w:rsid w:val="00766264"/>
    <w:rsid w:val="007663AC"/>
    <w:rsid w:val="00766542"/>
    <w:rsid w:val="0076676B"/>
    <w:rsid w:val="00766779"/>
    <w:rsid w:val="00766A2F"/>
    <w:rsid w:val="00766A52"/>
    <w:rsid w:val="00766CDA"/>
    <w:rsid w:val="00766EB4"/>
    <w:rsid w:val="00767033"/>
    <w:rsid w:val="0076744A"/>
    <w:rsid w:val="0076747A"/>
    <w:rsid w:val="00767618"/>
    <w:rsid w:val="00767632"/>
    <w:rsid w:val="00767913"/>
    <w:rsid w:val="00767934"/>
    <w:rsid w:val="007679A0"/>
    <w:rsid w:val="00767FA9"/>
    <w:rsid w:val="0077023D"/>
    <w:rsid w:val="00770540"/>
    <w:rsid w:val="00770737"/>
    <w:rsid w:val="007708A1"/>
    <w:rsid w:val="00770EE3"/>
    <w:rsid w:val="007711A4"/>
    <w:rsid w:val="007719A1"/>
    <w:rsid w:val="00771AB0"/>
    <w:rsid w:val="00771D50"/>
    <w:rsid w:val="00771DE5"/>
    <w:rsid w:val="00771E22"/>
    <w:rsid w:val="0077227D"/>
    <w:rsid w:val="00772422"/>
    <w:rsid w:val="00772B8D"/>
    <w:rsid w:val="00772BB5"/>
    <w:rsid w:val="00772CC3"/>
    <w:rsid w:val="007730FB"/>
    <w:rsid w:val="007732FB"/>
    <w:rsid w:val="0077340D"/>
    <w:rsid w:val="00773565"/>
    <w:rsid w:val="00773752"/>
    <w:rsid w:val="007737AD"/>
    <w:rsid w:val="00773959"/>
    <w:rsid w:val="007739D2"/>
    <w:rsid w:val="00773A02"/>
    <w:rsid w:val="00773A41"/>
    <w:rsid w:val="00773AD5"/>
    <w:rsid w:val="00773CA2"/>
    <w:rsid w:val="00773D38"/>
    <w:rsid w:val="00773ED7"/>
    <w:rsid w:val="00774062"/>
    <w:rsid w:val="00774287"/>
    <w:rsid w:val="0077434C"/>
    <w:rsid w:val="007748AA"/>
    <w:rsid w:val="00774DD1"/>
    <w:rsid w:val="00775008"/>
    <w:rsid w:val="00775577"/>
    <w:rsid w:val="0077584F"/>
    <w:rsid w:val="00775898"/>
    <w:rsid w:val="00775C2C"/>
    <w:rsid w:val="00775D7A"/>
    <w:rsid w:val="00775FCD"/>
    <w:rsid w:val="0077650E"/>
    <w:rsid w:val="00776627"/>
    <w:rsid w:val="00776D37"/>
    <w:rsid w:val="00776DA5"/>
    <w:rsid w:val="00776FCA"/>
    <w:rsid w:val="007770D1"/>
    <w:rsid w:val="007771C3"/>
    <w:rsid w:val="0077731B"/>
    <w:rsid w:val="00777404"/>
    <w:rsid w:val="007774E2"/>
    <w:rsid w:val="0077787F"/>
    <w:rsid w:val="00777BC7"/>
    <w:rsid w:val="00777FDE"/>
    <w:rsid w:val="0078002E"/>
    <w:rsid w:val="007804DC"/>
    <w:rsid w:val="00780540"/>
    <w:rsid w:val="0078057E"/>
    <w:rsid w:val="007808AE"/>
    <w:rsid w:val="00780C61"/>
    <w:rsid w:val="00780C92"/>
    <w:rsid w:val="00780DCC"/>
    <w:rsid w:val="00780E3F"/>
    <w:rsid w:val="00780E7F"/>
    <w:rsid w:val="00781000"/>
    <w:rsid w:val="00781A87"/>
    <w:rsid w:val="00781C1A"/>
    <w:rsid w:val="00781C59"/>
    <w:rsid w:val="00781C94"/>
    <w:rsid w:val="00781C99"/>
    <w:rsid w:val="00782158"/>
    <w:rsid w:val="007821CB"/>
    <w:rsid w:val="00782747"/>
    <w:rsid w:val="00782798"/>
    <w:rsid w:val="00782BA9"/>
    <w:rsid w:val="00782C14"/>
    <w:rsid w:val="00782F40"/>
    <w:rsid w:val="007833E7"/>
    <w:rsid w:val="0078378C"/>
    <w:rsid w:val="007837CE"/>
    <w:rsid w:val="007841F5"/>
    <w:rsid w:val="00784239"/>
    <w:rsid w:val="00784429"/>
    <w:rsid w:val="00784847"/>
    <w:rsid w:val="00784AC1"/>
    <w:rsid w:val="00784C7D"/>
    <w:rsid w:val="00784D9D"/>
    <w:rsid w:val="00784E1C"/>
    <w:rsid w:val="00785018"/>
    <w:rsid w:val="00785521"/>
    <w:rsid w:val="00785B06"/>
    <w:rsid w:val="00786BC5"/>
    <w:rsid w:val="00786BE2"/>
    <w:rsid w:val="007870D7"/>
    <w:rsid w:val="007870D9"/>
    <w:rsid w:val="0078753E"/>
    <w:rsid w:val="0079007C"/>
    <w:rsid w:val="007904F1"/>
    <w:rsid w:val="0079070E"/>
    <w:rsid w:val="00790A25"/>
    <w:rsid w:val="00790B96"/>
    <w:rsid w:val="00790D04"/>
    <w:rsid w:val="0079103A"/>
    <w:rsid w:val="007913FA"/>
    <w:rsid w:val="00791856"/>
    <w:rsid w:val="00791B96"/>
    <w:rsid w:val="00791C61"/>
    <w:rsid w:val="007921F3"/>
    <w:rsid w:val="0079253D"/>
    <w:rsid w:val="007927FC"/>
    <w:rsid w:val="00792D4A"/>
    <w:rsid w:val="00792F62"/>
    <w:rsid w:val="0079307B"/>
    <w:rsid w:val="00793592"/>
    <w:rsid w:val="00793A0E"/>
    <w:rsid w:val="00793B5C"/>
    <w:rsid w:val="00794082"/>
    <w:rsid w:val="00794408"/>
    <w:rsid w:val="00794A50"/>
    <w:rsid w:val="0079530F"/>
    <w:rsid w:val="00795491"/>
    <w:rsid w:val="00795A5F"/>
    <w:rsid w:val="00795D5E"/>
    <w:rsid w:val="00795F93"/>
    <w:rsid w:val="00796059"/>
    <w:rsid w:val="007967BF"/>
    <w:rsid w:val="00796A83"/>
    <w:rsid w:val="00796B6B"/>
    <w:rsid w:val="00796BBF"/>
    <w:rsid w:val="00796CC1"/>
    <w:rsid w:val="00796DE8"/>
    <w:rsid w:val="0079716C"/>
    <w:rsid w:val="007974BD"/>
    <w:rsid w:val="00797524"/>
    <w:rsid w:val="007977F2"/>
    <w:rsid w:val="0079793A"/>
    <w:rsid w:val="007979B5"/>
    <w:rsid w:val="00797D41"/>
    <w:rsid w:val="00797F67"/>
    <w:rsid w:val="007A017F"/>
    <w:rsid w:val="007A0778"/>
    <w:rsid w:val="007A0BD4"/>
    <w:rsid w:val="007A0C50"/>
    <w:rsid w:val="007A0EB7"/>
    <w:rsid w:val="007A101E"/>
    <w:rsid w:val="007A164D"/>
    <w:rsid w:val="007A16F5"/>
    <w:rsid w:val="007A17E1"/>
    <w:rsid w:val="007A1850"/>
    <w:rsid w:val="007A19C5"/>
    <w:rsid w:val="007A19D5"/>
    <w:rsid w:val="007A230A"/>
    <w:rsid w:val="007A23D5"/>
    <w:rsid w:val="007A27D9"/>
    <w:rsid w:val="007A2E7A"/>
    <w:rsid w:val="007A2EC8"/>
    <w:rsid w:val="007A322A"/>
    <w:rsid w:val="007A35B3"/>
    <w:rsid w:val="007A380E"/>
    <w:rsid w:val="007A38A9"/>
    <w:rsid w:val="007A38D9"/>
    <w:rsid w:val="007A39BB"/>
    <w:rsid w:val="007A3DFA"/>
    <w:rsid w:val="007A4975"/>
    <w:rsid w:val="007A4BA6"/>
    <w:rsid w:val="007A4BB6"/>
    <w:rsid w:val="007A4D39"/>
    <w:rsid w:val="007A4DAE"/>
    <w:rsid w:val="007A4DC3"/>
    <w:rsid w:val="007A4FEE"/>
    <w:rsid w:val="007A5237"/>
    <w:rsid w:val="007A5821"/>
    <w:rsid w:val="007A5916"/>
    <w:rsid w:val="007A5BF9"/>
    <w:rsid w:val="007A5DB9"/>
    <w:rsid w:val="007A5E59"/>
    <w:rsid w:val="007A606B"/>
    <w:rsid w:val="007A612C"/>
    <w:rsid w:val="007A6391"/>
    <w:rsid w:val="007A6457"/>
    <w:rsid w:val="007A6553"/>
    <w:rsid w:val="007A68BB"/>
    <w:rsid w:val="007A6966"/>
    <w:rsid w:val="007A6A29"/>
    <w:rsid w:val="007A6E43"/>
    <w:rsid w:val="007A6E6E"/>
    <w:rsid w:val="007A6E82"/>
    <w:rsid w:val="007A71BB"/>
    <w:rsid w:val="007A7BA8"/>
    <w:rsid w:val="007A7E57"/>
    <w:rsid w:val="007B043B"/>
    <w:rsid w:val="007B056C"/>
    <w:rsid w:val="007B0A5D"/>
    <w:rsid w:val="007B0B3E"/>
    <w:rsid w:val="007B0BB4"/>
    <w:rsid w:val="007B1882"/>
    <w:rsid w:val="007B1B29"/>
    <w:rsid w:val="007B21D7"/>
    <w:rsid w:val="007B268F"/>
    <w:rsid w:val="007B2C22"/>
    <w:rsid w:val="007B2C8E"/>
    <w:rsid w:val="007B2D72"/>
    <w:rsid w:val="007B2FD5"/>
    <w:rsid w:val="007B30E5"/>
    <w:rsid w:val="007B350E"/>
    <w:rsid w:val="007B37D8"/>
    <w:rsid w:val="007B3885"/>
    <w:rsid w:val="007B389F"/>
    <w:rsid w:val="007B3A14"/>
    <w:rsid w:val="007B4DE5"/>
    <w:rsid w:val="007B5028"/>
    <w:rsid w:val="007B505F"/>
    <w:rsid w:val="007B57A6"/>
    <w:rsid w:val="007B5991"/>
    <w:rsid w:val="007B5AAB"/>
    <w:rsid w:val="007B5B84"/>
    <w:rsid w:val="007B5FF9"/>
    <w:rsid w:val="007B60C2"/>
    <w:rsid w:val="007B61AF"/>
    <w:rsid w:val="007B64CA"/>
    <w:rsid w:val="007B65D0"/>
    <w:rsid w:val="007B6757"/>
    <w:rsid w:val="007B6902"/>
    <w:rsid w:val="007B6AD6"/>
    <w:rsid w:val="007B6AF1"/>
    <w:rsid w:val="007B6BE3"/>
    <w:rsid w:val="007B70F1"/>
    <w:rsid w:val="007B7320"/>
    <w:rsid w:val="007B772E"/>
    <w:rsid w:val="007B7D66"/>
    <w:rsid w:val="007B7F18"/>
    <w:rsid w:val="007C0913"/>
    <w:rsid w:val="007C0DA6"/>
    <w:rsid w:val="007C11A2"/>
    <w:rsid w:val="007C17CD"/>
    <w:rsid w:val="007C1AE4"/>
    <w:rsid w:val="007C1D95"/>
    <w:rsid w:val="007C1E5D"/>
    <w:rsid w:val="007C20BA"/>
    <w:rsid w:val="007C23B3"/>
    <w:rsid w:val="007C23FD"/>
    <w:rsid w:val="007C24BA"/>
    <w:rsid w:val="007C24BC"/>
    <w:rsid w:val="007C27DB"/>
    <w:rsid w:val="007C296D"/>
    <w:rsid w:val="007C2D11"/>
    <w:rsid w:val="007C3005"/>
    <w:rsid w:val="007C310D"/>
    <w:rsid w:val="007C3FFD"/>
    <w:rsid w:val="007C4539"/>
    <w:rsid w:val="007C4830"/>
    <w:rsid w:val="007C4963"/>
    <w:rsid w:val="007C4C82"/>
    <w:rsid w:val="007C4D67"/>
    <w:rsid w:val="007C530A"/>
    <w:rsid w:val="007C5345"/>
    <w:rsid w:val="007C5519"/>
    <w:rsid w:val="007C5885"/>
    <w:rsid w:val="007C58E9"/>
    <w:rsid w:val="007C5B95"/>
    <w:rsid w:val="007C5C0A"/>
    <w:rsid w:val="007C6270"/>
    <w:rsid w:val="007C6345"/>
    <w:rsid w:val="007C64B3"/>
    <w:rsid w:val="007C6559"/>
    <w:rsid w:val="007C664C"/>
    <w:rsid w:val="007C6BA2"/>
    <w:rsid w:val="007C6FA6"/>
    <w:rsid w:val="007C73B3"/>
    <w:rsid w:val="007C7B58"/>
    <w:rsid w:val="007D0108"/>
    <w:rsid w:val="007D01F9"/>
    <w:rsid w:val="007D02D0"/>
    <w:rsid w:val="007D042B"/>
    <w:rsid w:val="007D054B"/>
    <w:rsid w:val="007D0765"/>
    <w:rsid w:val="007D07AD"/>
    <w:rsid w:val="007D0EA0"/>
    <w:rsid w:val="007D165F"/>
    <w:rsid w:val="007D1D51"/>
    <w:rsid w:val="007D217F"/>
    <w:rsid w:val="007D2279"/>
    <w:rsid w:val="007D2304"/>
    <w:rsid w:val="007D2571"/>
    <w:rsid w:val="007D2BB7"/>
    <w:rsid w:val="007D333C"/>
    <w:rsid w:val="007D3503"/>
    <w:rsid w:val="007D35EA"/>
    <w:rsid w:val="007D35FC"/>
    <w:rsid w:val="007D38B4"/>
    <w:rsid w:val="007D3B6F"/>
    <w:rsid w:val="007D3F67"/>
    <w:rsid w:val="007D4110"/>
    <w:rsid w:val="007D42CE"/>
    <w:rsid w:val="007D4AC0"/>
    <w:rsid w:val="007D51D2"/>
    <w:rsid w:val="007D529D"/>
    <w:rsid w:val="007D555D"/>
    <w:rsid w:val="007D58FB"/>
    <w:rsid w:val="007D591E"/>
    <w:rsid w:val="007D5C81"/>
    <w:rsid w:val="007D5D1A"/>
    <w:rsid w:val="007D61C6"/>
    <w:rsid w:val="007D686A"/>
    <w:rsid w:val="007D6B4A"/>
    <w:rsid w:val="007D70B4"/>
    <w:rsid w:val="007D74D4"/>
    <w:rsid w:val="007D7921"/>
    <w:rsid w:val="007D7BE8"/>
    <w:rsid w:val="007D7EE3"/>
    <w:rsid w:val="007E0222"/>
    <w:rsid w:val="007E05BD"/>
    <w:rsid w:val="007E06C8"/>
    <w:rsid w:val="007E0A9D"/>
    <w:rsid w:val="007E0C3D"/>
    <w:rsid w:val="007E106F"/>
    <w:rsid w:val="007E1750"/>
    <w:rsid w:val="007E1E9B"/>
    <w:rsid w:val="007E24A1"/>
    <w:rsid w:val="007E2F5E"/>
    <w:rsid w:val="007E350F"/>
    <w:rsid w:val="007E35BB"/>
    <w:rsid w:val="007E3BCB"/>
    <w:rsid w:val="007E3D94"/>
    <w:rsid w:val="007E3F65"/>
    <w:rsid w:val="007E4749"/>
    <w:rsid w:val="007E4E70"/>
    <w:rsid w:val="007E504E"/>
    <w:rsid w:val="007E56BF"/>
    <w:rsid w:val="007E56F5"/>
    <w:rsid w:val="007E571E"/>
    <w:rsid w:val="007E5A6D"/>
    <w:rsid w:val="007E6127"/>
    <w:rsid w:val="007E615F"/>
    <w:rsid w:val="007E6363"/>
    <w:rsid w:val="007E6728"/>
    <w:rsid w:val="007E6CCF"/>
    <w:rsid w:val="007E6E5E"/>
    <w:rsid w:val="007E741E"/>
    <w:rsid w:val="007E7598"/>
    <w:rsid w:val="007E7E1D"/>
    <w:rsid w:val="007F001F"/>
    <w:rsid w:val="007F0115"/>
    <w:rsid w:val="007F03E2"/>
    <w:rsid w:val="007F04FA"/>
    <w:rsid w:val="007F0510"/>
    <w:rsid w:val="007F0683"/>
    <w:rsid w:val="007F06AC"/>
    <w:rsid w:val="007F0832"/>
    <w:rsid w:val="007F08F0"/>
    <w:rsid w:val="007F0931"/>
    <w:rsid w:val="007F0987"/>
    <w:rsid w:val="007F14C2"/>
    <w:rsid w:val="007F15B3"/>
    <w:rsid w:val="007F1723"/>
    <w:rsid w:val="007F1BBA"/>
    <w:rsid w:val="007F1D05"/>
    <w:rsid w:val="007F1D43"/>
    <w:rsid w:val="007F20A2"/>
    <w:rsid w:val="007F2E10"/>
    <w:rsid w:val="007F2FB4"/>
    <w:rsid w:val="007F32AF"/>
    <w:rsid w:val="007F3432"/>
    <w:rsid w:val="007F3525"/>
    <w:rsid w:val="007F3583"/>
    <w:rsid w:val="007F36B2"/>
    <w:rsid w:val="007F3A7C"/>
    <w:rsid w:val="007F3C63"/>
    <w:rsid w:val="007F406D"/>
    <w:rsid w:val="007F436B"/>
    <w:rsid w:val="007F48EF"/>
    <w:rsid w:val="007F4C63"/>
    <w:rsid w:val="007F549E"/>
    <w:rsid w:val="007F56FA"/>
    <w:rsid w:val="007F5BE8"/>
    <w:rsid w:val="007F6138"/>
    <w:rsid w:val="007F620C"/>
    <w:rsid w:val="007F6662"/>
    <w:rsid w:val="007F698E"/>
    <w:rsid w:val="007F6CF1"/>
    <w:rsid w:val="007F6DBF"/>
    <w:rsid w:val="007F6E89"/>
    <w:rsid w:val="007F7004"/>
    <w:rsid w:val="007F7046"/>
    <w:rsid w:val="007F74A1"/>
    <w:rsid w:val="007F7591"/>
    <w:rsid w:val="007F78F0"/>
    <w:rsid w:val="007F7A32"/>
    <w:rsid w:val="007F7DF6"/>
    <w:rsid w:val="0080004E"/>
    <w:rsid w:val="00800186"/>
    <w:rsid w:val="008001E0"/>
    <w:rsid w:val="008003F2"/>
    <w:rsid w:val="00800507"/>
    <w:rsid w:val="00801316"/>
    <w:rsid w:val="0080181F"/>
    <w:rsid w:val="00801CE2"/>
    <w:rsid w:val="00801DA7"/>
    <w:rsid w:val="00802268"/>
    <w:rsid w:val="008024F0"/>
    <w:rsid w:val="0080280C"/>
    <w:rsid w:val="00802B4C"/>
    <w:rsid w:val="00802EA0"/>
    <w:rsid w:val="00803518"/>
    <w:rsid w:val="0080377F"/>
    <w:rsid w:val="00803AD3"/>
    <w:rsid w:val="00803C3D"/>
    <w:rsid w:val="00804116"/>
    <w:rsid w:val="00804313"/>
    <w:rsid w:val="00804545"/>
    <w:rsid w:val="0080464C"/>
    <w:rsid w:val="008046D5"/>
    <w:rsid w:val="00804CBC"/>
    <w:rsid w:val="00804E01"/>
    <w:rsid w:val="00804E5A"/>
    <w:rsid w:val="0080515E"/>
    <w:rsid w:val="0080534A"/>
    <w:rsid w:val="0080569E"/>
    <w:rsid w:val="00805AB7"/>
    <w:rsid w:val="00805FC3"/>
    <w:rsid w:val="008063B1"/>
    <w:rsid w:val="00806728"/>
    <w:rsid w:val="00806A66"/>
    <w:rsid w:val="00806C2E"/>
    <w:rsid w:val="00806F82"/>
    <w:rsid w:val="008071E4"/>
    <w:rsid w:val="00807BF5"/>
    <w:rsid w:val="00807D19"/>
    <w:rsid w:val="0081010E"/>
    <w:rsid w:val="008101C2"/>
    <w:rsid w:val="008103DD"/>
    <w:rsid w:val="008109D7"/>
    <w:rsid w:val="00811B6B"/>
    <w:rsid w:val="00811CE4"/>
    <w:rsid w:val="00811CEA"/>
    <w:rsid w:val="0081206A"/>
    <w:rsid w:val="008124C7"/>
    <w:rsid w:val="00812B81"/>
    <w:rsid w:val="00812C52"/>
    <w:rsid w:val="00812F1B"/>
    <w:rsid w:val="00813010"/>
    <w:rsid w:val="008131E2"/>
    <w:rsid w:val="00813D1D"/>
    <w:rsid w:val="00813D37"/>
    <w:rsid w:val="00813EC3"/>
    <w:rsid w:val="00814791"/>
    <w:rsid w:val="00814850"/>
    <w:rsid w:val="008149E8"/>
    <w:rsid w:val="008151FA"/>
    <w:rsid w:val="00815295"/>
    <w:rsid w:val="0081574F"/>
    <w:rsid w:val="00815899"/>
    <w:rsid w:val="00815B36"/>
    <w:rsid w:val="00815B74"/>
    <w:rsid w:val="0081612D"/>
    <w:rsid w:val="00816917"/>
    <w:rsid w:val="00816970"/>
    <w:rsid w:val="00816A94"/>
    <w:rsid w:val="00817C61"/>
    <w:rsid w:val="00817F31"/>
    <w:rsid w:val="0082035A"/>
    <w:rsid w:val="00820800"/>
    <w:rsid w:val="008208A2"/>
    <w:rsid w:val="00820B40"/>
    <w:rsid w:val="00820B62"/>
    <w:rsid w:val="00820C8F"/>
    <w:rsid w:val="0082112F"/>
    <w:rsid w:val="008211DB"/>
    <w:rsid w:val="00821359"/>
    <w:rsid w:val="00821408"/>
    <w:rsid w:val="008215E2"/>
    <w:rsid w:val="008219EE"/>
    <w:rsid w:val="00821CC4"/>
    <w:rsid w:val="0082216A"/>
    <w:rsid w:val="008221F6"/>
    <w:rsid w:val="0082223C"/>
    <w:rsid w:val="00822ABD"/>
    <w:rsid w:val="00822AD2"/>
    <w:rsid w:val="00822E44"/>
    <w:rsid w:val="0082300E"/>
    <w:rsid w:val="00823229"/>
    <w:rsid w:val="00823A4D"/>
    <w:rsid w:val="0082419B"/>
    <w:rsid w:val="008245FD"/>
    <w:rsid w:val="00824E00"/>
    <w:rsid w:val="00824E69"/>
    <w:rsid w:val="00824F4E"/>
    <w:rsid w:val="00825473"/>
    <w:rsid w:val="008257CD"/>
    <w:rsid w:val="00825ACD"/>
    <w:rsid w:val="00826643"/>
    <w:rsid w:val="00827AE6"/>
    <w:rsid w:val="00827D07"/>
    <w:rsid w:val="00830420"/>
    <w:rsid w:val="00830AF4"/>
    <w:rsid w:val="008310B4"/>
    <w:rsid w:val="008313EE"/>
    <w:rsid w:val="0083140B"/>
    <w:rsid w:val="00831836"/>
    <w:rsid w:val="00831BF5"/>
    <w:rsid w:val="00831EDA"/>
    <w:rsid w:val="0083252A"/>
    <w:rsid w:val="00832CAB"/>
    <w:rsid w:val="00833141"/>
    <w:rsid w:val="00833311"/>
    <w:rsid w:val="00833604"/>
    <w:rsid w:val="008337BD"/>
    <w:rsid w:val="008339BF"/>
    <w:rsid w:val="008340C4"/>
    <w:rsid w:val="0083412A"/>
    <w:rsid w:val="00834632"/>
    <w:rsid w:val="008346F0"/>
    <w:rsid w:val="008349AE"/>
    <w:rsid w:val="00834B64"/>
    <w:rsid w:val="00834CF8"/>
    <w:rsid w:val="0083510A"/>
    <w:rsid w:val="008353D3"/>
    <w:rsid w:val="00835769"/>
    <w:rsid w:val="008358E7"/>
    <w:rsid w:val="00835997"/>
    <w:rsid w:val="00835FBE"/>
    <w:rsid w:val="00836CCC"/>
    <w:rsid w:val="00836FE3"/>
    <w:rsid w:val="0083708F"/>
    <w:rsid w:val="00837194"/>
    <w:rsid w:val="00837260"/>
    <w:rsid w:val="0084007E"/>
    <w:rsid w:val="0084032C"/>
    <w:rsid w:val="008406B2"/>
    <w:rsid w:val="008408E6"/>
    <w:rsid w:val="008410B5"/>
    <w:rsid w:val="0084182B"/>
    <w:rsid w:val="00841A2E"/>
    <w:rsid w:val="00841BF4"/>
    <w:rsid w:val="00842103"/>
    <w:rsid w:val="00842186"/>
    <w:rsid w:val="00842241"/>
    <w:rsid w:val="00842507"/>
    <w:rsid w:val="00842A9D"/>
    <w:rsid w:val="00842B19"/>
    <w:rsid w:val="00842CC9"/>
    <w:rsid w:val="00842D8A"/>
    <w:rsid w:val="00842EBA"/>
    <w:rsid w:val="00843938"/>
    <w:rsid w:val="00843AA6"/>
    <w:rsid w:val="00843B35"/>
    <w:rsid w:val="008448CA"/>
    <w:rsid w:val="008453E9"/>
    <w:rsid w:val="008456C0"/>
    <w:rsid w:val="008456CC"/>
    <w:rsid w:val="00845911"/>
    <w:rsid w:val="00845947"/>
    <w:rsid w:val="0084661C"/>
    <w:rsid w:val="008466AB"/>
    <w:rsid w:val="00846C28"/>
    <w:rsid w:val="00846EF0"/>
    <w:rsid w:val="00846F73"/>
    <w:rsid w:val="00847455"/>
    <w:rsid w:val="0084765D"/>
    <w:rsid w:val="00847666"/>
    <w:rsid w:val="008478A3"/>
    <w:rsid w:val="00847B5C"/>
    <w:rsid w:val="008500F8"/>
    <w:rsid w:val="008512B1"/>
    <w:rsid w:val="00851A84"/>
    <w:rsid w:val="00851C97"/>
    <w:rsid w:val="00851ECE"/>
    <w:rsid w:val="0085211A"/>
    <w:rsid w:val="00852227"/>
    <w:rsid w:val="008524BF"/>
    <w:rsid w:val="00852AD9"/>
    <w:rsid w:val="00852FA2"/>
    <w:rsid w:val="00852FA6"/>
    <w:rsid w:val="0085315C"/>
    <w:rsid w:val="00853A61"/>
    <w:rsid w:val="008541EB"/>
    <w:rsid w:val="0085427A"/>
    <w:rsid w:val="00854429"/>
    <w:rsid w:val="0085445C"/>
    <w:rsid w:val="00854AE2"/>
    <w:rsid w:val="00854D55"/>
    <w:rsid w:val="00854F52"/>
    <w:rsid w:val="00854F65"/>
    <w:rsid w:val="0085503D"/>
    <w:rsid w:val="00855343"/>
    <w:rsid w:val="00855583"/>
    <w:rsid w:val="00855AD1"/>
    <w:rsid w:val="00855C07"/>
    <w:rsid w:val="00855C83"/>
    <w:rsid w:val="00855CEA"/>
    <w:rsid w:val="0085623C"/>
    <w:rsid w:val="008569CA"/>
    <w:rsid w:val="00857044"/>
    <w:rsid w:val="00857172"/>
    <w:rsid w:val="00857198"/>
    <w:rsid w:val="008573B5"/>
    <w:rsid w:val="00857412"/>
    <w:rsid w:val="00857518"/>
    <w:rsid w:val="00857812"/>
    <w:rsid w:val="00857E06"/>
    <w:rsid w:val="00857ED8"/>
    <w:rsid w:val="0086020E"/>
    <w:rsid w:val="0086025E"/>
    <w:rsid w:val="00860535"/>
    <w:rsid w:val="008605E6"/>
    <w:rsid w:val="00860854"/>
    <w:rsid w:val="00860D81"/>
    <w:rsid w:val="00860F63"/>
    <w:rsid w:val="00860F67"/>
    <w:rsid w:val="00860F8B"/>
    <w:rsid w:val="008615E5"/>
    <w:rsid w:val="00861688"/>
    <w:rsid w:val="0086168E"/>
    <w:rsid w:val="00861C41"/>
    <w:rsid w:val="00861E37"/>
    <w:rsid w:val="00861F2F"/>
    <w:rsid w:val="008620CD"/>
    <w:rsid w:val="0086236B"/>
    <w:rsid w:val="008624DC"/>
    <w:rsid w:val="00862AC6"/>
    <w:rsid w:val="00862CD7"/>
    <w:rsid w:val="00862E32"/>
    <w:rsid w:val="00862E43"/>
    <w:rsid w:val="0086374C"/>
    <w:rsid w:val="00863763"/>
    <w:rsid w:val="00863868"/>
    <w:rsid w:val="00863B03"/>
    <w:rsid w:val="00863FDC"/>
    <w:rsid w:val="008648FB"/>
    <w:rsid w:val="00865BF9"/>
    <w:rsid w:val="00865C95"/>
    <w:rsid w:val="00866013"/>
    <w:rsid w:val="008665D5"/>
    <w:rsid w:val="00866965"/>
    <w:rsid w:val="0086699A"/>
    <w:rsid w:val="00866A90"/>
    <w:rsid w:val="00866AD4"/>
    <w:rsid w:val="00866C1D"/>
    <w:rsid w:val="00866CDA"/>
    <w:rsid w:val="00867012"/>
    <w:rsid w:val="00867222"/>
    <w:rsid w:val="008672ED"/>
    <w:rsid w:val="00867340"/>
    <w:rsid w:val="00867361"/>
    <w:rsid w:val="00867468"/>
    <w:rsid w:val="008675D2"/>
    <w:rsid w:val="008676F2"/>
    <w:rsid w:val="008679C6"/>
    <w:rsid w:val="00867E2A"/>
    <w:rsid w:val="00870066"/>
    <w:rsid w:val="00870662"/>
    <w:rsid w:val="008707BA"/>
    <w:rsid w:val="0087140C"/>
    <w:rsid w:val="0087182C"/>
    <w:rsid w:val="00871831"/>
    <w:rsid w:val="00871B60"/>
    <w:rsid w:val="00871B6B"/>
    <w:rsid w:val="00871C0E"/>
    <w:rsid w:val="0087231D"/>
    <w:rsid w:val="008727EA"/>
    <w:rsid w:val="00872B14"/>
    <w:rsid w:val="00872F89"/>
    <w:rsid w:val="00873086"/>
    <w:rsid w:val="008731D1"/>
    <w:rsid w:val="0087329C"/>
    <w:rsid w:val="00873E65"/>
    <w:rsid w:val="00873FCF"/>
    <w:rsid w:val="00874264"/>
    <w:rsid w:val="008742EB"/>
    <w:rsid w:val="008749A1"/>
    <w:rsid w:val="00874D68"/>
    <w:rsid w:val="00874D9E"/>
    <w:rsid w:val="0087509C"/>
    <w:rsid w:val="0087514B"/>
    <w:rsid w:val="00875D85"/>
    <w:rsid w:val="00876192"/>
    <w:rsid w:val="00876735"/>
    <w:rsid w:val="00876BBA"/>
    <w:rsid w:val="00876C08"/>
    <w:rsid w:val="008771BA"/>
    <w:rsid w:val="008774C2"/>
    <w:rsid w:val="008776BF"/>
    <w:rsid w:val="00877796"/>
    <w:rsid w:val="00877812"/>
    <w:rsid w:val="008778A4"/>
    <w:rsid w:val="0087795D"/>
    <w:rsid w:val="00877A59"/>
    <w:rsid w:val="00877B46"/>
    <w:rsid w:val="00877BC6"/>
    <w:rsid w:val="00877DBE"/>
    <w:rsid w:val="00880006"/>
    <w:rsid w:val="00880121"/>
    <w:rsid w:val="0088015B"/>
    <w:rsid w:val="008810D8"/>
    <w:rsid w:val="0088125F"/>
    <w:rsid w:val="0088129A"/>
    <w:rsid w:val="008812DD"/>
    <w:rsid w:val="008813F5"/>
    <w:rsid w:val="00881453"/>
    <w:rsid w:val="00881A0F"/>
    <w:rsid w:val="0088241D"/>
    <w:rsid w:val="00882A3C"/>
    <w:rsid w:val="00882BFB"/>
    <w:rsid w:val="00882E8F"/>
    <w:rsid w:val="00882F66"/>
    <w:rsid w:val="00883119"/>
    <w:rsid w:val="008832D4"/>
    <w:rsid w:val="0088385D"/>
    <w:rsid w:val="008838B3"/>
    <w:rsid w:val="00883ACE"/>
    <w:rsid w:val="00883F89"/>
    <w:rsid w:val="00884372"/>
    <w:rsid w:val="008843C0"/>
    <w:rsid w:val="0088460E"/>
    <w:rsid w:val="008847A1"/>
    <w:rsid w:val="00884D5C"/>
    <w:rsid w:val="00885075"/>
    <w:rsid w:val="00885567"/>
    <w:rsid w:val="00885A08"/>
    <w:rsid w:val="00885A72"/>
    <w:rsid w:val="0088609E"/>
    <w:rsid w:val="00886214"/>
    <w:rsid w:val="00886265"/>
    <w:rsid w:val="00886C67"/>
    <w:rsid w:val="00886ECD"/>
    <w:rsid w:val="00886EE9"/>
    <w:rsid w:val="00887450"/>
    <w:rsid w:val="00887587"/>
    <w:rsid w:val="00887A17"/>
    <w:rsid w:val="00887BD4"/>
    <w:rsid w:val="00887DD0"/>
    <w:rsid w:val="00890206"/>
    <w:rsid w:val="0089044F"/>
    <w:rsid w:val="00890924"/>
    <w:rsid w:val="00890A11"/>
    <w:rsid w:val="00890A4A"/>
    <w:rsid w:val="00890AFA"/>
    <w:rsid w:val="00890B37"/>
    <w:rsid w:val="00890C02"/>
    <w:rsid w:val="00890F28"/>
    <w:rsid w:val="00891034"/>
    <w:rsid w:val="008913A7"/>
    <w:rsid w:val="008913B7"/>
    <w:rsid w:val="00891420"/>
    <w:rsid w:val="008915F8"/>
    <w:rsid w:val="00891889"/>
    <w:rsid w:val="00891F82"/>
    <w:rsid w:val="00892634"/>
    <w:rsid w:val="008926EF"/>
    <w:rsid w:val="00892AC3"/>
    <w:rsid w:val="00892B7A"/>
    <w:rsid w:val="0089314B"/>
    <w:rsid w:val="0089321F"/>
    <w:rsid w:val="0089333C"/>
    <w:rsid w:val="008936D7"/>
    <w:rsid w:val="0089395E"/>
    <w:rsid w:val="00893A3B"/>
    <w:rsid w:val="00893E13"/>
    <w:rsid w:val="00893F40"/>
    <w:rsid w:val="00894189"/>
    <w:rsid w:val="008941FF"/>
    <w:rsid w:val="00894555"/>
    <w:rsid w:val="008945FE"/>
    <w:rsid w:val="00894A3F"/>
    <w:rsid w:val="00894DF4"/>
    <w:rsid w:val="00894F07"/>
    <w:rsid w:val="00894FA6"/>
    <w:rsid w:val="00894FE1"/>
    <w:rsid w:val="00895517"/>
    <w:rsid w:val="008957A1"/>
    <w:rsid w:val="008959C8"/>
    <w:rsid w:val="00895ECB"/>
    <w:rsid w:val="00896311"/>
    <w:rsid w:val="00896610"/>
    <w:rsid w:val="00896811"/>
    <w:rsid w:val="0089692B"/>
    <w:rsid w:val="008969F0"/>
    <w:rsid w:val="00896F39"/>
    <w:rsid w:val="00897096"/>
    <w:rsid w:val="0089714F"/>
    <w:rsid w:val="008972DC"/>
    <w:rsid w:val="00897D68"/>
    <w:rsid w:val="00897DCC"/>
    <w:rsid w:val="008A0D24"/>
    <w:rsid w:val="008A0EC9"/>
    <w:rsid w:val="008A136D"/>
    <w:rsid w:val="008A1748"/>
    <w:rsid w:val="008A192B"/>
    <w:rsid w:val="008A1A15"/>
    <w:rsid w:val="008A2174"/>
    <w:rsid w:val="008A2761"/>
    <w:rsid w:val="008A2BF3"/>
    <w:rsid w:val="008A2DF5"/>
    <w:rsid w:val="008A3145"/>
    <w:rsid w:val="008A321E"/>
    <w:rsid w:val="008A352C"/>
    <w:rsid w:val="008A3DE6"/>
    <w:rsid w:val="008A419F"/>
    <w:rsid w:val="008A41DA"/>
    <w:rsid w:val="008A454B"/>
    <w:rsid w:val="008A4838"/>
    <w:rsid w:val="008A4D6A"/>
    <w:rsid w:val="008A4EA6"/>
    <w:rsid w:val="008A50DD"/>
    <w:rsid w:val="008A5296"/>
    <w:rsid w:val="008A5642"/>
    <w:rsid w:val="008A5981"/>
    <w:rsid w:val="008A5C48"/>
    <w:rsid w:val="008A6076"/>
    <w:rsid w:val="008A6395"/>
    <w:rsid w:val="008A6564"/>
    <w:rsid w:val="008A6973"/>
    <w:rsid w:val="008A6B81"/>
    <w:rsid w:val="008A77BC"/>
    <w:rsid w:val="008A7B17"/>
    <w:rsid w:val="008A7D19"/>
    <w:rsid w:val="008B021B"/>
    <w:rsid w:val="008B08F4"/>
    <w:rsid w:val="008B0B8D"/>
    <w:rsid w:val="008B124B"/>
    <w:rsid w:val="008B128A"/>
    <w:rsid w:val="008B1680"/>
    <w:rsid w:val="008B180D"/>
    <w:rsid w:val="008B19EC"/>
    <w:rsid w:val="008B1CAE"/>
    <w:rsid w:val="008B1F1C"/>
    <w:rsid w:val="008B1FCA"/>
    <w:rsid w:val="008B264D"/>
    <w:rsid w:val="008B27E8"/>
    <w:rsid w:val="008B29D6"/>
    <w:rsid w:val="008B2CC9"/>
    <w:rsid w:val="008B2DB6"/>
    <w:rsid w:val="008B3009"/>
    <w:rsid w:val="008B339B"/>
    <w:rsid w:val="008B345E"/>
    <w:rsid w:val="008B3E64"/>
    <w:rsid w:val="008B47E8"/>
    <w:rsid w:val="008B4808"/>
    <w:rsid w:val="008B4C45"/>
    <w:rsid w:val="008B4D76"/>
    <w:rsid w:val="008B5C83"/>
    <w:rsid w:val="008B625D"/>
    <w:rsid w:val="008B681E"/>
    <w:rsid w:val="008B6887"/>
    <w:rsid w:val="008B68DA"/>
    <w:rsid w:val="008B6D4D"/>
    <w:rsid w:val="008B7344"/>
    <w:rsid w:val="008B74D4"/>
    <w:rsid w:val="008B7566"/>
    <w:rsid w:val="008B7617"/>
    <w:rsid w:val="008B7C7C"/>
    <w:rsid w:val="008C0026"/>
    <w:rsid w:val="008C06A5"/>
    <w:rsid w:val="008C0DE3"/>
    <w:rsid w:val="008C11EE"/>
    <w:rsid w:val="008C12FF"/>
    <w:rsid w:val="008C1485"/>
    <w:rsid w:val="008C1693"/>
    <w:rsid w:val="008C16C8"/>
    <w:rsid w:val="008C1809"/>
    <w:rsid w:val="008C1C6E"/>
    <w:rsid w:val="008C1F43"/>
    <w:rsid w:val="008C2512"/>
    <w:rsid w:val="008C2AD4"/>
    <w:rsid w:val="008C2BB3"/>
    <w:rsid w:val="008C2FD8"/>
    <w:rsid w:val="008C32FB"/>
    <w:rsid w:val="008C3584"/>
    <w:rsid w:val="008C36FC"/>
    <w:rsid w:val="008C396F"/>
    <w:rsid w:val="008C3C8B"/>
    <w:rsid w:val="008C3D71"/>
    <w:rsid w:val="008C3E63"/>
    <w:rsid w:val="008C404D"/>
    <w:rsid w:val="008C4603"/>
    <w:rsid w:val="008C4852"/>
    <w:rsid w:val="008C48BF"/>
    <w:rsid w:val="008C49AE"/>
    <w:rsid w:val="008C4C94"/>
    <w:rsid w:val="008C5296"/>
    <w:rsid w:val="008C52FD"/>
    <w:rsid w:val="008C5CB4"/>
    <w:rsid w:val="008C5CFD"/>
    <w:rsid w:val="008C6742"/>
    <w:rsid w:val="008C684E"/>
    <w:rsid w:val="008C6E48"/>
    <w:rsid w:val="008C7724"/>
    <w:rsid w:val="008C7AFD"/>
    <w:rsid w:val="008D02BD"/>
    <w:rsid w:val="008D0356"/>
    <w:rsid w:val="008D03C8"/>
    <w:rsid w:val="008D0A06"/>
    <w:rsid w:val="008D0ED4"/>
    <w:rsid w:val="008D1133"/>
    <w:rsid w:val="008D1354"/>
    <w:rsid w:val="008D1406"/>
    <w:rsid w:val="008D1AEF"/>
    <w:rsid w:val="008D1FA6"/>
    <w:rsid w:val="008D202D"/>
    <w:rsid w:val="008D25BD"/>
    <w:rsid w:val="008D3090"/>
    <w:rsid w:val="008D3122"/>
    <w:rsid w:val="008D3815"/>
    <w:rsid w:val="008D3912"/>
    <w:rsid w:val="008D3CE4"/>
    <w:rsid w:val="008D41C4"/>
    <w:rsid w:val="008D45A3"/>
    <w:rsid w:val="008D495D"/>
    <w:rsid w:val="008D4A09"/>
    <w:rsid w:val="008D4E59"/>
    <w:rsid w:val="008D5466"/>
    <w:rsid w:val="008D5FCC"/>
    <w:rsid w:val="008D610B"/>
    <w:rsid w:val="008D6399"/>
    <w:rsid w:val="008D7255"/>
    <w:rsid w:val="008D78AE"/>
    <w:rsid w:val="008E0053"/>
    <w:rsid w:val="008E022E"/>
    <w:rsid w:val="008E093F"/>
    <w:rsid w:val="008E09B1"/>
    <w:rsid w:val="008E0B43"/>
    <w:rsid w:val="008E0C7B"/>
    <w:rsid w:val="008E0F28"/>
    <w:rsid w:val="008E115E"/>
    <w:rsid w:val="008E184C"/>
    <w:rsid w:val="008E1D8A"/>
    <w:rsid w:val="008E1E76"/>
    <w:rsid w:val="008E2360"/>
    <w:rsid w:val="008E23E0"/>
    <w:rsid w:val="008E273C"/>
    <w:rsid w:val="008E28FF"/>
    <w:rsid w:val="008E302E"/>
    <w:rsid w:val="008E30DE"/>
    <w:rsid w:val="008E35F9"/>
    <w:rsid w:val="008E376E"/>
    <w:rsid w:val="008E37F6"/>
    <w:rsid w:val="008E382B"/>
    <w:rsid w:val="008E39ED"/>
    <w:rsid w:val="008E463B"/>
    <w:rsid w:val="008E4666"/>
    <w:rsid w:val="008E4782"/>
    <w:rsid w:val="008E492D"/>
    <w:rsid w:val="008E4B8C"/>
    <w:rsid w:val="008E4C3B"/>
    <w:rsid w:val="008E4CAB"/>
    <w:rsid w:val="008E4EEA"/>
    <w:rsid w:val="008E540B"/>
    <w:rsid w:val="008E54E2"/>
    <w:rsid w:val="008E5543"/>
    <w:rsid w:val="008E5A55"/>
    <w:rsid w:val="008E5AA4"/>
    <w:rsid w:val="008E60F5"/>
    <w:rsid w:val="008E6305"/>
    <w:rsid w:val="008E635B"/>
    <w:rsid w:val="008E650A"/>
    <w:rsid w:val="008E663B"/>
    <w:rsid w:val="008E666E"/>
    <w:rsid w:val="008E6B07"/>
    <w:rsid w:val="008E6C7A"/>
    <w:rsid w:val="008E6DB1"/>
    <w:rsid w:val="008E70B5"/>
    <w:rsid w:val="008E7429"/>
    <w:rsid w:val="008E7597"/>
    <w:rsid w:val="008E761F"/>
    <w:rsid w:val="008E7774"/>
    <w:rsid w:val="008E7FED"/>
    <w:rsid w:val="008F02AD"/>
    <w:rsid w:val="008F031F"/>
    <w:rsid w:val="008F05EC"/>
    <w:rsid w:val="008F0CC3"/>
    <w:rsid w:val="008F1061"/>
    <w:rsid w:val="008F10F6"/>
    <w:rsid w:val="008F112E"/>
    <w:rsid w:val="008F1411"/>
    <w:rsid w:val="008F15AA"/>
    <w:rsid w:val="008F1604"/>
    <w:rsid w:val="008F25F4"/>
    <w:rsid w:val="008F27F1"/>
    <w:rsid w:val="008F2F3E"/>
    <w:rsid w:val="008F31C4"/>
    <w:rsid w:val="008F329F"/>
    <w:rsid w:val="008F43BE"/>
    <w:rsid w:val="008F4B4C"/>
    <w:rsid w:val="008F5909"/>
    <w:rsid w:val="008F5EA9"/>
    <w:rsid w:val="008F60BE"/>
    <w:rsid w:val="008F6299"/>
    <w:rsid w:val="008F6352"/>
    <w:rsid w:val="008F6632"/>
    <w:rsid w:val="008F6A36"/>
    <w:rsid w:val="008F6CDB"/>
    <w:rsid w:val="008F6E1D"/>
    <w:rsid w:val="008F74F8"/>
    <w:rsid w:val="008F7717"/>
    <w:rsid w:val="008F780C"/>
    <w:rsid w:val="008F7B02"/>
    <w:rsid w:val="008F7D35"/>
    <w:rsid w:val="008F7F8D"/>
    <w:rsid w:val="008F7F96"/>
    <w:rsid w:val="00900336"/>
    <w:rsid w:val="009008CC"/>
    <w:rsid w:val="00900CB8"/>
    <w:rsid w:val="00900CEC"/>
    <w:rsid w:val="00900D77"/>
    <w:rsid w:val="00900DE8"/>
    <w:rsid w:val="00901130"/>
    <w:rsid w:val="00902690"/>
    <w:rsid w:val="009027DC"/>
    <w:rsid w:val="00902F0D"/>
    <w:rsid w:val="0090338D"/>
    <w:rsid w:val="00903568"/>
    <w:rsid w:val="009039AD"/>
    <w:rsid w:val="00903F1A"/>
    <w:rsid w:val="0090405F"/>
    <w:rsid w:val="0090432D"/>
    <w:rsid w:val="009048F3"/>
    <w:rsid w:val="00904EA9"/>
    <w:rsid w:val="00905293"/>
    <w:rsid w:val="009053D7"/>
    <w:rsid w:val="0090561B"/>
    <w:rsid w:val="009057AE"/>
    <w:rsid w:val="00905E7D"/>
    <w:rsid w:val="009062A7"/>
    <w:rsid w:val="009062D7"/>
    <w:rsid w:val="00906328"/>
    <w:rsid w:val="009064C7"/>
    <w:rsid w:val="009069C1"/>
    <w:rsid w:val="00907094"/>
    <w:rsid w:val="009071BF"/>
    <w:rsid w:val="00907382"/>
    <w:rsid w:val="009073A7"/>
    <w:rsid w:val="00907C1C"/>
    <w:rsid w:val="00907CFC"/>
    <w:rsid w:val="00907E6F"/>
    <w:rsid w:val="00907EB4"/>
    <w:rsid w:val="00910079"/>
    <w:rsid w:val="0091034E"/>
    <w:rsid w:val="0091073E"/>
    <w:rsid w:val="009115A8"/>
    <w:rsid w:val="00911722"/>
    <w:rsid w:val="00911AD5"/>
    <w:rsid w:val="00911DF3"/>
    <w:rsid w:val="00911F6B"/>
    <w:rsid w:val="00912481"/>
    <w:rsid w:val="009128B2"/>
    <w:rsid w:val="00912A5B"/>
    <w:rsid w:val="00912B88"/>
    <w:rsid w:val="00912CCC"/>
    <w:rsid w:val="00913D7F"/>
    <w:rsid w:val="00914118"/>
    <w:rsid w:val="00914472"/>
    <w:rsid w:val="00914A04"/>
    <w:rsid w:val="00914A4B"/>
    <w:rsid w:val="00914AA0"/>
    <w:rsid w:val="00914C7B"/>
    <w:rsid w:val="0091577F"/>
    <w:rsid w:val="009157A7"/>
    <w:rsid w:val="00915A3C"/>
    <w:rsid w:val="00916506"/>
    <w:rsid w:val="009166D9"/>
    <w:rsid w:val="00916D10"/>
    <w:rsid w:val="00916D9E"/>
    <w:rsid w:val="009179B4"/>
    <w:rsid w:val="00917A5C"/>
    <w:rsid w:val="00917F7E"/>
    <w:rsid w:val="00920080"/>
    <w:rsid w:val="0092010B"/>
    <w:rsid w:val="00920176"/>
    <w:rsid w:val="0092038D"/>
    <w:rsid w:val="009203E4"/>
    <w:rsid w:val="00920F53"/>
    <w:rsid w:val="0092134C"/>
    <w:rsid w:val="009215BC"/>
    <w:rsid w:val="00921A69"/>
    <w:rsid w:val="00921C49"/>
    <w:rsid w:val="009225EE"/>
    <w:rsid w:val="00922825"/>
    <w:rsid w:val="009232A4"/>
    <w:rsid w:val="00923355"/>
    <w:rsid w:val="00923643"/>
    <w:rsid w:val="0092410D"/>
    <w:rsid w:val="0092426A"/>
    <w:rsid w:val="0092441C"/>
    <w:rsid w:val="009244C8"/>
    <w:rsid w:val="009245EF"/>
    <w:rsid w:val="00924761"/>
    <w:rsid w:val="00924AEB"/>
    <w:rsid w:val="00924DC4"/>
    <w:rsid w:val="00924F52"/>
    <w:rsid w:val="00925031"/>
    <w:rsid w:val="00925157"/>
    <w:rsid w:val="00925550"/>
    <w:rsid w:val="0092560A"/>
    <w:rsid w:val="00925638"/>
    <w:rsid w:val="009259AA"/>
    <w:rsid w:val="00925FD3"/>
    <w:rsid w:val="0092604E"/>
    <w:rsid w:val="0092611A"/>
    <w:rsid w:val="00926337"/>
    <w:rsid w:val="00926416"/>
    <w:rsid w:val="009265CC"/>
    <w:rsid w:val="00926625"/>
    <w:rsid w:val="009266F8"/>
    <w:rsid w:val="00926C54"/>
    <w:rsid w:val="00926DC0"/>
    <w:rsid w:val="00926EFC"/>
    <w:rsid w:val="00926FCC"/>
    <w:rsid w:val="0092725F"/>
    <w:rsid w:val="009279B2"/>
    <w:rsid w:val="00927CE0"/>
    <w:rsid w:val="00927EC4"/>
    <w:rsid w:val="00927EDC"/>
    <w:rsid w:val="00927F03"/>
    <w:rsid w:val="00930871"/>
    <w:rsid w:val="00930924"/>
    <w:rsid w:val="00930B7A"/>
    <w:rsid w:val="0093146A"/>
    <w:rsid w:val="009315CC"/>
    <w:rsid w:val="00931BD0"/>
    <w:rsid w:val="00931E47"/>
    <w:rsid w:val="00931FC4"/>
    <w:rsid w:val="0093206A"/>
    <w:rsid w:val="0093220E"/>
    <w:rsid w:val="009326D4"/>
    <w:rsid w:val="00932A4C"/>
    <w:rsid w:val="00932C20"/>
    <w:rsid w:val="00932DD1"/>
    <w:rsid w:val="00932E31"/>
    <w:rsid w:val="00933AB4"/>
    <w:rsid w:val="00933B39"/>
    <w:rsid w:val="00933B65"/>
    <w:rsid w:val="00934347"/>
    <w:rsid w:val="00934364"/>
    <w:rsid w:val="0093511F"/>
    <w:rsid w:val="0093560A"/>
    <w:rsid w:val="0093582D"/>
    <w:rsid w:val="00935AC8"/>
    <w:rsid w:val="009360B2"/>
    <w:rsid w:val="00936518"/>
    <w:rsid w:val="009367C4"/>
    <w:rsid w:val="009373CB"/>
    <w:rsid w:val="009378F9"/>
    <w:rsid w:val="00937DEA"/>
    <w:rsid w:val="00940486"/>
    <w:rsid w:val="009404C4"/>
    <w:rsid w:val="0094088A"/>
    <w:rsid w:val="0094099F"/>
    <w:rsid w:val="00940E57"/>
    <w:rsid w:val="00940F0F"/>
    <w:rsid w:val="00940F7B"/>
    <w:rsid w:val="00941D34"/>
    <w:rsid w:val="00942480"/>
    <w:rsid w:val="009424DB"/>
    <w:rsid w:val="0094273A"/>
    <w:rsid w:val="009428C8"/>
    <w:rsid w:val="00942933"/>
    <w:rsid w:val="00942D96"/>
    <w:rsid w:val="009431F1"/>
    <w:rsid w:val="00943544"/>
    <w:rsid w:val="00943997"/>
    <w:rsid w:val="00943AA9"/>
    <w:rsid w:val="00944506"/>
    <w:rsid w:val="009448FC"/>
    <w:rsid w:val="009451C2"/>
    <w:rsid w:val="00945CC9"/>
    <w:rsid w:val="00945CCF"/>
    <w:rsid w:val="00945E99"/>
    <w:rsid w:val="00946103"/>
    <w:rsid w:val="00946647"/>
    <w:rsid w:val="009468C7"/>
    <w:rsid w:val="00946AC3"/>
    <w:rsid w:val="00947949"/>
    <w:rsid w:val="00947CD3"/>
    <w:rsid w:val="00947DFF"/>
    <w:rsid w:val="0095019B"/>
    <w:rsid w:val="00950928"/>
    <w:rsid w:val="00950C44"/>
    <w:rsid w:val="00950D87"/>
    <w:rsid w:val="00951053"/>
    <w:rsid w:val="009513D4"/>
    <w:rsid w:val="00951DD2"/>
    <w:rsid w:val="00952003"/>
    <w:rsid w:val="00952CC4"/>
    <w:rsid w:val="00952DD4"/>
    <w:rsid w:val="0095429F"/>
    <w:rsid w:val="0095472D"/>
    <w:rsid w:val="00954901"/>
    <w:rsid w:val="00954B5F"/>
    <w:rsid w:val="00955866"/>
    <w:rsid w:val="00955BAF"/>
    <w:rsid w:val="00955E31"/>
    <w:rsid w:val="0095632B"/>
    <w:rsid w:val="00956333"/>
    <w:rsid w:val="009565A2"/>
    <w:rsid w:val="00956636"/>
    <w:rsid w:val="00956891"/>
    <w:rsid w:val="0095695F"/>
    <w:rsid w:val="00956B65"/>
    <w:rsid w:val="00956CD0"/>
    <w:rsid w:val="00957198"/>
    <w:rsid w:val="00957EEC"/>
    <w:rsid w:val="00960392"/>
    <w:rsid w:val="0096044A"/>
    <w:rsid w:val="00960928"/>
    <w:rsid w:val="00960D19"/>
    <w:rsid w:val="00960D4E"/>
    <w:rsid w:val="00960EF7"/>
    <w:rsid w:val="0096110D"/>
    <w:rsid w:val="00961132"/>
    <w:rsid w:val="0096195C"/>
    <w:rsid w:val="00961A41"/>
    <w:rsid w:val="00961C6D"/>
    <w:rsid w:val="00961DB8"/>
    <w:rsid w:val="00962155"/>
    <w:rsid w:val="009621FC"/>
    <w:rsid w:val="009623E1"/>
    <w:rsid w:val="0096251A"/>
    <w:rsid w:val="0096295B"/>
    <w:rsid w:val="00962AD7"/>
    <w:rsid w:val="0096306D"/>
    <w:rsid w:val="00963883"/>
    <w:rsid w:val="009639EC"/>
    <w:rsid w:val="009644E1"/>
    <w:rsid w:val="00964A34"/>
    <w:rsid w:val="00964BA6"/>
    <w:rsid w:val="00964BB7"/>
    <w:rsid w:val="00964C27"/>
    <w:rsid w:val="00964D2B"/>
    <w:rsid w:val="009653CF"/>
    <w:rsid w:val="009657F7"/>
    <w:rsid w:val="0096593D"/>
    <w:rsid w:val="00965AAA"/>
    <w:rsid w:val="00965B56"/>
    <w:rsid w:val="00965D44"/>
    <w:rsid w:val="00965E80"/>
    <w:rsid w:val="00966160"/>
    <w:rsid w:val="00966676"/>
    <w:rsid w:val="009670EB"/>
    <w:rsid w:val="00967155"/>
    <w:rsid w:val="009677DE"/>
    <w:rsid w:val="00967976"/>
    <w:rsid w:val="00967CE9"/>
    <w:rsid w:val="00970190"/>
    <w:rsid w:val="00970827"/>
    <w:rsid w:val="00970962"/>
    <w:rsid w:val="00970B6F"/>
    <w:rsid w:val="00970F81"/>
    <w:rsid w:val="00971257"/>
    <w:rsid w:val="00971297"/>
    <w:rsid w:val="00971539"/>
    <w:rsid w:val="009718A7"/>
    <w:rsid w:val="0097191C"/>
    <w:rsid w:val="00971960"/>
    <w:rsid w:val="00971C49"/>
    <w:rsid w:val="00971CCE"/>
    <w:rsid w:val="00971CE4"/>
    <w:rsid w:val="00972394"/>
    <w:rsid w:val="00972569"/>
    <w:rsid w:val="0097272D"/>
    <w:rsid w:val="009731CC"/>
    <w:rsid w:val="00973293"/>
    <w:rsid w:val="009736B8"/>
    <w:rsid w:val="009737B9"/>
    <w:rsid w:val="00973BD1"/>
    <w:rsid w:val="00973F49"/>
    <w:rsid w:val="00974065"/>
    <w:rsid w:val="00974114"/>
    <w:rsid w:val="0097474E"/>
    <w:rsid w:val="00974806"/>
    <w:rsid w:val="00974916"/>
    <w:rsid w:val="00974B96"/>
    <w:rsid w:val="00974E38"/>
    <w:rsid w:val="00974F80"/>
    <w:rsid w:val="00975076"/>
    <w:rsid w:val="00975469"/>
    <w:rsid w:val="00975661"/>
    <w:rsid w:val="00975822"/>
    <w:rsid w:val="00975A72"/>
    <w:rsid w:val="009768CA"/>
    <w:rsid w:val="00976AA2"/>
    <w:rsid w:val="00976DB9"/>
    <w:rsid w:val="009773E2"/>
    <w:rsid w:val="009775D8"/>
    <w:rsid w:val="0097774E"/>
    <w:rsid w:val="00977B12"/>
    <w:rsid w:val="00977B57"/>
    <w:rsid w:val="00977EBA"/>
    <w:rsid w:val="0098024B"/>
    <w:rsid w:val="009802CB"/>
    <w:rsid w:val="00980466"/>
    <w:rsid w:val="009806E4"/>
    <w:rsid w:val="0098074E"/>
    <w:rsid w:val="00980761"/>
    <w:rsid w:val="00980B4D"/>
    <w:rsid w:val="0098124B"/>
    <w:rsid w:val="00981580"/>
    <w:rsid w:val="00981702"/>
    <w:rsid w:val="00981ABE"/>
    <w:rsid w:val="00981C9E"/>
    <w:rsid w:val="00981D1D"/>
    <w:rsid w:val="00981D8E"/>
    <w:rsid w:val="00981E27"/>
    <w:rsid w:val="0098232F"/>
    <w:rsid w:val="0098243C"/>
    <w:rsid w:val="0098280F"/>
    <w:rsid w:val="00982D0E"/>
    <w:rsid w:val="00982FA9"/>
    <w:rsid w:val="009833BA"/>
    <w:rsid w:val="00983A3D"/>
    <w:rsid w:val="00983B4C"/>
    <w:rsid w:val="00983C8E"/>
    <w:rsid w:val="00983FF4"/>
    <w:rsid w:val="00984BFE"/>
    <w:rsid w:val="00984C4F"/>
    <w:rsid w:val="009850A2"/>
    <w:rsid w:val="009852A6"/>
    <w:rsid w:val="0098533B"/>
    <w:rsid w:val="009853F0"/>
    <w:rsid w:val="00985549"/>
    <w:rsid w:val="00985865"/>
    <w:rsid w:val="00985A98"/>
    <w:rsid w:val="00985F06"/>
    <w:rsid w:val="00986298"/>
    <w:rsid w:val="0098683F"/>
    <w:rsid w:val="009869D9"/>
    <w:rsid w:val="00986B9E"/>
    <w:rsid w:val="00987424"/>
    <w:rsid w:val="009876F9"/>
    <w:rsid w:val="009879DC"/>
    <w:rsid w:val="00990113"/>
    <w:rsid w:val="009901FB"/>
    <w:rsid w:val="0099032D"/>
    <w:rsid w:val="009904F2"/>
    <w:rsid w:val="00990947"/>
    <w:rsid w:val="009909D5"/>
    <w:rsid w:val="00990A88"/>
    <w:rsid w:val="0099107A"/>
    <w:rsid w:val="0099159D"/>
    <w:rsid w:val="00991796"/>
    <w:rsid w:val="00991DFE"/>
    <w:rsid w:val="0099285B"/>
    <w:rsid w:val="00992C37"/>
    <w:rsid w:val="00992ED3"/>
    <w:rsid w:val="00993048"/>
    <w:rsid w:val="0099329C"/>
    <w:rsid w:val="00993490"/>
    <w:rsid w:val="009935B9"/>
    <w:rsid w:val="009939C2"/>
    <w:rsid w:val="00994082"/>
    <w:rsid w:val="00994561"/>
    <w:rsid w:val="009945C9"/>
    <w:rsid w:val="009946CB"/>
    <w:rsid w:val="009949AF"/>
    <w:rsid w:val="00994B02"/>
    <w:rsid w:val="009950D2"/>
    <w:rsid w:val="0099546F"/>
    <w:rsid w:val="0099563E"/>
    <w:rsid w:val="009956AA"/>
    <w:rsid w:val="0099597D"/>
    <w:rsid w:val="00995D7F"/>
    <w:rsid w:val="00995E96"/>
    <w:rsid w:val="009960C2"/>
    <w:rsid w:val="00996792"/>
    <w:rsid w:val="00996859"/>
    <w:rsid w:val="00996D53"/>
    <w:rsid w:val="00996F50"/>
    <w:rsid w:val="0099746E"/>
    <w:rsid w:val="00997518"/>
    <w:rsid w:val="009977B4"/>
    <w:rsid w:val="009979E1"/>
    <w:rsid w:val="009A102C"/>
    <w:rsid w:val="009A1197"/>
    <w:rsid w:val="009A1285"/>
    <w:rsid w:val="009A1385"/>
    <w:rsid w:val="009A1658"/>
    <w:rsid w:val="009A19B3"/>
    <w:rsid w:val="009A1E8A"/>
    <w:rsid w:val="009A1F8D"/>
    <w:rsid w:val="009A2485"/>
    <w:rsid w:val="009A2492"/>
    <w:rsid w:val="009A2A80"/>
    <w:rsid w:val="009A2D12"/>
    <w:rsid w:val="009A2D16"/>
    <w:rsid w:val="009A367B"/>
    <w:rsid w:val="009A367D"/>
    <w:rsid w:val="009A39CD"/>
    <w:rsid w:val="009A3A9B"/>
    <w:rsid w:val="009A44C2"/>
    <w:rsid w:val="009A46EC"/>
    <w:rsid w:val="009A4789"/>
    <w:rsid w:val="009A4907"/>
    <w:rsid w:val="009A4AB3"/>
    <w:rsid w:val="009A4B79"/>
    <w:rsid w:val="009A4F41"/>
    <w:rsid w:val="009A50BF"/>
    <w:rsid w:val="009A50C2"/>
    <w:rsid w:val="009A547F"/>
    <w:rsid w:val="009A6F41"/>
    <w:rsid w:val="009A74F8"/>
    <w:rsid w:val="009A7AA9"/>
    <w:rsid w:val="009A7AAA"/>
    <w:rsid w:val="009A7B51"/>
    <w:rsid w:val="009A7BE1"/>
    <w:rsid w:val="009A7CA8"/>
    <w:rsid w:val="009A7D9C"/>
    <w:rsid w:val="009B0291"/>
    <w:rsid w:val="009B03A6"/>
    <w:rsid w:val="009B07B5"/>
    <w:rsid w:val="009B0BF8"/>
    <w:rsid w:val="009B0F94"/>
    <w:rsid w:val="009B100F"/>
    <w:rsid w:val="009B13F7"/>
    <w:rsid w:val="009B1862"/>
    <w:rsid w:val="009B18B2"/>
    <w:rsid w:val="009B18D6"/>
    <w:rsid w:val="009B1C3F"/>
    <w:rsid w:val="009B20C7"/>
    <w:rsid w:val="009B21EB"/>
    <w:rsid w:val="009B24A3"/>
    <w:rsid w:val="009B25E5"/>
    <w:rsid w:val="009B270D"/>
    <w:rsid w:val="009B28F4"/>
    <w:rsid w:val="009B2AC8"/>
    <w:rsid w:val="009B2DB4"/>
    <w:rsid w:val="009B3258"/>
    <w:rsid w:val="009B3FEB"/>
    <w:rsid w:val="009B4D73"/>
    <w:rsid w:val="009B52B2"/>
    <w:rsid w:val="009B6108"/>
    <w:rsid w:val="009B641B"/>
    <w:rsid w:val="009B64B8"/>
    <w:rsid w:val="009B665C"/>
    <w:rsid w:val="009B68FF"/>
    <w:rsid w:val="009B6D0F"/>
    <w:rsid w:val="009B7B94"/>
    <w:rsid w:val="009B7DA8"/>
    <w:rsid w:val="009C0624"/>
    <w:rsid w:val="009C0724"/>
    <w:rsid w:val="009C1294"/>
    <w:rsid w:val="009C170D"/>
    <w:rsid w:val="009C1B53"/>
    <w:rsid w:val="009C1B9D"/>
    <w:rsid w:val="009C1BD3"/>
    <w:rsid w:val="009C1C82"/>
    <w:rsid w:val="009C225E"/>
    <w:rsid w:val="009C2312"/>
    <w:rsid w:val="009C27CB"/>
    <w:rsid w:val="009C28C4"/>
    <w:rsid w:val="009C28E9"/>
    <w:rsid w:val="009C2C98"/>
    <w:rsid w:val="009C2DC2"/>
    <w:rsid w:val="009C3225"/>
    <w:rsid w:val="009C374A"/>
    <w:rsid w:val="009C3B64"/>
    <w:rsid w:val="009C3DAA"/>
    <w:rsid w:val="009C40D9"/>
    <w:rsid w:val="009C490F"/>
    <w:rsid w:val="009C4E68"/>
    <w:rsid w:val="009C4F2D"/>
    <w:rsid w:val="009C52C8"/>
    <w:rsid w:val="009C5462"/>
    <w:rsid w:val="009C5952"/>
    <w:rsid w:val="009C5CB1"/>
    <w:rsid w:val="009C5EDB"/>
    <w:rsid w:val="009C6189"/>
    <w:rsid w:val="009C6320"/>
    <w:rsid w:val="009C6376"/>
    <w:rsid w:val="009C72E0"/>
    <w:rsid w:val="009C745B"/>
    <w:rsid w:val="009C78D0"/>
    <w:rsid w:val="009C7B46"/>
    <w:rsid w:val="009C7C1D"/>
    <w:rsid w:val="009C7E81"/>
    <w:rsid w:val="009D01CB"/>
    <w:rsid w:val="009D020D"/>
    <w:rsid w:val="009D022C"/>
    <w:rsid w:val="009D03CA"/>
    <w:rsid w:val="009D09C0"/>
    <w:rsid w:val="009D107C"/>
    <w:rsid w:val="009D10E3"/>
    <w:rsid w:val="009D130E"/>
    <w:rsid w:val="009D17AA"/>
    <w:rsid w:val="009D2012"/>
    <w:rsid w:val="009D23B0"/>
    <w:rsid w:val="009D290D"/>
    <w:rsid w:val="009D2C69"/>
    <w:rsid w:val="009D2DF0"/>
    <w:rsid w:val="009D3025"/>
    <w:rsid w:val="009D3248"/>
    <w:rsid w:val="009D3454"/>
    <w:rsid w:val="009D3A71"/>
    <w:rsid w:val="009D4018"/>
    <w:rsid w:val="009D45FB"/>
    <w:rsid w:val="009D48A5"/>
    <w:rsid w:val="009D4BF9"/>
    <w:rsid w:val="009D4C72"/>
    <w:rsid w:val="009D5040"/>
    <w:rsid w:val="009D52DB"/>
    <w:rsid w:val="009D537D"/>
    <w:rsid w:val="009D5515"/>
    <w:rsid w:val="009D5855"/>
    <w:rsid w:val="009D5943"/>
    <w:rsid w:val="009D5B56"/>
    <w:rsid w:val="009D5B6B"/>
    <w:rsid w:val="009D5C20"/>
    <w:rsid w:val="009D617E"/>
    <w:rsid w:val="009D63C1"/>
    <w:rsid w:val="009D652C"/>
    <w:rsid w:val="009D6712"/>
    <w:rsid w:val="009D68A4"/>
    <w:rsid w:val="009D776C"/>
    <w:rsid w:val="009D7AD9"/>
    <w:rsid w:val="009E000A"/>
    <w:rsid w:val="009E006D"/>
    <w:rsid w:val="009E01B0"/>
    <w:rsid w:val="009E0B1E"/>
    <w:rsid w:val="009E0E02"/>
    <w:rsid w:val="009E1A57"/>
    <w:rsid w:val="009E1AAA"/>
    <w:rsid w:val="009E1D7A"/>
    <w:rsid w:val="009E1EB6"/>
    <w:rsid w:val="009E2725"/>
    <w:rsid w:val="009E2B8F"/>
    <w:rsid w:val="009E33E9"/>
    <w:rsid w:val="009E3408"/>
    <w:rsid w:val="009E3455"/>
    <w:rsid w:val="009E35F0"/>
    <w:rsid w:val="009E37EA"/>
    <w:rsid w:val="009E3876"/>
    <w:rsid w:val="009E4278"/>
    <w:rsid w:val="009E450B"/>
    <w:rsid w:val="009E47D2"/>
    <w:rsid w:val="009E4832"/>
    <w:rsid w:val="009E4B31"/>
    <w:rsid w:val="009E4D7A"/>
    <w:rsid w:val="009E4DA7"/>
    <w:rsid w:val="009E4DCA"/>
    <w:rsid w:val="009E5011"/>
    <w:rsid w:val="009E5018"/>
    <w:rsid w:val="009E5407"/>
    <w:rsid w:val="009E54B3"/>
    <w:rsid w:val="009E5EFB"/>
    <w:rsid w:val="009E6179"/>
    <w:rsid w:val="009E6B06"/>
    <w:rsid w:val="009E6B4E"/>
    <w:rsid w:val="009E6E77"/>
    <w:rsid w:val="009E6F92"/>
    <w:rsid w:val="009E703D"/>
    <w:rsid w:val="009E710F"/>
    <w:rsid w:val="009E79FF"/>
    <w:rsid w:val="009E7D63"/>
    <w:rsid w:val="009F021B"/>
    <w:rsid w:val="009F0470"/>
    <w:rsid w:val="009F067A"/>
    <w:rsid w:val="009F091F"/>
    <w:rsid w:val="009F0AE1"/>
    <w:rsid w:val="009F11EC"/>
    <w:rsid w:val="009F158A"/>
    <w:rsid w:val="009F1DC0"/>
    <w:rsid w:val="009F1E16"/>
    <w:rsid w:val="009F1FC0"/>
    <w:rsid w:val="009F2439"/>
    <w:rsid w:val="009F2570"/>
    <w:rsid w:val="009F273D"/>
    <w:rsid w:val="009F2CA4"/>
    <w:rsid w:val="009F304E"/>
    <w:rsid w:val="009F317E"/>
    <w:rsid w:val="009F3412"/>
    <w:rsid w:val="009F391D"/>
    <w:rsid w:val="009F42AE"/>
    <w:rsid w:val="009F438F"/>
    <w:rsid w:val="009F472E"/>
    <w:rsid w:val="009F4839"/>
    <w:rsid w:val="009F484C"/>
    <w:rsid w:val="009F492F"/>
    <w:rsid w:val="009F51F5"/>
    <w:rsid w:val="009F52DC"/>
    <w:rsid w:val="009F5EA0"/>
    <w:rsid w:val="009F669B"/>
    <w:rsid w:val="009F6F9D"/>
    <w:rsid w:val="009F70A8"/>
    <w:rsid w:val="009F7136"/>
    <w:rsid w:val="009F760B"/>
    <w:rsid w:val="009F7636"/>
    <w:rsid w:val="009F7898"/>
    <w:rsid w:val="009F7AE4"/>
    <w:rsid w:val="009F7E53"/>
    <w:rsid w:val="00A0017B"/>
    <w:rsid w:val="00A003F1"/>
    <w:rsid w:val="00A0058C"/>
    <w:rsid w:val="00A005EA"/>
    <w:rsid w:val="00A00672"/>
    <w:rsid w:val="00A008A6"/>
    <w:rsid w:val="00A009F0"/>
    <w:rsid w:val="00A00AB5"/>
    <w:rsid w:val="00A010E4"/>
    <w:rsid w:val="00A01BA9"/>
    <w:rsid w:val="00A02036"/>
    <w:rsid w:val="00A02156"/>
    <w:rsid w:val="00A02DC2"/>
    <w:rsid w:val="00A02F30"/>
    <w:rsid w:val="00A03074"/>
    <w:rsid w:val="00A03975"/>
    <w:rsid w:val="00A03C9C"/>
    <w:rsid w:val="00A03EA6"/>
    <w:rsid w:val="00A046B4"/>
    <w:rsid w:val="00A0470B"/>
    <w:rsid w:val="00A04BBE"/>
    <w:rsid w:val="00A04C11"/>
    <w:rsid w:val="00A05419"/>
    <w:rsid w:val="00A0556B"/>
    <w:rsid w:val="00A05D2D"/>
    <w:rsid w:val="00A060DC"/>
    <w:rsid w:val="00A06116"/>
    <w:rsid w:val="00A06551"/>
    <w:rsid w:val="00A067D5"/>
    <w:rsid w:val="00A06B8A"/>
    <w:rsid w:val="00A06E46"/>
    <w:rsid w:val="00A071AD"/>
    <w:rsid w:val="00A075B8"/>
    <w:rsid w:val="00A07718"/>
    <w:rsid w:val="00A07BD3"/>
    <w:rsid w:val="00A100FB"/>
    <w:rsid w:val="00A1061A"/>
    <w:rsid w:val="00A1070A"/>
    <w:rsid w:val="00A10BD8"/>
    <w:rsid w:val="00A10FA2"/>
    <w:rsid w:val="00A11180"/>
    <w:rsid w:val="00A115AE"/>
    <w:rsid w:val="00A11621"/>
    <w:rsid w:val="00A11CF7"/>
    <w:rsid w:val="00A11DF0"/>
    <w:rsid w:val="00A120F6"/>
    <w:rsid w:val="00A12379"/>
    <w:rsid w:val="00A12649"/>
    <w:rsid w:val="00A1278C"/>
    <w:rsid w:val="00A12A8B"/>
    <w:rsid w:val="00A12C18"/>
    <w:rsid w:val="00A12E19"/>
    <w:rsid w:val="00A12EBA"/>
    <w:rsid w:val="00A13128"/>
    <w:rsid w:val="00A131F4"/>
    <w:rsid w:val="00A13274"/>
    <w:rsid w:val="00A1360C"/>
    <w:rsid w:val="00A138F5"/>
    <w:rsid w:val="00A13C52"/>
    <w:rsid w:val="00A13DA6"/>
    <w:rsid w:val="00A13F74"/>
    <w:rsid w:val="00A14146"/>
    <w:rsid w:val="00A14221"/>
    <w:rsid w:val="00A14326"/>
    <w:rsid w:val="00A14A27"/>
    <w:rsid w:val="00A14A84"/>
    <w:rsid w:val="00A14BEB"/>
    <w:rsid w:val="00A14CA3"/>
    <w:rsid w:val="00A14CF6"/>
    <w:rsid w:val="00A14DC8"/>
    <w:rsid w:val="00A1506F"/>
    <w:rsid w:val="00A1517E"/>
    <w:rsid w:val="00A15311"/>
    <w:rsid w:val="00A15ACA"/>
    <w:rsid w:val="00A15C6C"/>
    <w:rsid w:val="00A15C7F"/>
    <w:rsid w:val="00A15D08"/>
    <w:rsid w:val="00A15FF6"/>
    <w:rsid w:val="00A1601E"/>
    <w:rsid w:val="00A16B91"/>
    <w:rsid w:val="00A16F12"/>
    <w:rsid w:val="00A173EA"/>
    <w:rsid w:val="00A173F1"/>
    <w:rsid w:val="00A17486"/>
    <w:rsid w:val="00A17542"/>
    <w:rsid w:val="00A17671"/>
    <w:rsid w:val="00A176F2"/>
    <w:rsid w:val="00A17A0D"/>
    <w:rsid w:val="00A17B87"/>
    <w:rsid w:val="00A17F9A"/>
    <w:rsid w:val="00A20D3E"/>
    <w:rsid w:val="00A20DA8"/>
    <w:rsid w:val="00A20E24"/>
    <w:rsid w:val="00A20E5C"/>
    <w:rsid w:val="00A20E6C"/>
    <w:rsid w:val="00A21478"/>
    <w:rsid w:val="00A21830"/>
    <w:rsid w:val="00A21E9C"/>
    <w:rsid w:val="00A221FB"/>
    <w:rsid w:val="00A22661"/>
    <w:rsid w:val="00A22B7E"/>
    <w:rsid w:val="00A22C36"/>
    <w:rsid w:val="00A22E43"/>
    <w:rsid w:val="00A22ECB"/>
    <w:rsid w:val="00A23366"/>
    <w:rsid w:val="00A239D4"/>
    <w:rsid w:val="00A23BA5"/>
    <w:rsid w:val="00A23DFA"/>
    <w:rsid w:val="00A245D4"/>
    <w:rsid w:val="00A24609"/>
    <w:rsid w:val="00A2475E"/>
    <w:rsid w:val="00A24B35"/>
    <w:rsid w:val="00A24B87"/>
    <w:rsid w:val="00A24C9A"/>
    <w:rsid w:val="00A24E01"/>
    <w:rsid w:val="00A24EA1"/>
    <w:rsid w:val="00A25B74"/>
    <w:rsid w:val="00A26101"/>
    <w:rsid w:val="00A261F7"/>
    <w:rsid w:val="00A2651F"/>
    <w:rsid w:val="00A2662F"/>
    <w:rsid w:val="00A26702"/>
    <w:rsid w:val="00A267EE"/>
    <w:rsid w:val="00A26833"/>
    <w:rsid w:val="00A26ABC"/>
    <w:rsid w:val="00A26FC5"/>
    <w:rsid w:val="00A26FD3"/>
    <w:rsid w:val="00A27050"/>
    <w:rsid w:val="00A2780A"/>
    <w:rsid w:val="00A278A0"/>
    <w:rsid w:val="00A27E19"/>
    <w:rsid w:val="00A30319"/>
    <w:rsid w:val="00A3078B"/>
    <w:rsid w:val="00A308E4"/>
    <w:rsid w:val="00A30CBE"/>
    <w:rsid w:val="00A30DAF"/>
    <w:rsid w:val="00A3155B"/>
    <w:rsid w:val="00A31852"/>
    <w:rsid w:val="00A3198E"/>
    <w:rsid w:val="00A31BFA"/>
    <w:rsid w:val="00A31E61"/>
    <w:rsid w:val="00A32291"/>
    <w:rsid w:val="00A3283E"/>
    <w:rsid w:val="00A32B42"/>
    <w:rsid w:val="00A32B8A"/>
    <w:rsid w:val="00A32F6B"/>
    <w:rsid w:val="00A331C5"/>
    <w:rsid w:val="00A3370D"/>
    <w:rsid w:val="00A33BFF"/>
    <w:rsid w:val="00A33CC9"/>
    <w:rsid w:val="00A34292"/>
    <w:rsid w:val="00A3436E"/>
    <w:rsid w:val="00A34DB1"/>
    <w:rsid w:val="00A350B8"/>
    <w:rsid w:val="00A350F0"/>
    <w:rsid w:val="00A354A7"/>
    <w:rsid w:val="00A35C1C"/>
    <w:rsid w:val="00A35D57"/>
    <w:rsid w:val="00A35D7A"/>
    <w:rsid w:val="00A363D5"/>
    <w:rsid w:val="00A36A82"/>
    <w:rsid w:val="00A36ACE"/>
    <w:rsid w:val="00A36FBF"/>
    <w:rsid w:val="00A37597"/>
    <w:rsid w:val="00A37667"/>
    <w:rsid w:val="00A3781E"/>
    <w:rsid w:val="00A37C6D"/>
    <w:rsid w:val="00A37FB6"/>
    <w:rsid w:val="00A405D5"/>
    <w:rsid w:val="00A40603"/>
    <w:rsid w:val="00A40668"/>
    <w:rsid w:val="00A406F3"/>
    <w:rsid w:val="00A40A98"/>
    <w:rsid w:val="00A40BBC"/>
    <w:rsid w:val="00A4159D"/>
    <w:rsid w:val="00A41633"/>
    <w:rsid w:val="00A4197C"/>
    <w:rsid w:val="00A421AC"/>
    <w:rsid w:val="00A4249C"/>
    <w:rsid w:val="00A4261E"/>
    <w:rsid w:val="00A42A4A"/>
    <w:rsid w:val="00A42B2A"/>
    <w:rsid w:val="00A42BE8"/>
    <w:rsid w:val="00A42DB8"/>
    <w:rsid w:val="00A4352C"/>
    <w:rsid w:val="00A4366D"/>
    <w:rsid w:val="00A43761"/>
    <w:rsid w:val="00A43B02"/>
    <w:rsid w:val="00A43BDA"/>
    <w:rsid w:val="00A43C95"/>
    <w:rsid w:val="00A44356"/>
    <w:rsid w:val="00A443FB"/>
    <w:rsid w:val="00A44443"/>
    <w:rsid w:val="00A44A26"/>
    <w:rsid w:val="00A44AE3"/>
    <w:rsid w:val="00A44CEC"/>
    <w:rsid w:val="00A44E72"/>
    <w:rsid w:val="00A44FA1"/>
    <w:rsid w:val="00A44FA7"/>
    <w:rsid w:val="00A45150"/>
    <w:rsid w:val="00A45210"/>
    <w:rsid w:val="00A4532A"/>
    <w:rsid w:val="00A453A1"/>
    <w:rsid w:val="00A4583F"/>
    <w:rsid w:val="00A45C0F"/>
    <w:rsid w:val="00A45C40"/>
    <w:rsid w:val="00A45DA0"/>
    <w:rsid w:val="00A46225"/>
    <w:rsid w:val="00A46B5C"/>
    <w:rsid w:val="00A470FA"/>
    <w:rsid w:val="00A473D7"/>
    <w:rsid w:val="00A50B21"/>
    <w:rsid w:val="00A50DA9"/>
    <w:rsid w:val="00A51194"/>
    <w:rsid w:val="00A51205"/>
    <w:rsid w:val="00A51363"/>
    <w:rsid w:val="00A5138E"/>
    <w:rsid w:val="00A51404"/>
    <w:rsid w:val="00A51820"/>
    <w:rsid w:val="00A51EE4"/>
    <w:rsid w:val="00A526A1"/>
    <w:rsid w:val="00A526FE"/>
    <w:rsid w:val="00A52929"/>
    <w:rsid w:val="00A52F66"/>
    <w:rsid w:val="00A52FEE"/>
    <w:rsid w:val="00A532BA"/>
    <w:rsid w:val="00A539B7"/>
    <w:rsid w:val="00A53A5C"/>
    <w:rsid w:val="00A53BBD"/>
    <w:rsid w:val="00A53C43"/>
    <w:rsid w:val="00A53C63"/>
    <w:rsid w:val="00A53DCB"/>
    <w:rsid w:val="00A54196"/>
    <w:rsid w:val="00A5456A"/>
    <w:rsid w:val="00A548D6"/>
    <w:rsid w:val="00A548E5"/>
    <w:rsid w:val="00A54EA4"/>
    <w:rsid w:val="00A55A58"/>
    <w:rsid w:val="00A56543"/>
    <w:rsid w:val="00A566F3"/>
    <w:rsid w:val="00A5699B"/>
    <w:rsid w:val="00A56B8E"/>
    <w:rsid w:val="00A57BA9"/>
    <w:rsid w:val="00A57D6E"/>
    <w:rsid w:val="00A60206"/>
    <w:rsid w:val="00A60420"/>
    <w:rsid w:val="00A60546"/>
    <w:rsid w:val="00A606B2"/>
    <w:rsid w:val="00A607F8"/>
    <w:rsid w:val="00A60986"/>
    <w:rsid w:val="00A60E4F"/>
    <w:rsid w:val="00A611DE"/>
    <w:rsid w:val="00A618A0"/>
    <w:rsid w:val="00A61C2D"/>
    <w:rsid w:val="00A621DC"/>
    <w:rsid w:val="00A62ACD"/>
    <w:rsid w:val="00A62BD8"/>
    <w:rsid w:val="00A63437"/>
    <w:rsid w:val="00A63526"/>
    <w:rsid w:val="00A635CB"/>
    <w:rsid w:val="00A6360F"/>
    <w:rsid w:val="00A63767"/>
    <w:rsid w:val="00A63A6A"/>
    <w:rsid w:val="00A63E2F"/>
    <w:rsid w:val="00A64127"/>
    <w:rsid w:val="00A6426E"/>
    <w:rsid w:val="00A6457B"/>
    <w:rsid w:val="00A649F0"/>
    <w:rsid w:val="00A65286"/>
    <w:rsid w:val="00A65675"/>
    <w:rsid w:val="00A658A0"/>
    <w:rsid w:val="00A658C7"/>
    <w:rsid w:val="00A6594D"/>
    <w:rsid w:val="00A65A94"/>
    <w:rsid w:val="00A65C25"/>
    <w:rsid w:val="00A65C48"/>
    <w:rsid w:val="00A66732"/>
    <w:rsid w:val="00A667AF"/>
    <w:rsid w:val="00A66A9E"/>
    <w:rsid w:val="00A66F07"/>
    <w:rsid w:val="00A676D3"/>
    <w:rsid w:val="00A67CDE"/>
    <w:rsid w:val="00A70413"/>
    <w:rsid w:val="00A70AA6"/>
    <w:rsid w:val="00A7133B"/>
    <w:rsid w:val="00A71778"/>
    <w:rsid w:val="00A719A1"/>
    <w:rsid w:val="00A719BC"/>
    <w:rsid w:val="00A72596"/>
    <w:rsid w:val="00A72964"/>
    <w:rsid w:val="00A72D4A"/>
    <w:rsid w:val="00A72DB5"/>
    <w:rsid w:val="00A732ED"/>
    <w:rsid w:val="00A7376C"/>
    <w:rsid w:val="00A73839"/>
    <w:rsid w:val="00A73FD5"/>
    <w:rsid w:val="00A74066"/>
    <w:rsid w:val="00A7458C"/>
    <w:rsid w:val="00A748EC"/>
    <w:rsid w:val="00A7499E"/>
    <w:rsid w:val="00A74D8A"/>
    <w:rsid w:val="00A74EF5"/>
    <w:rsid w:val="00A75585"/>
    <w:rsid w:val="00A75E07"/>
    <w:rsid w:val="00A760D4"/>
    <w:rsid w:val="00A766D3"/>
    <w:rsid w:val="00A7683E"/>
    <w:rsid w:val="00A76890"/>
    <w:rsid w:val="00A76AC7"/>
    <w:rsid w:val="00A77117"/>
    <w:rsid w:val="00A77245"/>
    <w:rsid w:val="00A7737D"/>
    <w:rsid w:val="00A779D6"/>
    <w:rsid w:val="00A77A2E"/>
    <w:rsid w:val="00A77BAC"/>
    <w:rsid w:val="00A77D07"/>
    <w:rsid w:val="00A77D13"/>
    <w:rsid w:val="00A802DA"/>
    <w:rsid w:val="00A803F4"/>
    <w:rsid w:val="00A80423"/>
    <w:rsid w:val="00A8083F"/>
    <w:rsid w:val="00A80910"/>
    <w:rsid w:val="00A80DE6"/>
    <w:rsid w:val="00A80E5E"/>
    <w:rsid w:val="00A81021"/>
    <w:rsid w:val="00A8103F"/>
    <w:rsid w:val="00A810BE"/>
    <w:rsid w:val="00A81A30"/>
    <w:rsid w:val="00A81B12"/>
    <w:rsid w:val="00A81E94"/>
    <w:rsid w:val="00A82120"/>
    <w:rsid w:val="00A8227D"/>
    <w:rsid w:val="00A82282"/>
    <w:rsid w:val="00A82391"/>
    <w:rsid w:val="00A8280F"/>
    <w:rsid w:val="00A82A3C"/>
    <w:rsid w:val="00A82C45"/>
    <w:rsid w:val="00A82D3C"/>
    <w:rsid w:val="00A831DA"/>
    <w:rsid w:val="00A832F2"/>
    <w:rsid w:val="00A83369"/>
    <w:rsid w:val="00A838EA"/>
    <w:rsid w:val="00A839E8"/>
    <w:rsid w:val="00A84959"/>
    <w:rsid w:val="00A85138"/>
    <w:rsid w:val="00A85EB8"/>
    <w:rsid w:val="00A85F5C"/>
    <w:rsid w:val="00A861C0"/>
    <w:rsid w:val="00A86ED3"/>
    <w:rsid w:val="00A87393"/>
    <w:rsid w:val="00A87464"/>
    <w:rsid w:val="00A874F0"/>
    <w:rsid w:val="00A874F5"/>
    <w:rsid w:val="00A875F4"/>
    <w:rsid w:val="00A87A24"/>
    <w:rsid w:val="00A87C61"/>
    <w:rsid w:val="00A87D19"/>
    <w:rsid w:val="00A9003B"/>
    <w:rsid w:val="00A902FC"/>
    <w:rsid w:val="00A90444"/>
    <w:rsid w:val="00A90563"/>
    <w:rsid w:val="00A90795"/>
    <w:rsid w:val="00A90B35"/>
    <w:rsid w:val="00A90FA0"/>
    <w:rsid w:val="00A910A9"/>
    <w:rsid w:val="00A910B9"/>
    <w:rsid w:val="00A9151D"/>
    <w:rsid w:val="00A91FBE"/>
    <w:rsid w:val="00A925ED"/>
    <w:rsid w:val="00A92817"/>
    <w:rsid w:val="00A92A6D"/>
    <w:rsid w:val="00A93101"/>
    <w:rsid w:val="00A93967"/>
    <w:rsid w:val="00A93AE6"/>
    <w:rsid w:val="00A93F38"/>
    <w:rsid w:val="00A93F57"/>
    <w:rsid w:val="00A93F82"/>
    <w:rsid w:val="00A94024"/>
    <w:rsid w:val="00A940E1"/>
    <w:rsid w:val="00A9436A"/>
    <w:rsid w:val="00A94465"/>
    <w:rsid w:val="00A944FA"/>
    <w:rsid w:val="00A94778"/>
    <w:rsid w:val="00A94A8C"/>
    <w:rsid w:val="00A94BE8"/>
    <w:rsid w:val="00A94E25"/>
    <w:rsid w:val="00A94EF4"/>
    <w:rsid w:val="00A94F2F"/>
    <w:rsid w:val="00A9501C"/>
    <w:rsid w:val="00A954A4"/>
    <w:rsid w:val="00A95674"/>
    <w:rsid w:val="00A95C17"/>
    <w:rsid w:val="00A95EB2"/>
    <w:rsid w:val="00A96195"/>
    <w:rsid w:val="00A968F7"/>
    <w:rsid w:val="00A9692C"/>
    <w:rsid w:val="00A96981"/>
    <w:rsid w:val="00A9704F"/>
    <w:rsid w:val="00A9725B"/>
    <w:rsid w:val="00A977C7"/>
    <w:rsid w:val="00A97957"/>
    <w:rsid w:val="00A97AE5"/>
    <w:rsid w:val="00A97D34"/>
    <w:rsid w:val="00AA038F"/>
    <w:rsid w:val="00AA04E5"/>
    <w:rsid w:val="00AA0E45"/>
    <w:rsid w:val="00AA1087"/>
    <w:rsid w:val="00AA1158"/>
    <w:rsid w:val="00AA1230"/>
    <w:rsid w:val="00AA13F8"/>
    <w:rsid w:val="00AA1577"/>
    <w:rsid w:val="00AA1A01"/>
    <w:rsid w:val="00AA1BAF"/>
    <w:rsid w:val="00AA1BF9"/>
    <w:rsid w:val="00AA1F31"/>
    <w:rsid w:val="00AA2AB6"/>
    <w:rsid w:val="00AA2B76"/>
    <w:rsid w:val="00AA2EE7"/>
    <w:rsid w:val="00AA32C4"/>
    <w:rsid w:val="00AA35AE"/>
    <w:rsid w:val="00AA36FB"/>
    <w:rsid w:val="00AA37A8"/>
    <w:rsid w:val="00AA38F4"/>
    <w:rsid w:val="00AA39A2"/>
    <w:rsid w:val="00AA39F9"/>
    <w:rsid w:val="00AA3F40"/>
    <w:rsid w:val="00AA4188"/>
    <w:rsid w:val="00AA4347"/>
    <w:rsid w:val="00AA4929"/>
    <w:rsid w:val="00AA4A31"/>
    <w:rsid w:val="00AA4D26"/>
    <w:rsid w:val="00AA4EEB"/>
    <w:rsid w:val="00AA53A5"/>
    <w:rsid w:val="00AA5B50"/>
    <w:rsid w:val="00AA5C5E"/>
    <w:rsid w:val="00AA6032"/>
    <w:rsid w:val="00AA60D7"/>
    <w:rsid w:val="00AA60E7"/>
    <w:rsid w:val="00AA622B"/>
    <w:rsid w:val="00AA6703"/>
    <w:rsid w:val="00AA67D5"/>
    <w:rsid w:val="00AA7139"/>
    <w:rsid w:val="00AA7423"/>
    <w:rsid w:val="00AA779C"/>
    <w:rsid w:val="00AA7993"/>
    <w:rsid w:val="00AA7E7D"/>
    <w:rsid w:val="00AB001B"/>
    <w:rsid w:val="00AB0704"/>
    <w:rsid w:val="00AB083A"/>
    <w:rsid w:val="00AB08CA"/>
    <w:rsid w:val="00AB09FF"/>
    <w:rsid w:val="00AB13B0"/>
    <w:rsid w:val="00AB1A66"/>
    <w:rsid w:val="00AB1A67"/>
    <w:rsid w:val="00AB1CE2"/>
    <w:rsid w:val="00AB23D3"/>
    <w:rsid w:val="00AB2455"/>
    <w:rsid w:val="00AB2B70"/>
    <w:rsid w:val="00AB2D59"/>
    <w:rsid w:val="00AB2E33"/>
    <w:rsid w:val="00AB30A6"/>
    <w:rsid w:val="00AB3360"/>
    <w:rsid w:val="00AB3662"/>
    <w:rsid w:val="00AB39A1"/>
    <w:rsid w:val="00AB3E81"/>
    <w:rsid w:val="00AB3EC4"/>
    <w:rsid w:val="00AB436E"/>
    <w:rsid w:val="00AB43EF"/>
    <w:rsid w:val="00AB4AB3"/>
    <w:rsid w:val="00AB4C04"/>
    <w:rsid w:val="00AB4EDA"/>
    <w:rsid w:val="00AB4F51"/>
    <w:rsid w:val="00AB513B"/>
    <w:rsid w:val="00AB5197"/>
    <w:rsid w:val="00AB5255"/>
    <w:rsid w:val="00AB5383"/>
    <w:rsid w:val="00AB56F1"/>
    <w:rsid w:val="00AB5EA7"/>
    <w:rsid w:val="00AB5FB5"/>
    <w:rsid w:val="00AB6470"/>
    <w:rsid w:val="00AB66B5"/>
    <w:rsid w:val="00AB6A52"/>
    <w:rsid w:val="00AB6CDE"/>
    <w:rsid w:val="00AB6D8D"/>
    <w:rsid w:val="00AB6FE3"/>
    <w:rsid w:val="00AB72EC"/>
    <w:rsid w:val="00AB73B9"/>
    <w:rsid w:val="00AB77F3"/>
    <w:rsid w:val="00AB79CF"/>
    <w:rsid w:val="00AB7C1A"/>
    <w:rsid w:val="00AB7C68"/>
    <w:rsid w:val="00AB7CDB"/>
    <w:rsid w:val="00AB7D34"/>
    <w:rsid w:val="00AB7DB0"/>
    <w:rsid w:val="00AB7FB2"/>
    <w:rsid w:val="00AC03DF"/>
    <w:rsid w:val="00AC051C"/>
    <w:rsid w:val="00AC05CF"/>
    <w:rsid w:val="00AC09AC"/>
    <w:rsid w:val="00AC0D79"/>
    <w:rsid w:val="00AC10D7"/>
    <w:rsid w:val="00AC11F3"/>
    <w:rsid w:val="00AC1771"/>
    <w:rsid w:val="00AC178F"/>
    <w:rsid w:val="00AC1E19"/>
    <w:rsid w:val="00AC1E7B"/>
    <w:rsid w:val="00AC1F45"/>
    <w:rsid w:val="00AC20A3"/>
    <w:rsid w:val="00AC22CF"/>
    <w:rsid w:val="00AC232F"/>
    <w:rsid w:val="00AC298F"/>
    <w:rsid w:val="00AC2A3D"/>
    <w:rsid w:val="00AC2AFA"/>
    <w:rsid w:val="00AC2F00"/>
    <w:rsid w:val="00AC317D"/>
    <w:rsid w:val="00AC39E3"/>
    <w:rsid w:val="00AC3E90"/>
    <w:rsid w:val="00AC46AB"/>
    <w:rsid w:val="00AC4B2C"/>
    <w:rsid w:val="00AC4EB7"/>
    <w:rsid w:val="00AC5112"/>
    <w:rsid w:val="00AC5490"/>
    <w:rsid w:val="00AC5973"/>
    <w:rsid w:val="00AC6120"/>
    <w:rsid w:val="00AC6390"/>
    <w:rsid w:val="00AC64F9"/>
    <w:rsid w:val="00AC654D"/>
    <w:rsid w:val="00AC6698"/>
    <w:rsid w:val="00AC66C7"/>
    <w:rsid w:val="00AC670B"/>
    <w:rsid w:val="00AC6777"/>
    <w:rsid w:val="00AC6D70"/>
    <w:rsid w:val="00AC701E"/>
    <w:rsid w:val="00AC70CE"/>
    <w:rsid w:val="00AC7384"/>
    <w:rsid w:val="00AC76E7"/>
    <w:rsid w:val="00AC7C8B"/>
    <w:rsid w:val="00AD0038"/>
    <w:rsid w:val="00AD007B"/>
    <w:rsid w:val="00AD00A2"/>
    <w:rsid w:val="00AD039E"/>
    <w:rsid w:val="00AD05B7"/>
    <w:rsid w:val="00AD0632"/>
    <w:rsid w:val="00AD071D"/>
    <w:rsid w:val="00AD085D"/>
    <w:rsid w:val="00AD08E4"/>
    <w:rsid w:val="00AD0BEB"/>
    <w:rsid w:val="00AD1536"/>
    <w:rsid w:val="00AD1767"/>
    <w:rsid w:val="00AD1B4F"/>
    <w:rsid w:val="00AD2927"/>
    <w:rsid w:val="00AD2B1E"/>
    <w:rsid w:val="00AD2EF9"/>
    <w:rsid w:val="00AD3382"/>
    <w:rsid w:val="00AD4473"/>
    <w:rsid w:val="00AD4845"/>
    <w:rsid w:val="00AD49C8"/>
    <w:rsid w:val="00AD4B96"/>
    <w:rsid w:val="00AD4D40"/>
    <w:rsid w:val="00AD4DD4"/>
    <w:rsid w:val="00AD4EB3"/>
    <w:rsid w:val="00AD518E"/>
    <w:rsid w:val="00AD54E0"/>
    <w:rsid w:val="00AD57B7"/>
    <w:rsid w:val="00AD5B82"/>
    <w:rsid w:val="00AD5EBB"/>
    <w:rsid w:val="00AD61F1"/>
    <w:rsid w:val="00AD620C"/>
    <w:rsid w:val="00AD6369"/>
    <w:rsid w:val="00AD675B"/>
    <w:rsid w:val="00AD6B2F"/>
    <w:rsid w:val="00AD6B79"/>
    <w:rsid w:val="00AD7302"/>
    <w:rsid w:val="00AD7666"/>
    <w:rsid w:val="00AD7829"/>
    <w:rsid w:val="00AD7D6E"/>
    <w:rsid w:val="00AD7E9F"/>
    <w:rsid w:val="00AD7FEA"/>
    <w:rsid w:val="00AE07D7"/>
    <w:rsid w:val="00AE0D4D"/>
    <w:rsid w:val="00AE1308"/>
    <w:rsid w:val="00AE24E0"/>
    <w:rsid w:val="00AE2E91"/>
    <w:rsid w:val="00AE3484"/>
    <w:rsid w:val="00AE36A6"/>
    <w:rsid w:val="00AE3703"/>
    <w:rsid w:val="00AE3A91"/>
    <w:rsid w:val="00AE3B32"/>
    <w:rsid w:val="00AE42BF"/>
    <w:rsid w:val="00AE4552"/>
    <w:rsid w:val="00AE47C1"/>
    <w:rsid w:val="00AE48AB"/>
    <w:rsid w:val="00AE5044"/>
    <w:rsid w:val="00AE5768"/>
    <w:rsid w:val="00AE59C6"/>
    <w:rsid w:val="00AE5BB9"/>
    <w:rsid w:val="00AE6507"/>
    <w:rsid w:val="00AE6CFD"/>
    <w:rsid w:val="00AE6D06"/>
    <w:rsid w:val="00AE710C"/>
    <w:rsid w:val="00AE7112"/>
    <w:rsid w:val="00AE713B"/>
    <w:rsid w:val="00AE738C"/>
    <w:rsid w:val="00AE74DA"/>
    <w:rsid w:val="00AE74E8"/>
    <w:rsid w:val="00AE7BB1"/>
    <w:rsid w:val="00AF010D"/>
    <w:rsid w:val="00AF0280"/>
    <w:rsid w:val="00AF05B9"/>
    <w:rsid w:val="00AF0869"/>
    <w:rsid w:val="00AF0C83"/>
    <w:rsid w:val="00AF0E7B"/>
    <w:rsid w:val="00AF0EC4"/>
    <w:rsid w:val="00AF1010"/>
    <w:rsid w:val="00AF1743"/>
    <w:rsid w:val="00AF26A2"/>
    <w:rsid w:val="00AF27B3"/>
    <w:rsid w:val="00AF2907"/>
    <w:rsid w:val="00AF2BDE"/>
    <w:rsid w:val="00AF2E1B"/>
    <w:rsid w:val="00AF310D"/>
    <w:rsid w:val="00AF3154"/>
    <w:rsid w:val="00AF3487"/>
    <w:rsid w:val="00AF3C47"/>
    <w:rsid w:val="00AF4017"/>
    <w:rsid w:val="00AF4020"/>
    <w:rsid w:val="00AF4307"/>
    <w:rsid w:val="00AF440E"/>
    <w:rsid w:val="00AF4522"/>
    <w:rsid w:val="00AF4977"/>
    <w:rsid w:val="00AF4B2C"/>
    <w:rsid w:val="00AF4CF4"/>
    <w:rsid w:val="00AF4FF9"/>
    <w:rsid w:val="00AF503D"/>
    <w:rsid w:val="00AF50CD"/>
    <w:rsid w:val="00AF5178"/>
    <w:rsid w:val="00AF565A"/>
    <w:rsid w:val="00AF679F"/>
    <w:rsid w:val="00AF6907"/>
    <w:rsid w:val="00AF69C1"/>
    <w:rsid w:val="00AF6C8D"/>
    <w:rsid w:val="00AF78DD"/>
    <w:rsid w:val="00AF7EB5"/>
    <w:rsid w:val="00B0014D"/>
    <w:rsid w:val="00B003D3"/>
    <w:rsid w:val="00B00B78"/>
    <w:rsid w:val="00B015CC"/>
    <w:rsid w:val="00B0163B"/>
    <w:rsid w:val="00B01D18"/>
    <w:rsid w:val="00B01EC3"/>
    <w:rsid w:val="00B01F1B"/>
    <w:rsid w:val="00B02283"/>
    <w:rsid w:val="00B026C4"/>
    <w:rsid w:val="00B02C7F"/>
    <w:rsid w:val="00B02D51"/>
    <w:rsid w:val="00B03B4E"/>
    <w:rsid w:val="00B041DF"/>
    <w:rsid w:val="00B042A7"/>
    <w:rsid w:val="00B043B7"/>
    <w:rsid w:val="00B04618"/>
    <w:rsid w:val="00B04E34"/>
    <w:rsid w:val="00B04E8C"/>
    <w:rsid w:val="00B04FEE"/>
    <w:rsid w:val="00B052B3"/>
    <w:rsid w:val="00B05716"/>
    <w:rsid w:val="00B05B06"/>
    <w:rsid w:val="00B05BC4"/>
    <w:rsid w:val="00B066EE"/>
    <w:rsid w:val="00B06822"/>
    <w:rsid w:val="00B07236"/>
    <w:rsid w:val="00B07600"/>
    <w:rsid w:val="00B10274"/>
    <w:rsid w:val="00B10886"/>
    <w:rsid w:val="00B108E8"/>
    <w:rsid w:val="00B1099E"/>
    <w:rsid w:val="00B109D3"/>
    <w:rsid w:val="00B10CD8"/>
    <w:rsid w:val="00B10CE3"/>
    <w:rsid w:val="00B10F0E"/>
    <w:rsid w:val="00B11542"/>
    <w:rsid w:val="00B1166E"/>
    <w:rsid w:val="00B116E7"/>
    <w:rsid w:val="00B11C79"/>
    <w:rsid w:val="00B11DF9"/>
    <w:rsid w:val="00B11E25"/>
    <w:rsid w:val="00B11EF0"/>
    <w:rsid w:val="00B1209A"/>
    <w:rsid w:val="00B121FC"/>
    <w:rsid w:val="00B125D5"/>
    <w:rsid w:val="00B12725"/>
    <w:rsid w:val="00B12DA8"/>
    <w:rsid w:val="00B132F0"/>
    <w:rsid w:val="00B135D0"/>
    <w:rsid w:val="00B136A1"/>
    <w:rsid w:val="00B13777"/>
    <w:rsid w:val="00B13BCC"/>
    <w:rsid w:val="00B145D1"/>
    <w:rsid w:val="00B1463F"/>
    <w:rsid w:val="00B14CF9"/>
    <w:rsid w:val="00B14E5A"/>
    <w:rsid w:val="00B15064"/>
    <w:rsid w:val="00B15383"/>
    <w:rsid w:val="00B1567F"/>
    <w:rsid w:val="00B158E3"/>
    <w:rsid w:val="00B159C2"/>
    <w:rsid w:val="00B1646E"/>
    <w:rsid w:val="00B1652C"/>
    <w:rsid w:val="00B1656E"/>
    <w:rsid w:val="00B166F3"/>
    <w:rsid w:val="00B1699A"/>
    <w:rsid w:val="00B16B97"/>
    <w:rsid w:val="00B17054"/>
    <w:rsid w:val="00B17077"/>
    <w:rsid w:val="00B17300"/>
    <w:rsid w:val="00B17452"/>
    <w:rsid w:val="00B17660"/>
    <w:rsid w:val="00B17B3D"/>
    <w:rsid w:val="00B17DB4"/>
    <w:rsid w:val="00B2019A"/>
    <w:rsid w:val="00B201C1"/>
    <w:rsid w:val="00B202E2"/>
    <w:rsid w:val="00B20A0D"/>
    <w:rsid w:val="00B21097"/>
    <w:rsid w:val="00B2110C"/>
    <w:rsid w:val="00B2118E"/>
    <w:rsid w:val="00B21B45"/>
    <w:rsid w:val="00B21EE2"/>
    <w:rsid w:val="00B21FDF"/>
    <w:rsid w:val="00B22010"/>
    <w:rsid w:val="00B22243"/>
    <w:rsid w:val="00B22387"/>
    <w:rsid w:val="00B22462"/>
    <w:rsid w:val="00B225BA"/>
    <w:rsid w:val="00B2278D"/>
    <w:rsid w:val="00B2292D"/>
    <w:rsid w:val="00B23509"/>
    <w:rsid w:val="00B237C2"/>
    <w:rsid w:val="00B23A25"/>
    <w:rsid w:val="00B23D68"/>
    <w:rsid w:val="00B23E0B"/>
    <w:rsid w:val="00B243B6"/>
    <w:rsid w:val="00B24509"/>
    <w:rsid w:val="00B247F9"/>
    <w:rsid w:val="00B2530B"/>
    <w:rsid w:val="00B2546E"/>
    <w:rsid w:val="00B2585F"/>
    <w:rsid w:val="00B25ED7"/>
    <w:rsid w:val="00B260DF"/>
    <w:rsid w:val="00B26289"/>
    <w:rsid w:val="00B26433"/>
    <w:rsid w:val="00B2663E"/>
    <w:rsid w:val="00B26662"/>
    <w:rsid w:val="00B26FA5"/>
    <w:rsid w:val="00B2702F"/>
    <w:rsid w:val="00B2706C"/>
    <w:rsid w:val="00B271E2"/>
    <w:rsid w:val="00B27337"/>
    <w:rsid w:val="00B2778A"/>
    <w:rsid w:val="00B27A4E"/>
    <w:rsid w:val="00B30878"/>
    <w:rsid w:val="00B3102E"/>
    <w:rsid w:val="00B3113A"/>
    <w:rsid w:val="00B3182D"/>
    <w:rsid w:val="00B31A29"/>
    <w:rsid w:val="00B31B7C"/>
    <w:rsid w:val="00B31C0E"/>
    <w:rsid w:val="00B321BE"/>
    <w:rsid w:val="00B3230B"/>
    <w:rsid w:val="00B32872"/>
    <w:rsid w:val="00B32BA0"/>
    <w:rsid w:val="00B32CC3"/>
    <w:rsid w:val="00B333A0"/>
    <w:rsid w:val="00B334BC"/>
    <w:rsid w:val="00B335A8"/>
    <w:rsid w:val="00B339B4"/>
    <w:rsid w:val="00B339CB"/>
    <w:rsid w:val="00B33D61"/>
    <w:rsid w:val="00B34052"/>
    <w:rsid w:val="00B3468C"/>
    <w:rsid w:val="00B3473E"/>
    <w:rsid w:val="00B34ED9"/>
    <w:rsid w:val="00B3511A"/>
    <w:rsid w:val="00B357DF"/>
    <w:rsid w:val="00B358CE"/>
    <w:rsid w:val="00B3601D"/>
    <w:rsid w:val="00B3627B"/>
    <w:rsid w:val="00B3645B"/>
    <w:rsid w:val="00B36D05"/>
    <w:rsid w:val="00B36EAE"/>
    <w:rsid w:val="00B37261"/>
    <w:rsid w:val="00B37359"/>
    <w:rsid w:val="00B374F1"/>
    <w:rsid w:val="00B37682"/>
    <w:rsid w:val="00B37C87"/>
    <w:rsid w:val="00B37D8C"/>
    <w:rsid w:val="00B400EC"/>
    <w:rsid w:val="00B40122"/>
    <w:rsid w:val="00B40190"/>
    <w:rsid w:val="00B401BF"/>
    <w:rsid w:val="00B411CC"/>
    <w:rsid w:val="00B41898"/>
    <w:rsid w:val="00B41CA4"/>
    <w:rsid w:val="00B41E04"/>
    <w:rsid w:val="00B41E0B"/>
    <w:rsid w:val="00B4238D"/>
    <w:rsid w:val="00B4262B"/>
    <w:rsid w:val="00B426EB"/>
    <w:rsid w:val="00B42A71"/>
    <w:rsid w:val="00B42C16"/>
    <w:rsid w:val="00B42C9B"/>
    <w:rsid w:val="00B433D9"/>
    <w:rsid w:val="00B437EE"/>
    <w:rsid w:val="00B43B12"/>
    <w:rsid w:val="00B43C35"/>
    <w:rsid w:val="00B43D3A"/>
    <w:rsid w:val="00B43F31"/>
    <w:rsid w:val="00B43FFC"/>
    <w:rsid w:val="00B44929"/>
    <w:rsid w:val="00B4500B"/>
    <w:rsid w:val="00B4545C"/>
    <w:rsid w:val="00B456F8"/>
    <w:rsid w:val="00B459B0"/>
    <w:rsid w:val="00B45D74"/>
    <w:rsid w:val="00B45FDE"/>
    <w:rsid w:val="00B46387"/>
    <w:rsid w:val="00B46418"/>
    <w:rsid w:val="00B46882"/>
    <w:rsid w:val="00B46D06"/>
    <w:rsid w:val="00B46FB3"/>
    <w:rsid w:val="00B477CC"/>
    <w:rsid w:val="00B47DB1"/>
    <w:rsid w:val="00B507DC"/>
    <w:rsid w:val="00B509AA"/>
    <w:rsid w:val="00B50A64"/>
    <w:rsid w:val="00B50CA6"/>
    <w:rsid w:val="00B50EAE"/>
    <w:rsid w:val="00B50FF5"/>
    <w:rsid w:val="00B517E1"/>
    <w:rsid w:val="00B51B2D"/>
    <w:rsid w:val="00B51DF2"/>
    <w:rsid w:val="00B52332"/>
    <w:rsid w:val="00B52532"/>
    <w:rsid w:val="00B5257D"/>
    <w:rsid w:val="00B5258D"/>
    <w:rsid w:val="00B52C24"/>
    <w:rsid w:val="00B52F80"/>
    <w:rsid w:val="00B52FCD"/>
    <w:rsid w:val="00B5303F"/>
    <w:rsid w:val="00B530B2"/>
    <w:rsid w:val="00B53919"/>
    <w:rsid w:val="00B53B0E"/>
    <w:rsid w:val="00B53DB6"/>
    <w:rsid w:val="00B53EEC"/>
    <w:rsid w:val="00B53F55"/>
    <w:rsid w:val="00B53F64"/>
    <w:rsid w:val="00B5419A"/>
    <w:rsid w:val="00B5431C"/>
    <w:rsid w:val="00B54614"/>
    <w:rsid w:val="00B54C6E"/>
    <w:rsid w:val="00B54E55"/>
    <w:rsid w:val="00B553EC"/>
    <w:rsid w:val="00B553F0"/>
    <w:rsid w:val="00B55611"/>
    <w:rsid w:val="00B557AF"/>
    <w:rsid w:val="00B558D0"/>
    <w:rsid w:val="00B5623C"/>
    <w:rsid w:val="00B56319"/>
    <w:rsid w:val="00B56380"/>
    <w:rsid w:val="00B568BB"/>
    <w:rsid w:val="00B56AFE"/>
    <w:rsid w:val="00B56C2F"/>
    <w:rsid w:val="00B5708B"/>
    <w:rsid w:val="00B57326"/>
    <w:rsid w:val="00B57533"/>
    <w:rsid w:val="00B57651"/>
    <w:rsid w:val="00B57ED4"/>
    <w:rsid w:val="00B57FE5"/>
    <w:rsid w:val="00B60119"/>
    <w:rsid w:val="00B6076B"/>
    <w:rsid w:val="00B6107D"/>
    <w:rsid w:val="00B61327"/>
    <w:rsid w:val="00B61564"/>
    <w:rsid w:val="00B615DB"/>
    <w:rsid w:val="00B61A88"/>
    <w:rsid w:val="00B61D53"/>
    <w:rsid w:val="00B61DEB"/>
    <w:rsid w:val="00B6275E"/>
    <w:rsid w:val="00B627B0"/>
    <w:rsid w:val="00B62C67"/>
    <w:rsid w:val="00B62DED"/>
    <w:rsid w:val="00B62EFA"/>
    <w:rsid w:val="00B62F5A"/>
    <w:rsid w:val="00B631E0"/>
    <w:rsid w:val="00B63200"/>
    <w:rsid w:val="00B633F1"/>
    <w:rsid w:val="00B63668"/>
    <w:rsid w:val="00B63699"/>
    <w:rsid w:val="00B637D3"/>
    <w:rsid w:val="00B6393F"/>
    <w:rsid w:val="00B63D91"/>
    <w:rsid w:val="00B63E97"/>
    <w:rsid w:val="00B63F3C"/>
    <w:rsid w:val="00B63FDE"/>
    <w:rsid w:val="00B640BD"/>
    <w:rsid w:val="00B64377"/>
    <w:rsid w:val="00B64642"/>
    <w:rsid w:val="00B64869"/>
    <w:rsid w:val="00B64BBA"/>
    <w:rsid w:val="00B65167"/>
    <w:rsid w:val="00B6559E"/>
    <w:rsid w:val="00B6572A"/>
    <w:rsid w:val="00B659FF"/>
    <w:rsid w:val="00B65B3B"/>
    <w:rsid w:val="00B663AB"/>
    <w:rsid w:val="00B66514"/>
    <w:rsid w:val="00B66565"/>
    <w:rsid w:val="00B6666A"/>
    <w:rsid w:val="00B66C0E"/>
    <w:rsid w:val="00B66C4A"/>
    <w:rsid w:val="00B670FE"/>
    <w:rsid w:val="00B67AE3"/>
    <w:rsid w:val="00B67DB0"/>
    <w:rsid w:val="00B67F7C"/>
    <w:rsid w:val="00B700AB"/>
    <w:rsid w:val="00B7017B"/>
    <w:rsid w:val="00B70C7A"/>
    <w:rsid w:val="00B70E4F"/>
    <w:rsid w:val="00B70F65"/>
    <w:rsid w:val="00B71181"/>
    <w:rsid w:val="00B715A1"/>
    <w:rsid w:val="00B71672"/>
    <w:rsid w:val="00B717CB"/>
    <w:rsid w:val="00B71990"/>
    <w:rsid w:val="00B71B58"/>
    <w:rsid w:val="00B71BE2"/>
    <w:rsid w:val="00B72254"/>
    <w:rsid w:val="00B723EA"/>
    <w:rsid w:val="00B72562"/>
    <w:rsid w:val="00B726F6"/>
    <w:rsid w:val="00B72A01"/>
    <w:rsid w:val="00B73785"/>
    <w:rsid w:val="00B73DA9"/>
    <w:rsid w:val="00B74331"/>
    <w:rsid w:val="00B743AD"/>
    <w:rsid w:val="00B747C2"/>
    <w:rsid w:val="00B7483B"/>
    <w:rsid w:val="00B74B1F"/>
    <w:rsid w:val="00B752E8"/>
    <w:rsid w:val="00B75563"/>
    <w:rsid w:val="00B75827"/>
    <w:rsid w:val="00B75AD3"/>
    <w:rsid w:val="00B76070"/>
    <w:rsid w:val="00B76136"/>
    <w:rsid w:val="00B763BE"/>
    <w:rsid w:val="00B7684C"/>
    <w:rsid w:val="00B76B29"/>
    <w:rsid w:val="00B76CE4"/>
    <w:rsid w:val="00B775B1"/>
    <w:rsid w:val="00B77634"/>
    <w:rsid w:val="00B77DDC"/>
    <w:rsid w:val="00B80433"/>
    <w:rsid w:val="00B80DED"/>
    <w:rsid w:val="00B80E74"/>
    <w:rsid w:val="00B8107A"/>
    <w:rsid w:val="00B810C4"/>
    <w:rsid w:val="00B819CE"/>
    <w:rsid w:val="00B81B83"/>
    <w:rsid w:val="00B81B8C"/>
    <w:rsid w:val="00B8205F"/>
    <w:rsid w:val="00B8213A"/>
    <w:rsid w:val="00B82188"/>
    <w:rsid w:val="00B82E48"/>
    <w:rsid w:val="00B83BD5"/>
    <w:rsid w:val="00B83E38"/>
    <w:rsid w:val="00B83F5E"/>
    <w:rsid w:val="00B8481D"/>
    <w:rsid w:val="00B84A40"/>
    <w:rsid w:val="00B85017"/>
    <w:rsid w:val="00B85B41"/>
    <w:rsid w:val="00B85BB8"/>
    <w:rsid w:val="00B85DC9"/>
    <w:rsid w:val="00B86175"/>
    <w:rsid w:val="00B8671C"/>
    <w:rsid w:val="00B86C7C"/>
    <w:rsid w:val="00B87280"/>
    <w:rsid w:val="00B87375"/>
    <w:rsid w:val="00B902F5"/>
    <w:rsid w:val="00B90341"/>
    <w:rsid w:val="00B905BD"/>
    <w:rsid w:val="00B90C3C"/>
    <w:rsid w:val="00B910DA"/>
    <w:rsid w:val="00B91194"/>
    <w:rsid w:val="00B91208"/>
    <w:rsid w:val="00B915D1"/>
    <w:rsid w:val="00B91ABC"/>
    <w:rsid w:val="00B91B21"/>
    <w:rsid w:val="00B91DAD"/>
    <w:rsid w:val="00B92C38"/>
    <w:rsid w:val="00B92F44"/>
    <w:rsid w:val="00B930A1"/>
    <w:rsid w:val="00B93268"/>
    <w:rsid w:val="00B932A1"/>
    <w:rsid w:val="00B93369"/>
    <w:rsid w:val="00B93416"/>
    <w:rsid w:val="00B9344A"/>
    <w:rsid w:val="00B93B53"/>
    <w:rsid w:val="00B93C4D"/>
    <w:rsid w:val="00B93DE5"/>
    <w:rsid w:val="00B94161"/>
    <w:rsid w:val="00B9468A"/>
    <w:rsid w:val="00B948B1"/>
    <w:rsid w:val="00B94CDB"/>
    <w:rsid w:val="00B94E48"/>
    <w:rsid w:val="00B95159"/>
    <w:rsid w:val="00B953CA"/>
    <w:rsid w:val="00B95A14"/>
    <w:rsid w:val="00B9635E"/>
    <w:rsid w:val="00B96625"/>
    <w:rsid w:val="00B9665D"/>
    <w:rsid w:val="00B966EB"/>
    <w:rsid w:val="00B96FB9"/>
    <w:rsid w:val="00B9726A"/>
    <w:rsid w:val="00BA01EA"/>
    <w:rsid w:val="00BA0A47"/>
    <w:rsid w:val="00BA0C6B"/>
    <w:rsid w:val="00BA0E07"/>
    <w:rsid w:val="00BA0F5B"/>
    <w:rsid w:val="00BA1107"/>
    <w:rsid w:val="00BA1170"/>
    <w:rsid w:val="00BA175E"/>
    <w:rsid w:val="00BA1F12"/>
    <w:rsid w:val="00BA2116"/>
    <w:rsid w:val="00BA2DC0"/>
    <w:rsid w:val="00BA2E96"/>
    <w:rsid w:val="00BA3361"/>
    <w:rsid w:val="00BA46C2"/>
    <w:rsid w:val="00BA4A78"/>
    <w:rsid w:val="00BA51E1"/>
    <w:rsid w:val="00BA57BC"/>
    <w:rsid w:val="00BA59D5"/>
    <w:rsid w:val="00BA5BC4"/>
    <w:rsid w:val="00BA5CAB"/>
    <w:rsid w:val="00BA5E46"/>
    <w:rsid w:val="00BA631D"/>
    <w:rsid w:val="00BA6454"/>
    <w:rsid w:val="00BA6714"/>
    <w:rsid w:val="00BA6718"/>
    <w:rsid w:val="00BA68CA"/>
    <w:rsid w:val="00BA68DC"/>
    <w:rsid w:val="00BA6A1D"/>
    <w:rsid w:val="00BA6EFB"/>
    <w:rsid w:val="00BA70C6"/>
    <w:rsid w:val="00BA7417"/>
    <w:rsid w:val="00BA7557"/>
    <w:rsid w:val="00BA7766"/>
    <w:rsid w:val="00BA799B"/>
    <w:rsid w:val="00BA7B59"/>
    <w:rsid w:val="00BA7D0E"/>
    <w:rsid w:val="00BB029B"/>
    <w:rsid w:val="00BB0894"/>
    <w:rsid w:val="00BB0A8A"/>
    <w:rsid w:val="00BB0B0C"/>
    <w:rsid w:val="00BB0B4A"/>
    <w:rsid w:val="00BB0D05"/>
    <w:rsid w:val="00BB10A9"/>
    <w:rsid w:val="00BB174A"/>
    <w:rsid w:val="00BB175F"/>
    <w:rsid w:val="00BB1ADF"/>
    <w:rsid w:val="00BB1D31"/>
    <w:rsid w:val="00BB23EE"/>
    <w:rsid w:val="00BB2D0A"/>
    <w:rsid w:val="00BB2F6F"/>
    <w:rsid w:val="00BB3A46"/>
    <w:rsid w:val="00BB4636"/>
    <w:rsid w:val="00BB4796"/>
    <w:rsid w:val="00BB4938"/>
    <w:rsid w:val="00BB4999"/>
    <w:rsid w:val="00BB4D47"/>
    <w:rsid w:val="00BB5354"/>
    <w:rsid w:val="00BB54D2"/>
    <w:rsid w:val="00BB56DC"/>
    <w:rsid w:val="00BB5828"/>
    <w:rsid w:val="00BB59E5"/>
    <w:rsid w:val="00BB5A7F"/>
    <w:rsid w:val="00BB5BC9"/>
    <w:rsid w:val="00BB5C2F"/>
    <w:rsid w:val="00BB6147"/>
    <w:rsid w:val="00BB6341"/>
    <w:rsid w:val="00BB688B"/>
    <w:rsid w:val="00BB6D94"/>
    <w:rsid w:val="00BB6DC9"/>
    <w:rsid w:val="00BB70C0"/>
    <w:rsid w:val="00BB73ED"/>
    <w:rsid w:val="00BB7991"/>
    <w:rsid w:val="00BB7B94"/>
    <w:rsid w:val="00BB7C1C"/>
    <w:rsid w:val="00BB7F35"/>
    <w:rsid w:val="00BC0609"/>
    <w:rsid w:val="00BC0979"/>
    <w:rsid w:val="00BC113D"/>
    <w:rsid w:val="00BC1460"/>
    <w:rsid w:val="00BC176E"/>
    <w:rsid w:val="00BC187F"/>
    <w:rsid w:val="00BC18F7"/>
    <w:rsid w:val="00BC19BF"/>
    <w:rsid w:val="00BC1B87"/>
    <w:rsid w:val="00BC1BF3"/>
    <w:rsid w:val="00BC1C99"/>
    <w:rsid w:val="00BC1E98"/>
    <w:rsid w:val="00BC1F7F"/>
    <w:rsid w:val="00BC2011"/>
    <w:rsid w:val="00BC252B"/>
    <w:rsid w:val="00BC2544"/>
    <w:rsid w:val="00BC285E"/>
    <w:rsid w:val="00BC2B0C"/>
    <w:rsid w:val="00BC32F4"/>
    <w:rsid w:val="00BC35E0"/>
    <w:rsid w:val="00BC3CFE"/>
    <w:rsid w:val="00BC3DFC"/>
    <w:rsid w:val="00BC3F42"/>
    <w:rsid w:val="00BC40F0"/>
    <w:rsid w:val="00BC4137"/>
    <w:rsid w:val="00BC43F8"/>
    <w:rsid w:val="00BC476A"/>
    <w:rsid w:val="00BC490B"/>
    <w:rsid w:val="00BC4CE2"/>
    <w:rsid w:val="00BC4D2C"/>
    <w:rsid w:val="00BC4D83"/>
    <w:rsid w:val="00BC5376"/>
    <w:rsid w:val="00BC5599"/>
    <w:rsid w:val="00BC573D"/>
    <w:rsid w:val="00BC5849"/>
    <w:rsid w:val="00BC59FE"/>
    <w:rsid w:val="00BC5A9C"/>
    <w:rsid w:val="00BC5DA8"/>
    <w:rsid w:val="00BC5DBC"/>
    <w:rsid w:val="00BC60D8"/>
    <w:rsid w:val="00BC69AB"/>
    <w:rsid w:val="00BC7455"/>
    <w:rsid w:val="00BC74E5"/>
    <w:rsid w:val="00BC7654"/>
    <w:rsid w:val="00BC770A"/>
    <w:rsid w:val="00BC7852"/>
    <w:rsid w:val="00BD0068"/>
    <w:rsid w:val="00BD0244"/>
    <w:rsid w:val="00BD0474"/>
    <w:rsid w:val="00BD04AF"/>
    <w:rsid w:val="00BD10DE"/>
    <w:rsid w:val="00BD1180"/>
    <w:rsid w:val="00BD151C"/>
    <w:rsid w:val="00BD1538"/>
    <w:rsid w:val="00BD1721"/>
    <w:rsid w:val="00BD1E37"/>
    <w:rsid w:val="00BD1E72"/>
    <w:rsid w:val="00BD2150"/>
    <w:rsid w:val="00BD21B4"/>
    <w:rsid w:val="00BD24CC"/>
    <w:rsid w:val="00BD2520"/>
    <w:rsid w:val="00BD28E7"/>
    <w:rsid w:val="00BD298B"/>
    <w:rsid w:val="00BD2D2C"/>
    <w:rsid w:val="00BD3558"/>
    <w:rsid w:val="00BD39A7"/>
    <w:rsid w:val="00BD3BE5"/>
    <w:rsid w:val="00BD3EA5"/>
    <w:rsid w:val="00BD4046"/>
    <w:rsid w:val="00BD481D"/>
    <w:rsid w:val="00BD4922"/>
    <w:rsid w:val="00BD4DE6"/>
    <w:rsid w:val="00BD5190"/>
    <w:rsid w:val="00BD533E"/>
    <w:rsid w:val="00BD5348"/>
    <w:rsid w:val="00BD5545"/>
    <w:rsid w:val="00BD55FC"/>
    <w:rsid w:val="00BD568F"/>
    <w:rsid w:val="00BD56D1"/>
    <w:rsid w:val="00BD5D68"/>
    <w:rsid w:val="00BD600B"/>
    <w:rsid w:val="00BD62FE"/>
    <w:rsid w:val="00BD63F9"/>
    <w:rsid w:val="00BD6DCC"/>
    <w:rsid w:val="00BD718F"/>
    <w:rsid w:val="00BD7446"/>
    <w:rsid w:val="00BD7569"/>
    <w:rsid w:val="00BD75FD"/>
    <w:rsid w:val="00BD7A03"/>
    <w:rsid w:val="00BE022F"/>
    <w:rsid w:val="00BE03CC"/>
    <w:rsid w:val="00BE115D"/>
    <w:rsid w:val="00BE15E8"/>
    <w:rsid w:val="00BE1852"/>
    <w:rsid w:val="00BE1AB9"/>
    <w:rsid w:val="00BE1B6E"/>
    <w:rsid w:val="00BE1D22"/>
    <w:rsid w:val="00BE1E63"/>
    <w:rsid w:val="00BE1F31"/>
    <w:rsid w:val="00BE1FEB"/>
    <w:rsid w:val="00BE2316"/>
    <w:rsid w:val="00BE2836"/>
    <w:rsid w:val="00BE2AE9"/>
    <w:rsid w:val="00BE372A"/>
    <w:rsid w:val="00BE396C"/>
    <w:rsid w:val="00BE39EC"/>
    <w:rsid w:val="00BE3B4E"/>
    <w:rsid w:val="00BE3F43"/>
    <w:rsid w:val="00BE3FC3"/>
    <w:rsid w:val="00BE4F19"/>
    <w:rsid w:val="00BE52F8"/>
    <w:rsid w:val="00BE55E8"/>
    <w:rsid w:val="00BE5683"/>
    <w:rsid w:val="00BE5866"/>
    <w:rsid w:val="00BE592C"/>
    <w:rsid w:val="00BE5A27"/>
    <w:rsid w:val="00BE5B81"/>
    <w:rsid w:val="00BE5BBB"/>
    <w:rsid w:val="00BE606F"/>
    <w:rsid w:val="00BE612E"/>
    <w:rsid w:val="00BE6380"/>
    <w:rsid w:val="00BE6742"/>
    <w:rsid w:val="00BE6C3B"/>
    <w:rsid w:val="00BE6EE0"/>
    <w:rsid w:val="00BE70B9"/>
    <w:rsid w:val="00BE748C"/>
    <w:rsid w:val="00BF0437"/>
    <w:rsid w:val="00BF0555"/>
    <w:rsid w:val="00BF06E7"/>
    <w:rsid w:val="00BF0A58"/>
    <w:rsid w:val="00BF0BF0"/>
    <w:rsid w:val="00BF0CA0"/>
    <w:rsid w:val="00BF0FF3"/>
    <w:rsid w:val="00BF1053"/>
    <w:rsid w:val="00BF1226"/>
    <w:rsid w:val="00BF14C8"/>
    <w:rsid w:val="00BF1848"/>
    <w:rsid w:val="00BF1A58"/>
    <w:rsid w:val="00BF1B38"/>
    <w:rsid w:val="00BF1D97"/>
    <w:rsid w:val="00BF235C"/>
    <w:rsid w:val="00BF23E6"/>
    <w:rsid w:val="00BF246B"/>
    <w:rsid w:val="00BF2671"/>
    <w:rsid w:val="00BF2D18"/>
    <w:rsid w:val="00BF3275"/>
    <w:rsid w:val="00BF368F"/>
    <w:rsid w:val="00BF3B79"/>
    <w:rsid w:val="00BF4301"/>
    <w:rsid w:val="00BF4728"/>
    <w:rsid w:val="00BF47F1"/>
    <w:rsid w:val="00BF49B5"/>
    <w:rsid w:val="00BF4AE2"/>
    <w:rsid w:val="00BF50B4"/>
    <w:rsid w:val="00BF5394"/>
    <w:rsid w:val="00BF556E"/>
    <w:rsid w:val="00BF55CF"/>
    <w:rsid w:val="00BF56EE"/>
    <w:rsid w:val="00BF575A"/>
    <w:rsid w:val="00BF5A41"/>
    <w:rsid w:val="00BF5ACA"/>
    <w:rsid w:val="00BF5AEF"/>
    <w:rsid w:val="00BF606F"/>
    <w:rsid w:val="00BF6131"/>
    <w:rsid w:val="00BF621D"/>
    <w:rsid w:val="00BF68B1"/>
    <w:rsid w:val="00BF72EC"/>
    <w:rsid w:val="00BF7B81"/>
    <w:rsid w:val="00BF7DB9"/>
    <w:rsid w:val="00C000AE"/>
    <w:rsid w:val="00C00363"/>
    <w:rsid w:val="00C0038F"/>
    <w:rsid w:val="00C00589"/>
    <w:rsid w:val="00C00661"/>
    <w:rsid w:val="00C00F11"/>
    <w:rsid w:val="00C00FDD"/>
    <w:rsid w:val="00C0154A"/>
    <w:rsid w:val="00C0169A"/>
    <w:rsid w:val="00C01C22"/>
    <w:rsid w:val="00C01CA6"/>
    <w:rsid w:val="00C01F31"/>
    <w:rsid w:val="00C02098"/>
    <w:rsid w:val="00C024E7"/>
    <w:rsid w:val="00C02C4B"/>
    <w:rsid w:val="00C02EF7"/>
    <w:rsid w:val="00C03400"/>
    <w:rsid w:val="00C0347F"/>
    <w:rsid w:val="00C034AD"/>
    <w:rsid w:val="00C03515"/>
    <w:rsid w:val="00C03571"/>
    <w:rsid w:val="00C035CE"/>
    <w:rsid w:val="00C0418F"/>
    <w:rsid w:val="00C04196"/>
    <w:rsid w:val="00C043AB"/>
    <w:rsid w:val="00C04581"/>
    <w:rsid w:val="00C047CD"/>
    <w:rsid w:val="00C04D7F"/>
    <w:rsid w:val="00C04F59"/>
    <w:rsid w:val="00C054D6"/>
    <w:rsid w:val="00C05552"/>
    <w:rsid w:val="00C05756"/>
    <w:rsid w:val="00C05F0A"/>
    <w:rsid w:val="00C06F1E"/>
    <w:rsid w:val="00C07355"/>
    <w:rsid w:val="00C073F6"/>
    <w:rsid w:val="00C07451"/>
    <w:rsid w:val="00C0785D"/>
    <w:rsid w:val="00C0787E"/>
    <w:rsid w:val="00C078E0"/>
    <w:rsid w:val="00C07A64"/>
    <w:rsid w:val="00C07A6A"/>
    <w:rsid w:val="00C07EE9"/>
    <w:rsid w:val="00C10044"/>
    <w:rsid w:val="00C100D1"/>
    <w:rsid w:val="00C101DC"/>
    <w:rsid w:val="00C10496"/>
    <w:rsid w:val="00C10C2F"/>
    <w:rsid w:val="00C10F42"/>
    <w:rsid w:val="00C111F5"/>
    <w:rsid w:val="00C11274"/>
    <w:rsid w:val="00C114AD"/>
    <w:rsid w:val="00C1156D"/>
    <w:rsid w:val="00C117B1"/>
    <w:rsid w:val="00C11FB0"/>
    <w:rsid w:val="00C12054"/>
    <w:rsid w:val="00C12112"/>
    <w:rsid w:val="00C1221E"/>
    <w:rsid w:val="00C12267"/>
    <w:rsid w:val="00C1245C"/>
    <w:rsid w:val="00C128F2"/>
    <w:rsid w:val="00C12A72"/>
    <w:rsid w:val="00C12BDB"/>
    <w:rsid w:val="00C12CBA"/>
    <w:rsid w:val="00C12CF9"/>
    <w:rsid w:val="00C1315A"/>
    <w:rsid w:val="00C13431"/>
    <w:rsid w:val="00C13881"/>
    <w:rsid w:val="00C13955"/>
    <w:rsid w:val="00C13B9B"/>
    <w:rsid w:val="00C14550"/>
    <w:rsid w:val="00C1468D"/>
    <w:rsid w:val="00C14AEF"/>
    <w:rsid w:val="00C158E0"/>
    <w:rsid w:val="00C15A2D"/>
    <w:rsid w:val="00C15BCB"/>
    <w:rsid w:val="00C15F20"/>
    <w:rsid w:val="00C162CE"/>
    <w:rsid w:val="00C1666C"/>
    <w:rsid w:val="00C166AC"/>
    <w:rsid w:val="00C16AE6"/>
    <w:rsid w:val="00C16FDE"/>
    <w:rsid w:val="00C17493"/>
    <w:rsid w:val="00C20047"/>
    <w:rsid w:val="00C203BC"/>
    <w:rsid w:val="00C20510"/>
    <w:rsid w:val="00C2057D"/>
    <w:rsid w:val="00C20B05"/>
    <w:rsid w:val="00C20EEF"/>
    <w:rsid w:val="00C2153F"/>
    <w:rsid w:val="00C226F6"/>
    <w:rsid w:val="00C22BFB"/>
    <w:rsid w:val="00C2337F"/>
    <w:rsid w:val="00C234D1"/>
    <w:rsid w:val="00C23834"/>
    <w:rsid w:val="00C2388A"/>
    <w:rsid w:val="00C2396A"/>
    <w:rsid w:val="00C23ADA"/>
    <w:rsid w:val="00C2449C"/>
    <w:rsid w:val="00C24549"/>
    <w:rsid w:val="00C24858"/>
    <w:rsid w:val="00C2542E"/>
    <w:rsid w:val="00C25B4C"/>
    <w:rsid w:val="00C25C87"/>
    <w:rsid w:val="00C25DD9"/>
    <w:rsid w:val="00C25DE4"/>
    <w:rsid w:val="00C25F91"/>
    <w:rsid w:val="00C26181"/>
    <w:rsid w:val="00C26860"/>
    <w:rsid w:val="00C269F3"/>
    <w:rsid w:val="00C26AC4"/>
    <w:rsid w:val="00C26B4B"/>
    <w:rsid w:val="00C26C88"/>
    <w:rsid w:val="00C2705A"/>
    <w:rsid w:val="00C27093"/>
    <w:rsid w:val="00C270F8"/>
    <w:rsid w:val="00C27216"/>
    <w:rsid w:val="00C27692"/>
    <w:rsid w:val="00C277E4"/>
    <w:rsid w:val="00C27B20"/>
    <w:rsid w:val="00C303CD"/>
    <w:rsid w:val="00C307F1"/>
    <w:rsid w:val="00C30E73"/>
    <w:rsid w:val="00C3101B"/>
    <w:rsid w:val="00C310FC"/>
    <w:rsid w:val="00C31228"/>
    <w:rsid w:val="00C3130A"/>
    <w:rsid w:val="00C31750"/>
    <w:rsid w:val="00C317C9"/>
    <w:rsid w:val="00C31F55"/>
    <w:rsid w:val="00C320EB"/>
    <w:rsid w:val="00C3249B"/>
    <w:rsid w:val="00C324BC"/>
    <w:rsid w:val="00C32BE9"/>
    <w:rsid w:val="00C32C15"/>
    <w:rsid w:val="00C32D51"/>
    <w:rsid w:val="00C32D80"/>
    <w:rsid w:val="00C32DBB"/>
    <w:rsid w:val="00C32EE1"/>
    <w:rsid w:val="00C332DF"/>
    <w:rsid w:val="00C33304"/>
    <w:rsid w:val="00C33564"/>
    <w:rsid w:val="00C335CC"/>
    <w:rsid w:val="00C3386C"/>
    <w:rsid w:val="00C3398B"/>
    <w:rsid w:val="00C33D82"/>
    <w:rsid w:val="00C342AA"/>
    <w:rsid w:val="00C344E5"/>
    <w:rsid w:val="00C3481B"/>
    <w:rsid w:val="00C34A2E"/>
    <w:rsid w:val="00C34A72"/>
    <w:rsid w:val="00C34FEF"/>
    <w:rsid w:val="00C352FA"/>
    <w:rsid w:val="00C3552C"/>
    <w:rsid w:val="00C35B1E"/>
    <w:rsid w:val="00C35C36"/>
    <w:rsid w:val="00C35F0A"/>
    <w:rsid w:val="00C35FB4"/>
    <w:rsid w:val="00C3605D"/>
    <w:rsid w:val="00C360CB"/>
    <w:rsid w:val="00C3630E"/>
    <w:rsid w:val="00C36770"/>
    <w:rsid w:val="00C36C16"/>
    <w:rsid w:val="00C37644"/>
    <w:rsid w:val="00C37709"/>
    <w:rsid w:val="00C37B1D"/>
    <w:rsid w:val="00C403DF"/>
    <w:rsid w:val="00C40402"/>
    <w:rsid w:val="00C405FE"/>
    <w:rsid w:val="00C4077F"/>
    <w:rsid w:val="00C407F0"/>
    <w:rsid w:val="00C40EC9"/>
    <w:rsid w:val="00C41062"/>
    <w:rsid w:val="00C410A9"/>
    <w:rsid w:val="00C414F2"/>
    <w:rsid w:val="00C41C5B"/>
    <w:rsid w:val="00C41D33"/>
    <w:rsid w:val="00C41D3E"/>
    <w:rsid w:val="00C41F39"/>
    <w:rsid w:val="00C42749"/>
    <w:rsid w:val="00C43087"/>
    <w:rsid w:val="00C430E6"/>
    <w:rsid w:val="00C43581"/>
    <w:rsid w:val="00C43F73"/>
    <w:rsid w:val="00C4450E"/>
    <w:rsid w:val="00C445BA"/>
    <w:rsid w:val="00C458A7"/>
    <w:rsid w:val="00C45AAE"/>
    <w:rsid w:val="00C45E79"/>
    <w:rsid w:val="00C45EDC"/>
    <w:rsid w:val="00C45FA0"/>
    <w:rsid w:val="00C46393"/>
    <w:rsid w:val="00C471D5"/>
    <w:rsid w:val="00C47271"/>
    <w:rsid w:val="00C47569"/>
    <w:rsid w:val="00C47B02"/>
    <w:rsid w:val="00C50080"/>
    <w:rsid w:val="00C5031B"/>
    <w:rsid w:val="00C5042C"/>
    <w:rsid w:val="00C506A1"/>
    <w:rsid w:val="00C5070E"/>
    <w:rsid w:val="00C50717"/>
    <w:rsid w:val="00C50B65"/>
    <w:rsid w:val="00C51751"/>
    <w:rsid w:val="00C51753"/>
    <w:rsid w:val="00C5199B"/>
    <w:rsid w:val="00C51A6C"/>
    <w:rsid w:val="00C51B79"/>
    <w:rsid w:val="00C51FC7"/>
    <w:rsid w:val="00C52A85"/>
    <w:rsid w:val="00C52ABB"/>
    <w:rsid w:val="00C52B6E"/>
    <w:rsid w:val="00C52F1D"/>
    <w:rsid w:val="00C532AE"/>
    <w:rsid w:val="00C53314"/>
    <w:rsid w:val="00C535F7"/>
    <w:rsid w:val="00C53677"/>
    <w:rsid w:val="00C53EB0"/>
    <w:rsid w:val="00C53EDE"/>
    <w:rsid w:val="00C53FC7"/>
    <w:rsid w:val="00C54797"/>
    <w:rsid w:val="00C54B8D"/>
    <w:rsid w:val="00C54D46"/>
    <w:rsid w:val="00C54E03"/>
    <w:rsid w:val="00C552CB"/>
    <w:rsid w:val="00C55759"/>
    <w:rsid w:val="00C5591A"/>
    <w:rsid w:val="00C559DE"/>
    <w:rsid w:val="00C55B5E"/>
    <w:rsid w:val="00C55E59"/>
    <w:rsid w:val="00C55E6C"/>
    <w:rsid w:val="00C56281"/>
    <w:rsid w:val="00C564A0"/>
    <w:rsid w:val="00C56576"/>
    <w:rsid w:val="00C56B4D"/>
    <w:rsid w:val="00C571D9"/>
    <w:rsid w:val="00C5762A"/>
    <w:rsid w:val="00C57AEF"/>
    <w:rsid w:val="00C57C0D"/>
    <w:rsid w:val="00C608B4"/>
    <w:rsid w:val="00C60A5D"/>
    <w:rsid w:val="00C60B6C"/>
    <w:rsid w:val="00C60BC1"/>
    <w:rsid w:val="00C60E4F"/>
    <w:rsid w:val="00C611A0"/>
    <w:rsid w:val="00C612D1"/>
    <w:rsid w:val="00C6134A"/>
    <w:rsid w:val="00C616FC"/>
    <w:rsid w:val="00C62063"/>
    <w:rsid w:val="00C62245"/>
    <w:rsid w:val="00C62372"/>
    <w:rsid w:val="00C6247B"/>
    <w:rsid w:val="00C625E8"/>
    <w:rsid w:val="00C62651"/>
    <w:rsid w:val="00C6283C"/>
    <w:rsid w:val="00C62F97"/>
    <w:rsid w:val="00C6315B"/>
    <w:rsid w:val="00C63451"/>
    <w:rsid w:val="00C638EB"/>
    <w:rsid w:val="00C639BA"/>
    <w:rsid w:val="00C639CB"/>
    <w:rsid w:val="00C63D48"/>
    <w:rsid w:val="00C63FBE"/>
    <w:rsid w:val="00C640BF"/>
    <w:rsid w:val="00C64179"/>
    <w:rsid w:val="00C642F7"/>
    <w:rsid w:val="00C6443C"/>
    <w:rsid w:val="00C644E7"/>
    <w:rsid w:val="00C64623"/>
    <w:rsid w:val="00C649FB"/>
    <w:rsid w:val="00C64F51"/>
    <w:rsid w:val="00C64FB7"/>
    <w:rsid w:val="00C65248"/>
    <w:rsid w:val="00C6555B"/>
    <w:rsid w:val="00C65D7E"/>
    <w:rsid w:val="00C65DA5"/>
    <w:rsid w:val="00C65E9E"/>
    <w:rsid w:val="00C66128"/>
    <w:rsid w:val="00C661CC"/>
    <w:rsid w:val="00C6623E"/>
    <w:rsid w:val="00C666B9"/>
    <w:rsid w:val="00C66751"/>
    <w:rsid w:val="00C667B8"/>
    <w:rsid w:val="00C66C57"/>
    <w:rsid w:val="00C66D4C"/>
    <w:rsid w:val="00C6719A"/>
    <w:rsid w:val="00C67A4B"/>
    <w:rsid w:val="00C67B47"/>
    <w:rsid w:val="00C67FF0"/>
    <w:rsid w:val="00C703A8"/>
    <w:rsid w:val="00C703FB"/>
    <w:rsid w:val="00C70413"/>
    <w:rsid w:val="00C7118A"/>
    <w:rsid w:val="00C711D2"/>
    <w:rsid w:val="00C7186D"/>
    <w:rsid w:val="00C71AF1"/>
    <w:rsid w:val="00C71E6F"/>
    <w:rsid w:val="00C725A9"/>
    <w:rsid w:val="00C72B21"/>
    <w:rsid w:val="00C73346"/>
    <w:rsid w:val="00C7339A"/>
    <w:rsid w:val="00C73B46"/>
    <w:rsid w:val="00C74221"/>
    <w:rsid w:val="00C74322"/>
    <w:rsid w:val="00C74427"/>
    <w:rsid w:val="00C74A90"/>
    <w:rsid w:val="00C757F6"/>
    <w:rsid w:val="00C7581B"/>
    <w:rsid w:val="00C76381"/>
    <w:rsid w:val="00C76563"/>
    <w:rsid w:val="00C76836"/>
    <w:rsid w:val="00C768A0"/>
    <w:rsid w:val="00C76B36"/>
    <w:rsid w:val="00C77845"/>
    <w:rsid w:val="00C77904"/>
    <w:rsid w:val="00C77B5D"/>
    <w:rsid w:val="00C77C68"/>
    <w:rsid w:val="00C77D1B"/>
    <w:rsid w:val="00C80851"/>
    <w:rsid w:val="00C818EB"/>
    <w:rsid w:val="00C81AC6"/>
    <w:rsid w:val="00C8200C"/>
    <w:rsid w:val="00C825F1"/>
    <w:rsid w:val="00C82ABB"/>
    <w:rsid w:val="00C82D4D"/>
    <w:rsid w:val="00C82DB6"/>
    <w:rsid w:val="00C83008"/>
    <w:rsid w:val="00C83641"/>
    <w:rsid w:val="00C83DAC"/>
    <w:rsid w:val="00C842CE"/>
    <w:rsid w:val="00C84F2B"/>
    <w:rsid w:val="00C85150"/>
    <w:rsid w:val="00C851CE"/>
    <w:rsid w:val="00C856EC"/>
    <w:rsid w:val="00C85C1C"/>
    <w:rsid w:val="00C85D7B"/>
    <w:rsid w:val="00C86149"/>
    <w:rsid w:val="00C86599"/>
    <w:rsid w:val="00C86866"/>
    <w:rsid w:val="00C86B30"/>
    <w:rsid w:val="00C877B4"/>
    <w:rsid w:val="00C87FFC"/>
    <w:rsid w:val="00C90190"/>
    <w:rsid w:val="00C90B53"/>
    <w:rsid w:val="00C90D90"/>
    <w:rsid w:val="00C912D6"/>
    <w:rsid w:val="00C913A8"/>
    <w:rsid w:val="00C91808"/>
    <w:rsid w:val="00C91D3D"/>
    <w:rsid w:val="00C91D4A"/>
    <w:rsid w:val="00C91F71"/>
    <w:rsid w:val="00C922B5"/>
    <w:rsid w:val="00C92481"/>
    <w:rsid w:val="00C928DB"/>
    <w:rsid w:val="00C92C2C"/>
    <w:rsid w:val="00C92CFF"/>
    <w:rsid w:val="00C93872"/>
    <w:rsid w:val="00C938F5"/>
    <w:rsid w:val="00C9395D"/>
    <w:rsid w:val="00C94205"/>
    <w:rsid w:val="00C9422E"/>
    <w:rsid w:val="00C94922"/>
    <w:rsid w:val="00C949D3"/>
    <w:rsid w:val="00C95017"/>
    <w:rsid w:val="00C951CB"/>
    <w:rsid w:val="00C95591"/>
    <w:rsid w:val="00C95609"/>
    <w:rsid w:val="00C956E1"/>
    <w:rsid w:val="00C958A2"/>
    <w:rsid w:val="00C95AAD"/>
    <w:rsid w:val="00C95C12"/>
    <w:rsid w:val="00C95FF3"/>
    <w:rsid w:val="00C96121"/>
    <w:rsid w:val="00C96858"/>
    <w:rsid w:val="00C96999"/>
    <w:rsid w:val="00C97517"/>
    <w:rsid w:val="00C97810"/>
    <w:rsid w:val="00C97A30"/>
    <w:rsid w:val="00C97BCB"/>
    <w:rsid w:val="00C97D4F"/>
    <w:rsid w:val="00CA0149"/>
    <w:rsid w:val="00CA0391"/>
    <w:rsid w:val="00CA083F"/>
    <w:rsid w:val="00CA0A07"/>
    <w:rsid w:val="00CA0C6A"/>
    <w:rsid w:val="00CA1910"/>
    <w:rsid w:val="00CA19C9"/>
    <w:rsid w:val="00CA1E41"/>
    <w:rsid w:val="00CA2386"/>
    <w:rsid w:val="00CA2BAB"/>
    <w:rsid w:val="00CA2C94"/>
    <w:rsid w:val="00CA2D3A"/>
    <w:rsid w:val="00CA3063"/>
    <w:rsid w:val="00CA39CC"/>
    <w:rsid w:val="00CA3ACD"/>
    <w:rsid w:val="00CA3AFE"/>
    <w:rsid w:val="00CA3FB1"/>
    <w:rsid w:val="00CA4112"/>
    <w:rsid w:val="00CA42CB"/>
    <w:rsid w:val="00CA4470"/>
    <w:rsid w:val="00CA4752"/>
    <w:rsid w:val="00CA497C"/>
    <w:rsid w:val="00CA4F10"/>
    <w:rsid w:val="00CA56DE"/>
    <w:rsid w:val="00CA5959"/>
    <w:rsid w:val="00CA5B13"/>
    <w:rsid w:val="00CA5C16"/>
    <w:rsid w:val="00CA5C76"/>
    <w:rsid w:val="00CA5EA8"/>
    <w:rsid w:val="00CA5F5C"/>
    <w:rsid w:val="00CA6A7A"/>
    <w:rsid w:val="00CA73B9"/>
    <w:rsid w:val="00CA73D4"/>
    <w:rsid w:val="00CA78E7"/>
    <w:rsid w:val="00CA7AE8"/>
    <w:rsid w:val="00CB10F9"/>
    <w:rsid w:val="00CB13F6"/>
    <w:rsid w:val="00CB148A"/>
    <w:rsid w:val="00CB189F"/>
    <w:rsid w:val="00CB19AC"/>
    <w:rsid w:val="00CB1B0E"/>
    <w:rsid w:val="00CB1D6E"/>
    <w:rsid w:val="00CB22FD"/>
    <w:rsid w:val="00CB2392"/>
    <w:rsid w:val="00CB248E"/>
    <w:rsid w:val="00CB2671"/>
    <w:rsid w:val="00CB2865"/>
    <w:rsid w:val="00CB2AD0"/>
    <w:rsid w:val="00CB2E51"/>
    <w:rsid w:val="00CB31A0"/>
    <w:rsid w:val="00CB325D"/>
    <w:rsid w:val="00CB3848"/>
    <w:rsid w:val="00CB3872"/>
    <w:rsid w:val="00CB3AEE"/>
    <w:rsid w:val="00CB3D20"/>
    <w:rsid w:val="00CB4121"/>
    <w:rsid w:val="00CB42AD"/>
    <w:rsid w:val="00CB4567"/>
    <w:rsid w:val="00CB4B66"/>
    <w:rsid w:val="00CB4BB7"/>
    <w:rsid w:val="00CB527E"/>
    <w:rsid w:val="00CB57A7"/>
    <w:rsid w:val="00CB5A85"/>
    <w:rsid w:val="00CB5BE8"/>
    <w:rsid w:val="00CB5FA5"/>
    <w:rsid w:val="00CB61A2"/>
    <w:rsid w:val="00CB6246"/>
    <w:rsid w:val="00CB6715"/>
    <w:rsid w:val="00CB67EB"/>
    <w:rsid w:val="00CB689A"/>
    <w:rsid w:val="00CB6E08"/>
    <w:rsid w:val="00CB6E78"/>
    <w:rsid w:val="00CB6FE9"/>
    <w:rsid w:val="00CB75D2"/>
    <w:rsid w:val="00CB7C65"/>
    <w:rsid w:val="00CC0181"/>
    <w:rsid w:val="00CC02C8"/>
    <w:rsid w:val="00CC0839"/>
    <w:rsid w:val="00CC08A2"/>
    <w:rsid w:val="00CC1E32"/>
    <w:rsid w:val="00CC1F7F"/>
    <w:rsid w:val="00CC21E9"/>
    <w:rsid w:val="00CC279B"/>
    <w:rsid w:val="00CC28C4"/>
    <w:rsid w:val="00CC2931"/>
    <w:rsid w:val="00CC2956"/>
    <w:rsid w:val="00CC2B63"/>
    <w:rsid w:val="00CC2EB8"/>
    <w:rsid w:val="00CC3014"/>
    <w:rsid w:val="00CC30D1"/>
    <w:rsid w:val="00CC3103"/>
    <w:rsid w:val="00CC351D"/>
    <w:rsid w:val="00CC360F"/>
    <w:rsid w:val="00CC3CCD"/>
    <w:rsid w:val="00CC3E64"/>
    <w:rsid w:val="00CC45DB"/>
    <w:rsid w:val="00CC4793"/>
    <w:rsid w:val="00CC494D"/>
    <w:rsid w:val="00CC4A9C"/>
    <w:rsid w:val="00CC4D8C"/>
    <w:rsid w:val="00CC4E0A"/>
    <w:rsid w:val="00CC564E"/>
    <w:rsid w:val="00CC58C3"/>
    <w:rsid w:val="00CC62B7"/>
    <w:rsid w:val="00CC6AEA"/>
    <w:rsid w:val="00CC6C5B"/>
    <w:rsid w:val="00CC6D86"/>
    <w:rsid w:val="00CC70E5"/>
    <w:rsid w:val="00CC72D4"/>
    <w:rsid w:val="00CC72E1"/>
    <w:rsid w:val="00CC7B0C"/>
    <w:rsid w:val="00CC7B84"/>
    <w:rsid w:val="00CC7CD9"/>
    <w:rsid w:val="00CC7FA4"/>
    <w:rsid w:val="00CD0373"/>
    <w:rsid w:val="00CD0834"/>
    <w:rsid w:val="00CD0A61"/>
    <w:rsid w:val="00CD0FC3"/>
    <w:rsid w:val="00CD1B3F"/>
    <w:rsid w:val="00CD1DD5"/>
    <w:rsid w:val="00CD1DE8"/>
    <w:rsid w:val="00CD1E9B"/>
    <w:rsid w:val="00CD25DB"/>
    <w:rsid w:val="00CD2C63"/>
    <w:rsid w:val="00CD2CFA"/>
    <w:rsid w:val="00CD2E4E"/>
    <w:rsid w:val="00CD3210"/>
    <w:rsid w:val="00CD38D0"/>
    <w:rsid w:val="00CD401F"/>
    <w:rsid w:val="00CD40C7"/>
    <w:rsid w:val="00CD42CE"/>
    <w:rsid w:val="00CD447D"/>
    <w:rsid w:val="00CD4862"/>
    <w:rsid w:val="00CD48B9"/>
    <w:rsid w:val="00CD4FA3"/>
    <w:rsid w:val="00CD5185"/>
    <w:rsid w:val="00CD571D"/>
    <w:rsid w:val="00CD6075"/>
    <w:rsid w:val="00CD6BC2"/>
    <w:rsid w:val="00CD6E05"/>
    <w:rsid w:val="00CD6FDC"/>
    <w:rsid w:val="00CD7900"/>
    <w:rsid w:val="00CD7B3A"/>
    <w:rsid w:val="00CE0076"/>
    <w:rsid w:val="00CE00B8"/>
    <w:rsid w:val="00CE0178"/>
    <w:rsid w:val="00CE03BB"/>
    <w:rsid w:val="00CE0426"/>
    <w:rsid w:val="00CE0690"/>
    <w:rsid w:val="00CE0BD1"/>
    <w:rsid w:val="00CE0BE4"/>
    <w:rsid w:val="00CE1270"/>
    <w:rsid w:val="00CE1325"/>
    <w:rsid w:val="00CE146A"/>
    <w:rsid w:val="00CE1CB1"/>
    <w:rsid w:val="00CE1E2B"/>
    <w:rsid w:val="00CE23E5"/>
    <w:rsid w:val="00CE2774"/>
    <w:rsid w:val="00CE2C84"/>
    <w:rsid w:val="00CE30B6"/>
    <w:rsid w:val="00CE321D"/>
    <w:rsid w:val="00CE36B0"/>
    <w:rsid w:val="00CE37B9"/>
    <w:rsid w:val="00CE3901"/>
    <w:rsid w:val="00CE3AEE"/>
    <w:rsid w:val="00CE3EB5"/>
    <w:rsid w:val="00CE3F4C"/>
    <w:rsid w:val="00CE3F9A"/>
    <w:rsid w:val="00CE4365"/>
    <w:rsid w:val="00CE4E34"/>
    <w:rsid w:val="00CE55A6"/>
    <w:rsid w:val="00CE568A"/>
    <w:rsid w:val="00CE5D6F"/>
    <w:rsid w:val="00CE630A"/>
    <w:rsid w:val="00CE6695"/>
    <w:rsid w:val="00CE6864"/>
    <w:rsid w:val="00CE69F0"/>
    <w:rsid w:val="00CE719D"/>
    <w:rsid w:val="00CE7416"/>
    <w:rsid w:val="00CE7BF6"/>
    <w:rsid w:val="00CF0C31"/>
    <w:rsid w:val="00CF0C68"/>
    <w:rsid w:val="00CF0E84"/>
    <w:rsid w:val="00CF0F87"/>
    <w:rsid w:val="00CF11EE"/>
    <w:rsid w:val="00CF1510"/>
    <w:rsid w:val="00CF16BB"/>
    <w:rsid w:val="00CF1A39"/>
    <w:rsid w:val="00CF1A40"/>
    <w:rsid w:val="00CF2090"/>
    <w:rsid w:val="00CF2127"/>
    <w:rsid w:val="00CF2302"/>
    <w:rsid w:val="00CF242B"/>
    <w:rsid w:val="00CF267E"/>
    <w:rsid w:val="00CF2DB4"/>
    <w:rsid w:val="00CF32C0"/>
    <w:rsid w:val="00CF34C5"/>
    <w:rsid w:val="00CF35FC"/>
    <w:rsid w:val="00CF3630"/>
    <w:rsid w:val="00CF3DF8"/>
    <w:rsid w:val="00CF3E98"/>
    <w:rsid w:val="00CF3EDA"/>
    <w:rsid w:val="00CF43C0"/>
    <w:rsid w:val="00CF44D4"/>
    <w:rsid w:val="00CF44E3"/>
    <w:rsid w:val="00CF4727"/>
    <w:rsid w:val="00CF48F0"/>
    <w:rsid w:val="00CF4AE2"/>
    <w:rsid w:val="00CF546F"/>
    <w:rsid w:val="00CF54BE"/>
    <w:rsid w:val="00CF5CB5"/>
    <w:rsid w:val="00CF5D3D"/>
    <w:rsid w:val="00CF5E81"/>
    <w:rsid w:val="00CF6063"/>
    <w:rsid w:val="00CF60AC"/>
    <w:rsid w:val="00CF634F"/>
    <w:rsid w:val="00CF6935"/>
    <w:rsid w:val="00CF6BC6"/>
    <w:rsid w:val="00CF6CBB"/>
    <w:rsid w:val="00CF6F76"/>
    <w:rsid w:val="00CF73E8"/>
    <w:rsid w:val="00CF7444"/>
    <w:rsid w:val="00CF756B"/>
    <w:rsid w:val="00CF7689"/>
    <w:rsid w:val="00CF7C68"/>
    <w:rsid w:val="00CF7ECA"/>
    <w:rsid w:val="00CF7FCF"/>
    <w:rsid w:val="00CF7FEF"/>
    <w:rsid w:val="00D0037C"/>
    <w:rsid w:val="00D00467"/>
    <w:rsid w:val="00D0079A"/>
    <w:rsid w:val="00D0114A"/>
    <w:rsid w:val="00D012B9"/>
    <w:rsid w:val="00D016D2"/>
    <w:rsid w:val="00D01AB4"/>
    <w:rsid w:val="00D01BAF"/>
    <w:rsid w:val="00D01CF8"/>
    <w:rsid w:val="00D01E31"/>
    <w:rsid w:val="00D020AF"/>
    <w:rsid w:val="00D0211A"/>
    <w:rsid w:val="00D021B2"/>
    <w:rsid w:val="00D02958"/>
    <w:rsid w:val="00D02A7A"/>
    <w:rsid w:val="00D02ED7"/>
    <w:rsid w:val="00D02F36"/>
    <w:rsid w:val="00D03056"/>
    <w:rsid w:val="00D031AF"/>
    <w:rsid w:val="00D035E2"/>
    <w:rsid w:val="00D038AC"/>
    <w:rsid w:val="00D03BCB"/>
    <w:rsid w:val="00D040CF"/>
    <w:rsid w:val="00D0425C"/>
    <w:rsid w:val="00D04599"/>
    <w:rsid w:val="00D0460D"/>
    <w:rsid w:val="00D04724"/>
    <w:rsid w:val="00D0477B"/>
    <w:rsid w:val="00D04D70"/>
    <w:rsid w:val="00D04E29"/>
    <w:rsid w:val="00D04E7A"/>
    <w:rsid w:val="00D05298"/>
    <w:rsid w:val="00D05A38"/>
    <w:rsid w:val="00D05BB7"/>
    <w:rsid w:val="00D05D1B"/>
    <w:rsid w:val="00D05DE8"/>
    <w:rsid w:val="00D05FFB"/>
    <w:rsid w:val="00D06400"/>
    <w:rsid w:val="00D064FC"/>
    <w:rsid w:val="00D0666A"/>
    <w:rsid w:val="00D0693B"/>
    <w:rsid w:val="00D06E8E"/>
    <w:rsid w:val="00D06E93"/>
    <w:rsid w:val="00D07400"/>
    <w:rsid w:val="00D075F8"/>
    <w:rsid w:val="00D07A0A"/>
    <w:rsid w:val="00D07A74"/>
    <w:rsid w:val="00D07D81"/>
    <w:rsid w:val="00D07DE4"/>
    <w:rsid w:val="00D07EF3"/>
    <w:rsid w:val="00D103DB"/>
    <w:rsid w:val="00D10411"/>
    <w:rsid w:val="00D10F07"/>
    <w:rsid w:val="00D11180"/>
    <w:rsid w:val="00D1196A"/>
    <w:rsid w:val="00D11978"/>
    <w:rsid w:val="00D11E9A"/>
    <w:rsid w:val="00D11F2E"/>
    <w:rsid w:val="00D12205"/>
    <w:rsid w:val="00D12699"/>
    <w:rsid w:val="00D1282C"/>
    <w:rsid w:val="00D128F1"/>
    <w:rsid w:val="00D13029"/>
    <w:rsid w:val="00D13142"/>
    <w:rsid w:val="00D13208"/>
    <w:rsid w:val="00D133EF"/>
    <w:rsid w:val="00D13518"/>
    <w:rsid w:val="00D13B0B"/>
    <w:rsid w:val="00D13D53"/>
    <w:rsid w:val="00D141CD"/>
    <w:rsid w:val="00D141D6"/>
    <w:rsid w:val="00D1434F"/>
    <w:rsid w:val="00D14B25"/>
    <w:rsid w:val="00D14D4B"/>
    <w:rsid w:val="00D14E12"/>
    <w:rsid w:val="00D15223"/>
    <w:rsid w:val="00D153C6"/>
    <w:rsid w:val="00D1554C"/>
    <w:rsid w:val="00D15603"/>
    <w:rsid w:val="00D156BC"/>
    <w:rsid w:val="00D158EF"/>
    <w:rsid w:val="00D15F45"/>
    <w:rsid w:val="00D16594"/>
    <w:rsid w:val="00D167CC"/>
    <w:rsid w:val="00D167F3"/>
    <w:rsid w:val="00D16A64"/>
    <w:rsid w:val="00D16DD5"/>
    <w:rsid w:val="00D16E34"/>
    <w:rsid w:val="00D17123"/>
    <w:rsid w:val="00D17147"/>
    <w:rsid w:val="00D175FA"/>
    <w:rsid w:val="00D177B2"/>
    <w:rsid w:val="00D17DB5"/>
    <w:rsid w:val="00D17DD4"/>
    <w:rsid w:val="00D20212"/>
    <w:rsid w:val="00D203CB"/>
    <w:rsid w:val="00D2058D"/>
    <w:rsid w:val="00D206D6"/>
    <w:rsid w:val="00D21347"/>
    <w:rsid w:val="00D2174B"/>
    <w:rsid w:val="00D22128"/>
    <w:rsid w:val="00D221EF"/>
    <w:rsid w:val="00D2275F"/>
    <w:rsid w:val="00D2292E"/>
    <w:rsid w:val="00D22D1E"/>
    <w:rsid w:val="00D22E4B"/>
    <w:rsid w:val="00D23764"/>
    <w:rsid w:val="00D23855"/>
    <w:rsid w:val="00D23BD9"/>
    <w:rsid w:val="00D24636"/>
    <w:rsid w:val="00D24A09"/>
    <w:rsid w:val="00D25580"/>
    <w:rsid w:val="00D25DF8"/>
    <w:rsid w:val="00D26E77"/>
    <w:rsid w:val="00D2705F"/>
    <w:rsid w:val="00D27154"/>
    <w:rsid w:val="00D2754C"/>
    <w:rsid w:val="00D2755F"/>
    <w:rsid w:val="00D2758A"/>
    <w:rsid w:val="00D27752"/>
    <w:rsid w:val="00D27868"/>
    <w:rsid w:val="00D300ED"/>
    <w:rsid w:val="00D301C7"/>
    <w:rsid w:val="00D302E5"/>
    <w:rsid w:val="00D30C0C"/>
    <w:rsid w:val="00D30FA9"/>
    <w:rsid w:val="00D31271"/>
    <w:rsid w:val="00D31467"/>
    <w:rsid w:val="00D316CB"/>
    <w:rsid w:val="00D3234D"/>
    <w:rsid w:val="00D323B3"/>
    <w:rsid w:val="00D324DC"/>
    <w:rsid w:val="00D32AD6"/>
    <w:rsid w:val="00D3315B"/>
    <w:rsid w:val="00D332CA"/>
    <w:rsid w:val="00D337F8"/>
    <w:rsid w:val="00D33D0E"/>
    <w:rsid w:val="00D33EC8"/>
    <w:rsid w:val="00D3403F"/>
    <w:rsid w:val="00D341E8"/>
    <w:rsid w:val="00D3459C"/>
    <w:rsid w:val="00D34E5B"/>
    <w:rsid w:val="00D34EFE"/>
    <w:rsid w:val="00D35D86"/>
    <w:rsid w:val="00D364F1"/>
    <w:rsid w:val="00D36619"/>
    <w:rsid w:val="00D3676F"/>
    <w:rsid w:val="00D36973"/>
    <w:rsid w:val="00D36A28"/>
    <w:rsid w:val="00D36BF8"/>
    <w:rsid w:val="00D376C1"/>
    <w:rsid w:val="00D379B8"/>
    <w:rsid w:val="00D37C65"/>
    <w:rsid w:val="00D404BB"/>
    <w:rsid w:val="00D408D5"/>
    <w:rsid w:val="00D40B8B"/>
    <w:rsid w:val="00D40F46"/>
    <w:rsid w:val="00D41005"/>
    <w:rsid w:val="00D41C04"/>
    <w:rsid w:val="00D4204E"/>
    <w:rsid w:val="00D423F7"/>
    <w:rsid w:val="00D42717"/>
    <w:rsid w:val="00D42AC9"/>
    <w:rsid w:val="00D42E54"/>
    <w:rsid w:val="00D42E95"/>
    <w:rsid w:val="00D4339E"/>
    <w:rsid w:val="00D43635"/>
    <w:rsid w:val="00D43643"/>
    <w:rsid w:val="00D43B67"/>
    <w:rsid w:val="00D43DCA"/>
    <w:rsid w:val="00D43F68"/>
    <w:rsid w:val="00D4405B"/>
    <w:rsid w:val="00D44157"/>
    <w:rsid w:val="00D4429D"/>
    <w:rsid w:val="00D44540"/>
    <w:rsid w:val="00D44A75"/>
    <w:rsid w:val="00D4549B"/>
    <w:rsid w:val="00D4563E"/>
    <w:rsid w:val="00D4594D"/>
    <w:rsid w:val="00D45B83"/>
    <w:rsid w:val="00D45C09"/>
    <w:rsid w:val="00D45F4C"/>
    <w:rsid w:val="00D46536"/>
    <w:rsid w:val="00D4682D"/>
    <w:rsid w:val="00D46CBD"/>
    <w:rsid w:val="00D46D9F"/>
    <w:rsid w:val="00D46ED7"/>
    <w:rsid w:val="00D46F7F"/>
    <w:rsid w:val="00D471AE"/>
    <w:rsid w:val="00D473FF"/>
    <w:rsid w:val="00D479BB"/>
    <w:rsid w:val="00D47A9E"/>
    <w:rsid w:val="00D50025"/>
    <w:rsid w:val="00D505FE"/>
    <w:rsid w:val="00D506A8"/>
    <w:rsid w:val="00D50D8F"/>
    <w:rsid w:val="00D50F34"/>
    <w:rsid w:val="00D50F65"/>
    <w:rsid w:val="00D513AF"/>
    <w:rsid w:val="00D51CCD"/>
    <w:rsid w:val="00D51D79"/>
    <w:rsid w:val="00D520E3"/>
    <w:rsid w:val="00D523D6"/>
    <w:rsid w:val="00D52625"/>
    <w:rsid w:val="00D5279A"/>
    <w:rsid w:val="00D53279"/>
    <w:rsid w:val="00D53B44"/>
    <w:rsid w:val="00D53C38"/>
    <w:rsid w:val="00D53CF4"/>
    <w:rsid w:val="00D53FE5"/>
    <w:rsid w:val="00D543A7"/>
    <w:rsid w:val="00D54565"/>
    <w:rsid w:val="00D547A9"/>
    <w:rsid w:val="00D54971"/>
    <w:rsid w:val="00D54AE6"/>
    <w:rsid w:val="00D5521B"/>
    <w:rsid w:val="00D55469"/>
    <w:rsid w:val="00D5556B"/>
    <w:rsid w:val="00D55656"/>
    <w:rsid w:val="00D56385"/>
    <w:rsid w:val="00D5667B"/>
    <w:rsid w:val="00D567FE"/>
    <w:rsid w:val="00D5687D"/>
    <w:rsid w:val="00D56BEE"/>
    <w:rsid w:val="00D56D2D"/>
    <w:rsid w:val="00D56E36"/>
    <w:rsid w:val="00D57467"/>
    <w:rsid w:val="00D578FD"/>
    <w:rsid w:val="00D57D5D"/>
    <w:rsid w:val="00D57F59"/>
    <w:rsid w:val="00D60498"/>
    <w:rsid w:val="00D60A6E"/>
    <w:rsid w:val="00D60C97"/>
    <w:rsid w:val="00D60DF2"/>
    <w:rsid w:val="00D610DF"/>
    <w:rsid w:val="00D613AE"/>
    <w:rsid w:val="00D613F2"/>
    <w:rsid w:val="00D61A97"/>
    <w:rsid w:val="00D61E9A"/>
    <w:rsid w:val="00D61F52"/>
    <w:rsid w:val="00D622E6"/>
    <w:rsid w:val="00D62452"/>
    <w:rsid w:val="00D62AA6"/>
    <w:rsid w:val="00D62C06"/>
    <w:rsid w:val="00D630F9"/>
    <w:rsid w:val="00D634D7"/>
    <w:rsid w:val="00D63855"/>
    <w:rsid w:val="00D638E1"/>
    <w:rsid w:val="00D63A22"/>
    <w:rsid w:val="00D63DDF"/>
    <w:rsid w:val="00D642F4"/>
    <w:rsid w:val="00D6508B"/>
    <w:rsid w:val="00D6552E"/>
    <w:rsid w:val="00D65583"/>
    <w:rsid w:val="00D6561C"/>
    <w:rsid w:val="00D658D0"/>
    <w:rsid w:val="00D6597F"/>
    <w:rsid w:val="00D65C03"/>
    <w:rsid w:val="00D66747"/>
    <w:rsid w:val="00D668BE"/>
    <w:rsid w:val="00D66A3B"/>
    <w:rsid w:val="00D66C0C"/>
    <w:rsid w:val="00D66DFA"/>
    <w:rsid w:val="00D66F86"/>
    <w:rsid w:val="00D672DE"/>
    <w:rsid w:val="00D6756C"/>
    <w:rsid w:val="00D67A43"/>
    <w:rsid w:val="00D67E1F"/>
    <w:rsid w:val="00D70091"/>
    <w:rsid w:val="00D701FB"/>
    <w:rsid w:val="00D7029C"/>
    <w:rsid w:val="00D702B7"/>
    <w:rsid w:val="00D71107"/>
    <w:rsid w:val="00D7118E"/>
    <w:rsid w:val="00D712AD"/>
    <w:rsid w:val="00D716C8"/>
    <w:rsid w:val="00D71893"/>
    <w:rsid w:val="00D71A88"/>
    <w:rsid w:val="00D71AE7"/>
    <w:rsid w:val="00D71D58"/>
    <w:rsid w:val="00D71DE0"/>
    <w:rsid w:val="00D7266E"/>
    <w:rsid w:val="00D72721"/>
    <w:rsid w:val="00D729D4"/>
    <w:rsid w:val="00D72C71"/>
    <w:rsid w:val="00D72F02"/>
    <w:rsid w:val="00D7312B"/>
    <w:rsid w:val="00D731EF"/>
    <w:rsid w:val="00D7328D"/>
    <w:rsid w:val="00D732A9"/>
    <w:rsid w:val="00D732BD"/>
    <w:rsid w:val="00D738CB"/>
    <w:rsid w:val="00D73A2B"/>
    <w:rsid w:val="00D73D17"/>
    <w:rsid w:val="00D73FA9"/>
    <w:rsid w:val="00D740C2"/>
    <w:rsid w:val="00D742F5"/>
    <w:rsid w:val="00D74821"/>
    <w:rsid w:val="00D748F4"/>
    <w:rsid w:val="00D74AF6"/>
    <w:rsid w:val="00D74B74"/>
    <w:rsid w:val="00D74E63"/>
    <w:rsid w:val="00D75099"/>
    <w:rsid w:val="00D757A6"/>
    <w:rsid w:val="00D757E8"/>
    <w:rsid w:val="00D76A30"/>
    <w:rsid w:val="00D76A4F"/>
    <w:rsid w:val="00D76A75"/>
    <w:rsid w:val="00D76D67"/>
    <w:rsid w:val="00D76EF4"/>
    <w:rsid w:val="00D770AF"/>
    <w:rsid w:val="00D771FB"/>
    <w:rsid w:val="00D77568"/>
    <w:rsid w:val="00D77653"/>
    <w:rsid w:val="00D7766A"/>
    <w:rsid w:val="00D77D60"/>
    <w:rsid w:val="00D77DC0"/>
    <w:rsid w:val="00D8072D"/>
    <w:rsid w:val="00D809F8"/>
    <w:rsid w:val="00D80A3C"/>
    <w:rsid w:val="00D80F0D"/>
    <w:rsid w:val="00D81183"/>
    <w:rsid w:val="00D8125A"/>
    <w:rsid w:val="00D81512"/>
    <w:rsid w:val="00D8170A"/>
    <w:rsid w:val="00D818D9"/>
    <w:rsid w:val="00D81E95"/>
    <w:rsid w:val="00D822A3"/>
    <w:rsid w:val="00D822DF"/>
    <w:rsid w:val="00D826D3"/>
    <w:rsid w:val="00D827A6"/>
    <w:rsid w:val="00D829E8"/>
    <w:rsid w:val="00D82ACE"/>
    <w:rsid w:val="00D82EC0"/>
    <w:rsid w:val="00D82EDE"/>
    <w:rsid w:val="00D8365C"/>
    <w:rsid w:val="00D844F6"/>
    <w:rsid w:val="00D84779"/>
    <w:rsid w:val="00D84D69"/>
    <w:rsid w:val="00D84FF4"/>
    <w:rsid w:val="00D84FF5"/>
    <w:rsid w:val="00D852BD"/>
    <w:rsid w:val="00D854ED"/>
    <w:rsid w:val="00D85AB1"/>
    <w:rsid w:val="00D85E87"/>
    <w:rsid w:val="00D864E4"/>
    <w:rsid w:val="00D865A6"/>
    <w:rsid w:val="00D8689A"/>
    <w:rsid w:val="00D86A0D"/>
    <w:rsid w:val="00D86CB9"/>
    <w:rsid w:val="00D86D3E"/>
    <w:rsid w:val="00D86F11"/>
    <w:rsid w:val="00D8721C"/>
    <w:rsid w:val="00D87913"/>
    <w:rsid w:val="00D87C66"/>
    <w:rsid w:val="00D87E3B"/>
    <w:rsid w:val="00D900F9"/>
    <w:rsid w:val="00D90154"/>
    <w:rsid w:val="00D9026D"/>
    <w:rsid w:val="00D90376"/>
    <w:rsid w:val="00D90712"/>
    <w:rsid w:val="00D909A4"/>
    <w:rsid w:val="00D90AF0"/>
    <w:rsid w:val="00D90CC7"/>
    <w:rsid w:val="00D90F5E"/>
    <w:rsid w:val="00D9128A"/>
    <w:rsid w:val="00D91714"/>
    <w:rsid w:val="00D91B80"/>
    <w:rsid w:val="00D91E09"/>
    <w:rsid w:val="00D92070"/>
    <w:rsid w:val="00D926D0"/>
    <w:rsid w:val="00D927AA"/>
    <w:rsid w:val="00D92A1D"/>
    <w:rsid w:val="00D933A6"/>
    <w:rsid w:val="00D93B4D"/>
    <w:rsid w:val="00D93D98"/>
    <w:rsid w:val="00D93FAF"/>
    <w:rsid w:val="00D93FDC"/>
    <w:rsid w:val="00D9404B"/>
    <w:rsid w:val="00D94788"/>
    <w:rsid w:val="00D94FAA"/>
    <w:rsid w:val="00D951B9"/>
    <w:rsid w:val="00D9522A"/>
    <w:rsid w:val="00D9527C"/>
    <w:rsid w:val="00D955B6"/>
    <w:rsid w:val="00D959CB"/>
    <w:rsid w:val="00D95AEF"/>
    <w:rsid w:val="00D95B2D"/>
    <w:rsid w:val="00D95D08"/>
    <w:rsid w:val="00D95E1E"/>
    <w:rsid w:val="00D96495"/>
    <w:rsid w:val="00D96C26"/>
    <w:rsid w:val="00D96C6C"/>
    <w:rsid w:val="00D96DEA"/>
    <w:rsid w:val="00D96E72"/>
    <w:rsid w:val="00D96EEA"/>
    <w:rsid w:val="00D97120"/>
    <w:rsid w:val="00D9787F"/>
    <w:rsid w:val="00DA00D1"/>
    <w:rsid w:val="00DA01AF"/>
    <w:rsid w:val="00DA048C"/>
    <w:rsid w:val="00DA0521"/>
    <w:rsid w:val="00DA0658"/>
    <w:rsid w:val="00DA086C"/>
    <w:rsid w:val="00DA1638"/>
    <w:rsid w:val="00DA1AD9"/>
    <w:rsid w:val="00DA1E95"/>
    <w:rsid w:val="00DA1E9B"/>
    <w:rsid w:val="00DA232A"/>
    <w:rsid w:val="00DA234D"/>
    <w:rsid w:val="00DA25A4"/>
    <w:rsid w:val="00DA266D"/>
    <w:rsid w:val="00DA2882"/>
    <w:rsid w:val="00DA2BCA"/>
    <w:rsid w:val="00DA2BE7"/>
    <w:rsid w:val="00DA2E98"/>
    <w:rsid w:val="00DA2EE4"/>
    <w:rsid w:val="00DA34AF"/>
    <w:rsid w:val="00DA3F99"/>
    <w:rsid w:val="00DA3FA3"/>
    <w:rsid w:val="00DA408D"/>
    <w:rsid w:val="00DA479B"/>
    <w:rsid w:val="00DA49EC"/>
    <w:rsid w:val="00DA4C09"/>
    <w:rsid w:val="00DA547A"/>
    <w:rsid w:val="00DA54E8"/>
    <w:rsid w:val="00DA5570"/>
    <w:rsid w:val="00DA56BF"/>
    <w:rsid w:val="00DA580D"/>
    <w:rsid w:val="00DA5E6E"/>
    <w:rsid w:val="00DA6ABF"/>
    <w:rsid w:val="00DA75B4"/>
    <w:rsid w:val="00DA7A3F"/>
    <w:rsid w:val="00DA7C76"/>
    <w:rsid w:val="00DB097F"/>
    <w:rsid w:val="00DB0D32"/>
    <w:rsid w:val="00DB0E29"/>
    <w:rsid w:val="00DB0F61"/>
    <w:rsid w:val="00DB13B9"/>
    <w:rsid w:val="00DB1756"/>
    <w:rsid w:val="00DB1982"/>
    <w:rsid w:val="00DB1AFB"/>
    <w:rsid w:val="00DB1CAB"/>
    <w:rsid w:val="00DB1E73"/>
    <w:rsid w:val="00DB25B6"/>
    <w:rsid w:val="00DB2B90"/>
    <w:rsid w:val="00DB2F1B"/>
    <w:rsid w:val="00DB30FF"/>
    <w:rsid w:val="00DB367D"/>
    <w:rsid w:val="00DB3792"/>
    <w:rsid w:val="00DB37AC"/>
    <w:rsid w:val="00DB3A0F"/>
    <w:rsid w:val="00DB3BEB"/>
    <w:rsid w:val="00DB3C44"/>
    <w:rsid w:val="00DB3F05"/>
    <w:rsid w:val="00DB3F6D"/>
    <w:rsid w:val="00DB45C8"/>
    <w:rsid w:val="00DB4C90"/>
    <w:rsid w:val="00DB52AE"/>
    <w:rsid w:val="00DB54ED"/>
    <w:rsid w:val="00DB55A5"/>
    <w:rsid w:val="00DB58EA"/>
    <w:rsid w:val="00DB5BBD"/>
    <w:rsid w:val="00DB5E54"/>
    <w:rsid w:val="00DB6136"/>
    <w:rsid w:val="00DB64C0"/>
    <w:rsid w:val="00DB650B"/>
    <w:rsid w:val="00DB6CDA"/>
    <w:rsid w:val="00DB6E8E"/>
    <w:rsid w:val="00DB6F48"/>
    <w:rsid w:val="00DB6F91"/>
    <w:rsid w:val="00DB742F"/>
    <w:rsid w:val="00DB7490"/>
    <w:rsid w:val="00DB7530"/>
    <w:rsid w:val="00DB756F"/>
    <w:rsid w:val="00DB7858"/>
    <w:rsid w:val="00DB7B05"/>
    <w:rsid w:val="00DB7B66"/>
    <w:rsid w:val="00DB7B7B"/>
    <w:rsid w:val="00DB7BC4"/>
    <w:rsid w:val="00DC045B"/>
    <w:rsid w:val="00DC056E"/>
    <w:rsid w:val="00DC08B2"/>
    <w:rsid w:val="00DC0B19"/>
    <w:rsid w:val="00DC108B"/>
    <w:rsid w:val="00DC113D"/>
    <w:rsid w:val="00DC12B8"/>
    <w:rsid w:val="00DC162D"/>
    <w:rsid w:val="00DC1885"/>
    <w:rsid w:val="00DC1D42"/>
    <w:rsid w:val="00DC234A"/>
    <w:rsid w:val="00DC2B2E"/>
    <w:rsid w:val="00DC2ECA"/>
    <w:rsid w:val="00DC300C"/>
    <w:rsid w:val="00DC3516"/>
    <w:rsid w:val="00DC3B89"/>
    <w:rsid w:val="00DC3E06"/>
    <w:rsid w:val="00DC42AB"/>
    <w:rsid w:val="00DC42F7"/>
    <w:rsid w:val="00DC48E7"/>
    <w:rsid w:val="00DC53DC"/>
    <w:rsid w:val="00DC546B"/>
    <w:rsid w:val="00DC55B7"/>
    <w:rsid w:val="00DC562A"/>
    <w:rsid w:val="00DC565E"/>
    <w:rsid w:val="00DC5EC2"/>
    <w:rsid w:val="00DC6089"/>
    <w:rsid w:val="00DC6657"/>
    <w:rsid w:val="00DC68D8"/>
    <w:rsid w:val="00DC6A3F"/>
    <w:rsid w:val="00DC6B19"/>
    <w:rsid w:val="00DC6DBC"/>
    <w:rsid w:val="00DC723A"/>
    <w:rsid w:val="00DC72D1"/>
    <w:rsid w:val="00DC7389"/>
    <w:rsid w:val="00DC73CF"/>
    <w:rsid w:val="00DC7BC4"/>
    <w:rsid w:val="00DC7C8E"/>
    <w:rsid w:val="00DD0176"/>
    <w:rsid w:val="00DD0867"/>
    <w:rsid w:val="00DD1055"/>
    <w:rsid w:val="00DD1164"/>
    <w:rsid w:val="00DD1235"/>
    <w:rsid w:val="00DD150D"/>
    <w:rsid w:val="00DD15C4"/>
    <w:rsid w:val="00DD18AC"/>
    <w:rsid w:val="00DD198A"/>
    <w:rsid w:val="00DD228C"/>
    <w:rsid w:val="00DD23AD"/>
    <w:rsid w:val="00DD23F1"/>
    <w:rsid w:val="00DD2524"/>
    <w:rsid w:val="00DD28FC"/>
    <w:rsid w:val="00DD2A6D"/>
    <w:rsid w:val="00DD2B9B"/>
    <w:rsid w:val="00DD2DBA"/>
    <w:rsid w:val="00DD3303"/>
    <w:rsid w:val="00DD3517"/>
    <w:rsid w:val="00DD3819"/>
    <w:rsid w:val="00DD3BE2"/>
    <w:rsid w:val="00DD40B9"/>
    <w:rsid w:val="00DD43F5"/>
    <w:rsid w:val="00DD43F9"/>
    <w:rsid w:val="00DD44A6"/>
    <w:rsid w:val="00DD4905"/>
    <w:rsid w:val="00DD4A93"/>
    <w:rsid w:val="00DD4AD7"/>
    <w:rsid w:val="00DD4D63"/>
    <w:rsid w:val="00DD4DD0"/>
    <w:rsid w:val="00DD5038"/>
    <w:rsid w:val="00DD5501"/>
    <w:rsid w:val="00DD5549"/>
    <w:rsid w:val="00DD5D16"/>
    <w:rsid w:val="00DD5D7A"/>
    <w:rsid w:val="00DD6167"/>
    <w:rsid w:val="00DD62A0"/>
    <w:rsid w:val="00DD6399"/>
    <w:rsid w:val="00DD6B4F"/>
    <w:rsid w:val="00DD6BD3"/>
    <w:rsid w:val="00DD6DA6"/>
    <w:rsid w:val="00DD73BF"/>
    <w:rsid w:val="00DD788D"/>
    <w:rsid w:val="00DD7E87"/>
    <w:rsid w:val="00DE0047"/>
    <w:rsid w:val="00DE02A4"/>
    <w:rsid w:val="00DE0371"/>
    <w:rsid w:val="00DE09CE"/>
    <w:rsid w:val="00DE0B2C"/>
    <w:rsid w:val="00DE0D74"/>
    <w:rsid w:val="00DE166C"/>
    <w:rsid w:val="00DE192B"/>
    <w:rsid w:val="00DE1F05"/>
    <w:rsid w:val="00DE1F98"/>
    <w:rsid w:val="00DE201C"/>
    <w:rsid w:val="00DE2089"/>
    <w:rsid w:val="00DE20D0"/>
    <w:rsid w:val="00DE2280"/>
    <w:rsid w:val="00DE23C3"/>
    <w:rsid w:val="00DE2461"/>
    <w:rsid w:val="00DE2AB2"/>
    <w:rsid w:val="00DE2EE0"/>
    <w:rsid w:val="00DE3852"/>
    <w:rsid w:val="00DE3A40"/>
    <w:rsid w:val="00DE3BB6"/>
    <w:rsid w:val="00DE3BBD"/>
    <w:rsid w:val="00DE3BC0"/>
    <w:rsid w:val="00DE3F3F"/>
    <w:rsid w:val="00DE4516"/>
    <w:rsid w:val="00DE4CF0"/>
    <w:rsid w:val="00DE4D25"/>
    <w:rsid w:val="00DE4D71"/>
    <w:rsid w:val="00DE50F2"/>
    <w:rsid w:val="00DE5204"/>
    <w:rsid w:val="00DE584C"/>
    <w:rsid w:val="00DE5CD2"/>
    <w:rsid w:val="00DE5F32"/>
    <w:rsid w:val="00DE5FC7"/>
    <w:rsid w:val="00DE6594"/>
    <w:rsid w:val="00DE6806"/>
    <w:rsid w:val="00DE6ADA"/>
    <w:rsid w:val="00DE6F27"/>
    <w:rsid w:val="00DE738A"/>
    <w:rsid w:val="00DE745B"/>
    <w:rsid w:val="00DE77C0"/>
    <w:rsid w:val="00DE7A7E"/>
    <w:rsid w:val="00DF00BE"/>
    <w:rsid w:val="00DF096B"/>
    <w:rsid w:val="00DF0976"/>
    <w:rsid w:val="00DF0B04"/>
    <w:rsid w:val="00DF0E1A"/>
    <w:rsid w:val="00DF0EF0"/>
    <w:rsid w:val="00DF1F51"/>
    <w:rsid w:val="00DF1FD1"/>
    <w:rsid w:val="00DF2204"/>
    <w:rsid w:val="00DF2BB0"/>
    <w:rsid w:val="00DF33B1"/>
    <w:rsid w:val="00DF3DFF"/>
    <w:rsid w:val="00DF3E86"/>
    <w:rsid w:val="00DF400A"/>
    <w:rsid w:val="00DF40D8"/>
    <w:rsid w:val="00DF43A2"/>
    <w:rsid w:val="00DF4D58"/>
    <w:rsid w:val="00DF5197"/>
    <w:rsid w:val="00DF54A1"/>
    <w:rsid w:val="00DF574C"/>
    <w:rsid w:val="00DF57DC"/>
    <w:rsid w:val="00DF59DF"/>
    <w:rsid w:val="00DF5E54"/>
    <w:rsid w:val="00DF5E78"/>
    <w:rsid w:val="00DF644A"/>
    <w:rsid w:val="00DF653F"/>
    <w:rsid w:val="00DF6B0A"/>
    <w:rsid w:val="00DF6B41"/>
    <w:rsid w:val="00DF6D9A"/>
    <w:rsid w:val="00DF7016"/>
    <w:rsid w:val="00DF705E"/>
    <w:rsid w:val="00DF7342"/>
    <w:rsid w:val="00DF75BC"/>
    <w:rsid w:val="00DF7852"/>
    <w:rsid w:val="00DF7C18"/>
    <w:rsid w:val="00DF7F88"/>
    <w:rsid w:val="00E00263"/>
    <w:rsid w:val="00E00451"/>
    <w:rsid w:val="00E0059B"/>
    <w:rsid w:val="00E0069E"/>
    <w:rsid w:val="00E00751"/>
    <w:rsid w:val="00E00DC4"/>
    <w:rsid w:val="00E00F62"/>
    <w:rsid w:val="00E013AA"/>
    <w:rsid w:val="00E013ED"/>
    <w:rsid w:val="00E014EA"/>
    <w:rsid w:val="00E01857"/>
    <w:rsid w:val="00E01BB8"/>
    <w:rsid w:val="00E0203C"/>
    <w:rsid w:val="00E020EC"/>
    <w:rsid w:val="00E02119"/>
    <w:rsid w:val="00E027B1"/>
    <w:rsid w:val="00E02E3D"/>
    <w:rsid w:val="00E03056"/>
    <w:rsid w:val="00E030E2"/>
    <w:rsid w:val="00E03292"/>
    <w:rsid w:val="00E03AD5"/>
    <w:rsid w:val="00E03AF4"/>
    <w:rsid w:val="00E03D9B"/>
    <w:rsid w:val="00E04367"/>
    <w:rsid w:val="00E0479E"/>
    <w:rsid w:val="00E04BC2"/>
    <w:rsid w:val="00E04C79"/>
    <w:rsid w:val="00E04C7C"/>
    <w:rsid w:val="00E04E63"/>
    <w:rsid w:val="00E04EE1"/>
    <w:rsid w:val="00E0559F"/>
    <w:rsid w:val="00E05A37"/>
    <w:rsid w:val="00E0632A"/>
    <w:rsid w:val="00E0652B"/>
    <w:rsid w:val="00E067B0"/>
    <w:rsid w:val="00E06CF6"/>
    <w:rsid w:val="00E072F3"/>
    <w:rsid w:val="00E07554"/>
    <w:rsid w:val="00E07F24"/>
    <w:rsid w:val="00E1006A"/>
    <w:rsid w:val="00E1039A"/>
    <w:rsid w:val="00E10776"/>
    <w:rsid w:val="00E10824"/>
    <w:rsid w:val="00E109AB"/>
    <w:rsid w:val="00E10B49"/>
    <w:rsid w:val="00E10E46"/>
    <w:rsid w:val="00E114C6"/>
    <w:rsid w:val="00E115B1"/>
    <w:rsid w:val="00E117A5"/>
    <w:rsid w:val="00E119B5"/>
    <w:rsid w:val="00E11A35"/>
    <w:rsid w:val="00E11C8A"/>
    <w:rsid w:val="00E11E63"/>
    <w:rsid w:val="00E1236A"/>
    <w:rsid w:val="00E1258D"/>
    <w:rsid w:val="00E1290C"/>
    <w:rsid w:val="00E12DA2"/>
    <w:rsid w:val="00E12E2C"/>
    <w:rsid w:val="00E12F30"/>
    <w:rsid w:val="00E1354F"/>
    <w:rsid w:val="00E1393D"/>
    <w:rsid w:val="00E13AE4"/>
    <w:rsid w:val="00E13BC9"/>
    <w:rsid w:val="00E14F6B"/>
    <w:rsid w:val="00E15430"/>
    <w:rsid w:val="00E154E5"/>
    <w:rsid w:val="00E15A20"/>
    <w:rsid w:val="00E15C4D"/>
    <w:rsid w:val="00E163B9"/>
    <w:rsid w:val="00E16643"/>
    <w:rsid w:val="00E172BC"/>
    <w:rsid w:val="00E17540"/>
    <w:rsid w:val="00E175E0"/>
    <w:rsid w:val="00E17914"/>
    <w:rsid w:val="00E2067F"/>
    <w:rsid w:val="00E2088F"/>
    <w:rsid w:val="00E20C6F"/>
    <w:rsid w:val="00E20CEE"/>
    <w:rsid w:val="00E20E32"/>
    <w:rsid w:val="00E2107E"/>
    <w:rsid w:val="00E212C0"/>
    <w:rsid w:val="00E2147C"/>
    <w:rsid w:val="00E2147E"/>
    <w:rsid w:val="00E216CD"/>
    <w:rsid w:val="00E218B0"/>
    <w:rsid w:val="00E21AF1"/>
    <w:rsid w:val="00E21C41"/>
    <w:rsid w:val="00E21D48"/>
    <w:rsid w:val="00E21D94"/>
    <w:rsid w:val="00E21ED9"/>
    <w:rsid w:val="00E22629"/>
    <w:rsid w:val="00E2264F"/>
    <w:rsid w:val="00E226A8"/>
    <w:rsid w:val="00E2272A"/>
    <w:rsid w:val="00E22A63"/>
    <w:rsid w:val="00E22E7E"/>
    <w:rsid w:val="00E22FB8"/>
    <w:rsid w:val="00E23164"/>
    <w:rsid w:val="00E234A3"/>
    <w:rsid w:val="00E23616"/>
    <w:rsid w:val="00E23737"/>
    <w:rsid w:val="00E238CC"/>
    <w:rsid w:val="00E23B7E"/>
    <w:rsid w:val="00E23DAB"/>
    <w:rsid w:val="00E23E7D"/>
    <w:rsid w:val="00E2457E"/>
    <w:rsid w:val="00E24615"/>
    <w:rsid w:val="00E2461C"/>
    <w:rsid w:val="00E248B2"/>
    <w:rsid w:val="00E24A2D"/>
    <w:rsid w:val="00E24FFC"/>
    <w:rsid w:val="00E2534F"/>
    <w:rsid w:val="00E253BE"/>
    <w:rsid w:val="00E258F3"/>
    <w:rsid w:val="00E25E90"/>
    <w:rsid w:val="00E261D6"/>
    <w:rsid w:val="00E26915"/>
    <w:rsid w:val="00E26A62"/>
    <w:rsid w:val="00E26E2D"/>
    <w:rsid w:val="00E275F1"/>
    <w:rsid w:val="00E27897"/>
    <w:rsid w:val="00E279DB"/>
    <w:rsid w:val="00E27B1B"/>
    <w:rsid w:val="00E27B79"/>
    <w:rsid w:val="00E30175"/>
    <w:rsid w:val="00E302B9"/>
    <w:rsid w:val="00E305C2"/>
    <w:rsid w:val="00E30A5D"/>
    <w:rsid w:val="00E30F90"/>
    <w:rsid w:val="00E310AC"/>
    <w:rsid w:val="00E314F5"/>
    <w:rsid w:val="00E315A2"/>
    <w:rsid w:val="00E316EE"/>
    <w:rsid w:val="00E319CE"/>
    <w:rsid w:val="00E31A60"/>
    <w:rsid w:val="00E31F77"/>
    <w:rsid w:val="00E32140"/>
    <w:rsid w:val="00E32570"/>
    <w:rsid w:val="00E32CDA"/>
    <w:rsid w:val="00E331C1"/>
    <w:rsid w:val="00E337ED"/>
    <w:rsid w:val="00E33D8B"/>
    <w:rsid w:val="00E33DB9"/>
    <w:rsid w:val="00E33DFE"/>
    <w:rsid w:val="00E34079"/>
    <w:rsid w:val="00E34B99"/>
    <w:rsid w:val="00E35271"/>
    <w:rsid w:val="00E35582"/>
    <w:rsid w:val="00E357D9"/>
    <w:rsid w:val="00E35B07"/>
    <w:rsid w:val="00E362CA"/>
    <w:rsid w:val="00E366F3"/>
    <w:rsid w:val="00E36880"/>
    <w:rsid w:val="00E36A7D"/>
    <w:rsid w:val="00E36EC0"/>
    <w:rsid w:val="00E37030"/>
    <w:rsid w:val="00E372F7"/>
    <w:rsid w:val="00E37A5A"/>
    <w:rsid w:val="00E37A7E"/>
    <w:rsid w:val="00E37CA1"/>
    <w:rsid w:val="00E37D93"/>
    <w:rsid w:val="00E407BC"/>
    <w:rsid w:val="00E408F4"/>
    <w:rsid w:val="00E40B10"/>
    <w:rsid w:val="00E40B6A"/>
    <w:rsid w:val="00E40B89"/>
    <w:rsid w:val="00E40DF4"/>
    <w:rsid w:val="00E4104C"/>
    <w:rsid w:val="00E41170"/>
    <w:rsid w:val="00E413B7"/>
    <w:rsid w:val="00E41D08"/>
    <w:rsid w:val="00E41D69"/>
    <w:rsid w:val="00E41EA4"/>
    <w:rsid w:val="00E41F4F"/>
    <w:rsid w:val="00E4255B"/>
    <w:rsid w:val="00E4257D"/>
    <w:rsid w:val="00E42BCA"/>
    <w:rsid w:val="00E43241"/>
    <w:rsid w:val="00E43BBA"/>
    <w:rsid w:val="00E43BFA"/>
    <w:rsid w:val="00E43EBD"/>
    <w:rsid w:val="00E44010"/>
    <w:rsid w:val="00E4401F"/>
    <w:rsid w:val="00E4443F"/>
    <w:rsid w:val="00E448C8"/>
    <w:rsid w:val="00E44D79"/>
    <w:rsid w:val="00E45179"/>
    <w:rsid w:val="00E451E1"/>
    <w:rsid w:val="00E45209"/>
    <w:rsid w:val="00E454B7"/>
    <w:rsid w:val="00E4586A"/>
    <w:rsid w:val="00E45AB5"/>
    <w:rsid w:val="00E45AF5"/>
    <w:rsid w:val="00E45D55"/>
    <w:rsid w:val="00E46167"/>
    <w:rsid w:val="00E462F2"/>
    <w:rsid w:val="00E46383"/>
    <w:rsid w:val="00E46812"/>
    <w:rsid w:val="00E46815"/>
    <w:rsid w:val="00E46B84"/>
    <w:rsid w:val="00E470A7"/>
    <w:rsid w:val="00E470B2"/>
    <w:rsid w:val="00E476A6"/>
    <w:rsid w:val="00E47E0C"/>
    <w:rsid w:val="00E47E60"/>
    <w:rsid w:val="00E501C8"/>
    <w:rsid w:val="00E51910"/>
    <w:rsid w:val="00E520EC"/>
    <w:rsid w:val="00E52BF0"/>
    <w:rsid w:val="00E53378"/>
    <w:rsid w:val="00E5346C"/>
    <w:rsid w:val="00E537D3"/>
    <w:rsid w:val="00E537F2"/>
    <w:rsid w:val="00E538BF"/>
    <w:rsid w:val="00E539C5"/>
    <w:rsid w:val="00E53E6B"/>
    <w:rsid w:val="00E5424E"/>
    <w:rsid w:val="00E54257"/>
    <w:rsid w:val="00E545C7"/>
    <w:rsid w:val="00E5471F"/>
    <w:rsid w:val="00E54753"/>
    <w:rsid w:val="00E5486F"/>
    <w:rsid w:val="00E548DB"/>
    <w:rsid w:val="00E54C06"/>
    <w:rsid w:val="00E5521F"/>
    <w:rsid w:val="00E55244"/>
    <w:rsid w:val="00E553D4"/>
    <w:rsid w:val="00E5543F"/>
    <w:rsid w:val="00E55452"/>
    <w:rsid w:val="00E5596B"/>
    <w:rsid w:val="00E55F9F"/>
    <w:rsid w:val="00E55FEA"/>
    <w:rsid w:val="00E560E3"/>
    <w:rsid w:val="00E56437"/>
    <w:rsid w:val="00E5645C"/>
    <w:rsid w:val="00E56682"/>
    <w:rsid w:val="00E56848"/>
    <w:rsid w:val="00E56896"/>
    <w:rsid w:val="00E56AFA"/>
    <w:rsid w:val="00E56B03"/>
    <w:rsid w:val="00E574E4"/>
    <w:rsid w:val="00E576E0"/>
    <w:rsid w:val="00E5796C"/>
    <w:rsid w:val="00E57A20"/>
    <w:rsid w:val="00E6000B"/>
    <w:rsid w:val="00E60D4C"/>
    <w:rsid w:val="00E60E42"/>
    <w:rsid w:val="00E612EC"/>
    <w:rsid w:val="00E613C4"/>
    <w:rsid w:val="00E626E3"/>
    <w:rsid w:val="00E62A8C"/>
    <w:rsid w:val="00E62B66"/>
    <w:rsid w:val="00E63230"/>
    <w:rsid w:val="00E63E53"/>
    <w:rsid w:val="00E6414D"/>
    <w:rsid w:val="00E642E2"/>
    <w:rsid w:val="00E6447D"/>
    <w:rsid w:val="00E644AE"/>
    <w:rsid w:val="00E644E4"/>
    <w:rsid w:val="00E64773"/>
    <w:rsid w:val="00E647BF"/>
    <w:rsid w:val="00E64AB5"/>
    <w:rsid w:val="00E64B37"/>
    <w:rsid w:val="00E6506D"/>
    <w:rsid w:val="00E65892"/>
    <w:rsid w:val="00E66131"/>
    <w:rsid w:val="00E661A1"/>
    <w:rsid w:val="00E669AC"/>
    <w:rsid w:val="00E6710C"/>
    <w:rsid w:val="00E677E8"/>
    <w:rsid w:val="00E67A61"/>
    <w:rsid w:val="00E67C1C"/>
    <w:rsid w:val="00E700F5"/>
    <w:rsid w:val="00E711FC"/>
    <w:rsid w:val="00E71322"/>
    <w:rsid w:val="00E71538"/>
    <w:rsid w:val="00E7156E"/>
    <w:rsid w:val="00E7180E"/>
    <w:rsid w:val="00E71970"/>
    <w:rsid w:val="00E719EC"/>
    <w:rsid w:val="00E71AAB"/>
    <w:rsid w:val="00E72964"/>
    <w:rsid w:val="00E72A26"/>
    <w:rsid w:val="00E73257"/>
    <w:rsid w:val="00E7337D"/>
    <w:rsid w:val="00E735C9"/>
    <w:rsid w:val="00E73CE3"/>
    <w:rsid w:val="00E73D3C"/>
    <w:rsid w:val="00E73EF3"/>
    <w:rsid w:val="00E747BE"/>
    <w:rsid w:val="00E74D84"/>
    <w:rsid w:val="00E74DAB"/>
    <w:rsid w:val="00E74F83"/>
    <w:rsid w:val="00E75053"/>
    <w:rsid w:val="00E75206"/>
    <w:rsid w:val="00E75286"/>
    <w:rsid w:val="00E7528B"/>
    <w:rsid w:val="00E7540B"/>
    <w:rsid w:val="00E75642"/>
    <w:rsid w:val="00E75846"/>
    <w:rsid w:val="00E75946"/>
    <w:rsid w:val="00E75997"/>
    <w:rsid w:val="00E75EC2"/>
    <w:rsid w:val="00E760B4"/>
    <w:rsid w:val="00E761E4"/>
    <w:rsid w:val="00E76F0C"/>
    <w:rsid w:val="00E76FFC"/>
    <w:rsid w:val="00E77364"/>
    <w:rsid w:val="00E773BB"/>
    <w:rsid w:val="00E777A3"/>
    <w:rsid w:val="00E778AD"/>
    <w:rsid w:val="00E7795B"/>
    <w:rsid w:val="00E77D36"/>
    <w:rsid w:val="00E8011B"/>
    <w:rsid w:val="00E8029D"/>
    <w:rsid w:val="00E805E4"/>
    <w:rsid w:val="00E80AAA"/>
    <w:rsid w:val="00E8101F"/>
    <w:rsid w:val="00E8122D"/>
    <w:rsid w:val="00E8137D"/>
    <w:rsid w:val="00E81474"/>
    <w:rsid w:val="00E81621"/>
    <w:rsid w:val="00E818F1"/>
    <w:rsid w:val="00E81B1A"/>
    <w:rsid w:val="00E81E63"/>
    <w:rsid w:val="00E8245D"/>
    <w:rsid w:val="00E82548"/>
    <w:rsid w:val="00E82650"/>
    <w:rsid w:val="00E826DC"/>
    <w:rsid w:val="00E82A1E"/>
    <w:rsid w:val="00E82A76"/>
    <w:rsid w:val="00E8361C"/>
    <w:rsid w:val="00E83823"/>
    <w:rsid w:val="00E83BB4"/>
    <w:rsid w:val="00E841BC"/>
    <w:rsid w:val="00E8481F"/>
    <w:rsid w:val="00E8488F"/>
    <w:rsid w:val="00E84BDA"/>
    <w:rsid w:val="00E84DF6"/>
    <w:rsid w:val="00E84FC1"/>
    <w:rsid w:val="00E850EC"/>
    <w:rsid w:val="00E8525F"/>
    <w:rsid w:val="00E85328"/>
    <w:rsid w:val="00E8565F"/>
    <w:rsid w:val="00E85A0D"/>
    <w:rsid w:val="00E85C07"/>
    <w:rsid w:val="00E86296"/>
    <w:rsid w:val="00E868A8"/>
    <w:rsid w:val="00E86923"/>
    <w:rsid w:val="00E86E64"/>
    <w:rsid w:val="00E870B1"/>
    <w:rsid w:val="00E874A3"/>
    <w:rsid w:val="00E876EC"/>
    <w:rsid w:val="00E87936"/>
    <w:rsid w:val="00E90211"/>
    <w:rsid w:val="00E90461"/>
    <w:rsid w:val="00E90543"/>
    <w:rsid w:val="00E905B7"/>
    <w:rsid w:val="00E90E4F"/>
    <w:rsid w:val="00E9134F"/>
    <w:rsid w:val="00E914DB"/>
    <w:rsid w:val="00E9183A"/>
    <w:rsid w:val="00E919B4"/>
    <w:rsid w:val="00E91AB9"/>
    <w:rsid w:val="00E91AE3"/>
    <w:rsid w:val="00E91BEF"/>
    <w:rsid w:val="00E9207D"/>
    <w:rsid w:val="00E92638"/>
    <w:rsid w:val="00E9316B"/>
    <w:rsid w:val="00E93430"/>
    <w:rsid w:val="00E93D60"/>
    <w:rsid w:val="00E940DE"/>
    <w:rsid w:val="00E94B62"/>
    <w:rsid w:val="00E94DED"/>
    <w:rsid w:val="00E9516C"/>
    <w:rsid w:val="00E954BE"/>
    <w:rsid w:val="00E95828"/>
    <w:rsid w:val="00E959C6"/>
    <w:rsid w:val="00E95C0A"/>
    <w:rsid w:val="00E95D1A"/>
    <w:rsid w:val="00E95E53"/>
    <w:rsid w:val="00E967F8"/>
    <w:rsid w:val="00E969EF"/>
    <w:rsid w:val="00E96CFB"/>
    <w:rsid w:val="00E97199"/>
    <w:rsid w:val="00E97AE2"/>
    <w:rsid w:val="00E97FE3"/>
    <w:rsid w:val="00EA01D5"/>
    <w:rsid w:val="00EA0639"/>
    <w:rsid w:val="00EA0AE0"/>
    <w:rsid w:val="00EA0BEB"/>
    <w:rsid w:val="00EA0FE2"/>
    <w:rsid w:val="00EA118E"/>
    <w:rsid w:val="00EA1F1D"/>
    <w:rsid w:val="00EA2199"/>
    <w:rsid w:val="00EA2B35"/>
    <w:rsid w:val="00EA3297"/>
    <w:rsid w:val="00EA362B"/>
    <w:rsid w:val="00EA36B4"/>
    <w:rsid w:val="00EA3E45"/>
    <w:rsid w:val="00EA402E"/>
    <w:rsid w:val="00EA4083"/>
    <w:rsid w:val="00EA449D"/>
    <w:rsid w:val="00EA4504"/>
    <w:rsid w:val="00EA4818"/>
    <w:rsid w:val="00EA4AAE"/>
    <w:rsid w:val="00EA4CEA"/>
    <w:rsid w:val="00EA50AF"/>
    <w:rsid w:val="00EA582C"/>
    <w:rsid w:val="00EA59F7"/>
    <w:rsid w:val="00EA5B29"/>
    <w:rsid w:val="00EA5C02"/>
    <w:rsid w:val="00EA675D"/>
    <w:rsid w:val="00EA67E1"/>
    <w:rsid w:val="00EA691D"/>
    <w:rsid w:val="00EA6A9E"/>
    <w:rsid w:val="00EA70D9"/>
    <w:rsid w:val="00EA798D"/>
    <w:rsid w:val="00EA7F94"/>
    <w:rsid w:val="00EB05B5"/>
    <w:rsid w:val="00EB05E9"/>
    <w:rsid w:val="00EB0B4D"/>
    <w:rsid w:val="00EB12DA"/>
    <w:rsid w:val="00EB144D"/>
    <w:rsid w:val="00EB2051"/>
    <w:rsid w:val="00EB20B3"/>
    <w:rsid w:val="00EB230E"/>
    <w:rsid w:val="00EB33D2"/>
    <w:rsid w:val="00EB37A5"/>
    <w:rsid w:val="00EB3CB9"/>
    <w:rsid w:val="00EB3D00"/>
    <w:rsid w:val="00EB3E52"/>
    <w:rsid w:val="00EB400E"/>
    <w:rsid w:val="00EB4400"/>
    <w:rsid w:val="00EB4661"/>
    <w:rsid w:val="00EB4718"/>
    <w:rsid w:val="00EB47DF"/>
    <w:rsid w:val="00EB4D1A"/>
    <w:rsid w:val="00EB588D"/>
    <w:rsid w:val="00EB59DD"/>
    <w:rsid w:val="00EB5A75"/>
    <w:rsid w:val="00EB6A1E"/>
    <w:rsid w:val="00EB6B5C"/>
    <w:rsid w:val="00EB6E24"/>
    <w:rsid w:val="00EB6E7C"/>
    <w:rsid w:val="00EB6EC4"/>
    <w:rsid w:val="00EB74A0"/>
    <w:rsid w:val="00EB7742"/>
    <w:rsid w:val="00EB7AD5"/>
    <w:rsid w:val="00EB7B8B"/>
    <w:rsid w:val="00EB7E34"/>
    <w:rsid w:val="00EC019A"/>
    <w:rsid w:val="00EC01AF"/>
    <w:rsid w:val="00EC0207"/>
    <w:rsid w:val="00EC038B"/>
    <w:rsid w:val="00EC0E7C"/>
    <w:rsid w:val="00EC1767"/>
    <w:rsid w:val="00EC1779"/>
    <w:rsid w:val="00EC1840"/>
    <w:rsid w:val="00EC1AC3"/>
    <w:rsid w:val="00EC227B"/>
    <w:rsid w:val="00EC2646"/>
    <w:rsid w:val="00EC2945"/>
    <w:rsid w:val="00EC2984"/>
    <w:rsid w:val="00EC32B4"/>
    <w:rsid w:val="00EC33D6"/>
    <w:rsid w:val="00EC36DA"/>
    <w:rsid w:val="00EC3946"/>
    <w:rsid w:val="00EC3CDA"/>
    <w:rsid w:val="00EC3ED2"/>
    <w:rsid w:val="00EC3FB2"/>
    <w:rsid w:val="00EC4306"/>
    <w:rsid w:val="00EC44D6"/>
    <w:rsid w:val="00EC46BB"/>
    <w:rsid w:val="00EC4710"/>
    <w:rsid w:val="00EC48D0"/>
    <w:rsid w:val="00EC49D1"/>
    <w:rsid w:val="00EC4DBE"/>
    <w:rsid w:val="00EC4F69"/>
    <w:rsid w:val="00EC4F86"/>
    <w:rsid w:val="00EC5141"/>
    <w:rsid w:val="00EC58F5"/>
    <w:rsid w:val="00EC6075"/>
    <w:rsid w:val="00EC6997"/>
    <w:rsid w:val="00EC6B7B"/>
    <w:rsid w:val="00EC6C75"/>
    <w:rsid w:val="00EC6DD1"/>
    <w:rsid w:val="00EC79C1"/>
    <w:rsid w:val="00EC7DDE"/>
    <w:rsid w:val="00ED04D1"/>
    <w:rsid w:val="00ED080E"/>
    <w:rsid w:val="00ED0A21"/>
    <w:rsid w:val="00ED121B"/>
    <w:rsid w:val="00ED1755"/>
    <w:rsid w:val="00ED1DD3"/>
    <w:rsid w:val="00ED2797"/>
    <w:rsid w:val="00ED2A2D"/>
    <w:rsid w:val="00ED2CB1"/>
    <w:rsid w:val="00ED2D59"/>
    <w:rsid w:val="00ED3780"/>
    <w:rsid w:val="00ED3B8A"/>
    <w:rsid w:val="00ED3CE2"/>
    <w:rsid w:val="00ED3FD0"/>
    <w:rsid w:val="00ED401E"/>
    <w:rsid w:val="00ED416B"/>
    <w:rsid w:val="00ED438E"/>
    <w:rsid w:val="00ED4611"/>
    <w:rsid w:val="00ED46C4"/>
    <w:rsid w:val="00ED46D8"/>
    <w:rsid w:val="00ED48AF"/>
    <w:rsid w:val="00ED49BA"/>
    <w:rsid w:val="00ED4CB6"/>
    <w:rsid w:val="00ED4CC3"/>
    <w:rsid w:val="00ED543C"/>
    <w:rsid w:val="00ED571D"/>
    <w:rsid w:val="00ED5C27"/>
    <w:rsid w:val="00ED60D0"/>
    <w:rsid w:val="00ED6696"/>
    <w:rsid w:val="00ED66E8"/>
    <w:rsid w:val="00ED677F"/>
    <w:rsid w:val="00ED69BF"/>
    <w:rsid w:val="00ED69E4"/>
    <w:rsid w:val="00ED6A92"/>
    <w:rsid w:val="00ED6DDE"/>
    <w:rsid w:val="00ED7262"/>
    <w:rsid w:val="00ED7BB2"/>
    <w:rsid w:val="00EE010C"/>
    <w:rsid w:val="00EE02D1"/>
    <w:rsid w:val="00EE0600"/>
    <w:rsid w:val="00EE0AE8"/>
    <w:rsid w:val="00EE0F99"/>
    <w:rsid w:val="00EE1100"/>
    <w:rsid w:val="00EE1118"/>
    <w:rsid w:val="00EE13DB"/>
    <w:rsid w:val="00EE15AA"/>
    <w:rsid w:val="00EE16E6"/>
    <w:rsid w:val="00EE2046"/>
    <w:rsid w:val="00EE2168"/>
    <w:rsid w:val="00EE2A1F"/>
    <w:rsid w:val="00EE2AFC"/>
    <w:rsid w:val="00EE2DCA"/>
    <w:rsid w:val="00EE34C8"/>
    <w:rsid w:val="00EE3938"/>
    <w:rsid w:val="00EE39DB"/>
    <w:rsid w:val="00EE3B16"/>
    <w:rsid w:val="00EE402F"/>
    <w:rsid w:val="00EE41ED"/>
    <w:rsid w:val="00EE44AA"/>
    <w:rsid w:val="00EE4565"/>
    <w:rsid w:val="00EE4715"/>
    <w:rsid w:val="00EE47AC"/>
    <w:rsid w:val="00EE4A4A"/>
    <w:rsid w:val="00EE4BED"/>
    <w:rsid w:val="00EE513C"/>
    <w:rsid w:val="00EE5218"/>
    <w:rsid w:val="00EE5241"/>
    <w:rsid w:val="00EE563B"/>
    <w:rsid w:val="00EE5A20"/>
    <w:rsid w:val="00EE5EFD"/>
    <w:rsid w:val="00EE610C"/>
    <w:rsid w:val="00EE6600"/>
    <w:rsid w:val="00EE6C27"/>
    <w:rsid w:val="00EE6D54"/>
    <w:rsid w:val="00EE6DBA"/>
    <w:rsid w:val="00EE7100"/>
    <w:rsid w:val="00EE723B"/>
    <w:rsid w:val="00EE7416"/>
    <w:rsid w:val="00EE7868"/>
    <w:rsid w:val="00EE7B45"/>
    <w:rsid w:val="00EE7D01"/>
    <w:rsid w:val="00EF03E6"/>
    <w:rsid w:val="00EF0490"/>
    <w:rsid w:val="00EF071E"/>
    <w:rsid w:val="00EF0900"/>
    <w:rsid w:val="00EF0916"/>
    <w:rsid w:val="00EF0E1F"/>
    <w:rsid w:val="00EF11D9"/>
    <w:rsid w:val="00EF166B"/>
    <w:rsid w:val="00EF1C0B"/>
    <w:rsid w:val="00EF1FDE"/>
    <w:rsid w:val="00EF2518"/>
    <w:rsid w:val="00EF25D9"/>
    <w:rsid w:val="00EF26BC"/>
    <w:rsid w:val="00EF2C44"/>
    <w:rsid w:val="00EF2EC5"/>
    <w:rsid w:val="00EF3054"/>
    <w:rsid w:val="00EF32D6"/>
    <w:rsid w:val="00EF41E2"/>
    <w:rsid w:val="00EF445F"/>
    <w:rsid w:val="00EF49FF"/>
    <w:rsid w:val="00EF4D02"/>
    <w:rsid w:val="00EF4EC9"/>
    <w:rsid w:val="00EF4FF0"/>
    <w:rsid w:val="00EF53B8"/>
    <w:rsid w:val="00EF573B"/>
    <w:rsid w:val="00EF5CC1"/>
    <w:rsid w:val="00EF5CDD"/>
    <w:rsid w:val="00EF5D4F"/>
    <w:rsid w:val="00EF5EFB"/>
    <w:rsid w:val="00EF60C9"/>
    <w:rsid w:val="00EF6A98"/>
    <w:rsid w:val="00EF6AF8"/>
    <w:rsid w:val="00EF73AA"/>
    <w:rsid w:val="00EF74BD"/>
    <w:rsid w:val="00EF7D99"/>
    <w:rsid w:val="00EF7F08"/>
    <w:rsid w:val="00F002A3"/>
    <w:rsid w:val="00F0094E"/>
    <w:rsid w:val="00F00AF8"/>
    <w:rsid w:val="00F00F81"/>
    <w:rsid w:val="00F0108A"/>
    <w:rsid w:val="00F011D6"/>
    <w:rsid w:val="00F01385"/>
    <w:rsid w:val="00F01414"/>
    <w:rsid w:val="00F014F9"/>
    <w:rsid w:val="00F0153D"/>
    <w:rsid w:val="00F01C23"/>
    <w:rsid w:val="00F02017"/>
    <w:rsid w:val="00F021A8"/>
    <w:rsid w:val="00F02336"/>
    <w:rsid w:val="00F0237A"/>
    <w:rsid w:val="00F02A82"/>
    <w:rsid w:val="00F02D8F"/>
    <w:rsid w:val="00F02E5C"/>
    <w:rsid w:val="00F02F1E"/>
    <w:rsid w:val="00F03122"/>
    <w:rsid w:val="00F03206"/>
    <w:rsid w:val="00F03C9E"/>
    <w:rsid w:val="00F03F1F"/>
    <w:rsid w:val="00F0451C"/>
    <w:rsid w:val="00F045D3"/>
    <w:rsid w:val="00F049BA"/>
    <w:rsid w:val="00F051F0"/>
    <w:rsid w:val="00F0541F"/>
    <w:rsid w:val="00F056CC"/>
    <w:rsid w:val="00F057DA"/>
    <w:rsid w:val="00F05AE8"/>
    <w:rsid w:val="00F05EE6"/>
    <w:rsid w:val="00F06261"/>
    <w:rsid w:val="00F066F2"/>
    <w:rsid w:val="00F06BCE"/>
    <w:rsid w:val="00F07050"/>
    <w:rsid w:val="00F0755A"/>
    <w:rsid w:val="00F07751"/>
    <w:rsid w:val="00F07799"/>
    <w:rsid w:val="00F10315"/>
    <w:rsid w:val="00F10459"/>
    <w:rsid w:val="00F107B2"/>
    <w:rsid w:val="00F107B6"/>
    <w:rsid w:val="00F10D30"/>
    <w:rsid w:val="00F11425"/>
    <w:rsid w:val="00F116B4"/>
    <w:rsid w:val="00F116D7"/>
    <w:rsid w:val="00F1177B"/>
    <w:rsid w:val="00F127B3"/>
    <w:rsid w:val="00F1347F"/>
    <w:rsid w:val="00F1369C"/>
    <w:rsid w:val="00F136F3"/>
    <w:rsid w:val="00F13815"/>
    <w:rsid w:val="00F13A01"/>
    <w:rsid w:val="00F13A74"/>
    <w:rsid w:val="00F13E55"/>
    <w:rsid w:val="00F14013"/>
    <w:rsid w:val="00F14143"/>
    <w:rsid w:val="00F1420F"/>
    <w:rsid w:val="00F14500"/>
    <w:rsid w:val="00F148AA"/>
    <w:rsid w:val="00F14A72"/>
    <w:rsid w:val="00F14F88"/>
    <w:rsid w:val="00F15081"/>
    <w:rsid w:val="00F150D1"/>
    <w:rsid w:val="00F152C3"/>
    <w:rsid w:val="00F154EF"/>
    <w:rsid w:val="00F15603"/>
    <w:rsid w:val="00F15634"/>
    <w:rsid w:val="00F1576C"/>
    <w:rsid w:val="00F157A0"/>
    <w:rsid w:val="00F15A0D"/>
    <w:rsid w:val="00F15CDD"/>
    <w:rsid w:val="00F15D9D"/>
    <w:rsid w:val="00F17485"/>
    <w:rsid w:val="00F17B42"/>
    <w:rsid w:val="00F17BA1"/>
    <w:rsid w:val="00F200D7"/>
    <w:rsid w:val="00F201C6"/>
    <w:rsid w:val="00F201E6"/>
    <w:rsid w:val="00F2028D"/>
    <w:rsid w:val="00F2030E"/>
    <w:rsid w:val="00F20DF9"/>
    <w:rsid w:val="00F21323"/>
    <w:rsid w:val="00F21407"/>
    <w:rsid w:val="00F215AA"/>
    <w:rsid w:val="00F21C90"/>
    <w:rsid w:val="00F220AB"/>
    <w:rsid w:val="00F22193"/>
    <w:rsid w:val="00F22271"/>
    <w:rsid w:val="00F22874"/>
    <w:rsid w:val="00F228DE"/>
    <w:rsid w:val="00F229ED"/>
    <w:rsid w:val="00F22B80"/>
    <w:rsid w:val="00F22C84"/>
    <w:rsid w:val="00F22D79"/>
    <w:rsid w:val="00F232FB"/>
    <w:rsid w:val="00F2332E"/>
    <w:rsid w:val="00F23360"/>
    <w:rsid w:val="00F23398"/>
    <w:rsid w:val="00F23523"/>
    <w:rsid w:val="00F2374F"/>
    <w:rsid w:val="00F2387F"/>
    <w:rsid w:val="00F23979"/>
    <w:rsid w:val="00F23D94"/>
    <w:rsid w:val="00F240AF"/>
    <w:rsid w:val="00F2413C"/>
    <w:rsid w:val="00F24D15"/>
    <w:rsid w:val="00F25034"/>
    <w:rsid w:val="00F25470"/>
    <w:rsid w:val="00F25677"/>
    <w:rsid w:val="00F259ED"/>
    <w:rsid w:val="00F25C85"/>
    <w:rsid w:val="00F25F17"/>
    <w:rsid w:val="00F264C8"/>
    <w:rsid w:val="00F2657F"/>
    <w:rsid w:val="00F2670F"/>
    <w:rsid w:val="00F268EE"/>
    <w:rsid w:val="00F27412"/>
    <w:rsid w:val="00F27743"/>
    <w:rsid w:val="00F277AC"/>
    <w:rsid w:val="00F278CB"/>
    <w:rsid w:val="00F27A69"/>
    <w:rsid w:val="00F27C72"/>
    <w:rsid w:val="00F30206"/>
    <w:rsid w:val="00F3021A"/>
    <w:rsid w:val="00F30302"/>
    <w:rsid w:val="00F30749"/>
    <w:rsid w:val="00F30C21"/>
    <w:rsid w:val="00F30F19"/>
    <w:rsid w:val="00F30F9D"/>
    <w:rsid w:val="00F31109"/>
    <w:rsid w:val="00F31270"/>
    <w:rsid w:val="00F31272"/>
    <w:rsid w:val="00F31434"/>
    <w:rsid w:val="00F3152F"/>
    <w:rsid w:val="00F31ACA"/>
    <w:rsid w:val="00F3226D"/>
    <w:rsid w:val="00F323D2"/>
    <w:rsid w:val="00F32442"/>
    <w:rsid w:val="00F325AA"/>
    <w:rsid w:val="00F3282A"/>
    <w:rsid w:val="00F32950"/>
    <w:rsid w:val="00F329FA"/>
    <w:rsid w:val="00F32D86"/>
    <w:rsid w:val="00F32E0F"/>
    <w:rsid w:val="00F33731"/>
    <w:rsid w:val="00F338D6"/>
    <w:rsid w:val="00F33D00"/>
    <w:rsid w:val="00F34389"/>
    <w:rsid w:val="00F3454D"/>
    <w:rsid w:val="00F34A15"/>
    <w:rsid w:val="00F34B14"/>
    <w:rsid w:val="00F34C1C"/>
    <w:rsid w:val="00F35006"/>
    <w:rsid w:val="00F351F5"/>
    <w:rsid w:val="00F3571B"/>
    <w:rsid w:val="00F357F3"/>
    <w:rsid w:val="00F35B51"/>
    <w:rsid w:val="00F35EDE"/>
    <w:rsid w:val="00F35F09"/>
    <w:rsid w:val="00F35FF0"/>
    <w:rsid w:val="00F3627E"/>
    <w:rsid w:val="00F366E1"/>
    <w:rsid w:val="00F36D4D"/>
    <w:rsid w:val="00F36EB5"/>
    <w:rsid w:val="00F36F2E"/>
    <w:rsid w:val="00F379C5"/>
    <w:rsid w:val="00F407B9"/>
    <w:rsid w:val="00F40B1B"/>
    <w:rsid w:val="00F40C47"/>
    <w:rsid w:val="00F40E26"/>
    <w:rsid w:val="00F40ECE"/>
    <w:rsid w:val="00F41C0C"/>
    <w:rsid w:val="00F41CA5"/>
    <w:rsid w:val="00F41F49"/>
    <w:rsid w:val="00F4218E"/>
    <w:rsid w:val="00F425FD"/>
    <w:rsid w:val="00F4265E"/>
    <w:rsid w:val="00F4278B"/>
    <w:rsid w:val="00F4285B"/>
    <w:rsid w:val="00F42941"/>
    <w:rsid w:val="00F42A69"/>
    <w:rsid w:val="00F42CC8"/>
    <w:rsid w:val="00F42E17"/>
    <w:rsid w:val="00F4324D"/>
    <w:rsid w:val="00F4340D"/>
    <w:rsid w:val="00F43452"/>
    <w:rsid w:val="00F436B9"/>
    <w:rsid w:val="00F437AB"/>
    <w:rsid w:val="00F43A15"/>
    <w:rsid w:val="00F43C23"/>
    <w:rsid w:val="00F43F38"/>
    <w:rsid w:val="00F441AE"/>
    <w:rsid w:val="00F4457E"/>
    <w:rsid w:val="00F451EE"/>
    <w:rsid w:val="00F45427"/>
    <w:rsid w:val="00F455A9"/>
    <w:rsid w:val="00F455BA"/>
    <w:rsid w:val="00F4572B"/>
    <w:rsid w:val="00F46160"/>
    <w:rsid w:val="00F461EC"/>
    <w:rsid w:val="00F46769"/>
    <w:rsid w:val="00F46922"/>
    <w:rsid w:val="00F46B82"/>
    <w:rsid w:val="00F46CF9"/>
    <w:rsid w:val="00F47CC8"/>
    <w:rsid w:val="00F5011C"/>
    <w:rsid w:val="00F501A9"/>
    <w:rsid w:val="00F50482"/>
    <w:rsid w:val="00F50BC5"/>
    <w:rsid w:val="00F50C75"/>
    <w:rsid w:val="00F513D2"/>
    <w:rsid w:val="00F5181C"/>
    <w:rsid w:val="00F51AC9"/>
    <w:rsid w:val="00F51D78"/>
    <w:rsid w:val="00F51E21"/>
    <w:rsid w:val="00F5253C"/>
    <w:rsid w:val="00F527DE"/>
    <w:rsid w:val="00F529BB"/>
    <w:rsid w:val="00F52A81"/>
    <w:rsid w:val="00F52AB7"/>
    <w:rsid w:val="00F52C82"/>
    <w:rsid w:val="00F52E2C"/>
    <w:rsid w:val="00F531F5"/>
    <w:rsid w:val="00F53501"/>
    <w:rsid w:val="00F535EE"/>
    <w:rsid w:val="00F53732"/>
    <w:rsid w:val="00F53EC8"/>
    <w:rsid w:val="00F54146"/>
    <w:rsid w:val="00F543BC"/>
    <w:rsid w:val="00F54784"/>
    <w:rsid w:val="00F5486A"/>
    <w:rsid w:val="00F54CA3"/>
    <w:rsid w:val="00F55214"/>
    <w:rsid w:val="00F5524C"/>
    <w:rsid w:val="00F5529C"/>
    <w:rsid w:val="00F55451"/>
    <w:rsid w:val="00F558C0"/>
    <w:rsid w:val="00F55C7A"/>
    <w:rsid w:val="00F55E63"/>
    <w:rsid w:val="00F561E5"/>
    <w:rsid w:val="00F5626B"/>
    <w:rsid w:val="00F56657"/>
    <w:rsid w:val="00F566C3"/>
    <w:rsid w:val="00F5688E"/>
    <w:rsid w:val="00F5699E"/>
    <w:rsid w:val="00F56AAD"/>
    <w:rsid w:val="00F570F4"/>
    <w:rsid w:val="00F57345"/>
    <w:rsid w:val="00F57984"/>
    <w:rsid w:val="00F57C8A"/>
    <w:rsid w:val="00F57D24"/>
    <w:rsid w:val="00F57F59"/>
    <w:rsid w:val="00F606F9"/>
    <w:rsid w:val="00F60B1F"/>
    <w:rsid w:val="00F60B7D"/>
    <w:rsid w:val="00F61156"/>
    <w:rsid w:val="00F6117B"/>
    <w:rsid w:val="00F6127B"/>
    <w:rsid w:val="00F61458"/>
    <w:rsid w:val="00F61539"/>
    <w:rsid w:val="00F617EF"/>
    <w:rsid w:val="00F61C47"/>
    <w:rsid w:val="00F61DA6"/>
    <w:rsid w:val="00F61E78"/>
    <w:rsid w:val="00F62D46"/>
    <w:rsid w:val="00F633F6"/>
    <w:rsid w:val="00F63533"/>
    <w:rsid w:val="00F63558"/>
    <w:rsid w:val="00F635D5"/>
    <w:rsid w:val="00F63D23"/>
    <w:rsid w:val="00F63FC1"/>
    <w:rsid w:val="00F64955"/>
    <w:rsid w:val="00F64B93"/>
    <w:rsid w:val="00F64C06"/>
    <w:rsid w:val="00F64E18"/>
    <w:rsid w:val="00F650AE"/>
    <w:rsid w:val="00F6564C"/>
    <w:rsid w:val="00F6580E"/>
    <w:rsid w:val="00F659CD"/>
    <w:rsid w:val="00F65DFC"/>
    <w:rsid w:val="00F65E6F"/>
    <w:rsid w:val="00F66054"/>
    <w:rsid w:val="00F662EE"/>
    <w:rsid w:val="00F6630E"/>
    <w:rsid w:val="00F66519"/>
    <w:rsid w:val="00F66670"/>
    <w:rsid w:val="00F66769"/>
    <w:rsid w:val="00F66C6A"/>
    <w:rsid w:val="00F66D17"/>
    <w:rsid w:val="00F67048"/>
    <w:rsid w:val="00F67105"/>
    <w:rsid w:val="00F6739C"/>
    <w:rsid w:val="00F674D0"/>
    <w:rsid w:val="00F678A8"/>
    <w:rsid w:val="00F67987"/>
    <w:rsid w:val="00F67FF2"/>
    <w:rsid w:val="00F70129"/>
    <w:rsid w:val="00F7034C"/>
    <w:rsid w:val="00F71182"/>
    <w:rsid w:val="00F712D8"/>
    <w:rsid w:val="00F717B1"/>
    <w:rsid w:val="00F718E3"/>
    <w:rsid w:val="00F71963"/>
    <w:rsid w:val="00F71E15"/>
    <w:rsid w:val="00F71F00"/>
    <w:rsid w:val="00F72317"/>
    <w:rsid w:val="00F724B6"/>
    <w:rsid w:val="00F725E7"/>
    <w:rsid w:val="00F727FC"/>
    <w:rsid w:val="00F72A85"/>
    <w:rsid w:val="00F72E37"/>
    <w:rsid w:val="00F72E8F"/>
    <w:rsid w:val="00F73299"/>
    <w:rsid w:val="00F7335D"/>
    <w:rsid w:val="00F73743"/>
    <w:rsid w:val="00F7385F"/>
    <w:rsid w:val="00F73A5F"/>
    <w:rsid w:val="00F73B91"/>
    <w:rsid w:val="00F74133"/>
    <w:rsid w:val="00F74422"/>
    <w:rsid w:val="00F74646"/>
    <w:rsid w:val="00F74B4C"/>
    <w:rsid w:val="00F75117"/>
    <w:rsid w:val="00F7559F"/>
    <w:rsid w:val="00F756AF"/>
    <w:rsid w:val="00F75B02"/>
    <w:rsid w:val="00F75DB4"/>
    <w:rsid w:val="00F7622B"/>
    <w:rsid w:val="00F767FF"/>
    <w:rsid w:val="00F7686A"/>
    <w:rsid w:val="00F76F8C"/>
    <w:rsid w:val="00F770BF"/>
    <w:rsid w:val="00F77721"/>
    <w:rsid w:val="00F7785B"/>
    <w:rsid w:val="00F80AC3"/>
    <w:rsid w:val="00F80B0B"/>
    <w:rsid w:val="00F81185"/>
    <w:rsid w:val="00F81622"/>
    <w:rsid w:val="00F816D9"/>
    <w:rsid w:val="00F81DE9"/>
    <w:rsid w:val="00F820CC"/>
    <w:rsid w:val="00F82635"/>
    <w:rsid w:val="00F828B3"/>
    <w:rsid w:val="00F82906"/>
    <w:rsid w:val="00F830E0"/>
    <w:rsid w:val="00F838DD"/>
    <w:rsid w:val="00F83FF2"/>
    <w:rsid w:val="00F841AB"/>
    <w:rsid w:val="00F84372"/>
    <w:rsid w:val="00F84FCD"/>
    <w:rsid w:val="00F85060"/>
    <w:rsid w:val="00F850D8"/>
    <w:rsid w:val="00F8511B"/>
    <w:rsid w:val="00F851EF"/>
    <w:rsid w:val="00F85B63"/>
    <w:rsid w:val="00F85E73"/>
    <w:rsid w:val="00F86689"/>
    <w:rsid w:val="00F8676B"/>
    <w:rsid w:val="00F86956"/>
    <w:rsid w:val="00F86964"/>
    <w:rsid w:val="00F86C5B"/>
    <w:rsid w:val="00F86C9C"/>
    <w:rsid w:val="00F86EE5"/>
    <w:rsid w:val="00F872D2"/>
    <w:rsid w:val="00F873F5"/>
    <w:rsid w:val="00F874C2"/>
    <w:rsid w:val="00F87ACD"/>
    <w:rsid w:val="00F87D69"/>
    <w:rsid w:val="00F90041"/>
    <w:rsid w:val="00F909A7"/>
    <w:rsid w:val="00F90CF1"/>
    <w:rsid w:val="00F90D18"/>
    <w:rsid w:val="00F90D25"/>
    <w:rsid w:val="00F9108F"/>
    <w:rsid w:val="00F91475"/>
    <w:rsid w:val="00F916C6"/>
    <w:rsid w:val="00F916F8"/>
    <w:rsid w:val="00F91784"/>
    <w:rsid w:val="00F917E1"/>
    <w:rsid w:val="00F91B4C"/>
    <w:rsid w:val="00F91C7C"/>
    <w:rsid w:val="00F92250"/>
    <w:rsid w:val="00F92894"/>
    <w:rsid w:val="00F9296B"/>
    <w:rsid w:val="00F9297C"/>
    <w:rsid w:val="00F92CEE"/>
    <w:rsid w:val="00F92D29"/>
    <w:rsid w:val="00F92D50"/>
    <w:rsid w:val="00F9365F"/>
    <w:rsid w:val="00F93B0B"/>
    <w:rsid w:val="00F93B32"/>
    <w:rsid w:val="00F93D68"/>
    <w:rsid w:val="00F93F2B"/>
    <w:rsid w:val="00F9422C"/>
    <w:rsid w:val="00F94619"/>
    <w:rsid w:val="00F9472E"/>
    <w:rsid w:val="00F947A2"/>
    <w:rsid w:val="00F9487A"/>
    <w:rsid w:val="00F94889"/>
    <w:rsid w:val="00F94C7A"/>
    <w:rsid w:val="00F94D1F"/>
    <w:rsid w:val="00F94E64"/>
    <w:rsid w:val="00F9500F"/>
    <w:rsid w:val="00F954D9"/>
    <w:rsid w:val="00F955CE"/>
    <w:rsid w:val="00F95867"/>
    <w:rsid w:val="00F95BF2"/>
    <w:rsid w:val="00F95C06"/>
    <w:rsid w:val="00F95E62"/>
    <w:rsid w:val="00F9611E"/>
    <w:rsid w:val="00F96758"/>
    <w:rsid w:val="00F96D2A"/>
    <w:rsid w:val="00F96EEF"/>
    <w:rsid w:val="00F96FF9"/>
    <w:rsid w:val="00F9700C"/>
    <w:rsid w:val="00F97713"/>
    <w:rsid w:val="00FA0881"/>
    <w:rsid w:val="00FA0A03"/>
    <w:rsid w:val="00FA0AAD"/>
    <w:rsid w:val="00FA0B81"/>
    <w:rsid w:val="00FA0C19"/>
    <w:rsid w:val="00FA0E46"/>
    <w:rsid w:val="00FA0E5A"/>
    <w:rsid w:val="00FA0EE9"/>
    <w:rsid w:val="00FA110D"/>
    <w:rsid w:val="00FA1160"/>
    <w:rsid w:val="00FA1219"/>
    <w:rsid w:val="00FA1E38"/>
    <w:rsid w:val="00FA1FB0"/>
    <w:rsid w:val="00FA22D4"/>
    <w:rsid w:val="00FA2F73"/>
    <w:rsid w:val="00FA3155"/>
    <w:rsid w:val="00FA3DF2"/>
    <w:rsid w:val="00FA42D0"/>
    <w:rsid w:val="00FA4473"/>
    <w:rsid w:val="00FA4568"/>
    <w:rsid w:val="00FA4594"/>
    <w:rsid w:val="00FA466A"/>
    <w:rsid w:val="00FA4F1D"/>
    <w:rsid w:val="00FA4FBB"/>
    <w:rsid w:val="00FA5162"/>
    <w:rsid w:val="00FA5575"/>
    <w:rsid w:val="00FA59DD"/>
    <w:rsid w:val="00FA5C02"/>
    <w:rsid w:val="00FA5CFE"/>
    <w:rsid w:val="00FA5F3B"/>
    <w:rsid w:val="00FA61A0"/>
    <w:rsid w:val="00FA6363"/>
    <w:rsid w:val="00FA6809"/>
    <w:rsid w:val="00FA6FEB"/>
    <w:rsid w:val="00FA7221"/>
    <w:rsid w:val="00FA7962"/>
    <w:rsid w:val="00FA7CA6"/>
    <w:rsid w:val="00FA7DA5"/>
    <w:rsid w:val="00FA7FD1"/>
    <w:rsid w:val="00FB0624"/>
    <w:rsid w:val="00FB07ED"/>
    <w:rsid w:val="00FB0A86"/>
    <w:rsid w:val="00FB0C77"/>
    <w:rsid w:val="00FB0F4A"/>
    <w:rsid w:val="00FB13BF"/>
    <w:rsid w:val="00FB2483"/>
    <w:rsid w:val="00FB2826"/>
    <w:rsid w:val="00FB29D2"/>
    <w:rsid w:val="00FB2A0E"/>
    <w:rsid w:val="00FB2B15"/>
    <w:rsid w:val="00FB2E36"/>
    <w:rsid w:val="00FB2F0B"/>
    <w:rsid w:val="00FB311A"/>
    <w:rsid w:val="00FB357E"/>
    <w:rsid w:val="00FB38D2"/>
    <w:rsid w:val="00FB3B6A"/>
    <w:rsid w:val="00FB400D"/>
    <w:rsid w:val="00FB4645"/>
    <w:rsid w:val="00FB4CF1"/>
    <w:rsid w:val="00FB4EB4"/>
    <w:rsid w:val="00FB504E"/>
    <w:rsid w:val="00FB56F4"/>
    <w:rsid w:val="00FB584C"/>
    <w:rsid w:val="00FB5F03"/>
    <w:rsid w:val="00FB5F1A"/>
    <w:rsid w:val="00FB630B"/>
    <w:rsid w:val="00FB66A9"/>
    <w:rsid w:val="00FB6C88"/>
    <w:rsid w:val="00FB708C"/>
    <w:rsid w:val="00FC015E"/>
    <w:rsid w:val="00FC08AD"/>
    <w:rsid w:val="00FC08C4"/>
    <w:rsid w:val="00FC0D7A"/>
    <w:rsid w:val="00FC1058"/>
    <w:rsid w:val="00FC12C7"/>
    <w:rsid w:val="00FC14B8"/>
    <w:rsid w:val="00FC1903"/>
    <w:rsid w:val="00FC1E4E"/>
    <w:rsid w:val="00FC2150"/>
    <w:rsid w:val="00FC21CA"/>
    <w:rsid w:val="00FC25AE"/>
    <w:rsid w:val="00FC25BD"/>
    <w:rsid w:val="00FC26FF"/>
    <w:rsid w:val="00FC2E2F"/>
    <w:rsid w:val="00FC3A7F"/>
    <w:rsid w:val="00FC3ACD"/>
    <w:rsid w:val="00FC3D75"/>
    <w:rsid w:val="00FC3E3C"/>
    <w:rsid w:val="00FC3EAC"/>
    <w:rsid w:val="00FC4597"/>
    <w:rsid w:val="00FC45AD"/>
    <w:rsid w:val="00FC48F4"/>
    <w:rsid w:val="00FC491D"/>
    <w:rsid w:val="00FC4B4E"/>
    <w:rsid w:val="00FC528A"/>
    <w:rsid w:val="00FC542A"/>
    <w:rsid w:val="00FC55CE"/>
    <w:rsid w:val="00FC58C0"/>
    <w:rsid w:val="00FC5FCF"/>
    <w:rsid w:val="00FC668B"/>
    <w:rsid w:val="00FC7432"/>
    <w:rsid w:val="00FC7928"/>
    <w:rsid w:val="00FC7E64"/>
    <w:rsid w:val="00FD063B"/>
    <w:rsid w:val="00FD0BAD"/>
    <w:rsid w:val="00FD0D80"/>
    <w:rsid w:val="00FD13A5"/>
    <w:rsid w:val="00FD154D"/>
    <w:rsid w:val="00FD16AA"/>
    <w:rsid w:val="00FD16AC"/>
    <w:rsid w:val="00FD1961"/>
    <w:rsid w:val="00FD199C"/>
    <w:rsid w:val="00FD1D94"/>
    <w:rsid w:val="00FD207D"/>
    <w:rsid w:val="00FD20C1"/>
    <w:rsid w:val="00FD2237"/>
    <w:rsid w:val="00FD28A2"/>
    <w:rsid w:val="00FD28FC"/>
    <w:rsid w:val="00FD2D6D"/>
    <w:rsid w:val="00FD2FB5"/>
    <w:rsid w:val="00FD3044"/>
    <w:rsid w:val="00FD3822"/>
    <w:rsid w:val="00FD3D3D"/>
    <w:rsid w:val="00FD3DF3"/>
    <w:rsid w:val="00FD3F0F"/>
    <w:rsid w:val="00FD430C"/>
    <w:rsid w:val="00FD480B"/>
    <w:rsid w:val="00FD49A0"/>
    <w:rsid w:val="00FD4C59"/>
    <w:rsid w:val="00FD50B6"/>
    <w:rsid w:val="00FD5158"/>
    <w:rsid w:val="00FD531B"/>
    <w:rsid w:val="00FD53F7"/>
    <w:rsid w:val="00FD5BAB"/>
    <w:rsid w:val="00FD5BD0"/>
    <w:rsid w:val="00FD5DFF"/>
    <w:rsid w:val="00FD5FE9"/>
    <w:rsid w:val="00FD6262"/>
    <w:rsid w:val="00FD644F"/>
    <w:rsid w:val="00FD6480"/>
    <w:rsid w:val="00FD693E"/>
    <w:rsid w:val="00FD7205"/>
    <w:rsid w:val="00FD7256"/>
    <w:rsid w:val="00FD72A7"/>
    <w:rsid w:val="00FD74E3"/>
    <w:rsid w:val="00FD7BB3"/>
    <w:rsid w:val="00FD7DB3"/>
    <w:rsid w:val="00FE006F"/>
    <w:rsid w:val="00FE0153"/>
    <w:rsid w:val="00FE0795"/>
    <w:rsid w:val="00FE0F20"/>
    <w:rsid w:val="00FE1119"/>
    <w:rsid w:val="00FE17A4"/>
    <w:rsid w:val="00FE1B74"/>
    <w:rsid w:val="00FE1DDD"/>
    <w:rsid w:val="00FE1E91"/>
    <w:rsid w:val="00FE200A"/>
    <w:rsid w:val="00FE2655"/>
    <w:rsid w:val="00FE2689"/>
    <w:rsid w:val="00FE2875"/>
    <w:rsid w:val="00FE2A78"/>
    <w:rsid w:val="00FE2B40"/>
    <w:rsid w:val="00FE2E49"/>
    <w:rsid w:val="00FE3157"/>
    <w:rsid w:val="00FE33BF"/>
    <w:rsid w:val="00FE353D"/>
    <w:rsid w:val="00FE35ED"/>
    <w:rsid w:val="00FE3A62"/>
    <w:rsid w:val="00FE3AC6"/>
    <w:rsid w:val="00FE3AE6"/>
    <w:rsid w:val="00FE3C32"/>
    <w:rsid w:val="00FE4249"/>
    <w:rsid w:val="00FE43ED"/>
    <w:rsid w:val="00FE4758"/>
    <w:rsid w:val="00FE4EAD"/>
    <w:rsid w:val="00FE51B4"/>
    <w:rsid w:val="00FE5E11"/>
    <w:rsid w:val="00FE5FA9"/>
    <w:rsid w:val="00FE6179"/>
    <w:rsid w:val="00FE69E6"/>
    <w:rsid w:val="00FE6B12"/>
    <w:rsid w:val="00FE7115"/>
    <w:rsid w:val="00FE7715"/>
    <w:rsid w:val="00FE791F"/>
    <w:rsid w:val="00FE7F45"/>
    <w:rsid w:val="00FF015E"/>
    <w:rsid w:val="00FF0730"/>
    <w:rsid w:val="00FF0D24"/>
    <w:rsid w:val="00FF1503"/>
    <w:rsid w:val="00FF158E"/>
    <w:rsid w:val="00FF1CA9"/>
    <w:rsid w:val="00FF1FAC"/>
    <w:rsid w:val="00FF21D9"/>
    <w:rsid w:val="00FF26D4"/>
    <w:rsid w:val="00FF272F"/>
    <w:rsid w:val="00FF2AF5"/>
    <w:rsid w:val="00FF2D57"/>
    <w:rsid w:val="00FF2E1F"/>
    <w:rsid w:val="00FF387D"/>
    <w:rsid w:val="00FF3903"/>
    <w:rsid w:val="00FF3917"/>
    <w:rsid w:val="00FF43CD"/>
    <w:rsid w:val="00FF52EA"/>
    <w:rsid w:val="00FF5981"/>
    <w:rsid w:val="00FF5AF8"/>
    <w:rsid w:val="00FF5CF5"/>
    <w:rsid w:val="00FF5E5B"/>
    <w:rsid w:val="00FF5FE7"/>
    <w:rsid w:val="00FF61C9"/>
    <w:rsid w:val="00FF63B5"/>
    <w:rsid w:val="00FF66AC"/>
    <w:rsid w:val="00FF66FA"/>
    <w:rsid w:val="00FF6CA5"/>
    <w:rsid w:val="00FF7356"/>
    <w:rsid w:val="00FF7376"/>
    <w:rsid w:val="00FF7C1E"/>
    <w:rsid w:val="00FF7D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50530"/>
    <o:shapelayout v:ext="edit">
      <o:idmap v:ext="edit" data="1"/>
      <o:rules v:ext="edit">
        <o:r id="V:Rule10" type="connector" idref="#_x0000_s1174"/>
        <o:r id="V:Rule11" type="connector" idref="#_x0000_s1160">
          <o:proxy start="" idref="#_x0000_s1158" connectloc="0"/>
          <o:proxy end="" idref="#_x0000_s1159" connectloc="0"/>
        </o:r>
        <o:r id="V:Rule12" type="connector" idref="#_x0000_s1220"/>
        <o:r id="V:Rule13" type="connector" idref="#_x0000_s1124">
          <o:proxy start="" idref="#_x0000_s1122" connectloc="4"/>
          <o:proxy end="" idref="#_x0000_s1121" connectloc="4"/>
        </o:r>
        <o:r id="V:Rule14" type="connector" idref="#_x0000_s1123">
          <o:proxy start="" idref="#_x0000_s1121" connectloc="0"/>
          <o:proxy end="" idref="#_x0000_s1122" connectloc="0"/>
        </o:r>
        <o:r id="V:Rule15" type="connector" idref="#_x0000_s1137"/>
        <o:r id="V:Rule16" type="connector" idref="#_x0000_s1138"/>
        <o:r id="V:Rule17" type="connector" idref="#_x0000_s1175"/>
        <o:r id="V:Rule18" type="connector" idref="#_x0000_s1161">
          <o:proxy start="" idref="#_x0000_s1159" connectloc="4"/>
          <o:proxy end="" idref="#_x0000_s1158" connectloc="4"/>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0F99"/>
    <w:rPr>
      <w:sz w:val="24"/>
      <w:szCs w:val="24"/>
    </w:rPr>
  </w:style>
  <w:style w:type="paragraph" w:styleId="Heading1">
    <w:name w:val="heading 1"/>
    <w:basedOn w:val="Normal"/>
    <w:next w:val="Normal"/>
    <w:link w:val="Heading1Char"/>
    <w:qFormat/>
    <w:rsid w:val="00890A4A"/>
    <w:pPr>
      <w:keepNext/>
      <w:keepLines/>
      <w:spacing w:before="320"/>
      <w:outlineLvl w:val="0"/>
    </w:pPr>
    <w:rPr>
      <w:rFonts w:ascii="Arial" w:hAnsi="Arial"/>
      <w:b/>
      <w:bCs/>
      <w:sz w:val="32"/>
      <w:szCs w:val="32"/>
      <w:u w:val="single"/>
    </w:rPr>
  </w:style>
  <w:style w:type="paragraph" w:styleId="Heading2">
    <w:name w:val="heading 2"/>
    <w:aliases w:val="H2"/>
    <w:basedOn w:val="Normal"/>
    <w:next w:val="Normal"/>
    <w:qFormat/>
    <w:rsid w:val="00890A4A"/>
    <w:pPr>
      <w:keepNext/>
      <w:keepLines/>
      <w:spacing w:before="280"/>
      <w:outlineLvl w:val="1"/>
    </w:pPr>
    <w:rPr>
      <w:rFonts w:ascii="Arial" w:hAnsi="Arial"/>
      <w:b/>
      <w:bCs/>
      <w:sz w:val="28"/>
      <w:szCs w:val="28"/>
      <w:u w:val="single"/>
    </w:rPr>
  </w:style>
  <w:style w:type="paragraph" w:styleId="Heading3">
    <w:name w:val="heading 3"/>
    <w:basedOn w:val="Normal"/>
    <w:next w:val="Normal"/>
    <w:link w:val="Heading3Char"/>
    <w:qFormat/>
    <w:rsid w:val="00890A4A"/>
    <w:pPr>
      <w:keepNext/>
      <w:keepLines/>
      <w:spacing w:before="240" w:after="60"/>
      <w:outlineLvl w:val="2"/>
    </w:pPr>
    <w:rPr>
      <w:rFonts w:ascii="Arial" w:hAnsi="Arial"/>
      <w:b/>
      <w:bCs/>
    </w:rPr>
  </w:style>
  <w:style w:type="paragraph" w:styleId="Heading4">
    <w:name w:val="heading 4"/>
    <w:basedOn w:val="Normal"/>
    <w:next w:val="Normal"/>
    <w:link w:val="Heading4Char1"/>
    <w:qFormat/>
    <w:rsid w:val="00DE0B2C"/>
    <w:pPr>
      <w:keepNext/>
      <w:tabs>
        <w:tab w:val="left" w:pos="907"/>
      </w:tabs>
      <w:spacing w:before="240" w:after="120"/>
      <w:outlineLvl w:val="3"/>
    </w:pPr>
    <w:rPr>
      <w:rFonts w:ascii="Helvetica" w:eastAsia="MS Mincho" w:hAnsi="Helvetica"/>
      <w:b/>
      <w:szCs w:val="20"/>
      <w:lang w:bidi="ar-SA"/>
    </w:rPr>
  </w:style>
  <w:style w:type="paragraph" w:styleId="Heading5">
    <w:name w:val="heading 5"/>
    <w:basedOn w:val="Normal"/>
    <w:next w:val="NormalIndent"/>
    <w:link w:val="Heading5Char"/>
    <w:qFormat/>
    <w:rsid w:val="00890A4A"/>
    <w:pPr>
      <w:keepNext/>
      <w:tabs>
        <w:tab w:val="left" w:pos="1152"/>
      </w:tabs>
      <w:spacing w:before="240" w:after="120"/>
      <w:jc w:val="both"/>
      <w:outlineLvl w:val="4"/>
    </w:pPr>
    <w:rPr>
      <w:rFonts w:ascii="Helvetica" w:eastAsia="MS Mincho" w:hAnsi="Helvetica"/>
      <w:b/>
      <w:szCs w:val="20"/>
      <w:lang w:bidi="ar-SA"/>
    </w:rPr>
  </w:style>
  <w:style w:type="paragraph" w:styleId="Heading6">
    <w:name w:val="heading 6"/>
    <w:basedOn w:val="Normal"/>
    <w:next w:val="NormalIndent"/>
    <w:qFormat/>
    <w:rsid w:val="00890A4A"/>
    <w:pPr>
      <w:keepNext/>
      <w:spacing w:before="240" w:after="120"/>
      <w:jc w:val="both"/>
      <w:outlineLvl w:val="5"/>
    </w:pPr>
    <w:rPr>
      <w:rFonts w:ascii="Helvetica" w:eastAsia="MS Mincho" w:hAnsi="Helvetica"/>
      <w:b/>
      <w:szCs w:val="20"/>
      <w:lang w:bidi="ar-SA"/>
    </w:rPr>
  </w:style>
  <w:style w:type="paragraph" w:styleId="Heading7">
    <w:name w:val="heading 7"/>
    <w:basedOn w:val="Normal"/>
    <w:next w:val="NormalIndent"/>
    <w:qFormat/>
    <w:rsid w:val="00890A4A"/>
    <w:pPr>
      <w:keepNext/>
      <w:spacing w:before="240" w:after="120"/>
      <w:jc w:val="both"/>
      <w:outlineLvl w:val="6"/>
    </w:pPr>
    <w:rPr>
      <w:rFonts w:ascii="Helvetica" w:eastAsia="MS Mincho" w:hAnsi="Helvetica"/>
      <w:i/>
      <w:szCs w:val="20"/>
      <w:lang w:bidi="ar-SA"/>
    </w:rPr>
  </w:style>
  <w:style w:type="paragraph" w:styleId="Heading8">
    <w:name w:val="heading 8"/>
    <w:basedOn w:val="Normal"/>
    <w:next w:val="NormalIndent"/>
    <w:qFormat/>
    <w:rsid w:val="00890A4A"/>
    <w:pPr>
      <w:keepNext/>
      <w:spacing w:before="240" w:after="120"/>
      <w:jc w:val="both"/>
      <w:outlineLvl w:val="7"/>
    </w:pPr>
    <w:rPr>
      <w:rFonts w:ascii="Helvetica" w:eastAsia="MS Mincho" w:hAnsi="Helvetica"/>
      <w:i/>
      <w:szCs w:val="20"/>
      <w:lang w:bidi="ar-SA"/>
    </w:rPr>
  </w:style>
  <w:style w:type="paragraph" w:styleId="Heading9">
    <w:name w:val="heading 9"/>
    <w:basedOn w:val="Heading1"/>
    <w:qFormat/>
    <w:rsid w:val="00890A4A"/>
    <w:pPr>
      <w:keepNext w:val="0"/>
      <w:keepLines w:val="0"/>
      <w:tabs>
        <w:tab w:val="left" w:pos="1872"/>
      </w:tabs>
      <w:spacing w:before="240" w:after="120"/>
      <w:jc w:val="both"/>
      <w:outlineLvl w:val="8"/>
    </w:pPr>
    <w:rPr>
      <w:rFonts w:ascii="Helvetica" w:eastAsia="MS Mincho" w:hAnsi="Helvetica"/>
      <w:bCs w:val="0"/>
      <w:szCs w:val="20"/>
      <w:u w:val="non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90A4A"/>
    <w:pPr>
      <w:pBdr>
        <w:top w:val="single" w:sz="6" w:space="1" w:color="auto"/>
      </w:pBdr>
      <w:tabs>
        <w:tab w:val="center" w:pos="6480"/>
        <w:tab w:val="right" w:pos="12960"/>
      </w:tabs>
    </w:pPr>
  </w:style>
  <w:style w:type="paragraph" w:styleId="Header">
    <w:name w:val="header"/>
    <w:basedOn w:val="Normal"/>
    <w:rsid w:val="00890A4A"/>
    <w:pPr>
      <w:pBdr>
        <w:bottom w:val="single" w:sz="6" w:space="2" w:color="auto"/>
      </w:pBdr>
      <w:tabs>
        <w:tab w:val="center" w:pos="6480"/>
        <w:tab w:val="right" w:pos="12960"/>
      </w:tabs>
    </w:pPr>
    <w:rPr>
      <w:b/>
      <w:bCs/>
      <w:sz w:val="28"/>
      <w:szCs w:val="28"/>
    </w:rPr>
  </w:style>
  <w:style w:type="paragraph" w:customStyle="1" w:styleId="T1">
    <w:name w:val="T1"/>
    <w:basedOn w:val="Normal"/>
    <w:rsid w:val="00890A4A"/>
    <w:pPr>
      <w:jc w:val="center"/>
    </w:pPr>
    <w:rPr>
      <w:b/>
      <w:bCs/>
      <w:sz w:val="28"/>
      <w:szCs w:val="28"/>
    </w:rPr>
  </w:style>
  <w:style w:type="paragraph" w:customStyle="1" w:styleId="T2">
    <w:name w:val="T2"/>
    <w:basedOn w:val="T1"/>
    <w:rsid w:val="00890A4A"/>
    <w:pPr>
      <w:spacing w:after="240"/>
      <w:ind w:left="720" w:right="720"/>
    </w:pPr>
  </w:style>
  <w:style w:type="paragraph" w:customStyle="1" w:styleId="T3">
    <w:name w:val="T3"/>
    <w:basedOn w:val="T1"/>
    <w:rsid w:val="00890A4A"/>
    <w:pPr>
      <w:pBdr>
        <w:bottom w:val="single" w:sz="6" w:space="1" w:color="auto"/>
      </w:pBdr>
      <w:tabs>
        <w:tab w:val="center" w:pos="4680"/>
      </w:tabs>
      <w:spacing w:after="240"/>
      <w:jc w:val="left"/>
    </w:pPr>
    <w:rPr>
      <w:b w:val="0"/>
      <w:bCs w:val="0"/>
      <w:sz w:val="24"/>
      <w:szCs w:val="24"/>
    </w:rPr>
  </w:style>
  <w:style w:type="paragraph" w:styleId="BodyTextIndent">
    <w:name w:val="Body Text Indent"/>
    <w:basedOn w:val="Normal"/>
    <w:link w:val="BodyTextIndentChar"/>
    <w:rsid w:val="00890A4A"/>
    <w:pPr>
      <w:ind w:left="720" w:hanging="720"/>
    </w:pPr>
    <w:rPr>
      <w:sz w:val="22"/>
    </w:rPr>
  </w:style>
  <w:style w:type="character" w:styleId="Hyperlink">
    <w:name w:val="Hyperlink"/>
    <w:basedOn w:val="DefaultParagraphFont"/>
    <w:uiPriority w:val="99"/>
    <w:rsid w:val="00890A4A"/>
    <w:rPr>
      <w:color w:val="0000FF"/>
      <w:u w:val="single"/>
    </w:rPr>
  </w:style>
  <w:style w:type="character" w:customStyle="1" w:styleId="Heading1Char">
    <w:name w:val="Heading 1 Char"/>
    <w:basedOn w:val="DefaultParagraphFont"/>
    <w:link w:val="Heading1"/>
    <w:rsid w:val="00890A4A"/>
    <w:rPr>
      <w:rFonts w:ascii="Arial" w:hAnsi="Arial"/>
      <w:b/>
      <w:bCs/>
      <w:sz w:val="32"/>
      <w:szCs w:val="32"/>
      <w:u w:val="single"/>
      <w:lang w:val="en-US" w:eastAsia="en-US" w:bidi="he-IL"/>
    </w:rPr>
  </w:style>
  <w:style w:type="character" w:customStyle="1" w:styleId="Heading4Char1">
    <w:name w:val="Heading 4 Char1"/>
    <w:basedOn w:val="DefaultParagraphFont"/>
    <w:link w:val="Heading4"/>
    <w:rsid w:val="00DE0B2C"/>
    <w:rPr>
      <w:rFonts w:ascii="Helvetica" w:eastAsia="MS Mincho" w:hAnsi="Helvetica"/>
      <w:b/>
      <w:sz w:val="24"/>
      <w:lang w:bidi="ar-SA"/>
    </w:rPr>
  </w:style>
  <w:style w:type="paragraph" w:styleId="NormalIndent">
    <w:name w:val="Normal Indent"/>
    <w:basedOn w:val="Normal"/>
    <w:rsid w:val="00890A4A"/>
    <w:pPr>
      <w:spacing w:before="60" w:after="60"/>
      <w:ind w:left="432"/>
      <w:jc w:val="both"/>
    </w:pPr>
    <w:rPr>
      <w:rFonts w:ascii="Helvetica" w:eastAsia="MS Mincho" w:hAnsi="Helvetica"/>
      <w:szCs w:val="20"/>
      <w:lang w:bidi="ar-SA"/>
    </w:rPr>
  </w:style>
  <w:style w:type="paragraph" w:customStyle="1" w:styleId="Code">
    <w:name w:val="Code"/>
    <w:basedOn w:val="Normal"/>
    <w:rsid w:val="00890A4A"/>
    <w:pPr>
      <w:spacing w:before="60" w:after="60"/>
      <w:jc w:val="both"/>
    </w:pPr>
    <w:rPr>
      <w:rFonts w:ascii="Courier" w:eastAsia="MS Mincho" w:hAnsi="Courier"/>
      <w:szCs w:val="20"/>
      <w:lang w:bidi="ar-SA"/>
    </w:rPr>
  </w:style>
  <w:style w:type="paragraph" w:customStyle="1" w:styleId="reference">
    <w:name w:val="reference"/>
    <w:basedOn w:val="Normal"/>
    <w:rsid w:val="00890A4A"/>
    <w:pPr>
      <w:keepLines/>
      <w:spacing w:before="60" w:after="120"/>
      <w:ind w:left="864" w:hanging="864"/>
      <w:jc w:val="both"/>
    </w:pPr>
    <w:rPr>
      <w:rFonts w:ascii="Helvetica" w:eastAsia="MS Mincho" w:hAnsi="Helvetica"/>
      <w:szCs w:val="20"/>
      <w:lang w:bidi="ar-SA"/>
    </w:rPr>
  </w:style>
  <w:style w:type="paragraph" w:customStyle="1" w:styleId="ToCHeading">
    <w:name w:val="ToC Heading"/>
    <w:basedOn w:val="Normal"/>
    <w:next w:val="Normal"/>
    <w:rsid w:val="00890A4A"/>
    <w:pPr>
      <w:spacing w:before="60" w:after="240"/>
      <w:jc w:val="both"/>
    </w:pPr>
    <w:rPr>
      <w:rFonts w:ascii="Helvetica" w:eastAsia="MS Mincho" w:hAnsi="Helvetica"/>
      <w:b/>
      <w:caps/>
      <w:sz w:val="26"/>
      <w:szCs w:val="20"/>
      <w:lang w:bidi="ar-SA"/>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uiPriority w:val="99"/>
    <w:qFormat/>
    <w:rsid w:val="00BA5BC4"/>
    <w:pPr>
      <w:spacing w:before="120" w:after="120"/>
      <w:jc w:val="center"/>
    </w:pPr>
    <w:rPr>
      <w:rFonts w:ascii="Arial" w:eastAsia="MS Mincho" w:hAnsi="Arial"/>
      <w:b/>
      <w:szCs w:val="20"/>
      <w:lang w:bidi="ar-SA"/>
    </w:rPr>
  </w:style>
  <w:style w:type="paragraph" w:customStyle="1" w:styleId="bodyclose">
    <w:name w:val="body: close"/>
    <w:basedOn w:val="Normal"/>
    <w:rsid w:val="00890A4A"/>
    <w:pPr>
      <w:spacing w:before="60" w:after="60"/>
      <w:jc w:val="both"/>
    </w:pPr>
    <w:rPr>
      <w:rFonts w:ascii="Times" w:eastAsia="Batang" w:hAnsi="Times"/>
      <w:sz w:val="20"/>
      <w:szCs w:val="20"/>
      <w:lang w:bidi="ar-SA"/>
    </w:rPr>
  </w:style>
  <w:style w:type="paragraph" w:customStyle="1" w:styleId="bodyclose0">
    <w:name w:val="body : close"/>
    <w:basedOn w:val="Normal"/>
    <w:rsid w:val="00890A4A"/>
    <w:pPr>
      <w:spacing w:before="60" w:after="60"/>
      <w:ind w:firstLine="720"/>
      <w:jc w:val="both"/>
    </w:pPr>
    <w:rPr>
      <w:rFonts w:ascii="Arial" w:eastAsia="Batang" w:hAnsi="Arial"/>
      <w:sz w:val="20"/>
      <w:szCs w:val="20"/>
      <w:lang w:bidi="ar-SA"/>
    </w:rPr>
  </w:style>
  <w:style w:type="paragraph" w:customStyle="1" w:styleId="bodyChar">
    <w:name w:val="body Char"/>
    <w:rsid w:val="00890A4A"/>
    <w:pPr>
      <w:spacing w:after="120"/>
    </w:pPr>
    <w:rPr>
      <w:rFonts w:eastAsia="MS Mincho"/>
      <w:lang w:bidi="ar-SA"/>
    </w:rPr>
  </w:style>
  <w:style w:type="paragraph" w:customStyle="1" w:styleId="BodyChar2CharCharCharCharCharCharChar">
    <w:name w:val="Body Char2 Char Char Char Char Char Char Char"/>
    <w:basedOn w:val="Normal"/>
    <w:rsid w:val="00890A4A"/>
    <w:pPr>
      <w:spacing w:before="200" w:after="60"/>
      <w:jc w:val="both"/>
    </w:pPr>
    <w:rPr>
      <w:rFonts w:eastAsia="MS Mincho"/>
      <w:color w:val="000000"/>
      <w:szCs w:val="20"/>
      <w:lang w:bidi="ar-SA"/>
    </w:rPr>
  </w:style>
  <w:style w:type="paragraph" w:customStyle="1" w:styleId="ProductFeature2ndBullet">
    <w:name w:val="Product Feature 2ndBullet"/>
    <w:rsid w:val="00890A4A"/>
    <w:pPr>
      <w:tabs>
        <w:tab w:val="num" w:pos="0"/>
      </w:tabs>
      <w:ind w:left="648" w:hanging="360"/>
    </w:pPr>
    <w:rPr>
      <w:rFonts w:eastAsia="MS Mincho"/>
      <w:noProof/>
      <w:lang w:bidi="ar-SA"/>
    </w:rPr>
  </w:style>
  <w:style w:type="paragraph" w:customStyle="1" w:styleId="Tablenotes">
    <w:name w:val="Table notes"/>
    <w:rsid w:val="00890A4A"/>
    <w:pPr>
      <w:tabs>
        <w:tab w:val="num" w:pos="2160"/>
      </w:tabs>
      <w:spacing w:before="20" w:after="20"/>
      <w:ind w:left="2880" w:hanging="1440"/>
    </w:pPr>
    <w:rPr>
      <w:rFonts w:ascii="Helvetica" w:eastAsia="MS Mincho" w:hAnsi="Helvetica"/>
      <w:noProof/>
      <w:sz w:val="14"/>
      <w:lang w:bidi="ar-SA"/>
    </w:rPr>
  </w:style>
  <w:style w:type="paragraph" w:customStyle="1" w:styleId="bullets">
    <w:name w:val="bullets"/>
    <w:rsid w:val="00890A4A"/>
    <w:pPr>
      <w:tabs>
        <w:tab w:val="num" w:pos="1800"/>
      </w:tabs>
      <w:spacing w:before="40" w:after="40"/>
      <w:ind w:left="1800" w:hanging="360"/>
    </w:pPr>
    <w:rPr>
      <w:rFonts w:eastAsia="MS Mincho"/>
      <w:noProof/>
      <w:lang w:bidi="ar-SA"/>
    </w:rPr>
  </w:style>
  <w:style w:type="paragraph" w:customStyle="1" w:styleId="Tablenote">
    <w:name w:val="Table note"/>
    <w:rsid w:val="00890A4A"/>
    <w:pPr>
      <w:tabs>
        <w:tab w:val="num" w:pos="720"/>
      </w:tabs>
      <w:ind w:left="2160" w:hanging="720"/>
    </w:pPr>
    <w:rPr>
      <w:rFonts w:ascii="Helvetica" w:eastAsia="MS Mincho" w:hAnsi="Helvetica"/>
      <w:noProof/>
      <w:sz w:val="14"/>
      <w:lang w:bidi="ar-SA"/>
    </w:rPr>
  </w:style>
  <w:style w:type="paragraph" w:customStyle="1" w:styleId="NumList">
    <w:name w:val="NumList"/>
    <w:rsid w:val="00890A4A"/>
    <w:pPr>
      <w:tabs>
        <w:tab w:val="num" w:pos="1800"/>
      </w:tabs>
      <w:spacing w:before="40" w:after="40"/>
      <w:ind w:left="1800" w:hanging="360"/>
    </w:pPr>
    <w:rPr>
      <w:rFonts w:eastAsia="MS Mincho"/>
      <w:noProof/>
      <w:lang w:bidi="ar-SA"/>
    </w:rPr>
  </w:style>
  <w:style w:type="paragraph" w:customStyle="1" w:styleId="Warning">
    <w:name w:val="Warning"/>
    <w:basedOn w:val="BodyChar2CharCharCharCharCharCharChar"/>
    <w:next w:val="BodyChar2CharCharCharCharCharCharChar"/>
    <w:rsid w:val="00890A4A"/>
    <w:pPr>
      <w:tabs>
        <w:tab w:val="left" w:pos="1300"/>
      </w:tabs>
      <w:spacing w:before="260" w:line="220" w:lineRule="exact"/>
      <w:ind w:left="1300" w:hanging="1000"/>
    </w:pPr>
  </w:style>
  <w:style w:type="paragraph" w:customStyle="1" w:styleId="Tablenotes2">
    <w:name w:val="Table notes2"/>
    <w:rsid w:val="00890A4A"/>
    <w:pPr>
      <w:tabs>
        <w:tab w:val="num" w:pos="1800"/>
      </w:tabs>
      <w:ind w:left="1800" w:hanging="360"/>
    </w:pPr>
    <w:rPr>
      <w:rFonts w:eastAsia="MS Mincho"/>
      <w:noProof/>
      <w:sz w:val="16"/>
      <w:lang w:bidi="ar-SA"/>
    </w:rPr>
  </w:style>
  <w:style w:type="paragraph" w:customStyle="1" w:styleId="Note">
    <w:name w:val="Note"/>
    <w:basedOn w:val="BodyChar2CharCharCharCharCharCharChar"/>
    <w:next w:val="BodyChar2CharCharCharCharCharCharChar"/>
    <w:rsid w:val="00890A4A"/>
    <w:pPr>
      <w:tabs>
        <w:tab w:val="left" w:pos="1300"/>
      </w:tabs>
      <w:spacing w:before="260" w:line="220" w:lineRule="exact"/>
      <w:ind w:left="1300" w:hanging="656"/>
    </w:pPr>
  </w:style>
  <w:style w:type="paragraph" w:customStyle="1" w:styleId="CellBodyBullet">
    <w:name w:val="CellBodyBullet"/>
    <w:basedOn w:val="Bullet"/>
    <w:rsid w:val="00890A4A"/>
    <w:pPr>
      <w:tabs>
        <w:tab w:val="clear" w:pos="360"/>
        <w:tab w:val="num" w:pos="0"/>
        <w:tab w:val="left" w:pos="180"/>
        <w:tab w:val="left" w:pos="720"/>
      </w:tabs>
      <w:spacing w:before="60"/>
      <w:ind w:left="200" w:right="20" w:hanging="180"/>
    </w:pPr>
    <w:rPr>
      <w:rFonts w:ascii="Arial" w:hAnsi="Arial"/>
      <w:color w:val="auto"/>
      <w:sz w:val="16"/>
    </w:rPr>
  </w:style>
  <w:style w:type="paragraph" w:customStyle="1" w:styleId="Bullet">
    <w:name w:val="Bullet"/>
    <w:basedOn w:val="BodyChar2CharCharCharCharCharCharChar"/>
    <w:rsid w:val="00890A4A"/>
    <w:pPr>
      <w:tabs>
        <w:tab w:val="num" w:pos="360"/>
      </w:tabs>
      <w:spacing w:before="120"/>
      <w:ind w:left="1696" w:hanging="216"/>
    </w:pPr>
  </w:style>
  <w:style w:type="paragraph" w:customStyle="1" w:styleId="CellBodyBulletSub">
    <w:name w:val="CellBodyBulletSub"/>
    <w:basedOn w:val="CellBodyBullet"/>
    <w:rsid w:val="00890A4A"/>
    <w:pPr>
      <w:tabs>
        <w:tab w:val="clear" w:pos="0"/>
        <w:tab w:val="clear" w:pos="180"/>
        <w:tab w:val="clear" w:pos="720"/>
        <w:tab w:val="num" w:pos="432"/>
      </w:tabs>
      <w:spacing w:before="0"/>
      <w:ind w:left="396" w:hanging="216"/>
    </w:pPr>
  </w:style>
  <w:style w:type="paragraph" w:customStyle="1" w:styleId="Spacer">
    <w:name w:val="Spacer"/>
    <w:basedOn w:val="BodyChar2CharCharCharCharCharCharChar"/>
    <w:rsid w:val="00890A4A"/>
    <w:pPr>
      <w:spacing w:before="0"/>
      <w:ind w:left="1300"/>
      <w:outlineLvl w:val="0"/>
    </w:pPr>
    <w:rPr>
      <w:sz w:val="12"/>
    </w:rPr>
  </w:style>
  <w:style w:type="paragraph" w:customStyle="1" w:styleId="BulletSub">
    <w:name w:val="Bullet Sub"/>
    <w:basedOn w:val="Bullet"/>
    <w:rsid w:val="00890A4A"/>
    <w:pPr>
      <w:tabs>
        <w:tab w:val="clear" w:pos="360"/>
        <w:tab w:val="num" w:pos="720"/>
        <w:tab w:val="left" w:pos="1900"/>
      </w:tabs>
      <w:spacing w:before="0"/>
      <w:ind w:left="2100" w:hanging="360"/>
    </w:pPr>
  </w:style>
  <w:style w:type="paragraph" w:customStyle="1" w:styleId="Caution">
    <w:name w:val="Caution"/>
    <w:basedOn w:val="BodyChar2CharCharCharCharCharCharChar"/>
    <w:next w:val="BodyChar2CharCharCharCharCharCharChar"/>
    <w:rsid w:val="00890A4A"/>
    <w:pPr>
      <w:tabs>
        <w:tab w:val="num" w:pos="1080"/>
        <w:tab w:val="left" w:pos="1300"/>
      </w:tabs>
      <w:spacing w:before="260" w:line="240" w:lineRule="exact"/>
      <w:ind w:left="1320" w:hanging="954"/>
    </w:pPr>
  </w:style>
  <w:style w:type="paragraph" w:customStyle="1" w:styleId="FeatureBullet">
    <w:name w:val="FeatureBullet"/>
    <w:basedOn w:val="BodyChar2CharCharCharCharCharCharChar"/>
    <w:rsid w:val="00890A4A"/>
    <w:pPr>
      <w:tabs>
        <w:tab w:val="left" w:pos="60"/>
      </w:tabs>
      <w:spacing w:before="60" w:line="200" w:lineRule="exact"/>
      <w:ind w:left="60" w:hanging="180"/>
    </w:pPr>
  </w:style>
  <w:style w:type="paragraph" w:customStyle="1" w:styleId="FeatureBulletSub">
    <w:name w:val="FeatureBulletSub"/>
    <w:basedOn w:val="BodyChar2CharCharCharCharCharCharChar"/>
    <w:rsid w:val="00890A4A"/>
    <w:pPr>
      <w:tabs>
        <w:tab w:val="num" w:pos="360"/>
      </w:tabs>
      <w:spacing w:before="0"/>
      <w:ind w:left="360" w:hanging="240"/>
    </w:pPr>
    <w:rPr>
      <w:color w:val="auto"/>
    </w:rPr>
  </w:style>
  <w:style w:type="paragraph" w:customStyle="1" w:styleId="TableNotes0">
    <w:name w:val="TableNotes"/>
    <w:basedOn w:val="Normal"/>
    <w:rsid w:val="00890A4A"/>
    <w:pPr>
      <w:tabs>
        <w:tab w:val="num" w:pos="720"/>
      </w:tabs>
      <w:spacing w:before="60" w:after="60"/>
      <w:ind w:left="1660" w:hanging="360"/>
      <w:jc w:val="both"/>
      <w:outlineLvl w:val="0"/>
    </w:pPr>
    <w:rPr>
      <w:rFonts w:ascii="Arial" w:eastAsia="MS Mincho" w:hAnsi="Arial"/>
      <w:sz w:val="16"/>
      <w:szCs w:val="20"/>
      <w:lang w:bidi="ar-SA"/>
    </w:rPr>
  </w:style>
  <w:style w:type="paragraph" w:customStyle="1" w:styleId="TableNotesStep">
    <w:name w:val="TableNotesStep"/>
    <w:basedOn w:val="Normal"/>
    <w:autoRedefine/>
    <w:rsid w:val="00890A4A"/>
    <w:pPr>
      <w:tabs>
        <w:tab w:val="left" w:pos="1800"/>
      </w:tabs>
      <w:spacing w:before="60" w:after="60"/>
      <w:ind w:left="1800" w:hanging="260"/>
      <w:jc w:val="both"/>
      <w:outlineLvl w:val="1"/>
    </w:pPr>
    <w:rPr>
      <w:rFonts w:ascii="Arial" w:eastAsia="MS Mincho" w:hAnsi="Arial"/>
      <w:sz w:val="16"/>
      <w:szCs w:val="20"/>
      <w:lang w:bidi="ar-SA"/>
    </w:rPr>
  </w:style>
  <w:style w:type="paragraph" w:customStyle="1" w:styleId="CellBitClear">
    <w:name w:val="CellBitClear"/>
    <w:basedOn w:val="CellBodyLeft"/>
    <w:rsid w:val="00890A4A"/>
    <w:pPr>
      <w:tabs>
        <w:tab w:val="left" w:pos="340"/>
        <w:tab w:val="num" w:pos="1080"/>
      </w:tabs>
      <w:spacing w:before="0" w:after="0" w:line="180" w:lineRule="exact"/>
      <w:ind w:left="360" w:hanging="340"/>
    </w:pPr>
  </w:style>
  <w:style w:type="paragraph" w:customStyle="1" w:styleId="CellBodyLeft">
    <w:name w:val="CellBodyLeft"/>
    <w:basedOn w:val="BodyChar2CharCharCharCharCharCharChar"/>
    <w:rsid w:val="00890A4A"/>
    <w:pPr>
      <w:keepLines/>
      <w:tabs>
        <w:tab w:val="left" w:pos="240"/>
        <w:tab w:val="left" w:pos="480"/>
        <w:tab w:val="left" w:pos="720"/>
        <w:tab w:val="left" w:pos="960"/>
        <w:tab w:val="left" w:pos="1200"/>
        <w:tab w:val="left" w:pos="1440"/>
        <w:tab w:val="left" w:pos="1680"/>
        <w:tab w:val="left" w:pos="1920"/>
      </w:tabs>
      <w:spacing w:before="60" w:line="200" w:lineRule="exact"/>
      <w:ind w:left="20" w:right="20"/>
    </w:pPr>
    <w:rPr>
      <w:rFonts w:ascii="Arial" w:hAnsi="Arial"/>
      <w:sz w:val="16"/>
    </w:rPr>
  </w:style>
  <w:style w:type="paragraph" w:customStyle="1" w:styleId="CellBitSet">
    <w:name w:val="CellBitSet"/>
    <w:basedOn w:val="CellBitClear"/>
    <w:rsid w:val="00890A4A"/>
    <w:pPr>
      <w:tabs>
        <w:tab w:val="clear" w:pos="1080"/>
        <w:tab w:val="num" w:pos="720"/>
      </w:tabs>
      <w:ind w:left="380" w:hanging="360"/>
    </w:pPr>
  </w:style>
  <w:style w:type="paragraph" w:customStyle="1" w:styleId="DefinitionBullet">
    <w:name w:val="DefinitionBullet"/>
    <w:basedOn w:val="Definition"/>
    <w:rsid w:val="00890A4A"/>
    <w:pPr>
      <w:tabs>
        <w:tab w:val="clear" w:pos="2160"/>
        <w:tab w:val="clear" w:pos="2880"/>
        <w:tab w:val="clear" w:pos="3240"/>
        <w:tab w:val="center" w:pos="2340"/>
      </w:tabs>
      <w:spacing w:before="120"/>
      <w:ind w:left="2736" w:hanging="216"/>
    </w:pPr>
  </w:style>
  <w:style w:type="paragraph" w:customStyle="1" w:styleId="Definition">
    <w:name w:val="Definition"/>
    <w:basedOn w:val="BodyChar2CharCharCharCharCharCharChar"/>
    <w:rsid w:val="00890A4A"/>
    <w:pPr>
      <w:tabs>
        <w:tab w:val="left" w:pos="2160"/>
        <w:tab w:val="left" w:pos="2520"/>
        <w:tab w:val="left" w:pos="2880"/>
        <w:tab w:val="left" w:pos="3240"/>
      </w:tabs>
      <w:spacing w:before="140" w:line="220" w:lineRule="exact"/>
      <w:ind w:left="2160"/>
    </w:pPr>
  </w:style>
  <w:style w:type="paragraph" w:customStyle="1" w:styleId="TableNote0">
    <w:name w:val="TableNote"/>
    <w:rsid w:val="00890A4A"/>
    <w:pPr>
      <w:tabs>
        <w:tab w:val="num" w:pos="3456"/>
      </w:tabs>
      <w:spacing w:before="60"/>
      <w:ind w:left="3456" w:hanging="720"/>
    </w:pPr>
    <w:rPr>
      <w:rFonts w:ascii="Arial" w:eastAsia="MS Mincho" w:hAnsi="Arial"/>
      <w:sz w:val="16"/>
      <w:lang w:bidi="ar-SA"/>
    </w:rPr>
  </w:style>
  <w:style w:type="paragraph" w:styleId="BalloonText">
    <w:name w:val="Balloon Text"/>
    <w:basedOn w:val="Normal"/>
    <w:semiHidden/>
    <w:rsid w:val="00890A4A"/>
    <w:pPr>
      <w:spacing w:before="60" w:after="60"/>
      <w:jc w:val="both"/>
    </w:pPr>
    <w:rPr>
      <w:rFonts w:ascii="Tahoma" w:eastAsia="MS Mincho" w:hAnsi="Tahoma"/>
      <w:sz w:val="16"/>
      <w:szCs w:val="16"/>
      <w:lang w:bidi="ar-SA"/>
    </w:rPr>
  </w:style>
  <w:style w:type="character" w:styleId="LineNumber">
    <w:name w:val="line number"/>
    <w:basedOn w:val="DefaultParagraphFont"/>
    <w:rsid w:val="00890A4A"/>
  </w:style>
  <w:style w:type="paragraph" w:styleId="BodyText">
    <w:name w:val="Body Text"/>
    <w:basedOn w:val="Normal"/>
    <w:link w:val="BodyTextChar1"/>
    <w:rsid w:val="00890A4A"/>
    <w:pPr>
      <w:spacing w:before="60" w:after="60"/>
      <w:jc w:val="both"/>
    </w:pPr>
    <w:rPr>
      <w:rFonts w:ascii="Helvetica" w:eastAsia="MS Mincho" w:hAnsi="Helvetica"/>
      <w:szCs w:val="20"/>
      <w:lang w:bidi="ar-SA"/>
    </w:rPr>
  </w:style>
  <w:style w:type="paragraph" w:styleId="TOC1">
    <w:name w:val="toc 1"/>
    <w:basedOn w:val="Normal"/>
    <w:next w:val="Normal"/>
    <w:autoRedefine/>
    <w:uiPriority w:val="39"/>
    <w:rsid w:val="00F23979"/>
    <w:pPr>
      <w:spacing w:before="120" w:after="120"/>
    </w:pPr>
    <w:rPr>
      <w:b/>
      <w:bCs/>
      <w:caps/>
      <w:sz w:val="20"/>
      <w:szCs w:val="20"/>
    </w:rPr>
  </w:style>
  <w:style w:type="paragraph" w:styleId="TOC2">
    <w:name w:val="toc 2"/>
    <w:basedOn w:val="Normal"/>
    <w:next w:val="Normal"/>
    <w:uiPriority w:val="39"/>
    <w:rsid w:val="00F23979"/>
    <w:pPr>
      <w:ind w:left="240"/>
    </w:pPr>
    <w:rPr>
      <w:smallCaps/>
      <w:sz w:val="20"/>
      <w:szCs w:val="20"/>
    </w:rPr>
  </w:style>
  <w:style w:type="paragraph" w:styleId="TOC3">
    <w:name w:val="toc 3"/>
    <w:basedOn w:val="Normal"/>
    <w:next w:val="Normal"/>
    <w:uiPriority w:val="39"/>
    <w:rsid w:val="00F23979"/>
    <w:pPr>
      <w:ind w:left="480"/>
    </w:pPr>
    <w:rPr>
      <w:i/>
      <w:iCs/>
      <w:sz w:val="20"/>
      <w:szCs w:val="20"/>
    </w:rPr>
  </w:style>
  <w:style w:type="paragraph" w:styleId="TableofFigures">
    <w:name w:val="table of figures"/>
    <w:basedOn w:val="Normal"/>
    <w:next w:val="Normal"/>
    <w:uiPriority w:val="99"/>
    <w:rsid w:val="00A21478"/>
    <w:pPr>
      <w:ind w:left="446" w:hanging="446"/>
      <w:jc w:val="both"/>
    </w:pPr>
    <w:rPr>
      <w:rFonts w:eastAsia="MS Mincho"/>
      <w:sz w:val="20"/>
      <w:szCs w:val="20"/>
      <w:lang w:bidi="ar-SA"/>
    </w:rPr>
  </w:style>
  <w:style w:type="character" w:styleId="FootnoteReference">
    <w:name w:val="footnote reference"/>
    <w:basedOn w:val="DefaultParagraphFont"/>
    <w:semiHidden/>
    <w:rsid w:val="00890A4A"/>
    <w:rPr>
      <w:vertAlign w:val="superscript"/>
    </w:rPr>
  </w:style>
  <w:style w:type="character" w:customStyle="1" w:styleId="MTEquationSection">
    <w:name w:val="MTEquationSection"/>
    <w:basedOn w:val="DefaultParagraphFont"/>
    <w:rsid w:val="00890A4A"/>
    <w:rPr>
      <w:rFonts w:ascii="Helvetica" w:hAnsi="Helvetica" w:cs="Helvetica"/>
      <w:vanish/>
      <w:color w:val="FF0000"/>
    </w:rPr>
  </w:style>
  <w:style w:type="character" w:styleId="CommentReference">
    <w:name w:val="annotation reference"/>
    <w:basedOn w:val="DefaultParagraphFont"/>
    <w:rsid w:val="00890A4A"/>
    <w:rPr>
      <w:sz w:val="16"/>
      <w:szCs w:val="16"/>
    </w:rPr>
  </w:style>
  <w:style w:type="paragraph" w:customStyle="1" w:styleId="MTDisplayEquation">
    <w:name w:val="MTDisplayEquation"/>
    <w:basedOn w:val="Normal"/>
    <w:next w:val="Normal"/>
    <w:link w:val="MTDisplayEquationChar"/>
    <w:rsid w:val="00890A4A"/>
    <w:pPr>
      <w:tabs>
        <w:tab w:val="left" w:pos="720"/>
        <w:tab w:val="right" w:pos="9020"/>
      </w:tabs>
      <w:spacing w:before="240" w:after="60"/>
      <w:jc w:val="both"/>
    </w:pPr>
    <w:rPr>
      <w:rFonts w:ascii="Helvetica" w:eastAsia="SimSun" w:hAnsi="Helvetica"/>
      <w:lang w:bidi="ar-SA"/>
    </w:rPr>
  </w:style>
  <w:style w:type="paragraph" w:styleId="BodyText3">
    <w:name w:val="Body Text 3"/>
    <w:basedOn w:val="Normal"/>
    <w:rsid w:val="00890A4A"/>
    <w:pPr>
      <w:spacing w:before="60" w:after="60"/>
      <w:jc w:val="both"/>
    </w:pPr>
    <w:rPr>
      <w:rFonts w:ascii="Helvetica" w:eastAsia="MS Mincho" w:hAnsi="Helvetica"/>
      <w:b/>
      <w:bCs/>
      <w:i/>
      <w:iCs/>
      <w:szCs w:val="20"/>
      <w:lang w:bidi="ar-SA"/>
    </w:rPr>
  </w:style>
  <w:style w:type="paragraph" w:styleId="FootnoteText">
    <w:name w:val="footnote text"/>
    <w:basedOn w:val="Normal"/>
    <w:semiHidden/>
    <w:rsid w:val="00890A4A"/>
    <w:pPr>
      <w:tabs>
        <w:tab w:val="left" w:pos="4320"/>
        <w:tab w:val="left" w:pos="7200"/>
      </w:tabs>
      <w:spacing w:before="60" w:after="60"/>
      <w:ind w:left="432" w:hanging="432"/>
      <w:jc w:val="both"/>
    </w:pPr>
    <w:rPr>
      <w:rFonts w:ascii="Helvetica" w:eastAsia="MS Mincho" w:hAnsi="Helvetica"/>
      <w:sz w:val="18"/>
      <w:szCs w:val="20"/>
      <w:lang w:bidi="ar-SA"/>
    </w:rPr>
  </w:style>
  <w:style w:type="character" w:styleId="PageNumber">
    <w:name w:val="page number"/>
    <w:basedOn w:val="DefaultParagraphFont"/>
    <w:rsid w:val="00890A4A"/>
  </w:style>
  <w:style w:type="paragraph" w:styleId="CommentText">
    <w:name w:val="annotation text"/>
    <w:basedOn w:val="Normal"/>
    <w:link w:val="CommentTextChar"/>
    <w:rsid w:val="00890A4A"/>
    <w:pPr>
      <w:spacing w:before="60" w:after="60"/>
      <w:ind w:left="567" w:hanging="567"/>
      <w:jc w:val="both"/>
    </w:pPr>
    <w:rPr>
      <w:rFonts w:ascii="Arial" w:eastAsia="MS Mincho" w:hAnsi="Arial"/>
      <w:szCs w:val="20"/>
      <w:lang w:bidi="ar-SA"/>
    </w:rPr>
  </w:style>
  <w:style w:type="paragraph" w:styleId="TOC4">
    <w:name w:val="toc 4"/>
    <w:basedOn w:val="Normal"/>
    <w:next w:val="Normal"/>
    <w:autoRedefine/>
    <w:uiPriority w:val="39"/>
    <w:rsid w:val="00F23979"/>
    <w:pPr>
      <w:ind w:left="720"/>
    </w:pPr>
    <w:rPr>
      <w:sz w:val="18"/>
      <w:szCs w:val="18"/>
    </w:rPr>
  </w:style>
  <w:style w:type="character" w:styleId="FollowedHyperlink">
    <w:name w:val="FollowedHyperlink"/>
    <w:basedOn w:val="DefaultParagraphFont"/>
    <w:rsid w:val="00890A4A"/>
    <w:rPr>
      <w:color w:val="800080"/>
      <w:u w:val="single"/>
    </w:rPr>
  </w:style>
  <w:style w:type="paragraph" w:styleId="DocumentMap">
    <w:name w:val="Document Map"/>
    <w:basedOn w:val="Normal"/>
    <w:semiHidden/>
    <w:rsid w:val="00890A4A"/>
    <w:pPr>
      <w:shd w:val="clear" w:color="auto" w:fill="000080"/>
      <w:spacing w:before="60" w:after="60"/>
      <w:jc w:val="both"/>
    </w:pPr>
    <w:rPr>
      <w:rFonts w:ascii="Tahoma" w:hAnsi="Tahoma"/>
      <w:sz w:val="20"/>
      <w:szCs w:val="20"/>
      <w:lang w:bidi="ar-SA"/>
    </w:rPr>
  </w:style>
  <w:style w:type="paragraph" w:styleId="BodyText2">
    <w:name w:val="Body Text 2"/>
    <w:basedOn w:val="Normal"/>
    <w:rsid w:val="00890A4A"/>
    <w:pPr>
      <w:spacing w:before="60" w:after="60"/>
      <w:jc w:val="both"/>
    </w:pPr>
    <w:rPr>
      <w:i/>
      <w:iCs/>
      <w:lang w:bidi="ar-SA"/>
    </w:rPr>
  </w:style>
  <w:style w:type="paragraph" w:styleId="TOC5">
    <w:name w:val="toc 5"/>
    <w:basedOn w:val="Normal"/>
    <w:next w:val="Normal"/>
    <w:autoRedefine/>
    <w:uiPriority w:val="39"/>
    <w:rsid w:val="00890A4A"/>
    <w:pPr>
      <w:ind w:left="960"/>
    </w:pPr>
    <w:rPr>
      <w:sz w:val="18"/>
      <w:szCs w:val="18"/>
    </w:rPr>
  </w:style>
  <w:style w:type="paragraph" w:styleId="TOC6">
    <w:name w:val="toc 6"/>
    <w:basedOn w:val="Normal"/>
    <w:next w:val="Normal"/>
    <w:autoRedefine/>
    <w:uiPriority w:val="39"/>
    <w:rsid w:val="00890A4A"/>
    <w:pPr>
      <w:ind w:left="1200"/>
    </w:pPr>
    <w:rPr>
      <w:sz w:val="18"/>
      <w:szCs w:val="18"/>
    </w:rPr>
  </w:style>
  <w:style w:type="paragraph" w:styleId="TOC7">
    <w:name w:val="toc 7"/>
    <w:basedOn w:val="Normal"/>
    <w:next w:val="Normal"/>
    <w:autoRedefine/>
    <w:uiPriority w:val="39"/>
    <w:rsid w:val="00890A4A"/>
    <w:pPr>
      <w:ind w:left="1440"/>
    </w:pPr>
    <w:rPr>
      <w:sz w:val="18"/>
      <w:szCs w:val="18"/>
    </w:rPr>
  </w:style>
  <w:style w:type="paragraph" w:styleId="TOC8">
    <w:name w:val="toc 8"/>
    <w:basedOn w:val="Normal"/>
    <w:next w:val="Normal"/>
    <w:autoRedefine/>
    <w:uiPriority w:val="39"/>
    <w:rsid w:val="00890A4A"/>
    <w:pPr>
      <w:ind w:left="1680"/>
    </w:pPr>
    <w:rPr>
      <w:sz w:val="18"/>
      <w:szCs w:val="18"/>
    </w:rPr>
  </w:style>
  <w:style w:type="paragraph" w:styleId="TOC9">
    <w:name w:val="toc 9"/>
    <w:basedOn w:val="Normal"/>
    <w:next w:val="Normal"/>
    <w:autoRedefine/>
    <w:uiPriority w:val="39"/>
    <w:rsid w:val="00890A4A"/>
    <w:pPr>
      <w:ind w:left="1920"/>
    </w:pPr>
    <w:rPr>
      <w:sz w:val="18"/>
      <w:szCs w:val="18"/>
    </w:rPr>
  </w:style>
  <w:style w:type="paragraph" w:styleId="BodyTextIndent2">
    <w:name w:val="Body Text Indent 2"/>
    <w:basedOn w:val="Normal"/>
    <w:rsid w:val="00890A4A"/>
    <w:pPr>
      <w:spacing w:before="240" w:after="60"/>
      <w:ind w:left="426" w:hanging="426"/>
    </w:pPr>
    <w:rPr>
      <w:rFonts w:ascii="Helvetica" w:eastAsia="SimSun" w:hAnsi="Helvetica"/>
      <w:szCs w:val="20"/>
      <w:lang w:bidi="ar-SA"/>
    </w:rPr>
  </w:style>
  <w:style w:type="paragraph" w:styleId="Title">
    <w:name w:val="Title"/>
    <w:basedOn w:val="Normal"/>
    <w:qFormat/>
    <w:rsid w:val="00890A4A"/>
    <w:pPr>
      <w:keepNext/>
      <w:keepLines/>
      <w:spacing w:before="360" w:after="160"/>
      <w:jc w:val="center"/>
    </w:pPr>
    <w:rPr>
      <w:rFonts w:ascii="Arial" w:eastAsia="SimSun" w:hAnsi="Arial"/>
      <w:b/>
      <w:bCs/>
      <w:kern w:val="28"/>
      <w:sz w:val="40"/>
      <w:szCs w:val="40"/>
      <w:lang w:bidi="ar-SA"/>
    </w:rPr>
  </w:style>
  <w:style w:type="paragraph" w:styleId="CommentSubject">
    <w:name w:val="annotation subject"/>
    <w:basedOn w:val="CommentText"/>
    <w:next w:val="CommentText"/>
    <w:semiHidden/>
    <w:rsid w:val="00890A4A"/>
    <w:pPr>
      <w:spacing w:before="240"/>
      <w:ind w:left="0" w:firstLine="0"/>
    </w:pPr>
    <w:rPr>
      <w:rFonts w:ascii="Helvetica" w:eastAsia="SimSun" w:hAnsi="Helvetica"/>
      <w:b/>
      <w:bCs/>
      <w:sz w:val="20"/>
    </w:rPr>
  </w:style>
  <w:style w:type="character" w:customStyle="1" w:styleId="BodyTextChar">
    <w:name w:val="Body Text Char"/>
    <w:basedOn w:val="DefaultParagraphFont"/>
    <w:rsid w:val="00890A4A"/>
    <w:rPr>
      <w:rFonts w:ascii="Helvetica" w:hAnsi="Helvetica"/>
      <w:noProof w:val="0"/>
      <w:sz w:val="22"/>
      <w:lang w:val="en-US" w:eastAsia="en-US" w:bidi="ar-SA"/>
    </w:rPr>
  </w:style>
  <w:style w:type="character" w:styleId="Strong">
    <w:name w:val="Strong"/>
    <w:basedOn w:val="DefaultParagraphFont"/>
    <w:qFormat/>
    <w:rsid w:val="00890A4A"/>
    <w:rPr>
      <w:b/>
      <w:bCs/>
    </w:rPr>
  </w:style>
  <w:style w:type="table" w:styleId="TableGrid">
    <w:name w:val="Table Grid"/>
    <w:basedOn w:val="TableNormal"/>
    <w:uiPriority w:val="99"/>
    <w:rsid w:val="00890A4A"/>
    <w:pPr>
      <w:spacing w:before="24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1">
    <w:name w:val="T11"/>
    <w:basedOn w:val="Normal"/>
    <w:rsid w:val="00890A4A"/>
    <w:pPr>
      <w:spacing w:before="60" w:after="60"/>
      <w:jc w:val="center"/>
    </w:pPr>
    <w:rPr>
      <w:b/>
      <w:sz w:val="28"/>
      <w:szCs w:val="20"/>
      <w:lang w:bidi="ar-SA"/>
    </w:rPr>
  </w:style>
  <w:style w:type="paragraph" w:customStyle="1" w:styleId="T21">
    <w:name w:val="T21"/>
    <w:basedOn w:val="T1"/>
    <w:rsid w:val="00890A4A"/>
    <w:pPr>
      <w:spacing w:before="60" w:after="240"/>
      <w:ind w:left="720" w:right="720"/>
    </w:pPr>
    <w:rPr>
      <w:bCs w:val="0"/>
      <w:szCs w:val="20"/>
      <w:lang w:bidi="ar-SA"/>
    </w:rPr>
  </w:style>
  <w:style w:type="paragraph" w:customStyle="1" w:styleId="T31">
    <w:name w:val="T31"/>
    <w:basedOn w:val="T1"/>
    <w:rsid w:val="00890A4A"/>
    <w:pPr>
      <w:pBdr>
        <w:bottom w:val="single" w:sz="6" w:space="1" w:color="auto"/>
      </w:pBdr>
      <w:tabs>
        <w:tab w:val="center" w:pos="4680"/>
      </w:tabs>
      <w:spacing w:before="60" w:after="240"/>
      <w:jc w:val="left"/>
    </w:pPr>
    <w:rPr>
      <w:b w:val="0"/>
      <w:bCs w:val="0"/>
      <w:sz w:val="24"/>
      <w:szCs w:val="20"/>
      <w:lang w:bidi="ar-SA"/>
    </w:rPr>
  </w:style>
  <w:style w:type="paragraph" w:customStyle="1" w:styleId="t30">
    <w:name w:val="t3"/>
    <w:basedOn w:val="Normal"/>
    <w:rsid w:val="00890A4A"/>
    <w:pPr>
      <w:spacing w:before="100" w:beforeAutospacing="1" w:after="100" w:afterAutospacing="1"/>
    </w:pPr>
    <w:rPr>
      <w:lang w:bidi="ar-SA"/>
    </w:rPr>
  </w:style>
  <w:style w:type="character" w:customStyle="1" w:styleId="Heading4Char">
    <w:name w:val="Heading 4 Char"/>
    <w:basedOn w:val="DefaultParagraphFont"/>
    <w:rsid w:val="00890A4A"/>
    <w:rPr>
      <w:rFonts w:ascii="Helvetica" w:eastAsia="MS Mincho" w:hAnsi="Helvetica"/>
      <w:b/>
      <w:sz w:val="22"/>
      <w:lang w:val="en-US" w:eastAsia="en-US" w:bidi="ar-SA"/>
    </w:rPr>
  </w:style>
  <w:style w:type="paragraph" w:customStyle="1" w:styleId="myheading">
    <w:name w:val="myheading"/>
    <w:basedOn w:val="Normal"/>
    <w:rsid w:val="00890A4A"/>
    <w:rPr>
      <w:rFonts w:ascii="Arial" w:hAnsi="Arial"/>
      <w:b/>
      <w:sz w:val="28"/>
      <w:szCs w:val="28"/>
    </w:rPr>
  </w:style>
  <w:style w:type="table" w:styleId="TableGrid1">
    <w:name w:val="Table Grid 1"/>
    <w:basedOn w:val="TableNormal"/>
    <w:rsid w:val="00890A4A"/>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90A4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rsid w:val="00890A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
    <w:name w:val="body"/>
    <w:basedOn w:val="Normal"/>
    <w:rsid w:val="00890A4A"/>
    <w:pPr>
      <w:tabs>
        <w:tab w:val="left" w:pos="2160"/>
      </w:tabs>
      <w:spacing w:before="120" w:after="120" w:line="280" w:lineRule="atLeast"/>
      <w:jc w:val="both"/>
    </w:pPr>
    <w:rPr>
      <w:szCs w:val="20"/>
    </w:rPr>
  </w:style>
  <w:style w:type="character" w:customStyle="1" w:styleId="WW-">
    <w:name w:val="WW-箇条書き装飾記号"/>
    <w:rsid w:val="00890A4A"/>
    <w:rPr>
      <w:rFonts w:ascii="StarSymbol" w:eastAsia="StarSymbol" w:hAnsi="StarSymbol" w:cs="StarSymbol"/>
      <w:sz w:val="18"/>
      <w:szCs w:val="18"/>
    </w:rPr>
  </w:style>
  <w:style w:type="table" w:styleId="TableGrid5">
    <w:name w:val="Table Grid 5"/>
    <w:basedOn w:val="TableNormal"/>
    <w:rsid w:val="00890A4A"/>
    <w:rPr>
      <w:rFonts w:eastAsia="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egal">
    <w:name w:val="legal"/>
    <w:basedOn w:val="Normal"/>
    <w:rsid w:val="00890A4A"/>
    <w:pPr>
      <w:snapToGrid w:val="0"/>
      <w:spacing w:after="80"/>
      <w:ind w:left="1080"/>
    </w:pPr>
    <w:rPr>
      <w:rFonts w:ascii="Arial" w:hAnsi="Arial" w:cs="Arial"/>
      <w:color w:val="000000"/>
      <w:sz w:val="16"/>
      <w:szCs w:val="16"/>
    </w:rPr>
  </w:style>
  <w:style w:type="paragraph" w:customStyle="1" w:styleId="Table-ContentsCharCharChar">
    <w:name w:val="Table - Contents Char Char Char"/>
    <w:basedOn w:val="Normal"/>
    <w:rsid w:val="00890A4A"/>
    <w:pPr>
      <w:spacing w:before="60" w:after="60"/>
      <w:jc w:val="center"/>
    </w:pPr>
    <w:rPr>
      <w:rFonts w:ascii="Arial" w:hAnsi="Arial"/>
      <w:bCs/>
      <w:sz w:val="16"/>
      <w:szCs w:val="16"/>
      <w:lang w:bidi="ar-SA"/>
    </w:rPr>
  </w:style>
  <w:style w:type="paragraph" w:customStyle="1" w:styleId="Table-HeaderCharCharChar">
    <w:name w:val="Table - Header Char Char Char"/>
    <w:basedOn w:val="Table-ContentsCharCharChar"/>
    <w:rsid w:val="00890A4A"/>
    <w:rPr>
      <w:b/>
    </w:rPr>
  </w:style>
  <w:style w:type="paragraph" w:customStyle="1" w:styleId="StyleCaption-Figure">
    <w:name w:val="Style Caption - Figure"/>
    <w:basedOn w:val="Normal"/>
    <w:next w:val="Normal"/>
    <w:rsid w:val="00890A4A"/>
    <w:pPr>
      <w:spacing w:before="200" w:after="400"/>
      <w:jc w:val="center"/>
    </w:pPr>
    <w:rPr>
      <w:rFonts w:ascii="Arial" w:hAnsi="Arial"/>
      <w:b/>
      <w:bCs/>
      <w:sz w:val="20"/>
      <w:szCs w:val="20"/>
      <w:lang w:bidi="ar-SA"/>
    </w:rPr>
  </w:style>
  <w:style w:type="paragraph" w:customStyle="1" w:styleId="DocTitle">
    <w:name w:val="DocTitle"/>
    <w:basedOn w:val="Normal"/>
    <w:rsid w:val="007719A1"/>
    <w:pPr>
      <w:keepNext/>
      <w:spacing w:before="200"/>
      <w:ind w:left="-320" w:right="580"/>
    </w:pPr>
    <w:rPr>
      <w:rFonts w:ascii="Arial" w:hAnsi="Arial"/>
      <w:b/>
      <w:color w:val="0000FF"/>
      <w:sz w:val="48"/>
      <w:szCs w:val="20"/>
      <w:lang w:bidi="ar-SA"/>
    </w:rPr>
  </w:style>
  <w:style w:type="paragraph" w:customStyle="1" w:styleId="DocType">
    <w:name w:val="DocType"/>
    <w:basedOn w:val="Normal"/>
    <w:rsid w:val="007719A1"/>
    <w:pPr>
      <w:pBdr>
        <w:bottom w:val="single" w:sz="4" w:space="1" w:color="auto"/>
      </w:pBdr>
      <w:ind w:left="-320" w:right="580"/>
    </w:pPr>
    <w:rPr>
      <w:rFonts w:ascii="Arial" w:hAnsi="Arial"/>
      <w:b/>
      <w:color w:val="0000FF"/>
      <w:szCs w:val="20"/>
      <w:lang w:bidi="ar-SA"/>
    </w:rPr>
  </w:style>
  <w:style w:type="paragraph" w:customStyle="1" w:styleId="DateTitlePage">
    <w:name w:val="DateTitlePage"/>
    <w:basedOn w:val="Normal"/>
    <w:rsid w:val="007719A1"/>
    <w:pPr>
      <w:ind w:left="-320" w:right="580"/>
    </w:pPr>
    <w:rPr>
      <w:rFonts w:ascii="Arial" w:hAnsi="Arial"/>
      <w:b/>
      <w:i/>
      <w:color w:val="0000FF"/>
      <w:szCs w:val="20"/>
      <w:lang w:bidi="ar-SA"/>
    </w:rPr>
  </w:style>
  <w:style w:type="paragraph" w:customStyle="1" w:styleId="definition0">
    <w:name w:val="definition"/>
    <w:basedOn w:val="Normal"/>
    <w:rsid w:val="0081612D"/>
    <w:pPr>
      <w:spacing w:before="240"/>
      <w:jc w:val="both"/>
    </w:pPr>
    <w:rPr>
      <w:rFonts w:eastAsia="MS Mincho"/>
      <w:lang w:bidi="ar-SA"/>
    </w:rPr>
  </w:style>
  <w:style w:type="character" w:customStyle="1" w:styleId="Heading4CharChar">
    <w:name w:val="Heading 4 Char Char"/>
    <w:basedOn w:val="DefaultParagraphFont"/>
    <w:rsid w:val="00D85AB1"/>
    <w:rPr>
      <w:rFonts w:ascii="Arial" w:hAnsi="Arial" w:cs="Arial"/>
      <w:b/>
      <w:bCs/>
      <w:noProof w:val="0"/>
      <w:sz w:val="24"/>
      <w:lang w:val="en-US" w:eastAsia="en-US" w:bidi="ar-SA"/>
    </w:rPr>
  </w:style>
  <w:style w:type="paragraph" w:customStyle="1" w:styleId="Editinginstructions">
    <w:name w:val="Editing instructions"/>
    <w:basedOn w:val="Normal"/>
    <w:rsid w:val="00334FC4"/>
    <w:pPr>
      <w:keepNext/>
      <w:spacing w:before="200"/>
    </w:pPr>
    <w:rPr>
      <w:b/>
      <w:i/>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uiPriority w:val="99"/>
    <w:rsid w:val="00BA5BC4"/>
    <w:rPr>
      <w:rFonts w:ascii="Arial" w:eastAsia="MS Mincho" w:hAnsi="Arial"/>
      <w:b/>
      <w:sz w:val="24"/>
      <w:lang w:bidi="ar-SA"/>
    </w:rPr>
  </w:style>
  <w:style w:type="paragraph" w:customStyle="1" w:styleId="NormalArial">
    <w:name w:val="Normal + Arial"/>
    <w:basedOn w:val="Normal"/>
    <w:link w:val="NormalArialChar"/>
    <w:rsid w:val="00B026C4"/>
    <w:rPr>
      <w:rFonts w:ascii="Arial" w:eastAsia="MS Mincho" w:hAnsi="Arial" w:cs="Arial"/>
      <w:lang w:eastAsia="ja-JP" w:bidi="ar-SA"/>
    </w:rPr>
  </w:style>
  <w:style w:type="character" w:customStyle="1" w:styleId="NormalArialChar">
    <w:name w:val="Normal + Arial Char"/>
    <w:basedOn w:val="DefaultParagraphFont"/>
    <w:link w:val="NormalArial"/>
    <w:rsid w:val="00B026C4"/>
    <w:rPr>
      <w:rFonts w:ascii="Arial" w:eastAsia="MS Mincho" w:hAnsi="Arial" w:cs="Arial"/>
      <w:sz w:val="24"/>
      <w:szCs w:val="24"/>
      <w:lang w:val="en-US" w:eastAsia="ja-JP" w:bidi="ar-SA"/>
    </w:rPr>
  </w:style>
  <w:style w:type="paragraph" w:styleId="PlainText">
    <w:name w:val="Plain Text"/>
    <w:basedOn w:val="Normal"/>
    <w:rsid w:val="00B026C4"/>
    <w:rPr>
      <w:color w:val="800080"/>
    </w:rPr>
  </w:style>
  <w:style w:type="paragraph" w:customStyle="1" w:styleId="Caption1">
    <w:name w:val="Caption1"/>
    <w:basedOn w:val="Normal"/>
    <w:link w:val="captionChar"/>
    <w:rsid w:val="00021F06"/>
    <w:pPr>
      <w:spacing w:before="240"/>
      <w:jc w:val="center"/>
    </w:pPr>
    <w:rPr>
      <w:rFonts w:ascii="Helvetica" w:hAnsi="Helvetica"/>
      <w:b/>
      <w:sz w:val="20"/>
      <w:szCs w:val="20"/>
      <w:lang w:bidi="ar-SA"/>
    </w:rPr>
  </w:style>
  <w:style w:type="paragraph" w:customStyle="1" w:styleId="StyleBodyTextTimesNewRomanLeftBefore0ptAfter0pt">
    <w:name w:val="Style Body Text + Times New Roman Left Before:  0 pt After:  0 pt"/>
    <w:basedOn w:val="BodyText"/>
    <w:rsid w:val="008A0EC9"/>
    <w:pPr>
      <w:spacing w:before="0" w:after="0"/>
      <w:jc w:val="left"/>
    </w:pPr>
    <w:rPr>
      <w:rFonts w:ascii="Times New Roman" w:hAnsi="Times New Roman"/>
    </w:rPr>
  </w:style>
  <w:style w:type="paragraph" w:customStyle="1" w:styleId="StyleCommentTextTimesNewRomanLeftLeft0cmFirstline">
    <w:name w:val="Style Comment Text + Times New Roman Left Left:  0 cm First line..."/>
    <w:basedOn w:val="CommentText"/>
    <w:rsid w:val="008A0EC9"/>
    <w:pPr>
      <w:ind w:left="0" w:firstLine="0"/>
      <w:jc w:val="left"/>
    </w:pPr>
    <w:rPr>
      <w:rFonts w:ascii="Times New Roman" w:hAnsi="Times New Roman"/>
    </w:rPr>
  </w:style>
  <w:style w:type="character" w:customStyle="1" w:styleId="captionChar">
    <w:name w:val="caption Char"/>
    <w:basedOn w:val="DefaultParagraphFont"/>
    <w:link w:val="Caption1"/>
    <w:rsid w:val="00C12054"/>
    <w:rPr>
      <w:rFonts w:ascii="Helvetica" w:hAnsi="Helvetica"/>
      <w:b/>
      <w:lang w:val="en-US" w:eastAsia="en-US" w:bidi="ar-SA"/>
    </w:rPr>
  </w:style>
  <w:style w:type="paragraph" w:customStyle="1" w:styleId="Standard">
    <w:name w:val="Standard"/>
    <w:basedOn w:val="Normal"/>
    <w:next w:val="Normal"/>
    <w:rsid w:val="00A87C61"/>
    <w:pPr>
      <w:autoSpaceDE w:val="0"/>
      <w:autoSpaceDN w:val="0"/>
      <w:adjustRightInd w:val="0"/>
    </w:pPr>
    <w:rPr>
      <w:rFonts w:eastAsia="MS Mincho"/>
      <w:lang w:eastAsia="ja-JP" w:bidi="ar-SA"/>
    </w:rPr>
  </w:style>
  <w:style w:type="character" w:customStyle="1" w:styleId="Heading3Char">
    <w:name w:val="Heading 3 Char"/>
    <w:basedOn w:val="DefaultParagraphFont"/>
    <w:link w:val="Heading3"/>
    <w:uiPriority w:val="99"/>
    <w:rsid w:val="00242823"/>
    <w:rPr>
      <w:rFonts w:ascii="Arial" w:hAnsi="Arial"/>
      <w:b/>
      <w:bCs/>
      <w:sz w:val="24"/>
      <w:szCs w:val="24"/>
      <w:lang w:val="en-US" w:eastAsia="en-US" w:bidi="he-IL"/>
    </w:rPr>
  </w:style>
  <w:style w:type="paragraph" w:customStyle="1" w:styleId="covertext">
    <w:name w:val="cover text"/>
    <w:basedOn w:val="Normal"/>
    <w:rsid w:val="004E1D7A"/>
    <w:pPr>
      <w:spacing w:before="120" w:after="120"/>
    </w:pPr>
    <w:rPr>
      <w:szCs w:val="20"/>
      <w:lang w:eastAsia="ja-JP" w:bidi="ar-SA"/>
    </w:rPr>
  </w:style>
  <w:style w:type="character" w:customStyle="1" w:styleId="CommentTextChar">
    <w:name w:val="Comment Text Char"/>
    <w:basedOn w:val="DefaultParagraphFont"/>
    <w:link w:val="CommentText"/>
    <w:rsid w:val="00A21830"/>
    <w:rPr>
      <w:rFonts w:ascii="Arial" w:eastAsia="MS Mincho" w:hAnsi="Arial"/>
      <w:sz w:val="24"/>
      <w:lang w:val="en-US" w:eastAsia="en-US" w:bidi="ar-SA"/>
    </w:rPr>
  </w:style>
  <w:style w:type="paragraph" w:customStyle="1" w:styleId="IEEEStdsParagraph">
    <w:name w:val="IEEEStds Paragraph"/>
    <w:link w:val="IEEEStdsParagraphChar1"/>
    <w:rsid w:val="006222FE"/>
    <w:pPr>
      <w:spacing w:before="100" w:beforeAutospacing="1" w:after="100" w:afterAutospacing="1"/>
      <w:jc w:val="both"/>
    </w:pPr>
    <w:rPr>
      <w:lang w:eastAsia="ja-JP" w:bidi="yi-Hebr"/>
    </w:rPr>
  </w:style>
  <w:style w:type="character" w:customStyle="1" w:styleId="IEEEStdsParagraphChar1">
    <w:name w:val="IEEEStds Paragraph Char1"/>
    <w:basedOn w:val="DefaultParagraphFont"/>
    <w:link w:val="IEEEStdsParagraph"/>
    <w:rsid w:val="006222FE"/>
    <w:rPr>
      <w:lang w:val="en-US" w:eastAsia="ja-JP" w:bidi="yi-Hebr"/>
    </w:rPr>
  </w:style>
  <w:style w:type="paragraph" w:customStyle="1" w:styleId="IEEEStdsEquation">
    <w:name w:val="IEEEStds Equation"/>
    <w:basedOn w:val="IEEEStdsParagraph"/>
    <w:next w:val="IEEEStdsParagraph"/>
    <w:rsid w:val="006222FE"/>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6222FE"/>
    <w:pPr>
      <w:tabs>
        <w:tab w:val="left" w:pos="760"/>
      </w:tabs>
      <w:spacing w:line="280" w:lineRule="exact"/>
      <w:ind w:left="764" w:hanging="562"/>
    </w:pPr>
    <w:rPr>
      <w:snapToGrid w:val="0"/>
    </w:rPr>
  </w:style>
  <w:style w:type="paragraph" w:customStyle="1" w:styleId="Table-Header">
    <w:name w:val="Table - Header"/>
    <w:basedOn w:val="Normal"/>
    <w:next w:val="Normal"/>
    <w:uiPriority w:val="99"/>
    <w:rsid w:val="0088241D"/>
    <w:pPr>
      <w:keepNext/>
      <w:keepLines/>
      <w:suppressAutoHyphens/>
      <w:spacing w:before="100" w:after="100" w:line="480" w:lineRule="auto"/>
      <w:jc w:val="center"/>
    </w:pPr>
    <w:rPr>
      <w:rFonts w:cs="Calibri"/>
      <w:b/>
      <w:sz w:val="18"/>
      <w:szCs w:val="16"/>
      <w:lang w:eastAsia="ar-SA" w:bidi="ar-SA"/>
    </w:rPr>
  </w:style>
  <w:style w:type="paragraph" w:customStyle="1" w:styleId="Table-Contents">
    <w:name w:val="Table - Contents"/>
    <w:basedOn w:val="Normal"/>
    <w:uiPriority w:val="99"/>
    <w:rsid w:val="0088241D"/>
    <w:pPr>
      <w:keepNext/>
      <w:keepLines/>
      <w:suppressAutoHyphens/>
      <w:spacing w:before="100" w:after="100"/>
      <w:jc w:val="center"/>
    </w:pPr>
    <w:rPr>
      <w:rFonts w:ascii="Helvetica" w:eastAsia="MS Mincho" w:hAnsi="Helvetica" w:cs="Calibri"/>
      <w:sz w:val="16"/>
      <w:szCs w:val="20"/>
      <w:lang w:eastAsia="ar-SA" w:bidi="ar-SA"/>
    </w:rPr>
  </w:style>
  <w:style w:type="paragraph" w:customStyle="1" w:styleId="Style1">
    <w:name w:val="Style1"/>
    <w:basedOn w:val="Heading3"/>
    <w:rsid w:val="008C36FC"/>
    <w:pPr>
      <w:tabs>
        <w:tab w:val="num" w:pos="1800"/>
      </w:tabs>
      <w:ind w:left="1800" w:hanging="720"/>
    </w:pPr>
  </w:style>
  <w:style w:type="paragraph" w:styleId="NormalWeb">
    <w:name w:val="Normal (Web)"/>
    <w:basedOn w:val="Normal"/>
    <w:rsid w:val="008C36FC"/>
    <w:pPr>
      <w:spacing w:before="100" w:beforeAutospacing="1" w:after="100" w:afterAutospacing="1"/>
    </w:pPr>
  </w:style>
  <w:style w:type="character" w:customStyle="1" w:styleId="Heading5Char">
    <w:name w:val="Heading 5 Char"/>
    <w:basedOn w:val="DefaultParagraphFont"/>
    <w:link w:val="Heading5"/>
    <w:rsid w:val="004E2479"/>
    <w:rPr>
      <w:rFonts w:ascii="Helvetica" w:eastAsia="MS Mincho" w:hAnsi="Helvetica"/>
      <w:b/>
      <w:sz w:val="24"/>
      <w:lang w:val="en-US" w:eastAsia="en-US" w:bidi="ar-SA"/>
    </w:rPr>
  </w:style>
  <w:style w:type="character" w:customStyle="1" w:styleId="UndelineInsertion">
    <w:name w:val="Undeline (Insertion)"/>
    <w:basedOn w:val="DefaultParagraphFont"/>
    <w:rsid w:val="00A64127"/>
    <w:rPr>
      <w:color w:val="FF0000"/>
      <w:u w:val="single" w:color="FF0000"/>
    </w:rPr>
  </w:style>
  <w:style w:type="paragraph" w:customStyle="1" w:styleId="Editinginstruction">
    <w:name w:val="Editing instruction"/>
    <w:basedOn w:val="Normal"/>
    <w:rsid w:val="00A64127"/>
    <w:rPr>
      <w:rFonts w:eastAsia="MS Mincho"/>
      <w:b/>
      <w:i/>
      <w:szCs w:val="20"/>
      <w:lang w:eastAsia="ja-JP" w:bidi="ar-SA"/>
    </w:rPr>
  </w:style>
  <w:style w:type="paragraph" w:customStyle="1" w:styleId="CellBody">
    <w:name w:val="CellBody"/>
    <w:rsid w:val="0034131E"/>
    <w:pPr>
      <w:autoSpaceDE w:val="0"/>
      <w:autoSpaceDN w:val="0"/>
      <w:adjustRightInd w:val="0"/>
      <w:spacing w:line="220" w:lineRule="atLeast"/>
    </w:pPr>
    <w:rPr>
      <w:rFonts w:ascii="Arial" w:eastAsia="MS Mincho" w:hAnsi="Arial" w:cs="Arial"/>
      <w:color w:val="000000"/>
      <w:w w:val="0"/>
      <w:sz w:val="18"/>
      <w:szCs w:val="18"/>
      <w:lang w:val="en-GB" w:eastAsia="ja-JP" w:bidi="ar-SA"/>
    </w:rPr>
  </w:style>
  <w:style w:type="paragraph" w:customStyle="1" w:styleId="CellHeading">
    <w:name w:val="CellHeading"/>
    <w:rsid w:val="0034131E"/>
    <w:pPr>
      <w:suppressAutoHyphens/>
      <w:autoSpaceDE w:val="0"/>
      <w:autoSpaceDN w:val="0"/>
      <w:adjustRightInd w:val="0"/>
      <w:spacing w:line="220" w:lineRule="atLeast"/>
      <w:jc w:val="center"/>
    </w:pPr>
    <w:rPr>
      <w:rFonts w:ascii="Arial" w:eastAsia="MS Mincho" w:hAnsi="Arial" w:cs="Arial"/>
      <w:color w:val="000000"/>
      <w:w w:val="0"/>
      <w:sz w:val="18"/>
      <w:szCs w:val="18"/>
      <w:lang w:val="en-GB" w:eastAsia="ja-JP" w:bidi="ar-SA"/>
    </w:rPr>
  </w:style>
  <w:style w:type="character" w:customStyle="1" w:styleId="Symbol">
    <w:name w:val="Symbol"/>
    <w:rsid w:val="0034131E"/>
    <w:rPr>
      <w:rFonts w:ascii="Symbol" w:hAnsi="Symbol" w:cs="Symbol"/>
      <w:color w:val="000000"/>
      <w:vertAlign w:val="baseline"/>
    </w:rPr>
  </w:style>
  <w:style w:type="character" w:customStyle="1" w:styleId="Table">
    <w:name w:val="Table"/>
    <w:rsid w:val="0034131E"/>
    <w:rPr>
      <w:rFonts w:ascii="Arial" w:hAnsi="Arial" w:cs="Arial"/>
      <w:color w:val="000000"/>
      <w:spacing w:val="0"/>
      <w:w w:val="100"/>
      <w:sz w:val="22"/>
      <w:szCs w:val="22"/>
      <w:u w:val="none"/>
      <w:vertAlign w:val="baseline"/>
      <w:lang w:val="en-US"/>
    </w:rPr>
  </w:style>
  <w:style w:type="paragraph" w:customStyle="1" w:styleId="TableCaption">
    <w:name w:val="TableCaption"/>
    <w:rsid w:val="000432E8"/>
    <w:pPr>
      <w:widowControl w:val="0"/>
      <w:autoSpaceDE w:val="0"/>
      <w:autoSpaceDN w:val="0"/>
      <w:adjustRightInd w:val="0"/>
      <w:spacing w:line="240" w:lineRule="atLeast"/>
      <w:jc w:val="center"/>
    </w:pPr>
    <w:rPr>
      <w:rFonts w:eastAsia="PMingLiU"/>
      <w:b/>
      <w:bCs/>
      <w:color w:val="000000"/>
      <w:w w:val="0"/>
      <w:lang w:bidi="ar-SA"/>
    </w:rPr>
  </w:style>
  <w:style w:type="paragraph" w:customStyle="1" w:styleId="TableText">
    <w:name w:val="TableText"/>
    <w:rsid w:val="000432E8"/>
    <w:pPr>
      <w:widowControl w:val="0"/>
      <w:autoSpaceDE w:val="0"/>
      <w:autoSpaceDN w:val="0"/>
      <w:adjustRightInd w:val="0"/>
      <w:spacing w:line="200" w:lineRule="atLeast"/>
    </w:pPr>
    <w:rPr>
      <w:rFonts w:eastAsia="PMingLiU"/>
      <w:color w:val="000000"/>
      <w:w w:val="0"/>
      <w:sz w:val="18"/>
      <w:szCs w:val="18"/>
      <w:lang w:bidi="ar-SA"/>
    </w:rPr>
  </w:style>
  <w:style w:type="character" w:customStyle="1" w:styleId="WW8Num1z3">
    <w:name w:val="WW8Num1z3"/>
    <w:rsid w:val="00217E09"/>
    <w:rPr>
      <w:lang w:val="en-US"/>
    </w:rPr>
  </w:style>
  <w:style w:type="paragraph" w:customStyle="1" w:styleId="StyleHeading2H2AsianMSMincho">
    <w:name w:val="Style Heading 2H2 + (Asian) MS Mincho"/>
    <w:basedOn w:val="Heading2"/>
    <w:rsid w:val="00487DE4"/>
    <w:pPr>
      <w:suppressAutoHyphens/>
    </w:pPr>
    <w:rPr>
      <w:rFonts w:eastAsia="MS Mincho"/>
      <w:lang w:eastAsia="he-IL"/>
    </w:rPr>
  </w:style>
  <w:style w:type="paragraph" w:styleId="Revision">
    <w:name w:val="Revision"/>
    <w:hidden/>
    <w:uiPriority w:val="99"/>
    <w:semiHidden/>
    <w:rsid w:val="00E954BE"/>
    <w:rPr>
      <w:sz w:val="24"/>
      <w:szCs w:val="24"/>
    </w:rPr>
  </w:style>
  <w:style w:type="paragraph" w:styleId="ListParagraph">
    <w:name w:val="List Paragraph"/>
    <w:basedOn w:val="Normal"/>
    <w:uiPriority w:val="99"/>
    <w:qFormat/>
    <w:rsid w:val="00FA22D4"/>
    <w:pPr>
      <w:ind w:left="720"/>
    </w:pPr>
    <w:rPr>
      <w:rFonts w:eastAsia="Batang"/>
    </w:rPr>
  </w:style>
  <w:style w:type="paragraph" w:styleId="TOCHeading0">
    <w:name w:val="TOC Heading"/>
    <w:basedOn w:val="Heading1"/>
    <w:next w:val="Normal"/>
    <w:uiPriority w:val="39"/>
    <w:semiHidden/>
    <w:unhideWhenUsed/>
    <w:qFormat/>
    <w:rsid w:val="00F21407"/>
    <w:pPr>
      <w:spacing w:before="480" w:line="276" w:lineRule="auto"/>
      <w:outlineLvl w:val="9"/>
    </w:pPr>
    <w:rPr>
      <w:rFonts w:ascii="Cambria" w:hAnsi="Cambria"/>
      <w:color w:val="365F91"/>
      <w:sz w:val="28"/>
      <w:szCs w:val="28"/>
      <w:u w:val="none"/>
      <w:lang w:bidi="ar-SA"/>
    </w:rPr>
  </w:style>
  <w:style w:type="character" w:customStyle="1" w:styleId="BodyTextChar1">
    <w:name w:val="Body Text Char1"/>
    <w:basedOn w:val="DefaultParagraphFont"/>
    <w:link w:val="BodyText"/>
    <w:rsid w:val="00215C57"/>
    <w:rPr>
      <w:rFonts w:ascii="Helvetica" w:eastAsia="MS Mincho" w:hAnsi="Helvetica"/>
      <w:sz w:val="24"/>
      <w:lang w:bidi="ar-SA"/>
    </w:rPr>
  </w:style>
  <w:style w:type="character" w:customStyle="1" w:styleId="BodyTextIndentChar">
    <w:name w:val="Body Text Indent Char"/>
    <w:basedOn w:val="DefaultParagraphFont"/>
    <w:link w:val="BodyTextIndent"/>
    <w:rsid w:val="00215C57"/>
    <w:rPr>
      <w:sz w:val="22"/>
      <w:szCs w:val="24"/>
    </w:rPr>
  </w:style>
  <w:style w:type="paragraph" w:styleId="Bibliography">
    <w:name w:val="Bibliography"/>
    <w:basedOn w:val="Normal"/>
    <w:next w:val="Normal"/>
    <w:uiPriority w:val="37"/>
    <w:semiHidden/>
    <w:unhideWhenUsed/>
    <w:rsid w:val="00BC573D"/>
  </w:style>
  <w:style w:type="paragraph" w:styleId="BlockText">
    <w:name w:val="Block Text"/>
    <w:basedOn w:val="Normal"/>
    <w:rsid w:val="00BC573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C573D"/>
    <w:pPr>
      <w:spacing w:before="0" w:after="0"/>
      <w:ind w:firstLine="360"/>
      <w:jc w:val="left"/>
    </w:pPr>
    <w:rPr>
      <w:rFonts w:ascii="Times New Roman" w:eastAsia="Times New Roman" w:hAnsi="Times New Roman"/>
      <w:szCs w:val="24"/>
      <w:lang w:bidi="he-IL"/>
    </w:rPr>
  </w:style>
  <w:style w:type="character" w:customStyle="1" w:styleId="BodyTextFirstIndentChar">
    <w:name w:val="Body Text First Indent Char"/>
    <w:basedOn w:val="BodyTextChar1"/>
    <w:link w:val="BodyTextFirstIndent"/>
    <w:rsid w:val="00BC573D"/>
    <w:rPr>
      <w:szCs w:val="24"/>
    </w:rPr>
  </w:style>
  <w:style w:type="paragraph" w:styleId="BodyTextFirstIndent2">
    <w:name w:val="Body Text First Indent 2"/>
    <w:basedOn w:val="BodyTextIndent"/>
    <w:link w:val="BodyTextFirstIndent2Char"/>
    <w:rsid w:val="00BC573D"/>
    <w:pPr>
      <w:ind w:left="360" w:firstLine="360"/>
    </w:pPr>
    <w:rPr>
      <w:sz w:val="24"/>
    </w:rPr>
  </w:style>
  <w:style w:type="character" w:customStyle="1" w:styleId="BodyTextFirstIndent2Char">
    <w:name w:val="Body Text First Indent 2 Char"/>
    <w:basedOn w:val="BodyTextIndentChar"/>
    <w:link w:val="BodyTextFirstIndent2"/>
    <w:rsid w:val="00BC573D"/>
    <w:rPr>
      <w:sz w:val="24"/>
    </w:rPr>
  </w:style>
  <w:style w:type="paragraph" w:styleId="BodyTextIndent3">
    <w:name w:val="Body Text Indent 3"/>
    <w:basedOn w:val="Normal"/>
    <w:link w:val="BodyTextIndent3Char"/>
    <w:rsid w:val="00BC573D"/>
    <w:pPr>
      <w:spacing w:after="120"/>
      <w:ind w:left="360"/>
    </w:pPr>
    <w:rPr>
      <w:sz w:val="16"/>
      <w:szCs w:val="16"/>
    </w:rPr>
  </w:style>
  <w:style w:type="character" w:customStyle="1" w:styleId="BodyTextIndent3Char">
    <w:name w:val="Body Text Indent 3 Char"/>
    <w:basedOn w:val="DefaultParagraphFont"/>
    <w:link w:val="BodyTextIndent3"/>
    <w:rsid w:val="00BC573D"/>
    <w:rPr>
      <w:sz w:val="16"/>
      <w:szCs w:val="16"/>
    </w:rPr>
  </w:style>
  <w:style w:type="paragraph" w:styleId="Closing">
    <w:name w:val="Closing"/>
    <w:basedOn w:val="Normal"/>
    <w:link w:val="ClosingChar"/>
    <w:rsid w:val="00BC573D"/>
    <w:pPr>
      <w:ind w:left="4320"/>
    </w:pPr>
  </w:style>
  <w:style w:type="character" w:customStyle="1" w:styleId="ClosingChar">
    <w:name w:val="Closing Char"/>
    <w:basedOn w:val="DefaultParagraphFont"/>
    <w:link w:val="Closing"/>
    <w:rsid w:val="00BC573D"/>
    <w:rPr>
      <w:sz w:val="24"/>
      <w:szCs w:val="24"/>
    </w:rPr>
  </w:style>
  <w:style w:type="paragraph" w:styleId="Date">
    <w:name w:val="Date"/>
    <w:basedOn w:val="Normal"/>
    <w:next w:val="Normal"/>
    <w:link w:val="DateChar"/>
    <w:rsid w:val="00BC573D"/>
  </w:style>
  <w:style w:type="character" w:customStyle="1" w:styleId="DateChar">
    <w:name w:val="Date Char"/>
    <w:basedOn w:val="DefaultParagraphFont"/>
    <w:link w:val="Date"/>
    <w:rsid w:val="00BC573D"/>
    <w:rPr>
      <w:sz w:val="24"/>
      <w:szCs w:val="24"/>
    </w:rPr>
  </w:style>
  <w:style w:type="paragraph" w:styleId="E-mailSignature">
    <w:name w:val="E-mail Signature"/>
    <w:basedOn w:val="Normal"/>
    <w:link w:val="E-mailSignatureChar"/>
    <w:rsid w:val="00BC573D"/>
  </w:style>
  <w:style w:type="character" w:customStyle="1" w:styleId="E-mailSignatureChar">
    <w:name w:val="E-mail Signature Char"/>
    <w:basedOn w:val="DefaultParagraphFont"/>
    <w:link w:val="E-mailSignature"/>
    <w:rsid w:val="00BC573D"/>
    <w:rPr>
      <w:sz w:val="24"/>
      <w:szCs w:val="24"/>
    </w:rPr>
  </w:style>
  <w:style w:type="paragraph" w:styleId="EndnoteText">
    <w:name w:val="endnote text"/>
    <w:basedOn w:val="Normal"/>
    <w:link w:val="EndnoteTextChar"/>
    <w:rsid w:val="00BC573D"/>
    <w:rPr>
      <w:sz w:val="20"/>
      <w:szCs w:val="20"/>
    </w:rPr>
  </w:style>
  <w:style w:type="character" w:customStyle="1" w:styleId="EndnoteTextChar">
    <w:name w:val="Endnote Text Char"/>
    <w:basedOn w:val="DefaultParagraphFont"/>
    <w:link w:val="EndnoteText"/>
    <w:rsid w:val="00BC573D"/>
  </w:style>
  <w:style w:type="paragraph" w:styleId="EnvelopeAddress">
    <w:name w:val="envelope address"/>
    <w:basedOn w:val="Normal"/>
    <w:rsid w:val="00BC573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BC573D"/>
    <w:rPr>
      <w:rFonts w:asciiTheme="majorHAnsi" w:eastAsiaTheme="majorEastAsia" w:hAnsiTheme="majorHAnsi" w:cstheme="majorBidi"/>
      <w:sz w:val="20"/>
      <w:szCs w:val="20"/>
    </w:rPr>
  </w:style>
  <w:style w:type="paragraph" w:styleId="HTMLAddress">
    <w:name w:val="HTML Address"/>
    <w:basedOn w:val="Normal"/>
    <w:link w:val="HTMLAddressChar"/>
    <w:rsid w:val="00BC573D"/>
    <w:rPr>
      <w:i/>
      <w:iCs/>
    </w:rPr>
  </w:style>
  <w:style w:type="character" w:customStyle="1" w:styleId="HTMLAddressChar">
    <w:name w:val="HTML Address Char"/>
    <w:basedOn w:val="DefaultParagraphFont"/>
    <w:link w:val="HTMLAddress"/>
    <w:rsid w:val="00BC573D"/>
    <w:rPr>
      <w:i/>
      <w:iCs/>
      <w:sz w:val="24"/>
      <w:szCs w:val="24"/>
    </w:rPr>
  </w:style>
  <w:style w:type="paragraph" w:styleId="HTMLPreformatted">
    <w:name w:val="HTML Preformatted"/>
    <w:basedOn w:val="Normal"/>
    <w:link w:val="HTMLPreformattedChar"/>
    <w:rsid w:val="00BC573D"/>
    <w:rPr>
      <w:rFonts w:ascii="Consolas" w:hAnsi="Consolas"/>
      <w:sz w:val="20"/>
      <w:szCs w:val="20"/>
    </w:rPr>
  </w:style>
  <w:style w:type="character" w:customStyle="1" w:styleId="HTMLPreformattedChar">
    <w:name w:val="HTML Preformatted Char"/>
    <w:basedOn w:val="DefaultParagraphFont"/>
    <w:link w:val="HTMLPreformatted"/>
    <w:rsid w:val="00BC573D"/>
    <w:rPr>
      <w:rFonts w:ascii="Consolas" w:hAnsi="Consolas"/>
    </w:rPr>
  </w:style>
  <w:style w:type="paragraph" w:styleId="Index1">
    <w:name w:val="index 1"/>
    <w:basedOn w:val="Normal"/>
    <w:next w:val="Normal"/>
    <w:autoRedefine/>
    <w:rsid w:val="00BC573D"/>
    <w:pPr>
      <w:ind w:left="240" w:hanging="240"/>
    </w:pPr>
  </w:style>
  <w:style w:type="paragraph" w:styleId="Index2">
    <w:name w:val="index 2"/>
    <w:basedOn w:val="Normal"/>
    <w:next w:val="Normal"/>
    <w:autoRedefine/>
    <w:rsid w:val="00BC573D"/>
    <w:pPr>
      <w:ind w:left="480" w:hanging="240"/>
    </w:pPr>
  </w:style>
  <w:style w:type="paragraph" w:styleId="Index3">
    <w:name w:val="index 3"/>
    <w:basedOn w:val="Normal"/>
    <w:next w:val="Normal"/>
    <w:autoRedefine/>
    <w:rsid w:val="00BC573D"/>
    <w:pPr>
      <w:ind w:left="720" w:hanging="240"/>
    </w:pPr>
  </w:style>
  <w:style w:type="paragraph" w:styleId="Index4">
    <w:name w:val="index 4"/>
    <w:basedOn w:val="Normal"/>
    <w:next w:val="Normal"/>
    <w:autoRedefine/>
    <w:rsid w:val="00BC573D"/>
    <w:pPr>
      <w:ind w:left="960" w:hanging="240"/>
    </w:pPr>
  </w:style>
  <w:style w:type="paragraph" w:styleId="Index5">
    <w:name w:val="index 5"/>
    <w:basedOn w:val="Normal"/>
    <w:next w:val="Normal"/>
    <w:autoRedefine/>
    <w:rsid w:val="00BC573D"/>
    <w:pPr>
      <w:ind w:left="1200" w:hanging="240"/>
    </w:pPr>
  </w:style>
  <w:style w:type="paragraph" w:styleId="Index6">
    <w:name w:val="index 6"/>
    <w:basedOn w:val="Normal"/>
    <w:next w:val="Normal"/>
    <w:autoRedefine/>
    <w:rsid w:val="00BC573D"/>
    <w:pPr>
      <w:ind w:left="1440" w:hanging="240"/>
    </w:pPr>
  </w:style>
  <w:style w:type="paragraph" w:styleId="Index7">
    <w:name w:val="index 7"/>
    <w:basedOn w:val="Normal"/>
    <w:next w:val="Normal"/>
    <w:autoRedefine/>
    <w:rsid w:val="00BC573D"/>
    <w:pPr>
      <w:ind w:left="1680" w:hanging="240"/>
    </w:pPr>
  </w:style>
  <w:style w:type="paragraph" w:styleId="Index8">
    <w:name w:val="index 8"/>
    <w:basedOn w:val="Normal"/>
    <w:next w:val="Normal"/>
    <w:autoRedefine/>
    <w:rsid w:val="00BC573D"/>
    <w:pPr>
      <w:ind w:left="1920" w:hanging="240"/>
    </w:pPr>
  </w:style>
  <w:style w:type="paragraph" w:styleId="Index9">
    <w:name w:val="index 9"/>
    <w:basedOn w:val="Normal"/>
    <w:next w:val="Normal"/>
    <w:autoRedefine/>
    <w:rsid w:val="00BC573D"/>
    <w:pPr>
      <w:ind w:left="2160" w:hanging="240"/>
    </w:pPr>
  </w:style>
  <w:style w:type="paragraph" w:styleId="IndexHeading">
    <w:name w:val="index heading"/>
    <w:basedOn w:val="Normal"/>
    <w:next w:val="Index1"/>
    <w:rsid w:val="00BC573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C573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573D"/>
    <w:rPr>
      <w:b/>
      <w:bCs/>
      <w:i/>
      <w:iCs/>
      <w:color w:val="4F81BD" w:themeColor="accent1"/>
      <w:sz w:val="24"/>
      <w:szCs w:val="24"/>
    </w:rPr>
  </w:style>
  <w:style w:type="paragraph" w:styleId="List">
    <w:name w:val="List"/>
    <w:basedOn w:val="Normal"/>
    <w:rsid w:val="00BC573D"/>
    <w:pPr>
      <w:ind w:left="360" w:hanging="360"/>
      <w:contextualSpacing/>
    </w:pPr>
  </w:style>
  <w:style w:type="paragraph" w:styleId="List2">
    <w:name w:val="List 2"/>
    <w:basedOn w:val="Normal"/>
    <w:rsid w:val="00BC573D"/>
    <w:pPr>
      <w:ind w:left="720" w:hanging="360"/>
      <w:contextualSpacing/>
    </w:pPr>
  </w:style>
  <w:style w:type="paragraph" w:styleId="List3">
    <w:name w:val="List 3"/>
    <w:basedOn w:val="Normal"/>
    <w:rsid w:val="00BC573D"/>
    <w:pPr>
      <w:ind w:left="1080" w:hanging="360"/>
      <w:contextualSpacing/>
    </w:pPr>
  </w:style>
  <w:style w:type="paragraph" w:styleId="List4">
    <w:name w:val="List 4"/>
    <w:basedOn w:val="Normal"/>
    <w:rsid w:val="00BC573D"/>
    <w:pPr>
      <w:ind w:left="1440" w:hanging="360"/>
      <w:contextualSpacing/>
    </w:pPr>
  </w:style>
  <w:style w:type="paragraph" w:styleId="List5">
    <w:name w:val="List 5"/>
    <w:basedOn w:val="Normal"/>
    <w:rsid w:val="00BC573D"/>
    <w:pPr>
      <w:ind w:left="1800" w:hanging="360"/>
      <w:contextualSpacing/>
    </w:pPr>
  </w:style>
  <w:style w:type="paragraph" w:styleId="ListBullet">
    <w:name w:val="List Bullet"/>
    <w:basedOn w:val="Normal"/>
    <w:rsid w:val="00BC573D"/>
    <w:pPr>
      <w:numPr>
        <w:numId w:val="172"/>
      </w:numPr>
      <w:contextualSpacing/>
    </w:pPr>
  </w:style>
  <w:style w:type="paragraph" w:styleId="ListBullet2">
    <w:name w:val="List Bullet 2"/>
    <w:basedOn w:val="Normal"/>
    <w:rsid w:val="00BC573D"/>
    <w:pPr>
      <w:numPr>
        <w:numId w:val="173"/>
      </w:numPr>
      <w:contextualSpacing/>
    </w:pPr>
  </w:style>
  <w:style w:type="paragraph" w:styleId="ListBullet3">
    <w:name w:val="List Bullet 3"/>
    <w:basedOn w:val="Normal"/>
    <w:rsid w:val="00BC573D"/>
    <w:pPr>
      <w:numPr>
        <w:numId w:val="174"/>
      </w:numPr>
      <w:contextualSpacing/>
    </w:pPr>
  </w:style>
  <w:style w:type="paragraph" w:styleId="ListBullet4">
    <w:name w:val="List Bullet 4"/>
    <w:basedOn w:val="Normal"/>
    <w:rsid w:val="00BC573D"/>
    <w:pPr>
      <w:numPr>
        <w:numId w:val="175"/>
      </w:numPr>
      <w:contextualSpacing/>
    </w:pPr>
  </w:style>
  <w:style w:type="paragraph" w:styleId="ListBullet5">
    <w:name w:val="List Bullet 5"/>
    <w:basedOn w:val="Normal"/>
    <w:rsid w:val="00BC573D"/>
    <w:pPr>
      <w:numPr>
        <w:numId w:val="176"/>
      </w:numPr>
      <w:contextualSpacing/>
    </w:pPr>
  </w:style>
  <w:style w:type="paragraph" w:styleId="ListContinue">
    <w:name w:val="List Continue"/>
    <w:basedOn w:val="Normal"/>
    <w:rsid w:val="00BC573D"/>
    <w:pPr>
      <w:spacing w:after="120"/>
      <w:ind w:left="360"/>
      <w:contextualSpacing/>
    </w:pPr>
  </w:style>
  <w:style w:type="paragraph" w:styleId="ListContinue2">
    <w:name w:val="List Continue 2"/>
    <w:basedOn w:val="Normal"/>
    <w:rsid w:val="00BC573D"/>
    <w:pPr>
      <w:spacing w:after="120"/>
      <w:ind w:left="720"/>
      <w:contextualSpacing/>
    </w:pPr>
  </w:style>
  <w:style w:type="paragraph" w:styleId="ListContinue3">
    <w:name w:val="List Continue 3"/>
    <w:basedOn w:val="Normal"/>
    <w:rsid w:val="00BC573D"/>
    <w:pPr>
      <w:spacing w:after="120"/>
      <w:ind w:left="1080"/>
      <w:contextualSpacing/>
    </w:pPr>
  </w:style>
  <w:style w:type="paragraph" w:styleId="ListContinue4">
    <w:name w:val="List Continue 4"/>
    <w:basedOn w:val="Normal"/>
    <w:rsid w:val="00BC573D"/>
    <w:pPr>
      <w:spacing w:after="120"/>
      <w:ind w:left="1440"/>
      <w:contextualSpacing/>
    </w:pPr>
  </w:style>
  <w:style w:type="paragraph" w:styleId="ListContinue5">
    <w:name w:val="List Continue 5"/>
    <w:basedOn w:val="Normal"/>
    <w:rsid w:val="00BC573D"/>
    <w:pPr>
      <w:spacing w:after="120"/>
      <w:ind w:left="1800"/>
      <w:contextualSpacing/>
    </w:pPr>
  </w:style>
  <w:style w:type="paragraph" w:styleId="ListNumber">
    <w:name w:val="List Number"/>
    <w:basedOn w:val="Normal"/>
    <w:rsid w:val="00BC573D"/>
    <w:pPr>
      <w:numPr>
        <w:numId w:val="177"/>
      </w:numPr>
      <w:contextualSpacing/>
    </w:pPr>
  </w:style>
  <w:style w:type="paragraph" w:styleId="ListNumber2">
    <w:name w:val="List Number 2"/>
    <w:basedOn w:val="Normal"/>
    <w:rsid w:val="00BC573D"/>
    <w:pPr>
      <w:numPr>
        <w:numId w:val="178"/>
      </w:numPr>
      <w:contextualSpacing/>
    </w:pPr>
  </w:style>
  <w:style w:type="paragraph" w:styleId="ListNumber3">
    <w:name w:val="List Number 3"/>
    <w:basedOn w:val="Normal"/>
    <w:rsid w:val="00BC573D"/>
    <w:pPr>
      <w:numPr>
        <w:numId w:val="179"/>
      </w:numPr>
      <w:contextualSpacing/>
    </w:pPr>
  </w:style>
  <w:style w:type="paragraph" w:styleId="ListNumber4">
    <w:name w:val="List Number 4"/>
    <w:basedOn w:val="Normal"/>
    <w:rsid w:val="00BC573D"/>
    <w:pPr>
      <w:numPr>
        <w:numId w:val="180"/>
      </w:numPr>
      <w:contextualSpacing/>
    </w:pPr>
  </w:style>
  <w:style w:type="paragraph" w:styleId="ListNumber5">
    <w:name w:val="List Number 5"/>
    <w:basedOn w:val="Normal"/>
    <w:rsid w:val="00BC573D"/>
    <w:pPr>
      <w:numPr>
        <w:numId w:val="181"/>
      </w:numPr>
      <w:contextualSpacing/>
    </w:pPr>
  </w:style>
  <w:style w:type="paragraph" w:styleId="MacroText">
    <w:name w:val="macro"/>
    <w:link w:val="MacroTextChar"/>
    <w:rsid w:val="00BC573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BC573D"/>
    <w:rPr>
      <w:rFonts w:ascii="Consolas" w:hAnsi="Consolas"/>
    </w:rPr>
  </w:style>
  <w:style w:type="paragraph" w:styleId="MessageHeader">
    <w:name w:val="Message Header"/>
    <w:basedOn w:val="Normal"/>
    <w:link w:val="MessageHeaderChar"/>
    <w:rsid w:val="00BC573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BC573D"/>
    <w:rPr>
      <w:rFonts w:asciiTheme="majorHAnsi" w:eastAsiaTheme="majorEastAsia" w:hAnsiTheme="majorHAnsi" w:cstheme="majorBidi"/>
      <w:sz w:val="24"/>
      <w:szCs w:val="24"/>
      <w:shd w:val="pct20" w:color="auto" w:fill="auto"/>
    </w:rPr>
  </w:style>
  <w:style w:type="paragraph" w:styleId="NoSpacing">
    <w:name w:val="No Spacing"/>
    <w:uiPriority w:val="1"/>
    <w:qFormat/>
    <w:rsid w:val="00BC573D"/>
    <w:rPr>
      <w:sz w:val="24"/>
      <w:szCs w:val="24"/>
    </w:rPr>
  </w:style>
  <w:style w:type="paragraph" w:styleId="NoteHeading">
    <w:name w:val="Note Heading"/>
    <w:basedOn w:val="Normal"/>
    <w:next w:val="Normal"/>
    <w:link w:val="NoteHeadingChar"/>
    <w:rsid w:val="00BC573D"/>
  </w:style>
  <w:style w:type="character" w:customStyle="1" w:styleId="NoteHeadingChar">
    <w:name w:val="Note Heading Char"/>
    <w:basedOn w:val="DefaultParagraphFont"/>
    <w:link w:val="NoteHeading"/>
    <w:rsid w:val="00BC573D"/>
    <w:rPr>
      <w:sz w:val="24"/>
      <w:szCs w:val="24"/>
    </w:rPr>
  </w:style>
  <w:style w:type="paragraph" w:styleId="Quote">
    <w:name w:val="Quote"/>
    <w:basedOn w:val="Normal"/>
    <w:next w:val="Normal"/>
    <w:link w:val="QuoteChar"/>
    <w:uiPriority w:val="29"/>
    <w:qFormat/>
    <w:rsid w:val="00BC573D"/>
    <w:rPr>
      <w:i/>
      <w:iCs/>
      <w:color w:val="000000" w:themeColor="text1"/>
    </w:rPr>
  </w:style>
  <w:style w:type="character" w:customStyle="1" w:styleId="QuoteChar">
    <w:name w:val="Quote Char"/>
    <w:basedOn w:val="DefaultParagraphFont"/>
    <w:link w:val="Quote"/>
    <w:uiPriority w:val="29"/>
    <w:rsid w:val="00BC573D"/>
    <w:rPr>
      <w:i/>
      <w:iCs/>
      <w:color w:val="000000" w:themeColor="text1"/>
      <w:sz w:val="24"/>
      <w:szCs w:val="24"/>
    </w:rPr>
  </w:style>
  <w:style w:type="paragraph" w:styleId="Salutation">
    <w:name w:val="Salutation"/>
    <w:basedOn w:val="Normal"/>
    <w:next w:val="Normal"/>
    <w:link w:val="SalutationChar"/>
    <w:rsid w:val="00BC573D"/>
  </w:style>
  <w:style w:type="character" w:customStyle="1" w:styleId="SalutationChar">
    <w:name w:val="Salutation Char"/>
    <w:basedOn w:val="DefaultParagraphFont"/>
    <w:link w:val="Salutation"/>
    <w:rsid w:val="00BC573D"/>
    <w:rPr>
      <w:sz w:val="24"/>
      <w:szCs w:val="24"/>
    </w:rPr>
  </w:style>
  <w:style w:type="paragraph" w:styleId="Signature">
    <w:name w:val="Signature"/>
    <w:basedOn w:val="Normal"/>
    <w:link w:val="SignatureChar"/>
    <w:rsid w:val="00BC573D"/>
    <w:pPr>
      <w:ind w:left="4320"/>
    </w:pPr>
  </w:style>
  <w:style w:type="character" w:customStyle="1" w:styleId="SignatureChar">
    <w:name w:val="Signature Char"/>
    <w:basedOn w:val="DefaultParagraphFont"/>
    <w:link w:val="Signature"/>
    <w:rsid w:val="00BC573D"/>
    <w:rPr>
      <w:sz w:val="24"/>
      <w:szCs w:val="24"/>
    </w:rPr>
  </w:style>
  <w:style w:type="paragraph" w:styleId="Subtitle">
    <w:name w:val="Subtitle"/>
    <w:basedOn w:val="Normal"/>
    <w:next w:val="Normal"/>
    <w:link w:val="SubtitleChar"/>
    <w:qFormat/>
    <w:rsid w:val="00BC573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C573D"/>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BC573D"/>
    <w:pPr>
      <w:ind w:left="240" w:hanging="240"/>
    </w:pPr>
  </w:style>
  <w:style w:type="paragraph" w:styleId="TOAHeading">
    <w:name w:val="toa heading"/>
    <w:basedOn w:val="Normal"/>
    <w:next w:val="Normal"/>
    <w:rsid w:val="00BC573D"/>
    <w:pPr>
      <w:spacing w:before="120"/>
    </w:pPr>
    <w:rPr>
      <w:rFonts w:asciiTheme="majorHAnsi" w:eastAsiaTheme="majorEastAsia" w:hAnsiTheme="majorHAnsi" w:cstheme="majorBidi"/>
      <w:b/>
      <w:bCs/>
    </w:rPr>
  </w:style>
  <w:style w:type="character" w:customStyle="1" w:styleId="apple-converted-space">
    <w:name w:val="apple-converted-space"/>
    <w:basedOn w:val="DefaultParagraphFont"/>
    <w:rsid w:val="00213158"/>
  </w:style>
  <w:style w:type="character" w:styleId="PlaceholderText">
    <w:name w:val="Placeholder Text"/>
    <w:basedOn w:val="DefaultParagraphFont"/>
    <w:uiPriority w:val="99"/>
    <w:semiHidden/>
    <w:rsid w:val="00E56682"/>
    <w:rPr>
      <w:color w:val="808080"/>
    </w:rPr>
  </w:style>
  <w:style w:type="paragraph" w:customStyle="1" w:styleId="Normal115pt">
    <w:name w:val="Normal + 11.5 pt"/>
    <w:aliases w:val="Justified"/>
    <w:basedOn w:val="Normal"/>
    <w:rsid w:val="007C6270"/>
    <w:pPr>
      <w:autoSpaceDE w:val="0"/>
      <w:autoSpaceDN w:val="0"/>
      <w:adjustRightInd w:val="0"/>
    </w:pPr>
    <w:rPr>
      <w:rFonts w:eastAsia="SimSun"/>
      <w:sz w:val="23"/>
      <w:szCs w:val="23"/>
      <w:lang w:eastAsia="zh-CN" w:bidi="ar-SA"/>
    </w:rPr>
  </w:style>
  <w:style w:type="paragraph" w:customStyle="1" w:styleId="Normal115">
    <w:name w:val="Normal (11.5)"/>
    <w:basedOn w:val="Normal"/>
    <w:rsid w:val="000A772D"/>
    <w:rPr>
      <w:rFonts w:ascii="Arial-BoldMT" w:eastAsia="SimSun" w:hAnsi="Arial-BoldMT" w:cs="Arial-BoldMT"/>
      <w:bCs/>
      <w:lang w:eastAsia="zh-CN" w:bidi="ar-SA"/>
    </w:rPr>
  </w:style>
  <w:style w:type="character" w:customStyle="1" w:styleId="MTDisplayEquationChar">
    <w:name w:val="MTDisplayEquation Char"/>
    <w:basedOn w:val="DefaultParagraphFont"/>
    <w:link w:val="MTDisplayEquation"/>
    <w:rsid w:val="003C0A2E"/>
    <w:rPr>
      <w:rFonts w:ascii="Helvetica" w:eastAsia="SimSun" w:hAnsi="Helvetica"/>
      <w:sz w:val="24"/>
      <w:szCs w:val="24"/>
      <w:lang w:bidi="ar-SA"/>
    </w:rPr>
  </w:style>
  <w:style w:type="character" w:customStyle="1" w:styleId="apple-style-span">
    <w:name w:val="apple-style-span"/>
    <w:basedOn w:val="DefaultParagraphFont"/>
    <w:rsid w:val="000A345C"/>
  </w:style>
  <w:style w:type="character" w:customStyle="1" w:styleId="FooterChar">
    <w:name w:val="Footer Char"/>
    <w:basedOn w:val="DefaultParagraphFont"/>
    <w:link w:val="Footer"/>
    <w:uiPriority w:val="99"/>
    <w:locked/>
    <w:rsid w:val="00481CF8"/>
    <w:rPr>
      <w:sz w:val="24"/>
      <w:szCs w:val="24"/>
    </w:rPr>
  </w:style>
</w:styles>
</file>

<file path=word/webSettings.xml><?xml version="1.0" encoding="utf-8"?>
<w:webSettings xmlns:r="http://schemas.openxmlformats.org/officeDocument/2006/relationships" xmlns:w="http://schemas.openxmlformats.org/wordprocessingml/2006/main">
  <w:divs>
    <w:div w:id="19552487">
      <w:bodyDiv w:val="1"/>
      <w:marLeft w:val="0"/>
      <w:marRight w:val="0"/>
      <w:marTop w:val="0"/>
      <w:marBottom w:val="0"/>
      <w:divBdr>
        <w:top w:val="none" w:sz="0" w:space="0" w:color="auto"/>
        <w:left w:val="none" w:sz="0" w:space="0" w:color="auto"/>
        <w:bottom w:val="none" w:sz="0" w:space="0" w:color="auto"/>
        <w:right w:val="none" w:sz="0" w:space="0" w:color="auto"/>
      </w:divBdr>
    </w:div>
    <w:div w:id="34277216">
      <w:bodyDiv w:val="1"/>
      <w:marLeft w:val="0"/>
      <w:marRight w:val="0"/>
      <w:marTop w:val="0"/>
      <w:marBottom w:val="0"/>
      <w:divBdr>
        <w:top w:val="none" w:sz="0" w:space="0" w:color="auto"/>
        <w:left w:val="none" w:sz="0" w:space="0" w:color="auto"/>
        <w:bottom w:val="none" w:sz="0" w:space="0" w:color="auto"/>
        <w:right w:val="none" w:sz="0" w:space="0" w:color="auto"/>
      </w:divBdr>
    </w:div>
    <w:div w:id="69277042">
      <w:bodyDiv w:val="1"/>
      <w:marLeft w:val="0"/>
      <w:marRight w:val="0"/>
      <w:marTop w:val="0"/>
      <w:marBottom w:val="0"/>
      <w:divBdr>
        <w:top w:val="none" w:sz="0" w:space="0" w:color="auto"/>
        <w:left w:val="none" w:sz="0" w:space="0" w:color="auto"/>
        <w:bottom w:val="none" w:sz="0" w:space="0" w:color="auto"/>
        <w:right w:val="none" w:sz="0" w:space="0" w:color="auto"/>
      </w:divBdr>
    </w:div>
    <w:div w:id="75398695">
      <w:bodyDiv w:val="1"/>
      <w:marLeft w:val="0"/>
      <w:marRight w:val="0"/>
      <w:marTop w:val="0"/>
      <w:marBottom w:val="0"/>
      <w:divBdr>
        <w:top w:val="none" w:sz="0" w:space="0" w:color="auto"/>
        <w:left w:val="none" w:sz="0" w:space="0" w:color="auto"/>
        <w:bottom w:val="none" w:sz="0" w:space="0" w:color="auto"/>
        <w:right w:val="none" w:sz="0" w:space="0" w:color="auto"/>
      </w:divBdr>
    </w:div>
    <w:div w:id="176387682">
      <w:bodyDiv w:val="1"/>
      <w:marLeft w:val="0"/>
      <w:marRight w:val="0"/>
      <w:marTop w:val="0"/>
      <w:marBottom w:val="0"/>
      <w:divBdr>
        <w:top w:val="none" w:sz="0" w:space="0" w:color="auto"/>
        <w:left w:val="none" w:sz="0" w:space="0" w:color="auto"/>
        <w:bottom w:val="none" w:sz="0" w:space="0" w:color="auto"/>
        <w:right w:val="none" w:sz="0" w:space="0" w:color="auto"/>
      </w:divBdr>
    </w:div>
    <w:div w:id="202328756">
      <w:bodyDiv w:val="1"/>
      <w:marLeft w:val="0"/>
      <w:marRight w:val="0"/>
      <w:marTop w:val="0"/>
      <w:marBottom w:val="0"/>
      <w:divBdr>
        <w:top w:val="none" w:sz="0" w:space="0" w:color="auto"/>
        <w:left w:val="none" w:sz="0" w:space="0" w:color="auto"/>
        <w:bottom w:val="none" w:sz="0" w:space="0" w:color="auto"/>
        <w:right w:val="none" w:sz="0" w:space="0" w:color="auto"/>
      </w:divBdr>
      <w:divsChild>
        <w:div w:id="2085565631">
          <w:marLeft w:val="0"/>
          <w:marRight w:val="0"/>
          <w:marTop w:val="0"/>
          <w:marBottom w:val="0"/>
          <w:divBdr>
            <w:top w:val="none" w:sz="0" w:space="0" w:color="auto"/>
            <w:left w:val="none" w:sz="0" w:space="0" w:color="auto"/>
            <w:bottom w:val="none" w:sz="0" w:space="0" w:color="auto"/>
            <w:right w:val="none" w:sz="0" w:space="0" w:color="auto"/>
          </w:divBdr>
        </w:div>
      </w:divsChild>
    </w:div>
    <w:div w:id="202711326">
      <w:bodyDiv w:val="1"/>
      <w:marLeft w:val="0"/>
      <w:marRight w:val="0"/>
      <w:marTop w:val="0"/>
      <w:marBottom w:val="0"/>
      <w:divBdr>
        <w:top w:val="none" w:sz="0" w:space="0" w:color="auto"/>
        <w:left w:val="none" w:sz="0" w:space="0" w:color="auto"/>
        <w:bottom w:val="none" w:sz="0" w:space="0" w:color="auto"/>
        <w:right w:val="none" w:sz="0" w:space="0" w:color="auto"/>
      </w:divBdr>
    </w:div>
    <w:div w:id="383649787">
      <w:bodyDiv w:val="1"/>
      <w:marLeft w:val="0"/>
      <w:marRight w:val="0"/>
      <w:marTop w:val="0"/>
      <w:marBottom w:val="0"/>
      <w:divBdr>
        <w:top w:val="none" w:sz="0" w:space="0" w:color="auto"/>
        <w:left w:val="none" w:sz="0" w:space="0" w:color="auto"/>
        <w:bottom w:val="none" w:sz="0" w:space="0" w:color="auto"/>
        <w:right w:val="none" w:sz="0" w:space="0" w:color="auto"/>
      </w:divBdr>
    </w:div>
    <w:div w:id="491261423">
      <w:bodyDiv w:val="1"/>
      <w:marLeft w:val="0"/>
      <w:marRight w:val="0"/>
      <w:marTop w:val="0"/>
      <w:marBottom w:val="0"/>
      <w:divBdr>
        <w:top w:val="none" w:sz="0" w:space="0" w:color="auto"/>
        <w:left w:val="none" w:sz="0" w:space="0" w:color="auto"/>
        <w:bottom w:val="none" w:sz="0" w:space="0" w:color="auto"/>
        <w:right w:val="none" w:sz="0" w:space="0" w:color="auto"/>
      </w:divBdr>
    </w:div>
    <w:div w:id="503327728">
      <w:bodyDiv w:val="1"/>
      <w:marLeft w:val="0"/>
      <w:marRight w:val="0"/>
      <w:marTop w:val="0"/>
      <w:marBottom w:val="0"/>
      <w:divBdr>
        <w:top w:val="none" w:sz="0" w:space="0" w:color="auto"/>
        <w:left w:val="none" w:sz="0" w:space="0" w:color="auto"/>
        <w:bottom w:val="none" w:sz="0" w:space="0" w:color="auto"/>
        <w:right w:val="none" w:sz="0" w:space="0" w:color="auto"/>
      </w:divBdr>
    </w:div>
    <w:div w:id="553546113">
      <w:bodyDiv w:val="1"/>
      <w:marLeft w:val="0"/>
      <w:marRight w:val="0"/>
      <w:marTop w:val="0"/>
      <w:marBottom w:val="0"/>
      <w:divBdr>
        <w:top w:val="none" w:sz="0" w:space="0" w:color="auto"/>
        <w:left w:val="none" w:sz="0" w:space="0" w:color="auto"/>
        <w:bottom w:val="none" w:sz="0" w:space="0" w:color="auto"/>
        <w:right w:val="none" w:sz="0" w:space="0" w:color="auto"/>
      </w:divBdr>
      <w:divsChild>
        <w:div w:id="2011790649">
          <w:marLeft w:val="0"/>
          <w:marRight w:val="0"/>
          <w:marTop w:val="0"/>
          <w:marBottom w:val="0"/>
          <w:divBdr>
            <w:top w:val="none" w:sz="0" w:space="0" w:color="auto"/>
            <w:left w:val="none" w:sz="0" w:space="0" w:color="auto"/>
            <w:bottom w:val="none" w:sz="0" w:space="0" w:color="auto"/>
            <w:right w:val="none" w:sz="0" w:space="0" w:color="auto"/>
          </w:divBdr>
        </w:div>
      </w:divsChild>
    </w:div>
    <w:div w:id="712510179">
      <w:bodyDiv w:val="1"/>
      <w:marLeft w:val="0"/>
      <w:marRight w:val="0"/>
      <w:marTop w:val="0"/>
      <w:marBottom w:val="0"/>
      <w:divBdr>
        <w:top w:val="none" w:sz="0" w:space="0" w:color="auto"/>
        <w:left w:val="none" w:sz="0" w:space="0" w:color="auto"/>
        <w:bottom w:val="none" w:sz="0" w:space="0" w:color="auto"/>
        <w:right w:val="none" w:sz="0" w:space="0" w:color="auto"/>
      </w:divBdr>
    </w:div>
    <w:div w:id="712576129">
      <w:bodyDiv w:val="1"/>
      <w:marLeft w:val="0"/>
      <w:marRight w:val="0"/>
      <w:marTop w:val="0"/>
      <w:marBottom w:val="0"/>
      <w:divBdr>
        <w:top w:val="none" w:sz="0" w:space="0" w:color="auto"/>
        <w:left w:val="none" w:sz="0" w:space="0" w:color="auto"/>
        <w:bottom w:val="none" w:sz="0" w:space="0" w:color="auto"/>
        <w:right w:val="none" w:sz="0" w:space="0" w:color="auto"/>
      </w:divBdr>
    </w:div>
    <w:div w:id="719522788">
      <w:bodyDiv w:val="1"/>
      <w:marLeft w:val="0"/>
      <w:marRight w:val="0"/>
      <w:marTop w:val="0"/>
      <w:marBottom w:val="0"/>
      <w:divBdr>
        <w:top w:val="none" w:sz="0" w:space="0" w:color="auto"/>
        <w:left w:val="none" w:sz="0" w:space="0" w:color="auto"/>
        <w:bottom w:val="none" w:sz="0" w:space="0" w:color="auto"/>
        <w:right w:val="none" w:sz="0" w:space="0" w:color="auto"/>
      </w:divBdr>
    </w:div>
    <w:div w:id="719746121">
      <w:bodyDiv w:val="1"/>
      <w:marLeft w:val="0"/>
      <w:marRight w:val="0"/>
      <w:marTop w:val="0"/>
      <w:marBottom w:val="0"/>
      <w:divBdr>
        <w:top w:val="none" w:sz="0" w:space="0" w:color="auto"/>
        <w:left w:val="none" w:sz="0" w:space="0" w:color="auto"/>
        <w:bottom w:val="none" w:sz="0" w:space="0" w:color="auto"/>
        <w:right w:val="none" w:sz="0" w:space="0" w:color="auto"/>
      </w:divBdr>
    </w:div>
    <w:div w:id="727997140">
      <w:bodyDiv w:val="1"/>
      <w:marLeft w:val="0"/>
      <w:marRight w:val="0"/>
      <w:marTop w:val="0"/>
      <w:marBottom w:val="0"/>
      <w:divBdr>
        <w:top w:val="none" w:sz="0" w:space="0" w:color="auto"/>
        <w:left w:val="none" w:sz="0" w:space="0" w:color="auto"/>
        <w:bottom w:val="none" w:sz="0" w:space="0" w:color="auto"/>
        <w:right w:val="none" w:sz="0" w:space="0" w:color="auto"/>
      </w:divBdr>
    </w:div>
    <w:div w:id="815995259">
      <w:bodyDiv w:val="1"/>
      <w:marLeft w:val="0"/>
      <w:marRight w:val="0"/>
      <w:marTop w:val="0"/>
      <w:marBottom w:val="0"/>
      <w:divBdr>
        <w:top w:val="none" w:sz="0" w:space="0" w:color="auto"/>
        <w:left w:val="none" w:sz="0" w:space="0" w:color="auto"/>
        <w:bottom w:val="none" w:sz="0" w:space="0" w:color="auto"/>
        <w:right w:val="none" w:sz="0" w:space="0" w:color="auto"/>
      </w:divBdr>
    </w:div>
    <w:div w:id="863598546">
      <w:bodyDiv w:val="1"/>
      <w:marLeft w:val="0"/>
      <w:marRight w:val="0"/>
      <w:marTop w:val="0"/>
      <w:marBottom w:val="0"/>
      <w:divBdr>
        <w:top w:val="none" w:sz="0" w:space="0" w:color="auto"/>
        <w:left w:val="none" w:sz="0" w:space="0" w:color="auto"/>
        <w:bottom w:val="none" w:sz="0" w:space="0" w:color="auto"/>
        <w:right w:val="none" w:sz="0" w:space="0" w:color="auto"/>
      </w:divBdr>
      <w:divsChild>
        <w:div w:id="351805413">
          <w:marLeft w:val="0"/>
          <w:marRight w:val="0"/>
          <w:marTop w:val="0"/>
          <w:marBottom w:val="0"/>
          <w:divBdr>
            <w:top w:val="none" w:sz="0" w:space="0" w:color="auto"/>
            <w:left w:val="none" w:sz="0" w:space="0" w:color="auto"/>
            <w:bottom w:val="none" w:sz="0" w:space="0" w:color="auto"/>
            <w:right w:val="none" w:sz="0" w:space="0" w:color="auto"/>
          </w:divBdr>
          <w:divsChild>
            <w:div w:id="21191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3024">
      <w:bodyDiv w:val="1"/>
      <w:marLeft w:val="0"/>
      <w:marRight w:val="0"/>
      <w:marTop w:val="0"/>
      <w:marBottom w:val="0"/>
      <w:divBdr>
        <w:top w:val="none" w:sz="0" w:space="0" w:color="auto"/>
        <w:left w:val="none" w:sz="0" w:space="0" w:color="auto"/>
        <w:bottom w:val="none" w:sz="0" w:space="0" w:color="auto"/>
        <w:right w:val="none" w:sz="0" w:space="0" w:color="auto"/>
      </w:divBdr>
    </w:div>
    <w:div w:id="1159882156">
      <w:bodyDiv w:val="1"/>
      <w:marLeft w:val="0"/>
      <w:marRight w:val="0"/>
      <w:marTop w:val="0"/>
      <w:marBottom w:val="0"/>
      <w:divBdr>
        <w:top w:val="none" w:sz="0" w:space="0" w:color="auto"/>
        <w:left w:val="none" w:sz="0" w:space="0" w:color="auto"/>
        <w:bottom w:val="none" w:sz="0" w:space="0" w:color="auto"/>
        <w:right w:val="none" w:sz="0" w:space="0" w:color="auto"/>
      </w:divBdr>
      <w:divsChild>
        <w:div w:id="1306082520">
          <w:marLeft w:val="0"/>
          <w:marRight w:val="0"/>
          <w:marTop w:val="0"/>
          <w:marBottom w:val="0"/>
          <w:divBdr>
            <w:top w:val="none" w:sz="0" w:space="0" w:color="auto"/>
            <w:left w:val="none" w:sz="0" w:space="0" w:color="auto"/>
            <w:bottom w:val="none" w:sz="0" w:space="0" w:color="auto"/>
            <w:right w:val="none" w:sz="0" w:space="0" w:color="auto"/>
          </w:divBdr>
          <w:divsChild>
            <w:div w:id="645817203">
              <w:marLeft w:val="0"/>
              <w:marRight w:val="0"/>
              <w:marTop w:val="0"/>
              <w:marBottom w:val="0"/>
              <w:divBdr>
                <w:top w:val="none" w:sz="0" w:space="0" w:color="auto"/>
                <w:left w:val="none" w:sz="0" w:space="0" w:color="auto"/>
                <w:bottom w:val="none" w:sz="0" w:space="0" w:color="auto"/>
                <w:right w:val="none" w:sz="0" w:space="0" w:color="auto"/>
              </w:divBdr>
              <w:divsChild>
                <w:div w:id="17832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7572">
      <w:bodyDiv w:val="1"/>
      <w:marLeft w:val="0"/>
      <w:marRight w:val="0"/>
      <w:marTop w:val="0"/>
      <w:marBottom w:val="0"/>
      <w:divBdr>
        <w:top w:val="none" w:sz="0" w:space="0" w:color="auto"/>
        <w:left w:val="none" w:sz="0" w:space="0" w:color="auto"/>
        <w:bottom w:val="none" w:sz="0" w:space="0" w:color="auto"/>
        <w:right w:val="none" w:sz="0" w:space="0" w:color="auto"/>
      </w:divBdr>
    </w:div>
    <w:div w:id="1268196379">
      <w:bodyDiv w:val="1"/>
      <w:marLeft w:val="0"/>
      <w:marRight w:val="0"/>
      <w:marTop w:val="0"/>
      <w:marBottom w:val="0"/>
      <w:divBdr>
        <w:top w:val="none" w:sz="0" w:space="0" w:color="auto"/>
        <w:left w:val="none" w:sz="0" w:space="0" w:color="auto"/>
        <w:bottom w:val="none" w:sz="0" w:space="0" w:color="auto"/>
        <w:right w:val="none" w:sz="0" w:space="0" w:color="auto"/>
      </w:divBdr>
    </w:div>
    <w:div w:id="1337657760">
      <w:bodyDiv w:val="1"/>
      <w:marLeft w:val="0"/>
      <w:marRight w:val="0"/>
      <w:marTop w:val="0"/>
      <w:marBottom w:val="0"/>
      <w:divBdr>
        <w:top w:val="none" w:sz="0" w:space="0" w:color="auto"/>
        <w:left w:val="none" w:sz="0" w:space="0" w:color="auto"/>
        <w:bottom w:val="none" w:sz="0" w:space="0" w:color="auto"/>
        <w:right w:val="none" w:sz="0" w:space="0" w:color="auto"/>
      </w:divBdr>
    </w:div>
    <w:div w:id="1401632086">
      <w:bodyDiv w:val="1"/>
      <w:marLeft w:val="0"/>
      <w:marRight w:val="0"/>
      <w:marTop w:val="0"/>
      <w:marBottom w:val="0"/>
      <w:divBdr>
        <w:top w:val="none" w:sz="0" w:space="0" w:color="auto"/>
        <w:left w:val="none" w:sz="0" w:space="0" w:color="auto"/>
        <w:bottom w:val="none" w:sz="0" w:space="0" w:color="auto"/>
        <w:right w:val="none" w:sz="0" w:space="0" w:color="auto"/>
      </w:divBdr>
      <w:divsChild>
        <w:div w:id="542520002">
          <w:marLeft w:val="0"/>
          <w:marRight w:val="0"/>
          <w:marTop w:val="0"/>
          <w:marBottom w:val="0"/>
          <w:divBdr>
            <w:top w:val="none" w:sz="0" w:space="0" w:color="auto"/>
            <w:left w:val="none" w:sz="0" w:space="0" w:color="auto"/>
            <w:bottom w:val="none" w:sz="0" w:space="0" w:color="auto"/>
            <w:right w:val="none" w:sz="0" w:space="0" w:color="auto"/>
          </w:divBdr>
        </w:div>
      </w:divsChild>
    </w:div>
    <w:div w:id="1421488044">
      <w:bodyDiv w:val="1"/>
      <w:marLeft w:val="0"/>
      <w:marRight w:val="0"/>
      <w:marTop w:val="0"/>
      <w:marBottom w:val="0"/>
      <w:divBdr>
        <w:top w:val="none" w:sz="0" w:space="0" w:color="auto"/>
        <w:left w:val="none" w:sz="0" w:space="0" w:color="auto"/>
        <w:bottom w:val="none" w:sz="0" w:space="0" w:color="auto"/>
        <w:right w:val="none" w:sz="0" w:space="0" w:color="auto"/>
      </w:divBdr>
      <w:divsChild>
        <w:div w:id="1118917350">
          <w:marLeft w:val="1714"/>
          <w:marRight w:val="0"/>
          <w:marTop w:val="58"/>
          <w:marBottom w:val="0"/>
          <w:divBdr>
            <w:top w:val="none" w:sz="0" w:space="0" w:color="auto"/>
            <w:left w:val="none" w:sz="0" w:space="0" w:color="auto"/>
            <w:bottom w:val="none" w:sz="0" w:space="0" w:color="auto"/>
            <w:right w:val="none" w:sz="0" w:space="0" w:color="auto"/>
          </w:divBdr>
        </w:div>
        <w:div w:id="1165165320">
          <w:marLeft w:val="1714"/>
          <w:marRight w:val="0"/>
          <w:marTop w:val="58"/>
          <w:marBottom w:val="0"/>
          <w:divBdr>
            <w:top w:val="none" w:sz="0" w:space="0" w:color="auto"/>
            <w:left w:val="none" w:sz="0" w:space="0" w:color="auto"/>
            <w:bottom w:val="none" w:sz="0" w:space="0" w:color="auto"/>
            <w:right w:val="none" w:sz="0" w:space="0" w:color="auto"/>
          </w:divBdr>
        </w:div>
      </w:divsChild>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69783833">
      <w:bodyDiv w:val="1"/>
      <w:marLeft w:val="0"/>
      <w:marRight w:val="0"/>
      <w:marTop w:val="0"/>
      <w:marBottom w:val="0"/>
      <w:divBdr>
        <w:top w:val="none" w:sz="0" w:space="0" w:color="auto"/>
        <w:left w:val="none" w:sz="0" w:space="0" w:color="auto"/>
        <w:bottom w:val="none" w:sz="0" w:space="0" w:color="auto"/>
        <w:right w:val="none" w:sz="0" w:space="0" w:color="auto"/>
      </w:divBdr>
    </w:div>
    <w:div w:id="1598170694">
      <w:bodyDiv w:val="1"/>
      <w:marLeft w:val="0"/>
      <w:marRight w:val="0"/>
      <w:marTop w:val="0"/>
      <w:marBottom w:val="0"/>
      <w:divBdr>
        <w:top w:val="none" w:sz="0" w:space="0" w:color="auto"/>
        <w:left w:val="none" w:sz="0" w:space="0" w:color="auto"/>
        <w:bottom w:val="none" w:sz="0" w:space="0" w:color="auto"/>
        <w:right w:val="none" w:sz="0" w:space="0" w:color="auto"/>
      </w:divBdr>
    </w:div>
    <w:div w:id="1623220578">
      <w:bodyDiv w:val="1"/>
      <w:marLeft w:val="0"/>
      <w:marRight w:val="0"/>
      <w:marTop w:val="0"/>
      <w:marBottom w:val="0"/>
      <w:divBdr>
        <w:top w:val="none" w:sz="0" w:space="0" w:color="auto"/>
        <w:left w:val="none" w:sz="0" w:space="0" w:color="auto"/>
        <w:bottom w:val="none" w:sz="0" w:space="0" w:color="auto"/>
        <w:right w:val="none" w:sz="0" w:space="0" w:color="auto"/>
      </w:divBdr>
    </w:div>
    <w:div w:id="1731152018">
      <w:bodyDiv w:val="1"/>
      <w:marLeft w:val="0"/>
      <w:marRight w:val="0"/>
      <w:marTop w:val="0"/>
      <w:marBottom w:val="0"/>
      <w:divBdr>
        <w:top w:val="none" w:sz="0" w:space="0" w:color="auto"/>
        <w:left w:val="none" w:sz="0" w:space="0" w:color="auto"/>
        <w:bottom w:val="none" w:sz="0" w:space="0" w:color="auto"/>
        <w:right w:val="none" w:sz="0" w:space="0" w:color="auto"/>
      </w:divBdr>
      <w:divsChild>
        <w:div w:id="155848564">
          <w:marLeft w:val="0"/>
          <w:marRight w:val="0"/>
          <w:marTop w:val="0"/>
          <w:marBottom w:val="0"/>
          <w:divBdr>
            <w:top w:val="none" w:sz="0" w:space="0" w:color="auto"/>
            <w:left w:val="none" w:sz="0" w:space="0" w:color="auto"/>
            <w:bottom w:val="none" w:sz="0" w:space="0" w:color="auto"/>
            <w:right w:val="none" w:sz="0" w:space="0" w:color="auto"/>
          </w:divBdr>
          <w:divsChild>
            <w:div w:id="20024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0546">
      <w:bodyDiv w:val="1"/>
      <w:marLeft w:val="0"/>
      <w:marRight w:val="0"/>
      <w:marTop w:val="0"/>
      <w:marBottom w:val="0"/>
      <w:divBdr>
        <w:top w:val="none" w:sz="0" w:space="0" w:color="auto"/>
        <w:left w:val="none" w:sz="0" w:space="0" w:color="auto"/>
        <w:bottom w:val="none" w:sz="0" w:space="0" w:color="auto"/>
        <w:right w:val="none" w:sz="0" w:space="0" w:color="auto"/>
      </w:divBdr>
      <w:divsChild>
        <w:div w:id="410783427">
          <w:marLeft w:val="0"/>
          <w:marRight w:val="0"/>
          <w:marTop w:val="0"/>
          <w:marBottom w:val="0"/>
          <w:divBdr>
            <w:top w:val="none" w:sz="0" w:space="0" w:color="auto"/>
            <w:left w:val="none" w:sz="0" w:space="0" w:color="auto"/>
            <w:bottom w:val="none" w:sz="0" w:space="0" w:color="auto"/>
            <w:right w:val="none" w:sz="0" w:space="0" w:color="auto"/>
          </w:divBdr>
          <w:divsChild>
            <w:div w:id="15638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4189">
      <w:bodyDiv w:val="1"/>
      <w:marLeft w:val="0"/>
      <w:marRight w:val="0"/>
      <w:marTop w:val="0"/>
      <w:marBottom w:val="0"/>
      <w:divBdr>
        <w:top w:val="none" w:sz="0" w:space="0" w:color="auto"/>
        <w:left w:val="none" w:sz="0" w:space="0" w:color="auto"/>
        <w:bottom w:val="none" w:sz="0" w:space="0" w:color="auto"/>
        <w:right w:val="none" w:sz="0" w:space="0" w:color="auto"/>
      </w:divBdr>
    </w:div>
    <w:div w:id="1968122467">
      <w:bodyDiv w:val="1"/>
      <w:marLeft w:val="0"/>
      <w:marRight w:val="0"/>
      <w:marTop w:val="0"/>
      <w:marBottom w:val="0"/>
      <w:divBdr>
        <w:top w:val="none" w:sz="0" w:space="0" w:color="auto"/>
        <w:left w:val="none" w:sz="0" w:space="0" w:color="auto"/>
        <w:bottom w:val="none" w:sz="0" w:space="0" w:color="auto"/>
        <w:right w:val="none" w:sz="0" w:space="0" w:color="auto"/>
      </w:divBdr>
      <w:divsChild>
        <w:div w:id="1193149443">
          <w:marLeft w:val="0"/>
          <w:marRight w:val="0"/>
          <w:marTop w:val="0"/>
          <w:marBottom w:val="0"/>
          <w:divBdr>
            <w:top w:val="none" w:sz="0" w:space="0" w:color="auto"/>
            <w:left w:val="none" w:sz="0" w:space="0" w:color="auto"/>
            <w:bottom w:val="none" w:sz="0" w:space="0" w:color="auto"/>
            <w:right w:val="none" w:sz="0" w:space="0" w:color="auto"/>
          </w:divBdr>
          <w:divsChild>
            <w:div w:id="751126468">
              <w:marLeft w:val="0"/>
              <w:marRight w:val="0"/>
              <w:marTop w:val="0"/>
              <w:marBottom w:val="0"/>
              <w:divBdr>
                <w:top w:val="none" w:sz="0" w:space="0" w:color="auto"/>
                <w:left w:val="none" w:sz="0" w:space="0" w:color="auto"/>
                <w:bottom w:val="none" w:sz="0" w:space="0" w:color="auto"/>
                <w:right w:val="none" w:sz="0" w:space="0" w:color="auto"/>
              </w:divBdr>
              <w:divsChild>
                <w:div w:id="1348483100">
                  <w:marLeft w:val="0"/>
                  <w:marRight w:val="0"/>
                  <w:marTop w:val="0"/>
                  <w:marBottom w:val="0"/>
                  <w:divBdr>
                    <w:top w:val="none" w:sz="0" w:space="0" w:color="auto"/>
                    <w:left w:val="none" w:sz="0" w:space="0" w:color="auto"/>
                    <w:bottom w:val="none" w:sz="0" w:space="0" w:color="auto"/>
                    <w:right w:val="none" w:sz="0" w:space="0" w:color="auto"/>
                  </w:divBdr>
                  <w:divsChild>
                    <w:div w:id="803083524">
                      <w:marLeft w:val="0"/>
                      <w:marRight w:val="0"/>
                      <w:marTop w:val="0"/>
                      <w:marBottom w:val="0"/>
                      <w:divBdr>
                        <w:top w:val="none" w:sz="0" w:space="0" w:color="auto"/>
                        <w:left w:val="none" w:sz="0" w:space="0" w:color="auto"/>
                        <w:bottom w:val="none" w:sz="0" w:space="0" w:color="auto"/>
                        <w:right w:val="none" w:sz="0" w:space="0" w:color="auto"/>
                      </w:divBdr>
                      <w:divsChild>
                        <w:div w:id="1844397589">
                          <w:marLeft w:val="0"/>
                          <w:marRight w:val="0"/>
                          <w:marTop w:val="0"/>
                          <w:marBottom w:val="0"/>
                          <w:divBdr>
                            <w:top w:val="none" w:sz="0" w:space="0" w:color="auto"/>
                            <w:left w:val="none" w:sz="0" w:space="0" w:color="auto"/>
                            <w:bottom w:val="none" w:sz="0" w:space="0" w:color="auto"/>
                            <w:right w:val="none" w:sz="0" w:space="0" w:color="auto"/>
                          </w:divBdr>
                          <w:divsChild>
                            <w:div w:id="304700081">
                              <w:marLeft w:val="0"/>
                              <w:marRight w:val="0"/>
                              <w:marTop w:val="0"/>
                              <w:marBottom w:val="0"/>
                              <w:divBdr>
                                <w:top w:val="none" w:sz="0" w:space="0" w:color="auto"/>
                                <w:left w:val="none" w:sz="0" w:space="0" w:color="auto"/>
                                <w:bottom w:val="none" w:sz="0" w:space="0" w:color="auto"/>
                                <w:right w:val="none" w:sz="0" w:space="0" w:color="auto"/>
                              </w:divBdr>
                              <w:divsChild>
                                <w:div w:id="1522813874">
                                  <w:marLeft w:val="0"/>
                                  <w:marRight w:val="0"/>
                                  <w:marTop w:val="0"/>
                                  <w:marBottom w:val="0"/>
                                  <w:divBdr>
                                    <w:top w:val="none" w:sz="0" w:space="0" w:color="auto"/>
                                    <w:left w:val="none" w:sz="0" w:space="0" w:color="auto"/>
                                    <w:bottom w:val="none" w:sz="0" w:space="0" w:color="auto"/>
                                    <w:right w:val="none" w:sz="0" w:space="0" w:color="auto"/>
                                  </w:divBdr>
                                  <w:divsChild>
                                    <w:div w:id="349071770">
                                      <w:marLeft w:val="0"/>
                                      <w:marRight w:val="0"/>
                                      <w:marTop w:val="0"/>
                                      <w:marBottom w:val="0"/>
                                      <w:divBdr>
                                        <w:top w:val="none" w:sz="0" w:space="0" w:color="auto"/>
                                        <w:left w:val="none" w:sz="0" w:space="0" w:color="auto"/>
                                        <w:bottom w:val="none" w:sz="0" w:space="0" w:color="auto"/>
                                        <w:right w:val="none" w:sz="0" w:space="0" w:color="auto"/>
                                      </w:divBdr>
                                      <w:divsChild>
                                        <w:div w:id="1595477283">
                                          <w:marLeft w:val="0"/>
                                          <w:marRight w:val="0"/>
                                          <w:marTop w:val="0"/>
                                          <w:marBottom w:val="0"/>
                                          <w:divBdr>
                                            <w:top w:val="none" w:sz="0" w:space="0" w:color="auto"/>
                                            <w:left w:val="none" w:sz="0" w:space="0" w:color="auto"/>
                                            <w:bottom w:val="none" w:sz="0" w:space="0" w:color="auto"/>
                                            <w:right w:val="none" w:sz="0" w:space="0" w:color="auto"/>
                                          </w:divBdr>
                                          <w:divsChild>
                                            <w:div w:id="1771391230">
                                              <w:marLeft w:val="0"/>
                                              <w:marRight w:val="0"/>
                                              <w:marTop w:val="0"/>
                                              <w:marBottom w:val="0"/>
                                              <w:divBdr>
                                                <w:top w:val="none" w:sz="0" w:space="0" w:color="auto"/>
                                                <w:left w:val="none" w:sz="0" w:space="0" w:color="auto"/>
                                                <w:bottom w:val="none" w:sz="0" w:space="0" w:color="auto"/>
                                                <w:right w:val="none" w:sz="0" w:space="0" w:color="auto"/>
                                              </w:divBdr>
                                              <w:divsChild>
                                                <w:div w:id="823005852">
                                                  <w:marLeft w:val="0"/>
                                                  <w:marRight w:val="0"/>
                                                  <w:marTop w:val="0"/>
                                                  <w:marBottom w:val="0"/>
                                                  <w:divBdr>
                                                    <w:top w:val="none" w:sz="0" w:space="0" w:color="auto"/>
                                                    <w:left w:val="none" w:sz="0" w:space="0" w:color="auto"/>
                                                    <w:bottom w:val="none" w:sz="0" w:space="0" w:color="auto"/>
                                                    <w:right w:val="none" w:sz="0" w:space="0" w:color="auto"/>
                                                  </w:divBdr>
                                                  <w:divsChild>
                                                    <w:div w:id="276259581">
                                                      <w:marLeft w:val="0"/>
                                                      <w:marRight w:val="0"/>
                                                      <w:marTop w:val="0"/>
                                                      <w:marBottom w:val="0"/>
                                                      <w:divBdr>
                                                        <w:top w:val="none" w:sz="0" w:space="0" w:color="auto"/>
                                                        <w:left w:val="none" w:sz="0" w:space="0" w:color="auto"/>
                                                        <w:bottom w:val="none" w:sz="0" w:space="0" w:color="auto"/>
                                                        <w:right w:val="none" w:sz="0" w:space="0" w:color="auto"/>
                                                      </w:divBdr>
                                                      <w:divsChild>
                                                        <w:div w:id="2146391900">
                                                          <w:marLeft w:val="0"/>
                                                          <w:marRight w:val="0"/>
                                                          <w:marTop w:val="0"/>
                                                          <w:marBottom w:val="0"/>
                                                          <w:divBdr>
                                                            <w:top w:val="none" w:sz="0" w:space="0" w:color="auto"/>
                                                            <w:left w:val="none" w:sz="0" w:space="0" w:color="auto"/>
                                                            <w:bottom w:val="none" w:sz="0" w:space="0" w:color="auto"/>
                                                            <w:right w:val="none" w:sz="0" w:space="0" w:color="auto"/>
                                                          </w:divBdr>
                                                          <w:divsChild>
                                                            <w:div w:id="1017121929">
                                                              <w:marLeft w:val="0"/>
                                                              <w:marRight w:val="0"/>
                                                              <w:marTop w:val="0"/>
                                                              <w:marBottom w:val="0"/>
                                                              <w:divBdr>
                                                                <w:top w:val="none" w:sz="0" w:space="0" w:color="auto"/>
                                                                <w:left w:val="none" w:sz="0" w:space="0" w:color="auto"/>
                                                                <w:bottom w:val="none" w:sz="0" w:space="0" w:color="auto"/>
                                                                <w:right w:val="none" w:sz="0" w:space="0" w:color="auto"/>
                                                              </w:divBdr>
                                                              <w:divsChild>
                                                                <w:div w:id="730269017">
                                                                  <w:marLeft w:val="0"/>
                                                                  <w:marRight w:val="0"/>
                                                                  <w:marTop w:val="0"/>
                                                                  <w:marBottom w:val="0"/>
                                                                  <w:divBdr>
                                                                    <w:top w:val="none" w:sz="0" w:space="0" w:color="auto"/>
                                                                    <w:left w:val="none" w:sz="0" w:space="0" w:color="auto"/>
                                                                    <w:bottom w:val="none" w:sz="0" w:space="0" w:color="auto"/>
                                                                    <w:right w:val="none" w:sz="0" w:space="0" w:color="auto"/>
                                                                  </w:divBdr>
                                                                  <w:divsChild>
                                                                    <w:div w:id="262884402">
                                                                      <w:marLeft w:val="0"/>
                                                                      <w:marRight w:val="0"/>
                                                                      <w:marTop w:val="0"/>
                                                                      <w:marBottom w:val="0"/>
                                                                      <w:divBdr>
                                                                        <w:top w:val="none" w:sz="0" w:space="0" w:color="auto"/>
                                                                        <w:left w:val="none" w:sz="0" w:space="0" w:color="auto"/>
                                                                        <w:bottom w:val="none" w:sz="0" w:space="0" w:color="auto"/>
                                                                        <w:right w:val="none" w:sz="0" w:space="0" w:color="auto"/>
                                                                      </w:divBdr>
                                                                      <w:divsChild>
                                                                        <w:div w:id="1933318116">
                                                                          <w:marLeft w:val="0"/>
                                                                          <w:marRight w:val="0"/>
                                                                          <w:marTop w:val="0"/>
                                                                          <w:marBottom w:val="0"/>
                                                                          <w:divBdr>
                                                                            <w:top w:val="none" w:sz="0" w:space="0" w:color="auto"/>
                                                                            <w:left w:val="none" w:sz="0" w:space="0" w:color="auto"/>
                                                                            <w:bottom w:val="none" w:sz="0" w:space="0" w:color="auto"/>
                                                                            <w:right w:val="none" w:sz="0" w:space="0" w:color="auto"/>
                                                                          </w:divBdr>
                                                                          <w:divsChild>
                                                                            <w:div w:id="8213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354707">
      <w:bodyDiv w:val="1"/>
      <w:marLeft w:val="0"/>
      <w:marRight w:val="0"/>
      <w:marTop w:val="0"/>
      <w:marBottom w:val="0"/>
      <w:divBdr>
        <w:top w:val="none" w:sz="0" w:space="0" w:color="auto"/>
        <w:left w:val="none" w:sz="0" w:space="0" w:color="auto"/>
        <w:bottom w:val="none" w:sz="0" w:space="0" w:color="auto"/>
        <w:right w:val="none" w:sz="0" w:space="0" w:color="auto"/>
      </w:divBdr>
    </w:div>
    <w:div w:id="2052916069">
      <w:bodyDiv w:val="1"/>
      <w:marLeft w:val="0"/>
      <w:marRight w:val="0"/>
      <w:marTop w:val="0"/>
      <w:marBottom w:val="0"/>
      <w:divBdr>
        <w:top w:val="none" w:sz="0" w:space="0" w:color="auto"/>
        <w:left w:val="none" w:sz="0" w:space="0" w:color="auto"/>
        <w:bottom w:val="none" w:sz="0" w:space="0" w:color="auto"/>
        <w:right w:val="none" w:sz="0" w:space="0" w:color="auto"/>
      </w:divBdr>
    </w:div>
    <w:div w:id="2061898704">
      <w:bodyDiv w:val="1"/>
      <w:marLeft w:val="0"/>
      <w:marRight w:val="0"/>
      <w:marTop w:val="0"/>
      <w:marBottom w:val="0"/>
      <w:divBdr>
        <w:top w:val="none" w:sz="0" w:space="0" w:color="auto"/>
        <w:left w:val="none" w:sz="0" w:space="0" w:color="auto"/>
        <w:bottom w:val="none" w:sz="0" w:space="0" w:color="auto"/>
        <w:right w:val="none" w:sz="0" w:space="0" w:color="auto"/>
      </w:divBdr>
    </w:div>
    <w:div w:id="2080663668">
      <w:bodyDiv w:val="1"/>
      <w:marLeft w:val="0"/>
      <w:marRight w:val="0"/>
      <w:marTop w:val="0"/>
      <w:marBottom w:val="0"/>
      <w:divBdr>
        <w:top w:val="none" w:sz="0" w:space="0" w:color="auto"/>
        <w:left w:val="none" w:sz="0" w:space="0" w:color="auto"/>
        <w:bottom w:val="none" w:sz="0" w:space="0" w:color="auto"/>
        <w:right w:val="none" w:sz="0" w:space="0" w:color="auto"/>
      </w:divBdr>
      <w:divsChild>
        <w:div w:id="1186141485">
          <w:marLeft w:val="0"/>
          <w:marRight w:val="0"/>
          <w:marTop w:val="0"/>
          <w:marBottom w:val="0"/>
          <w:divBdr>
            <w:top w:val="none" w:sz="0" w:space="0" w:color="auto"/>
            <w:left w:val="none" w:sz="0" w:space="0" w:color="auto"/>
            <w:bottom w:val="none" w:sz="0" w:space="0" w:color="auto"/>
            <w:right w:val="none" w:sz="0" w:space="0" w:color="auto"/>
          </w:divBdr>
        </w:div>
      </w:divsChild>
    </w:div>
    <w:div w:id="2106226279">
      <w:bodyDiv w:val="1"/>
      <w:marLeft w:val="0"/>
      <w:marRight w:val="0"/>
      <w:marTop w:val="0"/>
      <w:marBottom w:val="0"/>
      <w:divBdr>
        <w:top w:val="none" w:sz="0" w:space="0" w:color="auto"/>
        <w:left w:val="none" w:sz="0" w:space="0" w:color="auto"/>
        <w:bottom w:val="none" w:sz="0" w:space="0" w:color="auto"/>
        <w:right w:val="none" w:sz="0" w:space="0" w:color="auto"/>
      </w:divBdr>
    </w:div>
    <w:div w:id="2108188269">
      <w:bodyDiv w:val="1"/>
      <w:marLeft w:val="0"/>
      <w:marRight w:val="0"/>
      <w:marTop w:val="0"/>
      <w:marBottom w:val="0"/>
      <w:divBdr>
        <w:top w:val="none" w:sz="0" w:space="0" w:color="auto"/>
        <w:left w:val="none" w:sz="0" w:space="0" w:color="auto"/>
        <w:bottom w:val="none" w:sz="0" w:space="0" w:color="auto"/>
        <w:right w:val="none" w:sz="0" w:space="0" w:color="auto"/>
      </w:divBdr>
    </w:div>
    <w:div w:id="2112502571">
      <w:bodyDiv w:val="1"/>
      <w:marLeft w:val="0"/>
      <w:marRight w:val="0"/>
      <w:marTop w:val="0"/>
      <w:marBottom w:val="0"/>
      <w:divBdr>
        <w:top w:val="none" w:sz="0" w:space="0" w:color="auto"/>
        <w:left w:val="none" w:sz="0" w:space="0" w:color="auto"/>
        <w:bottom w:val="none" w:sz="0" w:space="0" w:color="auto"/>
        <w:right w:val="none" w:sz="0" w:space="0" w:color="auto"/>
      </w:divBdr>
      <w:divsChild>
        <w:div w:id="2120565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bin"/><Relationship Id="rId299" Type="http://schemas.openxmlformats.org/officeDocument/2006/relationships/oleObject" Target="embeddings/oleObject99.bin"/><Relationship Id="rId21" Type="http://schemas.openxmlformats.org/officeDocument/2006/relationships/hyperlink" Target="mailto:david_grieve@agilent.com" TargetMode="External"/><Relationship Id="rId63" Type="http://schemas.openxmlformats.org/officeDocument/2006/relationships/hyperlink" Target="mailto:Chiu.ngo@samsung.com" TargetMode="External"/><Relationship Id="rId159" Type="http://schemas.openxmlformats.org/officeDocument/2006/relationships/image" Target="media/image28.emf"/><Relationship Id="rId324" Type="http://schemas.openxmlformats.org/officeDocument/2006/relationships/image" Target="media/image107.wmf"/><Relationship Id="rId366" Type="http://schemas.openxmlformats.org/officeDocument/2006/relationships/image" Target="media/image128.wmf"/><Relationship Id="rId531" Type="http://schemas.openxmlformats.org/officeDocument/2006/relationships/oleObject" Target="embeddings/oleObject217.bin"/><Relationship Id="rId170" Type="http://schemas.openxmlformats.org/officeDocument/2006/relationships/oleObject" Target="embeddings/oleObject36.bin"/><Relationship Id="rId226" Type="http://schemas.openxmlformats.org/officeDocument/2006/relationships/image" Target="media/image59.emf"/><Relationship Id="rId433" Type="http://schemas.openxmlformats.org/officeDocument/2006/relationships/oleObject" Target="embeddings/oleObject166.bin"/><Relationship Id="rId268" Type="http://schemas.openxmlformats.org/officeDocument/2006/relationships/image" Target="media/image80.emf"/><Relationship Id="rId475" Type="http://schemas.openxmlformats.org/officeDocument/2006/relationships/image" Target="media/image181.wmf"/><Relationship Id="rId32" Type="http://schemas.openxmlformats.org/officeDocument/2006/relationships/hyperlink" Target="mailto:avinashj@qualcomm.com" TargetMode="External"/><Relationship Id="rId74" Type="http://schemas.openxmlformats.org/officeDocument/2006/relationships/hyperlink" Target="mailto:Ohad.rozen@wilocity.com" TargetMode="External"/><Relationship Id="rId128" Type="http://schemas.openxmlformats.org/officeDocument/2006/relationships/oleObject" Target="embeddings/oleObject15.bin"/><Relationship Id="rId335" Type="http://schemas.openxmlformats.org/officeDocument/2006/relationships/oleObject" Target="embeddings/oleObject117.bin"/><Relationship Id="rId377" Type="http://schemas.openxmlformats.org/officeDocument/2006/relationships/oleObject" Target="embeddings/oleObject138.bin"/><Relationship Id="rId500" Type="http://schemas.openxmlformats.org/officeDocument/2006/relationships/image" Target="media/image193.emf"/><Relationship Id="rId542" Type="http://schemas.openxmlformats.org/officeDocument/2006/relationships/image" Target="media/image214.wmf"/><Relationship Id="rId5" Type="http://schemas.openxmlformats.org/officeDocument/2006/relationships/settings" Target="settings.xml"/><Relationship Id="rId181" Type="http://schemas.openxmlformats.org/officeDocument/2006/relationships/image" Target="media/image39.emf"/><Relationship Id="rId237" Type="http://schemas.openxmlformats.org/officeDocument/2006/relationships/oleObject" Target="embeddings/oleObject67.bin"/><Relationship Id="rId402" Type="http://schemas.openxmlformats.org/officeDocument/2006/relationships/image" Target="media/image146.wmf"/><Relationship Id="rId279" Type="http://schemas.openxmlformats.org/officeDocument/2006/relationships/image" Target="media/image85.emf"/><Relationship Id="rId444" Type="http://schemas.openxmlformats.org/officeDocument/2006/relationships/oleObject" Target="embeddings/oleObject172.bin"/><Relationship Id="rId486" Type="http://schemas.openxmlformats.org/officeDocument/2006/relationships/image" Target="media/image186.wmf"/><Relationship Id="rId43" Type="http://schemas.openxmlformats.org/officeDocument/2006/relationships/hyperlink" Target="mailto:mika.kasslin@nokia.com" TargetMode="External"/><Relationship Id="rId139" Type="http://schemas.openxmlformats.org/officeDocument/2006/relationships/image" Target="media/image18.emf"/><Relationship Id="rId290" Type="http://schemas.openxmlformats.org/officeDocument/2006/relationships/image" Target="media/image90.wmf"/><Relationship Id="rId304" Type="http://schemas.openxmlformats.org/officeDocument/2006/relationships/image" Target="media/image97.wmf"/><Relationship Id="rId346" Type="http://schemas.openxmlformats.org/officeDocument/2006/relationships/image" Target="media/image118.wmf"/><Relationship Id="rId388" Type="http://schemas.openxmlformats.org/officeDocument/2006/relationships/image" Target="media/image139.wmf"/><Relationship Id="rId511" Type="http://schemas.openxmlformats.org/officeDocument/2006/relationships/oleObject" Target="embeddings/oleObject207.bin"/><Relationship Id="rId553" Type="http://schemas.openxmlformats.org/officeDocument/2006/relationships/oleObject" Target="embeddings/oleObject228.bin"/><Relationship Id="rId85" Type="http://schemas.openxmlformats.org/officeDocument/2006/relationships/hyperlink" Target="mailto:Robert.stacey@intel.com" TargetMode="External"/><Relationship Id="rId150" Type="http://schemas.openxmlformats.org/officeDocument/2006/relationships/oleObject" Target="embeddings/oleObject26.bin"/><Relationship Id="rId192" Type="http://schemas.openxmlformats.org/officeDocument/2006/relationships/oleObject" Target="embeddings/oleObject47.bin"/><Relationship Id="rId206" Type="http://schemas.openxmlformats.org/officeDocument/2006/relationships/oleObject" Target="embeddings/oleObject54.bin"/><Relationship Id="rId413" Type="http://schemas.openxmlformats.org/officeDocument/2006/relationships/oleObject" Target="embeddings/oleObject156.bin"/><Relationship Id="rId248" Type="http://schemas.openxmlformats.org/officeDocument/2006/relationships/image" Target="media/image70.wmf"/><Relationship Id="rId455" Type="http://schemas.openxmlformats.org/officeDocument/2006/relationships/image" Target="media/image172.emf"/><Relationship Id="rId497" Type="http://schemas.openxmlformats.org/officeDocument/2006/relationships/oleObject" Target="embeddings/oleObject200.bin"/><Relationship Id="rId12" Type="http://schemas.openxmlformats.org/officeDocument/2006/relationships/hyperlink" Target="mailto:kschang@etri.re.kr" TargetMode="External"/><Relationship Id="rId108" Type="http://schemas.openxmlformats.org/officeDocument/2006/relationships/image" Target="media/image4.emf"/><Relationship Id="rId315" Type="http://schemas.openxmlformats.org/officeDocument/2006/relationships/oleObject" Target="embeddings/oleObject107.bin"/><Relationship Id="rId357" Type="http://schemas.openxmlformats.org/officeDocument/2006/relationships/oleObject" Target="embeddings/oleObject128.bin"/><Relationship Id="rId522" Type="http://schemas.openxmlformats.org/officeDocument/2006/relationships/image" Target="media/image204.wmf"/><Relationship Id="rId54" Type="http://schemas.openxmlformats.org/officeDocument/2006/relationships/hyperlink" Target="mailto:wylee@etri.re.kr" TargetMode="External"/><Relationship Id="rId96" Type="http://schemas.openxmlformats.org/officeDocument/2006/relationships/hyperlink" Target="mailto:homber@emcite.com" TargetMode="External"/><Relationship Id="rId161" Type="http://schemas.openxmlformats.org/officeDocument/2006/relationships/image" Target="media/image29.emf"/><Relationship Id="rId217" Type="http://schemas.openxmlformats.org/officeDocument/2006/relationships/image" Target="media/image57.emf"/><Relationship Id="rId399" Type="http://schemas.openxmlformats.org/officeDocument/2006/relationships/oleObject" Target="embeddings/oleObject149.bin"/><Relationship Id="rId259" Type="http://schemas.openxmlformats.org/officeDocument/2006/relationships/oleObject" Target="embeddings/oleObject78.bin"/><Relationship Id="rId424" Type="http://schemas.openxmlformats.org/officeDocument/2006/relationships/image" Target="media/image157.wmf"/><Relationship Id="rId466" Type="http://schemas.openxmlformats.org/officeDocument/2006/relationships/oleObject" Target="embeddings/oleObject184.bin"/><Relationship Id="rId23" Type="http://schemas.openxmlformats.org/officeDocument/2006/relationships/hyperlink" Target="mailto:chansen@broadcom.com" TargetMode="External"/><Relationship Id="rId119" Type="http://schemas.openxmlformats.org/officeDocument/2006/relationships/oleObject" Target="embeddings/oleObject10.bin"/><Relationship Id="rId270" Type="http://schemas.openxmlformats.org/officeDocument/2006/relationships/image" Target="media/image81.wmf"/><Relationship Id="rId326" Type="http://schemas.openxmlformats.org/officeDocument/2006/relationships/image" Target="media/image108.wmf"/><Relationship Id="rId533" Type="http://schemas.openxmlformats.org/officeDocument/2006/relationships/oleObject" Target="embeddings/oleObject218.bin"/><Relationship Id="rId65" Type="http://schemas.openxmlformats.org/officeDocument/2006/relationships/hyperlink" Target="mailto:dspark@samsung.com" TargetMode="External"/><Relationship Id="rId130" Type="http://schemas.openxmlformats.org/officeDocument/2006/relationships/oleObject" Target="embeddings/oleObject16.bin"/><Relationship Id="rId368" Type="http://schemas.openxmlformats.org/officeDocument/2006/relationships/image" Target="media/image129.emf"/><Relationship Id="rId172" Type="http://schemas.openxmlformats.org/officeDocument/2006/relationships/oleObject" Target="embeddings/oleObject37.bin"/><Relationship Id="rId228" Type="http://schemas.openxmlformats.org/officeDocument/2006/relationships/image" Target="media/image60.wmf"/><Relationship Id="rId435" Type="http://schemas.openxmlformats.org/officeDocument/2006/relationships/oleObject" Target="embeddings/oleObject167.bin"/><Relationship Id="rId477" Type="http://schemas.openxmlformats.org/officeDocument/2006/relationships/image" Target="media/image182.wmf"/><Relationship Id="rId281" Type="http://schemas.openxmlformats.org/officeDocument/2006/relationships/image" Target="media/image86.emf"/><Relationship Id="rId337" Type="http://schemas.openxmlformats.org/officeDocument/2006/relationships/oleObject" Target="embeddings/oleObject118.bin"/><Relationship Id="rId502" Type="http://schemas.openxmlformats.org/officeDocument/2006/relationships/image" Target="media/image194.wmf"/><Relationship Id="rId34" Type="http://schemas.openxmlformats.org/officeDocument/2006/relationships/hyperlink" Target="mailto:bjjeon@lge.com" TargetMode="External"/><Relationship Id="rId76" Type="http://schemas.openxmlformats.org/officeDocument/2006/relationships/hyperlink" Target="mailto:Ali.S.Sadri@intel.com" TargetMode="External"/><Relationship Id="rId141" Type="http://schemas.openxmlformats.org/officeDocument/2006/relationships/image" Target="media/image19.emf"/><Relationship Id="rId379" Type="http://schemas.openxmlformats.org/officeDocument/2006/relationships/oleObject" Target="embeddings/oleObject139.bin"/><Relationship Id="rId544" Type="http://schemas.openxmlformats.org/officeDocument/2006/relationships/image" Target="media/image215.wmf"/><Relationship Id="rId7" Type="http://schemas.openxmlformats.org/officeDocument/2006/relationships/footnotes" Target="footnotes.xml"/><Relationship Id="rId183" Type="http://schemas.openxmlformats.org/officeDocument/2006/relationships/image" Target="media/image40.emf"/><Relationship Id="rId239" Type="http://schemas.openxmlformats.org/officeDocument/2006/relationships/oleObject" Target="embeddings/oleObject68.bin"/><Relationship Id="rId390" Type="http://schemas.openxmlformats.org/officeDocument/2006/relationships/image" Target="media/image140.wmf"/><Relationship Id="rId404" Type="http://schemas.openxmlformats.org/officeDocument/2006/relationships/image" Target="media/image147.wmf"/><Relationship Id="rId446" Type="http://schemas.openxmlformats.org/officeDocument/2006/relationships/oleObject" Target="embeddings/oleObject173.bin"/><Relationship Id="rId250" Type="http://schemas.openxmlformats.org/officeDocument/2006/relationships/image" Target="media/image71.wmf"/><Relationship Id="rId292" Type="http://schemas.openxmlformats.org/officeDocument/2006/relationships/image" Target="media/image91.wmf"/><Relationship Id="rId306" Type="http://schemas.openxmlformats.org/officeDocument/2006/relationships/image" Target="media/image98.wmf"/><Relationship Id="rId488" Type="http://schemas.openxmlformats.org/officeDocument/2006/relationships/image" Target="media/image187.wmf"/><Relationship Id="rId45" Type="http://schemas.openxmlformats.org/officeDocument/2006/relationships/hyperlink" Target="mailto:doori@etri.re.kr" TargetMode="External"/><Relationship Id="rId87" Type="http://schemas.openxmlformats.org/officeDocument/2006/relationships/hyperlink" Target="mailto:mtaghavi@qualcomm.com" TargetMode="External"/><Relationship Id="rId110" Type="http://schemas.openxmlformats.org/officeDocument/2006/relationships/image" Target="media/image5.wmf"/><Relationship Id="rId348" Type="http://schemas.openxmlformats.org/officeDocument/2006/relationships/image" Target="media/image119.wmf"/><Relationship Id="rId513" Type="http://schemas.openxmlformats.org/officeDocument/2006/relationships/oleObject" Target="embeddings/oleObject208.bin"/><Relationship Id="rId555" Type="http://schemas.openxmlformats.org/officeDocument/2006/relationships/oleObject" Target="embeddings/oleObject229.bin"/><Relationship Id="rId152" Type="http://schemas.openxmlformats.org/officeDocument/2006/relationships/oleObject" Target="embeddings/oleObject27.bin"/><Relationship Id="rId194" Type="http://schemas.openxmlformats.org/officeDocument/2006/relationships/oleObject" Target="embeddings/oleObject48.bin"/><Relationship Id="rId208" Type="http://schemas.openxmlformats.org/officeDocument/2006/relationships/oleObject" Target="embeddings/oleObject55.bin"/><Relationship Id="rId415" Type="http://schemas.openxmlformats.org/officeDocument/2006/relationships/oleObject" Target="embeddings/oleObject157.bin"/><Relationship Id="rId457" Type="http://schemas.openxmlformats.org/officeDocument/2006/relationships/image" Target="media/image173.wmf"/><Relationship Id="rId261" Type="http://schemas.openxmlformats.org/officeDocument/2006/relationships/oleObject" Target="embeddings/oleObject79.bin"/><Relationship Id="rId499" Type="http://schemas.openxmlformats.org/officeDocument/2006/relationships/oleObject" Target="embeddings/oleObject201.bin"/><Relationship Id="rId14" Type="http://schemas.openxmlformats.org/officeDocument/2006/relationships/hyperlink" Target="mailto:hkchung@etri.re.kr" TargetMode="External"/><Relationship Id="rId56" Type="http://schemas.openxmlformats.org/officeDocument/2006/relationships/hyperlink" Target="mailto:jakub.majkowski@nokia.com" TargetMode="External"/><Relationship Id="rId317" Type="http://schemas.openxmlformats.org/officeDocument/2006/relationships/oleObject" Target="embeddings/oleObject108.bin"/><Relationship Id="rId359" Type="http://schemas.openxmlformats.org/officeDocument/2006/relationships/oleObject" Target="embeddings/oleObject129.bin"/><Relationship Id="rId524" Type="http://schemas.openxmlformats.org/officeDocument/2006/relationships/image" Target="media/image205.wmf"/><Relationship Id="rId98" Type="http://schemas.openxmlformats.org/officeDocument/2006/relationships/hyperlink" Target="mailto:james.yee@mediatek.com" TargetMode="External"/><Relationship Id="rId121" Type="http://schemas.openxmlformats.org/officeDocument/2006/relationships/oleObject" Target="embeddings/oleObject12.bin"/><Relationship Id="rId163" Type="http://schemas.openxmlformats.org/officeDocument/2006/relationships/image" Target="media/image30.emf"/><Relationship Id="rId219" Type="http://schemas.openxmlformats.org/officeDocument/2006/relationships/image" Target="media/image58.emf"/><Relationship Id="rId370" Type="http://schemas.openxmlformats.org/officeDocument/2006/relationships/image" Target="media/image130.wmf"/><Relationship Id="rId426" Type="http://schemas.openxmlformats.org/officeDocument/2006/relationships/image" Target="media/image158.wmf"/><Relationship Id="rId230" Type="http://schemas.openxmlformats.org/officeDocument/2006/relationships/image" Target="media/image61.wmf"/><Relationship Id="rId468" Type="http://schemas.openxmlformats.org/officeDocument/2006/relationships/oleObject" Target="embeddings/oleObject185.bin"/><Relationship Id="rId25" Type="http://schemas.openxmlformats.org/officeDocument/2006/relationships/hyperlink" Target="mailto:amerh@microsoft.com" TargetMode="External"/><Relationship Id="rId67" Type="http://schemas.openxmlformats.org/officeDocument/2006/relationships/hyperlink" Target="mailto:zpi@sta.samsung.com" TargetMode="External"/><Relationship Id="rId272" Type="http://schemas.openxmlformats.org/officeDocument/2006/relationships/oleObject" Target="embeddings/oleObject85.bin"/><Relationship Id="rId328" Type="http://schemas.openxmlformats.org/officeDocument/2006/relationships/image" Target="media/image109.wmf"/><Relationship Id="rId535" Type="http://schemas.openxmlformats.org/officeDocument/2006/relationships/oleObject" Target="embeddings/oleObject219.bin"/><Relationship Id="rId132" Type="http://schemas.openxmlformats.org/officeDocument/2006/relationships/oleObject" Target="embeddings/oleObject17.bin"/><Relationship Id="rId174" Type="http://schemas.openxmlformats.org/officeDocument/2006/relationships/oleObject" Target="embeddings/oleObject38.bin"/><Relationship Id="rId381" Type="http://schemas.openxmlformats.org/officeDocument/2006/relationships/oleObject" Target="embeddings/oleObject140.bin"/><Relationship Id="rId241" Type="http://schemas.openxmlformats.org/officeDocument/2006/relationships/oleObject" Target="embeddings/oleObject69.bin"/><Relationship Id="rId437" Type="http://schemas.openxmlformats.org/officeDocument/2006/relationships/image" Target="media/image163.wmf"/><Relationship Id="rId479" Type="http://schemas.openxmlformats.org/officeDocument/2006/relationships/image" Target="media/image183.wmf"/><Relationship Id="rId15" Type="http://schemas.openxmlformats.org/officeDocument/2006/relationships/hyperlink" Target="mailto:coffey@realtek.com" TargetMode="External"/><Relationship Id="rId36" Type="http://schemas.openxmlformats.org/officeDocument/2006/relationships/hyperlink" Target="mailto:vkjones@qualcomm.com" TargetMode="External"/><Relationship Id="rId57" Type="http://schemas.openxmlformats.org/officeDocument/2006/relationships/hyperlink" Target="mailto:janne.marin@nokia.com" TargetMode="External"/><Relationship Id="rId262" Type="http://schemas.openxmlformats.org/officeDocument/2006/relationships/image" Target="media/image77.wmf"/><Relationship Id="rId283" Type="http://schemas.openxmlformats.org/officeDocument/2006/relationships/image" Target="media/image87.wmf"/><Relationship Id="rId318" Type="http://schemas.openxmlformats.org/officeDocument/2006/relationships/image" Target="media/image104.wmf"/><Relationship Id="rId339" Type="http://schemas.openxmlformats.org/officeDocument/2006/relationships/oleObject" Target="embeddings/oleObject119.bin"/><Relationship Id="rId490" Type="http://schemas.openxmlformats.org/officeDocument/2006/relationships/image" Target="media/image188.wmf"/><Relationship Id="rId504" Type="http://schemas.openxmlformats.org/officeDocument/2006/relationships/image" Target="media/image195.wmf"/><Relationship Id="rId525" Type="http://schemas.openxmlformats.org/officeDocument/2006/relationships/oleObject" Target="embeddings/oleObject214.bin"/><Relationship Id="rId546" Type="http://schemas.openxmlformats.org/officeDocument/2006/relationships/image" Target="media/image216.wmf"/><Relationship Id="rId78" Type="http://schemas.openxmlformats.org/officeDocument/2006/relationships/hyperlink" Target="mailto:Amichai.sanderovich@wilocity.com" TargetMode="External"/><Relationship Id="rId99" Type="http://schemas.openxmlformats.org/officeDocument/2006/relationships/hyperlink" Target="mailto:james.wang@mediatek.com" TargetMode="External"/><Relationship Id="rId101" Type="http://schemas.openxmlformats.org/officeDocument/2006/relationships/hyperlink" Target="mailto:hongyuan@marvell.com" TargetMode="External"/><Relationship Id="rId122" Type="http://schemas.openxmlformats.org/officeDocument/2006/relationships/image" Target="media/image9.wmf"/><Relationship Id="rId143" Type="http://schemas.openxmlformats.org/officeDocument/2006/relationships/image" Target="media/image20.emf"/><Relationship Id="rId164" Type="http://schemas.openxmlformats.org/officeDocument/2006/relationships/oleObject" Target="embeddings/oleObject33.bin"/><Relationship Id="rId185" Type="http://schemas.openxmlformats.org/officeDocument/2006/relationships/image" Target="media/image41.emf"/><Relationship Id="rId350" Type="http://schemas.openxmlformats.org/officeDocument/2006/relationships/image" Target="media/image120.wmf"/><Relationship Id="rId371" Type="http://schemas.openxmlformats.org/officeDocument/2006/relationships/oleObject" Target="embeddings/oleObject135.bin"/><Relationship Id="rId406" Type="http://schemas.openxmlformats.org/officeDocument/2006/relationships/image" Target="media/image148.wmf"/><Relationship Id="rId9" Type="http://schemas.openxmlformats.org/officeDocument/2006/relationships/hyperlink" Target="mailto:koichiro.ban@toshiba.co.jp" TargetMode="External"/><Relationship Id="rId210" Type="http://schemas.openxmlformats.org/officeDocument/2006/relationships/oleObject" Target="embeddings/oleObject56.bin"/><Relationship Id="rId392" Type="http://schemas.openxmlformats.org/officeDocument/2006/relationships/image" Target="media/image141.wmf"/><Relationship Id="rId427" Type="http://schemas.openxmlformats.org/officeDocument/2006/relationships/oleObject" Target="embeddings/oleObject163.bin"/><Relationship Id="rId448" Type="http://schemas.openxmlformats.org/officeDocument/2006/relationships/oleObject" Target="embeddings/oleObject174.bin"/><Relationship Id="rId469" Type="http://schemas.openxmlformats.org/officeDocument/2006/relationships/image" Target="media/image178.wmf"/><Relationship Id="rId26" Type="http://schemas.openxmlformats.org/officeDocument/2006/relationships/hyperlink" Target="mailto:iptvguru@etri.re.kr" TargetMode="External"/><Relationship Id="rId231" Type="http://schemas.openxmlformats.org/officeDocument/2006/relationships/oleObject" Target="embeddings/oleObject64.bin"/><Relationship Id="rId252" Type="http://schemas.openxmlformats.org/officeDocument/2006/relationships/image" Target="media/image72.wmf"/><Relationship Id="rId273" Type="http://schemas.openxmlformats.org/officeDocument/2006/relationships/image" Target="media/image82.emf"/><Relationship Id="rId294" Type="http://schemas.openxmlformats.org/officeDocument/2006/relationships/image" Target="media/image92.wmf"/><Relationship Id="rId308" Type="http://schemas.openxmlformats.org/officeDocument/2006/relationships/image" Target="media/image99.wmf"/><Relationship Id="rId329" Type="http://schemas.openxmlformats.org/officeDocument/2006/relationships/oleObject" Target="embeddings/oleObject114.bin"/><Relationship Id="rId480" Type="http://schemas.openxmlformats.org/officeDocument/2006/relationships/oleObject" Target="embeddings/oleObject191.bin"/><Relationship Id="rId515" Type="http://schemas.openxmlformats.org/officeDocument/2006/relationships/oleObject" Target="embeddings/oleObject209.bin"/><Relationship Id="rId536" Type="http://schemas.openxmlformats.org/officeDocument/2006/relationships/image" Target="media/image211.emf"/><Relationship Id="rId47" Type="http://schemas.openxmlformats.org/officeDocument/2006/relationships/hyperlink" Target="mailto:cy.kwon@samsung.com" TargetMode="External"/><Relationship Id="rId68" Type="http://schemas.openxmlformats.org/officeDocument/2006/relationships/hyperlink" Target="mailto:vish.ponnampalam@mediatek.com" TargetMode="External"/><Relationship Id="rId89" Type="http://schemas.openxmlformats.org/officeDocument/2006/relationships/hyperlink" Target="mailto:jtrachewsky@gmail.com" TargetMode="External"/><Relationship Id="rId112" Type="http://schemas.openxmlformats.org/officeDocument/2006/relationships/image" Target="media/image6.wmf"/><Relationship Id="rId133" Type="http://schemas.openxmlformats.org/officeDocument/2006/relationships/image" Target="media/image15.emf"/><Relationship Id="rId154" Type="http://schemas.openxmlformats.org/officeDocument/2006/relationships/oleObject" Target="embeddings/oleObject28.bin"/><Relationship Id="rId175" Type="http://schemas.openxmlformats.org/officeDocument/2006/relationships/image" Target="media/image36.wmf"/><Relationship Id="rId340" Type="http://schemas.openxmlformats.org/officeDocument/2006/relationships/image" Target="media/image115.wmf"/><Relationship Id="rId361" Type="http://schemas.openxmlformats.org/officeDocument/2006/relationships/oleObject" Target="embeddings/oleObject130.bin"/><Relationship Id="rId557" Type="http://schemas.openxmlformats.org/officeDocument/2006/relationships/theme" Target="theme/theme1.xml"/><Relationship Id="rId196" Type="http://schemas.openxmlformats.org/officeDocument/2006/relationships/oleObject" Target="embeddings/oleObject49.bin"/><Relationship Id="rId200" Type="http://schemas.openxmlformats.org/officeDocument/2006/relationships/oleObject" Target="embeddings/oleObject51.bin"/><Relationship Id="rId382" Type="http://schemas.openxmlformats.org/officeDocument/2006/relationships/image" Target="media/image136.wmf"/><Relationship Id="rId417" Type="http://schemas.openxmlformats.org/officeDocument/2006/relationships/oleObject" Target="embeddings/oleObject158.bin"/><Relationship Id="rId438" Type="http://schemas.openxmlformats.org/officeDocument/2006/relationships/oleObject" Target="embeddings/oleObject169.bin"/><Relationship Id="rId459" Type="http://schemas.openxmlformats.org/officeDocument/2006/relationships/image" Target="media/image174.wmf"/><Relationship Id="rId16" Type="http://schemas.openxmlformats.org/officeDocument/2006/relationships/hyperlink" Target="mailto:Carlos.Cordeiro@intel.com" TargetMode="External"/><Relationship Id="rId221" Type="http://schemas.openxmlformats.org/officeDocument/2006/relationships/header" Target="header1.xml"/><Relationship Id="rId242" Type="http://schemas.openxmlformats.org/officeDocument/2006/relationships/image" Target="media/image67.wmf"/><Relationship Id="rId263" Type="http://schemas.openxmlformats.org/officeDocument/2006/relationships/oleObject" Target="embeddings/oleObject80.bin"/><Relationship Id="rId284" Type="http://schemas.openxmlformats.org/officeDocument/2006/relationships/oleObject" Target="embeddings/oleObject91.bin"/><Relationship Id="rId319" Type="http://schemas.openxmlformats.org/officeDocument/2006/relationships/oleObject" Target="embeddings/oleObject109.bin"/><Relationship Id="rId470" Type="http://schemas.openxmlformats.org/officeDocument/2006/relationships/oleObject" Target="embeddings/oleObject186.bin"/><Relationship Id="rId491" Type="http://schemas.openxmlformats.org/officeDocument/2006/relationships/oleObject" Target="embeddings/oleObject197.bin"/><Relationship Id="rId505" Type="http://schemas.openxmlformats.org/officeDocument/2006/relationships/oleObject" Target="embeddings/oleObject204.bin"/><Relationship Id="rId526" Type="http://schemas.openxmlformats.org/officeDocument/2006/relationships/image" Target="media/image206.wmf"/><Relationship Id="rId37" Type="http://schemas.openxmlformats.org/officeDocument/2006/relationships/hyperlink" Target="mailto:stacy@beamnetworks.com" TargetMode="External"/><Relationship Id="rId58" Type="http://schemas.openxmlformats.org/officeDocument/2006/relationships/hyperlink" Target="mailto:k-maruhashi@bl.jp.nec.com" TargetMode="External"/><Relationship Id="rId79" Type="http://schemas.openxmlformats.org/officeDocument/2006/relationships/hyperlink" Target="mailto:Sundar.Sankaran@Atheros.com" TargetMode="External"/><Relationship Id="rId102" Type="http://schemas.openxmlformats.org/officeDocument/2006/relationships/image" Target="media/image1.emf"/><Relationship Id="rId123" Type="http://schemas.openxmlformats.org/officeDocument/2006/relationships/oleObject" Target="embeddings/oleObject13.bin"/><Relationship Id="rId144" Type="http://schemas.openxmlformats.org/officeDocument/2006/relationships/oleObject" Target="embeddings/oleObject23.bin"/><Relationship Id="rId330" Type="http://schemas.openxmlformats.org/officeDocument/2006/relationships/image" Target="media/image110.wmf"/><Relationship Id="rId547" Type="http://schemas.openxmlformats.org/officeDocument/2006/relationships/oleObject" Target="embeddings/oleObject225.bin"/><Relationship Id="rId90" Type="http://schemas.openxmlformats.org/officeDocument/2006/relationships/hyperlink" Target="mailto:Solomon.trainin@intel.com" TargetMode="External"/><Relationship Id="rId165" Type="http://schemas.openxmlformats.org/officeDocument/2006/relationships/image" Target="media/image31.wmf"/><Relationship Id="rId186" Type="http://schemas.openxmlformats.org/officeDocument/2006/relationships/oleObject" Target="embeddings/oleObject44.bin"/><Relationship Id="rId351" Type="http://schemas.openxmlformats.org/officeDocument/2006/relationships/oleObject" Target="embeddings/oleObject125.bin"/><Relationship Id="rId372" Type="http://schemas.openxmlformats.org/officeDocument/2006/relationships/image" Target="media/image131.wmf"/><Relationship Id="rId393" Type="http://schemas.openxmlformats.org/officeDocument/2006/relationships/oleObject" Target="embeddings/oleObject146.bin"/><Relationship Id="rId407" Type="http://schemas.openxmlformats.org/officeDocument/2006/relationships/oleObject" Target="embeddings/oleObject153.bin"/><Relationship Id="rId428" Type="http://schemas.openxmlformats.org/officeDocument/2006/relationships/image" Target="media/image159.wmf"/><Relationship Id="rId449" Type="http://schemas.openxmlformats.org/officeDocument/2006/relationships/image" Target="media/image169.wmf"/><Relationship Id="rId211" Type="http://schemas.openxmlformats.org/officeDocument/2006/relationships/image" Target="media/image54.emf"/><Relationship Id="rId232" Type="http://schemas.openxmlformats.org/officeDocument/2006/relationships/image" Target="media/image62.wmf"/><Relationship Id="rId253" Type="http://schemas.openxmlformats.org/officeDocument/2006/relationships/oleObject" Target="embeddings/oleObject75.bin"/><Relationship Id="rId274" Type="http://schemas.openxmlformats.org/officeDocument/2006/relationships/oleObject" Target="embeddings/oleObject86.bin"/><Relationship Id="rId295" Type="http://schemas.openxmlformats.org/officeDocument/2006/relationships/oleObject" Target="embeddings/oleObject97.bin"/><Relationship Id="rId309" Type="http://schemas.openxmlformats.org/officeDocument/2006/relationships/oleObject" Target="embeddings/oleObject104.bin"/><Relationship Id="rId460" Type="http://schemas.openxmlformats.org/officeDocument/2006/relationships/oleObject" Target="embeddings/oleObject180.bin"/><Relationship Id="rId481" Type="http://schemas.openxmlformats.org/officeDocument/2006/relationships/image" Target="media/image184.wmf"/><Relationship Id="rId516" Type="http://schemas.openxmlformats.org/officeDocument/2006/relationships/image" Target="media/image201.wmf"/><Relationship Id="rId27" Type="http://schemas.openxmlformats.org/officeDocument/2006/relationships/hyperlink" Target="mailto:k-hosoya@ce.jp.nec.com" TargetMode="External"/><Relationship Id="rId48" Type="http://schemas.openxmlformats.org/officeDocument/2006/relationships/hyperlink" Target="mailto:kwonjin@etri.re.kr" TargetMode="External"/><Relationship Id="rId69" Type="http://schemas.openxmlformats.org/officeDocument/2006/relationships/hyperlink" Target="mailto:prasad@nec-labs.com" TargetMode="External"/><Relationship Id="rId113" Type="http://schemas.openxmlformats.org/officeDocument/2006/relationships/oleObject" Target="embeddings/oleObject6.bin"/><Relationship Id="rId134" Type="http://schemas.openxmlformats.org/officeDocument/2006/relationships/oleObject" Target="embeddings/oleObject18.bin"/><Relationship Id="rId320" Type="http://schemas.openxmlformats.org/officeDocument/2006/relationships/image" Target="media/image105.wmf"/><Relationship Id="rId537" Type="http://schemas.openxmlformats.org/officeDocument/2006/relationships/oleObject" Target="embeddings/oleObject220.bin"/><Relationship Id="rId80" Type="http://schemas.openxmlformats.org/officeDocument/2006/relationships/hyperlink" Target="mailto:vincenzo.scarpa@st.com" TargetMode="External"/><Relationship Id="rId155" Type="http://schemas.openxmlformats.org/officeDocument/2006/relationships/image" Target="media/image26.emf"/><Relationship Id="rId176" Type="http://schemas.openxmlformats.org/officeDocument/2006/relationships/oleObject" Target="embeddings/oleObject39.bin"/><Relationship Id="rId197" Type="http://schemas.openxmlformats.org/officeDocument/2006/relationships/image" Target="media/image47.emf"/><Relationship Id="rId341" Type="http://schemas.openxmlformats.org/officeDocument/2006/relationships/oleObject" Target="embeddings/oleObject120.bin"/><Relationship Id="rId362" Type="http://schemas.openxmlformats.org/officeDocument/2006/relationships/image" Target="media/image126.wmf"/><Relationship Id="rId383" Type="http://schemas.openxmlformats.org/officeDocument/2006/relationships/oleObject" Target="embeddings/oleObject141.bin"/><Relationship Id="rId418" Type="http://schemas.openxmlformats.org/officeDocument/2006/relationships/image" Target="media/image154.wmf"/><Relationship Id="rId439" Type="http://schemas.openxmlformats.org/officeDocument/2006/relationships/image" Target="media/image164.wmf"/><Relationship Id="rId201" Type="http://schemas.openxmlformats.org/officeDocument/2006/relationships/image" Target="media/image49.emf"/><Relationship Id="rId222" Type="http://schemas.openxmlformats.org/officeDocument/2006/relationships/footer" Target="footer1.xml"/><Relationship Id="rId243" Type="http://schemas.openxmlformats.org/officeDocument/2006/relationships/oleObject" Target="embeddings/oleObject70.bin"/><Relationship Id="rId264" Type="http://schemas.openxmlformats.org/officeDocument/2006/relationships/image" Target="media/image78.wmf"/><Relationship Id="rId285" Type="http://schemas.openxmlformats.org/officeDocument/2006/relationships/image" Target="media/image88.wmf"/><Relationship Id="rId450" Type="http://schemas.openxmlformats.org/officeDocument/2006/relationships/oleObject" Target="embeddings/oleObject175.bin"/><Relationship Id="rId471" Type="http://schemas.openxmlformats.org/officeDocument/2006/relationships/image" Target="media/image179.wmf"/><Relationship Id="rId506" Type="http://schemas.openxmlformats.org/officeDocument/2006/relationships/image" Target="media/image196.wmf"/><Relationship Id="rId17" Type="http://schemas.openxmlformats.org/officeDocument/2006/relationships/hyperlink" Target="mailto:jdorsey@apple.com" TargetMode="External"/><Relationship Id="rId38" Type="http://schemas.openxmlformats.org/officeDocument/2006/relationships/hyperlink" Target="mailto:Haeyoung.jun@samsung.com" TargetMode="External"/><Relationship Id="rId59" Type="http://schemas.openxmlformats.org/officeDocument/2006/relationships/hyperlink" Target="mailto:mesem@broadcom.com" TargetMode="External"/><Relationship Id="rId103" Type="http://schemas.openxmlformats.org/officeDocument/2006/relationships/oleObject" Target="embeddings/oleObject1.bin"/><Relationship Id="rId124" Type="http://schemas.openxmlformats.org/officeDocument/2006/relationships/image" Target="media/image10.emf"/><Relationship Id="rId310" Type="http://schemas.openxmlformats.org/officeDocument/2006/relationships/image" Target="media/image100.emf"/><Relationship Id="rId492" Type="http://schemas.openxmlformats.org/officeDocument/2006/relationships/image" Target="media/image189.wmf"/><Relationship Id="rId527" Type="http://schemas.openxmlformats.org/officeDocument/2006/relationships/oleObject" Target="embeddings/oleObject215.bin"/><Relationship Id="rId548" Type="http://schemas.openxmlformats.org/officeDocument/2006/relationships/image" Target="media/image217.wmf"/><Relationship Id="rId70" Type="http://schemas.openxmlformats.org/officeDocument/2006/relationships/hyperlink" Target="mailto:Gideon.prat@intel.com" TargetMode="External"/><Relationship Id="rId91" Type="http://schemas.openxmlformats.org/officeDocument/2006/relationships/hyperlink" Target="mailto:usuki.naoshi@jp.panasonic.com" TargetMode="External"/><Relationship Id="rId145" Type="http://schemas.openxmlformats.org/officeDocument/2006/relationships/image" Target="media/image21.emf"/><Relationship Id="rId166" Type="http://schemas.openxmlformats.org/officeDocument/2006/relationships/oleObject" Target="embeddings/oleObject34.bin"/><Relationship Id="rId187" Type="http://schemas.openxmlformats.org/officeDocument/2006/relationships/image" Target="media/image42.emf"/><Relationship Id="rId331" Type="http://schemas.openxmlformats.org/officeDocument/2006/relationships/oleObject" Target="embeddings/oleObject115.bin"/><Relationship Id="rId352" Type="http://schemas.openxmlformats.org/officeDocument/2006/relationships/image" Target="media/image121.wmf"/><Relationship Id="rId373" Type="http://schemas.openxmlformats.org/officeDocument/2006/relationships/oleObject" Target="embeddings/oleObject136.bin"/><Relationship Id="rId394" Type="http://schemas.openxmlformats.org/officeDocument/2006/relationships/image" Target="media/image142.wmf"/><Relationship Id="rId408" Type="http://schemas.openxmlformats.org/officeDocument/2006/relationships/image" Target="media/image149.wmf"/><Relationship Id="rId429" Type="http://schemas.openxmlformats.org/officeDocument/2006/relationships/oleObject" Target="embeddings/oleObject164.bin"/><Relationship Id="rId1" Type="http://schemas.openxmlformats.org/officeDocument/2006/relationships/customXml" Target="../customXml/item1.xml"/><Relationship Id="rId212" Type="http://schemas.openxmlformats.org/officeDocument/2006/relationships/oleObject" Target="embeddings/oleObject57.bin"/><Relationship Id="rId233" Type="http://schemas.openxmlformats.org/officeDocument/2006/relationships/oleObject" Target="embeddings/oleObject65.bin"/><Relationship Id="rId254" Type="http://schemas.openxmlformats.org/officeDocument/2006/relationships/image" Target="media/image73.wmf"/><Relationship Id="rId440" Type="http://schemas.openxmlformats.org/officeDocument/2006/relationships/oleObject" Target="embeddings/oleObject170.bin"/><Relationship Id="rId28" Type="http://schemas.openxmlformats.org/officeDocument/2006/relationships/hyperlink" Target="mailto:hosur@ti.com" TargetMode="External"/><Relationship Id="rId49" Type="http://schemas.openxmlformats.org/officeDocument/2006/relationships/hyperlink" Target="mailto:hyukchoon.kwon@samsung.com" TargetMode="External"/><Relationship Id="rId114" Type="http://schemas.openxmlformats.org/officeDocument/2006/relationships/image" Target="media/image7.wmf"/><Relationship Id="rId275" Type="http://schemas.openxmlformats.org/officeDocument/2006/relationships/image" Target="media/image83.wmf"/><Relationship Id="rId296" Type="http://schemas.openxmlformats.org/officeDocument/2006/relationships/image" Target="media/image93.wmf"/><Relationship Id="rId300" Type="http://schemas.openxmlformats.org/officeDocument/2006/relationships/image" Target="media/image95.wmf"/><Relationship Id="rId461" Type="http://schemas.openxmlformats.org/officeDocument/2006/relationships/image" Target="media/image175.wmf"/><Relationship Id="rId482" Type="http://schemas.openxmlformats.org/officeDocument/2006/relationships/oleObject" Target="embeddings/oleObject192.bin"/><Relationship Id="rId517" Type="http://schemas.openxmlformats.org/officeDocument/2006/relationships/oleObject" Target="embeddings/oleObject210.bin"/><Relationship Id="rId538" Type="http://schemas.openxmlformats.org/officeDocument/2006/relationships/image" Target="media/image212.emf"/><Relationship Id="rId60" Type="http://schemas.openxmlformats.org/officeDocument/2006/relationships/hyperlink" Target="mailto:bruce_montag@dell.com" TargetMode="External"/><Relationship Id="rId81" Type="http://schemas.openxmlformats.org/officeDocument/2006/relationships/hyperlink" Target="mailto:hr.shao@samsung.com" TargetMode="External"/><Relationship Id="rId135" Type="http://schemas.openxmlformats.org/officeDocument/2006/relationships/image" Target="media/image16.emf"/><Relationship Id="rId156" Type="http://schemas.openxmlformats.org/officeDocument/2006/relationships/oleObject" Target="embeddings/oleObject29.bin"/><Relationship Id="rId177" Type="http://schemas.openxmlformats.org/officeDocument/2006/relationships/image" Target="media/image37.emf"/><Relationship Id="rId198" Type="http://schemas.openxmlformats.org/officeDocument/2006/relationships/oleObject" Target="embeddings/oleObject50.bin"/><Relationship Id="rId321" Type="http://schemas.openxmlformats.org/officeDocument/2006/relationships/oleObject" Target="embeddings/oleObject110.bin"/><Relationship Id="rId342" Type="http://schemas.openxmlformats.org/officeDocument/2006/relationships/image" Target="media/image116.wmf"/><Relationship Id="rId363" Type="http://schemas.openxmlformats.org/officeDocument/2006/relationships/oleObject" Target="embeddings/oleObject131.bin"/><Relationship Id="rId384" Type="http://schemas.openxmlformats.org/officeDocument/2006/relationships/image" Target="media/image137.wmf"/><Relationship Id="rId419" Type="http://schemas.openxmlformats.org/officeDocument/2006/relationships/oleObject" Target="embeddings/oleObject159.bin"/><Relationship Id="rId202" Type="http://schemas.openxmlformats.org/officeDocument/2006/relationships/oleObject" Target="embeddings/oleObject52.bin"/><Relationship Id="rId223" Type="http://schemas.openxmlformats.org/officeDocument/2006/relationships/footer" Target="footer2.xml"/><Relationship Id="rId244" Type="http://schemas.openxmlformats.org/officeDocument/2006/relationships/image" Target="media/image68.wmf"/><Relationship Id="rId430" Type="http://schemas.openxmlformats.org/officeDocument/2006/relationships/image" Target="media/image160.wmf"/><Relationship Id="rId18" Type="http://schemas.openxmlformats.org/officeDocument/2006/relationships/hyperlink" Target="mailto:yaron.elboim@wilocity.com" TargetMode="External"/><Relationship Id="rId39" Type="http://schemas.openxmlformats.org/officeDocument/2006/relationships/hyperlink" Target="mailto:harald.kaaja@nokia.com" TargetMode="External"/><Relationship Id="rId265" Type="http://schemas.openxmlformats.org/officeDocument/2006/relationships/oleObject" Target="embeddings/oleObject81.bin"/><Relationship Id="rId286" Type="http://schemas.openxmlformats.org/officeDocument/2006/relationships/oleObject" Target="embeddings/oleObject92.bin"/><Relationship Id="rId451" Type="http://schemas.openxmlformats.org/officeDocument/2006/relationships/image" Target="media/image170.wmf"/><Relationship Id="rId472" Type="http://schemas.openxmlformats.org/officeDocument/2006/relationships/oleObject" Target="embeddings/oleObject187.bin"/><Relationship Id="rId493" Type="http://schemas.openxmlformats.org/officeDocument/2006/relationships/oleObject" Target="embeddings/oleObject198.bin"/><Relationship Id="rId507" Type="http://schemas.openxmlformats.org/officeDocument/2006/relationships/oleObject" Target="embeddings/oleObject205.bin"/><Relationship Id="rId528" Type="http://schemas.openxmlformats.org/officeDocument/2006/relationships/image" Target="media/image207.wmf"/><Relationship Id="rId549" Type="http://schemas.openxmlformats.org/officeDocument/2006/relationships/oleObject" Target="embeddings/oleObject226.bin"/><Relationship Id="rId50" Type="http://schemas.openxmlformats.org/officeDocument/2006/relationships/hyperlink" Target="mailto:tuomas.laine@nokia.com" TargetMode="External"/><Relationship Id="rId104" Type="http://schemas.openxmlformats.org/officeDocument/2006/relationships/image" Target="media/image2.wmf"/><Relationship Id="rId125" Type="http://schemas.openxmlformats.org/officeDocument/2006/relationships/image" Target="media/image11.wmf"/><Relationship Id="rId146" Type="http://schemas.openxmlformats.org/officeDocument/2006/relationships/oleObject" Target="embeddings/oleObject24.bin"/><Relationship Id="rId167" Type="http://schemas.openxmlformats.org/officeDocument/2006/relationships/image" Target="media/image32.wmf"/><Relationship Id="rId188" Type="http://schemas.openxmlformats.org/officeDocument/2006/relationships/oleObject" Target="embeddings/oleObject45.bin"/><Relationship Id="rId311" Type="http://schemas.openxmlformats.org/officeDocument/2006/relationships/oleObject" Target="embeddings/oleObject105.bin"/><Relationship Id="rId332" Type="http://schemas.openxmlformats.org/officeDocument/2006/relationships/image" Target="media/image111.wmf"/><Relationship Id="rId353" Type="http://schemas.openxmlformats.org/officeDocument/2006/relationships/oleObject" Target="embeddings/oleObject126.bin"/><Relationship Id="rId374" Type="http://schemas.openxmlformats.org/officeDocument/2006/relationships/image" Target="media/image132.wmf"/><Relationship Id="rId395" Type="http://schemas.openxmlformats.org/officeDocument/2006/relationships/oleObject" Target="embeddings/oleObject147.bin"/><Relationship Id="rId409" Type="http://schemas.openxmlformats.org/officeDocument/2006/relationships/oleObject" Target="embeddings/oleObject154.bin"/><Relationship Id="rId71" Type="http://schemas.openxmlformats.org/officeDocument/2006/relationships/hyperlink" Target="mailto:kishore@nec-labs.com" TargetMode="External"/><Relationship Id="rId92" Type="http://schemas.openxmlformats.org/officeDocument/2006/relationships/hyperlink" Target="mailto:prabodh.varshney@nokia.com" TargetMode="External"/><Relationship Id="rId213" Type="http://schemas.openxmlformats.org/officeDocument/2006/relationships/image" Target="media/image55.emf"/><Relationship Id="rId234" Type="http://schemas.openxmlformats.org/officeDocument/2006/relationships/image" Target="media/image63.wmf"/><Relationship Id="rId420" Type="http://schemas.openxmlformats.org/officeDocument/2006/relationships/image" Target="media/image155.wmf"/><Relationship Id="rId2" Type="http://schemas.openxmlformats.org/officeDocument/2006/relationships/customXml" Target="../customXml/item2.xml"/><Relationship Id="rId29" Type="http://schemas.openxmlformats.org/officeDocument/2006/relationships/hyperlink" Target="mailto:alvin.hsu@mediatek.com" TargetMode="External"/><Relationship Id="rId255" Type="http://schemas.openxmlformats.org/officeDocument/2006/relationships/oleObject" Target="embeddings/oleObject76.bin"/><Relationship Id="rId276" Type="http://schemas.openxmlformats.org/officeDocument/2006/relationships/oleObject" Target="embeddings/oleObject87.bin"/><Relationship Id="rId297" Type="http://schemas.openxmlformats.org/officeDocument/2006/relationships/oleObject" Target="embeddings/oleObject98.bin"/><Relationship Id="rId441" Type="http://schemas.openxmlformats.org/officeDocument/2006/relationships/image" Target="media/image165.wmf"/><Relationship Id="rId462" Type="http://schemas.openxmlformats.org/officeDocument/2006/relationships/oleObject" Target="embeddings/oleObject181.bin"/><Relationship Id="rId483" Type="http://schemas.openxmlformats.org/officeDocument/2006/relationships/image" Target="media/image185.wmf"/><Relationship Id="rId518" Type="http://schemas.openxmlformats.org/officeDocument/2006/relationships/image" Target="media/image202.wmf"/><Relationship Id="rId539" Type="http://schemas.openxmlformats.org/officeDocument/2006/relationships/oleObject" Target="embeddings/oleObject221.bin"/><Relationship Id="rId40" Type="http://schemas.openxmlformats.org/officeDocument/2006/relationships/hyperlink" Target="mailto:padam.kafle@nokia.com" TargetMode="External"/><Relationship Id="rId115" Type="http://schemas.openxmlformats.org/officeDocument/2006/relationships/oleObject" Target="embeddings/oleObject7.bin"/><Relationship Id="rId136" Type="http://schemas.openxmlformats.org/officeDocument/2006/relationships/oleObject" Target="embeddings/oleObject19.bin"/><Relationship Id="rId157" Type="http://schemas.openxmlformats.org/officeDocument/2006/relationships/image" Target="media/image27.emf"/><Relationship Id="rId178" Type="http://schemas.openxmlformats.org/officeDocument/2006/relationships/oleObject" Target="embeddings/oleObject40.bin"/><Relationship Id="rId301" Type="http://schemas.openxmlformats.org/officeDocument/2006/relationships/oleObject" Target="embeddings/oleObject100.bin"/><Relationship Id="rId322" Type="http://schemas.openxmlformats.org/officeDocument/2006/relationships/image" Target="media/image106.wmf"/><Relationship Id="rId343" Type="http://schemas.openxmlformats.org/officeDocument/2006/relationships/oleObject" Target="embeddings/oleObject121.bin"/><Relationship Id="rId364" Type="http://schemas.openxmlformats.org/officeDocument/2006/relationships/image" Target="media/image127.wmf"/><Relationship Id="rId550" Type="http://schemas.openxmlformats.org/officeDocument/2006/relationships/image" Target="media/image218.wmf"/><Relationship Id="rId61" Type="http://schemas.openxmlformats.org/officeDocument/2006/relationships/hyperlink" Target="mailto:amyles@cisco.com" TargetMode="External"/><Relationship Id="rId82" Type="http://schemas.openxmlformats.org/officeDocument/2006/relationships/hyperlink" Target="mailto:Menashe.soffer@intel.com" TargetMode="External"/><Relationship Id="rId199" Type="http://schemas.openxmlformats.org/officeDocument/2006/relationships/image" Target="media/image48.emf"/><Relationship Id="rId203" Type="http://schemas.openxmlformats.org/officeDocument/2006/relationships/image" Target="media/image50.emf"/><Relationship Id="rId385" Type="http://schemas.openxmlformats.org/officeDocument/2006/relationships/oleObject" Target="embeddings/oleObject142.bin"/><Relationship Id="rId19" Type="http://schemas.openxmlformats.org/officeDocument/2006/relationships/hyperlink" Target="mailto:mfischer@broadcom.com" TargetMode="External"/><Relationship Id="rId224" Type="http://schemas.openxmlformats.org/officeDocument/2006/relationships/header" Target="header2.xml"/><Relationship Id="rId245" Type="http://schemas.openxmlformats.org/officeDocument/2006/relationships/oleObject" Target="embeddings/oleObject71.bin"/><Relationship Id="rId266" Type="http://schemas.openxmlformats.org/officeDocument/2006/relationships/image" Target="media/image79.wmf"/><Relationship Id="rId287" Type="http://schemas.openxmlformats.org/officeDocument/2006/relationships/oleObject" Target="embeddings/oleObject93.bin"/><Relationship Id="rId410" Type="http://schemas.openxmlformats.org/officeDocument/2006/relationships/image" Target="media/image150.wmf"/><Relationship Id="rId431" Type="http://schemas.openxmlformats.org/officeDocument/2006/relationships/oleObject" Target="embeddings/oleObject165.bin"/><Relationship Id="rId452" Type="http://schemas.openxmlformats.org/officeDocument/2006/relationships/oleObject" Target="embeddings/oleObject176.bin"/><Relationship Id="rId473" Type="http://schemas.openxmlformats.org/officeDocument/2006/relationships/image" Target="media/image180.wmf"/><Relationship Id="rId494" Type="http://schemas.openxmlformats.org/officeDocument/2006/relationships/image" Target="media/image190.wmf"/><Relationship Id="rId508" Type="http://schemas.openxmlformats.org/officeDocument/2006/relationships/image" Target="media/image197.wmf"/><Relationship Id="rId529" Type="http://schemas.openxmlformats.org/officeDocument/2006/relationships/oleObject" Target="embeddings/oleObject216.bin"/><Relationship Id="rId30" Type="http://schemas.openxmlformats.org/officeDocument/2006/relationships/hyperlink" Target="mailto:Julan.hsu@samsung.com" TargetMode="External"/><Relationship Id="rId105" Type="http://schemas.openxmlformats.org/officeDocument/2006/relationships/oleObject" Target="embeddings/oleObject2.bin"/><Relationship Id="rId126" Type="http://schemas.openxmlformats.org/officeDocument/2006/relationships/oleObject" Target="embeddings/oleObject14.bin"/><Relationship Id="rId147" Type="http://schemas.openxmlformats.org/officeDocument/2006/relationships/image" Target="media/image22.emf"/><Relationship Id="rId168" Type="http://schemas.openxmlformats.org/officeDocument/2006/relationships/oleObject" Target="embeddings/oleObject35.bin"/><Relationship Id="rId312" Type="http://schemas.openxmlformats.org/officeDocument/2006/relationships/image" Target="media/image101.emf"/><Relationship Id="rId333" Type="http://schemas.openxmlformats.org/officeDocument/2006/relationships/oleObject" Target="embeddings/oleObject116.bin"/><Relationship Id="rId354" Type="http://schemas.openxmlformats.org/officeDocument/2006/relationships/image" Target="media/image122.wmf"/><Relationship Id="rId540" Type="http://schemas.openxmlformats.org/officeDocument/2006/relationships/image" Target="media/image213.wmf"/><Relationship Id="rId51" Type="http://schemas.openxmlformats.org/officeDocument/2006/relationships/hyperlink" Target="mailto:ilakkis@tensorcom.com" TargetMode="External"/><Relationship Id="rId72" Type="http://schemas.openxmlformats.org/officeDocument/2006/relationships/hyperlink" Target="mailto:Raymond.Yuz@sg.panasonic.com" TargetMode="External"/><Relationship Id="rId93" Type="http://schemas.openxmlformats.org/officeDocument/2006/relationships/hyperlink" Target="mailto:bart.vertenten@nxp.com" TargetMode="External"/><Relationship Id="rId189" Type="http://schemas.openxmlformats.org/officeDocument/2006/relationships/image" Target="media/image43.emf"/><Relationship Id="rId375" Type="http://schemas.openxmlformats.org/officeDocument/2006/relationships/oleObject" Target="embeddings/oleObject137.bin"/><Relationship Id="rId396" Type="http://schemas.openxmlformats.org/officeDocument/2006/relationships/image" Target="media/image143.wmf"/><Relationship Id="rId3" Type="http://schemas.openxmlformats.org/officeDocument/2006/relationships/numbering" Target="numbering.xml"/><Relationship Id="rId214" Type="http://schemas.openxmlformats.org/officeDocument/2006/relationships/oleObject" Target="embeddings/oleObject58.bin"/><Relationship Id="rId235" Type="http://schemas.openxmlformats.org/officeDocument/2006/relationships/oleObject" Target="embeddings/oleObject66.bin"/><Relationship Id="rId256" Type="http://schemas.openxmlformats.org/officeDocument/2006/relationships/image" Target="media/image74.wmf"/><Relationship Id="rId277" Type="http://schemas.openxmlformats.org/officeDocument/2006/relationships/image" Target="media/image84.wmf"/><Relationship Id="rId298" Type="http://schemas.openxmlformats.org/officeDocument/2006/relationships/image" Target="media/image94.wmf"/><Relationship Id="rId400" Type="http://schemas.openxmlformats.org/officeDocument/2006/relationships/image" Target="media/image145.wmf"/><Relationship Id="rId421" Type="http://schemas.openxmlformats.org/officeDocument/2006/relationships/oleObject" Target="embeddings/oleObject160.bin"/><Relationship Id="rId442" Type="http://schemas.openxmlformats.org/officeDocument/2006/relationships/oleObject" Target="embeddings/oleObject171.bin"/><Relationship Id="rId463" Type="http://schemas.openxmlformats.org/officeDocument/2006/relationships/oleObject" Target="embeddings/oleObject182.bin"/><Relationship Id="rId484" Type="http://schemas.openxmlformats.org/officeDocument/2006/relationships/oleObject" Target="embeddings/oleObject193.bin"/><Relationship Id="rId519" Type="http://schemas.openxmlformats.org/officeDocument/2006/relationships/oleObject" Target="embeddings/oleObject211.bin"/><Relationship Id="rId116" Type="http://schemas.openxmlformats.org/officeDocument/2006/relationships/image" Target="media/image8.wmf"/><Relationship Id="rId137" Type="http://schemas.openxmlformats.org/officeDocument/2006/relationships/image" Target="media/image17.emf"/><Relationship Id="rId158" Type="http://schemas.openxmlformats.org/officeDocument/2006/relationships/oleObject" Target="embeddings/oleObject30.bin"/><Relationship Id="rId302" Type="http://schemas.openxmlformats.org/officeDocument/2006/relationships/image" Target="media/image96.wmf"/><Relationship Id="rId323" Type="http://schemas.openxmlformats.org/officeDocument/2006/relationships/oleObject" Target="embeddings/oleObject111.bin"/><Relationship Id="rId344" Type="http://schemas.openxmlformats.org/officeDocument/2006/relationships/image" Target="media/image117.wmf"/><Relationship Id="rId530" Type="http://schemas.openxmlformats.org/officeDocument/2006/relationships/image" Target="media/image208.wmf"/><Relationship Id="rId20" Type="http://schemas.openxmlformats.org/officeDocument/2006/relationships/hyperlink" Target="mailto:claude.giraud@nxp.com" TargetMode="External"/><Relationship Id="rId41" Type="http://schemas.openxmlformats.org/officeDocument/2006/relationships/hyperlink" Target="mailto:naveen.kakani@nokia.com" TargetMode="External"/><Relationship Id="rId62" Type="http://schemas.openxmlformats.org/officeDocument/2006/relationships/hyperlink" Target="mailto:nsai@broadcom.com" TargetMode="External"/><Relationship Id="rId83" Type="http://schemas.openxmlformats.org/officeDocument/2006/relationships/hyperlink" Target="mailto:shsong@sktelecom.com" TargetMode="External"/><Relationship Id="rId179" Type="http://schemas.openxmlformats.org/officeDocument/2006/relationships/image" Target="media/image38.emf"/><Relationship Id="rId365" Type="http://schemas.openxmlformats.org/officeDocument/2006/relationships/oleObject" Target="embeddings/oleObject132.bin"/><Relationship Id="rId386" Type="http://schemas.openxmlformats.org/officeDocument/2006/relationships/image" Target="media/image138.wmf"/><Relationship Id="rId551" Type="http://schemas.openxmlformats.org/officeDocument/2006/relationships/oleObject" Target="embeddings/oleObject227.bin"/><Relationship Id="rId190" Type="http://schemas.openxmlformats.org/officeDocument/2006/relationships/oleObject" Target="embeddings/oleObject46.bin"/><Relationship Id="rId204" Type="http://schemas.openxmlformats.org/officeDocument/2006/relationships/oleObject" Target="embeddings/oleObject53.bin"/><Relationship Id="rId225" Type="http://schemas.openxmlformats.org/officeDocument/2006/relationships/footer" Target="footer3.xml"/><Relationship Id="rId246" Type="http://schemas.openxmlformats.org/officeDocument/2006/relationships/image" Target="media/image69.emf"/><Relationship Id="rId267" Type="http://schemas.openxmlformats.org/officeDocument/2006/relationships/oleObject" Target="embeddings/oleObject82.bin"/><Relationship Id="rId288" Type="http://schemas.openxmlformats.org/officeDocument/2006/relationships/image" Target="media/image89.wmf"/><Relationship Id="rId411" Type="http://schemas.openxmlformats.org/officeDocument/2006/relationships/oleObject" Target="embeddings/oleObject155.bin"/><Relationship Id="rId432" Type="http://schemas.openxmlformats.org/officeDocument/2006/relationships/image" Target="media/image161.wmf"/><Relationship Id="rId453" Type="http://schemas.openxmlformats.org/officeDocument/2006/relationships/image" Target="media/image171.wmf"/><Relationship Id="rId474" Type="http://schemas.openxmlformats.org/officeDocument/2006/relationships/oleObject" Target="embeddings/oleObject188.bin"/><Relationship Id="rId509" Type="http://schemas.openxmlformats.org/officeDocument/2006/relationships/oleObject" Target="embeddings/oleObject206.bin"/><Relationship Id="rId106" Type="http://schemas.openxmlformats.org/officeDocument/2006/relationships/image" Target="media/image3.emf"/><Relationship Id="rId127" Type="http://schemas.openxmlformats.org/officeDocument/2006/relationships/image" Target="media/image12.wmf"/><Relationship Id="rId313" Type="http://schemas.openxmlformats.org/officeDocument/2006/relationships/oleObject" Target="embeddings/oleObject106.bin"/><Relationship Id="rId495" Type="http://schemas.openxmlformats.org/officeDocument/2006/relationships/oleObject" Target="embeddings/oleObject199.bin"/><Relationship Id="rId10" Type="http://schemas.openxmlformats.org/officeDocument/2006/relationships/hyperlink" Target="mailto:gal.basson@wilocity.com" TargetMode="External"/><Relationship Id="rId31" Type="http://schemas.openxmlformats.org/officeDocument/2006/relationships/hyperlink" Target="mailto:kc.hung@mediatek.com" TargetMode="External"/><Relationship Id="rId52" Type="http://schemas.openxmlformats.org/officeDocument/2006/relationships/hyperlink" Target="mailto:hslee@etri.re.kr" TargetMode="External"/><Relationship Id="rId73" Type="http://schemas.openxmlformats.org/officeDocument/2006/relationships/hyperlink" Target="mailto:Roee.ronkin@wilocity.com" TargetMode="External"/><Relationship Id="rId94" Type="http://schemas.openxmlformats.org/officeDocument/2006/relationships/hyperlink" Target="mailto:george.vlantis@st.com" TargetMode="External"/><Relationship Id="rId148" Type="http://schemas.openxmlformats.org/officeDocument/2006/relationships/oleObject" Target="embeddings/oleObject25.bin"/><Relationship Id="rId169" Type="http://schemas.openxmlformats.org/officeDocument/2006/relationships/image" Target="media/image33.emf"/><Relationship Id="rId334" Type="http://schemas.openxmlformats.org/officeDocument/2006/relationships/image" Target="media/image112.wmf"/><Relationship Id="rId355" Type="http://schemas.openxmlformats.org/officeDocument/2006/relationships/oleObject" Target="embeddings/oleObject127.bin"/><Relationship Id="rId376" Type="http://schemas.openxmlformats.org/officeDocument/2006/relationships/image" Target="media/image133.wmf"/><Relationship Id="rId397" Type="http://schemas.openxmlformats.org/officeDocument/2006/relationships/oleObject" Target="embeddings/oleObject148.bin"/><Relationship Id="rId520" Type="http://schemas.openxmlformats.org/officeDocument/2006/relationships/image" Target="media/image203.wmf"/><Relationship Id="rId541" Type="http://schemas.openxmlformats.org/officeDocument/2006/relationships/oleObject" Target="embeddings/oleObject222.bin"/><Relationship Id="rId4" Type="http://schemas.openxmlformats.org/officeDocument/2006/relationships/styles" Target="styles.xml"/><Relationship Id="rId180" Type="http://schemas.openxmlformats.org/officeDocument/2006/relationships/oleObject" Target="embeddings/oleObject41.bin"/><Relationship Id="rId215" Type="http://schemas.openxmlformats.org/officeDocument/2006/relationships/image" Target="media/image56.emf"/><Relationship Id="rId236" Type="http://schemas.openxmlformats.org/officeDocument/2006/relationships/image" Target="media/image64.wmf"/><Relationship Id="rId257" Type="http://schemas.openxmlformats.org/officeDocument/2006/relationships/oleObject" Target="embeddings/oleObject77.bin"/><Relationship Id="rId278" Type="http://schemas.openxmlformats.org/officeDocument/2006/relationships/oleObject" Target="embeddings/oleObject88.bin"/><Relationship Id="rId401" Type="http://schemas.openxmlformats.org/officeDocument/2006/relationships/oleObject" Target="embeddings/oleObject150.bin"/><Relationship Id="rId422" Type="http://schemas.openxmlformats.org/officeDocument/2006/relationships/image" Target="media/image156.emf"/><Relationship Id="rId443" Type="http://schemas.openxmlformats.org/officeDocument/2006/relationships/image" Target="media/image166.wmf"/><Relationship Id="rId464" Type="http://schemas.openxmlformats.org/officeDocument/2006/relationships/image" Target="media/image176.wmf"/><Relationship Id="rId303" Type="http://schemas.openxmlformats.org/officeDocument/2006/relationships/oleObject" Target="embeddings/oleObject101.bin"/><Relationship Id="rId485" Type="http://schemas.openxmlformats.org/officeDocument/2006/relationships/oleObject" Target="embeddings/oleObject194.bin"/><Relationship Id="rId42" Type="http://schemas.openxmlformats.org/officeDocument/2006/relationships/hyperlink" Target="mailto:Assaf.kasher@intel.com" TargetMode="External"/><Relationship Id="rId84" Type="http://schemas.openxmlformats.org/officeDocument/2006/relationships/hyperlink" Target="mailto:matt.smith@atheros.com" TargetMode="External"/><Relationship Id="rId138" Type="http://schemas.openxmlformats.org/officeDocument/2006/relationships/oleObject" Target="embeddings/oleObject20.bin"/><Relationship Id="rId345" Type="http://schemas.openxmlformats.org/officeDocument/2006/relationships/oleObject" Target="embeddings/oleObject122.bin"/><Relationship Id="rId387" Type="http://schemas.openxmlformats.org/officeDocument/2006/relationships/oleObject" Target="embeddings/oleObject143.bin"/><Relationship Id="rId510" Type="http://schemas.openxmlformats.org/officeDocument/2006/relationships/image" Target="media/image198.wmf"/><Relationship Id="rId552" Type="http://schemas.openxmlformats.org/officeDocument/2006/relationships/image" Target="media/image219.wmf"/><Relationship Id="rId191" Type="http://schemas.openxmlformats.org/officeDocument/2006/relationships/image" Target="media/image44.emf"/><Relationship Id="rId205" Type="http://schemas.openxmlformats.org/officeDocument/2006/relationships/image" Target="media/image51.emf"/><Relationship Id="rId247" Type="http://schemas.openxmlformats.org/officeDocument/2006/relationships/oleObject" Target="embeddings/oleObject72.bin"/><Relationship Id="rId412" Type="http://schemas.openxmlformats.org/officeDocument/2006/relationships/image" Target="media/image151.wmf"/><Relationship Id="rId107" Type="http://schemas.openxmlformats.org/officeDocument/2006/relationships/oleObject" Target="embeddings/oleObject3.bin"/><Relationship Id="rId289" Type="http://schemas.openxmlformats.org/officeDocument/2006/relationships/oleObject" Target="embeddings/oleObject94.bin"/><Relationship Id="rId454" Type="http://schemas.openxmlformats.org/officeDocument/2006/relationships/oleObject" Target="embeddings/oleObject177.bin"/><Relationship Id="rId496" Type="http://schemas.openxmlformats.org/officeDocument/2006/relationships/image" Target="media/image191.wmf"/><Relationship Id="rId11" Type="http://schemas.openxmlformats.org/officeDocument/2006/relationships/hyperlink" Target="mailto:david_borison@ralinktech.com" TargetMode="External"/><Relationship Id="rId53" Type="http://schemas.openxmlformats.org/officeDocument/2006/relationships/hyperlink" Target="mailto:keith.lee@amd.com" TargetMode="External"/><Relationship Id="rId149" Type="http://schemas.openxmlformats.org/officeDocument/2006/relationships/image" Target="media/image23.emf"/><Relationship Id="rId314" Type="http://schemas.openxmlformats.org/officeDocument/2006/relationships/image" Target="media/image102.emf"/><Relationship Id="rId356" Type="http://schemas.openxmlformats.org/officeDocument/2006/relationships/image" Target="media/image123.wmf"/><Relationship Id="rId398" Type="http://schemas.openxmlformats.org/officeDocument/2006/relationships/image" Target="media/image144.wmf"/><Relationship Id="rId521" Type="http://schemas.openxmlformats.org/officeDocument/2006/relationships/oleObject" Target="embeddings/oleObject212.bin"/><Relationship Id="rId95" Type="http://schemas.openxmlformats.org/officeDocument/2006/relationships/hyperlink" Target="mailto:chaochun.wang@mediatek.com" TargetMode="External"/><Relationship Id="rId160" Type="http://schemas.openxmlformats.org/officeDocument/2006/relationships/oleObject" Target="embeddings/oleObject31.bin"/><Relationship Id="rId216" Type="http://schemas.openxmlformats.org/officeDocument/2006/relationships/oleObject" Target="embeddings/oleObject59.bin"/><Relationship Id="rId423" Type="http://schemas.openxmlformats.org/officeDocument/2006/relationships/oleObject" Target="embeddings/oleObject161.bin"/><Relationship Id="rId258" Type="http://schemas.openxmlformats.org/officeDocument/2006/relationships/image" Target="media/image75.wmf"/><Relationship Id="rId465" Type="http://schemas.openxmlformats.org/officeDocument/2006/relationships/oleObject" Target="embeddings/oleObject183.bin"/><Relationship Id="rId22" Type="http://schemas.openxmlformats.org/officeDocument/2006/relationships/hyperlink" Target="mailto:Mark.grodzinsky@wilocity.com" TargetMode="External"/><Relationship Id="rId64" Type="http://schemas.openxmlformats.org/officeDocument/2006/relationships/hyperlink" Target="mailto:eero.nikula@nokia.com" TargetMode="External"/><Relationship Id="rId118" Type="http://schemas.openxmlformats.org/officeDocument/2006/relationships/oleObject" Target="embeddings/oleObject9.bin"/><Relationship Id="rId325" Type="http://schemas.openxmlformats.org/officeDocument/2006/relationships/oleObject" Target="embeddings/oleObject112.bin"/><Relationship Id="rId367" Type="http://schemas.openxmlformats.org/officeDocument/2006/relationships/oleObject" Target="embeddings/oleObject133.bin"/><Relationship Id="rId532" Type="http://schemas.openxmlformats.org/officeDocument/2006/relationships/image" Target="media/image209.wmf"/><Relationship Id="rId171" Type="http://schemas.openxmlformats.org/officeDocument/2006/relationships/image" Target="media/image34.wmf"/><Relationship Id="rId227" Type="http://schemas.openxmlformats.org/officeDocument/2006/relationships/oleObject" Target="embeddings/oleObject62.bin"/><Relationship Id="rId269" Type="http://schemas.openxmlformats.org/officeDocument/2006/relationships/oleObject" Target="embeddings/oleObject83.bin"/><Relationship Id="rId434" Type="http://schemas.openxmlformats.org/officeDocument/2006/relationships/image" Target="media/image162.wmf"/><Relationship Id="rId476" Type="http://schemas.openxmlformats.org/officeDocument/2006/relationships/oleObject" Target="embeddings/oleObject189.bin"/><Relationship Id="rId33" Type="http://schemas.openxmlformats.org/officeDocument/2006/relationships/hyperlink" Target="mailto:alan.jauh@mediatek.com" TargetMode="External"/><Relationship Id="rId129" Type="http://schemas.openxmlformats.org/officeDocument/2006/relationships/image" Target="media/image13.wmf"/><Relationship Id="rId280" Type="http://schemas.openxmlformats.org/officeDocument/2006/relationships/oleObject" Target="embeddings/oleObject89.bin"/><Relationship Id="rId336" Type="http://schemas.openxmlformats.org/officeDocument/2006/relationships/image" Target="media/image113.wmf"/><Relationship Id="rId501" Type="http://schemas.openxmlformats.org/officeDocument/2006/relationships/oleObject" Target="embeddings/oleObject202.bin"/><Relationship Id="rId543" Type="http://schemas.openxmlformats.org/officeDocument/2006/relationships/oleObject" Target="embeddings/oleObject223.bin"/><Relationship Id="rId75" Type="http://schemas.openxmlformats.org/officeDocument/2006/relationships/hyperlink" Target="mailto:dsachdev@nvidia.com" TargetMode="External"/><Relationship Id="rId140" Type="http://schemas.openxmlformats.org/officeDocument/2006/relationships/oleObject" Target="embeddings/oleObject21.bin"/><Relationship Id="rId182" Type="http://schemas.openxmlformats.org/officeDocument/2006/relationships/oleObject" Target="embeddings/oleObject42.bin"/><Relationship Id="rId378" Type="http://schemas.openxmlformats.org/officeDocument/2006/relationships/image" Target="media/image134.wmf"/><Relationship Id="rId403" Type="http://schemas.openxmlformats.org/officeDocument/2006/relationships/oleObject" Target="embeddings/oleObject151.bin"/><Relationship Id="rId6" Type="http://schemas.openxmlformats.org/officeDocument/2006/relationships/webSettings" Target="webSettings.xml"/><Relationship Id="rId238" Type="http://schemas.openxmlformats.org/officeDocument/2006/relationships/image" Target="media/image65.wmf"/><Relationship Id="rId445" Type="http://schemas.openxmlformats.org/officeDocument/2006/relationships/image" Target="media/image167.wmf"/><Relationship Id="rId487" Type="http://schemas.openxmlformats.org/officeDocument/2006/relationships/oleObject" Target="embeddings/oleObject195.bin"/><Relationship Id="rId291" Type="http://schemas.openxmlformats.org/officeDocument/2006/relationships/oleObject" Target="embeddings/oleObject95.bin"/><Relationship Id="rId305" Type="http://schemas.openxmlformats.org/officeDocument/2006/relationships/oleObject" Target="embeddings/oleObject102.bin"/><Relationship Id="rId347" Type="http://schemas.openxmlformats.org/officeDocument/2006/relationships/oleObject" Target="embeddings/oleObject123.bin"/><Relationship Id="rId512" Type="http://schemas.openxmlformats.org/officeDocument/2006/relationships/image" Target="media/image199.wmf"/><Relationship Id="rId44" Type="http://schemas.openxmlformats.org/officeDocument/2006/relationships/hyperlink" Target="mailto:hodong0803.kim@samsung.com" TargetMode="External"/><Relationship Id="rId86" Type="http://schemas.openxmlformats.org/officeDocument/2006/relationships/hyperlink" Target="mailto:Ilan.sutskover@intel.com" TargetMode="External"/><Relationship Id="rId151" Type="http://schemas.openxmlformats.org/officeDocument/2006/relationships/image" Target="media/image24.emf"/><Relationship Id="rId389" Type="http://schemas.openxmlformats.org/officeDocument/2006/relationships/oleObject" Target="embeddings/oleObject144.bin"/><Relationship Id="rId554" Type="http://schemas.openxmlformats.org/officeDocument/2006/relationships/image" Target="media/image220.wmf"/><Relationship Id="rId193" Type="http://schemas.openxmlformats.org/officeDocument/2006/relationships/image" Target="media/image45.emf"/><Relationship Id="rId207" Type="http://schemas.openxmlformats.org/officeDocument/2006/relationships/image" Target="media/image52.emf"/><Relationship Id="rId249" Type="http://schemas.openxmlformats.org/officeDocument/2006/relationships/oleObject" Target="embeddings/oleObject73.bin"/><Relationship Id="rId414" Type="http://schemas.openxmlformats.org/officeDocument/2006/relationships/image" Target="media/image152.wmf"/><Relationship Id="rId456" Type="http://schemas.openxmlformats.org/officeDocument/2006/relationships/oleObject" Target="embeddings/oleObject178.bin"/><Relationship Id="rId498" Type="http://schemas.openxmlformats.org/officeDocument/2006/relationships/image" Target="media/image192.wmf"/><Relationship Id="rId13" Type="http://schemas.openxmlformats.org/officeDocument/2006/relationships/hyperlink" Target="mailto:Liwen.chu@st.com" TargetMode="External"/><Relationship Id="rId109" Type="http://schemas.openxmlformats.org/officeDocument/2006/relationships/oleObject" Target="embeddings/oleObject4.bin"/><Relationship Id="rId260" Type="http://schemas.openxmlformats.org/officeDocument/2006/relationships/image" Target="media/image76.wmf"/><Relationship Id="rId316" Type="http://schemas.openxmlformats.org/officeDocument/2006/relationships/image" Target="media/image103.wmf"/><Relationship Id="rId523" Type="http://schemas.openxmlformats.org/officeDocument/2006/relationships/oleObject" Target="embeddings/oleObject213.bin"/><Relationship Id="rId55" Type="http://schemas.openxmlformats.org/officeDocument/2006/relationships/hyperlink" Target="mailto:hlou@marvell.com" TargetMode="External"/><Relationship Id="rId97" Type="http://schemas.openxmlformats.org/officeDocument/2006/relationships/hyperlink" Target="mailto:james.wang@mediatek.com" TargetMode="External"/><Relationship Id="rId120" Type="http://schemas.openxmlformats.org/officeDocument/2006/relationships/oleObject" Target="embeddings/oleObject11.bin"/><Relationship Id="rId358" Type="http://schemas.openxmlformats.org/officeDocument/2006/relationships/image" Target="media/image124.wmf"/><Relationship Id="rId162" Type="http://schemas.openxmlformats.org/officeDocument/2006/relationships/oleObject" Target="embeddings/oleObject32.bin"/><Relationship Id="rId218" Type="http://schemas.openxmlformats.org/officeDocument/2006/relationships/oleObject" Target="embeddings/oleObject60.bin"/><Relationship Id="rId425" Type="http://schemas.openxmlformats.org/officeDocument/2006/relationships/oleObject" Target="embeddings/oleObject162.bin"/><Relationship Id="rId467" Type="http://schemas.openxmlformats.org/officeDocument/2006/relationships/image" Target="media/image177.wmf"/><Relationship Id="rId271" Type="http://schemas.openxmlformats.org/officeDocument/2006/relationships/oleObject" Target="embeddings/oleObject84.bin"/><Relationship Id="rId24" Type="http://schemas.openxmlformats.org/officeDocument/2006/relationships/hyperlink" Target="mailto:brianh@cisco.com" TargetMode="External"/><Relationship Id="rId66" Type="http://schemas.openxmlformats.org/officeDocument/2006/relationships/hyperlink" Target="mailto:Minyoung.park@intel.com" TargetMode="External"/><Relationship Id="rId131" Type="http://schemas.openxmlformats.org/officeDocument/2006/relationships/image" Target="media/image14.wmf"/><Relationship Id="rId327" Type="http://schemas.openxmlformats.org/officeDocument/2006/relationships/oleObject" Target="embeddings/oleObject113.bin"/><Relationship Id="rId369" Type="http://schemas.openxmlformats.org/officeDocument/2006/relationships/oleObject" Target="embeddings/oleObject134.bin"/><Relationship Id="rId534" Type="http://schemas.openxmlformats.org/officeDocument/2006/relationships/image" Target="media/image210.wmf"/><Relationship Id="rId173" Type="http://schemas.openxmlformats.org/officeDocument/2006/relationships/image" Target="media/image35.wmf"/><Relationship Id="rId229" Type="http://schemas.openxmlformats.org/officeDocument/2006/relationships/oleObject" Target="embeddings/oleObject63.bin"/><Relationship Id="rId380" Type="http://schemas.openxmlformats.org/officeDocument/2006/relationships/image" Target="media/image135.wmf"/><Relationship Id="rId436" Type="http://schemas.openxmlformats.org/officeDocument/2006/relationships/oleObject" Target="embeddings/oleObject168.bin"/><Relationship Id="rId240" Type="http://schemas.openxmlformats.org/officeDocument/2006/relationships/image" Target="media/image66.wmf"/><Relationship Id="rId478" Type="http://schemas.openxmlformats.org/officeDocument/2006/relationships/oleObject" Target="embeddings/oleObject190.bin"/><Relationship Id="rId35" Type="http://schemas.openxmlformats.org/officeDocument/2006/relationships/hyperlink" Target="mailto:sgjin@etri.re.kr" TargetMode="External"/><Relationship Id="rId77" Type="http://schemas.openxmlformats.org/officeDocument/2006/relationships/hyperlink" Target="mailto:hsampath@qualcomm.com" TargetMode="External"/><Relationship Id="rId100" Type="http://schemas.openxmlformats.org/officeDocument/2006/relationships/hyperlink" Target="mailto:skyong@marvell.com" TargetMode="External"/><Relationship Id="rId282" Type="http://schemas.openxmlformats.org/officeDocument/2006/relationships/oleObject" Target="embeddings/oleObject90.bin"/><Relationship Id="rId338" Type="http://schemas.openxmlformats.org/officeDocument/2006/relationships/image" Target="media/image114.wmf"/><Relationship Id="rId503" Type="http://schemas.openxmlformats.org/officeDocument/2006/relationships/oleObject" Target="embeddings/oleObject203.bin"/><Relationship Id="rId545" Type="http://schemas.openxmlformats.org/officeDocument/2006/relationships/oleObject" Target="embeddings/oleObject224.bin"/><Relationship Id="rId8" Type="http://schemas.openxmlformats.org/officeDocument/2006/relationships/endnotes" Target="endnotes.xml"/><Relationship Id="rId142" Type="http://schemas.openxmlformats.org/officeDocument/2006/relationships/oleObject" Target="embeddings/oleObject22.bin"/><Relationship Id="rId184" Type="http://schemas.openxmlformats.org/officeDocument/2006/relationships/oleObject" Target="embeddings/oleObject43.bin"/><Relationship Id="rId391" Type="http://schemas.openxmlformats.org/officeDocument/2006/relationships/oleObject" Target="embeddings/oleObject145.bin"/><Relationship Id="rId405" Type="http://schemas.openxmlformats.org/officeDocument/2006/relationships/oleObject" Target="embeddings/oleObject152.bin"/><Relationship Id="rId447" Type="http://schemas.openxmlformats.org/officeDocument/2006/relationships/image" Target="media/image168.wmf"/><Relationship Id="rId251" Type="http://schemas.openxmlformats.org/officeDocument/2006/relationships/oleObject" Target="embeddings/oleObject74.bin"/><Relationship Id="rId489" Type="http://schemas.openxmlformats.org/officeDocument/2006/relationships/oleObject" Target="embeddings/oleObject196.bin"/><Relationship Id="rId46" Type="http://schemas.openxmlformats.org/officeDocument/2006/relationships/hyperlink" Target="mailto:rick.kreifeldt@harman.com" TargetMode="External"/><Relationship Id="rId293" Type="http://schemas.openxmlformats.org/officeDocument/2006/relationships/oleObject" Target="embeddings/oleObject96.bin"/><Relationship Id="rId307" Type="http://schemas.openxmlformats.org/officeDocument/2006/relationships/oleObject" Target="embeddings/oleObject103.bin"/><Relationship Id="rId349" Type="http://schemas.openxmlformats.org/officeDocument/2006/relationships/oleObject" Target="embeddings/oleObject124.bin"/><Relationship Id="rId514" Type="http://schemas.openxmlformats.org/officeDocument/2006/relationships/image" Target="media/image200.wmf"/><Relationship Id="rId556" Type="http://schemas.openxmlformats.org/officeDocument/2006/relationships/fontTable" Target="fontTable.xml"/><Relationship Id="rId88" Type="http://schemas.openxmlformats.org/officeDocument/2006/relationships/hyperlink" Target="mailto:takahashi.kazu@jp.panasonic.com" TargetMode="External"/><Relationship Id="rId111" Type="http://schemas.openxmlformats.org/officeDocument/2006/relationships/oleObject" Target="embeddings/oleObject5.bin"/><Relationship Id="rId153" Type="http://schemas.openxmlformats.org/officeDocument/2006/relationships/image" Target="media/image25.emf"/><Relationship Id="rId195" Type="http://schemas.openxmlformats.org/officeDocument/2006/relationships/image" Target="media/image46.emf"/><Relationship Id="rId209" Type="http://schemas.openxmlformats.org/officeDocument/2006/relationships/image" Target="media/image53.emf"/><Relationship Id="rId360" Type="http://schemas.openxmlformats.org/officeDocument/2006/relationships/image" Target="media/image125.wmf"/><Relationship Id="rId416" Type="http://schemas.openxmlformats.org/officeDocument/2006/relationships/image" Target="media/image153.wmf"/><Relationship Id="rId220" Type="http://schemas.openxmlformats.org/officeDocument/2006/relationships/oleObject" Target="embeddings/oleObject61.bin"/><Relationship Id="rId458" Type="http://schemas.openxmlformats.org/officeDocument/2006/relationships/oleObject" Target="embeddings/oleObject1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57EC1-6EE0-400A-BC3F-6DE97C3D237D}">
  <ds:schemaRefs>
    <ds:schemaRef ds:uri="http://schemas.openxmlformats.org/officeDocument/2006/bibliography"/>
  </ds:schemaRefs>
</ds:datastoreItem>
</file>

<file path=customXml/itemProps2.xml><?xml version="1.0" encoding="utf-8"?>
<ds:datastoreItem xmlns:ds="http://schemas.openxmlformats.org/officeDocument/2006/customXml" ds:itemID="{5E567D15-9E0F-42E2-8DC4-9D3BBF0D7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335</Pages>
  <Words>122560</Words>
  <Characters>698593</Characters>
  <Application>Microsoft Office Word</Application>
  <DocSecurity>0</DocSecurity>
  <Lines>5821</Lines>
  <Paragraphs>1639</Paragraphs>
  <ScaleCrop>false</ScaleCrop>
  <HeadingPairs>
    <vt:vector size="2" baseType="variant">
      <vt:variant>
        <vt:lpstr>Title</vt:lpstr>
      </vt:variant>
      <vt:variant>
        <vt:i4>1</vt:i4>
      </vt:variant>
    </vt:vector>
  </HeadingPairs>
  <TitlesOfParts>
    <vt:vector size="1" baseType="lpstr">
      <vt:lpstr>60GHz MAC/PHY Specification</vt:lpstr>
    </vt:vector>
  </TitlesOfParts>
  <Company>Intel </Company>
  <LinksUpToDate>false</LinksUpToDate>
  <CharactersWithSpaces>819514</CharactersWithSpaces>
  <SharedDoc>false</SharedDoc>
  <HLinks>
    <vt:vector size="4224" baseType="variant">
      <vt:variant>
        <vt:i4>1900600</vt:i4>
      </vt:variant>
      <vt:variant>
        <vt:i4>4226</vt:i4>
      </vt:variant>
      <vt:variant>
        <vt:i4>0</vt:i4>
      </vt:variant>
      <vt:variant>
        <vt:i4>5</vt:i4>
      </vt:variant>
      <vt:variant>
        <vt:lpwstr/>
      </vt:variant>
      <vt:variant>
        <vt:lpwstr>_Toc250821869</vt:lpwstr>
      </vt:variant>
      <vt:variant>
        <vt:i4>1900600</vt:i4>
      </vt:variant>
      <vt:variant>
        <vt:i4>4220</vt:i4>
      </vt:variant>
      <vt:variant>
        <vt:i4>0</vt:i4>
      </vt:variant>
      <vt:variant>
        <vt:i4>5</vt:i4>
      </vt:variant>
      <vt:variant>
        <vt:lpwstr/>
      </vt:variant>
      <vt:variant>
        <vt:lpwstr>_Toc250821868</vt:lpwstr>
      </vt:variant>
      <vt:variant>
        <vt:i4>1900600</vt:i4>
      </vt:variant>
      <vt:variant>
        <vt:i4>4214</vt:i4>
      </vt:variant>
      <vt:variant>
        <vt:i4>0</vt:i4>
      </vt:variant>
      <vt:variant>
        <vt:i4>5</vt:i4>
      </vt:variant>
      <vt:variant>
        <vt:lpwstr/>
      </vt:variant>
      <vt:variant>
        <vt:lpwstr>_Toc250821867</vt:lpwstr>
      </vt:variant>
      <vt:variant>
        <vt:i4>1900600</vt:i4>
      </vt:variant>
      <vt:variant>
        <vt:i4>4208</vt:i4>
      </vt:variant>
      <vt:variant>
        <vt:i4>0</vt:i4>
      </vt:variant>
      <vt:variant>
        <vt:i4>5</vt:i4>
      </vt:variant>
      <vt:variant>
        <vt:lpwstr/>
      </vt:variant>
      <vt:variant>
        <vt:lpwstr>_Toc250821866</vt:lpwstr>
      </vt:variant>
      <vt:variant>
        <vt:i4>1900600</vt:i4>
      </vt:variant>
      <vt:variant>
        <vt:i4>4202</vt:i4>
      </vt:variant>
      <vt:variant>
        <vt:i4>0</vt:i4>
      </vt:variant>
      <vt:variant>
        <vt:i4>5</vt:i4>
      </vt:variant>
      <vt:variant>
        <vt:lpwstr/>
      </vt:variant>
      <vt:variant>
        <vt:lpwstr>_Toc250821865</vt:lpwstr>
      </vt:variant>
      <vt:variant>
        <vt:i4>1900600</vt:i4>
      </vt:variant>
      <vt:variant>
        <vt:i4>4196</vt:i4>
      </vt:variant>
      <vt:variant>
        <vt:i4>0</vt:i4>
      </vt:variant>
      <vt:variant>
        <vt:i4>5</vt:i4>
      </vt:variant>
      <vt:variant>
        <vt:lpwstr/>
      </vt:variant>
      <vt:variant>
        <vt:lpwstr>_Toc250821864</vt:lpwstr>
      </vt:variant>
      <vt:variant>
        <vt:i4>1900600</vt:i4>
      </vt:variant>
      <vt:variant>
        <vt:i4>4190</vt:i4>
      </vt:variant>
      <vt:variant>
        <vt:i4>0</vt:i4>
      </vt:variant>
      <vt:variant>
        <vt:i4>5</vt:i4>
      </vt:variant>
      <vt:variant>
        <vt:lpwstr/>
      </vt:variant>
      <vt:variant>
        <vt:lpwstr>_Toc250821863</vt:lpwstr>
      </vt:variant>
      <vt:variant>
        <vt:i4>1900600</vt:i4>
      </vt:variant>
      <vt:variant>
        <vt:i4>4184</vt:i4>
      </vt:variant>
      <vt:variant>
        <vt:i4>0</vt:i4>
      </vt:variant>
      <vt:variant>
        <vt:i4>5</vt:i4>
      </vt:variant>
      <vt:variant>
        <vt:lpwstr/>
      </vt:variant>
      <vt:variant>
        <vt:lpwstr>_Toc250821862</vt:lpwstr>
      </vt:variant>
      <vt:variant>
        <vt:i4>1900600</vt:i4>
      </vt:variant>
      <vt:variant>
        <vt:i4>4178</vt:i4>
      </vt:variant>
      <vt:variant>
        <vt:i4>0</vt:i4>
      </vt:variant>
      <vt:variant>
        <vt:i4>5</vt:i4>
      </vt:variant>
      <vt:variant>
        <vt:lpwstr/>
      </vt:variant>
      <vt:variant>
        <vt:lpwstr>_Toc250821861</vt:lpwstr>
      </vt:variant>
      <vt:variant>
        <vt:i4>1900600</vt:i4>
      </vt:variant>
      <vt:variant>
        <vt:i4>4172</vt:i4>
      </vt:variant>
      <vt:variant>
        <vt:i4>0</vt:i4>
      </vt:variant>
      <vt:variant>
        <vt:i4>5</vt:i4>
      </vt:variant>
      <vt:variant>
        <vt:lpwstr/>
      </vt:variant>
      <vt:variant>
        <vt:lpwstr>_Toc250821860</vt:lpwstr>
      </vt:variant>
      <vt:variant>
        <vt:i4>1966136</vt:i4>
      </vt:variant>
      <vt:variant>
        <vt:i4>4166</vt:i4>
      </vt:variant>
      <vt:variant>
        <vt:i4>0</vt:i4>
      </vt:variant>
      <vt:variant>
        <vt:i4>5</vt:i4>
      </vt:variant>
      <vt:variant>
        <vt:lpwstr/>
      </vt:variant>
      <vt:variant>
        <vt:lpwstr>_Toc250821859</vt:lpwstr>
      </vt:variant>
      <vt:variant>
        <vt:i4>1966136</vt:i4>
      </vt:variant>
      <vt:variant>
        <vt:i4>4160</vt:i4>
      </vt:variant>
      <vt:variant>
        <vt:i4>0</vt:i4>
      </vt:variant>
      <vt:variant>
        <vt:i4>5</vt:i4>
      </vt:variant>
      <vt:variant>
        <vt:lpwstr/>
      </vt:variant>
      <vt:variant>
        <vt:lpwstr>_Toc250821858</vt:lpwstr>
      </vt:variant>
      <vt:variant>
        <vt:i4>1966136</vt:i4>
      </vt:variant>
      <vt:variant>
        <vt:i4>4154</vt:i4>
      </vt:variant>
      <vt:variant>
        <vt:i4>0</vt:i4>
      </vt:variant>
      <vt:variant>
        <vt:i4>5</vt:i4>
      </vt:variant>
      <vt:variant>
        <vt:lpwstr/>
      </vt:variant>
      <vt:variant>
        <vt:lpwstr>_Toc250821857</vt:lpwstr>
      </vt:variant>
      <vt:variant>
        <vt:i4>1966136</vt:i4>
      </vt:variant>
      <vt:variant>
        <vt:i4>4148</vt:i4>
      </vt:variant>
      <vt:variant>
        <vt:i4>0</vt:i4>
      </vt:variant>
      <vt:variant>
        <vt:i4>5</vt:i4>
      </vt:variant>
      <vt:variant>
        <vt:lpwstr/>
      </vt:variant>
      <vt:variant>
        <vt:lpwstr>_Toc250821856</vt:lpwstr>
      </vt:variant>
      <vt:variant>
        <vt:i4>1966136</vt:i4>
      </vt:variant>
      <vt:variant>
        <vt:i4>4142</vt:i4>
      </vt:variant>
      <vt:variant>
        <vt:i4>0</vt:i4>
      </vt:variant>
      <vt:variant>
        <vt:i4>5</vt:i4>
      </vt:variant>
      <vt:variant>
        <vt:lpwstr/>
      </vt:variant>
      <vt:variant>
        <vt:lpwstr>_Toc250821855</vt:lpwstr>
      </vt:variant>
      <vt:variant>
        <vt:i4>1966136</vt:i4>
      </vt:variant>
      <vt:variant>
        <vt:i4>4136</vt:i4>
      </vt:variant>
      <vt:variant>
        <vt:i4>0</vt:i4>
      </vt:variant>
      <vt:variant>
        <vt:i4>5</vt:i4>
      </vt:variant>
      <vt:variant>
        <vt:lpwstr/>
      </vt:variant>
      <vt:variant>
        <vt:lpwstr>_Toc250821854</vt:lpwstr>
      </vt:variant>
      <vt:variant>
        <vt:i4>1966136</vt:i4>
      </vt:variant>
      <vt:variant>
        <vt:i4>4130</vt:i4>
      </vt:variant>
      <vt:variant>
        <vt:i4>0</vt:i4>
      </vt:variant>
      <vt:variant>
        <vt:i4>5</vt:i4>
      </vt:variant>
      <vt:variant>
        <vt:lpwstr/>
      </vt:variant>
      <vt:variant>
        <vt:lpwstr>_Toc250821853</vt:lpwstr>
      </vt:variant>
      <vt:variant>
        <vt:i4>1966136</vt:i4>
      </vt:variant>
      <vt:variant>
        <vt:i4>4124</vt:i4>
      </vt:variant>
      <vt:variant>
        <vt:i4>0</vt:i4>
      </vt:variant>
      <vt:variant>
        <vt:i4>5</vt:i4>
      </vt:variant>
      <vt:variant>
        <vt:lpwstr/>
      </vt:variant>
      <vt:variant>
        <vt:lpwstr>_Toc250821852</vt:lpwstr>
      </vt:variant>
      <vt:variant>
        <vt:i4>1966136</vt:i4>
      </vt:variant>
      <vt:variant>
        <vt:i4>4118</vt:i4>
      </vt:variant>
      <vt:variant>
        <vt:i4>0</vt:i4>
      </vt:variant>
      <vt:variant>
        <vt:i4>5</vt:i4>
      </vt:variant>
      <vt:variant>
        <vt:lpwstr/>
      </vt:variant>
      <vt:variant>
        <vt:lpwstr>_Toc250821851</vt:lpwstr>
      </vt:variant>
      <vt:variant>
        <vt:i4>1966136</vt:i4>
      </vt:variant>
      <vt:variant>
        <vt:i4>4112</vt:i4>
      </vt:variant>
      <vt:variant>
        <vt:i4>0</vt:i4>
      </vt:variant>
      <vt:variant>
        <vt:i4>5</vt:i4>
      </vt:variant>
      <vt:variant>
        <vt:lpwstr/>
      </vt:variant>
      <vt:variant>
        <vt:lpwstr>_Toc250821850</vt:lpwstr>
      </vt:variant>
      <vt:variant>
        <vt:i4>2031672</vt:i4>
      </vt:variant>
      <vt:variant>
        <vt:i4>4106</vt:i4>
      </vt:variant>
      <vt:variant>
        <vt:i4>0</vt:i4>
      </vt:variant>
      <vt:variant>
        <vt:i4>5</vt:i4>
      </vt:variant>
      <vt:variant>
        <vt:lpwstr/>
      </vt:variant>
      <vt:variant>
        <vt:lpwstr>_Toc250821849</vt:lpwstr>
      </vt:variant>
      <vt:variant>
        <vt:i4>2031672</vt:i4>
      </vt:variant>
      <vt:variant>
        <vt:i4>4100</vt:i4>
      </vt:variant>
      <vt:variant>
        <vt:i4>0</vt:i4>
      </vt:variant>
      <vt:variant>
        <vt:i4>5</vt:i4>
      </vt:variant>
      <vt:variant>
        <vt:lpwstr/>
      </vt:variant>
      <vt:variant>
        <vt:lpwstr>_Toc250821848</vt:lpwstr>
      </vt:variant>
      <vt:variant>
        <vt:i4>2031672</vt:i4>
      </vt:variant>
      <vt:variant>
        <vt:i4>4094</vt:i4>
      </vt:variant>
      <vt:variant>
        <vt:i4>0</vt:i4>
      </vt:variant>
      <vt:variant>
        <vt:i4>5</vt:i4>
      </vt:variant>
      <vt:variant>
        <vt:lpwstr/>
      </vt:variant>
      <vt:variant>
        <vt:lpwstr>_Toc250821847</vt:lpwstr>
      </vt:variant>
      <vt:variant>
        <vt:i4>2031672</vt:i4>
      </vt:variant>
      <vt:variant>
        <vt:i4>4088</vt:i4>
      </vt:variant>
      <vt:variant>
        <vt:i4>0</vt:i4>
      </vt:variant>
      <vt:variant>
        <vt:i4>5</vt:i4>
      </vt:variant>
      <vt:variant>
        <vt:lpwstr/>
      </vt:variant>
      <vt:variant>
        <vt:lpwstr>_Toc250821846</vt:lpwstr>
      </vt:variant>
      <vt:variant>
        <vt:i4>2031672</vt:i4>
      </vt:variant>
      <vt:variant>
        <vt:i4>4082</vt:i4>
      </vt:variant>
      <vt:variant>
        <vt:i4>0</vt:i4>
      </vt:variant>
      <vt:variant>
        <vt:i4>5</vt:i4>
      </vt:variant>
      <vt:variant>
        <vt:lpwstr/>
      </vt:variant>
      <vt:variant>
        <vt:lpwstr>_Toc250821845</vt:lpwstr>
      </vt:variant>
      <vt:variant>
        <vt:i4>2031672</vt:i4>
      </vt:variant>
      <vt:variant>
        <vt:i4>4076</vt:i4>
      </vt:variant>
      <vt:variant>
        <vt:i4>0</vt:i4>
      </vt:variant>
      <vt:variant>
        <vt:i4>5</vt:i4>
      </vt:variant>
      <vt:variant>
        <vt:lpwstr/>
      </vt:variant>
      <vt:variant>
        <vt:lpwstr>_Toc250821844</vt:lpwstr>
      </vt:variant>
      <vt:variant>
        <vt:i4>2031672</vt:i4>
      </vt:variant>
      <vt:variant>
        <vt:i4>4070</vt:i4>
      </vt:variant>
      <vt:variant>
        <vt:i4>0</vt:i4>
      </vt:variant>
      <vt:variant>
        <vt:i4>5</vt:i4>
      </vt:variant>
      <vt:variant>
        <vt:lpwstr/>
      </vt:variant>
      <vt:variant>
        <vt:lpwstr>_Toc250821843</vt:lpwstr>
      </vt:variant>
      <vt:variant>
        <vt:i4>2031672</vt:i4>
      </vt:variant>
      <vt:variant>
        <vt:i4>4064</vt:i4>
      </vt:variant>
      <vt:variant>
        <vt:i4>0</vt:i4>
      </vt:variant>
      <vt:variant>
        <vt:i4>5</vt:i4>
      </vt:variant>
      <vt:variant>
        <vt:lpwstr/>
      </vt:variant>
      <vt:variant>
        <vt:lpwstr>_Toc250821842</vt:lpwstr>
      </vt:variant>
      <vt:variant>
        <vt:i4>2031672</vt:i4>
      </vt:variant>
      <vt:variant>
        <vt:i4>4058</vt:i4>
      </vt:variant>
      <vt:variant>
        <vt:i4>0</vt:i4>
      </vt:variant>
      <vt:variant>
        <vt:i4>5</vt:i4>
      </vt:variant>
      <vt:variant>
        <vt:lpwstr/>
      </vt:variant>
      <vt:variant>
        <vt:lpwstr>_Toc250821841</vt:lpwstr>
      </vt:variant>
      <vt:variant>
        <vt:i4>2031672</vt:i4>
      </vt:variant>
      <vt:variant>
        <vt:i4>4052</vt:i4>
      </vt:variant>
      <vt:variant>
        <vt:i4>0</vt:i4>
      </vt:variant>
      <vt:variant>
        <vt:i4>5</vt:i4>
      </vt:variant>
      <vt:variant>
        <vt:lpwstr/>
      </vt:variant>
      <vt:variant>
        <vt:lpwstr>_Toc250821840</vt:lpwstr>
      </vt:variant>
      <vt:variant>
        <vt:i4>1572920</vt:i4>
      </vt:variant>
      <vt:variant>
        <vt:i4>4046</vt:i4>
      </vt:variant>
      <vt:variant>
        <vt:i4>0</vt:i4>
      </vt:variant>
      <vt:variant>
        <vt:i4>5</vt:i4>
      </vt:variant>
      <vt:variant>
        <vt:lpwstr/>
      </vt:variant>
      <vt:variant>
        <vt:lpwstr>_Toc250821839</vt:lpwstr>
      </vt:variant>
      <vt:variant>
        <vt:i4>1572920</vt:i4>
      </vt:variant>
      <vt:variant>
        <vt:i4>4040</vt:i4>
      </vt:variant>
      <vt:variant>
        <vt:i4>0</vt:i4>
      </vt:variant>
      <vt:variant>
        <vt:i4>5</vt:i4>
      </vt:variant>
      <vt:variant>
        <vt:lpwstr/>
      </vt:variant>
      <vt:variant>
        <vt:lpwstr>_Toc250821838</vt:lpwstr>
      </vt:variant>
      <vt:variant>
        <vt:i4>1572920</vt:i4>
      </vt:variant>
      <vt:variant>
        <vt:i4>4034</vt:i4>
      </vt:variant>
      <vt:variant>
        <vt:i4>0</vt:i4>
      </vt:variant>
      <vt:variant>
        <vt:i4>5</vt:i4>
      </vt:variant>
      <vt:variant>
        <vt:lpwstr/>
      </vt:variant>
      <vt:variant>
        <vt:lpwstr>_Toc250821837</vt:lpwstr>
      </vt:variant>
      <vt:variant>
        <vt:i4>1572920</vt:i4>
      </vt:variant>
      <vt:variant>
        <vt:i4>4028</vt:i4>
      </vt:variant>
      <vt:variant>
        <vt:i4>0</vt:i4>
      </vt:variant>
      <vt:variant>
        <vt:i4>5</vt:i4>
      </vt:variant>
      <vt:variant>
        <vt:lpwstr/>
      </vt:variant>
      <vt:variant>
        <vt:lpwstr>_Toc250821836</vt:lpwstr>
      </vt:variant>
      <vt:variant>
        <vt:i4>1572920</vt:i4>
      </vt:variant>
      <vt:variant>
        <vt:i4>4022</vt:i4>
      </vt:variant>
      <vt:variant>
        <vt:i4>0</vt:i4>
      </vt:variant>
      <vt:variant>
        <vt:i4>5</vt:i4>
      </vt:variant>
      <vt:variant>
        <vt:lpwstr/>
      </vt:variant>
      <vt:variant>
        <vt:lpwstr>_Toc250821835</vt:lpwstr>
      </vt:variant>
      <vt:variant>
        <vt:i4>1572920</vt:i4>
      </vt:variant>
      <vt:variant>
        <vt:i4>4016</vt:i4>
      </vt:variant>
      <vt:variant>
        <vt:i4>0</vt:i4>
      </vt:variant>
      <vt:variant>
        <vt:i4>5</vt:i4>
      </vt:variant>
      <vt:variant>
        <vt:lpwstr/>
      </vt:variant>
      <vt:variant>
        <vt:lpwstr>_Toc250821834</vt:lpwstr>
      </vt:variant>
      <vt:variant>
        <vt:i4>1572920</vt:i4>
      </vt:variant>
      <vt:variant>
        <vt:i4>4010</vt:i4>
      </vt:variant>
      <vt:variant>
        <vt:i4>0</vt:i4>
      </vt:variant>
      <vt:variant>
        <vt:i4>5</vt:i4>
      </vt:variant>
      <vt:variant>
        <vt:lpwstr/>
      </vt:variant>
      <vt:variant>
        <vt:lpwstr>_Toc250821833</vt:lpwstr>
      </vt:variant>
      <vt:variant>
        <vt:i4>1572920</vt:i4>
      </vt:variant>
      <vt:variant>
        <vt:i4>4004</vt:i4>
      </vt:variant>
      <vt:variant>
        <vt:i4>0</vt:i4>
      </vt:variant>
      <vt:variant>
        <vt:i4>5</vt:i4>
      </vt:variant>
      <vt:variant>
        <vt:lpwstr/>
      </vt:variant>
      <vt:variant>
        <vt:lpwstr>_Toc250821832</vt:lpwstr>
      </vt:variant>
      <vt:variant>
        <vt:i4>1572920</vt:i4>
      </vt:variant>
      <vt:variant>
        <vt:i4>3998</vt:i4>
      </vt:variant>
      <vt:variant>
        <vt:i4>0</vt:i4>
      </vt:variant>
      <vt:variant>
        <vt:i4>5</vt:i4>
      </vt:variant>
      <vt:variant>
        <vt:lpwstr/>
      </vt:variant>
      <vt:variant>
        <vt:lpwstr>_Toc250821831</vt:lpwstr>
      </vt:variant>
      <vt:variant>
        <vt:i4>1572920</vt:i4>
      </vt:variant>
      <vt:variant>
        <vt:i4>3992</vt:i4>
      </vt:variant>
      <vt:variant>
        <vt:i4>0</vt:i4>
      </vt:variant>
      <vt:variant>
        <vt:i4>5</vt:i4>
      </vt:variant>
      <vt:variant>
        <vt:lpwstr/>
      </vt:variant>
      <vt:variant>
        <vt:lpwstr>_Toc250821830</vt:lpwstr>
      </vt:variant>
      <vt:variant>
        <vt:i4>1638456</vt:i4>
      </vt:variant>
      <vt:variant>
        <vt:i4>3986</vt:i4>
      </vt:variant>
      <vt:variant>
        <vt:i4>0</vt:i4>
      </vt:variant>
      <vt:variant>
        <vt:i4>5</vt:i4>
      </vt:variant>
      <vt:variant>
        <vt:lpwstr/>
      </vt:variant>
      <vt:variant>
        <vt:lpwstr>_Toc250821829</vt:lpwstr>
      </vt:variant>
      <vt:variant>
        <vt:i4>1638456</vt:i4>
      </vt:variant>
      <vt:variant>
        <vt:i4>3980</vt:i4>
      </vt:variant>
      <vt:variant>
        <vt:i4>0</vt:i4>
      </vt:variant>
      <vt:variant>
        <vt:i4>5</vt:i4>
      </vt:variant>
      <vt:variant>
        <vt:lpwstr/>
      </vt:variant>
      <vt:variant>
        <vt:lpwstr>_Toc250821828</vt:lpwstr>
      </vt:variant>
      <vt:variant>
        <vt:i4>1638456</vt:i4>
      </vt:variant>
      <vt:variant>
        <vt:i4>3974</vt:i4>
      </vt:variant>
      <vt:variant>
        <vt:i4>0</vt:i4>
      </vt:variant>
      <vt:variant>
        <vt:i4>5</vt:i4>
      </vt:variant>
      <vt:variant>
        <vt:lpwstr/>
      </vt:variant>
      <vt:variant>
        <vt:lpwstr>_Toc250821827</vt:lpwstr>
      </vt:variant>
      <vt:variant>
        <vt:i4>1638456</vt:i4>
      </vt:variant>
      <vt:variant>
        <vt:i4>3968</vt:i4>
      </vt:variant>
      <vt:variant>
        <vt:i4>0</vt:i4>
      </vt:variant>
      <vt:variant>
        <vt:i4>5</vt:i4>
      </vt:variant>
      <vt:variant>
        <vt:lpwstr/>
      </vt:variant>
      <vt:variant>
        <vt:lpwstr>_Toc250821826</vt:lpwstr>
      </vt:variant>
      <vt:variant>
        <vt:i4>1638456</vt:i4>
      </vt:variant>
      <vt:variant>
        <vt:i4>3962</vt:i4>
      </vt:variant>
      <vt:variant>
        <vt:i4>0</vt:i4>
      </vt:variant>
      <vt:variant>
        <vt:i4>5</vt:i4>
      </vt:variant>
      <vt:variant>
        <vt:lpwstr/>
      </vt:variant>
      <vt:variant>
        <vt:lpwstr>_Toc250821825</vt:lpwstr>
      </vt:variant>
      <vt:variant>
        <vt:i4>1638456</vt:i4>
      </vt:variant>
      <vt:variant>
        <vt:i4>3956</vt:i4>
      </vt:variant>
      <vt:variant>
        <vt:i4>0</vt:i4>
      </vt:variant>
      <vt:variant>
        <vt:i4>5</vt:i4>
      </vt:variant>
      <vt:variant>
        <vt:lpwstr/>
      </vt:variant>
      <vt:variant>
        <vt:lpwstr>_Toc250821824</vt:lpwstr>
      </vt:variant>
      <vt:variant>
        <vt:i4>1638456</vt:i4>
      </vt:variant>
      <vt:variant>
        <vt:i4>3950</vt:i4>
      </vt:variant>
      <vt:variant>
        <vt:i4>0</vt:i4>
      </vt:variant>
      <vt:variant>
        <vt:i4>5</vt:i4>
      </vt:variant>
      <vt:variant>
        <vt:lpwstr/>
      </vt:variant>
      <vt:variant>
        <vt:lpwstr>_Toc250821823</vt:lpwstr>
      </vt:variant>
      <vt:variant>
        <vt:i4>1638456</vt:i4>
      </vt:variant>
      <vt:variant>
        <vt:i4>3944</vt:i4>
      </vt:variant>
      <vt:variant>
        <vt:i4>0</vt:i4>
      </vt:variant>
      <vt:variant>
        <vt:i4>5</vt:i4>
      </vt:variant>
      <vt:variant>
        <vt:lpwstr/>
      </vt:variant>
      <vt:variant>
        <vt:lpwstr>_Toc250821822</vt:lpwstr>
      </vt:variant>
      <vt:variant>
        <vt:i4>1638456</vt:i4>
      </vt:variant>
      <vt:variant>
        <vt:i4>3938</vt:i4>
      </vt:variant>
      <vt:variant>
        <vt:i4>0</vt:i4>
      </vt:variant>
      <vt:variant>
        <vt:i4>5</vt:i4>
      </vt:variant>
      <vt:variant>
        <vt:lpwstr/>
      </vt:variant>
      <vt:variant>
        <vt:lpwstr>_Toc250821821</vt:lpwstr>
      </vt:variant>
      <vt:variant>
        <vt:i4>1638456</vt:i4>
      </vt:variant>
      <vt:variant>
        <vt:i4>3932</vt:i4>
      </vt:variant>
      <vt:variant>
        <vt:i4>0</vt:i4>
      </vt:variant>
      <vt:variant>
        <vt:i4>5</vt:i4>
      </vt:variant>
      <vt:variant>
        <vt:lpwstr/>
      </vt:variant>
      <vt:variant>
        <vt:lpwstr>_Toc250821820</vt:lpwstr>
      </vt:variant>
      <vt:variant>
        <vt:i4>1703992</vt:i4>
      </vt:variant>
      <vt:variant>
        <vt:i4>3926</vt:i4>
      </vt:variant>
      <vt:variant>
        <vt:i4>0</vt:i4>
      </vt:variant>
      <vt:variant>
        <vt:i4>5</vt:i4>
      </vt:variant>
      <vt:variant>
        <vt:lpwstr/>
      </vt:variant>
      <vt:variant>
        <vt:lpwstr>_Toc250821819</vt:lpwstr>
      </vt:variant>
      <vt:variant>
        <vt:i4>1703992</vt:i4>
      </vt:variant>
      <vt:variant>
        <vt:i4>3920</vt:i4>
      </vt:variant>
      <vt:variant>
        <vt:i4>0</vt:i4>
      </vt:variant>
      <vt:variant>
        <vt:i4>5</vt:i4>
      </vt:variant>
      <vt:variant>
        <vt:lpwstr/>
      </vt:variant>
      <vt:variant>
        <vt:lpwstr>_Toc250821818</vt:lpwstr>
      </vt:variant>
      <vt:variant>
        <vt:i4>1703992</vt:i4>
      </vt:variant>
      <vt:variant>
        <vt:i4>3914</vt:i4>
      </vt:variant>
      <vt:variant>
        <vt:i4>0</vt:i4>
      </vt:variant>
      <vt:variant>
        <vt:i4>5</vt:i4>
      </vt:variant>
      <vt:variant>
        <vt:lpwstr/>
      </vt:variant>
      <vt:variant>
        <vt:lpwstr>_Toc250821817</vt:lpwstr>
      </vt:variant>
      <vt:variant>
        <vt:i4>1703992</vt:i4>
      </vt:variant>
      <vt:variant>
        <vt:i4>3908</vt:i4>
      </vt:variant>
      <vt:variant>
        <vt:i4>0</vt:i4>
      </vt:variant>
      <vt:variant>
        <vt:i4>5</vt:i4>
      </vt:variant>
      <vt:variant>
        <vt:lpwstr/>
      </vt:variant>
      <vt:variant>
        <vt:lpwstr>_Toc250821816</vt:lpwstr>
      </vt:variant>
      <vt:variant>
        <vt:i4>1703992</vt:i4>
      </vt:variant>
      <vt:variant>
        <vt:i4>3902</vt:i4>
      </vt:variant>
      <vt:variant>
        <vt:i4>0</vt:i4>
      </vt:variant>
      <vt:variant>
        <vt:i4>5</vt:i4>
      </vt:variant>
      <vt:variant>
        <vt:lpwstr/>
      </vt:variant>
      <vt:variant>
        <vt:lpwstr>_Toc250821815</vt:lpwstr>
      </vt:variant>
      <vt:variant>
        <vt:i4>1703992</vt:i4>
      </vt:variant>
      <vt:variant>
        <vt:i4>3896</vt:i4>
      </vt:variant>
      <vt:variant>
        <vt:i4>0</vt:i4>
      </vt:variant>
      <vt:variant>
        <vt:i4>5</vt:i4>
      </vt:variant>
      <vt:variant>
        <vt:lpwstr/>
      </vt:variant>
      <vt:variant>
        <vt:lpwstr>_Toc250821814</vt:lpwstr>
      </vt:variant>
      <vt:variant>
        <vt:i4>1703992</vt:i4>
      </vt:variant>
      <vt:variant>
        <vt:i4>3890</vt:i4>
      </vt:variant>
      <vt:variant>
        <vt:i4>0</vt:i4>
      </vt:variant>
      <vt:variant>
        <vt:i4>5</vt:i4>
      </vt:variant>
      <vt:variant>
        <vt:lpwstr/>
      </vt:variant>
      <vt:variant>
        <vt:lpwstr>_Toc250821813</vt:lpwstr>
      </vt:variant>
      <vt:variant>
        <vt:i4>1703992</vt:i4>
      </vt:variant>
      <vt:variant>
        <vt:i4>3884</vt:i4>
      </vt:variant>
      <vt:variant>
        <vt:i4>0</vt:i4>
      </vt:variant>
      <vt:variant>
        <vt:i4>5</vt:i4>
      </vt:variant>
      <vt:variant>
        <vt:lpwstr/>
      </vt:variant>
      <vt:variant>
        <vt:lpwstr>_Toc250821812</vt:lpwstr>
      </vt:variant>
      <vt:variant>
        <vt:i4>1703992</vt:i4>
      </vt:variant>
      <vt:variant>
        <vt:i4>3878</vt:i4>
      </vt:variant>
      <vt:variant>
        <vt:i4>0</vt:i4>
      </vt:variant>
      <vt:variant>
        <vt:i4>5</vt:i4>
      </vt:variant>
      <vt:variant>
        <vt:lpwstr/>
      </vt:variant>
      <vt:variant>
        <vt:lpwstr>_Toc250821811</vt:lpwstr>
      </vt:variant>
      <vt:variant>
        <vt:i4>1703992</vt:i4>
      </vt:variant>
      <vt:variant>
        <vt:i4>3872</vt:i4>
      </vt:variant>
      <vt:variant>
        <vt:i4>0</vt:i4>
      </vt:variant>
      <vt:variant>
        <vt:i4>5</vt:i4>
      </vt:variant>
      <vt:variant>
        <vt:lpwstr/>
      </vt:variant>
      <vt:variant>
        <vt:lpwstr>_Toc250821810</vt:lpwstr>
      </vt:variant>
      <vt:variant>
        <vt:i4>1769528</vt:i4>
      </vt:variant>
      <vt:variant>
        <vt:i4>3866</vt:i4>
      </vt:variant>
      <vt:variant>
        <vt:i4>0</vt:i4>
      </vt:variant>
      <vt:variant>
        <vt:i4>5</vt:i4>
      </vt:variant>
      <vt:variant>
        <vt:lpwstr/>
      </vt:variant>
      <vt:variant>
        <vt:lpwstr>_Toc250821809</vt:lpwstr>
      </vt:variant>
      <vt:variant>
        <vt:i4>1769528</vt:i4>
      </vt:variant>
      <vt:variant>
        <vt:i4>3860</vt:i4>
      </vt:variant>
      <vt:variant>
        <vt:i4>0</vt:i4>
      </vt:variant>
      <vt:variant>
        <vt:i4>5</vt:i4>
      </vt:variant>
      <vt:variant>
        <vt:lpwstr/>
      </vt:variant>
      <vt:variant>
        <vt:lpwstr>_Toc250821808</vt:lpwstr>
      </vt:variant>
      <vt:variant>
        <vt:i4>1769528</vt:i4>
      </vt:variant>
      <vt:variant>
        <vt:i4>3854</vt:i4>
      </vt:variant>
      <vt:variant>
        <vt:i4>0</vt:i4>
      </vt:variant>
      <vt:variant>
        <vt:i4>5</vt:i4>
      </vt:variant>
      <vt:variant>
        <vt:lpwstr/>
      </vt:variant>
      <vt:variant>
        <vt:lpwstr>_Toc250821807</vt:lpwstr>
      </vt:variant>
      <vt:variant>
        <vt:i4>1769528</vt:i4>
      </vt:variant>
      <vt:variant>
        <vt:i4>3848</vt:i4>
      </vt:variant>
      <vt:variant>
        <vt:i4>0</vt:i4>
      </vt:variant>
      <vt:variant>
        <vt:i4>5</vt:i4>
      </vt:variant>
      <vt:variant>
        <vt:lpwstr/>
      </vt:variant>
      <vt:variant>
        <vt:lpwstr>_Toc250821806</vt:lpwstr>
      </vt:variant>
      <vt:variant>
        <vt:i4>1769528</vt:i4>
      </vt:variant>
      <vt:variant>
        <vt:i4>3842</vt:i4>
      </vt:variant>
      <vt:variant>
        <vt:i4>0</vt:i4>
      </vt:variant>
      <vt:variant>
        <vt:i4>5</vt:i4>
      </vt:variant>
      <vt:variant>
        <vt:lpwstr/>
      </vt:variant>
      <vt:variant>
        <vt:lpwstr>_Toc250821805</vt:lpwstr>
      </vt:variant>
      <vt:variant>
        <vt:i4>1769528</vt:i4>
      </vt:variant>
      <vt:variant>
        <vt:i4>3836</vt:i4>
      </vt:variant>
      <vt:variant>
        <vt:i4>0</vt:i4>
      </vt:variant>
      <vt:variant>
        <vt:i4>5</vt:i4>
      </vt:variant>
      <vt:variant>
        <vt:lpwstr/>
      </vt:variant>
      <vt:variant>
        <vt:lpwstr>_Toc250821804</vt:lpwstr>
      </vt:variant>
      <vt:variant>
        <vt:i4>1769528</vt:i4>
      </vt:variant>
      <vt:variant>
        <vt:i4>3830</vt:i4>
      </vt:variant>
      <vt:variant>
        <vt:i4>0</vt:i4>
      </vt:variant>
      <vt:variant>
        <vt:i4>5</vt:i4>
      </vt:variant>
      <vt:variant>
        <vt:lpwstr/>
      </vt:variant>
      <vt:variant>
        <vt:lpwstr>_Toc250821803</vt:lpwstr>
      </vt:variant>
      <vt:variant>
        <vt:i4>1769528</vt:i4>
      </vt:variant>
      <vt:variant>
        <vt:i4>3824</vt:i4>
      </vt:variant>
      <vt:variant>
        <vt:i4>0</vt:i4>
      </vt:variant>
      <vt:variant>
        <vt:i4>5</vt:i4>
      </vt:variant>
      <vt:variant>
        <vt:lpwstr/>
      </vt:variant>
      <vt:variant>
        <vt:lpwstr>_Toc250821802</vt:lpwstr>
      </vt:variant>
      <vt:variant>
        <vt:i4>1769528</vt:i4>
      </vt:variant>
      <vt:variant>
        <vt:i4>3818</vt:i4>
      </vt:variant>
      <vt:variant>
        <vt:i4>0</vt:i4>
      </vt:variant>
      <vt:variant>
        <vt:i4>5</vt:i4>
      </vt:variant>
      <vt:variant>
        <vt:lpwstr/>
      </vt:variant>
      <vt:variant>
        <vt:lpwstr>_Toc250821801</vt:lpwstr>
      </vt:variant>
      <vt:variant>
        <vt:i4>1769528</vt:i4>
      </vt:variant>
      <vt:variant>
        <vt:i4>3809</vt:i4>
      </vt:variant>
      <vt:variant>
        <vt:i4>0</vt:i4>
      </vt:variant>
      <vt:variant>
        <vt:i4>5</vt:i4>
      </vt:variant>
      <vt:variant>
        <vt:lpwstr/>
      </vt:variant>
      <vt:variant>
        <vt:lpwstr>_Toc250821800</vt:lpwstr>
      </vt:variant>
      <vt:variant>
        <vt:i4>1179703</vt:i4>
      </vt:variant>
      <vt:variant>
        <vt:i4>3803</vt:i4>
      </vt:variant>
      <vt:variant>
        <vt:i4>0</vt:i4>
      </vt:variant>
      <vt:variant>
        <vt:i4>5</vt:i4>
      </vt:variant>
      <vt:variant>
        <vt:lpwstr/>
      </vt:variant>
      <vt:variant>
        <vt:lpwstr>_Toc250821799</vt:lpwstr>
      </vt:variant>
      <vt:variant>
        <vt:i4>5832757</vt:i4>
      </vt:variant>
      <vt:variant>
        <vt:i4>3797</vt:i4>
      </vt:variant>
      <vt:variant>
        <vt:i4>0</vt:i4>
      </vt:variant>
      <vt:variant>
        <vt:i4>5</vt:i4>
      </vt:variant>
      <vt:variant>
        <vt:lpwstr>../../../../../Local Settings/Application Data/Microsoft/Word/TWG-2009-0499-01-WGA-D07 v8.doc</vt:lpwstr>
      </vt:variant>
      <vt:variant>
        <vt:lpwstr>_Toc250821798</vt:lpwstr>
      </vt:variant>
      <vt:variant>
        <vt:i4>1179703</vt:i4>
      </vt:variant>
      <vt:variant>
        <vt:i4>3791</vt:i4>
      </vt:variant>
      <vt:variant>
        <vt:i4>0</vt:i4>
      </vt:variant>
      <vt:variant>
        <vt:i4>5</vt:i4>
      </vt:variant>
      <vt:variant>
        <vt:lpwstr/>
      </vt:variant>
      <vt:variant>
        <vt:lpwstr>_Toc250821797</vt:lpwstr>
      </vt:variant>
      <vt:variant>
        <vt:i4>1179703</vt:i4>
      </vt:variant>
      <vt:variant>
        <vt:i4>3785</vt:i4>
      </vt:variant>
      <vt:variant>
        <vt:i4>0</vt:i4>
      </vt:variant>
      <vt:variant>
        <vt:i4>5</vt:i4>
      </vt:variant>
      <vt:variant>
        <vt:lpwstr/>
      </vt:variant>
      <vt:variant>
        <vt:lpwstr>_Toc250821796</vt:lpwstr>
      </vt:variant>
      <vt:variant>
        <vt:i4>1179703</vt:i4>
      </vt:variant>
      <vt:variant>
        <vt:i4>3779</vt:i4>
      </vt:variant>
      <vt:variant>
        <vt:i4>0</vt:i4>
      </vt:variant>
      <vt:variant>
        <vt:i4>5</vt:i4>
      </vt:variant>
      <vt:variant>
        <vt:lpwstr/>
      </vt:variant>
      <vt:variant>
        <vt:lpwstr>_Toc250821795</vt:lpwstr>
      </vt:variant>
      <vt:variant>
        <vt:i4>1179703</vt:i4>
      </vt:variant>
      <vt:variant>
        <vt:i4>3773</vt:i4>
      </vt:variant>
      <vt:variant>
        <vt:i4>0</vt:i4>
      </vt:variant>
      <vt:variant>
        <vt:i4>5</vt:i4>
      </vt:variant>
      <vt:variant>
        <vt:lpwstr/>
      </vt:variant>
      <vt:variant>
        <vt:lpwstr>_Toc250821794</vt:lpwstr>
      </vt:variant>
      <vt:variant>
        <vt:i4>1179703</vt:i4>
      </vt:variant>
      <vt:variant>
        <vt:i4>3767</vt:i4>
      </vt:variant>
      <vt:variant>
        <vt:i4>0</vt:i4>
      </vt:variant>
      <vt:variant>
        <vt:i4>5</vt:i4>
      </vt:variant>
      <vt:variant>
        <vt:lpwstr/>
      </vt:variant>
      <vt:variant>
        <vt:lpwstr>_Toc250821793</vt:lpwstr>
      </vt:variant>
      <vt:variant>
        <vt:i4>1179703</vt:i4>
      </vt:variant>
      <vt:variant>
        <vt:i4>3761</vt:i4>
      </vt:variant>
      <vt:variant>
        <vt:i4>0</vt:i4>
      </vt:variant>
      <vt:variant>
        <vt:i4>5</vt:i4>
      </vt:variant>
      <vt:variant>
        <vt:lpwstr/>
      </vt:variant>
      <vt:variant>
        <vt:lpwstr>_Toc250821792</vt:lpwstr>
      </vt:variant>
      <vt:variant>
        <vt:i4>1179703</vt:i4>
      </vt:variant>
      <vt:variant>
        <vt:i4>3755</vt:i4>
      </vt:variant>
      <vt:variant>
        <vt:i4>0</vt:i4>
      </vt:variant>
      <vt:variant>
        <vt:i4>5</vt:i4>
      </vt:variant>
      <vt:variant>
        <vt:lpwstr/>
      </vt:variant>
      <vt:variant>
        <vt:lpwstr>_Toc250821791</vt:lpwstr>
      </vt:variant>
      <vt:variant>
        <vt:i4>1179703</vt:i4>
      </vt:variant>
      <vt:variant>
        <vt:i4>3749</vt:i4>
      </vt:variant>
      <vt:variant>
        <vt:i4>0</vt:i4>
      </vt:variant>
      <vt:variant>
        <vt:i4>5</vt:i4>
      </vt:variant>
      <vt:variant>
        <vt:lpwstr/>
      </vt:variant>
      <vt:variant>
        <vt:lpwstr>_Toc250821790</vt:lpwstr>
      </vt:variant>
      <vt:variant>
        <vt:i4>1245239</vt:i4>
      </vt:variant>
      <vt:variant>
        <vt:i4>3743</vt:i4>
      </vt:variant>
      <vt:variant>
        <vt:i4>0</vt:i4>
      </vt:variant>
      <vt:variant>
        <vt:i4>5</vt:i4>
      </vt:variant>
      <vt:variant>
        <vt:lpwstr/>
      </vt:variant>
      <vt:variant>
        <vt:lpwstr>_Toc250821789</vt:lpwstr>
      </vt:variant>
      <vt:variant>
        <vt:i4>1245239</vt:i4>
      </vt:variant>
      <vt:variant>
        <vt:i4>3737</vt:i4>
      </vt:variant>
      <vt:variant>
        <vt:i4>0</vt:i4>
      </vt:variant>
      <vt:variant>
        <vt:i4>5</vt:i4>
      </vt:variant>
      <vt:variant>
        <vt:lpwstr/>
      </vt:variant>
      <vt:variant>
        <vt:lpwstr>_Toc250821788</vt:lpwstr>
      </vt:variant>
      <vt:variant>
        <vt:i4>1245239</vt:i4>
      </vt:variant>
      <vt:variant>
        <vt:i4>3731</vt:i4>
      </vt:variant>
      <vt:variant>
        <vt:i4>0</vt:i4>
      </vt:variant>
      <vt:variant>
        <vt:i4>5</vt:i4>
      </vt:variant>
      <vt:variant>
        <vt:lpwstr/>
      </vt:variant>
      <vt:variant>
        <vt:lpwstr>_Toc250821787</vt:lpwstr>
      </vt:variant>
      <vt:variant>
        <vt:i4>1245239</vt:i4>
      </vt:variant>
      <vt:variant>
        <vt:i4>3725</vt:i4>
      </vt:variant>
      <vt:variant>
        <vt:i4>0</vt:i4>
      </vt:variant>
      <vt:variant>
        <vt:i4>5</vt:i4>
      </vt:variant>
      <vt:variant>
        <vt:lpwstr/>
      </vt:variant>
      <vt:variant>
        <vt:lpwstr>_Toc250821786</vt:lpwstr>
      </vt:variant>
      <vt:variant>
        <vt:i4>1245239</vt:i4>
      </vt:variant>
      <vt:variant>
        <vt:i4>3719</vt:i4>
      </vt:variant>
      <vt:variant>
        <vt:i4>0</vt:i4>
      </vt:variant>
      <vt:variant>
        <vt:i4>5</vt:i4>
      </vt:variant>
      <vt:variant>
        <vt:lpwstr/>
      </vt:variant>
      <vt:variant>
        <vt:lpwstr>_Toc250821785</vt:lpwstr>
      </vt:variant>
      <vt:variant>
        <vt:i4>1245239</vt:i4>
      </vt:variant>
      <vt:variant>
        <vt:i4>3713</vt:i4>
      </vt:variant>
      <vt:variant>
        <vt:i4>0</vt:i4>
      </vt:variant>
      <vt:variant>
        <vt:i4>5</vt:i4>
      </vt:variant>
      <vt:variant>
        <vt:lpwstr/>
      </vt:variant>
      <vt:variant>
        <vt:lpwstr>_Toc250821784</vt:lpwstr>
      </vt:variant>
      <vt:variant>
        <vt:i4>1245239</vt:i4>
      </vt:variant>
      <vt:variant>
        <vt:i4>3707</vt:i4>
      </vt:variant>
      <vt:variant>
        <vt:i4>0</vt:i4>
      </vt:variant>
      <vt:variant>
        <vt:i4>5</vt:i4>
      </vt:variant>
      <vt:variant>
        <vt:lpwstr/>
      </vt:variant>
      <vt:variant>
        <vt:lpwstr>_Toc250821783</vt:lpwstr>
      </vt:variant>
      <vt:variant>
        <vt:i4>1245239</vt:i4>
      </vt:variant>
      <vt:variant>
        <vt:i4>3701</vt:i4>
      </vt:variant>
      <vt:variant>
        <vt:i4>0</vt:i4>
      </vt:variant>
      <vt:variant>
        <vt:i4>5</vt:i4>
      </vt:variant>
      <vt:variant>
        <vt:lpwstr/>
      </vt:variant>
      <vt:variant>
        <vt:lpwstr>_Toc250821782</vt:lpwstr>
      </vt:variant>
      <vt:variant>
        <vt:i4>1245239</vt:i4>
      </vt:variant>
      <vt:variant>
        <vt:i4>3695</vt:i4>
      </vt:variant>
      <vt:variant>
        <vt:i4>0</vt:i4>
      </vt:variant>
      <vt:variant>
        <vt:i4>5</vt:i4>
      </vt:variant>
      <vt:variant>
        <vt:lpwstr/>
      </vt:variant>
      <vt:variant>
        <vt:lpwstr>_Toc250821781</vt:lpwstr>
      </vt:variant>
      <vt:variant>
        <vt:i4>1245239</vt:i4>
      </vt:variant>
      <vt:variant>
        <vt:i4>3689</vt:i4>
      </vt:variant>
      <vt:variant>
        <vt:i4>0</vt:i4>
      </vt:variant>
      <vt:variant>
        <vt:i4>5</vt:i4>
      </vt:variant>
      <vt:variant>
        <vt:lpwstr/>
      </vt:variant>
      <vt:variant>
        <vt:lpwstr>_Toc250821780</vt:lpwstr>
      </vt:variant>
      <vt:variant>
        <vt:i4>1835063</vt:i4>
      </vt:variant>
      <vt:variant>
        <vt:i4>3683</vt:i4>
      </vt:variant>
      <vt:variant>
        <vt:i4>0</vt:i4>
      </vt:variant>
      <vt:variant>
        <vt:i4>5</vt:i4>
      </vt:variant>
      <vt:variant>
        <vt:lpwstr/>
      </vt:variant>
      <vt:variant>
        <vt:lpwstr>_Toc250821779</vt:lpwstr>
      </vt:variant>
      <vt:variant>
        <vt:i4>1835063</vt:i4>
      </vt:variant>
      <vt:variant>
        <vt:i4>3677</vt:i4>
      </vt:variant>
      <vt:variant>
        <vt:i4>0</vt:i4>
      </vt:variant>
      <vt:variant>
        <vt:i4>5</vt:i4>
      </vt:variant>
      <vt:variant>
        <vt:lpwstr/>
      </vt:variant>
      <vt:variant>
        <vt:lpwstr>_Toc250821778</vt:lpwstr>
      </vt:variant>
      <vt:variant>
        <vt:i4>1835063</vt:i4>
      </vt:variant>
      <vt:variant>
        <vt:i4>3671</vt:i4>
      </vt:variant>
      <vt:variant>
        <vt:i4>0</vt:i4>
      </vt:variant>
      <vt:variant>
        <vt:i4>5</vt:i4>
      </vt:variant>
      <vt:variant>
        <vt:lpwstr/>
      </vt:variant>
      <vt:variant>
        <vt:lpwstr>_Toc250821777</vt:lpwstr>
      </vt:variant>
      <vt:variant>
        <vt:i4>1835063</vt:i4>
      </vt:variant>
      <vt:variant>
        <vt:i4>3665</vt:i4>
      </vt:variant>
      <vt:variant>
        <vt:i4>0</vt:i4>
      </vt:variant>
      <vt:variant>
        <vt:i4>5</vt:i4>
      </vt:variant>
      <vt:variant>
        <vt:lpwstr/>
      </vt:variant>
      <vt:variant>
        <vt:lpwstr>_Toc250821776</vt:lpwstr>
      </vt:variant>
      <vt:variant>
        <vt:i4>1835063</vt:i4>
      </vt:variant>
      <vt:variant>
        <vt:i4>3659</vt:i4>
      </vt:variant>
      <vt:variant>
        <vt:i4>0</vt:i4>
      </vt:variant>
      <vt:variant>
        <vt:i4>5</vt:i4>
      </vt:variant>
      <vt:variant>
        <vt:lpwstr/>
      </vt:variant>
      <vt:variant>
        <vt:lpwstr>_Toc250821775</vt:lpwstr>
      </vt:variant>
      <vt:variant>
        <vt:i4>1835063</vt:i4>
      </vt:variant>
      <vt:variant>
        <vt:i4>3653</vt:i4>
      </vt:variant>
      <vt:variant>
        <vt:i4>0</vt:i4>
      </vt:variant>
      <vt:variant>
        <vt:i4>5</vt:i4>
      </vt:variant>
      <vt:variant>
        <vt:lpwstr/>
      </vt:variant>
      <vt:variant>
        <vt:lpwstr>_Toc250821774</vt:lpwstr>
      </vt:variant>
      <vt:variant>
        <vt:i4>1835063</vt:i4>
      </vt:variant>
      <vt:variant>
        <vt:i4>3647</vt:i4>
      </vt:variant>
      <vt:variant>
        <vt:i4>0</vt:i4>
      </vt:variant>
      <vt:variant>
        <vt:i4>5</vt:i4>
      </vt:variant>
      <vt:variant>
        <vt:lpwstr/>
      </vt:variant>
      <vt:variant>
        <vt:lpwstr>_Toc250821773</vt:lpwstr>
      </vt:variant>
      <vt:variant>
        <vt:i4>1835063</vt:i4>
      </vt:variant>
      <vt:variant>
        <vt:i4>3641</vt:i4>
      </vt:variant>
      <vt:variant>
        <vt:i4>0</vt:i4>
      </vt:variant>
      <vt:variant>
        <vt:i4>5</vt:i4>
      </vt:variant>
      <vt:variant>
        <vt:lpwstr/>
      </vt:variant>
      <vt:variant>
        <vt:lpwstr>_Toc250821772</vt:lpwstr>
      </vt:variant>
      <vt:variant>
        <vt:i4>1835063</vt:i4>
      </vt:variant>
      <vt:variant>
        <vt:i4>3635</vt:i4>
      </vt:variant>
      <vt:variant>
        <vt:i4>0</vt:i4>
      </vt:variant>
      <vt:variant>
        <vt:i4>5</vt:i4>
      </vt:variant>
      <vt:variant>
        <vt:lpwstr/>
      </vt:variant>
      <vt:variant>
        <vt:lpwstr>_Toc250821771</vt:lpwstr>
      </vt:variant>
      <vt:variant>
        <vt:i4>1835063</vt:i4>
      </vt:variant>
      <vt:variant>
        <vt:i4>3629</vt:i4>
      </vt:variant>
      <vt:variant>
        <vt:i4>0</vt:i4>
      </vt:variant>
      <vt:variant>
        <vt:i4>5</vt:i4>
      </vt:variant>
      <vt:variant>
        <vt:lpwstr/>
      </vt:variant>
      <vt:variant>
        <vt:lpwstr>_Toc250821770</vt:lpwstr>
      </vt:variant>
      <vt:variant>
        <vt:i4>1900599</vt:i4>
      </vt:variant>
      <vt:variant>
        <vt:i4>3623</vt:i4>
      </vt:variant>
      <vt:variant>
        <vt:i4>0</vt:i4>
      </vt:variant>
      <vt:variant>
        <vt:i4>5</vt:i4>
      </vt:variant>
      <vt:variant>
        <vt:lpwstr/>
      </vt:variant>
      <vt:variant>
        <vt:lpwstr>_Toc250821769</vt:lpwstr>
      </vt:variant>
      <vt:variant>
        <vt:i4>1900599</vt:i4>
      </vt:variant>
      <vt:variant>
        <vt:i4>3617</vt:i4>
      </vt:variant>
      <vt:variant>
        <vt:i4>0</vt:i4>
      </vt:variant>
      <vt:variant>
        <vt:i4>5</vt:i4>
      </vt:variant>
      <vt:variant>
        <vt:lpwstr/>
      </vt:variant>
      <vt:variant>
        <vt:lpwstr>_Toc250821768</vt:lpwstr>
      </vt:variant>
      <vt:variant>
        <vt:i4>1900599</vt:i4>
      </vt:variant>
      <vt:variant>
        <vt:i4>3611</vt:i4>
      </vt:variant>
      <vt:variant>
        <vt:i4>0</vt:i4>
      </vt:variant>
      <vt:variant>
        <vt:i4>5</vt:i4>
      </vt:variant>
      <vt:variant>
        <vt:lpwstr/>
      </vt:variant>
      <vt:variant>
        <vt:lpwstr>_Toc250821767</vt:lpwstr>
      </vt:variant>
      <vt:variant>
        <vt:i4>1900599</vt:i4>
      </vt:variant>
      <vt:variant>
        <vt:i4>3605</vt:i4>
      </vt:variant>
      <vt:variant>
        <vt:i4>0</vt:i4>
      </vt:variant>
      <vt:variant>
        <vt:i4>5</vt:i4>
      </vt:variant>
      <vt:variant>
        <vt:lpwstr/>
      </vt:variant>
      <vt:variant>
        <vt:lpwstr>_Toc250821766</vt:lpwstr>
      </vt:variant>
      <vt:variant>
        <vt:i4>1900599</vt:i4>
      </vt:variant>
      <vt:variant>
        <vt:i4>3599</vt:i4>
      </vt:variant>
      <vt:variant>
        <vt:i4>0</vt:i4>
      </vt:variant>
      <vt:variant>
        <vt:i4>5</vt:i4>
      </vt:variant>
      <vt:variant>
        <vt:lpwstr/>
      </vt:variant>
      <vt:variant>
        <vt:lpwstr>_Toc250821765</vt:lpwstr>
      </vt:variant>
      <vt:variant>
        <vt:i4>1900599</vt:i4>
      </vt:variant>
      <vt:variant>
        <vt:i4>3593</vt:i4>
      </vt:variant>
      <vt:variant>
        <vt:i4>0</vt:i4>
      </vt:variant>
      <vt:variant>
        <vt:i4>5</vt:i4>
      </vt:variant>
      <vt:variant>
        <vt:lpwstr/>
      </vt:variant>
      <vt:variant>
        <vt:lpwstr>_Toc250821764</vt:lpwstr>
      </vt:variant>
      <vt:variant>
        <vt:i4>1900599</vt:i4>
      </vt:variant>
      <vt:variant>
        <vt:i4>3587</vt:i4>
      </vt:variant>
      <vt:variant>
        <vt:i4>0</vt:i4>
      </vt:variant>
      <vt:variant>
        <vt:i4>5</vt:i4>
      </vt:variant>
      <vt:variant>
        <vt:lpwstr/>
      </vt:variant>
      <vt:variant>
        <vt:lpwstr>_Toc250821763</vt:lpwstr>
      </vt:variant>
      <vt:variant>
        <vt:i4>1900599</vt:i4>
      </vt:variant>
      <vt:variant>
        <vt:i4>3581</vt:i4>
      </vt:variant>
      <vt:variant>
        <vt:i4>0</vt:i4>
      </vt:variant>
      <vt:variant>
        <vt:i4>5</vt:i4>
      </vt:variant>
      <vt:variant>
        <vt:lpwstr/>
      </vt:variant>
      <vt:variant>
        <vt:lpwstr>_Toc250821762</vt:lpwstr>
      </vt:variant>
      <vt:variant>
        <vt:i4>1900599</vt:i4>
      </vt:variant>
      <vt:variant>
        <vt:i4>3575</vt:i4>
      </vt:variant>
      <vt:variant>
        <vt:i4>0</vt:i4>
      </vt:variant>
      <vt:variant>
        <vt:i4>5</vt:i4>
      </vt:variant>
      <vt:variant>
        <vt:lpwstr/>
      </vt:variant>
      <vt:variant>
        <vt:lpwstr>_Toc250821761</vt:lpwstr>
      </vt:variant>
      <vt:variant>
        <vt:i4>1900599</vt:i4>
      </vt:variant>
      <vt:variant>
        <vt:i4>3569</vt:i4>
      </vt:variant>
      <vt:variant>
        <vt:i4>0</vt:i4>
      </vt:variant>
      <vt:variant>
        <vt:i4>5</vt:i4>
      </vt:variant>
      <vt:variant>
        <vt:lpwstr/>
      </vt:variant>
      <vt:variant>
        <vt:lpwstr>_Toc250821760</vt:lpwstr>
      </vt:variant>
      <vt:variant>
        <vt:i4>1966135</vt:i4>
      </vt:variant>
      <vt:variant>
        <vt:i4>3563</vt:i4>
      </vt:variant>
      <vt:variant>
        <vt:i4>0</vt:i4>
      </vt:variant>
      <vt:variant>
        <vt:i4>5</vt:i4>
      </vt:variant>
      <vt:variant>
        <vt:lpwstr/>
      </vt:variant>
      <vt:variant>
        <vt:lpwstr>_Toc250821759</vt:lpwstr>
      </vt:variant>
      <vt:variant>
        <vt:i4>1966135</vt:i4>
      </vt:variant>
      <vt:variant>
        <vt:i4>3557</vt:i4>
      </vt:variant>
      <vt:variant>
        <vt:i4>0</vt:i4>
      </vt:variant>
      <vt:variant>
        <vt:i4>5</vt:i4>
      </vt:variant>
      <vt:variant>
        <vt:lpwstr/>
      </vt:variant>
      <vt:variant>
        <vt:lpwstr>_Toc250821758</vt:lpwstr>
      </vt:variant>
      <vt:variant>
        <vt:i4>1966135</vt:i4>
      </vt:variant>
      <vt:variant>
        <vt:i4>3551</vt:i4>
      </vt:variant>
      <vt:variant>
        <vt:i4>0</vt:i4>
      </vt:variant>
      <vt:variant>
        <vt:i4>5</vt:i4>
      </vt:variant>
      <vt:variant>
        <vt:lpwstr/>
      </vt:variant>
      <vt:variant>
        <vt:lpwstr>_Toc250821757</vt:lpwstr>
      </vt:variant>
      <vt:variant>
        <vt:i4>1966135</vt:i4>
      </vt:variant>
      <vt:variant>
        <vt:i4>3545</vt:i4>
      </vt:variant>
      <vt:variant>
        <vt:i4>0</vt:i4>
      </vt:variant>
      <vt:variant>
        <vt:i4>5</vt:i4>
      </vt:variant>
      <vt:variant>
        <vt:lpwstr/>
      </vt:variant>
      <vt:variant>
        <vt:lpwstr>_Toc250821756</vt:lpwstr>
      </vt:variant>
      <vt:variant>
        <vt:i4>1966135</vt:i4>
      </vt:variant>
      <vt:variant>
        <vt:i4>3539</vt:i4>
      </vt:variant>
      <vt:variant>
        <vt:i4>0</vt:i4>
      </vt:variant>
      <vt:variant>
        <vt:i4>5</vt:i4>
      </vt:variant>
      <vt:variant>
        <vt:lpwstr/>
      </vt:variant>
      <vt:variant>
        <vt:lpwstr>_Toc250821755</vt:lpwstr>
      </vt:variant>
      <vt:variant>
        <vt:i4>1966135</vt:i4>
      </vt:variant>
      <vt:variant>
        <vt:i4>3533</vt:i4>
      </vt:variant>
      <vt:variant>
        <vt:i4>0</vt:i4>
      </vt:variant>
      <vt:variant>
        <vt:i4>5</vt:i4>
      </vt:variant>
      <vt:variant>
        <vt:lpwstr/>
      </vt:variant>
      <vt:variant>
        <vt:lpwstr>_Toc250821754</vt:lpwstr>
      </vt:variant>
      <vt:variant>
        <vt:i4>1966135</vt:i4>
      </vt:variant>
      <vt:variant>
        <vt:i4>3527</vt:i4>
      </vt:variant>
      <vt:variant>
        <vt:i4>0</vt:i4>
      </vt:variant>
      <vt:variant>
        <vt:i4>5</vt:i4>
      </vt:variant>
      <vt:variant>
        <vt:lpwstr/>
      </vt:variant>
      <vt:variant>
        <vt:lpwstr>_Toc250821753</vt:lpwstr>
      </vt:variant>
      <vt:variant>
        <vt:i4>1966135</vt:i4>
      </vt:variant>
      <vt:variant>
        <vt:i4>3521</vt:i4>
      </vt:variant>
      <vt:variant>
        <vt:i4>0</vt:i4>
      </vt:variant>
      <vt:variant>
        <vt:i4>5</vt:i4>
      </vt:variant>
      <vt:variant>
        <vt:lpwstr/>
      </vt:variant>
      <vt:variant>
        <vt:lpwstr>_Toc250821752</vt:lpwstr>
      </vt:variant>
      <vt:variant>
        <vt:i4>1966135</vt:i4>
      </vt:variant>
      <vt:variant>
        <vt:i4>3515</vt:i4>
      </vt:variant>
      <vt:variant>
        <vt:i4>0</vt:i4>
      </vt:variant>
      <vt:variant>
        <vt:i4>5</vt:i4>
      </vt:variant>
      <vt:variant>
        <vt:lpwstr/>
      </vt:variant>
      <vt:variant>
        <vt:lpwstr>_Toc250821751</vt:lpwstr>
      </vt:variant>
      <vt:variant>
        <vt:i4>1966135</vt:i4>
      </vt:variant>
      <vt:variant>
        <vt:i4>3509</vt:i4>
      </vt:variant>
      <vt:variant>
        <vt:i4>0</vt:i4>
      </vt:variant>
      <vt:variant>
        <vt:i4>5</vt:i4>
      </vt:variant>
      <vt:variant>
        <vt:lpwstr/>
      </vt:variant>
      <vt:variant>
        <vt:lpwstr>_Toc250821750</vt:lpwstr>
      </vt:variant>
      <vt:variant>
        <vt:i4>2031671</vt:i4>
      </vt:variant>
      <vt:variant>
        <vt:i4>3503</vt:i4>
      </vt:variant>
      <vt:variant>
        <vt:i4>0</vt:i4>
      </vt:variant>
      <vt:variant>
        <vt:i4>5</vt:i4>
      </vt:variant>
      <vt:variant>
        <vt:lpwstr/>
      </vt:variant>
      <vt:variant>
        <vt:lpwstr>_Toc250821749</vt:lpwstr>
      </vt:variant>
      <vt:variant>
        <vt:i4>2031671</vt:i4>
      </vt:variant>
      <vt:variant>
        <vt:i4>3497</vt:i4>
      </vt:variant>
      <vt:variant>
        <vt:i4>0</vt:i4>
      </vt:variant>
      <vt:variant>
        <vt:i4>5</vt:i4>
      </vt:variant>
      <vt:variant>
        <vt:lpwstr/>
      </vt:variant>
      <vt:variant>
        <vt:lpwstr>_Toc250821748</vt:lpwstr>
      </vt:variant>
      <vt:variant>
        <vt:i4>2031671</vt:i4>
      </vt:variant>
      <vt:variant>
        <vt:i4>3491</vt:i4>
      </vt:variant>
      <vt:variant>
        <vt:i4>0</vt:i4>
      </vt:variant>
      <vt:variant>
        <vt:i4>5</vt:i4>
      </vt:variant>
      <vt:variant>
        <vt:lpwstr/>
      </vt:variant>
      <vt:variant>
        <vt:lpwstr>_Toc250821747</vt:lpwstr>
      </vt:variant>
      <vt:variant>
        <vt:i4>2031671</vt:i4>
      </vt:variant>
      <vt:variant>
        <vt:i4>3485</vt:i4>
      </vt:variant>
      <vt:variant>
        <vt:i4>0</vt:i4>
      </vt:variant>
      <vt:variant>
        <vt:i4>5</vt:i4>
      </vt:variant>
      <vt:variant>
        <vt:lpwstr/>
      </vt:variant>
      <vt:variant>
        <vt:lpwstr>_Toc250821746</vt:lpwstr>
      </vt:variant>
      <vt:variant>
        <vt:i4>2031671</vt:i4>
      </vt:variant>
      <vt:variant>
        <vt:i4>3479</vt:i4>
      </vt:variant>
      <vt:variant>
        <vt:i4>0</vt:i4>
      </vt:variant>
      <vt:variant>
        <vt:i4>5</vt:i4>
      </vt:variant>
      <vt:variant>
        <vt:lpwstr/>
      </vt:variant>
      <vt:variant>
        <vt:lpwstr>_Toc250821745</vt:lpwstr>
      </vt:variant>
      <vt:variant>
        <vt:i4>2031671</vt:i4>
      </vt:variant>
      <vt:variant>
        <vt:i4>3473</vt:i4>
      </vt:variant>
      <vt:variant>
        <vt:i4>0</vt:i4>
      </vt:variant>
      <vt:variant>
        <vt:i4>5</vt:i4>
      </vt:variant>
      <vt:variant>
        <vt:lpwstr/>
      </vt:variant>
      <vt:variant>
        <vt:lpwstr>_Toc250821744</vt:lpwstr>
      </vt:variant>
      <vt:variant>
        <vt:i4>2031671</vt:i4>
      </vt:variant>
      <vt:variant>
        <vt:i4>3467</vt:i4>
      </vt:variant>
      <vt:variant>
        <vt:i4>0</vt:i4>
      </vt:variant>
      <vt:variant>
        <vt:i4>5</vt:i4>
      </vt:variant>
      <vt:variant>
        <vt:lpwstr/>
      </vt:variant>
      <vt:variant>
        <vt:lpwstr>_Toc250821743</vt:lpwstr>
      </vt:variant>
      <vt:variant>
        <vt:i4>2031671</vt:i4>
      </vt:variant>
      <vt:variant>
        <vt:i4>3461</vt:i4>
      </vt:variant>
      <vt:variant>
        <vt:i4>0</vt:i4>
      </vt:variant>
      <vt:variant>
        <vt:i4>5</vt:i4>
      </vt:variant>
      <vt:variant>
        <vt:lpwstr/>
      </vt:variant>
      <vt:variant>
        <vt:lpwstr>_Toc250821742</vt:lpwstr>
      </vt:variant>
      <vt:variant>
        <vt:i4>2031671</vt:i4>
      </vt:variant>
      <vt:variant>
        <vt:i4>3455</vt:i4>
      </vt:variant>
      <vt:variant>
        <vt:i4>0</vt:i4>
      </vt:variant>
      <vt:variant>
        <vt:i4>5</vt:i4>
      </vt:variant>
      <vt:variant>
        <vt:lpwstr/>
      </vt:variant>
      <vt:variant>
        <vt:lpwstr>_Toc250821741</vt:lpwstr>
      </vt:variant>
      <vt:variant>
        <vt:i4>2031671</vt:i4>
      </vt:variant>
      <vt:variant>
        <vt:i4>3449</vt:i4>
      </vt:variant>
      <vt:variant>
        <vt:i4>0</vt:i4>
      </vt:variant>
      <vt:variant>
        <vt:i4>5</vt:i4>
      </vt:variant>
      <vt:variant>
        <vt:lpwstr/>
      </vt:variant>
      <vt:variant>
        <vt:lpwstr>_Toc250821740</vt:lpwstr>
      </vt:variant>
      <vt:variant>
        <vt:i4>1572919</vt:i4>
      </vt:variant>
      <vt:variant>
        <vt:i4>3443</vt:i4>
      </vt:variant>
      <vt:variant>
        <vt:i4>0</vt:i4>
      </vt:variant>
      <vt:variant>
        <vt:i4>5</vt:i4>
      </vt:variant>
      <vt:variant>
        <vt:lpwstr/>
      </vt:variant>
      <vt:variant>
        <vt:lpwstr>_Toc250821739</vt:lpwstr>
      </vt:variant>
      <vt:variant>
        <vt:i4>1572919</vt:i4>
      </vt:variant>
      <vt:variant>
        <vt:i4>3437</vt:i4>
      </vt:variant>
      <vt:variant>
        <vt:i4>0</vt:i4>
      </vt:variant>
      <vt:variant>
        <vt:i4>5</vt:i4>
      </vt:variant>
      <vt:variant>
        <vt:lpwstr/>
      </vt:variant>
      <vt:variant>
        <vt:lpwstr>_Toc250821738</vt:lpwstr>
      </vt:variant>
      <vt:variant>
        <vt:i4>1572919</vt:i4>
      </vt:variant>
      <vt:variant>
        <vt:i4>3431</vt:i4>
      </vt:variant>
      <vt:variant>
        <vt:i4>0</vt:i4>
      </vt:variant>
      <vt:variant>
        <vt:i4>5</vt:i4>
      </vt:variant>
      <vt:variant>
        <vt:lpwstr/>
      </vt:variant>
      <vt:variant>
        <vt:lpwstr>_Toc250821737</vt:lpwstr>
      </vt:variant>
      <vt:variant>
        <vt:i4>1572919</vt:i4>
      </vt:variant>
      <vt:variant>
        <vt:i4>3425</vt:i4>
      </vt:variant>
      <vt:variant>
        <vt:i4>0</vt:i4>
      </vt:variant>
      <vt:variant>
        <vt:i4>5</vt:i4>
      </vt:variant>
      <vt:variant>
        <vt:lpwstr/>
      </vt:variant>
      <vt:variant>
        <vt:lpwstr>_Toc250821736</vt:lpwstr>
      </vt:variant>
      <vt:variant>
        <vt:i4>1572919</vt:i4>
      </vt:variant>
      <vt:variant>
        <vt:i4>3419</vt:i4>
      </vt:variant>
      <vt:variant>
        <vt:i4>0</vt:i4>
      </vt:variant>
      <vt:variant>
        <vt:i4>5</vt:i4>
      </vt:variant>
      <vt:variant>
        <vt:lpwstr/>
      </vt:variant>
      <vt:variant>
        <vt:lpwstr>_Toc250821735</vt:lpwstr>
      </vt:variant>
      <vt:variant>
        <vt:i4>1572919</vt:i4>
      </vt:variant>
      <vt:variant>
        <vt:i4>3413</vt:i4>
      </vt:variant>
      <vt:variant>
        <vt:i4>0</vt:i4>
      </vt:variant>
      <vt:variant>
        <vt:i4>5</vt:i4>
      </vt:variant>
      <vt:variant>
        <vt:lpwstr/>
      </vt:variant>
      <vt:variant>
        <vt:lpwstr>_Toc250821734</vt:lpwstr>
      </vt:variant>
      <vt:variant>
        <vt:i4>1572919</vt:i4>
      </vt:variant>
      <vt:variant>
        <vt:i4>3407</vt:i4>
      </vt:variant>
      <vt:variant>
        <vt:i4>0</vt:i4>
      </vt:variant>
      <vt:variant>
        <vt:i4>5</vt:i4>
      </vt:variant>
      <vt:variant>
        <vt:lpwstr/>
      </vt:variant>
      <vt:variant>
        <vt:lpwstr>_Toc250821733</vt:lpwstr>
      </vt:variant>
      <vt:variant>
        <vt:i4>1572919</vt:i4>
      </vt:variant>
      <vt:variant>
        <vt:i4>3401</vt:i4>
      </vt:variant>
      <vt:variant>
        <vt:i4>0</vt:i4>
      </vt:variant>
      <vt:variant>
        <vt:i4>5</vt:i4>
      </vt:variant>
      <vt:variant>
        <vt:lpwstr/>
      </vt:variant>
      <vt:variant>
        <vt:lpwstr>_Toc250821732</vt:lpwstr>
      </vt:variant>
      <vt:variant>
        <vt:i4>1572919</vt:i4>
      </vt:variant>
      <vt:variant>
        <vt:i4>3395</vt:i4>
      </vt:variant>
      <vt:variant>
        <vt:i4>0</vt:i4>
      </vt:variant>
      <vt:variant>
        <vt:i4>5</vt:i4>
      </vt:variant>
      <vt:variant>
        <vt:lpwstr/>
      </vt:variant>
      <vt:variant>
        <vt:lpwstr>_Toc250821731</vt:lpwstr>
      </vt:variant>
      <vt:variant>
        <vt:i4>1572919</vt:i4>
      </vt:variant>
      <vt:variant>
        <vt:i4>3389</vt:i4>
      </vt:variant>
      <vt:variant>
        <vt:i4>0</vt:i4>
      </vt:variant>
      <vt:variant>
        <vt:i4>5</vt:i4>
      </vt:variant>
      <vt:variant>
        <vt:lpwstr/>
      </vt:variant>
      <vt:variant>
        <vt:lpwstr>_Toc250821730</vt:lpwstr>
      </vt:variant>
      <vt:variant>
        <vt:i4>1638455</vt:i4>
      </vt:variant>
      <vt:variant>
        <vt:i4>3383</vt:i4>
      </vt:variant>
      <vt:variant>
        <vt:i4>0</vt:i4>
      </vt:variant>
      <vt:variant>
        <vt:i4>5</vt:i4>
      </vt:variant>
      <vt:variant>
        <vt:lpwstr/>
      </vt:variant>
      <vt:variant>
        <vt:lpwstr>_Toc250821729</vt:lpwstr>
      </vt:variant>
      <vt:variant>
        <vt:i4>1638455</vt:i4>
      </vt:variant>
      <vt:variant>
        <vt:i4>3377</vt:i4>
      </vt:variant>
      <vt:variant>
        <vt:i4>0</vt:i4>
      </vt:variant>
      <vt:variant>
        <vt:i4>5</vt:i4>
      </vt:variant>
      <vt:variant>
        <vt:lpwstr/>
      </vt:variant>
      <vt:variant>
        <vt:lpwstr>_Toc250821728</vt:lpwstr>
      </vt:variant>
      <vt:variant>
        <vt:i4>1638455</vt:i4>
      </vt:variant>
      <vt:variant>
        <vt:i4>3371</vt:i4>
      </vt:variant>
      <vt:variant>
        <vt:i4>0</vt:i4>
      </vt:variant>
      <vt:variant>
        <vt:i4>5</vt:i4>
      </vt:variant>
      <vt:variant>
        <vt:lpwstr/>
      </vt:variant>
      <vt:variant>
        <vt:lpwstr>_Toc250821727</vt:lpwstr>
      </vt:variant>
      <vt:variant>
        <vt:i4>1638455</vt:i4>
      </vt:variant>
      <vt:variant>
        <vt:i4>3365</vt:i4>
      </vt:variant>
      <vt:variant>
        <vt:i4>0</vt:i4>
      </vt:variant>
      <vt:variant>
        <vt:i4>5</vt:i4>
      </vt:variant>
      <vt:variant>
        <vt:lpwstr/>
      </vt:variant>
      <vt:variant>
        <vt:lpwstr>_Toc250821726</vt:lpwstr>
      </vt:variant>
      <vt:variant>
        <vt:i4>1638455</vt:i4>
      </vt:variant>
      <vt:variant>
        <vt:i4>3359</vt:i4>
      </vt:variant>
      <vt:variant>
        <vt:i4>0</vt:i4>
      </vt:variant>
      <vt:variant>
        <vt:i4>5</vt:i4>
      </vt:variant>
      <vt:variant>
        <vt:lpwstr/>
      </vt:variant>
      <vt:variant>
        <vt:lpwstr>_Toc250821725</vt:lpwstr>
      </vt:variant>
      <vt:variant>
        <vt:i4>1638455</vt:i4>
      </vt:variant>
      <vt:variant>
        <vt:i4>3353</vt:i4>
      </vt:variant>
      <vt:variant>
        <vt:i4>0</vt:i4>
      </vt:variant>
      <vt:variant>
        <vt:i4>5</vt:i4>
      </vt:variant>
      <vt:variant>
        <vt:lpwstr/>
      </vt:variant>
      <vt:variant>
        <vt:lpwstr>_Toc250821724</vt:lpwstr>
      </vt:variant>
      <vt:variant>
        <vt:i4>1638455</vt:i4>
      </vt:variant>
      <vt:variant>
        <vt:i4>3347</vt:i4>
      </vt:variant>
      <vt:variant>
        <vt:i4>0</vt:i4>
      </vt:variant>
      <vt:variant>
        <vt:i4>5</vt:i4>
      </vt:variant>
      <vt:variant>
        <vt:lpwstr/>
      </vt:variant>
      <vt:variant>
        <vt:lpwstr>_Toc250821723</vt:lpwstr>
      </vt:variant>
      <vt:variant>
        <vt:i4>1638455</vt:i4>
      </vt:variant>
      <vt:variant>
        <vt:i4>3341</vt:i4>
      </vt:variant>
      <vt:variant>
        <vt:i4>0</vt:i4>
      </vt:variant>
      <vt:variant>
        <vt:i4>5</vt:i4>
      </vt:variant>
      <vt:variant>
        <vt:lpwstr/>
      </vt:variant>
      <vt:variant>
        <vt:lpwstr>_Toc250821722</vt:lpwstr>
      </vt:variant>
      <vt:variant>
        <vt:i4>1638455</vt:i4>
      </vt:variant>
      <vt:variant>
        <vt:i4>3335</vt:i4>
      </vt:variant>
      <vt:variant>
        <vt:i4>0</vt:i4>
      </vt:variant>
      <vt:variant>
        <vt:i4>5</vt:i4>
      </vt:variant>
      <vt:variant>
        <vt:lpwstr/>
      </vt:variant>
      <vt:variant>
        <vt:lpwstr>_Toc250821721</vt:lpwstr>
      </vt:variant>
      <vt:variant>
        <vt:i4>1638455</vt:i4>
      </vt:variant>
      <vt:variant>
        <vt:i4>3329</vt:i4>
      </vt:variant>
      <vt:variant>
        <vt:i4>0</vt:i4>
      </vt:variant>
      <vt:variant>
        <vt:i4>5</vt:i4>
      </vt:variant>
      <vt:variant>
        <vt:lpwstr/>
      </vt:variant>
      <vt:variant>
        <vt:lpwstr>_Toc250821720</vt:lpwstr>
      </vt:variant>
      <vt:variant>
        <vt:i4>1703991</vt:i4>
      </vt:variant>
      <vt:variant>
        <vt:i4>3323</vt:i4>
      </vt:variant>
      <vt:variant>
        <vt:i4>0</vt:i4>
      </vt:variant>
      <vt:variant>
        <vt:i4>5</vt:i4>
      </vt:variant>
      <vt:variant>
        <vt:lpwstr/>
      </vt:variant>
      <vt:variant>
        <vt:lpwstr>_Toc250821719</vt:lpwstr>
      </vt:variant>
      <vt:variant>
        <vt:i4>1703991</vt:i4>
      </vt:variant>
      <vt:variant>
        <vt:i4>3317</vt:i4>
      </vt:variant>
      <vt:variant>
        <vt:i4>0</vt:i4>
      </vt:variant>
      <vt:variant>
        <vt:i4>5</vt:i4>
      </vt:variant>
      <vt:variant>
        <vt:lpwstr/>
      </vt:variant>
      <vt:variant>
        <vt:lpwstr>_Toc250821718</vt:lpwstr>
      </vt:variant>
      <vt:variant>
        <vt:i4>1703991</vt:i4>
      </vt:variant>
      <vt:variant>
        <vt:i4>3311</vt:i4>
      </vt:variant>
      <vt:variant>
        <vt:i4>0</vt:i4>
      </vt:variant>
      <vt:variant>
        <vt:i4>5</vt:i4>
      </vt:variant>
      <vt:variant>
        <vt:lpwstr/>
      </vt:variant>
      <vt:variant>
        <vt:lpwstr>_Toc250821717</vt:lpwstr>
      </vt:variant>
      <vt:variant>
        <vt:i4>1703991</vt:i4>
      </vt:variant>
      <vt:variant>
        <vt:i4>3305</vt:i4>
      </vt:variant>
      <vt:variant>
        <vt:i4>0</vt:i4>
      </vt:variant>
      <vt:variant>
        <vt:i4>5</vt:i4>
      </vt:variant>
      <vt:variant>
        <vt:lpwstr/>
      </vt:variant>
      <vt:variant>
        <vt:lpwstr>_Toc250821716</vt:lpwstr>
      </vt:variant>
      <vt:variant>
        <vt:i4>1703991</vt:i4>
      </vt:variant>
      <vt:variant>
        <vt:i4>3299</vt:i4>
      </vt:variant>
      <vt:variant>
        <vt:i4>0</vt:i4>
      </vt:variant>
      <vt:variant>
        <vt:i4>5</vt:i4>
      </vt:variant>
      <vt:variant>
        <vt:lpwstr/>
      </vt:variant>
      <vt:variant>
        <vt:lpwstr>_Toc250821715</vt:lpwstr>
      </vt:variant>
      <vt:variant>
        <vt:i4>1703991</vt:i4>
      </vt:variant>
      <vt:variant>
        <vt:i4>3293</vt:i4>
      </vt:variant>
      <vt:variant>
        <vt:i4>0</vt:i4>
      </vt:variant>
      <vt:variant>
        <vt:i4>5</vt:i4>
      </vt:variant>
      <vt:variant>
        <vt:lpwstr/>
      </vt:variant>
      <vt:variant>
        <vt:lpwstr>_Toc250821714</vt:lpwstr>
      </vt:variant>
      <vt:variant>
        <vt:i4>1703991</vt:i4>
      </vt:variant>
      <vt:variant>
        <vt:i4>3287</vt:i4>
      </vt:variant>
      <vt:variant>
        <vt:i4>0</vt:i4>
      </vt:variant>
      <vt:variant>
        <vt:i4>5</vt:i4>
      </vt:variant>
      <vt:variant>
        <vt:lpwstr/>
      </vt:variant>
      <vt:variant>
        <vt:lpwstr>_Toc250821713</vt:lpwstr>
      </vt:variant>
      <vt:variant>
        <vt:i4>1703991</vt:i4>
      </vt:variant>
      <vt:variant>
        <vt:i4>3281</vt:i4>
      </vt:variant>
      <vt:variant>
        <vt:i4>0</vt:i4>
      </vt:variant>
      <vt:variant>
        <vt:i4>5</vt:i4>
      </vt:variant>
      <vt:variant>
        <vt:lpwstr/>
      </vt:variant>
      <vt:variant>
        <vt:lpwstr>_Toc250821712</vt:lpwstr>
      </vt:variant>
      <vt:variant>
        <vt:i4>1703991</vt:i4>
      </vt:variant>
      <vt:variant>
        <vt:i4>3275</vt:i4>
      </vt:variant>
      <vt:variant>
        <vt:i4>0</vt:i4>
      </vt:variant>
      <vt:variant>
        <vt:i4>5</vt:i4>
      </vt:variant>
      <vt:variant>
        <vt:lpwstr/>
      </vt:variant>
      <vt:variant>
        <vt:lpwstr>_Toc250821711</vt:lpwstr>
      </vt:variant>
      <vt:variant>
        <vt:i4>1703991</vt:i4>
      </vt:variant>
      <vt:variant>
        <vt:i4>3269</vt:i4>
      </vt:variant>
      <vt:variant>
        <vt:i4>0</vt:i4>
      </vt:variant>
      <vt:variant>
        <vt:i4>5</vt:i4>
      </vt:variant>
      <vt:variant>
        <vt:lpwstr/>
      </vt:variant>
      <vt:variant>
        <vt:lpwstr>_Toc250821710</vt:lpwstr>
      </vt:variant>
      <vt:variant>
        <vt:i4>1769527</vt:i4>
      </vt:variant>
      <vt:variant>
        <vt:i4>3263</vt:i4>
      </vt:variant>
      <vt:variant>
        <vt:i4>0</vt:i4>
      </vt:variant>
      <vt:variant>
        <vt:i4>5</vt:i4>
      </vt:variant>
      <vt:variant>
        <vt:lpwstr/>
      </vt:variant>
      <vt:variant>
        <vt:lpwstr>_Toc250821709</vt:lpwstr>
      </vt:variant>
      <vt:variant>
        <vt:i4>1769527</vt:i4>
      </vt:variant>
      <vt:variant>
        <vt:i4>3257</vt:i4>
      </vt:variant>
      <vt:variant>
        <vt:i4>0</vt:i4>
      </vt:variant>
      <vt:variant>
        <vt:i4>5</vt:i4>
      </vt:variant>
      <vt:variant>
        <vt:lpwstr/>
      </vt:variant>
      <vt:variant>
        <vt:lpwstr>_Toc250821708</vt:lpwstr>
      </vt:variant>
      <vt:variant>
        <vt:i4>1769527</vt:i4>
      </vt:variant>
      <vt:variant>
        <vt:i4>3251</vt:i4>
      </vt:variant>
      <vt:variant>
        <vt:i4>0</vt:i4>
      </vt:variant>
      <vt:variant>
        <vt:i4>5</vt:i4>
      </vt:variant>
      <vt:variant>
        <vt:lpwstr/>
      </vt:variant>
      <vt:variant>
        <vt:lpwstr>_Toc250821707</vt:lpwstr>
      </vt:variant>
      <vt:variant>
        <vt:i4>1769527</vt:i4>
      </vt:variant>
      <vt:variant>
        <vt:i4>3245</vt:i4>
      </vt:variant>
      <vt:variant>
        <vt:i4>0</vt:i4>
      </vt:variant>
      <vt:variant>
        <vt:i4>5</vt:i4>
      </vt:variant>
      <vt:variant>
        <vt:lpwstr/>
      </vt:variant>
      <vt:variant>
        <vt:lpwstr>_Toc250821706</vt:lpwstr>
      </vt:variant>
      <vt:variant>
        <vt:i4>1769527</vt:i4>
      </vt:variant>
      <vt:variant>
        <vt:i4>3239</vt:i4>
      </vt:variant>
      <vt:variant>
        <vt:i4>0</vt:i4>
      </vt:variant>
      <vt:variant>
        <vt:i4>5</vt:i4>
      </vt:variant>
      <vt:variant>
        <vt:lpwstr/>
      </vt:variant>
      <vt:variant>
        <vt:lpwstr>_Toc250821705</vt:lpwstr>
      </vt:variant>
      <vt:variant>
        <vt:i4>1769527</vt:i4>
      </vt:variant>
      <vt:variant>
        <vt:i4>3233</vt:i4>
      </vt:variant>
      <vt:variant>
        <vt:i4>0</vt:i4>
      </vt:variant>
      <vt:variant>
        <vt:i4>5</vt:i4>
      </vt:variant>
      <vt:variant>
        <vt:lpwstr/>
      </vt:variant>
      <vt:variant>
        <vt:lpwstr>_Toc250821704</vt:lpwstr>
      </vt:variant>
      <vt:variant>
        <vt:i4>1769527</vt:i4>
      </vt:variant>
      <vt:variant>
        <vt:i4>3227</vt:i4>
      </vt:variant>
      <vt:variant>
        <vt:i4>0</vt:i4>
      </vt:variant>
      <vt:variant>
        <vt:i4>5</vt:i4>
      </vt:variant>
      <vt:variant>
        <vt:lpwstr/>
      </vt:variant>
      <vt:variant>
        <vt:lpwstr>_Toc250821703</vt:lpwstr>
      </vt:variant>
      <vt:variant>
        <vt:i4>1769527</vt:i4>
      </vt:variant>
      <vt:variant>
        <vt:i4>3221</vt:i4>
      </vt:variant>
      <vt:variant>
        <vt:i4>0</vt:i4>
      </vt:variant>
      <vt:variant>
        <vt:i4>5</vt:i4>
      </vt:variant>
      <vt:variant>
        <vt:lpwstr/>
      </vt:variant>
      <vt:variant>
        <vt:lpwstr>_Toc250821702</vt:lpwstr>
      </vt:variant>
      <vt:variant>
        <vt:i4>1769527</vt:i4>
      </vt:variant>
      <vt:variant>
        <vt:i4>3215</vt:i4>
      </vt:variant>
      <vt:variant>
        <vt:i4>0</vt:i4>
      </vt:variant>
      <vt:variant>
        <vt:i4>5</vt:i4>
      </vt:variant>
      <vt:variant>
        <vt:lpwstr/>
      </vt:variant>
      <vt:variant>
        <vt:lpwstr>_Toc250821701</vt:lpwstr>
      </vt:variant>
      <vt:variant>
        <vt:i4>1769527</vt:i4>
      </vt:variant>
      <vt:variant>
        <vt:i4>3209</vt:i4>
      </vt:variant>
      <vt:variant>
        <vt:i4>0</vt:i4>
      </vt:variant>
      <vt:variant>
        <vt:i4>5</vt:i4>
      </vt:variant>
      <vt:variant>
        <vt:lpwstr/>
      </vt:variant>
      <vt:variant>
        <vt:lpwstr>_Toc250821700</vt:lpwstr>
      </vt:variant>
      <vt:variant>
        <vt:i4>1179702</vt:i4>
      </vt:variant>
      <vt:variant>
        <vt:i4>3203</vt:i4>
      </vt:variant>
      <vt:variant>
        <vt:i4>0</vt:i4>
      </vt:variant>
      <vt:variant>
        <vt:i4>5</vt:i4>
      </vt:variant>
      <vt:variant>
        <vt:lpwstr/>
      </vt:variant>
      <vt:variant>
        <vt:lpwstr>_Toc250821699</vt:lpwstr>
      </vt:variant>
      <vt:variant>
        <vt:i4>1179702</vt:i4>
      </vt:variant>
      <vt:variant>
        <vt:i4>3197</vt:i4>
      </vt:variant>
      <vt:variant>
        <vt:i4>0</vt:i4>
      </vt:variant>
      <vt:variant>
        <vt:i4>5</vt:i4>
      </vt:variant>
      <vt:variant>
        <vt:lpwstr/>
      </vt:variant>
      <vt:variant>
        <vt:lpwstr>_Toc250821698</vt:lpwstr>
      </vt:variant>
      <vt:variant>
        <vt:i4>1179702</vt:i4>
      </vt:variant>
      <vt:variant>
        <vt:i4>3191</vt:i4>
      </vt:variant>
      <vt:variant>
        <vt:i4>0</vt:i4>
      </vt:variant>
      <vt:variant>
        <vt:i4>5</vt:i4>
      </vt:variant>
      <vt:variant>
        <vt:lpwstr/>
      </vt:variant>
      <vt:variant>
        <vt:lpwstr>_Toc250821697</vt:lpwstr>
      </vt:variant>
      <vt:variant>
        <vt:i4>1179702</vt:i4>
      </vt:variant>
      <vt:variant>
        <vt:i4>3185</vt:i4>
      </vt:variant>
      <vt:variant>
        <vt:i4>0</vt:i4>
      </vt:variant>
      <vt:variant>
        <vt:i4>5</vt:i4>
      </vt:variant>
      <vt:variant>
        <vt:lpwstr/>
      </vt:variant>
      <vt:variant>
        <vt:lpwstr>_Toc250821696</vt:lpwstr>
      </vt:variant>
      <vt:variant>
        <vt:i4>1179702</vt:i4>
      </vt:variant>
      <vt:variant>
        <vt:i4>3179</vt:i4>
      </vt:variant>
      <vt:variant>
        <vt:i4>0</vt:i4>
      </vt:variant>
      <vt:variant>
        <vt:i4>5</vt:i4>
      </vt:variant>
      <vt:variant>
        <vt:lpwstr/>
      </vt:variant>
      <vt:variant>
        <vt:lpwstr>_Toc250821695</vt:lpwstr>
      </vt:variant>
      <vt:variant>
        <vt:i4>1179702</vt:i4>
      </vt:variant>
      <vt:variant>
        <vt:i4>3173</vt:i4>
      </vt:variant>
      <vt:variant>
        <vt:i4>0</vt:i4>
      </vt:variant>
      <vt:variant>
        <vt:i4>5</vt:i4>
      </vt:variant>
      <vt:variant>
        <vt:lpwstr/>
      </vt:variant>
      <vt:variant>
        <vt:lpwstr>_Toc250821694</vt:lpwstr>
      </vt:variant>
      <vt:variant>
        <vt:i4>1179702</vt:i4>
      </vt:variant>
      <vt:variant>
        <vt:i4>3167</vt:i4>
      </vt:variant>
      <vt:variant>
        <vt:i4>0</vt:i4>
      </vt:variant>
      <vt:variant>
        <vt:i4>5</vt:i4>
      </vt:variant>
      <vt:variant>
        <vt:lpwstr/>
      </vt:variant>
      <vt:variant>
        <vt:lpwstr>_Toc250821693</vt:lpwstr>
      </vt:variant>
      <vt:variant>
        <vt:i4>1179702</vt:i4>
      </vt:variant>
      <vt:variant>
        <vt:i4>3161</vt:i4>
      </vt:variant>
      <vt:variant>
        <vt:i4>0</vt:i4>
      </vt:variant>
      <vt:variant>
        <vt:i4>5</vt:i4>
      </vt:variant>
      <vt:variant>
        <vt:lpwstr/>
      </vt:variant>
      <vt:variant>
        <vt:lpwstr>_Toc250821692</vt:lpwstr>
      </vt:variant>
      <vt:variant>
        <vt:i4>1179702</vt:i4>
      </vt:variant>
      <vt:variant>
        <vt:i4>3155</vt:i4>
      </vt:variant>
      <vt:variant>
        <vt:i4>0</vt:i4>
      </vt:variant>
      <vt:variant>
        <vt:i4>5</vt:i4>
      </vt:variant>
      <vt:variant>
        <vt:lpwstr/>
      </vt:variant>
      <vt:variant>
        <vt:lpwstr>_Toc250821691</vt:lpwstr>
      </vt:variant>
      <vt:variant>
        <vt:i4>1179702</vt:i4>
      </vt:variant>
      <vt:variant>
        <vt:i4>3149</vt:i4>
      </vt:variant>
      <vt:variant>
        <vt:i4>0</vt:i4>
      </vt:variant>
      <vt:variant>
        <vt:i4>5</vt:i4>
      </vt:variant>
      <vt:variant>
        <vt:lpwstr/>
      </vt:variant>
      <vt:variant>
        <vt:lpwstr>_Toc250821690</vt:lpwstr>
      </vt:variant>
      <vt:variant>
        <vt:i4>1245238</vt:i4>
      </vt:variant>
      <vt:variant>
        <vt:i4>3143</vt:i4>
      </vt:variant>
      <vt:variant>
        <vt:i4>0</vt:i4>
      </vt:variant>
      <vt:variant>
        <vt:i4>5</vt:i4>
      </vt:variant>
      <vt:variant>
        <vt:lpwstr/>
      </vt:variant>
      <vt:variant>
        <vt:lpwstr>_Toc250821689</vt:lpwstr>
      </vt:variant>
      <vt:variant>
        <vt:i4>1245238</vt:i4>
      </vt:variant>
      <vt:variant>
        <vt:i4>3137</vt:i4>
      </vt:variant>
      <vt:variant>
        <vt:i4>0</vt:i4>
      </vt:variant>
      <vt:variant>
        <vt:i4>5</vt:i4>
      </vt:variant>
      <vt:variant>
        <vt:lpwstr/>
      </vt:variant>
      <vt:variant>
        <vt:lpwstr>_Toc250821688</vt:lpwstr>
      </vt:variant>
      <vt:variant>
        <vt:i4>1245238</vt:i4>
      </vt:variant>
      <vt:variant>
        <vt:i4>3131</vt:i4>
      </vt:variant>
      <vt:variant>
        <vt:i4>0</vt:i4>
      </vt:variant>
      <vt:variant>
        <vt:i4>5</vt:i4>
      </vt:variant>
      <vt:variant>
        <vt:lpwstr/>
      </vt:variant>
      <vt:variant>
        <vt:lpwstr>_Toc250821687</vt:lpwstr>
      </vt:variant>
      <vt:variant>
        <vt:i4>1245238</vt:i4>
      </vt:variant>
      <vt:variant>
        <vt:i4>3125</vt:i4>
      </vt:variant>
      <vt:variant>
        <vt:i4>0</vt:i4>
      </vt:variant>
      <vt:variant>
        <vt:i4>5</vt:i4>
      </vt:variant>
      <vt:variant>
        <vt:lpwstr/>
      </vt:variant>
      <vt:variant>
        <vt:lpwstr>_Toc250821686</vt:lpwstr>
      </vt:variant>
      <vt:variant>
        <vt:i4>1245238</vt:i4>
      </vt:variant>
      <vt:variant>
        <vt:i4>3119</vt:i4>
      </vt:variant>
      <vt:variant>
        <vt:i4>0</vt:i4>
      </vt:variant>
      <vt:variant>
        <vt:i4>5</vt:i4>
      </vt:variant>
      <vt:variant>
        <vt:lpwstr/>
      </vt:variant>
      <vt:variant>
        <vt:lpwstr>_Toc250821685</vt:lpwstr>
      </vt:variant>
      <vt:variant>
        <vt:i4>1245238</vt:i4>
      </vt:variant>
      <vt:variant>
        <vt:i4>3113</vt:i4>
      </vt:variant>
      <vt:variant>
        <vt:i4>0</vt:i4>
      </vt:variant>
      <vt:variant>
        <vt:i4>5</vt:i4>
      </vt:variant>
      <vt:variant>
        <vt:lpwstr/>
      </vt:variant>
      <vt:variant>
        <vt:lpwstr>_Toc250821684</vt:lpwstr>
      </vt:variant>
      <vt:variant>
        <vt:i4>1245238</vt:i4>
      </vt:variant>
      <vt:variant>
        <vt:i4>3107</vt:i4>
      </vt:variant>
      <vt:variant>
        <vt:i4>0</vt:i4>
      </vt:variant>
      <vt:variant>
        <vt:i4>5</vt:i4>
      </vt:variant>
      <vt:variant>
        <vt:lpwstr/>
      </vt:variant>
      <vt:variant>
        <vt:lpwstr>_Toc250821683</vt:lpwstr>
      </vt:variant>
      <vt:variant>
        <vt:i4>1245238</vt:i4>
      </vt:variant>
      <vt:variant>
        <vt:i4>3101</vt:i4>
      </vt:variant>
      <vt:variant>
        <vt:i4>0</vt:i4>
      </vt:variant>
      <vt:variant>
        <vt:i4>5</vt:i4>
      </vt:variant>
      <vt:variant>
        <vt:lpwstr/>
      </vt:variant>
      <vt:variant>
        <vt:lpwstr>_Toc250821682</vt:lpwstr>
      </vt:variant>
      <vt:variant>
        <vt:i4>1507378</vt:i4>
      </vt:variant>
      <vt:variant>
        <vt:i4>3092</vt:i4>
      </vt:variant>
      <vt:variant>
        <vt:i4>0</vt:i4>
      </vt:variant>
      <vt:variant>
        <vt:i4>5</vt:i4>
      </vt:variant>
      <vt:variant>
        <vt:lpwstr/>
      </vt:variant>
      <vt:variant>
        <vt:lpwstr>_Toc250994989</vt:lpwstr>
      </vt:variant>
      <vt:variant>
        <vt:i4>1507378</vt:i4>
      </vt:variant>
      <vt:variant>
        <vt:i4>3086</vt:i4>
      </vt:variant>
      <vt:variant>
        <vt:i4>0</vt:i4>
      </vt:variant>
      <vt:variant>
        <vt:i4>5</vt:i4>
      </vt:variant>
      <vt:variant>
        <vt:lpwstr/>
      </vt:variant>
      <vt:variant>
        <vt:lpwstr>_Toc250994988</vt:lpwstr>
      </vt:variant>
      <vt:variant>
        <vt:i4>1507378</vt:i4>
      </vt:variant>
      <vt:variant>
        <vt:i4>3080</vt:i4>
      </vt:variant>
      <vt:variant>
        <vt:i4>0</vt:i4>
      </vt:variant>
      <vt:variant>
        <vt:i4>5</vt:i4>
      </vt:variant>
      <vt:variant>
        <vt:lpwstr/>
      </vt:variant>
      <vt:variant>
        <vt:lpwstr>_Toc250994987</vt:lpwstr>
      </vt:variant>
      <vt:variant>
        <vt:i4>1507378</vt:i4>
      </vt:variant>
      <vt:variant>
        <vt:i4>3074</vt:i4>
      </vt:variant>
      <vt:variant>
        <vt:i4>0</vt:i4>
      </vt:variant>
      <vt:variant>
        <vt:i4>5</vt:i4>
      </vt:variant>
      <vt:variant>
        <vt:lpwstr/>
      </vt:variant>
      <vt:variant>
        <vt:lpwstr>_Toc250994986</vt:lpwstr>
      </vt:variant>
      <vt:variant>
        <vt:i4>1507378</vt:i4>
      </vt:variant>
      <vt:variant>
        <vt:i4>3068</vt:i4>
      </vt:variant>
      <vt:variant>
        <vt:i4>0</vt:i4>
      </vt:variant>
      <vt:variant>
        <vt:i4>5</vt:i4>
      </vt:variant>
      <vt:variant>
        <vt:lpwstr/>
      </vt:variant>
      <vt:variant>
        <vt:lpwstr>_Toc250994985</vt:lpwstr>
      </vt:variant>
      <vt:variant>
        <vt:i4>1507378</vt:i4>
      </vt:variant>
      <vt:variant>
        <vt:i4>3062</vt:i4>
      </vt:variant>
      <vt:variant>
        <vt:i4>0</vt:i4>
      </vt:variant>
      <vt:variant>
        <vt:i4>5</vt:i4>
      </vt:variant>
      <vt:variant>
        <vt:lpwstr/>
      </vt:variant>
      <vt:variant>
        <vt:lpwstr>_Toc250994984</vt:lpwstr>
      </vt:variant>
      <vt:variant>
        <vt:i4>1507378</vt:i4>
      </vt:variant>
      <vt:variant>
        <vt:i4>3056</vt:i4>
      </vt:variant>
      <vt:variant>
        <vt:i4>0</vt:i4>
      </vt:variant>
      <vt:variant>
        <vt:i4>5</vt:i4>
      </vt:variant>
      <vt:variant>
        <vt:lpwstr/>
      </vt:variant>
      <vt:variant>
        <vt:lpwstr>_Toc250994983</vt:lpwstr>
      </vt:variant>
      <vt:variant>
        <vt:i4>1507378</vt:i4>
      </vt:variant>
      <vt:variant>
        <vt:i4>3050</vt:i4>
      </vt:variant>
      <vt:variant>
        <vt:i4>0</vt:i4>
      </vt:variant>
      <vt:variant>
        <vt:i4>5</vt:i4>
      </vt:variant>
      <vt:variant>
        <vt:lpwstr/>
      </vt:variant>
      <vt:variant>
        <vt:lpwstr>_Toc250994982</vt:lpwstr>
      </vt:variant>
      <vt:variant>
        <vt:i4>1507378</vt:i4>
      </vt:variant>
      <vt:variant>
        <vt:i4>3044</vt:i4>
      </vt:variant>
      <vt:variant>
        <vt:i4>0</vt:i4>
      </vt:variant>
      <vt:variant>
        <vt:i4>5</vt:i4>
      </vt:variant>
      <vt:variant>
        <vt:lpwstr/>
      </vt:variant>
      <vt:variant>
        <vt:lpwstr>_Toc250994981</vt:lpwstr>
      </vt:variant>
      <vt:variant>
        <vt:i4>1507378</vt:i4>
      </vt:variant>
      <vt:variant>
        <vt:i4>3038</vt:i4>
      </vt:variant>
      <vt:variant>
        <vt:i4>0</vt:i4>
      </vt:variant>
      <vt:variant>
        <vt:i4>5</vt:i4>
      </vt:variant>
      <vt:variant>
        <vt:lpwstr/>
      </vt:variant>
      <vt:variant>
        <vt:lpwstr>_Toc250994980</vt:lpwstr>
      </vt:variant>
      <vt:variant>
        <vt:i4>1572914</vt:i4>
      </vt:variant>
      <vt:variant>
        <vt:i4>3032</vt:i4>
      </vt:variant>
      <vt:variant>
        <vt:i4>0</vt:i4>
      </vt:variant>
      <vt:variant>
        <vt:i4>5</vt:i4>
      </vt:variant>
      <vt:variant>
        <vt:lpwstr/>
      </vt:variant>
      <vt:variant>
        <vt:lpwstr>_Toc250994979</vt:lpwstr>
      </vt:variant>
      <vt:variant>
        <vt:i4>1572914</vt:i4>
      </vt:variant>
      <vt:variant>
        <vt:i4>3026</vt:i4>
      </vt:variant>
      <vt:variant>
        <vt:i4>0</vt:i4>
      </vt:variant>
      <vt:variant>
        <vt:i4>5</vt:i4>
      </vt:variant>
      <vt:variant>
        <vt:lpwstr/>
      </vt:variant>
      <vt:variant>
        <vt:lpwstr>_Toc250994978</vt:lpwstr>
      </vt:variant>
      <vt:variant>
        <vt:i4>1572914</vt:i4>
      </vt:variant>
      <vt:variant>
        <vt:i4>3020</vt:i4>
      </vt:variant>
      <vt:variant>
        <vt:i4>0</vt:i4>
      </vt:variant>
      <vt:variant>
        <vt:i4>5</vt:i4>
      </vt:variant>
      <vt:variant>
        <vt:lpwstr/>
      </vt:variant>
      <vt:variant>
        <vt:lpwstr>_Toc250994977</vt:lpwstr>
      </vt:variant>
      <vt:variant>
        <vt:i4>1572914</vt:i4>
      </vt:variant>
      <vt:variant>
        <vt:i4>3014</vt:i4>
      </vt:variant>
      <vt:variant>
        <vt:i4>0</vt:i4>
      </vt:variant>
      <vt:variant>
        <vt:i4>5</vt:i4>
      </vt:variant>
      <vt:variant>
        <vt:lpwstr/>
      </vt:variant>
      <vt:variant>
        <vt:lpwstr>_Toc250994976</vt:lpwstr>
      </vt:variant>
      <vt:variant>
        <vt:i4>1572914</vt:i4>
      </vt:variant>
      <vt:variant>
        <vt:i4>3008</vt:i4>
      </vt:variant>
      <vt:variant>
        <vt:i4>0</vt:i4>
      </vt:variant>
      <vt:variant>
        <vt:i4>5</vt:i4>
      </vt:variant>
      <vt:variant>
        <vt:lpwstr/>
      </vt:variant>
      <vt:variant>
        <vt:lpwstr>_Toc250994975</vt:lpwstr>
      </vt:variant>
      <vt:variant>
        <vt:i4>1572914</vt:i4>
      </vt:variant>
      <vt:variant>
        <vt:i4>3002</vt:i4>
      </vt:variant>
      <vt:variant>
        <vt:i4>0</vt:i4>
      </vt:variant>
      <vt:variant>
        <vt:i4>5</vt:i4>
      </vt:variant>
      <vt:variant>
        <vt:lpwstr/>
      </vt:variant>
      <vt:variant>
        <vt:lpwstr>_Toc250994974</vt:lpwstr>
      </vt:variant>
      <vt:variant>
        <vt:i4>1572914</vt:i4>
      </vt:variant>
      <vt:variant>
        <vt:i4>2996</vt:i4>
      </vt:variant>
      <vt:variant>
        <vt:i4>0</vt:i4>
      </vt:variant>
      <vt:variant>
        <vt:i4>5</vt:i4>
      </vt:variant>
      <vt:variant>
        <vt:lpwstr/>
      </vt:variant>
      <vt:variant>
        <vt:lpwstr>_Toc250994973</vt:lpwstr>
      </vt:variant>
      <vt:variant>
        <vt:i4>1572914</vt:i4>
      </vt:variant>
      <vt:variant>
        <vt:i4>2990</vt:i4>
      </vt:variant>
      <vt:variant>
        <vt:i4>0</vt:i4>
      </vt:variant>
      <vt:variant>
        <vt:i4>5</vt:i4>
      </vt:variant>
      <vt:variant>
        <vt:lpwstr/>
      </vt:variant>
      <vt:variant>
        <vt:lpwstr>_Toc250994972</vt:lpwstr>
      </vt:variant>
      <vt:variant>
        <vt:i4>1572914</vt:i4>
      </vt:variant>
      <vt:variant>
        <vt:i4>2984</vt:i4>
      </vt:variant>
      <vt:variant>
        <vt:i4>0</vt:i4>
      </vt:variant>
      <vt:variant>
        <vt:i4>5</vt:i4>
      </vt:variant>
      <vt:variant>
        <vt:lpwstr/>
      </vt:variant>
      <vt:variant>
        <vt:lpwstr>_Toc250994971</vt:lpwstr>
      </vt:variant>
      <vt:variant>
        <vt:i4>1572914</vt:i4>
      </vt:variant>
      <vt:variant>
        <vt:i4>2978</vt:i4>
      </vt:variant>
      <vt:variant>
        <vt:i4>0</vt:i4>
      </vt:variant>
      <vt:variant>
        <vt:i4>5</vt:i4>
      </vt:variant>
      <vt:variant>
        <vt:lpwstr/>
      </vt:variant>
      <vt:variant>
        <vt:lpwstr>_Toc250994970</vt:lpwstr>
      </vt:variant>
      <vt:variant>
        <vt:i4>1638450</vt:i4>
      </vt:variant>
      <vt:variant>
        <vt:i4>2972</vt:i4>
      </vt:variant>
      <vt:variant>
        <vt:i4>0</vt:i4>
      </vt:variant>
      <vt:variant>
        <vt:i4>5</vt:i4>
      </vt:variant>
      <vt:variant>
        <vt:lpwstr/>
      </vt:variant>
      <vt:variant>
        <vt:lpwstr>_Toc250994969</vt:lpwstr>
      </vt:variant>
      <vt:variant>
        <vt:i4>1638450</vt:i4>
      </vt:variant>
      <vt:variant>
        <vt:i4>2966</vt:i4>
      </vt:variant>
      <vt:variant>
        <vt:i4>0</vt:i4>
      </vt:variant>
      <vt:variant>
        <vt:i4>5</vt:i4>
      </vt:variant>
      <vt:variant>
        <vt:lpwstr/>
      </vt:variant>
      <vt:variant>
        <vt:lpwstr>_Toc250994968</vt:lpwstr>
      </vt:variant>
      <vt:variant>
        <vt:i4>1638450</vt:i4>
      </vt:variant>
      <vt:variant>
        <vt:i4>2960</vt:i4>
      </vt:variant>
      <vt:variant>
        <vt:i4>0</vt:i4>
      </vt:variant>
      <vt:variant>
        <vt:i4>5</vt:i4>
      </vt:variant>
      <vt:variant>
        <vt:lpwstr/>
      </vt:variant>
      <vt:variant>
        <vt:lpwstr>_Toc250994967</vt:lpwstr>
      </vt:variant>
      <vt:variant>
        <vt:i4>1638450</vt:i4>
      </vt:variant>
      <vt:variant>
        <vt:i4>2954</vt:i4>
      </vt:variant>
      <vt:variant>
        <vt:i4>0</vt:i4>
      </vt:variant>
      <vt:variant>
        <vt:i4>5</vt:i4>
      </vt:variant>
      <vt:variant>
        <vt:lpwstr/>
      </vt:variant>
      <vt:variant>
        <vt:lpwstr>_Toc250994966</vt:lpwstr>
      </vt:variant>
      <vt:variant>
        <vt:i4>1638450</vt:i4>
      </vt:variant>
      <vt:variant>
        <vt:i4>2948</vt:i4>
      </vt:variant>
      <vt:variant>
        <vt:i4>0</vt:i4>
      </vt:variant>
      <vt:variant>
        <vt:i4>5</vt:i4>
      </vt:variant>
      <vt:variant>
        <vt:lpwstr/>
      </vt:variant>
      <vt:variant>
        <vt:lpwstr>_Toc250994965</vt:lpwstr>
      </vt:variant>
      <vt:variant>
        <vt:i4>1638450</vt:i4>
      </vt:variant>
      <vt:variant>
        <vt:i4>2942</vt:i4>
      </vt:variant>
      <vt:variant>
        <vt:i4>0</vt:i4>
      </vt:variant>
      <vt:variant>
        <vt:i4>5</vt:i4>
      </vt:variant>
      <vt:variant>
        <vt:lpwstr/>
      </vt:variant>
      <vt:variant>
        <vt:lpwstr>_Toc250994964</vt:lpwstr>
      </vt:variant>
      <vt:variant>
        <vt:i4>1638450</vt:i4>
      </vt:variant>
      <vt:variant>
        <vt:i4>2936</vt:i4>
      </vt:variant>
      <vt:variant>
        <vt:i4>0</vt:i4>
      </vt:variant>
      <vt:variant>
        <vt:i4>5</vt:i4>
      </vt:variant>
      <vt:variant>
        <vt:lpwstr/>
      </vt:variant>
      <vt:variant>
        <vt:lpwstr>_Toc250994963</vt:lpwstr>
      </vt:variant>
      <vt:variant>
        <vt:i4>1638450</vt:i4>
      </vt:variant>
      <vt:variant>
        <vt:i4>2930</vt:i4>
      </vt:variant>
      <vt:variant>
        <vt:i4>0</vt:i4>
      </vt:variant>
      <vt:variant>
        <vt:i4>5</vt:i4>
      </vt:variant>
      <vt:variant>
        <vt:lpwstr/>
      </vt:variant>
      <vt:variant>
        <vt:lpwstr>_Toc250994962</vt:lpwstr>
      </vt:variant>
      <vt:variant>
        <vt:i4>1638450</vt:i4>
      </vt:variant>
      <vt:variant>
        <vt:i4>2924</vt:i4>
      </vt:variant>
      <vt:variant>
        <vt:i4>0</vt:i4>
      </vt:variant>
      <vt:variant>
        <vt:i4>5</vt:i4>
      </vt:variant>
      <vt:variant>
        <vt:lpwstr/>
      </vt:variant>
      <vt:variant>
        <vt:lpwstr>_Toc250994961</vt:lpwstr>
      </vt:variant>
      <vt:variant>
        <vt:i4>1638450</vt:i4>
      </vt:variant>
      <vt:variant>
        <vt:i4>2918</vt:i4>
      </vt:variant>
      <vt:variant>
        <vt:i4>0</vt:i4>
      </vt:variant>
      <vt:variant>
        <vt:i4>5</vt:i4>
      </vt:variant>
      <vt:variant>
        <vt:lpwstr/>
      </vt:variant>
      <vt:variant>
        <vt:lpwstr>_Toc250994960</vt:lpwstr>
      </vt:variant>
      <vt:variant>
        <vt:i4>1703986</vt:i4>
      </vt:variant>
      <vt:variant>
        <vt:i4>2912</vt:i4>
      </vt:variant>
      <vt:variant>
        <vt:i4>0</vt:i4>
      </vt:variant>
      <vt:variant>
        <vt:i4>5</vt:i4>
      </vt:variant>
      <vt:variant>
        <vt:lpwstr/>
      </vt:variant>
      <vt:variant>
        <vt:lpwstr>_Toc250994959</vt:lpwstr>
      </vt:variant>
      <vt:variant>
        <vt:i4>1703986</vt:i4>
      </vt:variant>
      <vt:variant>
        <vt:i4>2906</vt:i4>
      </vt:variant>
      <vt:variant>
        <vt:i4>0</vt:i4>
      </vt:variant>
      <vt:variant>
        <vt:i4>5</vt:i4>
      </vt:variant>
      <vt:variant>
        <vt:lpwstr/>
      </vt:variant>
      <vt:variant>
        <vt:lpwstr>_Toc250994958</vt:lpwstr>
      </vt:variant>
      <vt:variant>
        <vt:i4>1703986</vt:i4>
      </vt:variant>
      <vt:variant>
        <vt:i4>2900</vt:i4>
      </vt:variant>
      <vt:variant>
        <vt:i4>0</vt:i4>
      </vt:variant>
      <vt:variant>
        <vt:i4>5</vt:i4>
      </vt:variant>
      <vt:variant>
        <vt:lpwstr/>
      </vt:variant>
      <vt:variant>
        <vt:lpwstr>_Toc250994957</vt:lpwstr>
      </vt:variant>
      <vt:variant>
        <vt:i4>1703986</vt:i4>
      </vt:variant>
      <vt:variant>
        <vt:i4>2894</vt:i4>
      </vt:variant>
      <vt:variant>
        <vt:i4>0</vt:i4>
      </vt:variant>
      <vt:variant>
        <vt:i4>5</vt:i4>
      </vt:variant>
      <vt:variant>
        <vt:lpwstr/>
      </vt:variant>
      <vt:variant>
        <vt:lpwstr>_Toc250994956</vt:lpwstr>
      </vt:variant>
      <vt:variant>
        <vt:i4>1703986</vt:i4>
      </vt:variant>
      <vt:variant>
        <vt:i4>2888</vt:i4>
      </vt:variant>
      <vt:variant>
        <vt:i4>0</vt:i4>
      </vt:variant>
      <vt:variant>
        <vt:i4>5</vt:i4>
      </vt:variant>
      <vt:variant>
        <vt:lpwstr/>
      </vt:variant>
      <vt:variant>
        <vt:lpwstr>_Toc250994955</vt:lpwstr>
      </vt:variant>
      <vt:variant>
        <vt:i4>1703986</vt:i4>
      </vt:variant>
      <vt:variant>
        <vt:i4>2882</vt:i4>
      </vt:variant>
      <vt:variant>
        <vt:i4>0</vt:i4>
      </vt:variant>
      <vt:variant>
        <vt:i4>5</vt:i4>
      </vt:variant>
      <vt:variant>
        <vt:lpwstr/>
      </vt:variant>
      <vt:variant>
        <vt:lpwstr>_Toc250994954</vt:lpwstr>
      </vt:variant>
      <vt:variant>
        <vt:i4>1703986</vt:i4>
      </vt:variant>
      <vt:variant>
        <vt:i4>2876</vt:i4>
      </vt:variant>
      <vt:variant>
        <vt:i4>0</vt:i4>
      </vt:variant>
      <vt:variant>
        <vt:i4>5</vt:i4>
      </vt:variant>
      <vt:variant>
        <vt:lpwstr/>
      </vt:variant>
      <vt:variant>
        <vt:lpwstr>_Toc250994953</vt:lpwstr>
      </vt:variant>
      <vt:variant>
        <vt:i4>1703986</vt:i4>
      </vt:variant>
      <vt:variant>
        <vt:i4>2870</vt:i4>
      </vt:variant>
      <vt:variant>
        <vt:i4>0</vt:i4>
      </vt:variant>
      <vt:variant>
        <vt:i4>5</vt:i4>
      </vt:variant>
      <vt:variant>
        <vt:lpwstr/>
      </vt:variant>
      <vt:variant>
        <vt:lpwstr>_Toc250994952</vt:lpwstr>
      </vt:variant>
      <vt:variant>
        <vt:i4>1703986</vt:i4>
      </vt:variant>
      <vt:variant>
        <vt:i4>2864</vt:i4>
      </vt:variant>
      <vt:variant>
        <vt:i4>0</vt:i4>
      </vt:variant>
      <vt:variant>
        <vt:i4>5</vt:i4>
      </vt:variant>
      <vt:variant>
        <vt:lpwstr/>
      </vt:variant>
      <vt:variant>
        <vt:lpwstr>_Toc250994951</vt:lpwstr>
      </vt:variant>
      <vt:variant>
        <vt:i4>1703986</vt:i4>
      </vt:variant>
      <vt:variant>
        <vt:i4>2858</vt:i4>
      </vt:variant>
      <vt:variant>
        <vt:i4>0</vt:i4>
      </vt:variant>
      <vt:variant>
        <vt:i4>5</vt:i4>
      </vt:variant>
      <vt:variant>
        <vt:lpwstr/>
      </vt:variant>
      <vt:variant>
        <vt:lpwstr>_Toc250994950</vt:lpwstr>
      </vt:variant>
      <vt:variant>
        <vt:i4>1769522</vt:i4>
      </vt:variant>
      <vt:variant>
        <vt:i4>2852</vt:i4>
      </vt:variant>
      <vt:variant>
        <vt:i4>0</vt:i4>
      </vt:variant>
      <vt:variant>
        <vt:i4>5</vt:i4>
      </vt:variant>
      <vt:variant>
        <vt:lpwstr/>
      </vt:variant>
      <vt:variant>
        <vt:lpwstr>_Toc250994949</vt:lpwstr>
      </vt:variant>
      <vt:variant>
        <vt:i4>1769522</vt:i4>
      </vt:variant>
      <vt:variant>
        <vt:i4>2846</vt:i4>
      </vt:variant>
      <vt:variant>
        <vt:i4>0</vt:i4>
      </vt:variant>
      <vt:variant>
        <vt:i4>5</vt:i4>
      </vt:variant>
      <vt:variant>
        <vt:lpwstr/>
      </vt:variant>
      <vt:variant>
        <vt:lpwstr>_Toc250994948</vt:lpwstr>
      </vt:variant>
      <vt:variant>
        <vt:i4>1769522</vt:i4>
      </vt:variant>
      <vt:variant>
        <vt:i4>2840</vt:i4>
      </vt:variant>
      <vt:variant>
        <vt:i4>0</vt:i4>
      </vt:variant>
      <vt:variant>
        <vt:i4>5</vt:i4>
      </vt:variant>
      <vt:variant>
        <vt:lpwstr/>
      </vt:variant>
      <vt:variant>
        <vt:lpwstr>_Toc250994947</vt:lpwstr>
      </vt:variant>
      <vt:variant>
        <vt:i4>1769522</vt:i4>
      </vt:variant>
      <vt:variant>
        <vt:i4>2834</vt:i4>
      </vt:variant>
      <vt:variant>
        <vt:i4>0</vt:i4>
      </vt:variant>
      <vt:variant>
        <vt:i4>5</vt:i4>
      </vt:variant>
      <vt:variant>
        <vt:lpwstr/>
      </vt:variant>
      <vt:variant>
        <vt:lpwstr>_Toc250994946</vt:lpwstr>
      </vt:variant>
      <vt:variant>
        <vt:i4>1769522</vt:i4>
      </vt:variant>
      <vt:variant>
        <vt:i4>2828</vt:i4>
      </vt:variant>
      <vt:variant>
        <vt:i4>0</vt:i4>
      </vt:variant>
      <vt:variant>
        <vt:i4>5</vt:i4>
      </vt:variant>
      <vt:variant>
        <vt:lpwstr/>
      </vt:variant>
      <vt:variant>
        <vt:lpwstr>_Toc250994945</vt:lpwstr>
      </vt:variant>
      <vt:variant>
        <vt:i4>1769522</vt:i4>
      </vt:variant>
      <vt:variant>
        <vt:i4>2822</vt:i4>
      </vt:variant>
      <vt:variant>
        <vt:i4>0</vt:i4>
      </vt:variant>
      <vt:variant>
        <vt:i4>5</vt:i4>
      </vt:variant>
      <vt:variant>
        <vt:lpwstr/>
      </vt:variant>
      <vt:variant>
        <vt:lpwstr>_Toc250994944</vt:lpwstr>
      </vt:variant>
      <vt:variant>
        <vt:i4>1769522</vt:i4>
      </vt:variant>
      <vt:variant>
        <vt:i4>2816</vt:i4>
      </vt:variant>
      <vt:variant>
        <vt:i4>0</vt:i4>
      </vt:variant>
      <vt:variant>
        <vt:i4>5</vt:i4>
      </vt:variant>
      <vt:variant>
        <vt:lpwstr/>
      </vt:variant>
      <vt:variant>
        <vt:lpwstr>_Toc250994943</vt:lpwstr>
      </vt:variant>
      <vt:variant>
        <vt:i4>1769522</vt:i4>
      </vt:variant>
      <vt:variant>
        <vt:i4>2810</vt:i4>
      </vt:variant>
      <vt:variant>
        <vt:i4>0</vt:i4>
      </vt:variant>
      <vt:variant>
        <vt:i4>5</vt:i4>
      </vt:variant>
      <vt:variant>
        <vt:lpwstr/>
      </vt:variant>
      <vt:variant>
        <vt:lpwstr>_Toc250994942</vt:lpwstr>
      </vt:variant>
      <vt:variant>
        <vt:i4>1769522</vt:i4>
      </vt:variant>
      <vt:variant>
        <vt:i4>2804</vt:i4>
      </vt:variant>
      <vt:variant>
        <vt:i4>0</vt:i4>
      </vt:variant>
      <vt:variant>
        <vt:i4>5</vt:i4>
      </vt:variant>
      <vt:variant>
        <vt:lpwstr/>
      </vt:variant>
      <vt:variant>
        <vt:lpwstr>_Toc250994941</vt:lpwstr>
      </vt:variant>
      <vt:variant>
        <vt:i4>1769522</vt:i4>
      </vt:variant>
      <vt:variant>
        <vt:i4>2798</vt:i4>
      </vt:variant>
      <vt:variant>
        <vt:i4>0</vt:i4>
      </vt:variant>
      <vt:variant>
        <vt:i4>5</vt:i4>
      </vt:variant>
      <vt:variant>
        <vt:lpwstr/>
      </vt:variant>
      <vt:variant>
        <vt:lpwstr>_Toc250994940</vt:lpwstr>
      </vt:variant>
      <vt:variant>
        <vt:i4>1835058</vt:i4>
      </vt:variant>
      <vt:variant>
        <vt:i4>2792</vt:i4>
      </vt:variant>
      <vt:variant>
        <vt:i4>0</vt:i4>
      </vt:variant>
      <vt:variant>
        <vt:i4>5</vt:i4>
      </vt:variant>
      <vt:variant>
        <vt:lpwstr/>
      </vt:variant>
      <vt:variant>
        <vt:lpwstr>_Toc250994939</vt:lpwstr>
      </vt:variant>
      <vt:variant>
        <vt:i4>1835058</vt:i4>
      </vt:variant>
      <vt:variant>
        <vt:i4>2786</vt:i4>
      </vt:variant>
      <vt:variant>
        <vt:i4>0</vt:i4>
      </vt:variant>
      <vt:variant>
        <vt:i4>5</vt:i4>
      </vt:variant>
      <vt:variant>
        <vt:lpwstr/>
      </vt:variant>
      <vt:variant>
        <vt:lpwstr>_Toc250994938</vt:lpwstr>
      </vt:variant>
      <vt:variant>
        <vt:i4>1835058</vt:i4>
      </vt:variant>
      <vt:variant>
        <vt:i4>2780</vt:i4>
      </vt:variant>
      <vt:variant>
        <vt:i4>0</vt:i4>
      </vt:variant>
      <vt:variant>
        <vt:i4>5</vt:i4>
      </vt:variant>
      <vt:variant>
        <vt:lpwstr/>
      </vt:variant>
      <vt:variant>
        <vt:lpwstr>_Toc250994937</vt:lpwstr>
      </vt:variant>
      <vt:variant>
        <vt:i4>1835058</vt:i4>
      </vt:variant>
      <vt:variant>
        <vt:i4>2774</vt:i4>
      </vt:variant>
      <vt:variant>
        <vt:i4>0</vt:i4>
      </vt:variant>
      <vt:variant>
        <vt:i4>5</vt:i4>
      </vt:variant>
      <vt:variant>
        <vt:lpwstr/>
      </vt:variant>
      <vt:variant>
        <vt:lpwstr>_Toc250994936</vt:lpwstr>
      </vt:variant>
      <vt:variant>
        <vt:i4>1835058</vt:i4>
      </vt:variant>
      <vt:variant>
        <vt:i4>2768</vt:i4>
      </vt:variant>
      <vt:variant>
        <vt:i4>0</vt:i4>
      </vt:variant>
      <vt:variant>
        <vt:i4>5</vt:i4>
      </vt:variant>
      <vt:variant>
        <vt:lpwstr/>
      </vt:variant>
      <vt:variant>
        <vt:lpwstr>_Toc250994935</vt:lpwstr>
      </vt:variant>
      <vt:variant>
        <vt:i4>1835058</vt:i4>
      </vt:variant>
      <vt:variant>
        <vt:i4>2762</vt:i4>
      </vt:variant>
      <vt:variant>
        <vt:i4>0</vt:i4>
      </vt:variant>
      <vt:variant>
        <vt:i4>5</vt:i4>
      </vt:variant>
      <vt:variant>
        <vt:lpwstr/>
      </vt:variant>
      <vt:variant>
        <vt:lpwstr>_Toc250994934</vt:lpwstr>
      </vt:variant>
      <vt:variant>
        <vt:i4>1835058</vt:i4>
      </vt:variant>
      <vt:variant>
        <vt:i4>2756</vt:i4>
      </vt:variant>
      <vt:variant>
        <vt:i4>0</vt:i4>
      </vt:variant>
      <vt:variant>
        <vt:i4>5</vt:i4>
      </vt:variant>
      <vt:variant>
        <vt:lpwstr/>
      </vt:variant>
      <vt:variant>
        <vt:lpwstr>_Toc250994933</vt:lpwstr>
      </vt:variant>
      <vt:variant>
        <vt:i4>1835058</vt:i4>
      </vt:variant>
      <vt:variant>
        <vt:i4>2750</vt:i4>
      </vt:variant>
      <vt:variant>
        <vt:i4>0</vt:i4>
      </vt:variant>
      <vt:variant>
        <vt:i4>5</vt:i4>
      </vt:variant>
      <vt:variant>
        <vt:lpwstr/>
      </vt:variant>
      <vt:variant>
        <vt:lpwstr>_Toc250994932</vt:lpwstr>
      </vt:variant>
      <vt:variant>
        <vt:i4>1835058</vt:i4>
      </vt:variant>
      <vt:variant>
        <vt:i4>2744</vt:i4>
      </vt:variant>
      <vt:variant>
        <vt:i4>0</vt:i4>
      </vt:variant>
      <vt:variant>
        <vt:i4>5</vt:i4>
      </vt:variant>
      <vt:variant>
        <vt:lpwstr/>
      </vt:variant>
      <vt:variant>
        <vt:lpwstr>_Toc250994931</vt:lpwstr>
      </vt:variant>
      <vt:variant>
        <vt:i4>1835058</vt:i4>
      </vt:variant>
      <vt:variant>
        <vt:i4>2738</vt:i4>
      </vt:variant>
      <vt:variant>
        <vt:i4>0</vt:i4>
      </vt:variant>
      <vt:variant>
        <vt:i4>5</vt:i4>
      </vt:variant>
      <vt:variant>
        <vt:lpwstr/>
      </vt:variant>
      <vt:variant>
        <vt:lpwstr>_Toc250994930</vt:lpwstr>
      </vt:variant>
      <vt:variant>
        <vt:i4>1900594</vt:i4>
      </vt:variant>
      <vt:variant>
        <vt:i4>2732</vt:i4>
      </vt:variant>
      <vt:variant>
        <vt:i4>0</vt:i4>
      </vt:variant>
      <vt:variant>
        <vt:i4>5</vt:i4>
      </vt:variant>
      <vt:variant>
        <vt:lpwstr/>
      </vt:variant>
      <vt:variant>
        <vt:lpwstr>_Toc250994929</vt:lpwstr>
      </vt:variant>
      <vt:variant>
        <vt:i4>1900594</vt:i4>
      </vt:variant>
      <vt:variant>
        <vt:i4>2726</vt:i4>
      </vt:variant>
      <vt:variant>
        <vt:i4>0</vt:i4>
      </vt:variant>
      <vt:variant>
        <vt:i4>5</vt:i4>
      </vt:variant>
      <vt:variant>
        <vt:lpwstr/>
      </vt:variant>
      <vt:variant>
        <vt:lpwstr>_Toc250994928</vt:lpwstr>
      </vt:variant>
      <vt:variant>
        <vt:i4>1900594</vt:i4>
      </vt:variant>
      <vt:variant>
        <vt:i4>2720</vt:i4>
      </vt:variant>
      <vt:variant>
        <vt:i4>0</vt:i4>
      </vt:variant>
      <vt:variant>
        <vt:i4>5</vt:i4>
      </vt:variant>
      <vt:variant>
        <vt:lpwstr/>
      </vt:variant>
      <vt:variant>
        <vt:lpwstr>_Toc250994927</vt:lpwstr>
      </vt:variant>
      <vt:variant>
        <vt:i4>1900594</vt:i4>
      </vt:variant>
      <vt:variant>
        <vt:i4>2714</vt:i4>
      </vt:variant>
      <vt:variant>
        <vt:i4>0</vt:i4>
      </vt:variant>
      <vt:variant>
        <vt:i4>5</vt:i4>
      </vt:variant>
      <vt:variant>
        <vt:lpwstr/>
      </vt:variant>
      <vt:variant>
        <vt:lpwstr>_Toc250994926</vt:lpwstr>
      </vt:variant>
      <vt:variant>
        <vt:i4>1900594</vt:i4>
      </vt:variant>
      <vt:variant>
        <vt:i4>2708</vt:i4>
      </vt:variant>
      <vt:variant>
        <vt:i4>0</vt:i4>
      </vt:variant>
      <vt:variant>
        <vt:i4>5</vt:i4>
      </vt:variant>
      <vt:variant>
        <vt:lpwstr/>
      </vt:variant>
      <vt:variant>
        <vt:lpwstr>_Toc250994925</vt:lpwstr>
      </vt:variant>
      <vt:variant>
        <vt:i4>1900594</vt:i4>
      </vt:variant>
      <vt:variant>
        <vt:i4>2702</vt:i4>
      </vt:variant>
      <vt:variant>
        <vt:i4>0</vt:i4>
      </vt:variant>
      <vt:variant>
        <vt:i4>5</vt:i4>
      </vt:variant>
      <vt:variant>
        <vt:lpwstr/>
      </vt:variant>
      <vt:variant>
        <vt:lpwstr>_Toc250994924</vt:lpwstr>
      </vt:variant>
      <vt:variant>
        <vt:i4>1900594</vt:i4>
      </vt:variant>
      <vt:variant>
        <vt:i4>2696</vt:i4>
      </vt:variant>
      <vt:variant>
        <vt:i4>0</vt:i4>
      </vt:variant>
      <vt:variant>
        <vt:i4>5</vt:i4>
      </vt:variant>
      <vt:variant>
        <vt:lpwstr/>
      </vt:variant>
      <vt:variant>
        <vt:lpwstr>_Toc250994923</vt:lpwstr>
      </vt:variant>
      <vt:variant>
        <vt:i4>1900594</vt:i4>
      </vt:variant>
      <vt:variant>
        <vt:i4>2690</vt:i4>
      </vt:variant>
      <vt:variant>
        <vt:i4>0</vt:i4>
      </vt:variant>
      <vt:variant>
        <vt:i4>5</vt:i4>
      </vt:variant>
      <vt:variant>
        <vt:lpwstr/>
      </vt:variant>
      <vt:variant>
        <vt:lpwstr>_Toc250994922</vt:lpwstr>
      </vt:variant>
      <vt:variant>
        <vt:i4>1900594</vt:i4>
      </vt:variant>
      <vt:variant>
        <vt:i4>2684</vt:i4>
      </vt:variant>
      <vt:variant>
        <vt:i4>0</vt:i4>
      </vt:variant>
      <vt:variant>
        <vt:i4>5</vt:i4>
      </vt:variant>
      <vt:variant>
        <vt:lpwstr/>
      </vt:variant>
      <vt:variant>
        <vt:lpwstr>_Toc250994921</vt:lpwstr>
      </vt:variant>
      <vt:variant>
        <vt:i4>1900594</vt:i4>
      </vt:variant>
      <vt:variant>
        <vt:i4>2678</vt:i4>
      </vt:variant>
      <vt:variant>
        <vt:i4>0</vt:i4>
      </vt:variant>
      <vt:variant>
        <vt:i4>5</vt:i4>
      </vt:variant>
      <vt:variant>
        <vt:lpwstr/>
      </vt:variant>
      <vt:variant>
        <vt:lpwstr>_Toc250994920</vt:lpwstr>
      </vt:variant>
      <vt:variant>
        <vt:i4>1966130</vt:i4>
      </vt:variant>
      <vt:variant>
        <vt:i4>2672</vt:i4>
      </vt:variant>
      <vt:variant>
        <vt:i4>0</vt:i4>
      </vt:variant>
      <vt:variant>
        <vt:i4>5</vt:i4>
      </vt:variant>
      <vt:variant>
        <vt:lpwstr/>
      </vt:variant>
      <vt:variant>
        <vt:lpwstr>_Toc250994919</vt:lpwstr>
      </vt:variant>
      <vt:variant>
        <vt:i4>1966130</vt:i4>
      </vt:variant>
      <vt:variant>
        <vt:i4>2666</vt:i4>
      </vt:variant>
      <vt:variant>
        <vt:i4>0</vt:i4>
      </vt:variant>
      <vt:variant>
        <vt:i4>5</vt:i4>
      </vt:variant>
      <vt:variant>
        <vt:lpwstr/>
      </vt:variant>
      <vt:variant>
        <vt:lpwstr>_Toc250994918</vt:lpwstr>
      </vt:variant>
      <vt:variant>
        <vt:i4>1966130</vt:i4>
      </vt:variant>
      <vt:variant>
        <vt:i4>2660</vt:i4>
      </vt:variant>
      <vt:variant>
        <vt:i4>0</vt:i4>
      </vt:variant>
      <vt:variant>
        <vt:i4>5</vt:i4>
      </vt:variant>
      <vt:variant>
        <vt:lpwstr/>
      </vt:variant>
      <vt:variant>
        <vt:lpwstr>_Toc250994917</vt:lpwstr>
      </vt:variant>
      <vt:variant>
        <vt:i4>1966130</vt:i4>
      </vt:variant>
      <vt:variant>
        <vt:i4>2654</vt:i4>
      </vt:variant>
      <vt:variant>
        <vt:i4>0</vt:i4>
      </vt:variant>
      <vt:variant>
        <vt:i4>5</vt:i4>
      </vt:variant>
      <vt:variant>
        <vt:lpwstr/>
      </vt:variant>
      <vt:variant>
        <vt:lpwstr>_Toc250994916</vt:lpwstr>
      </vt:variant>
      <vt:variant>
        <vt:i4>1966130</vt:i4>
      </vt:variant>
      <vt:variant>
        <vt:i4>2648</vt:i4>
      </vt:variant>
      <vt:variant>
        <vt:i4>0</vt:i4>
      </vt:variant>
      <vt:variant>
        <vt:i4>5</vt:i4>
      </vt:variant>
      <vt:variant>
        <vt:lpwstr/>
      </vt:variant>
      <vt:variant>
        <vt:lpwstr>_Toc250994915</vt:lpwstr>
      </vt:variant>
      <vt:variant>
        <vt:i4>1966130</vt:i4>
      </vt:variant>
      <vt:variant>
        <vt:i4>2642</vt:i4>
      </vt:variant>
      <vt:variant>
        <vt:i4>0</vt:i4>
      </vt:variant>
      <vt:variant>
        <vt:i4>5</vt:i4>
      </vt:variant>
      <vt:variant>
        <vt:lpwstr/>
      </vt:variant>
      <vt:variant>
        <vt:lpwstr>_Toc250994914</vt:lpwstr>
      </vt:variant>
      <vt:variant>
        <vt:i4>1966130</vt:i4>
      </vt:variant>
      <vt:variant>
        <vt:i4>2636</vt:i4>
      </vt:variant>
      <vt:variant>
        <vt:i4>0</vt:i4>
      </vt:variant>
      <vt:variant>
        <vt:i4>5</vt:i4>
      </vt:variant>
      <vt:variant>
        <vt:lpwstr/>
      </vt:variant>
      <vt:variant>
        <vt:lpwstr>_Toc250994913</vt:lpwstr>
      </vt:variant>
      <vt:variant>
        <vt:i4>1966130</vt:i4>
      </vt:variant>
      <vt:variant>
        <vt:i4>2630</vt:i4>
      </vt:variant>
      <vt:variant>
        <vt:i4>0</vt:i4>
      </vt:variant>
      <vt:variant>
        <vt:i4>5</vt:i4>
      </vt:variant>
      <vt:variant>
        <vt:lpwstr/>
      </vt:variant>
      <vt:variant>
        <vt:lpwstr>_Toc250994912</vt:lpwstr>
      </vt:variant>
      <vt:variant>
        <vt:i4>1966130</vt:i4>
      </vt:variant>
      <vt:variant>
        <vt:i4>2624</vt:i4>
      </vt:variant>
      <vt:variant>
        <vt:i4>0</vt:i4>
      </vt:variant>
      <vt:variant>
        <vt:i4>5</vt:i4>
      </vt:variant>
      <vt:variant>
        <vt:lpwstr/>
      </vt:variant>
      <vt:variant>
        <vt:lpwstr>_Toc250994911</vt:lpwstr>
      </vt:variant>
      <vt:variant>
        <vt:i4>1966130</vt:i4>
      </vt:variant>
      <vt:variant>
        <vt:i4>2618</vt:i4>
      </vt:variant>
      <vt:variant>
        <vt:i4>0</vt:i4>
      </vt:variant>
      <vt:variant>
        <vt:i4>5</vt:i4>
      </vt:variant>
      <vt:variant>
        <vt:lpwstr/>
      </vt:variant>
      <vt:variant>
        <vt:lpwstr>_Toc250994910</vt:lpwstr>
      </vt:variant>
      <vt:variant>
        <vt:i4>2031666</vt:i4>
      </vt:variant>
      <vt:variant>
        <vt:i4>2612</vt:i4>
      </vt:variant>
      <vt:variant>
        <vt:i4>0</vt:i4>
      </vt:variant>
      <vt:variant>
        <vt:i4>5</vt:i4>
      </vt:variant>
      <vt:variant>
        <vt:lpwstr/>
      </vt:variant>
      <vt:variant>
        <vt:lpwstr>_Toc250994909</vt:lpwstr>
      </vt:variant>
      <vt:variant>
        <vt:i4>2031666</vt:i4>
      </vt:variant>
      <vt:variant>
        <vt:i4>2606</vt:i4>
      </vt:variant>
      <vt:variant>
        <vt:i4>0</vt:i4>
      </vt:variant>
      <vt:variant>
        <vt:i4>5</vt:i4>
      </vt:variant>
      <vt:variant>
        <vt:lpwstr/>
      </vt:variant>
      <vt:variant>
        <vt:lpwstr>_Toc250994908</vt:lpwstr>
      </vt:variant>
      <vt:variant>
        <vt:i4>2031666</vt:i4>
      </vt:variant>
      <vt:variant>
        <vt:i4>2600</vt:i4>
      </vt:variant>
      <vt:variant>
        <vt:i4>0</vt:i4>
      </vt:variant>
      <vt:variant>
        <vt:i4>5</vt:i4>
      </vt:variant>
      <vt:variant>
        <vt:lpwstr/>
      </vt:variant>
      <vt:variant>
        <vt:lpwstr>_Toc250994907</vt:lpwstr>
      </vt:variant>
      <vt:variant>
        <vt:i4>2031666</vt:i4>
      </vt:variant>
      <vt:variant>
        <vt:i4>2594</vt:i4>
      </vt:variant>
      <vt:variant>
        <vt:i4>0</vt:i4>
      </vt:variant>
      <vt:variant>
        <vt:i4>5</vt:i4>
      </vt:variant>
      <vt:variant>
        <vt:lpwstr/>
      </vt:variant>
      <vt:variant>
        <vt:lpwstr>_Toc250994906</vt:lpwstr>
      </vt:variant>
      <vt:variant>
        <vt:i4>2031666</vt:i4>
      </vt:variant>
      <vt:variant>
        <vt:i4>2588</vt:i4>
      </vt:variant>
      <vt:variant>
        <vt:i4>0</vt:i4>
      </vt:variant>
      <vt:variant>
        <vt:i4>5</vt:i4>
      </vt:variant>
      <vt:variant>
        <vt:lpwstr/>
      </vt:variant>
      <vt:variant>
        <vt:lpwstr>_Toc250994905</vt:lpwstr>
      </vt:variant>
      <vt:variant>
        <vt:i4>2031666</vt:i4>
      </vt:variant>
      <vt:variant>
        <vt:i4>2582</vt:i4>
      </vt:variant>
      <vt:variant>
        <vt:i4>0</vt:i4>
      </vt:variant>
      <vt:variant>
        <vt:i4>5</vt:i4>
      </vt:variant>
      <vt:variant>
        <vt:lpwstr/>
      </vt:variant>
      <vt:variant>
        <vt:lpwstr>_Toc250994904</vt:lpwstr>
      </vt:variant>
      <vt:variant>
        <vt:i4>2031666</vt:i4>
      </vt:variant>
      <vt:variant>
        <vt:i4>2576</vt:i4>
      </vt:variant>
      <vt:variant>
        <vt:i4>0</vt:i4>
      </vt:variant>
      <vt:variant>
        <vt:i4>5</vt:i4>
      </vt:variant>
      <vt:variant>
        <vt:lpwstr/>
      </vt:variant>
      <vt:variant>
        <vt:lpwstr>_Toc250994903</vt:lpwstr>
      </vt:variant>
      <vt:variant>
        <vt:i4>2031666</vt:i4>
      </vt:variant>
      <vt:variant>
        <vt:i4>2570</vt:i4>
      </vt:variant>
      <vt:variant>
        <vt:i4>0</vt:i4>
      </vt:variant>
      <vt:variant>
        <vt:i4>5</vt:i4>
      </vt:variant>
      <vt:variant>
        <vt:lpwstr/>
      </vt:variant>
      <vt:variant>
        <vt:lpwstr>_Toc250994902</vt:lpwstr>
      </vt:variant>
      <vt:variant>
        <vt:i4>2031666</vt:i4>
      </vt:variant>
      <vt:variant>
        <vt:i4>2564</vt:i4>
      </vt:variant>
      <vt:variant>
        <vt:i4>0</vt:i4>
      </vt:variant>
      <vt:variant>
        <vt:i4>5</vt:i4>
      </vt:variant>
      <vt:variant>
        <vt:lpwstr/>
      </vt:variant>
      <vt:variant>
        <vt:lpwstr>_Toc250994901</vt:lpwstr>
      </vt:variant>
      <vt:variant>
        <vt:i4>2031666</vt:i4>
      </vt:variant>
      <vt:variant>
        <vt:i4>2558</vt:i4>
      </vt:variant>
      <vt:variant>
        <vt:i4>0</vt:i4>
      </vt:variant>
      <vt:variant>
        <vt:i4>5</vt:i4>
      </vt:variant>
      <vt:variant>
        <vt:lpwstr/>
      </vt:variant>
      <vt:variant>
        <vt:lpwstr>_Toc250994900</vt:lpwstr>
      </vt:variant>
      <vt:variant>
        <vt:i4>1441843</vt:i4>
      </vt:variant>
      <vt:variant>
        <vt:i4>2552</vt:i4>
      </vt:variant>
      <vt:variant>
        <vt:i4>0</vt:i4>
      </vt:variant>
      <vt:variant>
        <vt:i4>5</vt:i4>
      </vt:variant>
      <vt:variant>
        <vt:lpwstr/>
      </vt:variant>
      <vt:variant>
        <vt:lpwstr>_Toc250994899</vt:lpwstr>
      </vt:variant>
      <vt:variant>
        <vt:i4>1441843</vt:i4>
      </vt:variant>
      <vt:variant>
        <vt:i4>2546</vt:i4>
      </vt:variant>
      <vt:variant>
        <vt:i4>0</vt:i4>
      </vt:variant>
      <vt:variant>
        <vt:i4>5</vt:i4>
      </vt:variant>
      <vt:variant>
        <vt:lpwstr/>
      </vt:variant>
      <vt:variant>
        <vt:lpwstr>_Toc250994898</vt:lpwstr>
      </vt:variant>
      <vt:variant>
        <vt:i4>1441843</vt:i4>
      </vt:variant>
      <vt:variant>
        <vt:i4>2540</vt:i4>
      </vt:variant>
      <vt:variant>
        <vt:i4>0</vt:i4>
      </vt:variant>
      <vt:variant>
        <vt:i4>5</vt:i4>
      </vt:variant>
      <vt:variant>
        <vt:lpwstr/>
      </vt:variant>
      <vt:variant>
        <vt:lpwstr>_Toc250994897</vt:lpwstr>
      </vt:variant>
      <vt:variant>
        <vt:i4>1441843</vt:i4>
      </vt:variant>
      <vt:variant>
        <vt:i4>2534</vt:i4>
      </vt:variant>
      <vt:variant>
        <vt:i4>0</vt:i4>
      </vt:variant>
      <vt:variant>
        <vt:i4>5</vt:i4>
      </vt:variant>
      <vt:variant>
        <vt:lpwstr/>
      </vt:variant>
      <vt:variant>
        <vt:lpwstr>_Toc250994896</vt:lpwstr>
      </vt:variant>
      <vt:variant>
        <vt:i4>1441843</vt:i4>
      </vt:variant>
      <vt:variant>
        <vt:i4>2528</vt:i4>
      </vt:variant>
      <vt:variant>
        <vt:i4>0</vt:i4>
      </vt:variant>
      <vt:variant>
        <vt:i4>5</vt:i4>
      </vt:variant>
      <vt:variant>
        <vt:lpwstr/>
      </vt:variant>
      <vt:variant>
        <vt:lpwstr>_Toc250994895</vt:lpwstr>
      </vt:variant>
      <vt:variant>
        <vt:i4>1441843</vt:i4>
      </vt:variant>
      <vt:variant>
        <vt:i4>2522</vt:i4>
      </vt:variant>
      <vt:variant>
        <vt:i4>0</vt:i4>
      </vt:variant>
      <vt:variant>
        <vt:i4>5</vt:i4>
      </vt:variant>
      <vt:variant>
        <vt:lpwstr/>
      </vt:variant>
      <vt:variant>
        <vt:lpwstr>_Toc250994894</vt:lpwstr>
      </vt:variant>
      <vt:variant>
        <vt:i4>1441843</vt:i4>
      </vt:variant>
      <vt:variant>
        <vt:i4>2516</vt:i4>
      </vt:variant>
      <vt:variant>
        <vt:i4>0</vt:i4>
      </vt:variant>
      <vt:variant>
        <vt:i4>5</vt:i4>
      </vt:variant>
      <vt:variant>
        <vt:lpwstr/>
      </vt:variant>
      <vt:variant>
        <vt:lpwstr>_Toc250994893</vt:lpwstr>
      </vt:variant>
      <vt:variant>
        <vt:i4>1441843</vt:i4>
      </vt:variant>
      <vt:variant>
        <vt:i4>2510</vt:i4>
      </vt:variant>
      <vt:variant>
        <vt:i4>0</vt:i4>
      </vt:variant>
      <vt:variant>
        <vt:i4>5</vt:i4>
      </vt:variant>
      <vt:variant>
        <vt:lpwstr/>
      </vt:variant>
      <vt:variant>
        <vt:lpwstr>_Toc250994892</vt:lpwstr>
      </vt:variant>
      <vt:variant>
        <vt:i4>1441843</vt:i4>
      </vt:variant>
      <vt:variant>
        <vt:i4>2504</vt:i4>
      </vt:variant>
      <vt:variant>
        <vt:i4>0</vt:i4>
      </vt:variant>
      <vt:variant>
        <vt:i4>5</vt:i4>
      </vt:variant>
      <vt:variant>
        <vt:lpwstr/>
      </vt:variant>
      <vt:variant>
        <vt:lpwstr>_Toc250994891</vt:lpwstr>
      </vt:variant>
      <vt:variant>
        <vt:i4>1441843</vt:i4>
      </vt:variant>
      <vt:variant>
        <vt:i4>2498</vt:i4>
      </vt:variant>
      <vt:variant>
        <vt:i4>0</vt:i4>
      </vt:variant>
      <vt:variant>
        <vt:i4>5</vt:i4>
      </vt:variant>
      <vt:variant>
        <vt:lpwstr/>
      </vt:variant>
      <vt:variant>
        <vt:lpwstr>_Toc250994890</vt:lpwstr>
      </vt:variant>
      <vt:variant>
        <vt:i4>1507379</vt:i4>
      </vt:variant>
      <vt:variant>
        <vt:i4>2492</vt:i4>
      </vt:variant>
      <vt:variant>
        <vt:i4>0</vt:i4>
      </vt:variant>
      <vt:variant>
        <vt:i4>5</vt:i4>
      </vt:variant>
      <vt:variant>
        <vt:lpwstr/>
      </vt:variant>
      <vt:variant>
        <vt:lpwstr>_Toc250994889</vt:lpwstr>
      </vt:variant>
      <vt:variant>
        <vt:i4>1507379</vt:i4>
      </vt:variant>
      <vt:variant>
        <vt:i4>2486</vt:i4>
      </vt:variant>
      <vt:variant>
        <vt:i4>0</vt:i4>
      </vt:variant>
      <vt:variant>
        <vt:i4>5</vt:i4>
      </vt:variant>
      <vt:variant>
        <vt:lpwstr/>
      </vt:variant>
      <vt:variant>
        <vt:lpwstr>_Toc250994888</vt:lpwstr>
      </vt:variant>
      <vt:variant>
        <vt:i4>1507379</vt:i4>
      </vt:variant>
      <vt:variant>
        <vt:i4>2480</vt:i4>
      </vt:variant>
      <vt:variant>
        <vt:i4>0</vt:i4>
      </vt:variant>
      <vt:variant>
        <vt:i4>5</vt:i4>
      </vt:variant>
      <vt:variant>
        <vt:lpwstr/>
      </vt:variant>
      <vt:variant>
        <vt:lpwstr>_Toc250994887</vt:lpwstr>
      </vt:variant>
      <vt:variant>
        <vt:i4>1507379</vt:i4>
      </vt:variant>
      <vt:variant>
        <vt:i4>2474</vt:i4>
      </vt:variant>
      <vt:variant>
        <vt:i4>0</vt:i4>
      </vt:variant>
      <vt:variant>
        <vt:i4>5</vt:i4>
      </vt:variant>
      <vt:variant>
        <vt:lpwstr/>
      </vt:variant>
      <vt:variant>
        <vt:lpwstr>_Toc250994886</vt:lpwstr>
      </vt:variant>
      <vt:variant>
        <vt:i4>1507379</vt:i4>
      </vt:variant>
      <vt:variant>
        <vt:i4>2468</vt:i4>
      </vt:variant>
      <vt:variant>
        <vt:i4>0</vt:i4>
      </vt:variant>
      <vt:variant>
        <vt:i4>5</vt:i4>
      </vt:variant>
      <vt:variant>
        <vt:lpwstr/>
      </vt:variant>
      <vt:variant>
        <vt:lpwstr>_Toc250994885</vt:lpwstr>
      </vt:variant>
      <vt:variant>
        <vt:i4>1507379</vt:i4>
      </vt:variant>
      <vt:variant>
        <vt:i4>2462</vt:i4>
      </vt:variant>
      <vt:variant>
        <vt:i4>0</vt:i4>
      </vt:variant>
      <vt:variant>
        <vt:i4>5</vt:i4>
      </vt:variant>
      <vt:variant>
        <vt:lpwstr/>
      </vt:variant>
      <vt:variant>
        <vt:lpwstr>_Toc250994884</vt:lpwstr>
      </vt:variant>
      <vt:variant>
        <vt:i4>1507379</vt:i4>
      </vt:variant>
      <vt:variant>
        <vt:i4>2456</vt:i4>
      </vt:variant>
      <vt:variant>
        <vt:i4>0</vt:i4>
      </vt:variant>
      <vt:variant>
        <vt:i4>5</vt:i4>
      </vt:variant>
      <vt:variant>
        <vt:lpwstr/>
      </vt:variant>
      <vt:variant>
        <vt:lpwstr>_Toc250994883</vt:lpwstr>
      </vt:variant>
      <vt:variant>
        <vt:i4>1507379</vt:i4>
      </vt:variant>
      <vt:variant>
        <vt:i4>2450</vt:i4>
      </vt:variant>
      <vt:variant>
        <vt:i4>0</vt:i4>
      </vt:variant>
      <vt:variant>
        <vt:i4>5</vt:i4>
      </vt:variant>
      <vt:variant>
        <vt:lpwstr/>
      </vt:variant>
      <vt:variant>
        <vt:lpwstr>_Toc250994882</vt:lpwstr>
      </vt:variant>
      <vt:variant>
        <vt:i4>1507379</vt:i4>
      </vt:variant>
      <vt:variant>
        <vt:i4>2444</vt:i4>
      </vt:variant>
      <vt:variant>
        <vt:i4>0</vt:i4>
      </vt:variant>
      <vt:variant>
        <vt:i4>5</vt:i4>
      </vt:variant>
      <vt:variant>
        <vt:lpwstr/>
      </vt:variant>
      <vt:variant>
        <vt:lpwstr>_Toc250994881</vt:lpwstr>
      </vt:variant>
      <vt:variant>
        <vt:i4>1507379</vt:i4>
      </vt:variant>
      <vt:variant>
        <vt:i4>2438</vt:i4>
      </vt:variant>
      <vt:variant>
        <vt:i4>0</vt:i4>
      </vt:variant>
      <vt:variant>
        <vt:i4>5</vt:i4>
      </vt:variant>
      <vt:variant>
        <vt:lpwstr/>
      </vt:variant>
      <vt:variant>
        <vt:lpwstr>_Toc250994880</vt:lpwstr>
      </vt:variant>
      <vt:variant>
        <vt:i4>1572915</vt:i4>
      </vt:variant>
      <vt:variant>
        <vt:i4>2432</vt:i4>
      </vt:variant>
      <vt:variant>
        <vt:i4>0</vt:i4>
      </vt:variant>
      <vt:variant>
        <vt:i4>5</vt:i4>
      </vt:variant>
      <vt:variant>
        <vt:lpwstr/>
      </vt:variant>
      <vt:variant>
        <vt:lpwstr>_Toc250994879</vt:lpwstr>
      </vt:variant>
      <vt:variant>
        <vt:i4>1572915</vt:i4>
      </vt:variant>
      <vt:variant>
        <vt:i4>2426</vt:i4>
      </vt:variant>
      <vt:variant>
        <vt:i4>0</vt:i4>
      </vt:variant>
      <vt:variant>
        <vt:i4>5</vt:i4>
      </vt:variant>
      <vt:variant>
        <vt:lpwstr/>
      </vt:variant>
      <vt:variant>
        <vt:lpwstr>_Toc250994878</vt:lpwstr>
      </vt:variant>
      <vt:variant>
        <vt:i4>1572915</vt:i4>
      </vt:variant>
      <vt:variant>
        <vt:i4>2420</vt:i4>
      </vt:variant>
      <vt:variant>
        <vt:i4>0</vt:i4>
      </vt:variant>
      <vt:variant>
        <vt:i4>5</vt:i4>
      </vt:variant>
      <vt:variant>
        <vt:lpwstr/>
      </vt:variant>
      <vt:variant>
        <vt:lpwstr>_Toc250994877</vt:lpwstr>
      </vt:variant>
      <vt:variant>
        <vt:i4>1572915</vt:i4>
      </vt:variant>
      <vt:variant>
        <vt:i4>2414</vt:i4>
      </vt:variant>
      <vt:variant>
        <vt:i4>0</vt:i4>
      </vt:variant>
      <vt:variant>
        <vt:i4>5</vt:i4>
      </vt:variant>
      <vt:variant>
        <vt:lpwstr/>
      </vt:variant>
      <vt:variant>
        <vt:lpwstr>_Toc250994876</vt:lpwstr>
      </vt:variant>
      <vt:variant>
        <vt:i4>1572915</vt:i4>
      </vt:variant>
      <vt:variant>
        <vt:i4>2408</vt:i4>
      </vt:variant>
      <vt:variant>
        <vt:i4>0</vt:i4>
      </vt:variant>
      <vt:variant>
        <vt:i4>5</vt:i4>
      </vt:variant>
      <vt:variant>
        <vt:lpwstr/>
      </vt:variant>
      <vt:variant>
        <vt:lpwstr>_Toc250994875</vt:lpwstr>
      </vt:variant>
      <vt:variant>
        <vt:i4>1572915</vt:i4>
      </vt:variant>
      <vt:variant>
        <vt:i4>2402</vt:i4>
      </vt:variant>
      <vt:variant>
        <vt:i4>0</vt:i4>
      </vt:variant>
      <vt:variant>
        <vt:i4>5</vt:i4>
      </vt:variant>
      <vt:variant>
        <vt:lpwstr/>
      </vt:variant>
      <vt:variant>
        <vt:lpwstr>_Toc250994874</vt:lpwstr>
      </vt:variant>
      <vt:variant>
        <vt:i4>1572915</vt:i4>
      </vt:variant>
      <vt:variant>
        <vt:i4>2396</vt:i4>
      </vt:variant>
      <vt:variant>
        <vt:i4>0</vt:i4>
      </vt:variant>
      <vt:variant>
        <vt:i4>5</vt:i4>
      </vt:variant>
      <vt:variant>
        <vt:lpwstr/>
      </vt:variant>
      <vt:variant>
        <vt:lpwstr>_Toc250994873</vt:lpwstr>
      </vt:variant>
      <vt:variant>
        <vt:i4>1572915</vt:i4>
      </vt:variant>
      <vt:variant>
        <vt:i4>2390</vt:i4>
      </vt:variant>
      <vt:variant>
        <vt:i4>0</vt:i4>
      </vt:variant>
      <vt:variant>
        <vt:i4>5</vt:i4>
      </vt:variant>
      <vt:variant>
        <vt:lpwstr/>
      </vt:variant>
      <vt:variant>
        <vt:lpwstr>_Toc250994872</vt:lpwstr>
      </vt:variant>
      <vt:variant>
        <vt:i4>1572915</vt:i4>
      </vt:variant>
      <vt:variant>
        <vt:i4>2384</vt:i4>
      </vt:variant>
      <vt:variant>
        <vt:i4>0</vt:i4>
      </vt:variant>
      <vt:variant>
        <vt:i4>5</vt:i4>
      </vt:variant>
      <vt:variant>
        <vt:lpwstr/>
      </vt:variant>
      <vt:variant>
        <vt:lpwstr>_Toc250994871</vt:lpwstr>
      </vt:variant>
      <vt:variant>
        <vt:i4>1572915</vt:i4>
      </vt:variant>
      <vt:variant>
        <vt:i4>2378</vt:i4>
      </vt:variant>
      <vt:variant>
        <vt:i4>0</vt:i4>
      </vt:variant>
      <vt:variant>
        <vt:i4>5</vt:i4>
      </vt:variant>
      <vt:variant>
        <vt:lpwstr/>
      </vt:variant>
      <vt:variant>
        <vt:lpwstr>_Toc250994870</vt:lpwstr>
      </vt:variant>
      <vt:variant>
        <vt:i4>1638451</vt:i4>
      </vt:variant>
      <vt:variant>
        <vt:i4>2372</vt:i4>
      </vt:variant>
      <vt:variant>
        <vt:i4>0</vt:i4>
      </vt:variant>
      <vt:variant>
        <vt:i4>5</vt:i4>
      </vt:variant>
      <vt:variant>
        <vt:lpwstr/>
      </vt:variant>
      <vt:variant>
        <vt:lpwstr>_Toc250994869</vt:lpwstr>
      </vt:variant>
      <vt:variant>
        <vt:i4>1638451</vt:i4>
      </vt:variant>
      <vt:variant>
        <vt:i4>2366</vt:i4>
      </vt:variant>
      <vt:variant>
        <vt:i4>0</vt:i4>
      </vt:variant>
      <vt:variant>
        <vt:i4>5</vt:i4>
      </vt:variant>
      <vt:variant>
        <vt:lpwstr/>
      </vt:variant>
      <vt:variant>
        <vt:lpwstr>_Toc250994868</vt:lpwstr>
      </vt:variant>
      <vt:variant>
        <vt:i4>1638451</vt:i4>
      </vt:variant>
      <vt:variant>
        <vt:i4>2360</vt:i4>
      </vt:variant>
      <vt:variant>
        <vt:i4>0</vt:i4>
      </vt:variant>
      <vt:variant>
        <vt:i4>5</vt:i4>
      </vt:variant>
      <vt:variant>
        <vt:lpwstr/>
      </vt:variant>
      <vt:variant>
        <vt:lpwstr>_Toc250994867</vt:lpwstr>
      </vt:variant>
      <vt:variant>
        <vt:i4>1638451</vt:i4>
      </vt:variant>
      <vt:variant>
        <vt:i4>2354</vt:i4>
      </vt:variant>
      <vt:variant>
        <vt:i4>0</vt:i4>
      </vt:variant>
      <vt:variant>
        <vt:i4>5</vt:i4>
      </vt:variant>
      <vt:variant>
        <vt:lpwstr/>
      </vt:variant>
      <vt:variant>
        <vt:lpwstr>_Toc250994866</vt:lpwstr>
      </vt:variant>
      <vt:variant>
        <vt:i4>1638451</vt:i4>
      </vt:variant>
      <vt:variant>
        <vt:i4>2348</vt:i4>
      </vt:variant>
      <vt:variant>
        <vt:i4>0</vt:i4>
      </vt:variant>
      <vt:variant>
        <vt:i4>5</vt:i4>
      </vt:variant>
      <vt:variant>
        <vt:lpwstr/>
      </vt:variant>
      <vt:variant>
        <vt:lpwstr>_Toc250994865</vt:lpwstr>
      </vt:variant>
      <vt:variant>
        <vt:i4>1638451</vt:i4>
      </vt:variant>
      <vt:variant>
        <vt:i4>2342</vt:i4>
      </vt:variant>
      <vt:variant>
        <vt:i4>0</vt:i4>
      </vt:variant>
      <vt:variant>
        <vt:i4>5</vt:i4>
      </vt:variant>
      <vt:variant>
        <vt:lpwstr/>
      </vt:variant>
      <vt:variant>
        <vt:lpwstr>_Toc250994864</vt:lpwstr>
      </vt:variant>
      <vt:variant>
        <vt:i4>1638451</vt:i4>
      </vt:variant>
      <vt:variant>
        <vt:i4>2336</vt:i4>
      </vt:variant>
      <vt:variant>
        <vt:i4>0</vt:i4>
      </vt:variant>
      <vt:variant>
        <vt:i4>5</vt:i4>
      </vt:variant>
      <vt:variant>
        <vt:lpwstr/>
      </vt:variant>
      <vt:variant>
        <vt:lpwstr>_Toc250994863</vt:lpwstr>
      </vt:variant>
      <vt:variant>
        <vt:i4>1638451</vt:i4>
      </vt:variant>
      <vt:variant>
        <vt:i4>2330</vt:i4>
      </vt:variant>
      <vt:variant>
        <vt:i4>0</vt:i4>
      </vt:variant>
      <vt:variant>
        <vt:i4>5</vt:i4>
      </vt:variant>
      <vt:variant>
        <vt:lpwstr/>
      </vt:variant>
      <vt:variant>
        <vt:lpwstr>_Toc250994862</vt:lpwstr>
      </vt:variant>
      <vt:variant>
        <vt:i4>1638451</vt:i4>
      </vt:variant>
      <vt:variant>
        <vt:i4>2324</vt:i4>
      </vt:variant>
      <vt:variant>
        <vt:i4>0</vt:i4>
      </vt:variant>
      <vt:variant>
        <vt:i4>5</vt:i4>
      </vt:variant>
      <vt:variant>
        <vt:lpwstr/>
      </vt:variant>
      <vt:variant>
        <vt:lpwstr>_Toc250994861</vt:lpwstr>
      </vt:variant>
      <vt:variant>
        <vt:i4>1638451</vt:i4>
      </vt:variant>
      <vt:variant>
        <vt:i4>2318</vt:i4>
      </vt:variant>
      <vt:variant>
        <vt:i4>0</vt:i4>
      </vt:variant>
      <vt:variant>
        <vt:i4>5</vt:i4>
      </vt:variant>
      <vt:variant>
        <vt:lpwstr/>
      </vt:variant>
      <vt:variant>
        <vt:lpwstr>_Toc250994860</vt:lpwstr>
      </vt:variant>
      <vt:variant>
        <vt:i4>1703987</vt:i4>
      </vt:variant>
      <vt:variant>
        <vt:i4>2312</vt:i4>
      </vt:variant>
      <vt:variant>
        <vt:i4>0</vt:i4>
      </vt:variant>
      <vt:variant>
        <vt:i4>5</vt:i4>
      </vt:variant>
      <vt:variant>
        <vt:lpwstr/>
      </vt:variant>
      <vt:variant>
        <vt:lpwstr>_Toc250994859</vt:lpwstr>
      </vt:variant>
      <vt:variant>
        <vt:i4>1703987</vt:i4>
      </vt:variant>
      <vt:variant>
        <vt:i4>2306</vt:i4>
      </vt:variant>
      <vt:variant>
        <vt:i4>0</vt:i4>
      </vt:variant>
      <vt:variant>
        <vt:i4>5</vt:i4>
      </vt:variant>
      <vt:variant>
        <vt:lpwstr/>
      </vt:variant>
      <vt:variant>
        <vt:lpwstr>_Toc250994858</vt:lpwstr>
      </vt:variant>
      <vt:variant>
        <vt:i4>1703987</vt:i4>
      </vt:variant>
      <vt:variant>
        <vt:i4>2300</vt:i4>
      </vt:variant>
      <vt:variant>
        <vt:i4>0</vt:i4>
      </vt:variant>
      <vt:variant>
        <vt:i4>5</vt:i4>
      </vt:variant>
      <vt:variant>
        <vt:lpwstr/>
      </vt:variant>
      <vt:variant>
        <vt:lpwstr>_Toc250994857</vt:lpwstr>
      </vt:variant>
      <vt:variant>
        <vt:i4>1703987</vt:i4>
      </vt:variant>
      <vt:variant>
        <vt:i4>2294</vt:i4>
      </vt:variant>
      <vt:variant>
        <vt:i4>0</vt:i4>
      </vt:variant>
      <vt:variant>
        <vt:i4>5</vt:i4>
      </vt:variant>
      <vt:variant>
        <vt:lpwstr/>
      </vt:variant>
      <vt:variant>
        <vt:lpwstr>_Toc250994856</vt:lpwstr>
      </vt:variant>
      <vt:variant>
        <vt:i4>1703987</vt:i4>
      </vt:variant>
      <vt:variant>
        <vt:i4>2288</vt:i4>
      </vt:variant>
      <vt:variant>
        <vt:i4>0</vt:i4>
      </vt:variant>
      <vt:variant>
        <vt:i4>5</vt:i4>
      </vt:variant>
      <vt:variant>
        <vt:lpwstr/>
      </vt:variant>
      <vt:variant>
        <vt:lpwstr>_Toc250994855</vt:lpwstr>
      </vt:variant>
      <vt:variant>
        <vt:i4>1703987</vt:i4>
      </vt:variant>
      <vt:variant>
        <vt:i4>2282</vt:i4>
      </vt:variant>
      <vt:variant>
        <vt:i4>0</vt:i4>
      </vt:variant>
      <vt:variant>
        <vt:i4>5</vt:i4>
      </vt:variant>
      <vt:variant>
        <vt:lpwstr/>
      </vt:variant>
      <vt:variant>
        <vt:lpwstr>_Toc250994854</vt:lpwstr>
      </vt:variant>
      <vt:variant>
        <vt:i4>1703987</vt:i4>
      </vt:variant>
      <vt:variant>
        <vt:i4>2276</vt:i4>
      </vt:variant>
      <vt:variant>
        <vt:i4>0</vt:i4>
      </vt:variant>
      <vt:variant>
        <vt:i4>5</vt:i4>
      </vt:variant>
      <vt:variant>
        <vt:lpwstr/>
      </vt:variant>
      <vt:variant>
        <vt:lpwstr>_Toc250994853</vt:lpwstr>
      </vt:variant>
      <vt:variant>
        <vt:i4>1703987</vt:i4>
      </vt:variant>
      <vt:variant>
        <vt:i4>2270</vt:i4>
      </vt:variant>
      <vt:variant>
        <vt:i4>0</vt:i4>
      </vt:variant>
      <vt:variant>
        <vt:i4>5</vt:i4>
      </vt:variant>
      <vt:variant>
        <vt:lpwstr/>
      </vt:variant>
      <vt:variant>
        <vt:lpwstr>_Toc250994852</vt:lpwstr>
      </vt:variant>
      <vt:variant>
        <vt:i4>1703987</vt:i4>
      </vt:variant>
      <vt:variant>
        <vt:i4>2264</vt:i4>
      </vt:variant>
      <vt:variant>
        <vt:i4>0</vt:i4>
      </vt:variant>
      <vt:variant>
        <vt:i4>5</vt:i4>
      </vt:variant>
      <vt:variant>
        <vt:lpwstr/>
      </vt:variant>
      <vt:variant>
        <vt:lpwstr>_Toc250994851</vt:lpwstr>
      </vt:variant>
      <vt:variant>
        <vt:i4>1703987</vt:i4>
      </vt:variant>
      <vt:variant>
        <vt:i4>2258</vt:i4>
      </vt:variant>
      <vt:variant>
        <vt:i4>0</vt:i4>
      </vt:variant>
      <vt:variant>
        <vt:i4>5</vt:i4>
      </vt:variant>
      <vt:variant>
        <vt:lpwstr/>
      </vt:variant>
      <vt:variant>
        <vt:lpwstr>_Toc250994850</vt:lpwstr>
      </vt:variant>
      <vt:variant>
        <vt:i4>1769523</vt:i4>
      </vt:variant>
      <vt:variant>
        <vt:i4>2252</vt:i4>
      </vt:variant>
      <vt:variant>
        <vt:i4>0</vt:i4>
      </vt:variant>
      <vt:variant>
        <vt:i4>5</vt:i4>
      </vt:variant>
      <vt:variant>
        <vt:lpwstr/>
      </vt:variant>
      <vt:variant>
        <vt:lpwstr>_Toc250994849</vt:lpwstr>
      </vt:variant>
      <vt:variant>
        <vt:i4>1769523</vt:i4>
      </vt:variant>
      <vt:variant>
        <vt:i4>2246</vt:i4>
      </vt:variant>
      <vt:variant>
        <vt:i4>0</vt:i4>
      </vt:variant>
      <vt:variant>
        <vt:i4>5</vt:i4>
      </vt:variant>
      <vt:variant>
        <vt:lpwstr/>
      </vt:variant>
      <vt:variant>
        <vt:lpwstr>_Toc250994848</vt:lpwstr>
      </vt:variant>
      <vt:variant>
        <vt:i4>1769523</vt:i4>
      </vt:variant>
      <vt:variant>
        <vt:i4>2240</vt:i4>
      </vt:variant>
      <vt:variant>
        <vt:i4>0</vt:i4>
      </vt:variant>
      <vt:variant>
        <vt:i4>5</vt:i4>
      </vt:variant>
      <vt:variant>
        <vt:lpwstr/>
      </vt:variant>
      <vt:variant>
        <vt:lpwstr>_Toc250994847</vt:lpwstr>
      </vt:variant>
      <vt:variant>
        <vt:i4>1769523</vt:i4>
      </vt:variant>
      <vt:variant>
        <vt:i4>2234</vt:i4>
      </vt:variant>
      <vt:variant>
        <vt:i4>0</vt:i4>
      </vt:variant>
      <vt:variant>
        <vt:i4>5</vt:i4>
      </vt:variant>
      <vt:variant>
        <vt:lpwstr/>
      </vt:variant>
      <vt:variant>
        <vt:lpwstr>_Toc250994846</vt:lpwstr>
      </vt:variant>
      <vt:variant>
        <vt:i4>1769523</vt:i4>
      </vt:variant>
      <vt:variant>
        <vt:i4>2228</vt:i4>
      </vt:variant>
      <vt:variant>
        <vt:i4>0</vt:i4>
      </vt:variant>
      <vt:variant>
        <vt:i4>5</vt:i4>
      </vt:variant>
      <vt:variant>
        <vt:lpwstr/>
      </vt:variant>
      <vt:variant>
        <vt:lpwstr>_Toc250994845</vt:lpwstr>
      </vt:variant>
      <vt:variant>
        <vt:i4>1769523</vt:i4>
      </vt:variant>
      <vt:variant>
        <vt:i4>2222</vt:i4>
      </vt:variant>
      <vt:variant>
        <vt:i4>0</vt:i4>
      </vt:variant>
      <vt:variant>
        <vt:i4>5</vt:i4>
      </vt:variant>
      <vt:variant>
        <vt:lpwstr/>
      </vt:variant>
      <vt:variant>
        <vt:lpwstr>_Toc250994844</vt:lpwstr>
      </vt:variant>
      <vt:variant>
        <vt:i4>1769523</vt:i4>
      </vt:variant>
      <vt:variant>
        <vt:i4>2216</vt:i4>
      </vt:variant>
      <vt:variant>
        <vt:i4>0</vt:i4>
      </vt:variant>
      <vt:variant>
        <vt:i4>5</vt:i4>
      </vt:variant>
      <vt:variant>
        <vt:lpwstr/>
      </vt:variant>
      <vt:variant>
        <vt:lpwstr>_Toc250994843</vt:lpwstr>
      </vt:variant>
      <vt:variant>
        <vt:i4>1769523</vt:i4>
      </vt:variant>
      <vt:variant>
        <vt:i4>2210</vt:i4>
      </vt:variant>
      <vt:variant>
        <vt:i4>0</vt:i4>
      </vt:variant>
      <vt:variant>
        <vt:i4>5</vt:i4>
      </vt:variant>
      <vt:variant>
        <vt:lpwstr/>
      </vt:variant>
      <vt:variant>
        <vt:lpwstr>_Toc250994842</vt:lpwstr>
      </vt:variant>
      <vt:variant>
        <vt:i4>1769523</vt:i4>
      </vt:variant>
      <vt:variant>
        <vt:i4>2204</vt:i4>
      </vt:variant>
      <vt:variant>
        <vt:i4>0</vt:i4>
      </vt:variant>
      <vt:variant>
        <vt:i4>5</vt:i4>
      </vt:variant>
      <vt:variant>
        <vt:lpwstr/>
      </vt:variant>
      <vt:variant>
        <vt:lpwstr>_Toc250994841</vt:lpwstr>
      </vt:variant>
      <vt:variant>
        <vt:i4>1769523</vt:i4>
      </vt:variant>
      <vt:variant>
        <vt:i4>2198</vt:i4>
      </vt:variant>
      <vt:variant>
        <vt:i4>0</vt:i4>
      </vt:variant>
      <vt:variant>
        <vt:i4>5</vt:i4>
      </vt:variant>
      <vt:variant>
        <vt:lpwstr/>
      </vt:variant>
      <vt:variant>
        <vt:lpwstr>_Toc250994840</vt:lpwstr>
      </vt:variant>
      <vt:variant>
        <vt:i4>1835059</vt:i4>
      </vt:variant>
      <vt:variant>
        <vt:i4>2192</vt:i4>
      </vt:variant>
      <vt:variant>
        <vt:i4>0</vt:i4>
      </vt:variant>
      <vt:variant>
        <vt:i4>5</vt:i4>
      </vt:variant>
      <vt:variant>
        <vt:lpwstr/>
      </vt:variant>
      <vt:variant>
        <vt:lpwstr>_Toc250994839</vt:lpwstr>
      </vt:variant>
      <vt:variant>
        <vt:i4>1835059</vt:i4>
      </vt:variant>
      <vt:variant>
        <vt:i4>2186</vt:i4>
      </vt:variant>
      <vt:variant>
        <vt:i4>0</vt:i4>
      </vt:variant>
      <vt:variant>
        <vt:i4>5</vt:i4>
      </vt:variant>
      <vt:variant>
        <vt:lpwstr/>
      </vt:variant>
      <vt:variant>
        <vt:lpwstr>_Toc250994838</vt:lpwstr>
      </vt:variant>
      <vt:variant>
        <vt:i4>1835059</vt:i4>
      </vt:variant>
      <vt:variant>
        <vt:i4>2180</vt:i4>
      </vt:variant>
      <vt:variant>
        <vt:i4>0</vt:i4>
      </vt:variant>
      <vt:variant>
        <vt:i4>5</vt:i4>
      </vt:variant>
      <vt:variant>
        <vt:lpwstr/>
      </vt:variant>
      <vt:variant>
        <vt:lpwstr>_Toc250994837</vt:lpwstr>
      </vt:variant>
      <vt:variant>
        <vt:i4>1835059</vt:i4>
      </vt:variant>
      <vt:variant>
        <vt:i4>2174</vt:i4>
      </vt:variant>
      <vt:variant>
        <vt:i4>0</vt:i4>
      </vt:variant>
      <vt:variant>
        <vt:i4>5</vt:i4>
      </vt:variant>
      <vt:variant>
        <vt:lpwstr/>
      </vt:variant>
      <vt:variant>
        <vt:lpwstr>_Toc250994836</vt:lpwstr>
      </vt:variant>
      <vt:variant>
        <vt:i4>1835059</vt:i4>
      </vt:variant>
      <vt:variant>
        <vt:i4>2168</vt:i4>
      </vt:variant>
      <vt:variant>
        <vt:i4>0</vt:i4>
      </vt:variant>
      <vt:variant>
        <vt:i4>5</vt:i4>
      </vt:variant>
      <vt:variant>
        <vt:lpwstr/>
      </vt:variant>
      <vt:variant>
        <vt:lpwstr>_Toc250994835</vt:lpwstr>
      </vt:variant>
      <vt:variant>
        <vt:i4>1835059</vt:i4>
      </vt:variant>
      <vt:variant>
        <vt:i4>2162</vt:i4>
      </vt:variant>
      <vt:variant>
        <vt:i4>0</vt:i4>
      </vt:variant>
      <vt:variant>
        <vt:i4>5</vt:i4>
      </vt:variant>
      <vt:variant>
        <vt:lpwstr/>
      </vt:variant>
      <vt:variant>
        <vt:lpwstr>_Toc250994834</vt:lpwstr>
      </vt:variant>
      <vt:variant>
        <vt:i4>1835059</vt:i4>
      </vt:variant>
      <vt:variant>
        <vt:i4>2156</vt:i4>
      </vt:variant>
      <vt:variant>
        <vt:i4>0</vt:i4>
      </vt:variant>
      <vt:variant>
        <vt:i4>5</vt:i4>
      </vt:variant>
      <vt:variant>
        <vt:lpwstr/>
      </vt:variant>
      <vt:variant>
        <vt:lpwstr>_Toc250994833</vt:lpwstr>
      </vt:variant>
      <vt:variant>
        <vt:i4>1835059</vt:i4>
      </vt:variant>
      <vt:variant>
        <vt:i4>2150</vt:i4>
      </vt:variant>
      <vt:variant>
        <vt:i4>0</vt:i4>
      </vt:variant>
      <vt:variant>
        <vt:i4>5</vt:i4>
      </vt:variant>
      <vt:variant>
        <vt:lpwstr/>
      </vt:variant>
      <vt:variant>
        <vt:lpwstr>_Toc250994832</vt:lpwstr>
      </vt:variant>
      <vt:variant>
        <vt:i4>1835059</vt:i4>
      </vt:variant>
      <vt:variant>
        <vt:i4>2144</vt:i4>
      </vt:variant>
      <vt:variant>
        <vt:i4>0</vt:i4>
      </vt:variant>
      <vt:variant>
        <vt:i4>5</vt:i4>
      </vt:variant>
      <vt:variant>
        <vt:lpwstr/>
      </vt:variant>
      <vt:variant>
        <vt:lpwstr>_Toc250994831</vt:lpwstr>
      </vt:variant>
      <vt:variant>
        <vt:i4>1835059</vt:i4>
      </vt:variant>
      <vt:variant>
        <vt:i4>2138</vt:i4>
      </vt:variant>
      <vt:variant>
        <vt:i4>0</vt:i4>
      </vt:variant>
      <vt:variant>
        <vt:i4>5</vt:i4>
      </vt:variant>
      <vt:variant>
        <vt:lpwstr/>
      </vt:variant>
      <vt:variant>
        <vt:lpwstr>_Toc250994830</vt:lpwstr>
      </vt:variant>
      <vt:variant>
        <vt:i4>1900595</vt:i4>
      </vt:variant>
      <vt:variant>
        <vt:i4>2132</vt:i4>
      </vt:variant>
      <vt:variant>
        <vt:i4>0</vt:i4>
      </vt:variant>
      <vt:variant>
        <vt:i4>5</vt:i4>
      </vt:variant>
      <vt:variant>
        <vt:lpwstr/>
      </vt:variant>
      <vt:variant>
        <vt:lpwstr>_Toc250994829</vt:lpwstr>
      </vt:variant>
      <vt:variant>
        <vt:i4>1900595</vt:i4>
      </vt:variant>
      <vt:variant>
        <vt:i4>2126</vt:i4>
      </vt:variant>
      <vt:variant>
        <vt:i4>0</vt:i4>
      </vt:variant>
      <vt:variant>
        <vt:i4>5</vt:i4>
      </vt:variant>
      <vt:variant>
        <vt:lpwstr/>
      </vt:variant>
      <vt:variant>
        <vt:lpwstr>_Toc250994828</vt:lpwstr>
      </vt:variant>
      <vt:variant>
        <vt:i4>1900595</vt:i4>
      </vt:variant>
      <vt:variant>
        <vt:i4>2120</vt:i4>
      </vt:variant>
      <vt:variant>
        <vt:i4>0</vt:i4>
      </vt:variant>
      <vt:variant>
        <vt:i4>5</vt:i4>
      </vt:variant>
      <vt:variant>
        <vt:lpwstr/>
      </vt:variant>
      <vt:variant>
        <vt:lpwstr>_Toc250994827</vt:lpwstr>
      </vt:variant>
      <vt:variant>
        <vt:i4>1900595</vt:i4>
      </vt:variant>
      <vt:variant>
        <vt:i4>2114</vt:i4>
      </vt:variant>
      <vt:variant>
        <vt:i4>0</vt:i4>
      </vt:variant>
      <vt:variant>
        <vt:i4>5</vt:i4>
      </vt:variant>
      <vt:variant>
        <vt:lpwstr/>
      </vt:variant>
      <vt:variant>
        <vt:lpwstr>_Toc250994826</vt:lpwstr>
      </vt:variant>
      <vt:variant>
        <vt:i4>1900595</vt:i4>
      </vt:variant>
      <vt:variant>
        <vt:i4>2108</vt:i4>
      </vt:variant>
      <vt:variant>
        <vt:i4>0</vt:i4>
      </vt:variant>
      <vt:variant>
        <vt:i4>5</vt:i4>
      </vt:variant>
      <vt:variant>
        <vt:lpwstr/>
      </vt:variant>
      <vt:variant>
        <vt:lpwstr>_Toc250994825</vt:lpwstr>
      </vt:variant>
      <vt:variant>
        <vt:i4>1900595</vt:i4>
      </vt:variant>
      <vt:variant>
        <vt:i4>2102</vt:i4>
      </vt:variant>
      <vt:variant>
        <vt:i4>0</vt:i4>
      </vt:variant>
      <vt:variant>
        <vt:i4>5</vt:i4>
      </vt:variant>
      <vt:variant>
        <vt:lpwstr/>
      </vt:variant>
      <vt:variant>
        <vt:lpwstr>_Toc250994824</vt:lpwstr>
      </vt:variant>
      <vt:variant>
        <vt:i4>1900595</vt:i4>
      </vt:variant>
      <vt:variant>
        <vt:i4>2096</vt:i4>
      </vt:variant>
      <vt:variant>
        <vt:i4>0</vt:i4>
      </vt:variant>
      <vt:variant>
        <vt:i4>5</vt:i4>
      </vt:variant>
      <vt:variant>
        <vt:lpwstr/>
      </vt:variant>
      <vt:variant>
        <vt:lpwstr>_Toc250994823</vt:lpwstr>
      </vt:variant>
      <vt:variant>
        <vt:i4>1900595</vt:i4>
      </vt:variant>
      <vt:variant>
        <vt:i4>2090</vt:i4>
      </vt:variant>
      <vt:variant>
        <vt:i4>0</vt:i4>
      </vt:variant>
      <vt:variant>
        <vt:i4>5</vt:i4>
      </vt:variant>
      <vt:variant>
        <vt:lpwstr/>
      </vt:variant>
      <vt:variant>
        <vt:lpwstr>_Toc250994822</vt:lpwstr>
      </vt:variant>
      <vt:variant>
        <vt:i4>1900595</vt:i4>
      </vt:variant>
      <vt:variant>
        <vt:i4>2084</vt:i4>
      </vt:variant>
      <vt:variant>
        <vt:i4>0</vt:i4>
      </vt:variant>
      <vt:variant>
        <vt:i4>5</vt:i4>
      </vt:variant>
      <vt:variant>
        <vt:lpwstr/>
      </vt:variant>
      <vt:variant>
        <vt:lpwstr>_Toc250994821</vt:lpwstr>
      </vt:variant>
      <vt:variant>
        <vt:i4>1900595</vt:i4>
      </vt:variant>
      <vt:variant>
        <vt:i4>2078</vt:i4>
      </vt:variant>
      <vt:variant>
        <vt:i4>0</vt:i4>
      </vt:variant>
      <vt:variant>
        <vt:i4>5</vt:i4>
      </vt:variant>
      <vt:variant>
        <vt:lpwstr/>
      </vt:variant>
      <vt:variant>
        <vt:lpwstr>_Toc250994820</vt:lpwstr>
      </vt:variant>
      <vt:variant>
        <vt:i4>1966131</vt:i4>
      </vt:variant>
      <vt:variant>
        <vt:i4>2072</vt:i4>
      </vt:variant>
      <vt:variant>
        <vt:i4>0</vt:i4>
      </vt:variant>
      <vt:variant>
        <vt:i4>5</vt:i4>
      </vt:variant>
      <vt:variant>
        <vt:lpwstr/>
      </vt:variant>
      <vt:variant>
        <vt:lpwstr>_Toc250994819</vt:lpwstr>
      </vt:variant>
      <vt:variant>
        <vt:i4>1966131</vt:i4>
      </vt:variant>
      <vt:variant>
        <vt:i4>2066</vt:i4>
      </vt:variant>
      <vt:variant>
        <vt:i4>0</vt:i4>
      </vt:variant>
      <vt:variant>
        <vt:i4>5</vt:i4>
      </vt:variant>
      <vt:variant>
        <vt:lpwstr/>
      </vt:variant>
      <vt:variant>
        <vt:lpwstr>_Toc250994818</vt:lpwstr>
      </vt:variant>
      <vt:variant>
        <vt:i4>1966131</vt:i4>
      </vt:variant>
      <vt:variant>
        <vt:i4>2060</vt:i4>
      </vt:variant>
      <vt:variant>
        <vt:i4>0</vt:i4>
      </vt:variant>
      <vt:variant>
        <vt:i4>5</vt:i4>
      </vt:variant>
      <vt:variant>
        <vt:lpwstr/>
      </vt:variant>
      <vt:variant>
        <vt:lpwstr>_Toc250994817</vt:lpwstr>
      </vt:variant>
      <vt:variant>
        <vt:i4>1966131</vt:i4>
      </vt:variant>
      <vt:variant>
        <vt:i4>2054</vt:i4>
      </vt:variant>
      <vt:variant>
        <vt:i4>0</vt:i4>
      </vt:variant>
      <vt:variant>
        <vt:i4>5</vt:i4>
      </vt:variant>
      <vt:variant>
        <vt:lpwstr/>
      </vt:variant>
      <vt:variant>
        <vt:lpwstr>_Toc250994816</vt:lpwstr>
      </vt:variant>
      <vt:variant>
        <vt:i4>1966131</vt:i4>
      </vt:variant>
      <vt:variant>
        <vt:i4>2048</vt:i4>
      </vt:variant>
      <vt:variant>
        <vt:i4>0</vt:i4>
      </vt:variant>
      <vt:variant>
        <vt:i4>5</vt:i4>
      </vt:variant>
      <vt:variant>
        <vt:lpwstr/>
      </vt:variant>
      <vt:variant>
        <vt:lpwstr>_Toc250994815</vt:lpwstr>
      </vt:variant>
      <vt:variant>
        <vt:i4>1966131</vt:i4>
      </vt:variant>
      <vt:variant>
        <vt:i4>2042</vt:i4>
      </vt:variant>
      <vt:variant>
        <vt:i4>0</vt:i4>
      </vt:variant>
      <vt:variant>
        <vt:i4>5</vt:i4>
      </vt:variant>
      <vt:variant>
        <vt:lpwstr/>
      </vt:variant>
      <vt:variant>
        <vt:lpwstr>_Toc250994814</vt:lpwstr>
      </vt:variant>
      <vt:variant>
        <vt:i4>1966131</vt:i4>
      </vt:variant>
      <vt:variant>
        <vt:i4>2036</vt:i4>
      </vt:variant>
      <vt:variant>
        <vt:i4>0</vt:i4>
      </vt:variant>
      <vt:variant>
        <vt:i4>5</vt:i4>
      </vt:variant>
      <vt:variant>
        <vt:lpwstr/>
      </vt:variant>
      <vt:variant>
        <vt:lpwstr>_Toc250994813</vt:lpwstr>
      </vt:variant>
      <vt:variant>
        <vt:i4>1966131</vt:i4>
      </vt:variant>
      <vt:variant>
        <vt:i4>2030</vt:i4>
      </vt:variant>
      <vt:variant>
        <vt:i4>0</vt:i4>
      </vt:variant>
      <vt:variant>
        <vt:i4>5</vt:i4>
      </vt:variant>
      <vt:variant>
        <vt:lpwstr/>
      </vt:variant>
      <vt:variant>
        <vt:lpwstr>_Toc250994812</vt:lpwstr>
      </vt:variant>
      <vt:variant>
        <vt:i4>1966131</vt:i4>
      </vt:variant>
      <vt:variant>
        <vt:i4>2024</vt:i4>
      </vt:variant>
      <vt:variant>
        <vt:i4>0</vt:i4>
      </vt:variant>
      <vt:variant>
        <vt:i4>5</vt:i4>
      </vt:variant>
      <vt:variant>
        <vt:lpwstr/>
      </vt:variant>
      <vt:variant>
        <vt:lpwstr>_Toc250994811</vt:lpwstr>
      </vt:variant>
      <vt:variant>
        <vt:i4>1966131</vt:i4>
      </vt:variant>
      <vt:variant>
        <vt:i4>2018</vt:i4>
      </vt:variant>
      <vt:variant>
        <vt:i4>0</vt:i4>
      </vt:variant>
      <vt:variant>
        <vt:i4>5</vt:i4>
      </vt:variant>
      <vt:variant>
        <vt:lpwstr/>
      </vt:variant>
      <vt:variant>
        <vt:lpwstr>_Toc250994810</vt:lpwstr>
      </vt:variant>
      <vt:variant>
        <vt:i4>2031667</vt:i4>
      </vt:variant>
      <vt:variant>
        <vt:i4>2012</vt:i4>
      </vt:variant>
      <vt:variant>
        <vt:i4>0</vt:i4>
      </vt:variant>
      <vt:variant>
        <vt:i4>5</vt:i4>
      </vt:variant>
      <vt:variant>
        <vt:lpwstr/>
      </vt:variant>
      <vt:variant>
        <vt:lpwstr>_Toc250994809</vt:lpwstr>
      </vt:variant>
      <vt:variant>
        <vt:i4>2031667</vt:i4>
      </vt:variant>
      <vt:variant>
        <vt:i4>2006</vt:i4>
      </vt:variant>
      <vt:variant>
        <vt:i4>0</vt:i4>
      </vt:variant>
      <vt:variant>
        <vt:i4>5</vt:i4>
      </vt:variant>
      <vt:variant>
        <vt:lpwstr/>
      </vt:variant>
      <vt:variant>
        <vt:lpwstr>_Toc250994808</vt:lpwstr>
      </vt:variant>
      <vt:variant>
        <vt:i4>2031667</vt:i4>
      </vt:variant>
      <vt:variant>
        <vt:i4>2000</vt:i4>
      </vt:variant>
      <vt:variant>
        <vt:i4>0</vt:i4>
      </vt:variant>
      <vt:variant>
        <vt:i4>5</vt:i4>
      </vt:variant>
      <vt:variant>
        <vt:lpwstr/>
      </vt:variant>
      <vt:variant>
        <vt:lpwstr>_Toc250994807</vt:lpwstr>
      </vt:variant>
      <vt:variant>
        <vt:i4>2031667</vt:i4>
      </vt:variant>
      <vt:variant>
        <vt:i4>1994</vt:i4>
      </vt:variant>
      <vt:variant>
        <vt:i4>0</vt:i4>
      </vt:variant>
      <vt:variant>
        <vt:i4>5</vt:i4>
      </vt:variant>
      <vt:variant>
        <vt:lpwstr/>
      </vt:variant>
      <vt:variant>
        <vt:lpwstr>_Toc250994806</vt:lpwstr>
      </vt:variant>
      <vt:variant>
        <vt:i4>2031667</vt:i4>
      </vt:variant>
      <vt:variant>
        <vt:i4>1988</vt:i4>
      </vt:variant>
      <vt:variant>
        <vt:i4>0</vt:i4>
      </vt:variant>
      <vt:variant>
        <vt:i4>5</vt:i4>
      </vt:variant>
      <vt:variant>
        <vt:lpwstr/>
      </vt:variant>
      <vt:variant>
        <vt:lpwstr>_Toc250994805</vt:lpwstr>
      </vt:variant>
      <vt:variant>
        <vt:i4>2031667</vt:i4>
      </vt:variant>
      <vt:variant>
        <vt:i4>1982</vt:i4>
      </vt:variant>
      <vt:variant>
        <vt:i4>0</vt:i4>
      </vt:variant>
      <vt:variant>
        <vt:i4>5</vt:i4>
      </vt:variant>
      <vt:variant>
        <vt:lpwstr/>
      </vt:variant>
      <vt:variant>
        <vt:lpwstr>_Toc250994804</vt:lpwstr>
      </vt:variant>
      <vt:variant>
        <vt:i4>2031667</vt:i4>
      </vt:variant>
      <vt:variant>
        <vt:i4>1976</vt:i4>
      </vt:variant>
      <vt:variant>
        <vt:i4>0</vt:i4>
      </vt:variant>
      <vt:variant>
        <vt:i4>5</vt:i4>
      </vt:variant>
      <vt:variant>
        <vt:lpwstr/>
      </vt:variant>
      <vt:variant>
        <vt:lpwstr>_Toc250994803</vt:lpwstr>
      </vt:variant>
      <vt:variant>
        <vt:i4>2031667</vt:i4>
      </vt:variant>
      <vt:variant>
        <vt:i4>1970</vt:i4>
      </vt:variant>
      <vt:variant>
        <vt:i4>0</vt:i4>
      </vt:variant>
      <vt:variant>
        <vt:i4>5</vt:i4>
      </vt:variant>
      <vt:variant>
        <vt:lpwstr/>
      </vt:variant>
      <vt:variant>
        <vt:lpwstr>_Toc250994802</vt:lpwstr>
      </vt:variant>
      <vt:variant>
        <vt:i4>2031667</vt:i4>
      </vt:variant>
      <vt:variant>
        <vt:i4>1964</vt:i4>
      </vt:variant>
      <vt:variant>
        <vt:i4>0</vt:i4>
      </vt:variant>
      <vt:variant>
        <vt:i4>5</vt:i4>
      </vt:variant>
      <vt:variant>
        <vt:lpwstr/>
      </vt:variant>
      <vt:variant>
        <vt:lpwstr>_Toc250994801</vt:lpwstr>
      </vt:variant>
      <vt:variant>
        <vt:i4>2031667</vt:i4>
      </vt:variant>
      <vt:variant>
        <vt:i4>1958</vt:i4>
      </vt:variant>
      <vt:variant>
        <vt:i4>0</vt:i4>
      </vt:variant>
      <vt:variant>
        <vt:i4>5</vt:i4>
      </vt:variant>
      <vt:variant>
        <vt:lpwstr/>
      </vt:variant>
      <vt:variant>
        <vt:lpwstr>_Toc250994800</vt:lpwstr>
      </vt:variant>
      <vt:variant>
        <vt:i4>1441852</vt:i4>
      </vt:variant>
      <vt:variant>
        <vt:i4>1952</vt:i4>
      </vt:variant>
      <vt:variant>
        <vt:i4>0</vt:i4>
      </vt:variant>
      <vt:variant>
        <vt:i4>5</vt:i4>
      </vt:variant>
      <vt:variant>
        <vt:lpwstr/>
      </vt:variant>
      <vt:variant>
        <vt:lpwstr>_Toc250994799</vt:lpwstr>
      </vt:variant>
      <vt:variant>
        <vt:i4>1441852</vt:i4>
      </vt:variant>
      <vt:variant>
        <vt:i4>1946</vt:i4>
      </vt:variant>
      <vt:variant>
        <vt:i4>0</vt:i4>
      </vt:variant>
      <vt:variant>
        <vt:i4>5</vt:i4>
      </vt:variant>
      <vt:variant>
        <vt:lpwstr/>
      </vt:variant>
      <vt:variant>
        <vt:lpwstr>_Toc250994798</vt:lpwstr>
      </vt:variant>
      <vt:variant>
        <vt:i4>1441852</vt:i4>
      </vt:variant>
      <vt:variant>
        <vt:i4>1940</vt:i4>
      </vt:variant>
      <vt:variant>
        <vt:i4>0</vt:i4>
      </vt:variant>
      <vt:variant>
        <vt:i4>5</vt:i4>
      </vt:variant>
      <vt:variant>
        <vt:lpwstr/>
      </vt:variant>
      <vt:variant>
        <vt:lpwstr>_Toc250994797</vt:lpwstr>
      </vt:variant>
      <vt:variant>
        <vt:i4>1441852</vt:i4>
      </vt:variant>
      <vt:variant>
        <vt:i4>1934</vt:i4>
      </vt:variant>
      <vt:variant>
        <vt:i4>0</vt:i4>
      </vt:variant>
      <vt:variant>
        <vt:i4>5</vt:i4>
      </vt:variant>
      <vt:variant>
        <vt:lpwstr/>
      </vt:variant>
      <vt:variant>
        <vt:lpwstr>_Toc250994796</vt:lpwstr>
      </vt:variant>
      <vt:variant>
        <vt:i4>1441852</vt:i4>
      </vt:variant>
      <vt:variant>
        <vt:i4>1928</vt:i4>
      </vt:variant>
      <vt:variant>
        <vt:i4>0</vt:i4>
      </vt:variant>
      <vt:variant>
        <vt:i4>5</vt:i4>
      </vt:variant>
      <vt:variant>
        <vt:lpwstr/>
      </vt:variant>
      <vt:variant>
        <vt:lpwstr>_Toc250994795</vt:lpwstr>
      </vt:variant>
      <vt:variant>
        <vt:i4>1441852</vt:i4>
      </vt:variant>
      <vt:variant>
        <vt:i4>1922</vt:i4>
      </vt:variant>
      <vt:variant>
        <vt:i4>0</vt:i4>
      </vt:variant>
      <vt:variant>
        <vt:i4>5</vt:i4>
      </vt:variant>
      <vt:variant>
        <vt:lpwstr/>
      </vt:variant>
      <vt:variant>
        <vt:lpwstr>_Toc250994794</vt:lpwstr>
      </vt:variant>
      <vt:variant>
        <vt:i4>1441852</vt:i4>
      </vt:variant>
      <vt:variant>
        <vt:i4>1916</vt:i4>
      </vt:variant>
      <vt:variant>
        <vt:i4>0</vt:i4>
      </vt:variant>
      <vt:variant>
        <vt:i4>5</vt:i4>
      </vt:variant>
      <vt:variant>
        <vt:lpwstr/>
      </vt:variant>
      <vt:variant>
        <vt:lpwstr>_Toc250994793</vt:lpwstr>
      </vt:variant>
      <vt:variant>
        <vt:i4>1441852</vt:i4>
      </vt:variant>
      <vt:variant>
        <vt:i4>1910</vt:i4>
      </vt:variant>
      <vt:variant>
        <vt:i4>0</vt:i4>
      </vt:variant>
      <vt:variant>
        <vt:i4>5</vt:i4>
      </vt:variant>
      <vt:variant>
        <vt:lpwstr/>
      </vt:variant>
      <vt:variant>
        <vt:lpwstr>_Toc250994792</vt:lpwstr>
      </vt:variant>
      <vt:variant>
        <vt:i4>1441852</vt:i4>
      </vt:variant>
      <vt:variant>
        <vt:i4>1904</vt:i4>
      </vt:variant>
      <vt:variant>
        <vt:i4>0</vt:i4>
      </vt:variant>
      <vt:variant>
        <vt:i4>5</vt:i4>
      </vt:variant>
      <vt:variant>
        <vt:lpwstr/>
      </vt:variant>
      <vt:variant>
        <vt:lpwstr>_Toc250994791</vt:lpwstr>
      </vt:variant>
      <vt:variant>
        <vt:i4>1441852</vt:i4>
      </vt:variant>
      <vt:variant>
        <vt:i4>1898</vt:i4>
      </vt:variant>
      <vt:variant>
        <vt:i4>0</vt:i4>
      </vt:variant>
      <vt:variant>
        <vt:i4>5</vt:i4>
      </vt:variant>
      <vt:variant>
        <vt:lpwstr/>
      </vt:variant>
      <vt:variant>
        <vt:lpwstr>_Toc250994790</vt:lpwstr>
      </vt:variant>
      <vt:variant>
        <vt:i4>1507388</vt:i4>
      </vt:variant>
      <vt:variant>
        <vt:i4>1892</vt:i4>
      </vt:variant>
      <vt:variant>
        <vt:i4>0</vt:i4>
      </vt:variant>
      <vt:variant>
        <vt:i4>5</vt:i4>
      </vt:variant>
      <vt:variant>
        <vt:lpwstr/>
      </vt:variant>
      <vt:variant>
        <vt:lpwstr>_Toc250994789</vt:lpwstr>
      </vt:variant>
      <vt:variant>
        <vt:i4>1507388</vt:i4>
      </vt:variant>
      <vt:variant>
        <vt:i4>1886</vt:i4>
      </vt:variant>
      <vt:variant>
        <vt:i4>0</vt:i4>
      </vt:variant>
      <vt:variant>
        <vt:i4>5</vt:i4>
      </vt:variant>
      <vt:variant>
        <vt:lpwstr/>
      </vt:variant>
      <vt:variant>
        <vt:lpwstr>_Toc250994788</vt:lpwstr>
      </vt:variant>
      <vt:variant>
        <vt:i4>1507388</vt:i4>
      </vt:variant>
      <vt:variant>
        <vt:i4>1880</vt:i4>
      </vt:variant>
      <vt:variant>
        <vt:i4>0</vt:i4>
      </vt:variant>
      <vt:variant>
        <vt:i4>5</vt:i4>
      </vt:variant>
      <vt:variant>
        <vt:lpwstr/>
      </vt:variant>
      <vt:variant>
        <vt:lpwstr>_Toc250994787</vt:lpwstr>
      </vt:variant>
      <vt:variant>
        <vt:i4>1507388</vt:i4>
      </vt:variant>
      <vt:variant>
        <vt:i4>1874</vt:i4>
      </vt:variant>
      <vt:variant>
        <vt:i4>0</vt:i4>
      </vt:variant>
      <vt:variant>
        <vt:i4>5</vt:i4>
      </vt:variant>
      <vt:variant>
        <vt:lpwstr/>
      </vt:variant>
      <vt:variant>
        <vt:lpwstr>_Toc250994786</vt:lpwstr>
      </vt:variant>
      <vt:variant>
        <vt:i4>1507388</vt:i4>
      </vt:variant>
      <vt:variant>
        <vt:i4>1868</vt:i4>
      </vt:variant>
      <vt:variant>
        <vt:i4>0</vt:i4>
      </vt:variant>
      <vt:variant>
        <vt:i4>5</vt:i4>
      </vt:variant>
      <vt:variant>
        <vt:lpwstr/>
      </vt:variant>
      <vt:variant>
        <vt:lpwstr>_Toc250994785</vt:lpwstr>
      </vt:variant>
      <vt:variant>
        <vt:i4>1507388</vt:i4>
      </vt:variant>
      <vt:variant>
        <vt:i4>1862</vt:i4>
      </vt:variant>
      <vt:variant>
        <vt:i4>0</vt:i4>
      </vt:variant>
      <vt:variant>
        <vt:i4>5</vt:i4>
      </vt:variant>
      <vt:variant>
        <vt:lpwstr/>
      </vt:variant>
      <vt:variant>
        <vt:lpwstr>_Toc250994784</vt:lpwstr>
      </vt:variant>
      <vt:variant>
        <vt:i4>1507388</vt:i4>
      </vt:variant>
      <vt:variant>
        <vt:i4>1856</vt:i4>
      </vt:variant>
      <vt:variant>
        <vt:i4>0</vt:i4>
      </vt:variant>
      <vt:variant>
        <vt:i4>5</vt:i4>
      </vt:variant>
      <vt:variant>
        <vt:lpwstr/>
      </vt:variant>
      <vt:variant>
        <vt:lpwstr>_Toc250994783</vt:lpwstr>
      </vt:variant>
      <vt:variant>
        <vt:i4>1507388</vt:i4>
      </vt:variant>
      <vt:variant>
        <vt:i4>1850</vt:i4>
      </vt:variant>
      <vt:variant>
        <vt:i4>0</vt:i4>
      </vt:variant>
      <vt:variant>
        <vt:i4>5</vt:i4>
      </vt:variant>
      <vt:variant>
        <vt:lpwstr/>
      </vt:variant>
      <vt:variant>
        <vt:lpwstr>_Toc250994782</vt:lpwstr>
      </vt:variant>
      <vt:variant>
        <vt:i4>1507388</vt:i4>
      </vt:variant>
      <vt:variant>
        <vt:i4>1844</vt:i4>
      </vt:variant>
      <vt:variant>
        <vt:i4>0</vt:i4>
      </vt:variant>
      <vt:variant>
        <vt:i4>5</vt:i4>
      </vt:variant>
      <vt:variant>
        <vt:lpwstr/>
      </vt:variant>
      <vt:variant>
        <vt:lpwstr>_Toc250994781</vt:lpwstr>
      </vt:variant>
      <vt:variant>
        <vt:i4>1507388</vt:i4>
      </vt:variant>
      <vt:variant>
        <vt:i4>1838</vt:i4>
      </vt:variant>
      <vt:variant>
        <vt:i4>0</vt:i4>
      </vt:variant>
      <vt:variant>
        <vt:i4>5</vt:i4>
      </vt:variant>
      <vt:variant>
        <vt:lpwstr/>
      </vt:variant>
      <vt:variant>
        <vt:lpwstr>_Toc250994780</vt:lpwstr>
      </vt:variant>
      <vt:variant>
        <vt:i4>1572924</vt:i4>
      </vt:variant>
      <vt:variant>
        <vt:i4>1832</vt:i4>
      </vt:variant>
      <vt:variant>
        <vt:i4>0</vt:i4>
      </vt:variant>
      <vt:variant>
        <vt:i4>5</vt:i4>
      </vt:variant>
      <vt:variant>
        <vt:lpwstr/>
      </vt:variant>
      <vt:variant>
        <vt:lpwstr>_Toc250994779</vt:lpwstr>
      </vt:variant>
      <vt:variant>
        <vt:i4>1572924</vt:i4>
      </vt:variant>
      <vt:variant>
        <vt:i4>1826</vt:i4>
      </vt:variant>
      <vt:variant>
        <vt:i4>0</vt:i4>
      </vt:variant>
      <vt:variant>
        <vt:i4>5</vt:i4>
      </vt:variant>
      <vt:variant>
        <vt:lpwstr/>
      </vt:variant>
      <vt:variant>
        <vt:lpwstr>_Toc250994778</vt:lpwstr>
      </vt:variant>
      <vt:variant>
        <vt:i4>1572924</vt:i4>
      </vt:variant>
      <vt:variant>
        <vt:i4>1820</vt:i4>
      </vt:variant>
      <vt:variant>
        <vt:i4>0</vt:i4>
      </vt:variant>
      <vt:variant>
        <vt:i4>5</vt:i4>
      </vt:variant>
      <vt:variant>
        <vt:lpwstr/>
      </vt:variant>
      <vt:variant>
        <vt:lpwstr>_Toc250994777</vt:lpwstr>
      </vt:variant>
      <vt:variant>
        <vt:i4>1572924</vt:i4>
      </vt:variant>
      <vt:variant>
        <vt:i4>1814</vt:i4>
      </vt:variant>
      <vt:variant>
        <vt:i4>0</vt:i4>
      </vt:variant>
      <vt:variant>
        <vt:i4>5</vt:i4>
      </vt:variant>
      <vt:variant>
        <vt:lpwstr/>
      </vt:variant>
      <vt:variant>
        <vt:lpwstr>_Toc250994776</vt:lpwstr>
      </vt:variant>
      <vt:variant>
        <vt:i4>1572924</vt:i4>
      </vt:variant>
      <vt:variant>
        <vt:i4>1808</vt:i4>
      </vt:variant>
      <vt:variant>
        <vt:i4>0</vt:i4>
      </vt:variant>
      <vt:variant>
        <vt:i4>5</vt:i4>
      </vt:variant>
      <vt:variant>
        <vt:lpwstr/>
      </vt:variant>
      <vt:variant>
        <vt:lpwstr>_Toc250994775</vt:lpwstr>
      </vt:variant>
      <vt:variant>
        <vt:i4>1572924</vt:i4>
      </vt:variant>
      <vt:variant>
        <vt:i4>1802</vt:i4>
      </vt:variant>
      <vt:variant>
        <vt:i4>0</vt:i4>
      </vt:variant>
      <vt:variant>
        <vt:i4>5</vt:i4>
      </vt:variant>
      <vt:variant>
        <vt:lpwstr/>
      </vt:variant>
      <vt:variant>
        <vt:lpwstr>_Toc250994774</vt:lpwstr>
      </vt:variant>
      <vt:variant>
        <vt:i4>1572924</vt:i4>
      </vt:variant>
      <vt:variant>
        <vt:i4>1796</vt:i4>
      </vt:variant>
      <vt:variant>
        <vt:i4>0</vt:i4>
      </vt:variant>
      <vt:variant>
        <vt:i4>5</vt:i4>
      </vt:variant>
      <vt:variant>
        <vt:lpwstr/>
      </vt:variant>
      <vt:variant>
        <vt:lpwstr>_Toc250994773</vt:lpwstr>
      </vt:variant>
      <vt:variant>
        <vt:i4>1572924</vt:i4>
      </vt:variant>
      <vt:variant>
        <vt:i4>1790</vt:i4>
      </vt:variant>
      <vt:variant>
        <vt:i4>0</vt:i4>
      </vt:variant>
      <vt:variant>
        <vt:i4>5</vt:i4>
      </vt:variant>
      <vt:variant>
        <vt:lpwstr/>
      </vt:variant>
      <vt:variant>
        <vt:lpwstr>_Toc250994772</vt:lpwstr>
      </vt:variant>
      <vt:variant>
        <vt:i4>1572924</vt:i4>
      </vt:variant>
      <vt:variant>
        <vt:i4>1784</vt:i4>
      </vt:variant>
      <vt:variant>
        <vt:i4>0</vt:i4>
      </vt:variant>
      <vt:variant>
        <vt:i4>5</vt:i4>
      </vt:variant>
      <vt:variant>
        <vt:lpwstr/>
      </vt:variant>
      <vt:variant>
        <vt:lpwstr>_Toc250994771</vt:lpwstr>
      </vt:variant>
      <vt:variant>
        <vt:i4>1572924</vt:i4>
      </vt:variant>
      <vt:variant>
        <vt:i4>1778</vt:i4>
      </vt:variant>
      <vt:variant>
        <vt:i4>0</vt:i4>
      </vt:variant>
      <vt:variant>
        <vt:i4>5</vt:i4>
      </vt:variant>
      <vt:variant>
        <vt:lpwstr/>
      </vt:variant>
      <vt:variant>
        <vt:lpwstr>_Toc250994770</vt:lpwstr>
      </vt:variant>
      <vt:variant>
        <vt:i4>1638460</vt:i4>
      </vt:variant>
      <vt:variant>
        <vt:i4>1772</vt:i4>
      </vt:variant>
      <vt:variant>
        <vt:i4>0</vt:i4>
      </vt:variant>
      <vt:variant>
        <vt:i4>5</vt:i4>
      </vt:variant>
      <vt:variant>
        <vt:lpwstr/>
      </vt:variant>
      <vt:variant>
        <vt:lpwstr>_Toc250994769</vt:lpwstr>
      </vt:variant>
      <vt:variant>
        <vt:i4>1638460</vt:i4>
      </vt:variant>
      <vt:variant>
        <vt:i4>1766</vt:i4>
      </vt:variant>
      <vt:variant>
        <vt:i4>0</vt:i4>
      </vt:variant>
      <vt:variant>
        <vt:i4>5</vt:i4>
      </vt:variant>
      <vt:variant>
        <vt:lpwstr/>
      </vt:variant>
      <vt:variant>
        <vt:lpwstr>_Toc250994768</vt:lpwstr>
      </vt:variant>
      <vt:variant>
        <vt:i4>1638460</vt:i4>
      </vt:variant>
      <vt:variant>
        <vt:i4>1760</vt:i4>
      </vt:variant>
      <vt:variant>
        <vt:i4>0</vt:i4>
      </vt:variant>
      <vt:variant>
        <vt:i4>5</vt:i4>
      </vt:variant>
      <vt:variant>
        <vt:lpwstr/>
      </vt:variant>
      <vt:variant>
        <vt:lpwstr>_Toc250994767</vt:lpwstr>
      </vt:variant>
      <vt:variant>
        <vt:i4>1638460</vt:i4>
      </vt:variant>
      <vt:variant>
        <vt:i4>1754</vt:i4>
      </vt:variant>
      <vt:variant>
        <vt:i4>0</vt:i4>
      </vt:variant>
      <vt:variant>
        <vt:i4>5</vt:i4>
      </vt:variant>
      <vt:variant>
        <vt:lpwstr/>
      </vt:variant>
      <vt:variant>
        <vt:lpwstr>_Toc250994766</vt:lpwstr>
      </vt:variant>
      <vt:variant>
        <vt:i4>1638460</vt:i4>
      </vt:variant>
      <vt:variant>
        <vt:i4>1748</vt:i4>
      </vt:variant>
      <vt:variant>
        <vt:i4>0</vt:i4>
      </vt:variant>
      <vt:variant>
        <vt:i4>5</vt:i4>
      </vt:variant>
      <vt:variant>
        <vt:lpwstr/>
      </vt:variant>
      <vt:variant>
        <vt:lpwstr>_Toc250994765</vt:lpwstr>
      </vt:variant>
      <vt:variant>
        <vt:i4>1638460</vt:i4>
      </vt:variant>
      <vt:variant>
        <vt:i4>1742</vt:i4>
      </vt:variant>
      <vt:variant>
        <vt:i4>0</vt:i4>
      </vt:variant>
      <vt:variant>
        <vt:i4>5</vt:i4>
      </vt:variant>
      <vt:variant>
        <vt:lpwstr/>
      </vt:variant>
      <vt:variant>
        <vt:lpwstr>_Toc250994764</vt:lpwstr>
      </vt:variant>
      <vt:variant>
        <vt:i4>1638460</vt:i4>
      </vt:variant>
      <vt:variant>
        <vt:i4>1736</vt:i4>
      </vt:variant>
      <vt:variant>
        <vt:i4>0</vt:i4>
      </vt:variant>
      <vt:variant>
        <vt:i4>5</vt:i4>
      </vt:variant>
      <vt:variant>
        <vt:lpwstr/>
      </vt:variant>
      <vt:variant>
        <vt:lpwstr>_Toc250994763</vt:lpwstr>
      </vt:variant>
      <vt:variant>
        <vt:i4>1638460</vt:i4>
      </vt:variant>
      <vt:variant>
        <vt:i4>1730</vt:i4>
      </vt:variant>
      <vt:variant>
        <vt:i4>0</vt:i4>
      </vt:variant>
      <vt:variant>
        <vt:i4>5</vt:i4>
      </vt:variant>
      <vt:variant>
        <vt:lpwstr/>
      </vt:variant>
      <vt:variant>
        <vt:lpwstr>_Toc250994762</vt:lpwstr>
      </vt:variant>
      <vt:variant>
        <vt:i4>1638460</vt:i4>
      </vt:variant>
      <vt:variant>
        <vt:i4>1724</vt:i4>
      </vt:variant>
      <vt:variant>
        <vt:i4>0</vt:i4>
      </vt:variant>
      <vt:variant>
        <vt:i4>5</vt:i4>
      </vt:variant>
      <vt:variant>
        <vt:lpwstr/>
      </vt:variant>
      <vt:variant>
        <vt:lpwstr>_Toc250994761</vt:lpwstr>
      </vt:variant>
      <vt:variant>
        <vt:i4>1638460</vt:i4>
      </vt:variant>
      <vt:variant>
        <vt:i4>1718</vt:i4>
      </vt:variant>
      <vt:variant>
        <vt:i4>0</vt:i4>
      </vt:variant>
      <vt:variant>
        <vt:i4>5</vt:i4>
      </vt:variant>
      <vt:variant>
        <vt:lpwstr/>
      </vt:variant>
      <vt:variant>
        <vt:lpwstr>_Toc250994760</vt:lpwstr>
      </vt:variant>
      <vt:variant>
        <vt:i4>1703996</vt:i4>
      </vt:variant>
      <vt:variant>
        <vt:i4>1712</vt:i4>
      </vt:variant>
      <vt:variant>
        <vt:i4>0</vt:i4>
      </vt:variant>
      <vt:variant>
        <vt:i4>5</vt:i4>
      </vt:variant>
      <vt:variant>
        <vt:lpwstr/>
      </vt:variant>
      <vt:variant>
        <vt:lpwstr>_Toc250994759</vt:lpwstr>
      </vt:variant>
      <vt:variant>
        <vt:i4>1703996</vt:i4>
      </vt:variant>
      <vt:variant>
        <vt:i4>1706</vt:i4>
      </vt:variant>
      <vt:variant>
        <vt:i4>0</vt:i4>
      </vt:variant>
      <vt:variant>
        <vt:i4>5</vt:i4>
      </vt:variant>
      <vt:variant>
        <vt:lpwstr/>
      </vt:variant>
      <vt:variant>
        <vt:lpwstr>_Toc250994758</vt:lpwstr>
      </vt:variant>
      <vt:variant>
        <vt:i4>1703996</vt:i4>
      </vt:variant>
      <vt:variant>
        <vt:i4>1700</vt:i4>
      </vt:variant>
      <vt:variant>
        <vt:i4>0</vt:i4>
      </vt:variant>
      <vt:variant>
        <vt:i4>5</vt:i4>
      </vt:variant>
      <vt:variant>
        <vt:lpwstr/>
      </vt:variant>
      <vt:variant>
        <vt:lpwstr>_Toc250994757</vt:lpwstr>
      </vt:variant>
      <vt:variant>
        <vt:i4>1703996</vt:i4>
      </vt:variant>
      <vt:variant>
        <vt:i4>1694</vt:i4>
      </vt:variant>
      <vt:variant>
        <vt:i4>0</vt:i4>
      </vt:variant>
      <vt:variant>
        <vt:i4>5</vt:i4>
      </vt:variant>
      <vt:variant>
        <vt:lpwstr/>
      </vt:variant>
      <vt:variant>
        <vt:lpwstr>_Toc250994756</vt:lpwstr>
      </vt:variant>
      <vt:variant>
        <vt:i4>1703996</vt:i4>
      </vt:variant>
      <vt:variant>
        <vt:i4>1688</vt:i4>
      </vt:variant>
      <vt:variant>
        <vt:i4>0</vt:i4>
      </vt:variant>
      <vt:variant>
        <vt:i4>5</vt:i4>
      </vt:variant>
      <vt:variant>
        <vt:lpwstr/>
      </vt:variant>
      <vt:variant>
        <vt:lpwstr>_Toc250994755</vt:lpwstr>
      </vt:variant>
      <vt:variant>
        <vt:i4>1703996</vt:i4>
      </vt:variant>
      <vt:variant>
        <vt:i4>1682</vt:i4>
      </vt:variant>
      <vt:variant>
        <vt:i4>0</vt:i4>
      </vt:variant>
      <vt:variant>
        <vt:i4>5</vt:i4>
      </vt:variant>
      <vt:variant>
        <vt:lpwstr/>
      </vt:variant>
      <vt:variant>
        <vt:lpwstr>_Toc250994754</vt:lpwstr>
      </vt:variant>
      <vt:variant>
        <vt:i4>1703996</vt:i4>
      </vt:variant>
      <vt:variant>
        <vt:i4>1676</vt:i4>
      </vt:variant>
      <vt:variant>
        <vt:i4>0</vt:i4>
      </vt:variant>
      <vt:variant>
        <vt:i4>5</vt:i4>
      </vt:variant>
      <vt:variant>
        <vt:lpwstr/>
      </vt:variant>
      <vt:variant>
        <vt:lpwstr>_Toc250994753</vt:lpwstr>
      </vt:variant>
      <vt:variant>
        <vt:i4>1703996</vt:i4>
      </vt:variant>
      <vt:variant>
        <vt:i4>1670</vt:i4>
      </vt:variant>
      <vt:variant>
        <vt:i4>0</vt:i4>
      </vt:variant>
      <vt:variant>
        <vt:i4>5</vt:i4>
      </vt:variant>
      <vt:variant>
        <vt:lpwstr/>
      </vt:variant>
      <vt:variant>
        <vt:lpwstr>_Toc250994752</vt:lpwstr>
      </vt:variant>
      <vt:variant>
        <vt:i4>1703996</vt:i4>
      </vt:variant>
      <vt:variant>
        <vt:i4>1664</vt:i4>
      </vt:variant>
      <vt:variant>
        <vt:i4>0</vt:i4>
      </vt:variant>
      <vt:variant>
        <vt:i4>5</vt:i4>
      </vt:variant>
      <vt:variant>
        <vt:lpwstr/>
      </vt:variant>
      <vt:variant>
        <vt:lpwstr>_Toc250994751</vt:lpwstr>
      </vt:variant>
      <vt:variant>
        <vt:i4>1703996</vt:i4>
      </vt:variant>
      <vt:variant>
        <vt:i4>1658</vt:i4>
      </vt:variant>
      <vt:variant>
        <vt:i4>0</vt:i4>
      </vt:variant>
      <vt:variant>
        <vt:i4>5</vt:i4>
      </vt:variant>
      <vt:variant>
        <vt:lpwstr/>
      </vt:variant>
      <vt:variant>
        <vt:lpwstr>_Toc250994750</vt:lpwstr>
      </vt:variant>
      <vt:variant>
        <vt:i4>1769532</vt:i4>
      </vt:variant>
      <vt:variant>
        <vt:i4>1652</vt:i4>
      </vt:variant>
      <vt:variant>
        <vt:i4>0</vt:i4>
      </vt:variant>
      <vt:variant>
        <vt:i4>5</vt:i4>
      </vt:variant>
      <vt:variant>
        <vt:lpwstr/>
      </vt:variant>
      <vt:variant>
        <vt:lpwstr>_Toc250994749</vt:lpwstr>
      </vt:variant>
      <vt:variant>
        <vt:i4>1769532</vt:i4>
      </vt:variant>
      <vt:variant>
        <vt:i4>1646</vt:i4>
      </vt:variant>
      <vt:variant>
        <vt:i4>0</vt:i4>
      </vt:variant>
      <vt:variant>
        <vt:i4>5</vt:i4>
      </vt:variant>
      <vt:variant>
        <vt:lpwstr/>
      </vt:variant>
      <vt:variant>
        <vt:lpwstr>_Toc250994748</vt:lpwstr>
      </vt:variant>
      <vt:variant>
        <vt:i4>1769532</vt:i4>
      </vt:variant>
      <vt:variant>
        <vt:i4>1640</vt:i4>
      </vt:variant>
      <vt:variant>
        <vt:i4>0</vt:i4>
      </vt:variant>
      <vt:variant>
        <vt:i4>5</vt:i4>
      </vt:variant>
      <vt:variant>
        <vt:lpwstr/>
      </vt:variant>
      <vt:variant>
        <vt:lpwstr>_Toc250994747</vt:lpwstr>
      </vt:variant>
      <vt:variant>
        <vt:i4>1769532</vt:i4>
      </vt:variant>
      <vt:variant>
        <vt:i4>1634</vt:i4>
      </vt:variant>
      <vt:variant>
        <vt:i4>0</vt:i4>
      </vt:variant>
      <vt:variant>
        <vt:i4>5</vt:i4>
      </vt:variant>
      <vt:variant>
        <vt:lpwstr/>
      </vt:variant>
      <vt:variant>
        <vt:lpwstr>_Toc250994746</vt:lpwstr>
      </vt:variant>
      <vt:variant>
        <vt:i4>1769532</vt:i4>
      </vt:variant>
      <vt:variant>
        <vt:i4>1628</vt:i4>
      </vt:variant>
      <vt:variant>
        <vt:i4>0</vt:i4>
      </vt:variant>
      <vt:variant>
        <vt:i4>5</vt:i4>
      </vt:variant>
      <vt:variant>
        <vt:lpwstr/>
      </vt:variant>
      <vt:variant>
        <vt:lpwstr>_Toc250994745</vt:lpwstr>
      </vt:variant>
      <vt:variant>
        <vt:i4>1769532</vt:i4>
      </vt:variant>
      <vt:variant>
        <vt:i4>1622</vt:i4>
      </vt:variant>
      <vt:variant>
        <vt:i4>0</vt:i4>
      </vt:variant>
      <vt:variant>
        <vt:i4>5</vt:i4>
      </vt:variant>
      <vt:variant>
        <vt:lpwstr/>
      </vt:variant>
      <vt:variant>
        <vt:lpwstr>_Toc250994744</vt:lpwstr>
      </vt:variant>
      <vt:variant>
        <vt:i4>1769532</vt:i4>
      </vt:variant>
      <vt:variant>
        <vt:i4>1616</vt:i4>
      </vt:variant>
      <vt:variant>
        <vt:i4>0</vt:i4>
      </vt:variant>
      <vt:variant>
        <vt:i4>5</vt:i4>
      </vt:variant>
      <vt:variant>
        <vt:lpwstr/>
      </vt:variant>
      <vt:variant>
        <vt:lpwstr>_Toc250994743</vt:lpwstr>
      </vt:variant>
      <vt:variant>
        <vt:i4>1769532</vt:i4>
      </vt:variant>
      <vt:variant>
        <vt:i4>1610</vt:i4>
      </vt:variant>
      <vt:variant>
        <vt:i4>0</vt:i4>
      </vt:variant>
      <vt:variant>
        <vt:i4>5</vt:i4>
      </vt:variant>
      <vt:variant>
        <vt:lpwstr/>
      </vt:variant>
      <vt:variant>
        <vt:lpwstr>_Toc250994742</vt:lpwstr>
      </vt:variant>
      <vt:variant>
        <vt:i4>1769532</vt:i4>
      </vt:variant>
      <vt:variant>
        <vt:i4>1604</vt:i4>
      </vt:variant>
      <vt:variant>
        <vt:i4>0</vt:i4>
      </vt:variant>
      <vt:variant>
        <vt:i4>5</vt:i4>
      </vt:variant>
      <vt:variant>
        <vt:lpwstr/>
      </vt:variant>
      <vt:variant>
        <vt:lpwstr>_Toc250994741</vt:lpwstr>
      </vt:variant>
      <vt:variant>
        <vt:i4>1769532</vt:i4>
      </vt:variant>
      <vt:variant>
        <vt:i4>1598</vt:i4>
      </vt:variant>
      <vt:variant>
        <vt:i4>0</vt:i4>
      </vt:variant>
      <vt:variant>
        <vt:i4>5</vt:i4>
      </vt:variant>
      <vt:variant>
        <vt:lpwstr/>
      </vt:variant>
      <vt:variant>
        <vt:lpwstr>_Toc250994740</vt:lpwstr>
      </vt:variant>
      <vt:variant>
        <vt:i4>1835068</vt:i4>
      </vt:variant>
      <vt:variant>
        <vt:i4>1592</vt:i4>
      </vt:variant>
      <vt:variant>
        <vt:i4>0</vt:i4>
      </vt:variant>
      <vt:variant>
        <vt:i4>5</vt:i4>
      </vt:variant>
      <vt:variant>
        <vt:lpwstr/>
      </vt:variant>
      <vt:variant>
        <vt:lpwstr>_Toc250994739</vt:lpwstr>
      </vt:variant>
      <vt:variant>
        <vt:i4>1835068</vt:i4>
      </vt:variant>
      <vt:variant>
        <vt:i4>1586</vt:i4>
      </vt:variant>
      <vt:variant>
        <vt:i4>0</vt:i4>
      </vt:variant>
      <vt:variant>
        <vt:i4>5</vt:i4>
      </vt:variant>
      <vt:variant>
        <vt:lpwstr/>
      </vt:variant>
      <vt:variant>
        <vt:lpwstr>_Toc250994738</vt:lpwstr>
      </vt:variant>
      <vt:variant>
        <vt:i4>1835068</vt:i4>
      </vt:variant>
      <vt:variant>
        <vt:i4>1580</vt:i4>
      </vt:variant>
      <vt:variant>
        <vt:i4>0</vt:i4>
      </vt:variant>
      <vt:variant>
        <vt:i4>5</vt:i4>
      </vt:variant>
      <vt:variant>
        <vt:lpwstr/>
      </vt:variant>
      <vt:variant>
        <vt:lpwstr>_Toc250994737</vt:lpwstr>
      </vt:variant>
      <vt:variant>
        <vt:i4>1835068</vt:i4>
      </vt:variant>
      <vt:variant>
        <vt:i4>1574</vt:i4>
      </vt:variant>
      <vt:variant>
        <vt:i4>0</vt:i4>
      </vt:variant>
      <vt:variant>
        <vt:i4>5</vt:i4>
      </vt:variant>
      <vt:variant>
        <vt:lpwstr/>
      </vt:variant>
      <vt:variant>
        <vt:lpwstr>_Toc250994736</vt:lpwstr>
      </vt:variant>
      <vt:variant>
        <vt:i4>1835068</vt:i4>
      </vt:variant>
      <vt:variant>
        <vt:i4>1568</vt:i4>
      </vt:variant>
      <vt:variant>
        <vt:i4>0</vt:i4>
      </vt:variant>
      <vt:variant>
        <vt:i4>5</vt:i4>
      </vt:variant>
      <vt:variant>
        <vt:lpwstr/>
      </vt:variant>
      <vt:variant>
        <vt:lpwstr>_Toc250994735</vt:lpwstr>
      </vt:variant>
      <vt:variant>
        <vt:i4>1835068</vt:i4>
      </vt:variant>
      <vt:variant>
        <vt:i4>1562</vt:i4>
      </vt:variant>
      <vt:variant>
        <vt:i4>0</vt:i4>
      </vt:variant>
      <vt:variant>
        <vt:i4>5</vt:i4>
      </vt:variant>
      <vt:variant>
        <vt:lpwstr/>
      </vt:variant>
      <vt:variant>
        <vt:lpwstr>_Toc250994734</vt:lpwstr>
      </vt:variant>
      <vt:variant>
        <vt:i4>1835068</vt:i4>
      </vt:variant>
      <vt:variant>
        <vt:i4>1556</vt:i4>
      </vt:variant>
      <vt:variant>
        <vt:i4>0</vt:i4>
      </vt:variant>
      <vt:variant>
        <vt:i4>5</vt:i4>
      </vt:variant>
      <vt:variant>
        <vt:lpwstr/>
      </vt:variant>
      <vt:variant>
        <vt:lpwstr>_Toc250994733</vt:lpwstr>
      </vt:variant>
      <vt:variant>
        <vt:i4>1835068</vt:i4>
      </vt:variant>
      <vt:variant>
        <vt:i4>1550</vt:i4>
      </vt:variant>
      <vt:variant>
        <vt:i4>0</vt:i4>
      </vt:variant>
      <vt:variant>
        <vt:i4>5</vt:i4>
      </vt:variant>
      <vt:variant>
        <vt:lpwstr/>
      </vt:variant>
      <vt:variant>
        <vt:lpwstr>_Toc250994732</vt:lpwstr>
      </vt:variant>
      <vt:variant>
        <vt:i4>1835068</vt:i4>
      </vt:variant>
      <vt:variant>
        <vt:i4>1544</vt:i4>
      </vt:variant>
      <vt:variant>
        <vt:i4>0</vt:i4>
      </vt:variant>
      <vt:variant>
        <vt:i4>5</vt:i4>
      </vt:variant>
      <vt:variant>
        <vt:lpwstr/>
      </vt:variant>
      <vt:variant>
        <vt:lpwstr>_Toc250994731</vt:lpwstr>
      </vt:variant>
      <vt:variant>
        <vt:i4>1835068</vt:i4>
      </vt:variant>
      <vt:variant>
        <vt:i4>1538</vt:i4>
      </vt:variant>
      <vt:variant>
        <vt:i4>0</vt:i4>
      </vt:variant>
      <vt:variant>
        <vt:i4>5</vt:i4>
      </vt:variant>
      <vt:variant>
        <vt:lpwstr/>
      </vt:variant>
      <vt:variant>
        <vt:lpwstr>_Toc250994730</vt:lpwstr>
      </vt:variant>
      <vt:variant>
        <vt:i4>1900604</vt:i4>
      </vt:variant>
      <vt:variant>
        <vt:i4>1532</vt:i4>
      </vt:variant>
      <vt:variant>
        <vt:i4>0</vt:i4>
      </vt:variant>
      <vt:variant>
        <vt:i4>5</vt:i4>
      </vt:variant>
      <vt:variant>
        <vt:lpwstr/>
      </vt:variant>
      <vt:variant>
        <vt:lpwstr>_Toc250994729</vt:lpwstr>
      </vt:variant>
      <vt:variant>
        <vt:i4>1900604</vt:i4>
      </vt:variant>
      <vt:variant>
        <vt:i4>1526</vt:i4>
      </vt:variant>
      <vt:variant>
        <vt:i4>0</vt:i4>
      </vt:variant>
      <vt:variant>
        <vt:i4>5</vt:i4>
      </vt:variant>
      <vt:variant>
        <vt:lpwstr/>
      </vt:variant>
      <vt:variant>
        <vt:lpwstr>_Toc250994728</vt:lpwstr>
      </vt:variant>
      <vt:variant>
        <vt:i4>1900604</vt:i4>
      </vt:variant>
      <vt:variant>
        <vt:i4>1520</vt:i4>
      </vt:variant>
      <vt:variant>
        <vt:i4>0</vt:i4>
      </vt:variant>
      <vt:variant>
        <vt:i4>5</vt:i4>
      </vt:variant>
      <vt:variant>
        <vt:lpwstr/>
      </vt:variant>
      <vt:variant>
        <vt:lpwstr>_Toc250994727</vt:lpwstr>
      </vt:variant>
      <vt:variant>
        <vt:i4>1900604</vt:i4>
      </vt:variant>
      <vt:variant>
        <vt:i4>1514</vt:i4>
      </vt:variant>
      <vt:variant>
        <vt:i4>0</vt:i4>
      </vt:variant>
      <vt:variant>
        <vt:i4>5</vt:i4>
      </vt:variant>
      <vt:variant>
        <vt:lpwstr/>
      </vt:variant>
      <vt:variant>
        <vt:lpwstr>_Toc250994726</vt:lpwstr>
      </vt:variant>
      <vt:variant>
        <vt:i4>1900604</vt:i4>
      </vt:variant>
      <vt:variant>
        <vt:i4>1508</vt:i4>
      </vt:variant>
      <vt:variant>
        <vt:i4>0</vt:i4>
      </vt:variant>
      <vt:variant>
        <vt:i4>5</vt:i4>
      </vt:variant>
      <vt:variant>
        <vt:lpwstr/>
      </vt:variant>
      <vt:variant>
        <vt:lpwstr>_Toc250994725</vt:lpwstr>
      </vt:variant>
      <vt:variant>
        <vt:i4>1900604</vt:i4>
      </vt:variant>
      <vt:variant>
        <vt:i4>1502</vt:i4>
      </vt:variant>
      <vt:variant>
        <vt:i4>0</vt:i4>
      </vt:variant>
      <vt:variant>
        <vt:i4>5</vt:i4>
      </vt:variant>
      <vt:variant>
        <vt:lpwstr/>
      </vt:variant>
      <vt:variant>
        <vt:lpwstr>_Toc250994724</vt:lpwstr>
      </vt:variant>
      <vt:variant>
        <vt:i4>1900604</vt:i4>
      </vt:variant>
      <vt:variant>
        <vt:i4>1496</vt:i4>
      </vt:variant>
      <vt:variant>
        <vt:i4>0</vt:i4>
      </vt:variant>
      <vt:variant>
        <vt:i4>5</vt:i4>
      </vt:variant>
      <vt:variant>
        <vt:lpwstr/>
      </vt:variant>
      <vt:variant>
        <vt:lpwstr>_Toc250994723</vt:lpwstr>
      </vt:variant>
      <vt:variant>
        <vt:i4>1900604</vt:i4>
      </vt:variant>
      <vt:variant>
        <vt:i4>1490</vt:i4>
      </vt:variant>
      <vt:variant>
        <vt:i4>0</vt:i4>
      </vt:variant>
      <vt:variant>
        <vt:i4>5</vt:i4>
      </vt:variant>
      <vt:variant>
        <vt:lpwstr/>
      </vt:variant>
      <vt:variant>
        <vt:lpwstr>_Toc250994722</vt:lpwstr>
      </vt:variant>
      <vt:variant>
        <vt:i4>1900604</vt:i4>
      </vt:variant>
      <vt:variant>
        <vt:i4>1484</vt:i4>
      </vt:variant>
      <vt:variant>
        <vt:i4>0</vt:i4>
      </vt:variant>
      <vt:variant>
        <vt:i4>5</vt:i4>
      </vt:variant>
      <vt:variant>
        <vt:lpwstr/>
      </vt:variant>
      <vt:variant>
        <vt:lpwstr>_Toc250994721</vt:lpwstr>
      </vt:variant>
      <vt:variant>
        <vt:i4>1900604</vt:i4>
      </vt:variant>
      <vt:variant>
        <vt:i4>1478</vt:i4>
      </vt:variant>
      <vt:variant>
        <vt:i4>0</vt:i4>
      </vt:variant>
      <vt:variant>
        <vt:i4>5</vt:i4>
      </vt:variant>
      <vt:variant>
        <vt:lpwstr/>
      </vt:variant>
      <vt:variant>
        <vt:lpwstr>_Toc250994720</vt:lpwstr>
      </vt:variant>
      <vt:variant>
        <vt:i4>1966140</vt:i4>
      </vt:variant>
      <vt:variant>
        <vt:i4>1472</vt:i4>
      </vt:variant>
      <vt:variant>
        <vt:i4>0</vt:i4>
      </vt:variant>
      <vt:variant>
        <vt:i4>5</vt:i4>
      </vt:variant>
      <vt:variant>
        <vt:lpwstr/>
      </vt:variant>
      <vt:variant>
        <vt:lpwstr>_Toc250994719</vt:lpwstr>
      </vt:variant>
      <vt:variant>
        <vt:i4>1966140</vt:i4>
      </vt:variant>
      <vt:variant>
        <vt:i4>1466</vt:i4>
      </vt:variant>
      <vt:variant>
        <vt:i4>0</vt:i4>
      </vt:variant>
      <vt:variant>
        <vt:i4>5</vt:i4>
      </vt:variant>
      <vt:variant>
        <vt:lpwstr/>
      </vt:variant>
      <vt:variant>
        <vt:lpwstr>_Toc250994718</vt:lpwstr>
      </vt:variant>
      <vt:variant>
        <vt:i4>1966140</vt:i4>
      </vt:variant>
      <vt:variant>
        <vt:i4>1460</vt:i4>
      </vt:variant>
      <vt:variant>
        <vt:i4>0</vt:i4>
      </vt:variant>
      <vt:variant>
        <vt:i4>5</vt:i4>
      </vt:variant>
      <vt:variant>
        <vt:lpwstr/>
      </vt:variant>
      <vt:variant>
        <vt:lpwstr>_Toc250994717</vt:lpwstr>
      </vt:variant>
      <vt:variant>
        <vt:i4>1966140</vt:i4>
      </vt:variant>
      <vt:variant>
        <vt:i4>1454</vt:i4>
      </vt:variant>
      <vt:variant>
        <vt:i4>0</vt:i4>
      </vt:variant>
      <vt:variant>
        <vt:i4>5</vt:i4>
      </vt:variant>
      <vt:variant>
        <vt:lpwstr/>
      </vt:variant>
      <vt:variant>
        <vt:lpwstr>_Toc250994716</vt:lpwstr>
      </vt:variant>
      <vt:variant>
        <vt:i4>1966140</vt:i4>
      </vt:variant>
      <vt:variant>
        <vt:i4>1448</vt:i4>
      </vt:variant>
      <vt:variant>
        <vt:i4>0</vt:i4>
      </vt:variant>
      <vt:variant>
        <vt:i4>5</vt:i4>
      </vt:variant>
      <vt:variant>
        <vt:lpwstr/>
      </vt:variant>
      <vt:variant>
        <vt:lpwstr>_Toc250994715</vt:lpwstr>
      </vt:variant>
      <vt:variant>
        <vt:i4>1966140</vt:i4>
      </vt:variant>
      <vt:variant>
        <vt:i4>1442</vt:i4>
      </vt:variant>
      <vt:variant>
        <vt:i4>0</vt:i4>
      </vt:variant>
      <vt:variant>
        <vt:i4>5</vt:i4>
      </vt:variant>
      <vt:variant>
        <vt:lpwstr/>
      </vt:variant>
      <vt:variant>
        <vt:lpwstr>_Toc250994714</vt:lpwstr>
      </vt:variant>
      <vt:variant>
        <vt:i4>1966140</vt:i4>
      </vt:variant>
      <vt:variant>
        <vt:i4>1436</vt:i4>
      </vt:variant>
      <vt:variant>
        <vt:i4>0</vt:i4>
      </vt:variant>
      <vt:variant>
        <vt:i4>5</vt:i4>
      </vt:variant>
      <vt:variant>
        <vt:lpwstr/>
      </vt:variant>
      <vt:variant>
        <vt:lpwstr>_Toc250994713</vt:lpwstr>
      </vt:variant>
      <vt:variant>
        <vt:i4>1966140</vt:i4>
      </vt:variant>
      <vt:variant>
        <vt:i4>1430</vt:i4>
      </vt:variant>
      <vt:variant>
        <vt:i4>0</vt:i4>
      </vt:variant>
      <vt:variant>
        <vt:i4>5</vt:i4>
      </vt:variant>
      <vt:variant>
        <vt:lpwstr/>
      </vt:variant>
      <vt:variant>
        <vt:lpwstr>_Toc250994712</vt:lpwstr>
      </vt:variant>
      <vt:variant>
        <vt:i4>1966140</vt:i4>
      </vt:variant>
      <vt:variant>
        <vt:i4>1424</vt:i4>
      </vt:variant>
      <vt:variant>
        <vt:i4>0</vt:i4>
      </vt:variant>
      <vt:variant>
        <vt:i4>5</vt:i4>
      </vt:variant>
      <vt:variant>
        <vt:lpwstr/>
      </vt:variant>
      <vt:variant>
        <vt:lpwstr>_Toc250994711</vt:lpwstr>
      </vt:variant>
      <vt:variant>
        <vt:i4>1966140</vt:i4>
      </vt:variant>
      <vt:variant>
        <vt:i4>1418</vt:i4>
      </vt:variant>
      <vt:variant>
        <vt:i4>0</vt:i4>
      </vt:variant>
      <vt:variant>
        <vt:i4>5</vt:i4>
      </vt:variant>
      <vt:variant>
        <vt:lpwstr/>
      </vt:variant>
      <vt:variant>
        <vt:lpwstr>_Toc250994710</vt:lpwstr>
      </vt:variant>
      <vt:variant>
        <vt:i4>2031676</vt:i4>
      </vt:variant>
      <vt:variant>
        <vt:i4>1412</vt:i4>
      </vt:variant>
      <vt:variant>
        <vt:i4>0</vt:i4>
      </vt:variant>
      <vt:variant>
        <vt:i4>5</vt:i4>
      </vt:variant>
      <vt:variant>
        <vt:lpwstr/>
      </vt:variant>
      <vt:variant>
        <vt:lpwstr>_Toc250994709</vt:lpwstr>
      </vt:variant>
      <vt:variant>
        <vt:i4>2031676</vt:i4>
      </vt:variant>
      <vt:variant>
        <vt:i4>1406</vt:i4>
      </vt:variant>
      <vt:variant>
        <vt:i4>0</vt:i4>
      </vt:variant>
      <vt:variant>
        <vt:i4>5</vt:i4>
      </vt:variant>
      <vt:variant>
        <vt:lpwstr/>
      </vt:variant>
      <vt:variant>
        <vt:lpwstr>_Toc250994708</vt:lpwstr>
      </vt:variant>
      <vt:variant>
        <vt:i4>2031676</vt:i4>
      </vt:variant>
      <vt:variant>
        <vt:i4>1400</vt:i4>
      </vt:variant>
      <vt:variant>
        <vt:i4>0</vt:i4>
      </vt:variant>
      <vt:variant>
        <vt:i4>5</vt:i4>
      </vt:variant>
      <vt:variant>
        <vt:lpwstr/>
      </vt:variant>
      <vt:variant>
        <vt:lpwstr>_Toc250994707</vt:lpwstr>
      </vt:variant>
      <vt:variant>
        <vt:i4>2031676</vt:i4>
      </vt:variant>
      <vt:variant>
        <vt:i4>1394</vt:i4>
      </vt:variant>
      <vt:variant>
        <vt:i4>0</vt:i4>
      </vt:variant>
      <vt:variant>
        <vt:i4>5</vt:i4>
      </vt:variant>
      <vt:variant>
        <vt:lpwstr/>
      </vt:variant>
      <vt:variant>
        <vt:lpwstr>_Toc250994706</vt:lpwstr>
      </vt:variant>
      <vt:variant>
        <vt:i4>2031676</vt:i4>
      </vt:variant>
      <vt:variant>
        <vt:i4>1388</vt:i4>
      </vt:variant>
      <vt:variant>
        <vt:i4>0</vt:i4>
      </vt:variant>
      <vt:variant>
        <vt:i4>5</vt:i4>
      </vt:variant>
      <vt:variant>
        <vt:lpwstr/>
      </vt:variant>
      <vt:variant>
        <vt:lpwstr>_Toc250994705</vt:lpwstr>
      </vt:variant>
      <vt:variant>
        <vt:i4>2031676</vt:i4>
      </vt:variant>
      <vt:variant>
        <vt:i4>1382</vt:i4>
      </vt:variant>
      <vt:variant>
        <vt:i4>0</vt:i4>
      </vt:variant>
      <vt:variant>
        <vt:i4>5</vt:i4>
      </vt:variant>
      <vt:variant>
        <vt:lpwstr/>
      </vt:variant>
      <vt:variant>
        <vt:lpwstr>_Toc250994704</vt:lpwstr>
      </vt:variant>
      <vt:variant>
        <vt:i4>2031676</vt:i4>
      </vt:variant>
      <vt:variant>
        <vt:i4>1376</vt:i4>
      </vt:variant>
      <vt:variant>
        <vt:i4>0</vt:i4>
      </vt:variant>
      <vt:variant>
        <vt:i4>5</vt:i4>
      </vt:variant>
      <vt:variant>
        <vt:lpwstr/>
      </vt:variant>
      <vt:variant>
        <vt:lpwstr>_Toc250994703</vt:lpwstr>
      </vt:variant>
      <vt:variant>
        <vt:i4>2031676</vt:i4>
      </vt:variant>
      <vt:variant>
        <vt:i4>1370</vt:i4>
      </vt:variant>
      <vt:variant>
        <vt:i4>0</vt:i4>
      </vt:variant>
      <vt:variant>
        <vt:i4>5</vt:i4>
      </vt:variant>
      <vt:variant>
        <vt:lpwstr/>
      </vt:variant>
      <vt:variant>
        <vt:lpwstr>_Toc250994702</vt:lpwstr>
      </vt:variant>
      <vt:variant>
        <vt:i4>2031676</vt:i4>
      </vt:variant>
      <vt:variant>
        <vt:i4>1364</vt:i4>
      </vt:variant>
      <vt:variant>
        <vt:i4>0</vt:i4>
      </vt:variant>
      <vt:variant>
        <vt:i4>5</vt:i4>
      </vt:variant>
      <vt:variant>
        <vt:lpwstr/>
      </vt:variant>
      <vt:variant>
        <vt:lpwstr>_Toc250994701</vt:lpwstr>
      </vt:variant>
      <vt:variant>
        <vt:i4>2031676</vt:i4>
      </vt:variant>
      <vt:variant>
        <vt:i4>1358</vt:i4>
      </vt:variant>
      <vt:variant>
        <vt:i4>0</vt:i4>
      </vt:variant>
      <vt:variant>
        <vt:i4>5</vt:i4>
      </vt:variant>
      <vt:variant>
        <vt:lpwstr/>
      </vt:variant>
      <vt:variant>
        <vt:lpwstr>_Toc250994700</vt:lpwstr>
      </vt:variant>
      <vt:variant>
        <vt:i4>1441853</vt:i4>
      </vt:variant>
      <vt:variant>
        <vt:i4>1352</vt:i4>
      </vt:variant>
      <vt:variant>
        <vt:i4>0</vt:i4>
      </vt:variant>
      <vt:variant>
        <vt:i4>5</vt:i4>
      </vt:variant>
      <vt:variant>
        <vt:lpwstr/>
      </vt:variant>
      <vt:variant>
        <vt:lpwstr>_Toc250994699</vt:lpwstr>
      </vt:variant>
      <vt:variant>
        <vt:i4>1441853</vt:i4>
      </vt:variant>
      <vt:variant>
        <vt:i4>1346</vt:i4>
      </vt:variant>
      <vt:variant>
        <vt:i4>0</vt:i4>
      </vt:variant>
      <vt:variant>
        <vt:i4>5</vt:i4>
      </vt:variant>
      <vt:variant>
        <vt:lpwstr/>
      </vt:variant>
      <vt:variant>
        <vt:lpwstr>_Toc250994698</vt:lpwstr>
      </vt:variant>
      <vt:variant>
        <vt:i4>1441853</vt:i4>
      </vt:variant>
      <vt:variant>
        <vt:i4>1340</vt:i4>
      </vt:variant>
      <vt:variant>
        <vt:i4>0</vt:i4>
      </vt:variant>
      <vt:variant>
        <vt:i4>5</vt:i4>
      </vt:variant>
      <vt:variant>
        <vt:lpwstr/>
      </vt:variant>
      <vt:variant>
        <vt:lpwstr>_Toc250994697</vt:lpwstr>
      </vt:variant>
      <vt:variant>
        <vt:i4>1441853</vt:i4>
      </vt:variant>
      <vt:variant>
        <vt:i4>1334</vt:i4>
      </vt:variant>
      <vt:variant>
        <vt:i4>0</vt:i4>
      </vt:variant>
      <vt:variant>
        <vt:i4>5</vt:i4>
      </vt:variant>
      <vt:variant>
        <vt:lpwstr/>
      </vt:variant>
      <vt:variant>
        <vt:lpwstr>_Toc250994696</vt:lpwstr>
      </vt:variant>
      <vt:variant>
        <vt:i4>1441853</vt:i4>
      </vt:variant>
      <vt:variant>
        <vt:i4>1328</vt:i4>
      </vt:variant>
      <vt:variant>
        <vt:i4>0</vt:i4>
      </vt:variant>
      <vt:variant>
        <vt:i4>5</vt:i4>
      </vt:variant>
      <vt:variant>
        <vt:lpwstr/>
      </vt:variant>
      <vt:variant>
        <vt:lpwstr>_Toc250994695</vt:lpwstr>
      </vt:variant>
      <vt:variant>
        <vt:i4>1441853</vt:i4>
      </vt:variant>
      <vt:variant>
        <vt:i4>1322</vt:i4>
      </vt:variant>
      <vt:variant>
        <vt:i4>0</vt:i4>
      </vt:variant>
      <vt:variant>
        <vt:i4>5</vt:i4>
      </vt:variant>
      <vt:variant>
        <vt:lpwstr/>
      </vt:variant>
      <vt:variant>
        <vt:lpwstr>_Toc250994694</vt:lpwstr>
      </vt:variant>
      <vt:variant>
        <vt:i4>1441853</vt:i4>
      </vt:variant>
      <vt:variant>
        <vt:i4>1316</vt:i4>
      </vt:variant>
      <vt:variant>
        <vt:i4>0</vt:i4>
      </vt:variant>
      <vt:variant>
        <vt:i4>5</vt:i4>
      </vt:variant>
      <vt:variant>
        <vt:lpwstr/>
      </vt:variant>
      <vt:variant>
        <vt:lpwstr>_Toc250994693</vt:lpwstr>
      </vt:variant>
      <vt:variant>
        <vt:i4>1441853</vt:i4>
      </vt:variant>
      <vt:variant>
        <vt:i4>1310</vt:i4>
      </vt:variant>
      <vt:variant>
        <vt:i4>0</vt:i4>
      </vt:variant>
      <vt:variant>
        <vt:i4>5</vt:i4>
      </vt:variant>
      <vt:variant>
        <vt:lpwstr/>
      </vt:variant>
      <vt:variant>
        <vt:lpwstr>_Toc250994692</vt:lpwstr>
      </vt:variant>
      <vt:variant>
        <vt:i4>1441853</vt:i4>
      </vt:variant>
      <vt:variant>
        <vt:i4>1304</vt:i4>
      </vt:variant>
      <vt:variant>
        <vt:i4>0</vt:i4>
      </vt:variant>
      <vt:variant>
        <vt:i4>5</vt:i4>
      </vt:variant>
      <vt:variant>
        <vt:lpwstr/>
      </vt:variant>
      <vt:variant>
        <vt:lpwstr>_Toc250994691</vt:lpwstr>
      </vt:variant>
      <vt:variant>
        <vt:i4>1441853</vt:i4>
      </vt:variant>
      <vt:variant>
        <vt:i4>1298</vt:i4>
      </vt:variant>
      <vt:variant>
        <vt:i4>0</vt:i4>
      </vt:variant>
      <vt:variant>
        <vt:i4>5</vt:i4>
      </vt:variant>
      <vt:variant>
        <vt:lpwstr/>
      </vt:variant>
      <vt:variant>
        <vt:lpwstr>_Toc250994690</vt:lpwstr>
      </vt:variant>
      <vt:variant>
        <vt:i4>1507389</vt:i4>
      </vt:variant>
      <vt:variant>
        <vt:i4>1292</vt:i4>
      </vt:variant>
      <vt:variant>
        <vt:i4>0</vt:i4>
      </vt:variant>
      <vt:variant>
        <vt:i4>5</vt:i4>
      </vt:variant>
      <vt:variant>
        <vt:lpwstr/>
      </vt:variant>
      <vt:variant>
        <vt:lpwstr>_Toc250994689</vt:lpwstr>
      </vt:variant>
      <vt:variant>
        <vt:i4>1507389</vt:i4>
      </vt:variant>
      <vt:variant>
        <vt:i4>1286</vt:i4>
      </vt:variant>
      <vt:variant>
        <vt:i4>0</vt:i4>
      </vt:variant>
      <vt:variant>
        <vt:i4>5</vt:i4>
      </vt:variant>
      <vt:variant>
        <vt:lpwstr/>
      </vt:variant>
      <vt:variant>
        <vt:lpwstr>_Toc250994688</vt:lpwstr>
      </vt:variant>
      <vt:variant>
        <vt:i4>1507389</vt:i4>
      </vt:variant>
      <vt:variant>
        <vt:i4>1280</vt:i4>
      </vt:variant>
      <vt:variant>
        <vt:i4>0</vt:i4>
      </vt:variant>
      <vt:variant>
        <vt:i4>5</vt:i4>
      </vt:variant>
      <vt:variant>
        <vt:lpwstr/>
      </vt:variant>
      <vt:variant>
        <vt:lpwstr>_Toc250994687</vt:lpwstr>
      </vt:variant>
      <vt:variant>
        <vt:i4>1507389</vt:i4>
      </vt:variant>
      <vt:variant>
        <vt:i4>1274</vt:i4>
      </vt:variant>
      <vt:variant>
        <vt:i4>0</vt:i4>
      </vt:variant>
      <vt:variant>
        <vt:i4>5</vt:i4>
      </vt:variant>
      <vt:variant>
        <vt:lpwstr/>
      </vt:variant>
      <vt:variant>
        <vt:lpwstr>_Toc250994686</vt:lpwstr>
      </vt:variant>
      <vt:variant>
        <vt:i4>1507389</vt:i4>
      </vt:variant>
      <vt:variant>
        <vt:i4>1268</vt:i4>
      </vt:variant>
      <vt:variant>
        <vt:i4>0</vt:i4>
      </vt:variant>
      <vt:variant>
        <vt:i4>5</vt:i4>
      </vt:variant>
      <vt:variant>
        <vt:lpwstr/>
      </vt:variant>
      <vt:variant>
        <vt:lpwstr>_Toc250994685</vt:lpwstr>
      </vt:variant>
      <vt:variant>
        <vt:i4>1507389</vt:i4>
      </vt:variant>
      <vt:variant>
        <vt:i4>1262</vt:i4>
      </vt:variant>
      <vt:variant>
        <vt:i4>0</vt:i4>
      </vt:variant>
      <vt:variant>
        <vt:i4>5</vt:i4>
      </vt:variant>
      <vt:variant>
        <vt:lpwstr/>
      </vt:variant>
      <vt:variant>
        <vt:lpwstr>_Toc250994684</vt:lpwstr>
      </vt:variant>
      <vt:variant>
        <vt:i4>1507389</vt:i4>
      </vt:variant>
      <vt:variant>
        <vt:i4>1256</vt:i4>
      </vt:variant>
      <vt:variant>
        <vt:i4>0</vt:i4>
      </vt:variant>
      <vt:variant>
        <vt:i4>5</vt:i4>
      </vt:variant>
      <vt:variant>
        <vt:lpwstr/>
      </vt:variant>
      <vt:variant>
        <vt:lpwstr>_Toc250994683</vt:lpwstr>
      </vt:variant>
      <vt:variant>
        <vt:i4>1507389</vt:i4>
      </vt:variant>
      <vt:variant>
        <vt:i4>1250</vt:i4>
      </vt:variant>
      <vt:variant>
        <vt:i4>0</vt:i4>
      </vt:variant>
      <vt:variant>
        <vt:i4>5</vt:i4>
      </vt:variant>
      <vt:variant>
        <vt:lpwstr/>
      </vt:variant>
      <vt:variant>
        <vt:lpwstr>_Toc250994682</vt:lpwstr>
      </vt:variant>
      <vt:variant>
        <vt:i4>1507389</vt:i4>
      </vt:variant>
      <vt:variant>
        <vt:i4>1244</vt:i4>
      </vt:variant>
      <vt:variant>
        <vt:i4>0</vt:i4>
      </vt:variant>
      <vt:variant>
        <vt:i4>5</vt:i4>
      </vt:variant>
      <vt:variant>
        <vt:lpwstr/>
      </vt:variant>
      <vt:variant>
        <vt:lpwstr>_Toc250994681</vt:lpwstr>
      </vt:variant>
      <vt:variant>
        <vt:i4>1507389</vt:i4>
      </vt:variant>
      <vt:variant>
        <vt:i4>1238</vt:i4>
      </vt:variant>
      <vt:variant>
        <vt:i4>0</vt:i4>
      </vt:variant>
      <vt:variant>
        <vt:i4>5</vt:i4>
      </vt:variant>
      <vt:variant>
        <vt:lpwstr/>
      </vt:variant>
      <vt:variant>
        <vt:lpwstr>_Toc250994680</vt:lpwstr>
      </vt:variant>
      <vt:variant>
        <vt:i4>1572925</vt:i4>
      </vt:variant>
      <vt:variant>
        <vt:i4>1232</vt:i4>
      </vt:variant>
      <vt:variant>
        <vt:i4>0</vt:i4>
      </vt:variant>
      <vt:variant>
        <vt:i4>5</vt:i4>
      </vt:variant>
      <vt:variant>
        <vt:lpwstr/>
      </vt:variant>
      <vt:variant>
        <vt:lpwstr>_Toc250994679</vt:lpwstr>
      </vt:variant>
      <vt:variant>
        <vt:i4>1572925</vt:i4>
      </vt:variant>
      <vt:variant>
        <vt:i4>1226</vt:i4>
      </vt:variant>
      <vt:variant>
        <vt:i4>0</vt:i4>
      </vt:variant>
      <vt:variant>
        <vt:i4>5</vt:i4>
      </vt:variant>
      <vt:variant>
        <vt:lpwstr/>
      </vt:variant>
      <vt:variant>
        <vt:lpwstr>_Toc250994678</vt:lpwstr>
      </vt:variant>
      <vt:variant>
        <vt:i4>1572925</vt:i4>
      </vt:variant>
      <vt:variant>
        <vt:i4>1220</vt:i4>
      </vt:variant>
      <vt:variant>
        <vt:i4>0</vt:i4>
      </vt:variant>
      <vt:variant>
        <vt:i4>5</vt:i4>
      </vt:variant>
      <vt:variant>
        <vt:lpwstr/>
      </vt:variant>
      <vt:variant>
        <vt:lpwstr>_Toc250994677</vt:lpwstr>
      </vt:variant>
      <vt:variant>
        <vt:i4>1572925</vt:i4>
      </vt:variant>
      <vt:variant>
        <vt:i4>1214</vt:i4>
      </vt:variant>
      <vt:variant>
        <vt:i4>0</vt:i4>
      </vt:variant>
      <vt:variant>
        <vt:i4>5</vt:i4>
      </vt:variant>
      <vt:variant>
        <vt:lpwstr/>
      </vt:variant>
      <vt:variant>
        <vt:lpwstr>_Toc250994676</vt:lpwstr>
      </vt:variant>
      <vt:variant>
        <vt:i4>1572925</vt:i4>
      </vt:variant>
      <vt:variant>
        <vt:i4>1208</vt:i4>
      </vt:variant>
      <vt:variant>
        <vt:i4>0</vt:i4>
      </vt:variant>
      <vt:variant>
        <vt:i4>5</vt:i4>
      </vt:variant>
      <vt:variant>
        <vt:lpwstr/>
      </vt:variant>
      <vt:variant>
        <vt:lpwstr>_Toc250994675</vt:lpwstr>
      </vt:variant>
      <vt:variant>
        <vt:i4>1572925</vt:i4>
      </vt:variant>
      <vt:variant>
        <vt:i4>1202</vt:i4>
      </vt:variant>
      <vt:variant>
        <vt:i4>0</vt:i4>
      </vt:variant>
      <vt:variant>
        <vt:i4>5</vt:i4>
      </vt:variant>
      <vt:variant>
        <vt:lpwstr/>
      </vt:variant>
      <vt:variant>
        <vt:lpwstr>_Toc250994674</vt:lpwstr>
      </vt:variant>
      <vt:variant>
        <vt:i4>1572925</vt:i4>
      </vt:variant>
      <vt:variant>
        <vt:i4>1196</vt:i4>
      </vt:variant>
      <vt:variant>
        <vt:i4>0</vt:i4>
      </vt:variant>
      <vt:variant>
        <vt:i4>5</vt:i4>
      </vt:variant>
      <vt:variant>
        <vt:lpwstr/>
      </vt:variant>
      <vt:variant>
        <vt:lpwstr>_Toc250994673</vt:lpwstr>
      </vt:variant>
      <vt:variant>
        <vt:i4>1572925</vt:i4>
      </vt:variant>
      <vt:variant>
        <vt:i4>1190</vt:i4>
      </vt:variant>
      <vt:variant>
        <vt:i4>0</vt:i4>
      </vt:variant>
      <vt:variant>
        <vt:i4>5</vt:i4>
      </vt:variant>
      <vt:variant>
        <vt:lpwstr/>
      </vt:variant>
      <vt:variant>
        <vt:lpwstr>_Toc250994672</vt:lpwstr>
      </vt:variant>
      <vt:variant>
        <vt:i4>1572925</vt:i4>
      </vt:variant>
      <vt:variant>
        <vt:i4>1184</vt:i4>
      </vt:variant>
      <vt:variant>
        <vt:i4>0</vt:i4>
      </vt:variant>
      <vt:variant>
        <vt:i4>5</vt:i4>
      </vt:variant>
      <vt:variant>
        <vt:lpwstr/>
      </vt:variant>
      <vt:variant>
        <vt:lpwstr>_Toc250994671</vt:lpwstr>
      </vt:variant>
      <vt:variant>
        <vt:i4>1572925</vt:i4>
      </vt:variant>
      <vt:variant>
        <vt:i4>1178</vt:i4>
      </vt:variant>
      <vt:variant>
        <vt:i4>0</vt:i4>
      </vt:variant>
      <vt:variant>
        <vt:i4>5</vt:i4>
      </vt:variant>
      <vt:variant>
        <vt:lpwstr/>
      </vt:variant>
      <vt:variant>
        <vt:lpwstr>_Toc250994670</vt:lpwstr>
      </vt:variant>
      <vt:variant>
        <vt:i4>1638461</vt:i4>
      </vt:variant>
      <vt:variant>
        <vt:i4>1172</vt:i4>
      </vt:variant>
      <vt:variant>
        <vt:i4>0</vt:i4>
      </vt:variant>
      <vt:variant>
        <vt:i4>5</vt:i4>
      </vt:variant>
      <vt:variant>
        <vt:lpwstr/>
      </vt:variant>
      <vt:variant>
        <vt:lpwstr>_Toc250994669</vt:lpwstr>
      </vt:variant>
      <vt:variant>
        <vt:i4>1638461</vt:i4>
      </vt:variant>
      <vt:variant>
        <vt:i4>1166</vt:i4>
      </vt:variant>
      <vt:variant>
        <vt:i4>0</vt:i4>
      </vt:variant>
      <vt:variant>
        <vt:i4>5</vt:i4>
      </vt:variant>
      <vt:variant>
        <vt:lpwstr/>
      </vt:variant>
      <vt:variant>
        <vt:lpwstr>_Toc250994668</vt:lpwstr>
      </vt:variant>
      <vt:variant>
        <vt:i4>1638461</vt:i4>
      </vt:variant>
      <vt:variant>
        <vt:i4>1160</vt:i4>
      </vt:variant>
      <vt:variant>
        <vt:i4>0</vt:i4>
      </vt:variant>
      <vt:variant>
        <vt:i4>5</vt:i4>
      </vt:variant>
      <vt:variant>
        <vt:lpwstr/>
      </vt:variant>
      <vt:variant>
        <vt:lpwstr>_Toc250994667</vt:lpwstr>
      </vt:variant>
      <vt:variant>
        <vt:i4>1638461</vt:i4>
      </vt:variant>
      <vt:variant>
        <vt:i4>1154</vt:i4>
      </vt:variant>
      <vt:variant>
        <vt:i4>0</vt:i4>
      </vt:variant>
      <vt:variant>
        <vt:i4>5</vt:i4>
      </vt:variant>
      <vt:variant>
        <vt:lpwstr/>
      </vt:variant>
      <vt:variant>
        <vt:lpwstr>_Toc250994666</vt:lpwstr>
      </vt:variant>
      <vt:variant>
        <vt:i4>1638461</vt:i4>
      </vt:variant>
      <vt:variant>
        <vt:i4>1148</vt:i4>
      </vt:variant>
      <vt:variant>
        <vt:i4>0</vt:i4>
      </vt:variant>
      <vt:variant>
        <vt:i4>5</vt:i4>
      </vt:variant>
      <vt:variant>
        <vt:lpwstr/>
      </vt:variant>
      <vt:variant>
        <vt:lpwstr>_Toc250994665</vt:lpwstr>
      </vt:variant>
      <vt:variant>
        <vt:i4>1638461</vt:i4>
      </vt:variant>
      <vt:variant>
        <vt:i4>1142</vt:i4>
      </vt:variant>
      <vt:variant>
        <vt:i4>0</vt:i4>
      </vt:variant>
      <vt:variant>
        <vt:i4>5</vt:i4>
      </vt:variant>
      <vt:variant>
        <vt:lpwstr/>
      </vt:variant>
      <vt:variant>
        <vt:lpwstr>_Toc250994664</vt:lpwstr>
      </vt:variant>
      <vt:variant>
        <vt:i4>1638461</vt:i4>
      </vt:variant>
      <vt:variant>
        <vt:i4>1136</vt:i4>
      </vt:variant>
      <vt:variant>
        <vt:i4>0</vt:i4>
      </vt:variant>
      <vt:variant>
        <vt:i4>5</vt:i4>
      </vt:variant>
      <vt:variant>
        <vt:lpwstr/>
      </vt:variant>
      <vt:variant>
        <vt:lpwstr>_Toc250994663</vt:lpwstr>
      </vt:variant>
      <vt:variant>
        <vt:i4>1638461</vt:i4>
      </vt:variant>
      <vt:variant>
        <vt:i4>1130</vt:i4>
      </vt:variant>
      <vt:variant>
        <vt:i4>0</vt:i4>
      </vt:variant>
      <vt:variant>
        <vt:i4>5</vt:i4>
      </vt:variant>
      <vt:variant>
        <vt:lpwstr/>
      </vt:variant>
      <vt:variant>
        <vt:lpwstr>_Toc250994662</vt:lpwstr>
      </vt:variant>
      <vt:variant>
        <vt:i4>1638461</vt:i4>
      </vt:variant>
      <vt:variant>
        <vt:i4>1124</vt:i4>
      </vt:variant>
      <vt:variant>
        <vt:i4>0</vt:i4>
      </vt:variant>
      <vt:variant>
        <vt:i4>5</vt:i4>
      </vt:variant>
      <vt:variant>
        <vt:lpwstr/>
      </vt:variant>
      <vt:variant>
        <vt:lpwstr>_Toc250994661</vt:lpwstr>
      </vt:variant>
      <vt:variant>
        <vt:i4>1638461</vt:i4>
      </vt:variant>
      <vt:variant>
        <vt:i4>1118</vt:i4>
      </vt:variant>
      <vt:variant>
        <vt:i4>0</vt:i4>
      </vt:variant>
      <vt:variant>
        <vt:i4>5</vt:i4>
      </vt:variant>
      <vt:variant>
        <vt:lpwstr/>
      </vt:variant>
      <vt:variant>
        <vt:lpwstr>_Toc250994660</vt:lpwstr>
      </vt:variant>
      <vt:variant>
        <vt:i4>1703997</vt:i4>
      </vt:variant>
      <vt:variant>
        <vt:i4>1112</vt:i4>
      </vt:variant>
      <vt:variant>
        <vt:i4>0</vt:i4>
      </vt:variant>
      <vt:variant>
        <vt:i4>5</vt:i4>
      </vt:variant>
      <vt:variant>
        <vt:lpwstr/>
      </vt:variant>
      <vt:variant>
        <vt:lpwstr>_Toc250994659</vt:lpwstr>
      </vt:variant>
      <vt:variant>
        <vt:i4>1703997</vt:i4>
      </vt:variant>
      <vt:variant>
        <vt:i4>1106</vt:i4>
      </vt:variant>
      <vt:variant>
        <vt:i4>0</vt:i4>
      </vt:variant>
      <vt:variant>
        <vt:i4>5</vt:i4>
      </vt:variant>
      <vt:variant>
        <vt:lpwstr/>
      </vt:variant>
      <vt:variant>
        <vt:lpwstr>_Toc250994658</vt:lpwstr>
      </vt:variant>
      <vt:variant>
        <vt:i4>1703997</vt:i4>
      </vt:variant>
      <vt:variant>
        <vt:i4>1100</vt:i4>
      </vt:variant>
      <vt:variant>
        <vt:i4>0</vt:i4>
      </vt:variant>
      <vt:variant>
        <vt:i4>5</vt:i4>
      </vt:variant>
      <vt:variant>
        <vt:lpwstr/>
      </vt:variant>
      <vt:variant>
        <vt:lpwstr>_Toc250994657</vt:lpwstr>
      </vt:variant>
      <vt:variant>
        <vt:i4>1703997</vt:i4>
      </vt:variant>
      <vt:variant>
        <vt:i4>1094</vt:i4>
      </vt:variant>
      <vt:variant>
        <vt:i4>0</vt:i4>
      </vt:variant>
      <vt:variant>
        <vt:i4>5</vt:i4>
      </vt:variant>
      <vt:variant>
        <vt:lpwstr/>
      </vt:variant>
      <vt:variant>
        <vt:lpwstr>_Toc250994656</vt:lpwstr>
      </vt:variant>
      <vt:variant>
        <vt:i4>1703997</vt:i4>
      </vt:variant>
      <vt:variant>
        <vt:i4>1088</vt:i4>
      </vt:variant>
      <vt:variant>
        <vt:i4>0</vt:i4>
      </vt:variant>
      <vt:variant>
        <vt:i4>5</vt:i4>
      </vt:variant>
      <vt:variant>
        <vt:lpwstr/>
      </vt:variant>
      <vt:variant>
        <vt:lpwstr>_Toc250994655</vt:lpwstr>
      </vt:variant>
      <vt:variant>
        <vt:i4>1703997</vt:i4>
      </vt:variant>
      <vt:variant>
        <vt:i4>1082</vt:i4>
      </vt:variant>
      <vt:variant>
        <vt:i4>0</vt:i4>
      </vt:variant>
      <vt:variant>
        <vt:i4>5</vt:i4>
      </vt:variant>
      <vt:variant>
        <vt:lpwstr/>
      </vt:variant>
      <vt:variant>
        <vt:lpwstr>_Toc250994654</vt:lpwstr>
      </vt:variant>
      <vt:variant>
        <vt:i4>1703997</vt:i4>
      </vt:variant>
      <vt:variant>
        <vt:i4>1076</vt:i4>
      </vt:variant>
      <vt:variant>
        <vt:i4>0</vt:i4>
      </vt:variant>
      <vt:variant>
        <vt:i4>5</vt:i4>
      </vt:variant>
      <vt:variant>
        <vt:lpwstr/>
      </vt:variant>
      <vt:variant>
        <vt:lpwstr>_Toc250994653</vt:lpwstr>
      </vt:variant>
      <vt:variant>
        <vt:i4>1703997</vt:i4>
      </vt:variant>
      <vt:variant>
        <vt:i4>1070</vt:i4>
      </vt:variant>
      <vt:variant>
        <vt:i4>0</vt:i4>
      </vt:variant>
      <vt:variant>
        <vt:i4>5</vt:i4>
      </vt:variant>
      <vt:variant>
        <vt:lpwstr/>
      </vt:variant>
      <vt:variant>
        <vt:lpwstr>_Toc250994652</vt:lpwstr>
      </vt:variant>
      <vt:variant>
        <vt:i4>1703997</vt:i4>
      </vt:variant>
      <vt:variant>
        <vt:i4>1064</vt:i4>
      </vt:variant>
      <vt:variant>
        <vt:i4>0</vt:i4>
      </vt:variant>
      <vt:variant>
        <vt:i4>5</vt:i4>
      </vt:variant>
      <vt:variant>
        <vt:lpwstr/>
      </vt:variant>
      <vt:variant>
        <vt:lpwstr>_Toc250994651</vt:lpwstr>
      </vt:variant>
      <vt:variant>
        <vt:i4>1703997</vt:i4>
      </vt:variant>
      <vt:variant>
        <vt:i4>1058</vt:i4>
      </vt:variant>
      <vt:variant>
        <vt:i4>0</vt:i4>
      </vt:variant>
      <vt:variant>
        <vt:i4>5</vt:i4>
      </vt:variant>
      <vt:variant>
        <vt:lpwstr/>
      </vt:variant>
      <vt:variant>
        <vt:lpwstr>_Toc250994650</vt:lpwstr>
      </vt:variant>
      <vt:variant>
        <vt:i4>1769533</vt:i4>
      </vt:variant>
      <vt:variant>
        <vt:i4>1052</vt:i4>
      </vt:variant>
      <vt:variant>
        <vt:i4>0</vt:i4>
      </vt:variant>
      <vt:variant>
        <vt:i4>5</vt:i4>
      </vt:variant>
      <vt:variant>
        <vt:lpwstr/>
      </vt:variant>
      <vt:variant>
        <vt:lpwstr>_Toc250994649</vt:lpwstr>
      </vt:variant>
      <vt:variant>
        <vt:i4>1769533</vt:i4>
      </vt:variant>
      <vt:variant>
        <vt:i4>1046</vt:i4>
      </vt:variant>
      <vt:variant>
        <vt:i4>0</vt:i4>
      </vt:variant>
      <vt:variant>
        <vt:i4>5</vt:i4>
      </vt:variant>
      <vt:variant>
        <vt:lpwstr/>
      </vt:variant>
      <vt:variant>
        <vt:lpwstr>_Toc250994648</vt:lpwstr>
      </vt:variant>
      <vt:variant>
        <vt:i4>1769533</vt:i4>
      </vt:variant>
      <vt:variant>
        <vt:i4>1040</vt:i4>
      </vt:variant>
      <vt:variant>
        <vt:i4>0</vt:i4>
      </vt:variant>
      <vt:variant>
        <vt:i4>5</vt:i4>
      </vt:variant>
      <vt:variant>
        <vt:lpwstr/>
      </vt:variant>
      <vt:variant>
        <vt:lpwstr>_Toc250994647</vt:lpwstr>
      </vt:variant>
      <vt:variant>
        <vt:i4>1769533</vt:i4>
      </vt:variant>
      <vt:variant>
        <vt:i4>1034</vt:i4>
      </vt:variant>
      <vt:variant>
        <vt:i4>0</vt:i4>
      </vt:variant>
      <vt:variant>
        <vt:i4>5</vt:i4>
      </vt:variant>
      <vt:variant>
        <vt:lpwstr/>
      </vt:variant>
      <vt:variant>
        <vt:lpwstr>_Toc250994646</vt:lpwstr>
      </vt:variant>
      <vt:variant>
        <vt:i4>1769533</vt:i4>
      </vt:variant>
      <vt:variant>
        <vt:i4>1028</vt:i4>
      </vt:variant>
      <vt:variant>
        <vt:i4>0</vt:i4>
      </vt:variant>
      <vt:variant>
        <vt:i4>5</vt:i4>
      </vt:variant>
      <vt:variant>
        <vt:lpwstr/>
      </vt:variant>
      <vt:variant>
        <vt:lpwstr>_Toc250994645</vt:lpwstr>
      </vt:variant>
      <vt:variant>
        <vt:i4>1769533</vt:i4>
      </vt:variant>
      <vt:variant>
        <vt:i4>1022</vt:i4>
      </vt:variant>
      <vt:variant>
        <vt:i4>0</vt:i4>
      </vt:variant>
      <vt:variant>
        <vt:i4>5</vt:i4>
      </vt:variant>
      <vt:variant>
        <vt:lpwstr/>
      </vt:variant>
      <vt:variant>
        <vt:lpwstr>_Toc250994644</vt:lpwstr>
      </vt:variant>
      <vt:variant>
        <vt:i4>1769533</vt:i4>
      </vt:variant>
      <vt:variant>
        <vt:i4>1016</vt:i4>
      </vt:variant>
      <vt:variant>
        <vt:i4>0</vt:i4>
      </vt:variant>
      <vt:variant>
        <vt:i4>5</vt:i4>
      </vt:variant>
      <vt:variant>
        <vt:lpwstr/>
      </vt:variant>
      <vt:variant>
        <vt:lpwstr>_Toc250994643</vt:lpwstr>
      </vt:variant>
      <vt:variant>
        <vt:i4>1769533</vt:i4>
      </vt:variant>
      <vt:variant>
        <vt:i4>1010</vt:i4>
      </vt:variant>
      <vt:variant>
        <vt:i4>0</vt:i4>
      </vt:variant>
      <vt:variant>
        <vt:i4>5</vt:i4>
      </vt:variant>
      <vt:variant>
        <vt:lpwstr/>
      </vt:variant>
      <vt:variant>
        <vt:lpwstr>_Toc250994642</vt:lpwstr>
      </vt:variant>
      <vt:variant>
        <vt:i4>1769533</vt:i4>
      </vt:variant>
      <vt:variant>
        <vt:i4>1004</vt:i4>
      </vt:variant>
      <vt:variant>
        <vt:i4>0</vt:i4>
      </vt:variant>
      <vt:variant>
        <vt:i4>5</vt:i4>
      </vt:variant>
      <vt:variant>
        <vt:lpwstr/>
      </vt:variant>
      <vt:variant>
        <vt:lpwstr>_Toc250994641</vt:lpwstr>
      </vt:variant>
      <vt:variant>
        <vt:i4>1769533</vt:i4>
      </vt:variant>
      <vt:variant>
        <vt:i4>998</vt:i4>
      </vt:variant>
      <vt:variant>
        <vt:i4>0</vt:i4>
      </vt:variant>
      <vt:variant>
        <vt:i4>5</vt:i4>
      </vt:variant>
      <vt:variant>
        <vt:lpwstr/>
      </vt:variant>
      <vt:variant>
        <vt:lpwstr>_Toc250994640</vt:lpwstr>
      </vt:variant>
      <vt:variant>
        <vt:i4>1835069</vt:i4>
      </vt:variant>
      <vt:variant>
        <vt:i4>992</vt:i4>
      </vt:variant>
      <vt:variant>
        <vt:i4>0</vt:i4>
      </vt:variant>
      <vt:variant>
        <vt:i4>5</vt:i4>
      </vt:variant>
      <vt:variant>
        <vt:lpwstr/>
      </vt:variant>
      <vt:variant>
        <vt:lpwstr>_Toc250994639</vt:lpwstr>
      </vt:variant>
      <vt:variant>
        <vt:i4>1835069</vt:i4>
      </vt:variant>
      <vt:variant>
        <vt:i4>986</vt:i4>
      </vt:variant>
      <vt:variant>
        <vt:i4>0</vt:i4>
      </vt:variant>
      <vt:variant>
        <vt:i4>5</vt:i4>
      </vt:variant>
      <vt:variant>
        <vt:lpwstr/>
      </vt:variant>
      <vt:variant>
        <vt:lpwstr>_Toc250994638</vt:lpwstr>
      </vt:variant>
      <vt:variant>
        <vt:i4>1835069</vt:i4>
      </vt:variant>
      <vt:variant>
        <vt:i4>980</vt:i4>
      </vt:variant>
      <vt:variant>
        <vt:i4>0</vt:i4>
      </vt:variant>
      <vt:variant>
        <vt:i4>5</vt:i4>
      </vt:variant>
      <vt:variant>
        <vt:lpwstr/>
      </vt:variant>
      <vt:variant>
        <vt:lpwstr>_Toc250994637</vt:lpwstr>
      </vt:variant>
      <vt:variant>
        <vt:i4>1835069</vt:i4>
      </vt:variant>
      <vt:variant>
        <vt:i4>974</vt:i4>
      </vt:variant>
      <vt:variant>
        <vt:i4>0</vt:i4>
      </vt:variant>
      <vt:variant>
        <vt:i4>5</vt:i4>
      </vt:variant>
      <vt:variant>
        <vt:lpwstr/>
      </vt:variant>
      <vt:variant>
        <vt:lpwstr>_Toc250994636</vt:lpwstr>
      </vt:variant>
      <vt:variant>
        <vt:i4>1835069</vt:i4>
      </vt:variant>
      <vt:variant>
        <vt:i4>968</vt:i4>
      </vt:variant>
      <vt:variant>
        <vt:i4>0</vt:i4>
      </vt:variant>
      <vt:variant>
        <vt:i4>5</vt:i4>
      </vt:variant>
      <vt:variant>
        <vt:lpwstr/>
      </vt:variant>
      <vt:variant>
        <vt:lpwstr>_Toc250994635</vt:lpwstr>
      </vt:variant>
      <vt:variant>
        <vt:i4>1835069</vt:i4>
      </vt:variant>
      <vt:variant>
        <vt:i4>962</vt:i4>
      </vt:variant>
      <vt:variant>
        <vt:i4>0</vt:i4>
      </vt:variant>
      <vt:variant>
        <vt:i4>5</vt:i4>
      </vt:variant>
      <vt:variant>
        <vt:lpwstr/>
      </vt:variant>
      <vt:variant>
        <vt:lpwstr>_Toc250994634</vt:lpwstr>
      </vt:variant>
      <vt:variant>
        <vt:i4>1835069</vt:i4>
      </vt:variant>
      <vt:variant>
        <vt:i4>956</vt:i4>
      </vt:variant>
      <vt:variant>
        <vt:i4>0</vt:i4>
      </vt:variant>
      <vt:variant>
        <vt:i4>5</vt:i4>
      </vt:variant>
      <vt:variant>
        <vt:lpwstr/>
      </vt:variant>
      <vt:variant>
        <vt:lpwstr>_Toc250994633</vt:lpwstr>
      </vt:variant>
      <vt:variant>
        <vt:i4>1835069</vt:i4>
      </vt:variant>
      <vt:variant>
        <vt:i4>950</vt:i4>
      </vt:variant>
      <vt:variant>
        <vt:i4>0</vt:i4>
      </vt:variant>
      <vt:variant>
        <vt:i4>5</vt:i4>
      </vt:variant>
      <vt:variant>
        <vt:lpwstr/>
      </vt:variant>
      <vt:variant>
        <vt:lpwstr>_Toc250994632</vt:lpwstr>
      </vt:variant>
      <vt:variant>
        <vt:i4>1835069</vt:i4>
      </vt:variant>
      <vt:variant>
        <vt:i4>944</vt:i4>
      </vt:variant>
      <vt:variant>
        <vt:i4>0</vt:i4>
      </vt:variant>
      <vt:variant>
        <vt:i4>5</vt:i4>
      </vt:variant>
      <vt:variant>
        <vt:lpwstr/>
      </vt:variant>
      <vt:variant>
        <vt:lpwstr>_Toc250994631</vt:lpwstr>
      </vt:variant>
      <vt:variant>
        <vt:i4>1835069</vt:i4>
      </vt:variant>
      <vt:variant>
        <vt:i4>938</vt:i4>
      </vt:variant>
      <vt:variant>
        <vt:i4>0</vt:i4>
      </vt:variant>
      <vt:variant>
        <vt:i4>5</vt:i4>
      </vt:variant>
      <vt:variant>
        <vt:lpwstr/>
      </vt:variant>
      <vt:variant>
        <vt:lpwstr>_Toc250994630</vt:lpwstr>
      </vt:variant>
      <vt:variant>
        <vt:i4>1900605</vt:i4>
      </vt:variant>
      <vt:variant>
        <vt:i4>932</vt:i4>
      </vt:variant>
      <vt:variant>
        <vt:i4>0</vt:i4>
      </vt:variant>
      <vt:variant>
        <vt:i4>5</vt:i4>
      </vt:variant>
      <vt:variant>
        <vt:lpwstr/>
      </vt:variant>
      <vt:variant>
        <vt:lpwstr>_Toc250994629</vt:lpwstr>
      </vt:variant>
      <vt:variant>
        <vt:i4>1900605</vt:i4>
      </vt:variant>
      <vt:variant>
        <vt:i4>926</vt:i4>
      </vt:variant>
      <vt:variant>
        <vt:i4>0</vt:i4>
      </vt:variant>
      <vt:variant>
        <vt:i4>5</vt:i4>
      </vt:variant>
      <vt:variant>
        <vt:lpwstr/>
      </vt:variant>
      <vt:variant>
        <vt:lpwstr>_Toc250994628</vt:lpwstr>
      </vt:variant>
      <vt:variant>
        <vt:i4>1900605</vt:i4>
      </vt:variant>
      <vt:variant>
        <vt:i4>920</vt:i4>
      </vt:variant>
      <vt:variant>
        <vt:i4>0</vt:i4>
      </vt:variant>
      <vt:variant>
        <vt:i4>5</vt:i4>
      </vt:variant>
      <vt:variant>
        <vt:lpwstr/>
      </vt:variant>
      <vt:variant>
        <vt:lpwstr>_Toc250994627</vt:lpwstr>
      </vt:variant>
      <vt:variant>
        <vt:i4>1900605</vt:i4>
      </vt:variant>
      <vt:variant>
        <vt:i4>914</vt:i4>
      </vt:variant>
      <vt:variant>
        <vt:i4>0</vt:i4>
      </vt:variant>
      <vt:variant>
        <vt:i4>5</vt:i4>
      </vt:variant>
      <vt:variant>
        <vt:lpwstr/>
      </vt:variant>
      <vt:variant>
        <vt:lpwstr>_Toc250994626</vt:lpwstr>
      </vt:variant>
      <vt:variant>
        <vt:i4>1900605</vt:i4>
      </vt:variant>
      <vt:variant>
        <vt:i4>908</vt:i4>
      </vt:variant>
      <vt:variant>
        <vt:i4>0</vt:i4>
      </vt:variant>
      <vt:variant>
        <vt:i4>5</vt:i4>
      </vt:variant>
      <vt:variant>
        <vt:lpwstr/>
      </vt:variant>
      <vt:variant>
        <vt:lpwstr>_Toc250994625</vt:lpwstr>
      </vt:variant>
      <vt:variant>
        <vt:i4>1900605</vt:i4>
      </vt:variant>
      <vt:variant>
        <vt:i4>902</vt:i4>
      </vt:variant>
      <vt:variant>
        <vt:i4>0</vt:i4>
      </vt:variant>
      <vt:variant>
        <vt:i4>5</vt:i4>
      </vt:variant>
      <vt:variant>
        <vt:lpwstr/>
      </vt:variant>
      <vt:variant>
        <vt:lpwstr>_Toc250994624</vt:lpwstr>
      </vt:variant>
      <vt:variant>
        <vt:i4>1900605</vt:i4>
      </vt:variant>
      <vt:variant>
        <vt:i4>896</vt:i4>
      </vt:variant>
      <vt:variant>
        <vt:i4>0</vt:i4>
      </vt:variant>
      <vt:variant>
        <vt:i4>5</vt:i4>
      </vt:variant>
      <vt:variant>
        <vt:lpwstr/>
      </vt:variant>
      <vt:variant>
        <vt:lpwstr>_Toc250994623</vt:lpwstr>
      </vt:variant>
      <vt:variant>
        <vt:i4>1900605</vt:i4>
      </vt:variant>
      <vt:variant>
        <vt:i4>890</vt:i4>
      </vt:variant>
      <vt:variant>
        <vt:i4>0</vt:i4>
      </vt:variant>
      <vt:variant>
        <vt:i4>5</vt:i4>
      </vt:variant>
      <vt:variant>
        <vt:lpwstr/>
      </vt:variant>
      <vt:variant>
        <vt:lpwstr>_Toc250994622</vt:lpwstr>
      </vt:variant>
      <vt:variant>
        <vt:i4>1900605</vt:i4>
      </vt:variant>
      <vt:variant>
        <vt:i4>884</vt:i4>
      </vt:variant>
      <vt:variant>
        <vt:i4>0</vt:i4>
      </vt:variant>
      <vt:variant>
        <vt:i4>5</vt:i4>
      </vt:variant>
      <vt:variant>
        <vt:lpwstr/>
      </vt:variant>
      <vt:variant>
        <vt:lpwstr>_Toc250994621</vt:lpwstr>
      </vt:variant>
      <vt:variant>
        <vt:i4>1900605</vt:i4>
      </vt:variant>
      <vt:variant>
        <vt:i4>878</vt:i4>
      </vt:variant>
      <vt:variant>
        <vt:i4>0</vt:i4>
      </vt:variant>
      <vt:variant>
        <vt:i4>5</vt:i4>
      </vt:variant>
      <vt:variant>
        <vt:lpwstr/>
      </vt:variant>
      <vt:variant>
        <vt:lpwstr>_Toc250994620</vt:lpwstr>
      </vt:variant>
      <vt:variant>
        <vt:i4>1966141</vt:i4>
      </vt:variant>
      <vt:variant>
        <vt:i4>872</vt:i4>
      </vt:variant>
      <vt:variant>
        <vt:i4>0</vt:i4>
      </vt:variant>
      <vt:variant>
        <vt:i4>5</vt:i4>
      </vt:variant>
      <vt:variant>
        <vt:lpwstr/>
      </vt:variant>
      <vt:variant>
        <vt:lpwstr>_Toc250994619</vt:lpwstr>
      </vt:variant>
      <vt:variant>
        <vt:i4>1966141</vt:i4>
      </vt:variant>
      <vt:variant>
        <vt:i4>866</vt:i4>
      </vt:variant>
      <vt:variant>
        <vt:i4>0</vt:i4>
      </vt:variant>
      <vt:variant>
        <vt:i4>5</vt:i4>
      </vt:variant>
      <vt:variant>
        <vt:lpwstr/>
      </vt:variant>
      <vt:variant>
        <vt:lpwstr>_Toc250994618</vt:lpwstr>
      </vt:variant>
      <vt:variant>
        <vt:i4>1966141</vt:i4>
      </vt:variant>
      <vt:variant>
        <vt:i4>860</vt:i4>
      </vt:variant>
      <vt:variant>
        <vt:i4>0</vt:i4>
      </vt:variant>
      <vt:variant>
        <vt:i4>5</vt:i4>
      </vt:variant>
      <vt:variant>
        <vt:lpwstr/>
      </vt:variant>
      <vt:variant>
        <vt:lpwstr>_Toc250994617</vt:lpwstr>
      </vt:variant>
      <vt:variant>
        <vt:i4>1966141</vt:i4>
      </vt:variant>
      <vt:variant>
        <vt:i4>854</vt:i4>
      </vt:variant>
      <vt:variant>
        <vt:i4>0</vt:i4>
      </vt:variant>
      <vt:variant>
        <vt:i4>5</vt:i4>
      </vt:variant>
      <vt:variant>
        <vt:lpwstr/>
      </vt:variant>
      <vt:variant>
        <vt:lpwstr>_Toc250994616</vt:lpwstr>
      </vt:variant>
      <vt:variant>
        <vt:i4>1966141</vt:i4>
      </vt:variant>
      <vt:variant>
        <vt:i4>848</vt:i4>
      </vt:variant>
      <vt:variant>
        <vt:i4>0</vt:i4>
      </vt:variant>
      <vt:variant>
        <vt:i4>5</vt:i4>
      </vt:variant>
      <vt:variant>
        <vt:lpwstr/>
      </vt:variant>
      <vt:variant>
        <vt:lpwstr>_Toc250994615</vt:lpwstr>
      </vt:variant>
      <vt:variant>
        <vt:i4>1966141</vt:i4>
      </vt:variant>
      <vt:variant>
        <vt:i4>842</vt:i4>
      </vt:variant>
      <vt:variant>
        <vt:i4>0</vt:i4>
      </vt:variant>
      <vt:variant>
        <vt:i4>5</vt:i4>
      </vt:variant>
      <vt:variant>
        <vt:lpwstr/>
      </vt:variant>
      <vt:variant>
        <vt:lpwstr>_Toc250994614</vt:lpwstr>
      </vt:variant>
      <vt:variant>
        <vt:i4>1966141</vt:i4>
      </vt:variant>
      <vt:variant>
        <vt:i4>836</vt:i4>
      </vt:variant>
      <vt:variant>
        <vt:i4>0</vt:i4>
      </vt:variant>
      <vt:variant>
        <vt:i4>5</vt:i4>
      </vt:variant>
      <vt:variant>
        <vt:lpwstr/>
      </vt:variant>
      <vt:variant>
        <vt:lpwstr>_Toc250994613</vt:lpwstr>
      </vt:variant>
      <vt:variant>
        <vt:i4>1966141</vt:i4>
      </vt:variant>
      <vt:variant>
        <vt:i4>830</vt:i4>
      </vt:variant>
      <vt:variant>
        <vt:i4>0</vt:i4>
      </vt:variant>
      <vt:variant>
        <vt:i4>5</vt:i4>
      </vt:variant>
      <vt:variant>
        <vt:lpwstr/>
      </vt:variant>
      <vt:variant>
        <vt:lpwstr>_Toc250994612</vt:lpwstr>
      </vt:variant>
      <vt:variant>
        <vt:i4>1966141</vt:i4>
      </vt:variant>
      <vt:variant>
        <vt:i4>824</vt:i4>
      </vt:variant>
      <vt:variant>
        <vt:i4>0</vt:i4>
      </vt:variant>
      <vt:variant>
        <vt:i4>5</vt:i4>
      </vt:variant>
      <vt:variant>
        <vt:lpwstr/>
      </vt:variant>
      <vt:variant>
        <vt:lpwstr>_Toc250994611</vt:lpwstr>
      </vt:variant>
      <vt:variant>
        <vt:i4>1966141</vt:i4>
      </vt:variant>
      <vt:variant>
        <vt:i4>818</vt:i4>
      </vt:variant>
      <vt:variant>
        <vt:i4>0</vt:i4>
      </vt:variant>
      <vt:variant>
        <vt:i4>5</vt:i4>
      </vt:variant>
      <vt:variant>
        <vt:lpwstr/>
      </vt:variant>
      <vt:variant>
        <vt:lpwstr>_Toc250994610</vt:lpwstr>
      </vt:variant>
      <vt:variant>
        <vt:i4>2031677</vt:i4>
      </vt:variant>
      <vt:variant>
        <vt:i4>812</vt:i4>
      </vt:variant>
      <vt:variant>
        <vt:i4>0</vt:i4>
      </vt:variant>
      <vt:variant>
        <vt:i4>5</vt:i4>
      </vt:variant>
      <vt:variant>
        <vt:lpwstr/>
      </vt:variant>
      <vt:variant>
        <vt:lpwstr>_Toc250994609</vt:lpwstr>
      </vt:variant>
      <vt:variant>
        <vt:i4>2031677</vt:i4>
      </vt:variant>
      <vt:variant>
        <vt:i4>806</vt:i4>
      </vt:variant>
      <vt:variant>
        <vt:i4>0</vt:i4>
      </vt:variant>
      <vt:variant>
        <vt:i4>5</vt:i4>
      </vt:variant>
      <vt:variant>
        <vt:lpwstr/>
      </vt:variant>
      <vt:variant>
        <vt:lpwstr>_Toc250994608</vt:lpwstr>
      </vt:variant>
      <vt:variant>
        <vt:i4>2031677</vt:i4>
      </vt:variant>
      <vt:variant>
        <vt:i4>800</vt:i4>
      </vt:variant>
      <vt:variant>
        <vt:i4>0</vt:i4>
      </vt:variant>
      <vt:variant>
        <vt:i4>5</vt:i4>
      </vt:variant>
      <vt:variant>
        <vt:lpwstr/>
      </vt:variant>
      <vt:variant>
        <vt:lpwstr>_Toc250994607</vt:lpwstr>
      </vt:variant>
      <vt:variant>
        <vt:i4>2031677</vt:i4>
      </vt:variant>
      <vt:variant>
        <vt:i4>794</vt:i4>
      </vt:variant>
      <vt:variant>
        <vt:i4>0</vt:i4>
      </vt:variant>
      <vt:variant>
        <vt:i4>5</vt:i4>
      </vt:variant>
      <vt:variant>
        <vt:lpwstr/>
      </vt:variant>
      <vt:variant>
        <vt:lpwstr>_Toc250994606</vt:lpwstr>
      </vt:variant>
      <vt:variant>
        <vt:i4>2031677</vt:i4>
      </vt:variant>
      <vt:variant>
        <vt:i4>788</vt:i4>
      </vt:variant>
      <vt:variant>
        <vt:i4>0</vt:i4>
      </vt:variant>
      <vt:variant>
        <vt:i4>5</vt:i4>
      </vt:variant>
      <vt:variant>
        <vt:lpwstr/>
      </vt:variant>
      <vt:variant>
        <vt:lpwstr>_Toc250994605</vt:lpwstr>
      </vt:variant>
      <vt:variant>
        <vt:i4>2031677</vt:i4>
      </vt:variant>
      <vt:variant>
        <vt:i4>782</vt:i4>
      </vt:variant>
      <vt:variant>
        <vt:i4>0</vt:i4>
      </vt:variant>
      <vt:variant>
        <vt:i4>5</vt:i4>
      </vt:variant>
      <vt:variant>
        <vt:lpwstr/>
      </vt:variant>
      <vt:variant>
        <vt:lpwstr>_Toc250994604</vt:lpwstr>
      </vt:variant>
      <vt:variant>
        <vt:i4>2031677</vt:i4>
      </vt:variant>
      <vt:variant>
        <vt:i4>776</vt:i4>
      </vt:variant>
      <vt:variant>
        <vt:i4>0</vt:i4>
      </vt:variant>
      <vt:variant>
        <vt:i4>5</vt:i4>
      </vt:variant>
      <vt:variant>
        <vt:lpwstr/>
      </vt:variant>
      <vt:variant>
        <vt:lpwstr>_Toc250994603</vt:lpwstr>
      </vt:variant>
      <vt:variant>
        <vt:i4>2031677</vt:i4>
      </vt:variant>
      <vt:variant>
        <vt:i4>770</vt:i4>
      </vt:variant>
      <vt:variant>
        <vt:i4>0</vt:i4>
      </vt:variant>
      <vt:variant>
        <vt:i4>5</vt:i4>
      </vt:variant>
      <vt:variant>
        <vt:lpwstr/>
      </vt:variant>
      <vt:variant>
        <vt:lpwstr>_Toc250994602</vt:lpwstr>
      </vt:variant>
      <vt:variant>
        <vt:i4>2031677</vt:i4>
      </vt:variant>
      <vt:variant>
        <vt:i4>764</vt:i4>
      </vt:variant>
      <vt:variant>
        <vt:i4>0</vt:i4>
      </vt:variant>
      <vt:variant>
        <vt:i4>5</vt:i4>
      </vt:variant>
      <vt:variant>
        <vt:lpwstr/>
      </vt:variant>
      <vt:variant>
        <vt:lpwstr>_Toc250994601</vt:lpwstr>
      </vt:variant>
      <vt:variant>
        <vt:i4>2031677</vt:i4>
      </vt:variant>
      <vt:variant>
        <vt:i4>758</vt:i4>
      </vt:variant>
      <vt:variant>
        <vt:i4>0</vt:i4>
      </vt:variant>
      <vt:variant>
        <vt:i4>5</vt:i4>
      </vt:variant>
      <vt:variant>
        <vt:lpwstr/>
      </vt:variant>
      <vt:variant>
        <vt:lpwstr>_Toc250994600</vt:lpwstr>
      </vt:variant>
      <vt:variant>
        <vt:i4>1441854</vt:i4>
      </vt:variant>
      <vt:variant>
        <vt:i4>752</vt:i4>
      </vt:variant>
      <vt:variant>
        <vt:i4>0</vt:i4>
      </vt:variant>
      <vt:variant>
        <vt:i4>5</vt:i4>
      </vt:variant>
      <vt:variant>
        <vt:lpwstr/>
      </vt:variant>
      <vt:variant>
        <vt:lpwstr>_Toc250994599</vt:lpwstr>
      </vt:variant>
      <vt:variant>
        <vt:i4>1441854</vt:i4>
      </vt:variant>
      <vt:variant>
        <vt:i4>746</vt:i4>
      </vt:variant>
      <vt:variant>
        <vt:i4>0</vt:i4>
      </vt:variant>
      <vt:variant>
        <vt:i4>5</vt:i4>
      </vt:variant>
      <vt:variant>
        <vt:lpwstr/>
      </vt:variant>
      <vt:variant>
        <vt:lpwstr>_Toc250994598</vt:lpwstr>
      </vt:variant>
      <vt:variant>
        <vt:i4>1441854</vt:i4>
      </vt:variant>
      <vt:variant>
        <vt:i4>740</vt:i4>
      </vt:variant>
      <vt:variant>
        <vt:i4>0</vt:i4>
      </vt:variant>
      <vt:variant>
        <vt:i4>5</vt:i4>
      </vt:variant>
      <vt:variant>
        <vt:lpwstr/>
      </vt:variant>
      <vt:variant>
        <vt:lpwstr>_Toc250994597</vt:lpwstr>
      </vt:variant>
      <vt:variant>
        <vt:i4>1441854</vt:i4>
      </vt:variant>
      <vt:variant>
        <vt:i4>734</vt:i4>
      </vt:variant>
      <vt:variant>
        <vt:i4>0</vt:i4>
      </vt:variant>
      <vt:variant>
        <vt:i4>5</vt:i4>
      </vt:variant>
      <vt:variant>
        <vt:lpwstr/>
      </vt:variant>
      <vt:variant>
        <vt:lpwstr>_Toc250994596</vt:lpwstr>
      </vt:variant>
      <vt:variant>
        <vt:i4>1441854</vt:i4>
      </vt:variant>
      <vt:variant>
        <vt:i4>728</vt:i4>
      </vt:variant>
      <vt:variant>
        <vt:i4>0</vt:i4>
      </vt:variant>
      <vt:variant>
        <vt:i4>5</vt:i4>
      </vt:variant>
      <vt:variant>
        <vt:lpwstr/>
      </vt:variant>
      <vt:variant>
        <vt:lpwstr>_Toc250994595</vt:lpwstr>
      </vt:variant>
      <vt:variant>
        <vt:i4>1441854</vt:i4>
      </vt:variant>
      <vt:variant>
        <vt:i4>722</vt:i4>
      </vt:variant>
      <vt:variant>
        <vt:i4>0</vt:i4>
      </vt:variant>
      <vt:variant>
        <vt:i4>5</vt:i4>
      </vt:variant>
      <vt:variant>
        <vt:lpwstr/>
      </vt:variant>
      <vt:variant>
        <vt:lpwstr>_Toc250994594</vt:lpwstr>
      </vt:variant>
      <vt:variant>
        <vt:i4>1441854</vt:i4>
      </vt:variant>
      <vt:variant>
        <vt:i4>716</vt:i4>
      </vt:variant>
      <vt:variant>
        <vt:i4>0</vt:i4>
      </vt:variant>
      <vt:variant>
        <vt:i4>5</vt:i4>
      </vt:variant>
      <vt:variant>
        <vt:lpwstr/>
      </vt:variant>
      <vt:variant>
        <vt:lpwstr>_Toc250994593</vt:lpwstr>
      </vt:variant>
      <vt:variant>
        <vt:i4>1441854</vt:i4>
      </vt:variant>
      <vt:variant>
        <vt:i4>710</vt:i4>
      </vt:variant>
      <vt:variant>
        <vt:i4>0</vt:i4>
      </vt:variant>
      <vt:variant>
        <vt:i4>5</vt:i4>
      </vt:variant>
      <vt:variant>
        <vt:lpwstr/>
      </vt:variant>
      <vt:variant>
        <vt:lpwstr>_Toc250994592</vt:lpwstr>
      </vt:variant>
      <vt:variant>
        <vt:i4>1441854</vt:i4>
      </vt:variant>
      <vt:variant>
        <vt:i4>704</vt:i4>
      </vt:variant>
      <vt:variant>
        <vt:i4>0</vt:i4>
      </vt:variant>
      <vt:variant>
        <vt:i4>5</vt:i4>
      </vt:variant>
      <vt:variant>
        <vt:lpwstr/>
      </vt:variant>
      <vt:variant>
        <vt:lpwstr>_Toc250994591</vt:lpwstr>
      </vt:variant>
      <vt:variant>
        <vt:i4>1441854</vt:i4>
      </vt:variant>
      <vt:variant>
        <vt:i4>698</vt:i4>
      </vt:variant>
      <vt:variant>
        <vt:i4>0</vt:i4>
      </vt:variant>
      <vt:variant>
        <vt:i4>5</vt:i4>
      </vt:variant>
      <vt:variant>
        <vt:lpwstr/>
      </vt:variant>
      <vt:variant>
        <vt:lpwstr>_Toc250994590</vt:lpwstr>
      </vt:variant>
      <vt:variant>
        <vt:i4>1507390</vt:i4>
      </vt:variant>
      <vt:variant>
        <vt:i4>692</vt:i4>
      </vt:variant>
      <vt:variant>
        <vt:i4>0</vt:i4>
      </vt:variant>
      <vt:variant>
        <vt:i4>5</vt:i4>
      </vt:variant>
      <vt:variant>
        <vt:lpwstr/>
      </vt:variant>
      <vt:variant>
        <vt:lpwstr>_Toc250994589</vt:lpwstr>
      </vt:variant>
      <vt:variant>
        <vt:i4>1507390</vt:i4>
      </vt:variant>
      <vt:variant>
        <vt:i4>686</vt:i4>
      </vt:variant>
      <vt:variant>
        <vt:i4>0</vt:i4>
      </vt:variant>
      <vt:variant>
        <vt:i4>5</vt:i4>
      </vt:variant>
      <vt:variant>
        <vt:lpwstr/>
      </vt:variant>
      <vt:variant>
        <vt:lpwstr>_Toc250994588</vt:lpwstr>
      </vt:variant>
      <vt:variant>
        <vt:i4>1507390</vt:i4>
      </vt:variant>
      <vt:variant>
        <vt:i4>680</vt:i4>
      </vt:variant>
      <vt:variant>
        <vt:i4>0</vt:i4>
      </vt:variant>
      <vt:variant>
        <vt:i4>5</vt:i4>
      </vt:variant>
      <vt:variant>
        <vt:lpwstr/>
      </vt:variant>
      <vt:variant>
        <vt:lpwstr>_Toc250994587</vt:lpwstr>
      </vt:variant>
      <vt:variant>
        <vt:i4>1507390</vt:i4>
      </vt:variant>
      <vt:variant>
        <vt:i4>674</vt:i4>
      </vt:variant>
      <vt:variant>
        <vt:i4>0</vt:i4>
      </vt:variant>
      <vt:variant>
        <vt:i4>5</vt:i4>
      </vt:variant>
      <vt:variant>
        <vt:lpwstr/>
      </vt:variant>
      <vt:variant>
        <vt:lpwstr>_Toc250994586</vt:lpwstr>
      </vt:variant>
      <vt:variant>
        <vt:i4>1507390</vt:i4>
      </vt:variant>
      <vt:variant>
        <vt:i4>668</vt:i4>
      </vt:variant>
      <vt:variant>
        <vt:i4>0</vt:i4>
      </vt:variant>
      <vt:variant>
        <vt:i4>5</vt:i4>
      </vt:variant>
      <vt:variant>
        <vt:lpwstr/>
      </vt:variant>
      <vt:variant>
        <vt:lpwstr>_Toc250994585</vt:lpwstr>
      </vt:variant>
      <vt:variant>
        <vt:i4>1507390</vt:i4>
      </vt:variant>
      <vt:variant>
        <vt:i4>662</vt:i4>
      </vt:variant>
      <vt:variant>
        <vt:i4>0</vt:i4>
      </vt:variant>
      <vt:variant>
        <vt:i4>5</vt:i4>
      </vt:variant>
      <vt:variant>
        <vt:lpwstr/>
      </vt:variant>
      <vt:variant>
        <vt:lpwstr>_Toc250994584</vt:lpwstr>
      </vt:variant>
      <vt:variant>
        <vt:i4>1507390</vt:i4>
      </vt:variant>
      <vt:variant>
        <vt:i4>656</vt:i4>
      </vt:variant>
      <vt:variant>
        <vt:i4>0</vt:i4>
      </vt:variant>
      <vt:variant>
        <vt:i4>5</vt:i4>
      </vt:variant>
      <vt:variant>
        <vt:lpwstr/>
      </vt:variant>
      <vt:variant>
        <vt:lpwstr>_Toc250994583</vt:lpwstr>
      </vt:variant>
      <vt:variant>
        <vt:i4>1507390</vt:i4>
      </vt:variant>
      <vt:variant>
        <vt:i4>650</vt:i4>
      </vt:variant>
      <vt:variant>
        <vt:i4>0</vt:i4>
      </vt:variant>
      <vt:variant>
        <vt:i4>5</vt:i4>
      </vt:variant>
      <vt:variant>
        <vt:lpwstr/>
      </vt:variant>
      <vt:variant>
        <vt:lpwstr>_Toc250994582</vt:lpwstr>
      </vt:variant>
      <vt:variant>
        <vt:i4>1507390</vt:i4>
      </vt:variant>
      <vt:variant>
        <vt:i4>644</vt:i4>
      </vt:variant>
      <vt:variant>
        <vt:i4>0</vt:i4>
      </vt:variant>
      <vt:variant>
        <vt:i4>5</vt:i4>
      </vt:variant>
      <vt:variant>
        <vt:lpwstr/>
      </vt:variant>
      <vt:variant>
        <vt:lpwstr>_Toc250994581</vt:lpwstr>
      </vt:variant>
      <vt:variant>
        <vt:i4>1507390</vt:i4>
      </vt:variant>
      <vt:variant>
        <vt:i4>638</vt:i4>
      </vt:variant>
      <vt:variant>
        <vt:i4>0</vt:i4>
      </vt:variant>
      <vt:variant>
        <vt:i4>5</vt:i4>
      </vt:variant>
      <vt:variant>
        <vt:lpwstr/>
      </vt:variant>
      <vt:variant>
        <vt:lpwstr>_Toc250994580</vt:lpwstr>
      </vt:variant>
      <vt:variant>
        <vt:i4>1572926</vt:i4>
      </vt:variant>
      <vt:variant>
        <vt:i4>632</vt:i4>
      </vt:variant>
      <vt:variant>
        <vt:i4>0</vt:i4>
      </vt:variant>
      <vt:variant>
        <vt:i4>5</vt:i4>
      </vt:variant>
      <vt:variant>
        <vt:lpwstr/>
      </vt:variant>
      <vt:variant>
        <vt:lpwstr>_Toc250994579</vt:lpwstr>
      </vt:variant>
      <vt:variant>
        <vt:i4>1572926</vt:i4>
      </vt:variant>
      <vt:variant>
        <vt:i4>626</vt:i4>
      </vt:variant>
      <vt:variant>
        <vt:i4>0</vt:i4>
      </vt:variant>
      <vt:variant>
        <vt:i4>5</vt:i4>
      </vt:variant>
      <vt:variant>
        <vt:lpwstr/>
      </vt:variant>
      <vt:variant>
        <vt:lpwstr>_Toc250994578</vt:lpwstr>
      </vt:variant>
      <vt:variant>
        <vt:i4>1572926</vt:i4>
      </vt:variant>
      <vt:variant>
        <vt:i4>620</vt:i4>
      </vt:variant>
      <vt:variant>
        <vt:i4>0</vt:i4>
      </vt:variant>
      <vt:variant>
        <vt:i4>5</vt:i4>
      </vt:variant>
      <vt:variant>
        <vt:lpwstr/>
      </vt:variant>
      <vt:variant>
        <vt:lpwstr>_Toc250994577</vt:lpwstr>
      </vt:variant>
      <vt:variant>
        <vt:i4>1572926</vt:i4>
      </vt:variant>
      <vt:variant>
        <vt:i4>614</vt:i4>
      </vt:variant>
      <vt:variant>
        <vt:i4>0</vt:i4>
      </vt:variant>
      <vt:variant>
        <vt:i4>5</vt:i4>
      </vt:variant>
      <vt:variant>
        <vt:lpwstr/>
      </vt:variant>
      <vt:variant>
        <vt:lpwstr>_Toc250994576</vt:lpwstr>
      </vt:variant>
      <vt:variant>
        <vt:i4>1572926</vt:i4>
      </vt:variant>
      <vt:variant>
        <vt:i4>608</vt:i4>
      </vt:variant>
      <vt:variant>
        <vt:i4>0</vt:i4>
      </vt:variant>
      <vt:variant>
        <vt:i4>5</vt:i4>
      </vt:variant>
      <vt:variant>
        <vt:lpwstr/>
      </vt:variant>
      <vt:variant>
        <vt:lpwstr>_Toc250994575</vt:lpwstr>
      </vt:variant>
      <vt:variant>
        <vt:i4>1572926</vt:i4>
      </vt:variant>
      <vt:variant>
        <vt:i4>602</vt:i4>
      </vt:variant>
      <vt:variant>
        <vt:i4>0</vt:i4>
      </vt:variant>
      <vt:variant>
        <vt:i4>5</vt:i4>
      </vt:variant>
      <vt:variant>
        <vt:lpwstr/>
      </vt:variant>
      <vt:variant>
        <vt:lpwstr>_Toc250994574</vt:lpwstr>
      </vt:variant>
      <vt:variant>
        <vt:i4>1572926</vt:i4>
      </vt:variant>
      <vt:variant>
        <vt:i4>596</vt:i4>
      </vt:variant>
      <vt:variant>
        <vt:i4>0</vt:i4>
      </vt:variant>
      <vt:variant>
        <vt:i4>5</vt:i4>
      </vt:variant>
      <vt:variant>
        <vt:lpwstr/>
      </vt:variant>
      <vt:variant>
        <vt:lpwstr>_Toc250994573</vt:lpwstr>
      </vt:variant>
      <vt:variant>
        <vt:i4>1572926</vt:i4>
      </vt:variant>
      <vt:variant>
        <vt:i4>590</vt:i4>
      </vt:variant>
      <vt:variant>
        <vt:i4>0</vt:i4>
      </vt:variant>
      <vt:variant>
        <vt:i4>5</vt:i4>
      </vt:variant>
      <vt:variant>
        <vt:lpwstr/>
      </vt:variant>
      <vt:variant>
        <vt:lpwstr>_Toc250994572</vt:lpwstr>
      </vt:variant>
      <vt:variant>
        <vt:i4>1572926</vt:i4>
      </vt:variant>
      <vt:variant>
        <vt:i4>584</vt:i4>
      </vt:variant>
      <vt:variant>
        <vt:i4>0</vt:i4>
      </vt:variant>
      <vt:variant>
        <vt:i4>5</vt:i4>
      </vt:variant>
      <vt:variant>
        <vt:lpwstr/>
      </vt:variant>
      <vt:variant>
        <vt:lpwstr>_Toc250994571</vt:lpwstr>
      </vt:variant>
      <vt:variant>
        <vt:i4>1572926</vt:i4>
      </vt:variant>
      <vt:variant>
        <vt:i4>578</vt:i4>
      </vt:variant>
      <vt:variant>
        <vt:i4>0</vt:i4>
      </vt:variant>
      <vt:variant>
        <vt:i4>5</vt:i4>
      </vt:variant>
      <vt:variant>
        <vt:lpwstr/>
      </vt:variant>
      <vt:variant>
        <vt:lpwstr>_Toc250994570</vt:lpwstr>
      </vt:variant>
      <vt:variant>
        <vt:i4>1638462</vt:i4>
      </vt:variant>
      <vt:variant>
        <vt:i4>572</vt:i4>
      </vt:variant>
      <vt:variant>
        <vt:i4>0</vt:i4>
      </vt:variant>
      <vt:variant>
        <vt:i4>5</vt:i4>
      </vt:variant>
      <vt:variant>
        <vt:lpwstr/>
      </vt:variant>
      <vt:variant>
        <vt:lpwstr>_Toc250994569</vt:lpwstr>
      </vt:variant>
      <vt:variant>
        <vt:i4>1638462</vt:i4>
      </vt:variant>
      <vt:variant>
        <vt:i4>566</vt:i4>
      </vt:variant>
      <vt:variant>
        <vt:i4>0</vt:i4>
      </vt:variant>
      <vt:variant>
        <vt:i4>5</vt:i4>
      </vt:variant>
      <vt:variant>
        <vt:lpwstr/>
      </vt:variant>
      <vt:variant>
        <vt:lpwstr>_Toc250994568</vt:lpwstr>
      </vt:variant>
      <vt:variant>
        <vt:i4>1638462</vt:i4>
      </vt:variant>
      <vt:variant>
        <vt:i4>560</vt:i4>
      </vt:variant>
      <vt:variant>
        <vt:i4>0</vt:i4>
      </vt:variant>
      <vt:variant>
        <vt:i4>5</vt:i4>
      </vt:variant>
      <vt:variant>
        <vt:lpwstr/>
      </vt:variant>
      <vt:variant>
        <vt:lpwstr>_Toc250994567</vt:lpwstr>
      </vt:variant>
      <vt:variant>
        <vt:i4>1638462</vt:i4>
      </vt:variant>
      <vt:variant>
        <vt:i4>554</vt:i4>
      </vt:variant>
      <vt:variant>
        <vt:i4>0</vt:i4>
      </vt:variant>
      <vt:variant>
        <vt:i4>5</vt:i4>
      </vt:variant>
      <vt:variant>
        <vt:lpwstr/>
      </vt:variant>
      <vt:variant>
        <vt:lpwstr>_Toc250994566</vt:lpwstr>
      </vt:variant>
      <vt:variant>
        <vt:i4>1638462</vt:i4>
      </vt:variant>
      <vt:variant>
        <vt:i4>548</vt:i4>
      </vt:variant>
      <vt:variant>
        <vt:i4>0</vt:i4>
      </vt:variant>
      <vt:variant>
        <vt:i4>5</vt:i4>
      </vt:variant>
      <vt:variant>
        <vt:lpwstr/>
      </vt:variant>
      <vt:variant>
        <vt:lpwstr>_Toc250994565</vt:lpwstr>
      </vt:variant>
      <vt:variant>
        <vt:i4>1638462</vt:i4>
      </vt:variant>
      <vt:variant>
        <vt:i4>542</vt:i4>
      </vt:variant>
      <vt:variant>
        <vt:i4>0</vt:i4>
      </vt:variant>
      <vt:variant>
        <vt:i4>5</vt:i4>
      </vt:variant>
      <vt:variant>
        <vt:lpwstr/>
      </vt:variant>
      <vt:variant>
        <vt:lpwstr>_Toc250994564</vt:lpwstr>
      </vt:variant>
      <vt:variant>
        <vt:i4>1638462</vt:i4>
      </vt:variant>
      <vt:variant>
        <vt:i4>536</vt:i4>
      </vt:variant>
      <vt:variant>
        <vt:i4>0</vt:i4>
      </vt:variant>
      <vt:variant>
        <vt:i4>5</vt:i4>
      </vt:variant>
      <vt:variant>
        <vt:lpwstr/>
      </vt:variant>
      <vt:variant>
        <vt:lpwstr>_Toc250994563</vt:lpwstr>
      </vt:variant>
      <vt:variant>
        <vt:i4>1638462</vt:i4>
      </vt:variant>
      <vt:variant>
        <vt:i4>530</vt:i4>
      </vt:variant>
      <vt:variant>
        <vt:i4>0</vt:i4>
      </vt:variant>
      <vt:variant>
        <vt:i4>5</vt:i4>
      </vt:variant>
      <vt:variant>
        <vt:lpwstr/>
      </vt:variant>
      <vt:variant>
        <vt:lpwstr>_Toc250994562</vt:lpwstr>
      </vt:variant>
      <vt:variant>
        <vt:i4>1638462</vt:i4>
      </vt:variant>
      <vt:variant>
        <vt:i4>524</vt:i4>
      </vt:variant>
      <vt:variant>
        <vt:i4>0</vt:i4>
      </vt:variant>
      <vt:variant>
        <vt:i4>5</vt:i4>
      </vt:variant>
      <vt:variant>
        <vt:lpwstr/>
      </vt:variant>
      <vt:variant>
        <vt:lpwstr>_Toc250994561</vt:lpwstr>
      </vt:variant>
      <vt:variant>
        <vt:i4>1638462</vt:i4>
      </vt:variant>
      <vt:variant>
        <vt:i4>518</vt:i4>
      </vt:variant>
      <vt:variant>
        <vt:i4>0</vt:i4>
      </vt:variant>
      <vt:variant>
        <vt:i4>5</vt:i4>
      </vt:variant>
      <vt:variant>
        <vt:lpwstr/>
      </vt:variant>
      <vt:variant>
        <vt:lpwstr>_Toc250994560</vt:lpwstr>
      </vt:variant>
      <vt:variant>
        <vt:i4>1703998</vt:i4>
      </vt:variant>
      <vt:variant>
        <vt:i4>512</vt:i4>
      </vt:variant>
      <vt:variant>
        <vt:i4>0</vt:i4>
      </vt:variant>
      <vt:variant>
        <vt:i4>5</vt:i4>
      </vt:variant>
      <vt:variant>
        <vt:lpwstr/>
      </vt:variant>
      <vt:variant>
        <vt:lpwstr>_Toc250994559</vt:lpwstr>
      </vt:variant>
      <vt:variant>
        <vt:i4>1703998</vt:i4>
      </vt:variant>
      <vt:variant>
        <vt:i4>506</vt:i4>
      </vt:variant>
      <vt:variant>
        <vt:i4>0</vt:i4>
      </vt:variant>
      <vt:variant>
        <vt:i4>5</vt:i4>
      </vt:variant>
      <vt:variant>
        <vt:lpwstr/>
      </vt:variant>
      <vt:variant>
        <vt:lpwstr>_Toc250994558</vt:lpwstr>
      </vt:variant>
      <vt:variant>
        <vt:i4>1703998</vt:i4>
      </vt:variant>
      <vt:variant>
        <vt:i4>500</vt:i4>
      </vt:variant>
      <vt:variant>
        <vt:i4>0</vt:i4>
      </vt:variant>
      <vt:variant>
        <vt:i4>5</vt:i4>
      </vt:variant>
      <vt:variant>
        <vt:lpwstr/>
      </vt:variant>
      <vt:variant>
        <vt:lpwstr>_Toc250994557</vt:lpwstr>
      </vt:variant>
      <vt:variant>
        <vt:i4>1703998</vt:i4>
      </vt:variant>
      <vt:variant>
        <vt:i4>494</vt:i4>
      </vt:variant>
      <vt:variant>
        <vt:i4>0</vt:i4>
      </vt:variant>
      <vt:variant>
        <vt:i4>5</vt:i4>
      </vt:variant>
      <vt:variant>
        <vt:lpwstr/>
      </vt:variant>
      <vt:variant>
        <vt:lpwstr>_Toc250994556</vt:lpwstr>
      </vt:variant>
      <vt:variant>
        <vt:i4>1703998</vt:i4>
      </vt:variant>
      <vt:variant>
        <vt:i4>488</vt:i4>
      </vt:variant>
      <vt:variant>
        <vt:i4>0</vt:i4>
      </vt:variant>
      <vt:variant>
        <vt:i4>5</vt:i4>
      </vt:variant>
      <vt:variant>
        <vt:lpwstr/>
      </vt:variant>
      <vt:variant>
        <vt:lpwstr>_Toc250994555</vt:lpwstr>
      </vt:variant>
      <vt:variant>
        <vt:i4>1703998</vt:i4>
      </vt:variant>
      <vt:variant>
        <vt:i4>482</vt:i4>
      </vt:variant>
      <vt:variant>
        <vt:i4>0</vt:i4>
      </vt:variant>
      <vt:variant>
        <vt:i4>5</vt:i4>
      </vt:variant>
      <vt:variant>
        <vt:lpwstr/>
      </vt:variant>
      <vt:variant>
        <vt:lpwstr>_Toc250994554</vt:lpwstr>
      </vt:variant>
      <vt:variant>
        <vt:i4>1703998</vt:i4>
      </vt:variant>
      <vt:variant>
        <vt:i4>476</vt:i4>
      </vt:variant>
      <vt:variant>
        <vt:i4>0</vt:i4>
      </vt:variant>
      <vt:variant>
        <vt:i4>5</vt:i4>
      </vt:variant>
      <vt:variant>
        <vt:lpwstr/>
      </vt:variant>
      <vt:variant>
        <vt:lpwstr>_Toc250994553</vt:lpwstr>
      </vt:variant>
      <vt:variant>
        <vt:i4>1703998</vt:i4>
      </vt:variant>
      <vt:variant>
        <vt:i4>470</vt:i4>
      </vt:variant>
      <vt:variant>
        <vt:i4>0</vt:i4>
      </vt:variant>
      <vt:variant>
        <vt:i4>5</vt:i4>
      </vt:variant>
      <vt:variant>
        <vt:lpwstr/>
      </vt:variant>
      <vt:variant>
        <vt:lpwstr>_Toc250994552</vt:lpwstr>
      </vt:variant>
      <vt:variant>
        <vt:i4>1703998</vt:i4>
      </vt:variant>
      <vt:variant>
        <vt:i4>464</vt:i4>
      </vt:variant>
      <vt:variant>
        <vt:i4>0</vt:i4>
      </vt:variant>
      <vt:variant>
        <vt:i4>5</vt:i4>
      </vt:variant>
      <vt:variant>
        <vt:lpwstr/>
      </vt:variant>
      <vt:variant>
        <vt:lpwstr>_Toc250994551</vt:lpwstr>
      </vt:variant>
      <vt:variant>
        <vt:i4>1703998</vt:i4>
      </vt:variant>
      <vt:variant>
        <vt:i4>458</vt:i4>
      </vt:variant>
      <vt:variant>
        <vt:i4>0</vt:i4>
      </vt:variant>
      <vt:variant>
        <vt:i4>5</vt:i4>
      </vt:variant>
      <vt:variant>
        <vt:lpwstr/>
      </vt:variant>
      <vt:variant>
        <vt:lpwstr>_Toc250994550</vt:lpwstr>
      </vt:variant>
      <vt:variant>
        <vt:i4>1769534</vt:i4>
      </vt:variant>
      <vt:variant>
        <vt:i4>452</vt:i4>
      </vt:variant>
      <vt:variant>
        <vt:i4>0</vt:i4>
      </vt:variant>
      <vt:variant>
        <vt:i4>5</vt:i4>
      </vt:variant>
      <vt:variant>
        <vt:lpwstr/>
      </vt:variant>
      <vt:variant>
        <vt:lpwstr>_Toc250994549</vt:lpwstr>
      </vt:variant>
      <vt:variant>
        <vt:i4>1769534</vt:i4>
      </vt:variant>
      <vt:variant>
        <vt:i4>446</vt:i4>
      </vt:variant>
      <vt:variant>
        <vt:i4>0</vt:i4>
      </vt:variant>
      <vt:variant>
        <vt:i4>5</vt:i4>
      </vt:variant>
      <vt:variant>
        <vt:lpwstr/>
      </vt:variant>
      <vt:variant>
        <vt:lpwstr>_Toc250994548</vt:lpwstr>
      </vt:variant>
      <vt:variant>
        <vt:i4>1769534</vt:i4>
      </vt:variant>
      <vt:variant>
        <vt:i4>440</vt:i4>
      </vt:variant>
      <vt:variant>
        <vt:i4>0</vt:i4>
      </vt:variant>
      <vt:variant>
        <vt:i4>5</vt:i4>
      </vt:variant>
      <vt:variant>
        <vt:lpwstr/>
      </vt:variant>
      <vt:variant>
        <vt:lpwstr>_Toc250994547</vt:lpwstr>
      </vt:variant>
      <vt:variant>
        <vt:i4>1769534</vt:i4>
      </vt:variant>
      <vt:variant>
        <vt:i4>434</vt:i4>
      </vt:variant>
      <vt:variant>
        <vt:i4>0</vt:i4>
      </vt:variant>
      <vt:variant>
        <vt:i4>5</vt:i4>
      </vt:variant>
      <vt:variant>
        <vt:lpwstr/>
      </vt:variant>
      <vt:variant>
        <vt:lpwstr>_Toc250994546</vt:lpwstr>
      </vt:variant>
      <vt:variant>
        <vt:i4>1769534</vt:i4>
      </vt:variant>
      <vt:variant>
        <vt:i4>428</vt:i4>
      </vt:variant>
      <vt:variant>
        <vt:i4>0</vt:i4>
      </vt:variant>
      <vt:variant>
        <vt:i4>5</vt:i4>
      </vt:variant>
      <vt:variant>
        <vt:lpwstr/>
      </vt:variant>
      <vt:variant>
        <vt:lpwstr>_Toc250994545</vt:lpwstr>
      </vt:variant>
      <vt:variant>
        <vt:i4>1769534</vt:i4>
      </vt:variant>
      <vt:variant>
        <vt:i4>422</vt:i4>
      </vt:variant>
      <vt:variant>
        <vt:i4>0</vt:i4>
      </vt:variant>
      <vt:variant>
        <vt:i4>5</vt:i4>
      </vt:variant>
      <vt:variant>
        <vt:lpwstr/>
      </vt:variant>
      <vt:variant>
        <vt:lpwstr>_Toc250994544</vt:lpwstr>
      </vt:variant>
      <vt:variant>
        <vt:i4>1769534</vt:i4>
      </vt:variant>
      <vt:variant>
        <vt:i4>416</vt:i4>
      </vt:variant>
      <vt:variant>
        <vt:i4>0</vt:i4>
      </vt:variant>
      <vt:variant>
        <vt:i4>5</vt:i4>
      </vt:variant>
      <vt:variant>
        <vt:lpwstr/>
      </vt:variant>
      <vt:variant>
        <vt:lpwstr>_Toc250994543</vt:lpwstr>
      </vt:variant>
      <vt:variant>
        <vt:i4>1769534</vt:i4>
      </vt:variant>
      <vt:variant>
        <vt:i4>410</vt:i4>
      </vt:variant>
      <vt:variant>
        <vt:i4>0</vt:i4>
      </vt:variant>
      <vt:variant>
        <vt:i4>5</vt:i4>
      </vt:variant>
      <vt:variant>
        <vt:lpwstr/>
      </vt:variant>
      <vt:variant>
        <vt:lpwstr>_Toc250994542</vt:lpwstr>
      </vt:variant>
      <vt:variant>
        <vt:i4>1769534</vt:i4>
      </vt:variant>
      <vt:variant>
        <vt:i4>404</vt:i4>
      </vt:variant>
      <vt:variant>
        <vt:i4>0</vt:i4>
      </vt:variant>
      <vt:variant>
        <vt:i4>5</vt:i4>
      </vt:variant>
      <vt:variant>
        <vt:lpwstr/>
      </vt:variant>
      <vt:variant>
        <vt:lpwstr>_Toc250994541</vt:lpwstr>
      </vt:variant>
      <vt:variant>
        <vt:i4>1769534</vt:i4>
      </vt:variant>
      <vt:variant>
        <vt:i4>398</vt:i4>
      </vt:variant>
      <vt:variant>
        <vt:i4>0</vt:i4>
      </vt:variant>
      <vt:variant>
        <vt:i4>5</vt:i4>
      </vt:variant>
      <vt:variant>
        <vt:lpwstr/>
      </vt:variant>
      <vt:variant>
        <vt:lpwstr>_Toc250994540</vt:lpwstr>
      </vt:variant>
      <vt:variant>
        <vt:i4>1835070</vt:i4>
      </vt:variant>
      <vt:variant>
        <vt:i4>392</vt:i4>
      </vt:variant>
      <vt:variant>
        <vt:i4>0</vt:i4>
      </vt:variant>
      <vt:variant>
        <vt:i4>5</vt:i4>
      </vt:variant>
      <vt:variant>
        <vt:lpwstr/>
      </vt:variant>
      <vt:variant>
        <vt:lpwstr>_Toc250994539</vt:lpwstr>
      </vt:variant>
      <vt:variant>
        <vt:i4>1835070</vt:i4>
      </vt:variant>
      <vt:variant>
        <vt:i4>386</vt:i4>
      </vt:variant>
      <vt:variant>
        <vt:i4>0</vt:i4>
      </vt:variant>
      <vt:variant>
        <vt:i4>5</vt:i4>
      </vt:variant>
      <vt:variant>
        <vt:lpwstr/>
      </vt:variant>
      <vt:variant>
        <vt:lpwstr>_Toc250994538</vt:lpwstr>
      </vt:variant>
      <vt:variant>
        <vt:i4>1835070</vt:i4>
      </vt:variant>
      <vt:variant>
        <vt:i4>380</vt:i4>
      </vt:variant>
      <vt:variant>
        <vt:i4>0</vt:i4>
      </vt:variant>
      <vt:variant>
        <vt:i4>5</vt:i4>
      </vt:variant>
      <vt:variant>
        <vt:lpwstr/>
      </vt:variant>
      <vt:variant>
        <vt:lpwstr>_Toc250994537</vt:lpwstr>
      </vt:variant>
      <vt:variant>
        <vt:i4>1835070</vt:i4>
      </vt:variant>
      <vt:variant>
        <vt:i4>374</vt:i4>
      </vt:variant>
      <vt:variant>
        <vt:i4>0</vt:i4>
      </vt:variant>
      <vt:variant>
        <vt:i4>5</vt:i4>
      </vt:variant>
      <vt:variant>
        <vt:lpwstr/>
      </vt:variant>
      <vt:variant>
        <vt:lpwstr>_Toc250994536</vt:lpwstr>
      </vt:variant>
      <vt:variant>
        <vt:i4>1835070</vt:i4>
      </vt:variant>
      <vt:variant>
        <vt:i4>368</vt:i4>
      </vt:variant>
      <vt:variant>
        <vt:i4>0</vt:i4>
      </vt:variant>
      <vt:variant>
        <vt:i4>5</vt:i4>
      </vt:variant>
      <vt:variant>
        <vt:lpwstr/>
      </vt:variant>
      <vt:variant>
        <vt:lpwstr>_Toc250994535</vt:lpwstr>
      </vt:variant>
      <vt:variant>
        <vt:i4>1835070</vt:i4>
      </vt:variant>
      <vt:variant>
        <vt:i4>362</vt:i4>
      </vt:variant>
      <vt:variant>
        <vt:i4>0</vt:i4>
      </vt:variant>
      <vt:variant>
        <vt:i4>5</vt:i4>
      </vt:variant>
      <vt:variant>
        <vt:lpwstr/>
      </vt:variant>
      <vt:variant>
        <vt:lpwstr>_Toc250994534</vt:lpwstr>
      </vt:variant>
      <vt:variant>
        <vt:i4>1835070</vt:i4>
      </vt:variant>
      <vt:variant>
        <vt:i4>356</vt:i4>
      </vt:variant>
      <vt:variant>
        <vt:i4>0</vt:i4>
      </vt:variant>
      <vt:variant>
        <vt:i4>5</vt:i4>
      </vt:variant>
      <vt:variant>
        <vt:lpwstr/>
      </vt:variant>
      <vt:variant>
        <vt:lpwstr>_Toc250994533</vt:lpwstr>
      </vt:variant>
      <vt:variant>
        <vt:i4>1835070</vt:i4>
      </vt:variant>
      <vt:variant>
        <vt:i4>350</vt:i4>
      </vt:variant>
      <vt:variant>
        <vt:i4>0</vt:i4>
      </vt:variant>
      <vt:variant>
        <vt:i4>5</vt:i4>
      </vt:variant>
      <vt:variant>
        <vt:lpwstr/>
      </vt:variant>
      <vt:variant>
        <vt:lpwstr>_Toc250994532</vt:lpwstr>
      </vt:variant>
      <vt:variant>
        <vt:i4>1835070</vt:i4>
      </vt:variant>
      <vt:variant>
        <vt:i4>344</vt:i4>
      </vt:variant>
      <vt:variant>
        <vt:i4>0</vt:i4>
      </vt:variant>
      <vt:variant>
        <vt:i4>5</vt:i4>
      </vt:variant>
      <vt:variant>
        <vt:lpwstr/>
      </vt:variant>
      <vt:variant>
        <vt:lpwstr>_Toc250994531</vt:lpwstr>
      </vt:variant>
      <vt:variant>
        <vt:i4>1835070</vt:i4>
      </vt:variant>
      <vt:variant>
        <vt:i4>338</vt:i4>
      </vt:variant>
      <vt:variant>
        <vt:i4>0</vt:i4>
      </vt:variant>
      <vt:variant>
        <vt:i4>5</vt:i4>
      </vt:variant>
      <vt:variant>
        <vt:lpwstr/>
      </vt:variant>
      <vt:variant>
        <vt:lpwstr>_Toc250994530</vt:lpwstr>
      </vt:variant>
      <vt:variant>
        <vt:i4>1900606</vt:i4>
      </vt:variant>
      <vt:variant>
        <vt:i4>332</vt:i4>
      </vt:variant>
      <vt:variant>
        <vt:i4>0</vt:i4>
      </vt:variant>
      <vt:variant>
        <vt:i4>5</vt:i4>
      </vt:variant>
      <vt:variant>
        <vt:lpwstr/>
      </vt:variant>
      <vt:variant>
        <vt:lpwstr>_Toc250994529</vt:lpwstr>
      </vt:variant>
      <vt:variant>
        <vt:i4>1900606</vt:i4>
      </vt:variant>
      <vt:variant>
        <vt:i4>326</vt:i4>
      </vt:variant>
      <vt:variant>
        <vt:i4>0</vt:i4>
      </vt:variant>
      <vt:variant>
        <vt:i4>5</vt:i4>
      </vt:variant>
      <vt:variant>
        <vt:lpwstr/>
      </vt:variant>
      <vt:variant>
        <vt:lpwstr>_Toc250994528</vt:lpwstr>
      </vt:variant>
      <vt:variant>
        <vt:i4>1900606</vt:i4>
      </vt:variant>
      <vt:variant>
        <vt:i4>320</vt:i4>
      </vt:variant>
      <vt:variant>
        <vt:i4>0</vt:i4>
      </vt:variant>
      <vt:variant>
        <vt:i4>5</vt:i4>
      </vt:variant>
      <vt:variant>
        <vt:lpwstr/>
      </vt:variant>
      <vt:variant>
        <vt:lpwstr>_Toc250994527</vt:lpwstr>
      </vt:variant>
      <vt:variant>
        <vt:i4>1900606</vt:i4>
      </vt:variant>
      <vt:variant>
        <vt:i4>314</vt:i4>
      </vt:variant>
      <vt:variant>
        <vt:i4>0</vt:i4>
      </vt:variant>
      <vt:variant>
        <vt:i4>5</vt:i4>
      </vt:variant>
      <vt:variant>
        <vt:lpwstr/>
      </vt:variant>
      <vt:variant>
        <vt:lpwstr>_Toc250994526</vt:lpwstr>
      </vt:variant>
      <vt:variant>
        <vt:i4>1900606</vt:i4>
      </vt:variant>
      <vt:variant>
        <vt:i4>308</vt:i4>
      </vt:variant>
      <vt:variant>
        <vt:i4>0</vt:i4>
      </vt:variant>
      <vt:variant>
        <vt:i4>5</vt:i4>
      </vt:variant>
      <vt:variant>
        <vt:lpwstr/>
      </vt:variant>
      <vt:variant>
        <vt:lpwstr>_Toc250994525</vt:lpwstr>
      </vt:variant>
      <vt:variant>
        <vt:i4>1900606</vt:i4>
      </vt:variant>
      <vt:variant>
        <vt:i4>302</vt:i4>
      </vt:variant>
      <vt:variant>
        <vt:i4>0</vt:i4>
      </vt:variant>
      <vt:variant>
        <vt:i4>5</vt:i4>
      </vt:variant>
      <vt:variant>
        <vt:lpwstr/>
      </vt:variant>
      <vt:variant>
        <vt:lpwstr>_Toc250994524</vt:lpwstr>
      </vt:variant>
      <vt:variant>
        <vt:i4>1900606</vt:i4>
      </vt:variant>
      <vt:variant>
        <vt:i4>296</vt:i4>
      </vt:variant>
      <vt:variant>
        <vt:i4>0</vt:i4>
      </vt:variant>
      <vt:variant>
        <vt:i4>5</vt:i4>
      </vt:variant>
      <vt:variant>
        <vt:lpwstr/>
      </vt:variant>
      <vt:variant>
        <vt:lpwstr>_Toc250994523</vt:lpwstr>
      </vt:variant>
      <vt:variant>
        <vt:i4>1900606</vt:i4>
      </vt:variant>
      <vt:variant>
        <vt:i4>290</vt:i4>
      </vt:variant>
      <vt:variant>
        <vt:i4>0</vt:i4>
      </vt:variant>
      <vt:variant>
        <vt:i4>5</vt:i4>
      </vt:variant>
      <vt:variant>
        <vt:lpwstr/>
      </vt:variant>
      <vt:variant>
        <vt:lpwstr>_Toc250994522</vt:lpwstr>
      </vt:variant>
      <vt:variant>
        <vt:i4>1900606</vt:i4>
      </vt:variant>
      <vt:variant>
        <vt:i4>284</vt:i4>
      </vt:variant>
      <vt:variant>
        <vt:i4>0</vt:i4>
      </vt:variant>
      <vt:variant>
        <vt:i4>5</vt:i4>
      </vt:variant>
      <vt:variant>
        <vt:lpwstr/>
      </vt:variant>
      <vt:variant>
        <vt:lpwstr>_Toc250994521</vt:lpwstr>
      </vt:variant>
      <vt:variant>
        <vt:i4>1900606</vt:i4>
      </vt:variant>
      <vt:variant>
        <vt:i4>278</vt:i4>
      </vt:variant>
      <vt:variant>
        <vt:i4>0</vt:i4>
      </vt:variant>
      <vt:variant>
        <vt:i4>5</vt:i4>
      </vt:variant>
      <vt:variant>
        <vt:lpwstr/>
      </vt:variant>
      <vt:variant>
        <vt:lpwstr>_Toc250994520</vt:lpwstr>
      </vt:variant>
      <vt:variant>
        <vt:i4>1966142</vt:i4>
      </vt:variant>
      <vt:variant>
        <vt:i4>272</vt:i4>
      </vt:variant>
      <vt:variant>
        <vt:i4>0</vt:i4>
      </vt:variant>
      <vt:variant>
        <vt:i4>5</vt:i4>
      </vt:variant>
      <vt:variant>
        <vt:lpwstr/>
      </vt:variant>
      <vt:variant>
        <vt:lpwstr>_Toc250994519</vt:lpwstr>
      </vt:variant>
      <vt:variant>
        <vt:i4>1966142</vt:i4>
      </vt:variant>
      <vt:variant>
        <vt:i4>266</vt:i4>
      </vt:variant>
      <vt:variant>
        <vt:i4>0</vt:i4>
      </vt:variant>
      <vt:variant>
        <vt:i4>5</vt:i4>
      </vt:variant>
      <vt:variant>
        <vt:lpwstr/>
      </vt:variant>
      <vt:variant>
        <vt:lpwstr>_Toc250994518</vt:lpwstr>
      </vt:variant>
      <vt:variant>
        <vt:i4>1966142</vt:i4>
      </vt:variant>
      <vt:variant>
        <vt:i4>260</vt:i4>
      </vt:variant>
      <vt:variant>
        <vt:i4>0</vt:i4>
      </vt:variant>
      <vt:variant>
        <vt:i4>5</vt:i4>
      </vt:variant>
      <vt:variant>
        <vt:lpwstr/>
      </vt:variant>
      <vt:variant>
        <vt:lpwstr>_Toc250994517</vt:lpwstr>
      </vt:variant>
      <vt:variant>
        <vt:i4>1966142</vt:i4>
      </vt:variant>
      <vt:variant>
        <vt:i4>254</vt:i4>
      </vt:variant>
      <vt:variant>
        <vt:i4>0</vt:i4>
      </vt:variant>
      <vt:variant>
        <vt:i4>5</vt:i4>
      </vt:variant>
      <vt:variant>
        <vt:lpwstr/>
      </vt:variant>
      <vt:variant>
        <vt:lpwstr>_Toc250994516</vt:lpwstr>
      </vt:variant>
      <vt:variant>
        <vt:i4>1966142</vt:i4>
      </vt:variant>
      <vt:variant>
        <vt:i4>248</vt:i4>
      </vt:variant>
      <vt:variant>
        <vt:i4>0</vt:i4>
      </vt:variant>
      <vt:variant>
        <vt:i4>5</vt:i4>
      </vt:variant>
      <vt:variant>
        <vt:lpwstr/>
      </vt:variant>
      <vt:variant>
        <vt:lpwstr>_Toc250994515</vt:lpwstr>
      </vt:variant>
      <vt:variant>
        <vt:i4>1966142</vt:i4>
      </vt:variant>
      <vt:variant>
        <vt:i4>242</vt:i4>
      </vt:variant>
      <vt:variant>
        <vt:i4>0</vt:i4>
      </vt:variant>
      <vt:variant>
        <vt:i4>5</vt:i4>
      </vt:variant>
      <vt:variant>
        <vt:lpwstr/>
      </vt:variant>
      <vt:variant>
        <vt:lpwstr>_Toc250994514</vt:lpwstr>
      </vt:variant>
      <vt:variant>
        <vt:i4>1966142</vt:i4>
      </vt:variant>
      <vt:variant>
        <vt:i4>236</vt:i4>
      </vt:variant>
      <vt:variant>
        <vt:i4>0</vt:i4>
      </vt:variant>
      <vt:variant>
        <vt:i4>5</vt:i4>
      </vt:variant>
      <vt:variant>
        <vt:lpwstr/>
      </vt:variant>
      <vt:variant>
        <vt:lpwstr>_Toc250994513</vt:lpwstr>
      </vt:variant>
      <vt:variant>
        <vt:i4>1966142</vt:i4>
      </vt:variant>
      <vt:variant>
        <vt:i4>230</vt:i4>
      </vt:variant>
      <vt:variant>
        <vt:i4>0</vt:i4>
      </vt:variant>
      <vt:variant>
        <vt:i4>5</vt:i4>
      </vt:variant>
      <vt:variant>
        <vt:lpwstr/>
      </vt:variant>
      <vt:variant>
        <vt:lpwstr>_Toc250994512</vt:lpwstr>
      </vt:variant>
      <vt:variant>
        <vt:i4>1966142</vt:i4>
      </vt:variant>
      <vt:variant>
        <vt:i4>224</vt:i4>
      </vt:variant>
      <vt:variant>
        <vt:i4>0</vt:i4>
      </vt:variant>
      <vt:variant>
        <vt:i4>5</vt:i4>
      </vt:variant>
      <vt:variant>
        <vt:lpwstr/>
      </vt:variant>
      <vt:variant>
        <vt:lpwstr>_Toc250994511</vt:lpwstr>
      </vt:variant>
      <vt:variant>
        <vt:i4>1966142</vt:i4>
      </vt:variant>
      <vt:variant>
        <vt:i4>218</vt:i4>
      </vt:variant>
      <vt:variant>
        <vt:i4>0</vt:i4>
      </vt:variant>
      <vt:variant>
        <vt:i4>5</vt:i4>
      </vt:variant>
      <vt:variant>
        <vt:lpwstr/>
      </vt:variant>
      <vt:variant>
        <vt:lpwstr>_Toc250994510</vt:lpwstr>
      </vt:variant>
      <vt:variant>
        <vt:i4>2031678</vt:i4>
      </vt:variant>
      <vt:variant>
        <vt:i4>212</vt:i4>
      </vt:variant>
      <vt:variant>
        <vt:i4>0</vt:i4>
      </vt:variant>
      <vt:variant>
        <vt:i4>5</vt:i4>
      </vt:variant>
      <vt:variant>
        <vt:lpwstr/>
      </vt:variant>
      <vt:variant>
        <vt:lpwstr>_Toc250994509</vt:lpwstr>
      </vt:variant>
      <vt:variant>
        <vt:i4>2031678</vt:i4>
      </vt:variant>
      <vt:variant>
        <vt:i4>206</vt:i4>
      </vt:variant>
      <vt:variant>
        <vt:i4>0</vt:i4>
      </vt:variant>
      <vt:variant>
        <vt:i4>5</vt:i4>
      </vt:variant>
      <vt:variant>
        <vt:lpwstr/>
      </vt:variant>
      <vt:variant>
        <vt:lpwstr>_Toc250994508</vt:lpwstr>
      </vt:variant>
      <vt:variant>
        <vt:i4>2031678</vt:i4>
      </vt:variant>
      <vt:variant>
        <vt:i4>200</vt:i4>
      </vt:variant>
      <vt:variant>
        <vt:i4>0</vt:i4>
      </vt:variant>
      <vt:variant>
        <vt:i4>5</vt:i4>
      </vt:variant>
      <vt:variant>
        <vt:lpwstr/>
      </vt:variant>
      <vt:variant>
        <vt:lpwstr>_Toc250994507</vt:lpwstr>
      </vt:variant>
      <vt:variant>
        <vt:i4>2031678</vt:i4>
      </vt:variant>
      <vt:variant>
        <vt:i4>194</vt:i4>
      </vt:variant>
      <vt:variant>
        <vt:i4>0</vt:i4>
      </vt:variant>
      <vt:variant>
        <vt:i4>5</vt:i4>
      </vt:variant>
      <vt:variant>
        <vt:lpwstr/>
      </vt:variant>
      <vt:variant>
        <vt:lpwstr>_Toc250994506</vt:lpwstr>
      </vt:variant>
      <vt:variant>
        <vt:i4>2031678</vt:i4>
      </vt:variant>
      <vt:variant>
        <vt:i4>188</vt:i4>
      </vt:variant>
      <vt:variant>
        <vt:i4>0</vt:i4>
      </vt:variant>
      <vt:variant>
        <vt:i4>5</vt:i4>
      </vt:variant>
      <vt:variant>
        <vt:lpwstr/>
      </vt:variant>
      <vt:variant>
        <vt:lpwstr>_Toc250994505</vt:lpwstr>
      </vt:variant>
      <vt:variant>
        <vt:i4>2031678</vt:i4>
      </vt:variant>
      <vt:variant>
        <vt:i4>182</vt:i4>
      </vt:variant>
      <vt:variant>
        <vt:i4>0</vt:i4>
      </vt:variant>
      <vt:variant>
        <vt:i4>5</vt:i4>
      </vt:variant>
      <vt:variant>
        <vt:lpwstr/>
      </vt:variant>
      <vt:variant>
        <vt:lpwstr>_Toc250994504</vt:lpwstr>
      </vt:variant>
      <vt:variant>
        <vt:i4>2031678</vt:i4>
      </vt:variant>
      <vt:variant>
        <vt:i4>176</vt:i4>
      </vt:variant>
      <vt:variant>
        <vt:i4>0</vt:i4>
      </vt:variant>
      <vt:variant>
        <vt:i4>5</vt:i4>
      </vt:variant>
      <vt:variant>
        <vt:lpwstr/>
      </vt:variant>
      <vt:variant>
        <vt:lpwstr>_Toc250994503</vt:lpwstr>
      </vt:variant>
      <vt:variant>
        <vt:i4>2031678</vt:i4>
      </vt:variant>
      <vt:variant>
        <vt:i4>170</vt:i4>
      </vt:variant>
      <vt:variant>
        <vt:i4>0</vt:i4>
      </vt:variant>
      <vt:variant>
        <vt:i4>5</vt:i4>
      </vt:variant>
      <vt:variant>
        <vt:lpwstr/>
      </vt:variant>
      <vt:variant>
        <vt:lpwstr>_Toc250994502</vt:lpwstr>
      </vt:variant>
      <vt:variant>
        <vt:i4>2031678</vt:i4>
      </vt:variant>
      <vt:variant>
        <vt:i4>164</vt:i4>
      </vt:variant>
      <vt:variant>
        <vt:i4>0</vt:i4>
      </vt:variant>
      <vt:variant>
        <vt:i4>5</vt:i4>
      </vt:variant>
      <vt:variant>
        <vt:lpwstr/>
      </vt:variant>
      <vt:variant>
        <vt:lpwstr>_Toc250994501</vt:lpwstr>
      </vt:variant>
      <vt:variant>
        <vt:i4>2031678</vt:i4>
      </vt:variant>
      <vt:variant>
        <vt:i4>158</vt:i4>
      </vt:variant>
      <vt:variant>
        <vt:i4>0</vt:i4>
      </vt:variant>
      <vt:variant>
        <vt:i4>5</vt:i4>
      </vt:variant>
      <vt:variant>
        <vt:lpwstr/>
      </vt:variant>
      <vt:variant>
        <vt:lpwstr>_Toc250994500</vt:lpwstr>
      </vt:variant>
      <vt:variant>
        <vt:i4>1441855</vt:i4>
      </vt:variant>
      <vt:variant>
        <vt:i4>152</vt:i4>
      </vt:variant>
      <vt:variant>
        <vt:i4>0</vt:i4>
      </vt:variant>
      <vt:variant>
        <vt:i4>5</vt:i4>
      </vt:variant>
      <vt:variant>
        <vt:lpwstr/>
      </vt:variant>
      <vt:variant>
        <vt:lpwstr>_Toc250994499</vt:lpwstr>
      </vt:variant>
      <vt:variant>
        <vt:i4>1441855</vt:i4>
      </vt:variant>
      <vt:variant>
        <vt:i4>146</vt:i4>
      </vt:variant>
      <vt:variant>
        <vt:i4>0</vt:i4>
      </vt:variant>
      <vt:variant>
        <vt:i4>5</vt:i4>
      </vt:variant>
      <vt:variant>
        <vt:lpwstr/>
      </vt:variant>
      <vt:variant>
        <vt:lpwstr>_Toc250994498</vt:lpwstr>
      </vt:variant>
      <vt:variant>
        <vt:i4>1441855</vt:i4>
      </vt:variant>
      <vt:variant>
        <vt:i4>140</vt:i4>
      </vt:variant>
      <vt:variant>
        <vt:i4>0</vt:i4>
      </vt:variant>
      <vt:variant>
        <vt:i4>5</vt:i4>
      </vt:variant>
      <vt:variant>
        <vt:lpwstr/>
      </vt:variant>
      <vt:variant>
        <vt:lpwstr>_Toc250994497</vt:lpwstr>
      </vt:variant>
      <vt:variant>
        <vt:i4>1441855</vt:i4>
      </vt:variant>
      <vt:variant>
        <vt:i4>134</vt:i4>
      </vt:variant>
      <vt:variant>
        <vt:i4>0</vt:i4>
      </vt:variant>
      <vt:variant>
        <vt:i4>5</vt:i4>
      </vt:variant>
      <vt:variant>
        <vt:lpwstr/>
      </vt:variant>
      <vt:variant>
        <vt:lpwstr>_Toc250994496</vt:lpwstr>
      </vt:variant>
      <vt:variant>
        <vt:i4>1441855</vt:i4>
      </vt:variant>
      <vt:variant>
        <vt:i4>128</vt:i4>
      </vt:variant>
      <vt:variant>
        <vt:i4>0</vt:i4>
      </vt:variant>
      <vt:variant>
        <vt:i4>5</vt:i4>
      </vt:variant>
      <vt:variant>
        <vt:lpwstr/>
      </vt:variant>
      <vt:variant>
        <vt:lpwstr>_Toc250994495</vt:lpwstr>
      </vt:variant>
      <vt:variant>
        <vt:i4>1441855</vt:i4>
      </vt:variant>
      <vt:variant>
        <vt:i4>122</vt:i4>
      </vt:variant>
      <vt:variant>
        <vt:i4>0</vt:i4>
      </vt:variant>
      <vt:variant>
        <vt:i4>5</vt:i4>
      </vt:variant>
      <vt:variant>
        <vt:lpwstr/>
      </vt:variant>
      <vt:variant>
        <vt:lpwstr>_Toc250994494</vt:lpwstr>
      </vt:variant>
      <vt:variant>
        <vt:i4>1441855</vt:i4>
      </vt:variant>
      <vt:variant>
        <vt:i4>116</vt:i4>
      </vt:variant>
      <vt:variant>
        <vt:i4>0</vt:i4>
      </vt:variant>
      <vt:variant>
        <vt:i4>5</vt:i4>
      </vt:variant>
      <vt:variant>
        <vt:lpwstr/>
      </vt:variant>
      <vt:variant>
        <vt:lpwstr>_Toc250994493</vt:lpwstr>
      </vt:variant>
      <vt:variant>
        <vt:i4>1441855</vt:i4>
      </vt:variant>
      <vt:variant>
        <vt:i4>110</vt:i4>
      </vt:variant>
      <vt:variant>
        <vt:i4>0</vt:i4>
      </vt:variant>
      <vt:variant>
        <vt:i4>5</vt:i4>
      </vt:variant>
      <vt:variant>
        <vt:lpwstr/>
      </vt:variant>
      <vt:variant>
        <vt:lpwstr>_Toc250994492</vt:lpwstr>
      </vt:variant>
      <vt:variant>
        <vt:i4>1441855</vt:i4>
      </vt:variant>
      <vt:variant>
        <vt:i4>104</vt:i4>
      </vt:variant>
      <vt:variant>
        <vt:i4>0</vt:i4>
      </vt:variant>
      <vt:variant>
        <vt:i4>5</vt:i4>
      </vt:variant>
      <vt:variant>
        <vt:lpwstr/>
      </vt:variant>
      <vt:variant>
        <vt:lpwstr>_Toc250994491</vt:lpwstr>
      </vt:variant>
      <vt:variant>
        <vt:i4>1441855</vt:i4>
      </vt:variant>
      <vt:variant>
        <vt:i4>98</vt:i4>
      </vt:variant>
      <vt:variant>
        <vt:i4>0</vt:i4>
      </vt:variant>
      <vt:variant>
        <vt:i4>5</vt:i4>
      </vt:variant>
      <vt:variant>
        <vt:lpwstr/>
      </vt:variant>
      <vt:variant>
        <vt:lpwstr>_Toc250994490</vt:lpwstr>
      </vt:variant>
      <vt:variant>
        <vt:i4>1507391</vt:i4>
      </vt:variant>
      <vt:variant>
        <vt:i4>92</vt:i4>
      </vt:variant>
      <vt:variant>
        <vt:i4>0</vt:i4>
      </vt:variant>
      <vt:variant>
        <vt:i4>5</vt:i4>
      </vt:variant>
      <vt:variant>
        <vt:lpwstr/>
      </vt:variant>
      <vt:variant>
        <vt:lpwstr>_Toc250994489</vt:lpwstr>
      </vt:variant>
      <vt:variant>
        <vt:i4>1507391</vt:i4>
      </vt:variant>
      <vt:variant>
        <vt:i4>86</vt:i4>
      </vt:variant>
      <vt:variant>
        <vt:i4>0</vt:i4>
      </vt:variant>
      <vt:variant>
        <vt:i4>5</vt:i4>
      </vt:variant>
      <vt:variant>
        <vt:lpwstr/>
      </vt:variant>
      <vt:variant>
        <vt:lpwstr>_Toc250994488</vt:lpwstr>
      </vt:variant>
      <vt:variant>
        <vt:i4>1507391</vt:i4>
      </vt:variant>
      <vt:variant>
        <vt:i4>80</vt:i4>
      </vt:variant>
      <vt:variant>
        <vt:i4>0</vt:i4>
      </vt:variant>
      <vt:variant>
        <vt:i4>5</vt:i4>
      </vt:variant>
      <vt:variant>
        <vt:lpwstr/>
      </vt:variant>
      <vt:variant>
        <vt:lpwstr>_Toc250994487</vt:lpwstr>
      </vt:variant>
      <vt:variant>
        <vt:i4>1507391</vt:i4>
      </vt:variant>
      <vt:variant>
        <vt:i4>74</vt:i4>
      </vt:variant>
      <vt:variant>
        <vt:i4>0</vt:i4>
      </vt:variant>
      <vt:variant>
        <vt:i4>5</vt:i4>
      </vt:variant>
      <vt:variant>
        <vt:lpwstr/>
      </vt:variant>
      <vt:variant>
        <vt:lpwstr>_Toc250994486</vt:lpwstr>
      </vt:variant>
      <vt:variant>
        <vt:i4>1507391</vt:i4>
      </vt:variant>
      <vt:variant>
        <vt:i4>68</vt:i4>
      </vt:variant>
      <vt:variant>
        <vt:i4>0</vt:i4>
      </vt:variant>
      <vt:variant>
        <vt:i4>5</vt:i4>
      </vt:variant>
      <vt:variant>
        <vt:lpwstr/>
      </vt:variant>
      <vt:variant>
        <vt:lpwstr>_Toc250994485</vt:lpwstr>
      </vt:variant>
      <vt:variant>
        <vt:i4>1507391</vt:i4>
      </vt:variant>
      <vt:variant>
        <vt:i4>62</vt:i4>
      </vt:variant>
      <vt:variant>
        <vt:i4>0</vt:i4>
      </vt:variant>
      <vt:variant>
        <vt:i4>5</vt:i4>
      </vt:variant>
      <vt:variant>
        <vt:lpwstr/>
      </vt:variant>
      <vt:variant>
        <vt:lpwstr>_Toc250994484</vt:lpwstr>
      </vt:variant>
      <vt:variant>
        <vt:i4>1507391</vt:i4>
      </vt:variant>
      <vt:variant>
        <vt:i4>56</vt:i4>
      </vt:variant>
      <vt:variant>
        <vt:i4>0</vt:i4>
      </vt:variant>
      <vt:variant>
        <vt:i4>5</vt:i4>
      </vt:variant>
      <vt:variant>
        <vt:lpwstr/>
      </vt:variant>
      <vt:variant>
        <vt:lpwstr>_Toc250994483</vt:lpwstr>
      </vt:variant>
      <vt:variant>
        <vt:i4>1507391</vt:i4>
      </vt:variant>
      <vt:variant>
        <vt:i4>50</vt:i4>
      </vt:variant>
      <vt:variant>
        <vt:i4>0</vt:i4>
      </vt:variant>
      <vt:variant>
        <vt:i4>5</vt:i4>
      </vt:variant>
      <vt:variant>
        <vt:lpwstr/>
      </vt:variant>
      <vt:variant>
        <vt:lpwstr>_Toc250994482</vt:lpwstr>
      </vt:variant>
      <vt:variant>
        <vt:i4>1507391</vt:i4>
      </vt:variant>
      <vt:variant>
        <vt:i4>44</vt:i4>
      </vt:variant>
      <vt:variant>
        <vt:i4>0</vt:i4>
      </vt:variant>
      <vt:variant>
        <vt:i4>5</vt:i4>
      </vt:variant>
      <vt:variant>
        <vt:lpwstr/>
      </vt:variant>
      <vt:variant>
        <vt:lpwstr>_Toc250994481</vt:lpwstr>
      </vt:variant>
      <vt:variant>
        <vt:i4>1507391</vt:i4>
      </vt:variant>
      <vt:variant>
        <vt:i4>38</vt:i4>
      </vt:variant>
      <vt:variant>
        <vt:i4>0</vt:i4>
      </vt:variant>
      <vt:variant>
        <vt:i4>5</vt:i4>
      </vt:variant>
      <vt:variant>
        <vt:lpwstr/>
      </vt:variant>
      <vt:variant>
        <vt:lpwstr>_Toc250994480</vt:lpwstr>
      </vt:variant>
      <vt:variant>
        <vt:i4>1572927</vt:i4>
      </vt:variant>
      <vt:variant>
        <vt:i4>32</vt:i4>
      </vt:variant>
      <vt:variant>
        <vt:i4>0</vt:i4>
      </vt:variant>
      <vt:variant>
        <vt:i4>5</vt:i4>
      </vt:variant>
      <vt:variant>
        <vt:lpwstr/>
      </vt:variant>
      <vt:variant>
        <vt:lpwstr>_Toc250994479</vt:lpwstr>
      </vt:variant>
      <vt:variant>
        <vt:i4>1572927</vt:i4>
      </vt:variant>
      <vt:variant>
        <vt:i4>26</vt:i4>
      </vt:variant>
      <vt:variant>
        <vt:i4>0</vt:i4>
      </vt:variant>
      <vt:variant>
        <vt:i4>5</vt:i4>
      </vt:variant>
      <vt:variant>
        <vt:lpwstr/>
      </vt:variant>
      <vt:variant>
        <vt:lpwstr>_Toc250994478</vt:lpwstr>
      </vt:variant>
      <vt:variant>
        <vt:i4>1572927</vt:i4>
      </vt:variant>
      <vt:variant>
        <vt:i4>20</vt:i4>
      </vt:variant>
      <vt:variant>
        <vt:i4>0</vt:i4>
      </vt:variant>
      <vt:variant>
        <vt:i4>5</vt:i4>
      </vt:variant>
      <vt:variant>
        <vt:lpwstr/>
      </vt:variant>
      <vt:variant>
        <vt:lpwstr>_Toc250994477</vt:lpwstr>
      </vt:variant>
      <vt:variant>
        <vt:i4>1572927</vt:i4>
      </vt:variant>
      <vt:variant>
        <vt:i4>14</vt:i4>
      </vt:variant>
      <vt:variant>
        <vt:i4>0</vt:i4>
      </vt:variant>
      <vt:variant>
        <vt:i4>5</vt:i4>
      </vt:variant>
      <vt:variant>
        <vt:lpwstr/>
      </vt:variant>
      <vt:variant>
        <vt:lpwstr>_Toc250994476</vt:lpwstr>
      </vt:variant>
      <vt:variant>
        <vt:i4>1572927</vt:i4>
      </vt:variant>
      <vt:variant>
        <vt:i4>8</vt:i4>
      </vt:variant>
      <vt:variant>
        <vt:i4>0</vt:i4>
      </vt:variant>
      <vt:variant>
        <vt:i4>5</vt:i4>
      </vt:variant>
      <vt:variant>
        <vt:lpwstr/>
      </vt:variant>
      <vt:variant>
        <vt:lpwstr>_Toc250994475</vt:lpwstr>
      </vt:variant>
      <vt:variant>
        <vt:i4>1572927</vt:i4>
      </vt:variant>
      <vt:variant>
        <vt:i4>2</vt:i4>
      </vt:variant>
      <vt:variant>
        <vt:i4>0</vt:i4>
      </vt:variant>
      <vt:variant>
        <vt:i4>5</vt:i4>
      </vt:variant>
      <vt:variant>
        <vt:lpwstr/>
      </vt:variant>
      <vt:variant>
        <vt:lpwstr>_Toc250994474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60GHz MAC/PHY Specification</dc:title>
  <dc:subject/>
  <dc:creator>Carlos Cordeiro, Intel, et al.</dc:creator>
  <cp:keywords/>
  <dc:description/>
  <cp:lastModifiedBy>Cordeiro, Carlos</cp:lastModifiedBy>
  <cp:revision>45</cp:revision>
  <cp:lastPrinted>2010-04-06T21:22:00Z</cp:lastPrinted>
  <dcterms:created xsi:type="dcterms:W3CDTF">2010-04-08T19:10:00Z</dcterms:created>
  <dcterms:modified xsi:type="dcterms:W3CDTF">2010-04-29T19:06:00Z</dcterms:modified>
  <cp:category/>
</cp:coreProperties>
</file>