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B6724E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C1244">
            <w:pPr>
              <w:pStyle w:val="covertext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>
              <w:rPr>
                <w:b/>
                <w:szCs w:val="24"/>
              </w:rPr>
              <w:t>March 8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Estrel</w:t>
            </w:r>
            <w:proofErr w:type="spellEnd"/>
            <w:r>
              <w:rPr>
                <w:b/>
                <w:szCs w:val="24"/>
              </w:rPr>
              <w:t xml:space="preserve"> Hotel, Berlin, Germany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>
            <w:pPr>
              <w:pStyle w:val="covertext"/>
              <w:rPr>
                <w:szCs w:val="24"/>
              </w:rPr>
            </w:pPr>
            <w:r>
              <w:rPr>
                <w:b/>
                <w:szCs w:val="24"/>
              </w:rPr>
              <w:t>March 7</w:t>
            </w:r>
            <w:r w:rsidR="005B7F5B">
              <w:rPr>
                <w:b/>
                <w:szCs w:val="24"/>
              </w:rPr>
              <w:t>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FE0EE0">
              <w:rPr>
                <w:szCs w:val="24"/>
              </w:rPr>
              <w:t>ZigBee</w:t>
            </w:r>
            <w:proofErr w:type="spellEnd"/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5C1244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>
            <w:pPr>
              <w:pStyle w:val="covertext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 Chairs Meeting, Berlin </w:t>
            </w:r>
            <w:proofErr w:type="spellStart"/>
            <w:r w:rsidR="005C1244">
              <w:rPr>
                <w:szCs w:val="24"/>
              </w:rPr>
              <w:t>Germanyu</w:t>
            </w:r>
            <w:proofErr w:type="spellEnd"/>
          </w:p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>
            <w:pPr>
              <w:pStyle w:val="covertext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>
      <w:pPr>
        <w:widowControl w:val="0"/>
        <w:spacing w:before="12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CF068A">
        <w:rPr>
          <w:b/>
          <w:szCs w:val="24"/>
        </w:rPr>
        <w:t>March 8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6FBF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color w:val="FF0000"/>
          <w:szCs w:val="24"/>
        </w:rPr>
      </w:pPr>
      <w:r w:rsidRPr="007E6FBF">
        <w:rPr>
          <w:color w:val="FF0000"/>
          <w:szCs w:val="24"/>
        </w:rPr>
        <w:t>Review and approve agenda (</w:t>
      </w:r>
      <w:proofErr w:type="spellStart"/>
      <w:r w:rsidRPr="007E6FBF">
        <w:rPr>
          <w:color w:val="FF0000"/>
          <w:szCs w:val="24"/>
        </w:rPr>
        <w:t>dcn</w:t>
      </w:r>
      <w:proofErr w:type="spellEnd"/>
      <w:r w:rsidRPr="007E6FBF">
        <w:rPr>
          <w:color w:val="FF0000"/>
          <w:szCs w:val="24"/>
        </w:rPr>
        <w:t xml:space="preserve"> </w:t>
      </w:r>
      <w:r w:rsidR="00ED6EC2">
        <w:rPr>
          <w:rStyle w:val="highlight"/>
          <w:color w:val="FF0000"/>
        </w:rPr>
        <w:t>ec-15-0015-00</w:t>
      </w:r>
      <w:r w:rsidRPr="007E6FBF">
        <w:rPr>
          <w:color w:val="FF0000"/>
          <w:szCs w:val="24"/>
        </w:rPr>
        <w:t>)</w:t>
      </w:r>
    </w:p>
    <w:p w:rsidR="00B6724E" w:rsidRDefault="00B6724E" w:rsidP="00ED6EC2">
      <w:pPr>
        <w:numPr>
          <w:ilvl w:val="0"/>
          <w:numId w:val="2"/>
        </w:numPr>
        <w:spacing w:before="100" w:beforeAutospacing="1" w:after="100" w:afterAutospacing="1"/>
        <w:rPr>
          <w:color w:val="FF0000"/>
          <w:szCs w:val="24"/>
        </w:rPr>
      </w:pPr>
      <w:r w:rsidRPr="007E6FBF">
        <w:rPr>
          <w:color w:val="FF0000"/>
          <w:szCs w:val="24"/>
        </w:rPr>
        <w:t xml:space="preserve">Approve </w:t>
      </w:r>
      <w:r w:rsidR="00A9637D" w:rsidRPr="007E6FBF">
        <w:rPr>
          <w:color w:val="FF0000"/>
          <w:szCs w:val="24"/>
        </w:rPr>
        <w:t>Atlanta</w:t>
      </w:r>
      <w:r w:rsidR="001F2350" w:rsidRPr="007E6FBF">
        <w:rPr>
          <w:color w:val="FF0000"/>
          <w:szCs w:val="24"/>
        </w:rPr>
        <w:t xml:space="preserve"> minutes (</w:t>
      </w:r>
      <w:proofErr w:type="spellStart"/>
      <w:r w:rsidR="001F2350" w:rsidRPr="007E6FBF">
        <w:rPr>
          <w:color w:val="FF0000"/>
          <w:szCs w:val="24"/>
        </w:rPr>
        <w:t>dcn</w:t>
      </w:r>
      <w:proofErr w:type="spellEnd"/>
      <w:r w:rsidR="001F2350" w:rsidRPr="007E6FBF">
        <w:rPr>
          <w:color w:val="FF0000"/>
          <w:szCs w:val="24"/>
        </w:rPr>
        <w:t xml:space="preserve"> </w:t>
      </w:r>
      <w:r w:rsidR="00ED6EC2" w:rsidRPr="00ED6EC2">
        <w:rPr>
          <w:color w:val="FF0000"/>
          <w:szCs w:val="24"/>
        </w:rPr>
        <w:t>ec-15-0002-00</w:t>
      </w:r>
      <w:r w:rsidRPr="007E6FBF">
        <w:rPr>
          <w:color w:val="FF0000"/>
          <w:szCs w:val="24"/>
        </w:rPr>
        <w:t>)</w:t>
      </w:r>
      <w:r w:rsidR="00DB5EEC" w:rsidRPr="007E6FBF">
        <w:rPr>
          <w:color w:val="FF0000"/>
          <w:szCs w:val="24"/>
        </w:rPr>
        <w:t xml:space="preserve"> </w:t>
      </w:r>
    </w:p>
    <w:p w:rsidR="00ED6EC2" w:rsidRPr="007E6FBF" w:rsidRDefault="00ED6EC2" w:rsidP="00ED6EC2">
      <w:pPr>
        <w:spacing w:before="100" w:beforeAutospacing="1" w:after="100" w:afterAutospacing="1"/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487290027" r:id="rId9">
            <o:FieldCodes>\s</o:FieldCodes>
          </o:OLEObject>
        </w:objec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A9637D">
        <w:rPr>
          <w:szCs w:val="24"/>
        </w:rPr>
        <w:t>Berlin</w:t>
      </w:r>
      <w:r w:rsidRPr="00B6724E">
        <w:rPr>
          <w:szCs w:val="24"/>
        </w:rPr>
        <w:t xml:space="preserve"> Session </w:t>
      </w:r>
      <w:r w:rsidR="0038441E">
        <w:rPr>
          <w:szCs w:val="24"/>
        </w:rPr>
        <w:t>or other matters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</w:p>
    <w:p w:rsidR="0050469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50469E">
        <w:rPr>
          <w:szCs w:val="24"/>
        </w:rPr>
        <w:t>/Clint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8816A7" w:rsidRDefault="008816A7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May 2015 YVR- Discuss Registration Fee options</w:t>
      </w:r>
    </w:p>
    <w:p w:rsidR="00E57020" w:rsidRDefault="008816A7" w:rsidP="00E57020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Joint treasury motion for Registration Fee</w:t>
      </w:r>
    </w:p>
    <w:p w:rsidR="00E57020" w:rsidRPr="00E57020" w:rsidRDefault="00E57020" w:rsidP="00E57020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 w:rsidRPr="00E57020">
        <w:rPr>
          <w:szCs w:val="24"/>
        </w:rPr>
        <w:t>Joint Treasury Motion to Approve F2F as PCO for May 2015 on same terms as the 802 Plenary contract with F2F</w:t>
      </w:r>
    </w:p>
    <w:p w:rsidR="008816A7" w:rsidRDefault="00B6724E" w:rsidP="008816A7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 xml:space="preserve">-  </w:t>
      </w:r>
      <w:proofErr w:type="spellStart"/>
      <w:r w:rsidR="00A3237B">
        <w:rPr>
          <w:szCs w:val="24"/>
        </w:rPr>
        <w:t>Centara</w:t>
      </w:r>
      <w:proofErr w:type="spellEnd"/>
      <w:r w:rsidR="00A3237B">
        <w:rPr>
          <w:szCs w:val="24"/>
        </w:rPr>
        <w:t xml:space="preserve"> Bangkok</w:t>
      </w:r>
      <w:r w:rsidR="00A9637D">
        <w:rPr>
          <w:szCs w:val="24"/>
        </w:rPr>
        <w:t xml:space="preserve"> status</w:t>
      </w:r>
      <w:r w:rsidR="008816A7" w:rsidRPr="008816A7">
        <w:rPr>
          <w:szCs w:val="24"/>
        </w:rPr>
        <w:t xml:space="preserve"> </w:t>
      </w:r>
    </w:p>
    <w:p w:rsidR="00B6724E" w:rsidRPr="008816A7" w:rsidRDefault="008816A7" w:rsidP="008816A7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bookmarkStart w:id="0" w:name="_GoBack"/>
      <w:bookmarkEnd w:id="0"/>
      <w:r>
        <w:rPr>
          <w:szCs w:val="24"/>
        </w:rPr>
        <w:t xml:space="preserve">Joint treasury motion for follow-up </w:t>
      </w:r>
      <w:proofErr w:type="spellStart"/>
      <w:r>
        <w:rPr>
          <w:szCs w:val="24"/>
        </w:rPr>
        <w:t>Centara</w:t>
      </w:r>
      <w:proofErr w:type="spellEnd"/>
      <w:r>
        <w:rPr>
          <w:szCs w:val="24"/>
        </w:rPr>
        <w:t xml:space="preserve"> site visit</w:t>
      </w:r>
      <w:r w:rsidRPr="00B6724E">
        <w:rPr>
          <w:szCs w:val="24"/>
        </w:rPr>
        <w:t xml:space="preserve"> </w:t>
      </w:r>
    </w:p>
    <w:p w:rsidR="00B6724E" w:rsidRDefault="00A9637D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EU Interim Venue Status</w:t>
      </w:r>
      <w:r w:rsidR="00A3237B">
        <w:rPr>
          <w:szCs w:val="24"/>
        </w:rPr>
        <w:t xml:space="preserve"> (for September 2016 (also May 2018 and 2020))</w:t>
      </w:r>
    </w:p>
    <w:p w:rsidR="00B6724E" w:rsidRDefault="00B6724E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Budapest: Hilton, Marriott,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 xml:space="preserve">, </w:t>
      </w:r>
      <w:r w:rsidRPr="00B6724E">
        <w:rPr>
          <w:szCs w:val="24"/>
        </w:rPr>
        <w:t xml:space="preserve"> </w:t>
      </w:r>
      <w:proofErr w:type="spellStart"/>
      <w:r w:rsidR="00A3237B">
        <w:rPr>
          <w:szCs w:val="24"/>
        </w:rPr>
        <w:t>Novotel</w:t>
      </w:r>
      <w:proofErr w:type="spellEnd"/>
      <w:r w:rsidR="00A3237B">
        <w:rPr>
          <w:szCs w:val="24"/>
        </w:rPr>
        <w:t>, and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Prague: Hilton,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>,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Warsaw: Hilton, Doubletree, Marriott, National Stadium</w:t>
      </w:r>
    </w:p>
    <w:p w:rsidR="00A3237B" w:rsidRDefault="00A3237B" w:rsidP="00A3237B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January 2017- </w:t>
      </w:r>
      <w:r w:rsidR="00462EBE">
        <w:rPr>
          <w:szCs w:val="24"/>
        </w:rPr>
        <w:t>Agreement with Hyatt Atlanta</w:t>
      </w:r>
      <w:r w:rsidR="00A9637D">
        <w:rPr>
          <w:szCs w:val="24"/>
        </w:rPr>
        <w:t xml:space="preserve"> submitted to IEEE Procurement</w:t>
      </w:r>
    </w:p>
    <w:p w:rsidR="000021D1" w:rsidRPr="00B6724E" w:rsidRDefault="000021D1" w:rsidP="000021D1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>- putting together draft contract</w:t>
      </w:r>
    </w:p>
    <w:p w:rsidR="0030200D" w:rsidRPr="0030200D" w:rsidRDefault="00167E4B" w:rsidP="0030200D">
      <w:pPr>
        <w:numPr>
          <w:ilvl w:val="0"/>
          <w:numId w:val="2"/>
        </w:numPr>
        <w:spacing w:before="60"/>
        <w:rPr>
          <w:szCs w:val="24"/>
        </w:rPr>
      </w:pPr>
      <w:r>
        <w:rPr>
          <w:szCs w:val="24"/>
        </w:rPr>
        <w:t xml:space="preserve">Update- </w:t>
      </w:r>
      <w:r w:rsidR="00992E96">
        <w:rPr>
          <w:szCs w:val="24"/>
        </w:rPr>
        <w:t>Process for Interim PCO selection</w:t>
      </w:r>
      <w:r w:rsidR="00462EBE">
        <w:rPr>
          <w:szCs w:val="24"/>
        </w:rPr>
        <w:t xml:space="preserve"> (</w:t>
      </w:r>
      <w:r w:rsidR="00235C92">
        <w:rPr>
          <w:szCs w:val="24"/>
        </w:rPr>
        <w:t>see draft ideas below</w:t>
      </w:r>
      <w:r w:rsidR="00462EBE">
        <w:rPr>
          <w:szCs w:val="24"/>
        </w:rPr>
        <w:t>)</w:t>
      </w:r>
      <w:r w:rsidR="00992E96">
        <w:rPr>
          <w:szCs w:val="24"/>
        </w:rPr>
        <w:t>-</w:t>
      </w:r>
      <w:r>
        <w:rPr>
          <w:szCs w:val="24"/>
        </w:rPr>
        <w:t xml:space="preserve"> Adrian</w:t>
      </w:r>
    </w:p>
    <w:p w:rsidR="008816A7" w:rsidRPr="00232725" w:rsidRDefault="008816A7" w:rsidP="0030200D">
      <w:pPr>
        <w:pStyle w:val="Heading1"/>
        <w:spacing w:before="60" w:after="0"/>
        <w:ind w:left="907"/>
        <w:rPr>
          <w:rFonts w:ascii="Times New Roman" w:hAnsi="Times New Roman"/>
          <w:i/>
          <w:color w:val="0F243E" w:themeColor="text2" w:themeShade="80"/>
          <w:sz w:val="18"/>
          <w:szCs w:val="18"/>
        </w:rPr>
      </w:pPr>
      <w:r w:rsidRPr="00232725">
        <w:rPr>
          <w:rFonts w:ascii="Times New Roman" w:hAnsi="Times New Roman"/>
          <w:i/>
          <w:color w:val="0F243E" w:themeColor="text2" w:themeShade="80"/>
          <w:sz w:val="18"/>
          <w:szCs w:val="18"/>
        </w:rPr>
        <w:t>Introduction</w:t>
      </w:r>
    </w:p>
    <w:p w:rsidR="008816A7" w:rsidRPr="00232725" w:rsidRDefault="008816A7" w:rsidP="0030200D">
      <w:pPr>
        <w:spacing w:before="60"/>
        <w:ind w:left="907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 xml:space="preserve">This document is a </w:t>
      </w:r>
      <w:proofErr w:type="spellStart"/>
      <w:r w:rsidRPr="00232725">
        <w:rPr>
          <w:i/>
          <w:color w:val="0F243E" w:themeColor="text2" w:themeShade="80"/>
          <w:sz w:val="18"/>
          <w:szCs w:val="18"/>
        </w:rPr>
        <w:t>strawman</w:t>
      </w:r>
      <w:proofErr w:type="spellEnd"/>
      <w:r w:rsidRPr="00232725">
        <w:rPr>
          <w:i/>
          <w:color w:val="0F243E" w:themeColor="text2" w:themeShade="80"/>
          <w:sz w:val="18"/>
          <w:szCs w:val="18"/>
        </w:rPr>
        <w:t xml:space="preserve"> for an IEEE 802 Wireless Chairs (WC) Standing Committee (SC) for PCO (meeting organizer) selection.</w:t>
      </w:r>
    </w:p>
    <w:p w:rsidR="008816A7" w:rsidRPr="00232725" w:rsidRDefault="008816A7" w:rsidP="0030200D">
      <w:pPr>
        <w:pStyle w:val="Heading1"/>
        <w:spacing w:before="60" w:after="0"/>
        <w:ind w:left="907"/>
        <w:rPr>
          <w:rFonts w:ascii="Times New Roman" w:hAnsi="Times New Roman"/>
          <w:i/>
          <w:color w:val="0F243E" w:themeColor="text2" w:themeShade="80"/>
          <w:sz w:val="18"/>
          <w:szCs w:val="18"/>
        </w:rPr>
      </w:pPr>
      <w:r w:rsidRPr="00232725">
        <w:rPr>
          <w:rFonts w:ascii="Times New Roman" w:hAnsi="Times New Roman"/>
          <w:i/>
          <w:color w:val="0F243E" w:themeColor="text2" w:themeShade="80"/>
          <w:sz w:val="18"/>
          <w:szCs w:val="18"/>
        </w:rPr>
        <w:t>Operations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PCOs shall be selected that are IEEE contracts department approved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PCOs should be selected on a three year cadence</w:t>
      </w:r>
    </w:p>
    <w:p w:rsidR="008816A7" w:rsidRPr="00232725" w:rsidRDefault="008816A7" w:rsidP="0082779A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This cadence should be aligned to the IEEE 802 meeting planner cadence, perhaps offset so that the outcome of the 802 meeting planner selection is known.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A single PCO for NA/US meetings should be selected</w:t>
      </w:r>
    </w:p>
    <w:p w:rsidR="008816A7" w:rsidRPr="00232725" w:rsidRDefault="008816A7" w:rsidP="009B52CF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Should cover all NA/US meetings within a three year period</w:t>
      </w:r>
    </w:p>
    <w:p w:rsidR="008816A7" w:rsidRPr="00232725" w:rsidRDefault="008816A7" w:rsidP="0082779A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May be the same as the PCO for the IEEE 802 plenary meetings, but will need T&amp;Cs contracted specifically for IEEE 802 wireless interim meetings.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A single PCO for non-NA/non-US meetings should be selected</w:t>
      </w:r>
    </w:p>
    <w:p w:rsidR="008816A7" w:rsidRPr="00232725" w:rsidRDefault="008816A7" w:rsidP="0082779A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Should cover all non-NA/non-US meetings within a three year period</w:t>
      </w:r>
    </w:p>
    <w:p w:rsidR="008816A7" w:rsidRPr="00232725" w:rsidRDefault="008816A7" w:rsidP="009B52CF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May be selected based on past performance of PCOs used</w:t>
      </w:r>
    </w:p>
    <w:p w:rsidR="008816A7" w:rsidRPr="00232725" w:rsidRDefault="008816A7" w:rsidP="009B52CF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May be selected by asking prospective PCOs to provide a bid using a format (spreadsheet) that will capture comparative capabilities and costs.</w:t>
      </w:r>
    </w:p>
    <w:p w:rsidR="008816A7" w:rsidRPr="00232725" w:rsidRDefault="008816A7" w:rsidP="009B52CF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lastRenderedPageBreak/>
        <w:t xml:space="preserve">The decision as to whether to ask a single PCO to </w:t>
      </w:r>
      <w:proofErr w:type="gramStart"/>
      <w:r w:rsidRPr="00232725">
        <w:rPr>
          <w:i/>
          <w:color w:val="0F243E" w:themeColor="text2" w:themeShade="80"/>
          <w:sz w:val="18"/>
          <w:szCs w:val="18"/>
        </w:rPr>
        <w:t>bid,</w:t>
      </w:r>
      <w:proofErr w:type="gramEnd"/>
      <w:r w:rsidRPr="00232725">
        <w:rPr>
          <w:i/>
          <w:color w:val="0F243E" w:themeColor="text2" w:themeShade="80"/>
          <w:sz w:val="18"/>
          <w:szCs w:val="18"/>
        </w:rPr>
        <w:t xml:space="preserve"> or whether to ask multiple PCOs to bid will be made by motion in the WC SC Joint Treasury.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Any 802-sponsored “interims of the whole” are special cases</w:t>
      </w:r>
    </w:p>
    <w:p w:rsidR="008816A7" w:rsidRPr="00232725" w:rsidRDefault="008816A7" w:rsidP="009B52CF">
      <w:pPr>
        <w:pStyle w:val="ListParagraph"/>
        <w:numPr>
          <w:ilvl w:val="1"/>
          <w:numId w:val="3"/>
        </w:numPr>
        <w:spacing w:after="160" w:line="256" w:lineRule="auto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PCO may be selected on a per-meeting basis</w:t>
      </w:r>
    </w:p>
    <w:p w:rsidR="008816A7" w:rsidRPr="00232725" w:rsidRDefault="008816A7" w:rsidP="0082779A">
      <w:pPr>
        <w:pStyle w:val="ListParagraph"/>
        <w:numPr>
          <w:ilvl w:val="0"/>
          <w:numId w:val="3"/>
        </w:numPr>
        <w:spacing w:after="160" w:line="256" w:lineRule="auto"/>
        <w:ind w:left="1080" w:hanging="180"/>
        <w:rPr>
          <w:i/>
          <w:color w:val="0F243E" w:themeColor="text2" w:themeShade="80"/>
          <w:sz w:val="18"/>
          <w:szCs w:val="18"/>
        </w:rPr>
      </w:pPr>
      <w:r w:rsidRPr="00232725">
        <w:rPr>
          <w:i/>
          <w:color w:val="0F243E" w:themeColor="text2" w:themeShade="80"/>
          <w:sz w:val="18"/>
          <w:szCs w:val="18"/>
        </w:rPr>
        <w:t>Existing contracts are grandfathered.</w:t>
      </w:r>
    </w:p>
    <w:p w:rsidR="008816A7" w:rsidRPr="0030200D" w:rsidRDefault="008816A7" w:rsidP="008816A7">
      <w:pPr>
        <w:ind w:left="990"/>
        <w:rPr>
          <w:i/>
          <w:sz w:val="18"/>
          <w:szCs w:val="18"/>
        </w:rPr>
      </w:pPr>
    </w:p>
    <w:p w:rsidR="008816A7" w:rsidRPr="00232725" w:rsidRDefault="0082779A" w:rsidP="008816A7">
      <w:pPr>
        <w:pStyle w:val="Heading1"/>
        <w:ind w:left="990"/>
        <w:rPr>
          <w:rFonts w:ascii="Times New Roman" w:hAnsi="Times New Roman"/>
          <w:i/>
          <w:color w:val="0F243E" w:themeColor="text2" w:themeShade="80"/>
          <w:sz w:val="18"/>
          <w:szCs w:val="18"/>
        </w:rPr>
      </w:pPr>
      <w:r w:rsidRPr="00232725">
        <w:rPr>
          <w:rFonts w:ascii="Times New Roman" w:hAnsi="Times New Roman"/>
          <w:i/>
          <w:color w:val="0F243E" w:themeColor="text2" w:themeShade="80"/>
          <w:sz w:val="18"/>
          <w:szCs w:val="18"/>
        </w:rPr>
        <w:t xml:space="preserve">Draft </w:t>
      </w:r>
      <w:r w:rsidR="008816A7" w:rsidRPr="00232725">
        <w:rPr>
          <w:rFonts w:ascii="Times New Roman" w:hAnsi="Times New Roman"/>
          <w:i/>
          <w:color w:val="0F243E" w:themeColor="text2" w:themeShade="80"/>
          <w:sz w:val="18"/>
          <w:szCs w:val="18"/>
        </w:rPr>
        <w:t>Selection Metrics/Criteria</w:t>
      </w:r>
    </w:p>
    <w:p w:rsidR="008816A7" w:rsidRPr="00232725" w:rsidRDefault="008816A7" w:rsidP="008816A7">
      <w:pPr>
        <w:ind w:left="990"/>
        <w:rPr>
          <w:i/>
          <w:color w:val="0F243E" w:themeColor="text2" w:themeShade="80"/>
          <w:sz w:val="18"/>
          <w:szCs w:val="18"/>
        </w:rPr>
      </w:pPr>
    </w:p>
    <w:tbl>
      <w:tblPr>
        <w:tblStyle w:val="TableGrid"/>
        <w:tblW w:w="7848" w:type="dxa"/>
        <w:tblInd w:w="1188" w:type="dxa"/>
        <w:tblLook w:val="04A0" w:firstRow="1" w:lastRow="0" w:firstColumn="1" w:lastColumn="0" w:noHBand="0" w:noVBand="1"/>
      </w:tblPr>
      <w:tblGrid>
        <w:gridCol w:w="1890"/>
        <w:gridCol w:w="1278"/>
        <w:gridCol w:w="1890"/>
        <w:gridCol w:w="1530"/>
        <w:gridCol w:w="1260"/>
      </w:tblGrid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Metric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300 Attendees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400 Attendees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Per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Attendee fee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Per attendee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Meeting services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One off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Criteria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PCO response (yes/no)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IEEE 802 WC requirement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Willing to sign contract with Hotel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Optional – but highly desirable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2725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Collects meeting fee</w:t>
            </w:r>
            <w:r w:rsid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Mandatory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232725" w:rsidRPr="00232725" w:rsidTr="0023272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  <w:r w:rsidRPr="00232725"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A7" w:rsidRPr="00232725" w:rsidRDefault="008816A7" w:rsidP="00235C92">
            <w:pPr>
              <w:rPr>
                <w:rFonts w:cs="Times New Roman"/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8816A7" w:rsidRPr="00232725" w:rsidRDefault="008816A7" w:rsidP="008816A7">
      <w:pPr>
        <w:ind w:left="990"/>
        <w:rPr>
          <w:i/>
          <w:color w:val="0F243E" w:themeColor="text2" w:themeShade="80"/>
          <w:sz w:val="18"/>
          <w:szCs w:val="18"/>
          <w:lang w:val="en-GB"/>
        </w:rPr>
      </w:pP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802.18--Any Regulatory issues to be aware of? </w:t>
      </w:r>
    </w:p>
    <w:p w:rsidR="00A3237B" w:rsidRDefault="00B6724E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update?</w:t>
      </w:r>
    </w:p>
    <w:p w:rsidR="00B6724E" w:rsidRPr="00B6724E" w:rsidRDefault="00A3237B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Working Group P&amp;P?</w:t>
      </w:r>
    </w:p>
    <w:p w:rsidR="00C94CC0" w:rsidRPr="00D31A41" w:rsidRDefault="00B6724E" w:rsidP="00D31A41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 w:rsidRPr="00B6724E">
        <w:rPr>
          <w:szCs w:val="24"/>
        </w:rPr>
        <w:t>AoB</w:t>
      </w:r>
      <w:proofErr w:type="spellEnd"/>
      <w:r w:rsidRPr="00B6724E">
        <w:rPr>
          <w:szCs w:val="24"/>
        </w:rPr>
        <w:t xml:space="preserve"> </w:t>
      </w:r>
      <w:r w:rsidR="00D75FDB">
        <w:rPr>
          <w:szCs w:val="24"/>
        </w:rPr>
        <w:t xml:space="preserve">-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Adjourn </w:t>
      </w:r>
    </w:p>
    <w:p w:rsidR="00B6724E" w:rsidRPr="00B6724E" w:rsidRDefault="00B6724E">
      <w:pPr>
        <w:widowControl w:val="0"/>
        <w:spacing w:before="120"/>
        <w:rPr>
          <w:szCs w:val="24"/>
        </w:rPr>
      </w:pPr>
    </w:p>
    <w:sectPr w:rsidR="00B6724E" w:rsidRPr="00B6724E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1C" w:rsidRDefault="004A341C">
      <w:r>
        <w:separator/>
      </w:r>
    </w:p>
  </w:endnote>
  <w:endnote w:type="continuationSeparator" w:id="0">
    <w:p w:rsidR="004A341C" w:rsidRDefault="004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9D6DEA">
        <w:rPr>
          <w:noProof/>
        </w:rPr>
        <w:t>Bob Heile</w:t>
      </w:r>
    </w:fldSimple>
    <w:r>
      <w:t xml:space="preserve">, </w:t>
    </w:r>
    <w:r w:rsidR="001815F7">
      <w:fldChar w:fldCharType="begin"/>
    </w:r>
    <w:r w:rsidR="001815F7">
      <w:instrText xml:space="preserve"> DOCPROPERTY "Company"  \* MERGEFORMAT </w:instrText>
    </w:r>
    <w:r w:rsidR="001815F7">
      <w:fldChar w:fldCharType="separate"/>
    </w:r>
    <w:proofErr w:type="spellStart"/>
    <w:r w:rsidR="009D6DEA">
      <w:t>ZigBee</w:t>
    </w:r>
    <w:proofErr w:type="spellEnd"/>
    <w:r w:rsidR="009D6DEA">
      <w:t xml:space="preserve"> Alliance</w:t>
    </w:r>
    <w:r w:rsidR="001815F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1C" w:rsidRDefault="004A341C">
      <w:r>
        <w:separator/>
      </w:r>
    </w:p>
  </w:footnote>
  <w:footnote w:type="continuationSeparator" w:id="0">
    <w:p w:rsidR="004A341C" w:rsidRDefault="004A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61803">
      <w:rPr>
        <w:b/>
        <w:noProof/>
        <w:sz w:val="28"/>
      </w:rPr>
      <w:t>March,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020814">
      <w:rPr>
        <w:rStyle w:val="highlight"/>
      </w:rPr>
      <w:t>EC-15-0015</w:t>
    </w:r>
    <w:r w:rsidR="00A3100F">
      <w:rPr>
        <w:rStyle w:val="highlight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21D1"/>
    <w:rsid w:val="00020814"/>
    <w:rsid w:val="00046681"/>
    <w:rsid w:val="00053BAF"/>
    <w:rsid w:val="0008682F"/>
    <w:rsid w:val="00167E4B"/>
    <w:rsid w:val="001815F7"/>
    <w:rsid w:val="001B4382"/>
    <w:rsid w:val="001F2350"/>
    <w:rsid w:val="00232725"/>
    <w:rsid w:val="00235C92"/>
    <w:rsid w:val="0030200D"/>
    <w:rsid w:val="0038441E"/>
    <w:rsid w:val="003B6C72"/>
    <w:rsid w:val="00462EBE"/>
    <w:rsid w:val="004A341C"/>
    <w:rsid w:val="0050469E"/>
    <w:rsid w:val="005261AD"/>
    <w:rsid w:val="00557150"/>
    <w:rsid w:val="005B7F5B"/>
    <w:rsid w:val="005C1244"/>
    <w:rsid w:val="006B5A78"/>
    <w:rsid w:val="007E6FBF"/>
    <w:rsid w:val="00801547"/>
    <w:rsid w:val="0082779A"/>
    <w:rsid w:val="008816A7"/>
    <w:rsid w:val="008A73F7"/>
    <w:rsid w:val="008C738C"/>
    <w:rsid w:val="00992E96"/>
    <w:rsid w:val="009B52CF"/>
    <w:rsid w:val="009B7BCB"/>
    <w:rsid w:val="009D1CC9"/>
    <w:rsid w:val="009D6DEA"/>
    <w:rsid w:val="00A3100F"/>
    <w:rsid w:val="00A3237B"/>
    <w:rsid w:val="00A9637D"/>
    <w:rsid w:val="00AA3DEB"/>
    <w:rsid w:val="00AE22B9"/>
    <w:rsid w:val="00B6724E"/>
    <w:rsid w:val="00C94CC0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D6EC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ZigBee Alliance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2015-03-08T07:18:00Z</dcterms:created>
  <dcterms:modified xsi:type="dcterms:W3CDTF">2015-03-08T07:21:00Z</dcterms:modified>
  <cp:category>EC-14-0076-00</cp:category>
</cp:coreProperties>
</file>