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B4F5398" w:rsidR="00F90D86" w:rsidRDefault="00781816">
            <w:pPr>
              <w:pStyle w:val="covertext"/>
            </w:pPr>
            <w:r>
              <w:t>7</w:t>
            </w:r>
            <w:r w:rsidR="00851879">
              <w:t>-November</w:t>
            </w:r>
            <w:r w:rsidR="00690A22">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p>
    <w:p w14:paraId="5C832AC2"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Real-time behavior of Ethernet based communication networks is defined in IEC 61784-2. There are 6 (plus one technology specific) consistent sets of parameters described to define the requested and achieved Real-time Ethernet behavior of end-to-end stations.</w:t>
      </w:r>
    </w:p>
    <w:p w14:paraId="2F0C2F37"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For the network components using TSN is an effort ongoing in IEC SC 65C.PT61784-6, dealing with a TSN profile for industrial automation applications.</w:t>
      </w:r>
    </w:p>
    <w:p w14:paraId="72204EFD" w14:textId="77777777" w:rsidR="00324ED9" w:rsidRPr="009D6283" w:rsidRDefault="00324ED9" w:rsidP="009D6283">
      <w:pPr>
        <w:spacing w:after="0" w:line="240" w:lineRule="auto"/>
        <w:ind w:left="720"/>
        <w:contextualSpacing/>
        <w:textAlignment w:val="baseline"/>
        <w:rPr>
          <w:rFonts w:ascii="Times New Roman" w:eastAsia="Times New Roman" w:hAnsi="Times New Roman" w:cs="Times New Roman"/>
          <w:sz w:val="26"/>
          <w:szCs w:val="24"/>
        </w:rPr>
      </w:pPr>
    </w:p>
    <w:p w14:paraId="42CBB5CC" w14:textId="184842DE" w:rsidR="00B04DFA" w:rsidRDefault="00B04DFA" w:rsidP="00B04DFA">
      <w:pPr>
        <w:pStyle w:val="Heading3"/>
      </w:pPr>
      <w:r>
        <w:t>Teleprotection</w:t>
      </w:r>
    </w:p>
    <w:p w14:paraId="037F2B83" w14:textId="0631E285" w:rsidR="008C416D" w:rsidRPr="009D6283"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Protective relays protect electrical transmission lines against fault conditions (line down, short circuits between conductors or to ground). Simple protection schemes measure voltage and current at one end of the transmission line. D</w:t>
      </w:r>
      <w:r w:rsidR="008C416D" w:rsidRPr="009D6283">
        <w:rPr>
          <w:rFonts w:ascii="Times New Roman" w:eastAsia="Times New Roman" w:hAnsi="Times New Roman" w:cs="Times New Roman"/>
          <w:sz w:val="26"/>
          <w:szCs w:val="24"/>
        </w:rPr>
        <w:t xml:space="preserve">ifferential protection schemes </w:t>
      </w:r>
      <w:r>
        <w:rPr>
          <w:rFonts w:ascii="Times New Roman" w:eastAsia="Times New Roman" w:hAnsi="Times New Roman" w:cs="Times New Roman"/>
          <w:sz w:val="26"/>
          <w:szCs w:val="24"/>
        </w:rPr>
        <w:t xml:space="preserve">determine fault conditions by measuring real-time differences in voltage and current between the ends of the line. This </w:t>
      </w:r>
      <w:r w:rsidR="008C416D" w:rsidRPr="009D6283">
        <w:rPr>
          <w:rFonts w:ascii="Times New Roman" w:eastAsia="Times New Roman" w:hAnsi="Times New Roman" w:cs="Times New Roman"/>
          <w:sz w:val="26"/>
          <w:szCs w:val="24"/>
        </w:rPr>
        <w:t>require</w:t>
      </w:r>
      <w:r>
        <w:rPr>
          <w:rFonts w:ascii="Times New Roman" w:eastAsia="Times New Roman" w:hAnsi="Times New Roman" w:cs="Times New Roman"/>
          <w:sz w:val="26"/>
          <w:szCs w:val="24"/>
        </w:rPr>
        <w:t xml:space="preserve">s an independent communication link with </w:t>
      </w:r>
      <w:r w:rsidR="008C416D" w:rsidRPr="009D6283">
        <w:rPr>
          <w:rFonts w:ascii="Times New Roman" w:eastAsia="Times New Roman" w:hAnsi="Times New Roman" w:cs="Times New Roman"/>
          <w:sz w:val="26"/>
          <w:szCs w:val="24"/>
        </w:rPr>
        <w:t>very</w:t>
      </w:r>
      <w:r>
        <w:rPr>
          <w:rFonts w:ascii="Times New Roman" w:eastAsia="Times New Roman" w:hAnsi="Times New Roman" w:cs="Times New Roman"/>
          <w:sz w:val="26"/>
          <w:szCs w:val="24"/>
        </w:rPr>
        <w:t xml:space="preserve"> low (&lt;10mS) end to end latency to carry the measurements between the relays at the ends of the line.</w:t>
      </w:r>
      <w:r w:rsidR="008C416D" w:rsidRPr="009D6283">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The communication link latency </w:t>
      </w:r>
      <w:r w:rsidR="008C416D" w:rsidRPr="009D6283">
        <w:rPr>
          <w:rFonts w:ascii="Times New Roman" w:eastAsia="Times New Roman" w:hAnsi="Times New Roman" w:cs="Times New Roman"/>
          <w:sz w:val="26"/>
          <w:szCs w:val="24"/>
        </w:rPr>
        <w:t>must be highly consistent and predictable</w:t>
      </w:r>
      <w:r w:rsidR="0038650A">
        <w:rPr>
          <w:rFonts w:ascii="Times New Roman" w:eastAsia="Times New Roman" w:hAnsi="Times New Roman" w:cs="Times New Roman"/>
          <w:sz w:val="26"/>
          <w:szCs w:val="24"/>
        </w:rPr>
        <w:t>.</w:t>
      </w:r>
    </w:p>
    <w:p w14:paraId="72788319" w14:textId="2739EFF4" w:rsidR="008C416D" w:rsidRPr="009D6283"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w:t>
      </w:r>
      <w:r w:rsidR="008C416D" w:rsidRPr="009D6283">
        <w:rPr>
          <w:rFonts w:ascii="Times New Roman" w:eastAsia="Times New Roman" w:hAnsi="Times New Roman" w:cs="Times New Roman"/>
          <w:sz w:val="26"/>
          <w:szCs w:val="24"/>
        </w:rPr>
        <w:t xml:space="preserve">connection </w:t>
      </w:r>
      <w:r>
        <w:rPr>
          <w:rFonts w:ascii="Times New Roman" w:eastAsia="Times New Roman" w:hAnsi="Times New Roman" w:cs="Times New Roman"/>
          <w:sz w:val="26"/>
          <w:szCs w:val="24"/>
        </w:rPr>
        <w:t xml:space="preserve">is </w:t>
      </w:r>
      <w:r w:rsidR="008C416D" w:rsidRPr="009D6283">
        <w:rPr>
          <w:rFonts w:ascii="Times New Roman" w:eastAsia="Times New Roman" w:hAnsi="Times New Roman" w:cs="Times New Roman"/>
          <w:sz w:val="26"/>
          <w:szCs w:val="24"/>
        </w:rPr>
        <w:t>typically fiber</w:t>
      </w:r>
      <w:r>
        <w:rPr>
          <w:rFonts w:ascii="Times New Roman" w:eastAsia="Times New Roman" w:hAnsi="Times New Roman" w:cs="Times New Roman"/>
          <w:sz w:val="26"/>
          <w:szCs w:val="24"/>
        </w:rPr>
        <w:t xml:space="preserve">, although copper circuits are also used. Power Line Carrier and point to point microwave are less commonly used. </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644E7210"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r w:rsidR="00A44075">
        <w:rPr>
          <w:rFonts w:ascii="Times New Roman" w:eastAsia="Times New Roman" w:hAnsi="Times New Roman" w:cs="Times New Roman"/>
          <w:sz w:val="26"/>
          <w:szCs w:val="24"/>
        </w:rPr>
        <w:t xml:space="preserve">  </w:t>
      </w:r>
    </w:p>
    <w:p w14:paraId="7EFFE78A" w14:textId="307ACAD9"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71C4A40C" w14:textId="169F928D" w:rsidR="00A44075"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GOOSE and MMS traffic.</w:t>
      </w:r>
    </w:p>
    <w:p w14:paraId="02C5D9C2" w14:textId="39135CAA" w:rsidR="00A44075" w:rsidRPr="009D6283"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 xml:space="preserve">TSN could be a help on the process bus - </w:t>
      </w:r>
    </w:p>
    <w:p w14:paraId="6D9169EE" w14:textId="7E99B3C9" w:rsidR="008C416D" w:rsidRPr="00170727" w:rsidRDefault="008C416D" w:rsidP="009D6283">
      <w:pPr>
        <w:ind w:left="720"/>
        <w:rPr>
          <w:rFonts w:ascii="Arial" w:eastAsia="+mn-ea" w:hAnsi="Arial" w:cs="+mn-cs"/>
          <w:color w:val="000000"/>
          <w:kern w:val="24"/>
          <w:sz w:val="26"/>
          <w:szCs w:val="26"/>
        </w:rPr>
      </w:pPr>
    </w:p>
    <w:p w14:paraId="31FB492C" w14:textId="77777777" w:rsidR="00B04DFA" w:rsidRDefault="008C416D" w:rsidP="00B04DFA">
      <w:pPr>
        <w:pStyle w:val="Heading3"/>
      </w:pPr>
      <w:r w:rsidRPr="00170727">
        <w:lastRenderedPageBreak/>
        <w:t xml:space="preserve">Shared IT/OT networks over a common medium.  </w:t>
      </w:r>
    </w:p>
    <w:p w14:paraId="69932E9D" w14:textId="74B72B0B" w:rsidR="008C416D" w:rsidRDefault="005370E6"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How does TSN affect this? The important benefit is providing a converged multi-service architecture. Critical services can have guaranteed performance and bounded latency. This saves cost by converging several networks into one. </w:t>
      </w:r>
    </w:p>
    <w:p w14:paraId="50007C2E"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But not all TSN behaviors can be built in one network component without a difficult engineering. A profile for Utilities is needed to reduce the effort of engineering.  IEC TC57 is looking for such a profile and is collaborating with the IEC SC65C/MT9.PT61784-6 project team.</w:t>
      </w:r>
    </w:p>
    <w:p w14:paraId="3DA8DA96"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IEEE </w:t>
      </w:r>
      <w:r w:rsidRPr="009F0C32">
        <w:rPr>
          <w:rFonts w:ascii="Times New Roman" w:eastAsia="Times New Roman" w:hAnsi="Times New Roman" w:cs="Times New Roman"/>
          <w:sz w:val="26"/>
          <w:szCs w:val="24"/>
        </w:rPr>
        <w:t>802.3br provides the best basis for this instead of using only shapers.</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B04DFA">
      <w:pPr>
        <w:pStyle w:val="Heading3"/>
      </w:pPr>
      <w:r>
        <w:t>Fi</w:t>
      </w:r>
      <w:r w:rsidR="00B04DFA">
        <w:t>eld Area Network Applications</w:t>
      </w:r>
    </w:p>
    <w:p w14:paraId="44119D9C" w14:textId="3545A75D"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B04DFA">
      <w:pPr>
        <w:pStyle w:val="Heading3"/>
      </w:pPr>
      <w:r>
        <w:t>Wind Farm Applications</w:t>
      </w:r>
    </w:p>
    <w:p w14:paraId="7E13BADD" w14:textId="0B1505C7" w:rsidR="00C206EC" w:rsidRDefault="00B04DFA"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P</w:t>
      </w:r>
      <w:r w:rsidR="00C206EC">
        <w:rPr>
          <w:rFonts w:ascii="Times New Roman" w:eastAsia="Times New Roman" w:hAnsi="Times New Roman" w:cs="Times New Roman"/>
          <w:sz w:val="26"/>
          <w:szCs w:val="24"/>
        </w:rPr>
        <w:t xml:space="preserve">rotection </w:t>
      </w:r>
      <w:r w:rsidR="009F0C32">
        <w:rPr>
          <w:rFonts w:ascii="Times New Roman" w:eastAsia="Times New Roman" w:hAnsi="Times New Roman" w:cs="Times New Roman"/>
          <w:sz w:val="26"/>
          <w:szCs w:val="24"/>
        </w:rPr>
        <w:t>algorithms are the main driver.</w:t>
      </w:r>
      <w:r>
        <w:rPr>
          <w:rFonts w:ascii="Times New Roman" w:eastAsia="Times New Roman" w:hAnsi="Times New Roman" w:cs="Times New Roman"/>
          <w:sz w:val="26"/>
          <w:szCs w:val="24"/>
        </w:rPr>
        <w:t xml:space="preserve"> There may be situations where TSN can provide a benefit.</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3E3367A7" w:rsidR="00690A22" w:rsidRDefault="008638DB" w:rsidP="009D6283">
      <w:pPr>
        <w:pStyle w:val="Heading1"/>
      </w:pPr>
      <w:commentRangeStart w:id="0"/>
      <w:r>
        <w:lastRenderedPageBreak/>
        <w:t xml:space="preserve">Overview of </w:t>
      </w:r>
      <w:r w:rsidR="00690A22" w:rsidRPr="00690A22">
        <w:t xml:space="preserve">how TSN works </w:t>
      </w:r>
      <w:commentRangeEnd w:id="0"/>
      <w:r w:rsidR="00851879">
        <w:rPr>
          <w:rStyle w:val="CommentReference"/>
          <w:rFonts w:asciiTheme="minorHAnsi" w:eastAsiaTheme="minorEastAsia" w:hAnsiTheme="minorHAnsi" w:cstheme="minorBidi"/>
        </w:rPr>
        <w:commentReference w:id="0"/>
      </w:r>
    </w:p>
    <w:p w14:paraId="104A6C95" w14:textId="77777777" w:rsidR="00851879" w:rsidRDefault="00851879" w:rsidP="00851879">
      <w:pPr>
        <w:pStyle w:val="Heading1"/>
      </w:pPr>
      <w:r>
        <w:t>Introduction: Three kinds of packet service</w:t>
      </w:r>
    </w:p>
    <w:p w14:paraId="784F2E49" w14:textId="77777777" w:rsidR="00851879" w:rsidRPr="009517BA" w:rsidRDefault="00851879" w:rsidP="00851879">
      <w:pPr>
        <w:rPr>
          <w:color w:val="7030A0"/>
        </w:rPr>
      </w:pPr>
      <w:r w:rsidRPr="009517BA">
        <w:rPr>
          <w:color w:val="7030A0"/>
        </w:rPr>
        <w:t>Best effort packet service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rPr>
          <w:color w:val="7030A0"/>
        </w:rPr>
        <w:fldChar w:fldCharType="begin"/>
      </w:r>
      <w:r w:rsidRPr="009517BA">
        <w:rPr>
          <w:color w:val="7030A0"/>
        </w:rPr>
        <w:instrText xml:space="preserve"> REF _Ref477950630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1</w:t>
      </w:r>
      <w:r w:rsidRPr="009517BA">
        <w:rPr>
          <w:color w:val="7030A0"/>
        </w:rPr>
        <w:fldChar w:fldCharType="end"/>
      </w:r>
      <w:r w:rsidRPr="009517BA">
        <w:rPr>
          <w:color w:val="7030A0"/>
        </w:rPr>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851879" w:rsidRDefault="00851879"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851879" w:rsidRDefault="00851879"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851879" w:rsidRDefault="00851879"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851879" w:rsidRDefault="00851879"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851879" w:rsidRDefault="00851879"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851879" w:rsidRDefault="00851879"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1"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1"/>
      <w:r w:rsidRPr="009517BA">
        <w:rPr>
          <w:color w:val="7030A0"/>
          <w:sz w:val="28"/>
          <w:szCs w:val="28"/>
        </w:rPr>
        <w:t xml:space="preserve"> Best-effort packet service</w:t>
      </w:r>
    </w:p>
    <w:p w14:paraId="6797469C" w14:textId="77777777" w:rsidR="00851879" w:rsidRPr="009517BA" w:rsidRDefault="00851879" w:rsidP="00851879">
      <w:pPr>
        <w:rPr>
          <w:color w:val="7030A0"/>
        </w:rPr>
      </w:pPr>
      <w:r w:rsidRPr="009517BA">
        <w:rPr>
          <w:color w:val="7030A0"/>
        </w:rPr>
        <w:t>Constant Bit Rate (CBR) service is typically offered by time-division multiplexing (TDM) facilities such as SDH or OTN.  Latency is fixed, and jitter is essentially zero (</w:t>
      </w:r>
      <w:r w:rsidRPr="009517BA">
        <w:rPr>
          <w:color w:val="7030A0"/>
        </w:rPr>
        <w:fldChar w:fldCharType="begin"/>
      </w:r>
      <w:r w:rsidRPr="009517BA">
        <w:rPr>
          <w:color w:val="7030A0"/>
        </w:rPr>
        <w:instrText xml:space="preserve"> REF _Ref477950664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2</w:t>
      </w:r>
      <w:r w:rsidRPr="009517BA">
        <w:rPr>
          <w:color w:val="7030A0"/>
        </w:rPr>
        <w:fldChar w:fldCharType="end"/>
      </w:r>
      <w:r w:rsidRPr="009517BA">
        <w:rPr>
          <w:color w:val="7030A0"/>
        </w:rPr>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851879" w:rsidRDefault="00851879"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851879" w:rsidRDefault="00851879"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851879" w:rsidRDefault="00851879"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851879" w:rsidRDefault="00851879"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851879" w:rsidRDefault="00851879"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851879" w:rsidRDefault="00851879"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2"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2"/>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9517BA">
        <w:rPr>
          <w:color w:val="7030A0"/>
        </w:rPr>
        <w:t xml:space="preserve">Deterministic service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517BA">
        <w:rPr>
          <w:color w:val="7030A0"/>
        </w:rPr>
        <w:fldChar w:fldCharType="begin"/>
      </w:r>
      <w:r w:rsidRPr="009517BA">
        <w:rPr>
          <w:color w:val="7030A0"/>
        </w:rPr>
        <w:instrText xml:space="preserve"> REF _Ref477950974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3</w:t>
      </w:r>
      <w:r w:rsidRPr="009517BA">
        <w:rPr>
          <w:color w:val="7030A0"/>
        </w:rPr>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851879" w:rsidRDefault="00851879"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851879" w:rsidRDefault="00851879"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851879" w:rsidRDefault="00851879"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851879" w:rsidRDefault="00851879"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851879" w:rsidRDefault="00851879"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851879" w:rsidRDefault="00851879"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3" w:name="_Ref477950974"/>
      <w:bookmarkStart w:id="4"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3"/>
      <w:r w:rsidRPr="009517BA">
        <w:rPr>
          <w:color w:val="7030A0"/>
          <w:sz w:val="28"/>
          <w:szCs w:val="28"/>
        </w:rPr>
        <w:t xml:space="preserve"> </w:t>
      </w:r>
      <w:r w:rsidRPr="009517BA">
        <w:rPr>
          <w:color w:val="7030A0"/>
          <w:sz w:val="24"/>
          <w:szCs w:val="24"/>
        </w:rPr>
        <w:t>Deterministic packet service</w:t>
      </w:r>
      <w:bookmarkEnd w:id="4"/>
    </w:p>
    <w:p w14:paraId="436220DB" w14:textId="77777777" w:rsidR="00851879" w:rsidRPr="009517BA" w:rsidRDefault="00851879" w:rsidP="00851879">
      <w:pPr>
        <w:rPr>
          <w:color w:val="7030A0"/>
        </w:rPr>
      </w:pPr>
      <w:r w:rsidRPr="009517BA">
        <w:rPr>
          <w:color w:val="7030A0"/>
        </w:rPr>
        <w:t xml:space="preserve">The biggest differences between </w:t>
      </w:r>
      <w:r w:rsidRPr="009517BA">
        <w:rPr>
          <w:color w:val="7030A0"/>
        </w:rPr>
        <w:fldChar w:fldCharType="begin"/>
      </w:r>
      <w:r w:rsidRPr="009517BA">
        <w:rPr>
          <w:color w:val="7030A0"/>
        </w:rPr>
        <w:instrText xml:space="preserve"> REF _Ref477950664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2</w:t>
      </w:r>
      <w:r w:rsidRPr="009517BA">
        <w:rPr>
          <w:color w:val="7030A0"/>
        </w:rPr>
        <w:fldChar w:fldCharType="end"/>
      </w:r>
      <w:r w:rsidRPr="009517BA">
        <w:rPr>
          <w:color w:val="7030A0"/>
        </w:rPr>
        <w:t xml:space="preserve"> and </w:t>
      </w:r>
      <w:r w:rsidRPr="009517BA">
        <w:rPr>
          <w:color w:val="7030A0"/>
        </w:rPr>
        <w:fldChar w:fldCharType="begin"/>
      </w:r>
      <w:r w:rsidRPr="009517BA">
        <w:rPr>
          <w:color w:val="7030A0"/>
        </w:rPr>
        <w:instrText xml:space="preserve"> REF _Ref477950974 \h  \* MERGEFORMAT </w:instrText>
      </w:r>
      <w:r w:rsidRPr="009517BA">
        <w:rPr>
          <w:color w:val="7030A0"/>
        </w:rPr>
      </w:r>
      <w:r w:rsidRPr="009517BA">
        <w:rPr>
          <w:color w:val="7030A0"/>
        </w:rPr>
        <w:fldChar w:fldCharType="separate"/>
      </w:r>
      <w:r w:rsidRPr="009517BA">
        <w:rPr>
          <w:color w:val="7030A0"/>
        </w:rPr>
        <w:t xml:space="preserve">Figure </w:t>
      </w:r>
      <w:r w:rsidRPr="009517BA">
        <w:rPr>
          <w:noProof/>
          <w:color w:val="7030A0"/>
        </w:rPr>
        <w:t>3</w:t>
      </w:r>
      <w:r w:rsidRPr="009517BA">
        <w:rPr>
          <w:color w:val="7030A0"/>
        </w:rPr>
        <w:fldChar w:fldCharType="end"/>
      </w:r>
      <w:r w:rsidRPr="009517BA">
        <w:rPr>
          <w:color w:val="7030A0"/>
        </w:rPr>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rPr>
          <w:color w:val="7030A0"/>
        </w:rPr>
        <w:fldChar w:fldCharType="begin"/>
      </w:r>
      <w:r w:rsidRPr="009517BA">
        <w:rPr>
          <w:color w:val="7030A0"/>
        </w:rPr>
        <w:instrText xml:space="preserve"> REF _Ref478827420 \h </w:instrText>
      </w:r>
      <w:r w:rsidRPr="009517BA">
        <w:rPr>
          <w:color w:val="7030A0"/>
        </w:rPr>
      </w:r>
      <w:r w:rsidRPr="009517BA">
        <w:rPr>
          <w:color w:val="7030A0"/>
        </w:rPr>
        <w:fldChar w:fldCharType="separate"/>
      </w:r>
      <w:r w:rsidRPr="009517BA">
        <w:rPr>
          <w:color w:val="7030A0"/>
        </w:rPr>
        <w:t>Packet Replication and Elimination</w:t>
      </w:r>
      <w:r w:rsidRPr="009517BA">
        <w:rPr>
          <w:color w:val="7030A0"/>
        </w:rPr>
        <w:fldChar w:fldCharType="end"/>
      </w:r>
      <w:r w:rsidRPr="009517BA">
        <w:rPr>
          <w:color w:val="7030A0"/>
        </w:rPr>
        <w:t>, below) than the 1+1 protection usually employed in CBR.  (Both services could employ either protection scheme, in which case they can have the same packet loss curve.)</w:t>
      </w:r>
    </w:p>
    <w:p w14:paraId="7B86DC4F" w14:textId="77777777" w:rsidR="00851879" w:rsidRPr="009517BA" w:rsidRDefault="00851879" w:rsidP="00851879">
      <w:pPr>
        <w:rPr>
          <w:color w:val="7030A0"/>
        </w:rPr>
      </w:pPr>
      <w:r w:rsidRPr="009517BA">
        <w:rPr>
          <w:color w:val="7030A0"/>
        </w:rPr>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851879">
      <w:pPr>
        <w:rPr>
          <w:color w:val="7030A0"/>
        </w:rPr>
      </w:pPr>
      <w:r w:rsidRPr="009517BA">
        <w:rPr>
          <w:color w:val="7030A0"/>
        </w:rPr>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851879">
      <w:pPr>
        <w:rPr>
          <w:color w:val="7030A0"/>
        </w:rPr>
      </w:pPr>
      <w:r w:rsidRPr="009517BA">
        <w:rPr>
          <w:color w:val="7030A0"/>
        </w:rPr>
        <w:t>Some applications, however, have never been able to use best-effort service.  Examples are industrial control</w:t>
      </w:r>
      <w:r w:rsidR="008638DB" w:rsidRPr="009517BA">
        <w:rPr>
          <w:color w:val="7030A0"/>
        </w:rPr>
        <w:t xml:space="preserve"> (including electrical transmission teleprotection)</w:t>
      </w:r>
      <w:r w:rsidRPr="009517BA">
        <w:rPr>
          <w:color w:val="7030A0"/>
        </w:rPr>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851879">
      <w:pPr>
        <w:rPr>
          <w:color w:val="7030A0"/>
        </w:rPr>
      </w:pPr>
      <w:r w:rsidRPr="009517BA">
        <w:rPr>
          <w:color w:val="7030A0"/>
        </w:rPr>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70DB2913" w14:textId="77777777" w:rsidR="008638DB" w:rsidRPr="009517BA" w:rsidRDefault="008638DB" w:rsidP="008638DB">
      <w:pPr>
        <w:tabs>
          <w:tab w:val="left" w:pos="2991"/>
        </w:tabs>
        <w:rPr>
          <w:color w:val="7030A0"/>
        </w:rPr>
      </w:pPr>
    </w:p>
    <w:p w14:paraId="4EEFCF8C" w14:textId="36D051B4" w:rsidR="008638DB" w:rsidRPr="009517BA" w:rsidRDefault="008638DB" w:rsidP="008638DB">
      <w:pPr>
        <w:tabs>
          <w:tab w:val="left" w:pos="2991"/>
        </w:tabs>
        <w:rPr>
          <w:color w:val="7030A0"/>
        </w:rPr>
      </w:pPr>
      <w:r w:rsidRPr="009517BA">
        <w:rPr>
          <w:color w:val="7030A0"/>
        </w:rPr>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8638DB">
      <w:pPr>
        <w:tabs>
          <w:tab w:val="left" w:pos="2991"/>
        </w:tabs>
        <w:rPr>
          <w:color w:val="7030A0"/>
        </w:rPr>
      </w:pPr>
      <w:r w:rsidRPr="009517BA">
        <w:rPr>
          <w:color w:val="7030A0"/>
        </w:rPr>
        <w:t>The essential features of Deterministic networks are:</w:t>
      </w:r>
    </w:p>
    <w:p w14:paraId="0DFB9D16"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517BA">
        <w:rPr>
          <w:color w:val="7030A0"/>
        </w:rPr>
        <w:fldChar w:fldCharType="begin"/>
      </w:r>
      <w:r w:rsidRPr="009517BA">
        <w:rPr>
          <w:color w:val="7030A0"/>
        </w:rPr>
        <w:instrText xml:space="preserve"> REF _Ref478910483 \h </w:instrText>
      </w:r>
      <w:r w:rsidRPr="009517BA">
        <w:rPr>
          <w:color w:val="7030A0"/>
        </w:rPr>
      </w:r>
      <w:r w:rsidRPr="009517BA">
        <w:rPr>
          <w:color w:val="7030A0"/>
        </w:rPr>
        <w:fldChar w:fldCharType="separate"/>
      </w:r>
      <w:r w:rsidRPr="009517BA">
        <w:rPr>
          <w:color w:val="7030A0"/>
        </w:rPr>
        <w:t>Queuing algorithms</w:t>
      </w:r>
      <w:r w:rsidRPr="009517BA">
        <w:rPr>
          <w:color w:val="7030A0"/>
        </w:rPr>
        <w:fldChar w:fldCharType="end"/>
      </w:r>
      <w:r w:rsidRPr="009517BA">
        <w:rPr>
          <w:color w:val="7030A0"/>
        </w:rPr>
        <w:t>”, below) require that the network nodes be synchronized, and some do not.</w:t>
      </w:r>
    </w:p>
    <w:p w14:paraId="08C61C8D"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517BA" w:rsidRDefault="008638DB" w:rsidP="008638DB">
      <w:pPr>
        <w:pStyle w:val="ListParagraph"/>
        <w:numPr>
          <w:ilvl w:val="0"/>
          <w:numId w:val="9"/>
        </w:numPr>
        <w:tabs>
          <w:tab w:val="left" w:pos="2991"/>
        </w:tabs>
        <w:spacing w:after="0" w:line="240" w:lineRule="auto"/>
        <w:rPr>
          <w:color w:val="7030A0"/>
        </w:rPr>
      </w:pPr>
      <w:r w:rsidRPr="009517BA">
        <w:rPr>
          <w:color w:val="7030A0"/>
        </w:rPr>
        <w:t xml:space="preserve">Bounded latency and zero congestion loss.  Congestion loss, the statistical overflowing of an output buffer in a network node, is the principle cause of packet loss in a best-effort network.  By pacing the delivery of packets and allocating sufficient buffer space for critical </w:t>
      </w:r>
      <w:r w:rsidRPr="009517BA">
        <w:rPr>
          <w:color w:val="7030A0"/>
        </w:rPr>
        <w:lastRenderedPageBreak/>
        <w:t>flows, congestion is eliminated.  Therefore, any given critical flow can be promised a maximum latency for delivering its packet end-to-end through the network.</w:t>
      </w:r>
    </w:p>
    <w:p w14:paraId="08D0A5CB" w14:textId="77777777" w:rsidR="008638DB" w:rsidRPr="009517BA" w:rsidRDefault="008638DB" w:rsidP="008638DB">
      <w:pPr>
        <w:pStyle w:val="ListParagraph"/>
        <w:numPr>
          <w:ilvl w:val="0"/>
          <w:numId w:val="9"/>
        </w:numPr>
        <w:tabs>
          <w:tab w:val="left" w:pos="2991"/>
        </w:tabs>
        <w:spacing w:after="0" w:line="240" w:lineRule="auto"/>
        <w:rPr>
          <w:color w:val="7030A0"/>
        </w:rPr>
      </w:pPr>
      <w:r w:rsidRPr="009517BA">
        <w:rPr>
          <w:color w:val="7030A0"/>
        </w:rPr>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517BA" w:rsidRDefault="008638DB" w:rsidP="008638DB">
      <w:pPr>
        <w:pStyle w:val="ListParagraph"/>
        <w:numPr>
          <w:ilvl w:val="0"/>
          <w:numId w:val="9"/>
        </w:numPr>
        <w:tabs>
          <w:tab w:val="left" w:pos="2991"/>
        </w:tabs>
        <w:spacing w:after="0" w:line="240" w:lineRule="auto"/>
        <w:rPr>
          <w:color w:val="7030A0"/>
        </w:rPr>
      </w:pPr>
      <w:bookmarkStart w:id="5" w:name="_Ref478828340"/>
      <w:r w:rsidRPr="009517BA">
        <w:rPr>
          <w:color w:val="7030A0"/>
        </w:rPr>
        <w:t xml:space="preserve">Flexibility.  New contracts can be made and old ones revoked.  As critical flows come and go, the proper functioning of all critical flows is maintained </w:t>
      </w:r>
      <w:proofErr w:type="gramStart"/>
      <w:r w:rsidRPr="009517BA">
        <w:rPr>
          <w:color w:val="7030A0"/>
        </w:rPr>
        <w:t>at all times</w:t>
      </w:r>
      <w:proofErr w:type="gramEnd"/>
      <w:r w:rsidRPr="009517BA">
        <w:rPr>
          <w:color w:val="7030A0"/>
        </w:rPr>
        <w:t>.</w:t>
      </w:r>
      <w:bookmarkEnd w:id="5"/>
    </w:p>
    <w:p w14:paraId="72CAF78E" w14:textId="77777777" w:rsidR="008638DB" w:rsidRPr="009517BA" w:rsidRDefault="008638DB" w:rsidP="008638DB">
      <w:pPr>
        <w:pStyle w:val="ListParagraph"/>
        <w:numPr>
          <w:ilvl w:val="0"/>
          <w:numId w:val="8"/>
        </w:numPr>
        <w:tabs>
          <w:tab w:val="left" w:pos="2991"/>
        </w:tabs>
        <w:spacing w:after="0" w:line="240" w:lineRule="auto"/>
        <w:rPr>
          <w:color w:val="7030A0"/>
        </w:rPr>
      </w:pPr>
      <w:r w:rsidRPr="009517BA">
        <w:rPr>
          <w:color w:val="7030A0"/>
        </w:rPr>
        <w:t>Coexistence with best-effort services.  Unless the demands of the critical flows consume too much</w:t>
      </w:r>
      <w:r w:rsidRPr="009517BA">
        <w:rPr>
          <w:rStyle w:val="FootnoteReference"/>
          <w:color w:val="7030A0"/>
        </w:rPr>
        <w:footnoteReference w:id="2"/>
      </w:r>
      <w:r w:rsidRPr="009517BA">
        <w:rPr>
          <w:color w:val="7030A0"/>
        </w:rPr>
        <w:t xml:space="preserve"> of a </w:t>
      </w:r>
      <w:proofErr w:type="gramStart"/>
      <w:r w:rsidRPr="009517BA">
        <w:rPr>
          <w:color w:val="7030A0"/>
        </w:rPr>
        <w:t>particular resource</w:t>
      </w:r>
      <w:proofErr w:type="gramEnd"/>
      <w:r w:rsidRPr="009517BA">
        <w:rPr>
          <w:color w:val="7030A0"/>
        </w:rPr>
        <w:t xml:space="preserve">, such as the bandwidth of a particular link, the critical traffic can be paced so that the customary best-effort Quality of Service practices such as priority scheduling, hierarchical </w:t>
      </w:r>
      <w:proofErr w:type="spellStart"/>
      <w:r w:rsidRPr="009517BA">
        <w:rPr>
          <w:color w:val="7030A0"/>
        </w:rPr>
        <w:t>QoS</w:t>
      </w:r>
      <w:proofErr w:type="spellEnd"/>
      <w:r w:rsidRPr="009517BA">
        <w:rPr>
          <w:color w:val="7030A0"/>
        </w:rPr>
        <w:t>, weighted fair queuing, random early discard, etc., still function in their usual manner, except that the bandwidth available to these capabilities reduced by the critical traffic.  (See “</w:t>
      </w:r>
      <w:r w:rsidRPr="009517BA">
        <w:rPr>
          <w:color w:val="7030A0"/>
        </w:rPr>
        <w:fldChar w:fldCharType="begin"/>
      </w:r>
      <w:r w:rsidRPr="009517BA">
        <w:rPr>
          <w:color w:val="7030A0"/>
        </w:rPr>
        <w:instrText xml:space="preserve"> REF _Ref480881126 \h </w:instrText>
      </w:r>
      <w:r w:rsidRPr="009517BA">
        <w:rPr>
          <w:color w:val="7030A0"/>
        </w:rPr>
      </w:r>
      <w:r w:rsidRPr="009517BA">
        <w:rPr>
          <w:color w:val="7030A0"/>
        </w:rPr>
        <w:fldChar w:fldCharType="separate"/>
      </w:r>
      <w:r w:rsidRPr="009517BA">
        <w:rPr>
          <w:color w:val="7030A0"/>
        </w:rPr>
        <w:t xml:space="preserve">Coexistence of Deterministic and Best-Effort </w:t>
      </w:r>
      <w:proofErr w:type="spellStart"/>
      <w:r w:rsidRPr="009517BA">
        <w:rPr>
          <w:color w:val="7030A0"/>
        </w:rPr>
        <w:t>QoS</w:t>
      </w:r>
      <w:proofErr w:type="spellEnd"/>
      <w:r w:rsidRPr="009517BA">
        <w:rPr>
          <w:color w:val="7030A0"/>
        </w:rPr>
        <w:fldChar w:fldCharType="end"/>
      </w:r>
      <w:r w:rsidRPr="009517BA">
        <w:rPr>
          <w:color w:val="7030A0"/>
        </w:rPr>
        <w:t>”, below.)</w:t>
      </w:r>
    </w:p>
    <w:p w14:paraId="6F87F706" w14:textId="77777777" w:rsidR="008638DB" w:rsidRPr="009517BA" w:rsidRDefault="008638DB" w:rsidP="008638DB">
      <w:pPr>
        <w:rPr>
          <w:color w:val="7030A0"/>
        </w:rPr>
      </w:pPr>
    </w:p>
    <w:p w14:paraId="4E1C8582" w14:textId="77777777" w:rsidR="008638DB" w:rsidRPr="009517BA" w:rsidRDefault="008638DB" w:rsidP="008638DB">
      <w:pPr>
        <w:rPr>
          <w:color w:val="7030A0"/>
        </w:rPr>
      </w:pPr>
      <w:r w:rsidRPr="009517BA">
        <w:rPr>
          <w:color w:val="7030A0"/>
        </w:rPr>
        <w:t>The reader should note that item 2:</w:t>
      </w:r>
      <w:r w:rsidRPr="009517BA">
        <w:rPr>
          <w:color w:val="7030A0"/>
        </w:rPr>
        <w:fldChar w:fldCharType="begin"/>
      </w:r>
      <w:r w:rsidRPr="009517BA">
        <w:rPr>
          <w:color w:val="7030A0"/>
        </w:rPr>
        <w:instrText xml:space="preserve"> REF _Ref478828340 \w \p \h </w:instrText>
      </w:r>
      <w:r w:rsidRPr="009517BA">
        <w:rPr>
          <w:color w:val="7030A0"/>
        </w:rPr>
      </w:r>
      <w:r w:rsidRPr="009517BA">
        <w:rPr>
          <w:color w:val="7030A0"/>
        </w:rPr>
        <w:fldChar w:fldCharType="separate"/>
      </w:r>
      <w:r w:rsidRPr="009517BA">
        <w:rPr>
          <w:color w:val="7030A0"/>
        </w:rPr>
        <w:t>c above</w:t>
      </w:r>
      <w:r w:rsidRPr="009517BA">
        <w:rPr>
          <w:color w:val="7030A0"/>
        </w:rPr>
        <w:fldChar w:fldCharType="end"/>
      </w:r>
      <w:r w:rsidRPr="009517BA">
        <w:rPr>
          <w:color w:val="7030A0"/>
        </w:rPr>
        <w:t>, flexibility, is the most radical change to existing paradigms for supporting real-time applications over best-effort networks.  All other alternatives to Deterministic Networking (see “</w:t>
      </w:r>
      <w:r w:rsidRPr="009517BA">
        <w:rPr>
          <w:color w:val="7030A0"/>
        </w:rPr>
        <w:fldChar w:fldCharType="begin"/>
      </w:r>
      <w:r w:rsidRPr="009517BA">
        <w:rPr>
          <w:color w:val="7030A0"/>
        </w:rPr>
        <w:instrText xml:space="preserve"> REF _Ref478828444 \h </w:instrText>
      </w:r>
      <w:r w:rsidRPr="009517BA">
        <w:rPr>
          <w:color w:val="7030A0"/>
        </w:rPr>
      </w:r>
      <w:r w:rsidRPr="009517BA">
        <w:rPr>
          <w:color w:val="7030A0"/>
        </w:rPr>
        <w:fldChar w:fldCharType="separate"/>
      </w:r>
      <w:r w:rsidRPr="009517BA">
        <w:rPr>
          <w:color w:val="7030A0"/>
        </w:rPr>
        <w:t>Alternatives to Deterministic Networking</w:t>
      </w:r>
      <w:r w:rsidRPr="009517BA">
        <w:rPr>
          <w:color w:val="7030A0"/>
        </w:rPr>
        <w:fldChar w:fldCharType="end"/>
      </w:r>
      <w:r w:rsidRPr="009517BA">
        <w:rPr>
          <w:color w:val="7030A0"/>
        </w:rPr>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61439D5D" w14:textId="77777777" w:rsidR="008638DB" w:rsidRPr="009517BA" w:rsidRDefault="008638DB" w:rsidP="008638DB">
      <w:pPr>
        <w:rPr>
          <w:color w:val="7030A0"/>
        </w:rPr>
      </w:pPr>
      <w:r w:rsidRPr="009517BA">
        <w:rPr>
          <w:color w:val="7030A0"/>
        </w:rPr>
        <w:t>In a sense, Deterministic Networking (</w:t>
      </w:r>
      <w:proofErr w:type="spellStart"/>
      <w:r w:rsidRPr="009517BA">
        <w:rPr>
          <w:color w:val="7030A0"/>
        </w:rPr>
        <w:t>DetNet</w:t>
      </w:r>
      <w:proofErr w:type="spellEnd"/>
      <w:r w:rsidRPr="009517BA">
        <w:rPr>
          <w:color w:val="7030A0"/>
        </w:rPr>
        <w:t xml:space="preserve">) is just one more </w:t>
      </w:r>
      <w:proofErr w:type="spellStart"/>
      <w:r w:rsidRPr="009517BA">
        <w:rPr>
          <w:color w:val="7030A0"/>
        </w:rPr>
        <w:t>QoS</w:t>
      </w:r>
      <w:proofErr w:type="spellEnd"/>
      <w:r w:rsidRPr="009517BA">
        <w:rPr>
          <w:color w:val="7030A0"/>
        </w:rPr>
        <w:t xml:space="preserve"> offered by a best-effort network.  The </w:t>
      </w:r>
      <w:proofErr w:type="spellStart"/>
      <w:r w:rsidRPr="009517BA">
        <w:rPr>
          <w:color w:val="7030A0"/>
        </w:rPr>
        <w:t>DetNet</w:t>
      </w:r>
      <w:proofErr w:type="spellEnd"/>
      <w:r w:rsidRPr="009517BA">
        <w:rPr>
          <w:color w:val="7030A0"/>
        </w:rPr>
        <w:t xml:space="preserve"> service provides an absolute upper bound on end-to-end latency, and at some cost in buffer space and timers, can provide a lower bound, as well.  It also provides, as a natural consequence, zero packet loss due to output port congestion.  The </w:t>
      </w:r>
      <w:proofErr w:type="spellStart"/>
      <w:r w:rsidRPr="009517BA">
        <w:rPr>
          <w:color w:val="7030A0"/>
        </w:rPr>
        <w:t>DetNet</w:t>
      </w:r>
      <w:proofErr w:type="spellEnd"/>
      <w:r w:rsidRPr="009517BA">
        <w:rPr>
          <w:color w:val="7030A0"/>
        </w:rPr>
        <w:t xml:space="preserve"> service is most useful where much of the traffic over the network </w:t>
      </w:r>
      <w:proofErr w:type="gramStart"/>
      <w:r w:rsidRPr="009517BA">
        <w:rPr>
          <w:color w:val="7030A0"/>
        </w:rPr>
        <w:t>as a whole is</w:t>
      </w:r>
      <w:proofErr w:type="gramEnd"/>
      <w:r w:rsidRPr="009517BA">
        <w:rPr>
          <w:color w:val="7030A0"/>
        </w:rPr>
        <w:t xml:space="preserve"> best-effort, but there is a significant component of </w:t>
      </w:r>
      <w:proofErr w:type="spellStart"/>
      <w:r w:rsidRPr="009517BA">
        <w:rPr>
          <w:color w:val="7030A0"/>
        </w:rPr>
        <w:t>DetNet</w:t>
      </w:r>
      <w:proofErr w:type="spellEnd"/>
      <w:r w:rsidRPr="009517BA">
        <w:rPr>
          <w:color w:val="7030A0"/>
        </w:rPr>
        <w:t xml:space="preserve"> traffic, perhaps even a majority of </w:t>
      </w:r>
      <w:proofErr w:type="spellStart"/>
      <w:r w:rsidRPr="009517BA">
        <w:rPr>
          <w:color w:val="7030A0"/>
        </w:rPr>
        <w:t>DetNet</w:t>
      </w:r>
      <w:proofErr w:type="spellEnd"/>
      <w:r w:rsidRPr="009517BA">
        <w:rPr>
          <w:color w:val="7030A0"/>
        </w:rPr>
        <w:t xml:space="preserve"> traffic in some parts of the network.</w:t>
      </w:r>
    </w:p>
    <w:p w14:paraId="73594A7A" w14:textId="77777777" w:rsidR="00851879" w:rsidRPr="00511943" w:rsidRDefault="00851879" w:rsidP="00851879"/>
    <w:p w14:paraId="5AD2617C" w14:textId="77777777" w:rsidR="00851879" w:rsidRPr="008638DB" w:rsidRDefault="00851879" w:rsidP="008638DB"/>
    <w:p w14:paraId="2E8F0477" w14:textId="77777777" w:rsidR="00690A22" w:rsidRDefault="00690A22" w:rsidP="009D6283">
      <w:pPr>
        <w:pStyle w:val="Heading1"/>
      </w:pPr>
      <w:r w:rsidRPr="00690A22">
        <w:t>Understand IEC 61850 activities and relationships</w:t>
      </w:r>
    </w:p>
    <w:p w14:paraId="6A5A823F" w14:textId="77777777" w:rsidR="00781816" w:rsidRDefault="00781816" w:rsidP="00781816">
      <w:pPr>
        <w:spacing w:after="0" w:line="240" w:lineRule="auto"/>
        <w:ind w:left="360"/>
        <w:rPr>
          <w:rFonts w:ascii="Calibri" w:eastAsia="Times New Roman" w:hAnsi="Calibri" w:cs="Times New Roman"/>
          <w:color w:val="000000"/>
          <w:sz w:val="21"/>
          <w:szCs w:val="21"/>
        </w:rPr>
      </w:pPr>
      <w:r w:rsidRPr="00EA0466">
        <w:rPr>
          <w:rFonts w:ascii="Calibri" w:eastAsia="Times New Roman" w:hAnsi="Calibri" w:cs="Times New Roman"/>
          <w:color w:val="000000"/>
          <w:sz w:val="21"/>
          <w:szCs w:val="21"/>
        </w:rPr>
        <w:t>IEC TC57 WG 10 has started to work on the Technical Report IEC 61850-90-</w:t>
      </w:r>
      <w:proofErr w:type="gramStart"/>
      <w:r w:rsidRPr="00EA0466">
        <w:rPr>
          <w:rFonts w:ascii="Calibri" w:eastAsia="Times New Roman" w:hAnsi="Calibri" w:cs="Times New Roman"/>
          <w:color w:val="000000"/>
          <w:sz w:val="21"/>
          <w:szCs w:val="21"/>
        </w:rPr>
        <w:t>13  -</w:t>
      </w:r>
      <w:proofErr w:type="gramEnd"/>
      <w:r w:rsidRPr="00EA0466">
        <w:rPr>
          <w:rFonts w:ascii="Calibri" w:eastAsia="Times New Roman" w:hAnsi="Calibri" w:cs="Times New Roman"/>
          <w:color w:val="000000"/>
          <w:sz w:val="21"/>
          <w:szCs w:val="21"/>
        </w:rPr>
        <w:t xml:space="preserve"> Deterministic Networking Technologies (in IEC 61850 networks).</w:t>
      </w:r>
      <w:r>
        <w:rPr>
          <w:rFonts w:ascii="Calibri" w:eastAsia="Times New Roman" w:hAnsi="Calibri" w:cs="Times New Roman"/>
          <w:color w:val="000000"/>
          <w:sz w:val="21"/>
          <w:szCs w:val="21"/>
        </w:rPr>
        <w:t xml:space="preserve"> </w:t>
      </w:r>
      <w:r w:rsidRPr="00EA0466">
        <w:rPr>
          <w:rFonts w:ascii="Calibri" w:eastAsia="Times New Roman" w:hAnsi="Calibri" w:cs="Times New Roman"/>
          <w:color w:val="000000"/>
          <w:sz w:val="21"/>
          <w:szCs w:val="21"/>
        </w:rPr>
        <w:t>The scope comprises use cases,</w:t>
      </w:r>
      <w:r>
        <w:rPr>
          <w:rFonts w:ascii="Calibri" w:eastAsia="Times New Roman" w:hAnsi="Calibri" w:cs="Times New Roman"/>
          <w:color w:val="000000"/>
          <w:sz w:val="21"/>
          <w:szCs w:val="21"/>
        </w:rPr>
        <w:t xml:space="preserve"> potential improvements, key challenges,</w:t>
      </w:r>
      <w:r w:rsidRPr="00EA0466">
        <w:rPr>
          <w:rFonts w:ascii="Calibri" w:eastAsia="Times New Roman" w:hAnsi="Calibri" w:cs="Times New Roman"/>
          <w:color w:val="000000"/>
          <w:sz w:val="21"/>
          <w:szCs w:val="21"/>
        </w:rPr>
        <w:t xml:space="preserve"> technology considerations (TSN, </w:t>
      </w:r>
      <w:r>
        <w:rPr>
          <w:rFonts w:ascii="Calibri" w:eastAsia="Times New Roman" w:hAnsi="Calibri" w:cs="Times New Roman"/>
          <w:color w:val="000000"/>
          <w:sz w:val="21"/>
          <w:szCs w:val="21"/>
        </w:rPr>
        <w:t xml:space="preserve">IETF </w:t>
      </w:r>
      <w:proofErr w:type="spellStart"/>
      <w:r w:rsidRPr="00EA0466">
        <w:rPr>
          <w:rFonts w:ascii="Calibri" w:eastAsia="Times New Roman" w:hAnsi="Calibri" w:cs="Times New Roman"/>
          <w:color w:val="000000"/>
          <w:sz w:val="21"/>
          <w:szCs w:val="21"/>
        </w:rPr>
        <w:t>DetNet</w:t>
      </w:r>
      <w:proofErr w:type="spellEnd"/>
      <w:r w:rsidRPr="00EA0466">
        <w:rPr>
          <w:rFonts w:ascii="Calibri" w:eastAsia="Times New Roman" w:hAnsi="Calibri" w:cs="Times New Roman"/>
          <w:color w:val="000000"/>
          <w:sz w:val="21"/>
          <w:szCs w:val="21"/>
        </w:rPr>
        <w:t xml:space="preserve">), profile definitions and compatibility </w:t>
      </w:r>
      <w:r>
        <w:rPr>
          <w:rFonts w:ascii="Calibri" w:eastAsia="Times New Roman" w:hAnsi="Calibri" w:cs="Times New Roman"/>
          <w:color w:val="000000"/>
          <w:sz w:val="21"/>
          <w:szCs w:val="21"/>
        </w:rPr>
        <w:t>aspects</w:t>
      </w:r>
      <w:r w:rsidRPr="00EA0466">
        <w:rPr>
          <w:rFonts w:ascii="Calibri" w:eastAsia="Times New Roman" w:hAnsi="Calibri" w:cs="Times New Roman"/>
          <w:color w:val="000000"/>
          <w:sz w:val="21"/>
          <w:szCs w:val="21"/>
        </w:rPr>
        <w:t>.</w:t>
      </w:r>
      <w:r>
        <w:rPr>
          <w:rFonts w:ascii="Calibri" w:eastAsia="Times New Roman" w:hAnsi="Calibri" w:cs="Times New Roman"/>
          <w:color w:val="000000"/>
          <w:sz w:val="21"/>
          <w:szCs w:val="21"/>
        </w:rPr>
        <w:t xml:space="preserve"> The set of </w:t>
      </w:r>
      <w:proofErr w:type="gramStart"/>
      <w:r>
        <w:rPr>
          <w:rFonts w:ascii="Calibri" w:eastAsia="Times New Roman" w:hAnsi="Calibri" w:cs="Times New Roman"/>
          <w:color w:val="000000"/>
          <w:sz w:val="21"/>
          <w:szCs w:val="21"/>
        </w:rPr>
        <w:t>IEEE</w:t>
      </w:r>
      <w:proofErr w:type="gramEnd"/>
      <w:r>
        <w:rPr>
          <w:rFonts w:ascii="Calibri" w:eastAsia="Times New Roman" w:hAnsi="Calibri" w:cs="Times New Roman"/>
          <w:color w:val="000000"/>
          <w:sz w:val="21"/>
          <w:szCs w:val="21"/>
        </w:rPr>
        <w:t xml:space="preserve"> 802.1 TSN standards (profile) is in discussion and not decided yet. The use cases and applications are structured and mapped to the following two core domains: substation automation (station and process bus) and WAN-based applications such as tele-protection and DER (Distributed Energy Resources). For substation automation network, TSN will be considered as one </w:t>
      </w:r>
      <w:r>
        <w:rPr>
          <w:rFonts w:ascii="Calibri" w:eastAsia="Times New Roman" w:hAnsi="Calibri" w:cs="Times New Roman"/>
          <w:color w:val="000000"/>
          <w:sz w:val="21"/>
          <w:szCs w:val="21"/>
        </w:rPr>
        <w:lastRenderedPageBreak/>
        <w:t>solution to meet functional and non-functional requirement. The following features of TSN are especially interesting for applications and networks based in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Bounded latency</w:t>
      </w:r>
    </w:p>
    <w:p w14:paraId="5CB546D2"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Low bounded jitter</w:t>
      </w:r>
    </w:p>
    <w:p w14:paraId="316ADB41"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Zero congestion loss</w:t>
      </w:r>
    </w:p>
    <w:p w14:paraId="6B6A14D8"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A converged network architecture</w:t>
      </w:r>
    </w:p>
    <w:p w14:paraId="5FAE8034"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44792DB9" w14:textId="77777777" w:rsidR="00781816" w:rsidRDefault="00781816" w:rsidP="00781816">
      <w:pPr>
        <w:spacing w:after="0" w:line="240" w:lineRule="auto"/>
        <w:ind w:left="360"/>
        <w:rPr>
          <w:sz w:val="21"/>
          <w:szCs w:val="21"/>
        </w:rPr>
      </w:pPr>
      <w:r>
        <w:rPr>
          <w:rFonts w:ascii="Calibri" w:eastAsia="Times New Roman" w:hAnsi="Calibri" w:cs="Times New Roman"/>
          <w:color w:val="000000"/>
          <w:sz w:val="21"/>
          <w:szCs w:val="21"/>
        </w:rPr>
        <w:t>According to the network architecture recommendation in IEC 61850, a substation network is partitioned into a station and process bus. The process bus connects the IED’s (</w:t>
      </w:r>
      <w:r w:rsidRPr="004109B6">
        <w:rPr>
          <w:sz w:val="21"/>
          <w:szCs w:val="21"/>
        </w:rPr>
        <w:t>Intelligent Electronic Devices</w:t>
      </w:r>
      <w:r>
        <w:rPr>
          <w:rFonts w:ascii="Calibri" w:eastAsia="Times New Roman" w:hAnsi="Calibri" w:cs="Times New Roman"/>
          <w:color w:val="000000"/>
          <w:sz w:val="21"/>
          <w:szCs w:val="21"/>
        </w:rPr>
        <w:t xml:space="preserve">) on the level of the primary equipment, typically to Merging Units (MU). The deterministic behavior of TSN can help to foster the adoption and deployment of the process bus. Furthermore, non-functional requirements such as manageability, usability, and flexibility are addressed in the Technical Report 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configuration, engineering, and monitoring. This approach is a requirement specified by utilities </w:t>
      </w:r>
      <w:proofErr w:type="gramStart"/>
      <w:r>
        <w:rPr>
          <w:rFonts w:ascii="Calibri" w:eastAsia="Times New Roman" w:hAnsi="Calibri" w:cs="Times New Roman"/>
          <w:color w:val="000000"/>
          <w:sz w:val="21"/>
          <w:szCs w:val="21"/>
        </w:rPr>
        <w:t>in order to</w:t>
      </w:r>
      <w:proofErr w:type="gramEnd"/>
      <w:r>
        <w:rPr>
          <w:rFonts w:ascii="Calibri" w:eastAsia="Times New Roman" w:hAnsi="Calibri" w:cs="Times New Roman"/>
          <w:color w:val="000000"/>
          <w:sz w:val="21"/>
          <w:szCs w:val="21"/>
        </w:rPr>
        <w:t xml:space="preserve"> make networking more efficient. Another important aspect is </w:t>
      </w:r>
      <w:r w:rsidRPr="00E755F1">
        <w:rPr>
          <w:sz w:val="21"/>
          <w:szCs w:val="21"/>
        </w:rPr>
        <w:t xml:space="preserve">guidance how to achieve co-existence and interoperability with existing technologies such as </w:t>
      </w:r>
      <w:r>
        <w:rPr>
          <w:sz w:val="21"/>
          <w:szCs w:val="21"/>
        </w:rPr>
        <w:t xml:space="preserve">PTP (IEC 61850-9-3 Profile), </w:t>
      </w:r>
      <w:r w:rsidRPr="00E755F1">
        <w:rPr>
          <w:sz w:val="21"/>
          <w:szCs w:val="21"/>
        </w:rPr>
        <w:t xml:space="preserve">PRP and HSR. This </w:t>
      </w:r>
      <w:r>
        <w:rPr>
          <w:sz w:val="21"/>
          <w:szCs w:val="21"/>
        </w:rPr>
        <w:t xml:space="preserve">encompasses potential impact on applications, the requirement to </w:t>
      </w:r>
      <w:r w:rsidRPr="00E755F1">
        <w:rPr>
          <w:sz w:val="21"/>
          <w:szCs w:val="21"/>
        </w:rPr>
        <w:t>define migration paths</w:t>
      </w:r>
      <w:r>
        <w:rPr>
          <w:sz w:val="21"/>
          <w:szCs w:val="21"/>
        </w:rPr>
        <w:t xml:space="preserve"> and to outline support for brownfield installations. The latter point addresses the fact that today’s Digital Protections Devices/IED’s do not implement a TSN-enabled network stack </w:t>
      </w:r>
      <w:proofErr w:type="gramStart"/>
      <w:r>
        <w:rPr>
          <w:sz w:val="21"/>
          <w:szCs w:val="21"/>
        </w:rPr>
        <w:t>in order to</w:t>
      </w:r>
      <w:proofErr w:type="gramEnd"/>
      <w:r>
        <w:rPr>
          <w:sz w:val="21"/>
          <w:szCs w:val="21"/>
        </w:rP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77DBDC15" w14:textId="77777777" w:rsidR="00781816" w:rsidRDefault="00781816" w:rsidP="00781816">
      <w:pPr>
        <w:spacing w:after="0" w:line="240" w:lineRule="auto"/>
        <w:ind w:left="360"/>
        <w:rPr>
          <w:sz w:val="21"/>
          <w:szCs w:val="21"/>
        </w:rPr>
      </w:pPr>
    </w:p>
    <w:p w14:paraId="48971594" w14:textId="77777777" w:rsidR="00781816" w:rsidRPr="00E755F1" w:rsidRDefault="00781816" w:rsidP="00781816">
      <w:pPr>
        <w:spacing w:after="0" w:line="240" w:lineRule="auto"/>
        <w:ind w:left="360"/>
        <w:rPr>
          <w:rFonts w:ascii="Calibri" w:eastAsia="Times New Roman" w:hAnsi="Calibri" w:cs="Times New Roman"/>
          <w:color w:val="000000"/>
          <w:sz w:val="21"/>
          <w:szCs w:val="21"/>
        </w:rPr>
      </w:pPr>
      <w:r>
        <w:rPr>
          <w:sz w:val="21"/>
          <w:szCs w:val="21"/>
        </w:rPr>
        <w:t>Based on the requirements, the task force responsible for IEC 61850-90-13 is asked to coordinate the work with other working groups in IEC TC 57 (</w:t>
      </w:r>
      <w:r w:rsidRPr="003F1D71">
        <w:rPr>
          <w:sz w:val="21"/>
          <w:szCs w:val="21"/>
        </w:rPr>
        <w:t>Power systems management and associated information exchange</w:t>
      </w:r>
      <w:r>
        <w:rPr>
          <w:sz w:val="21"/>
          <w:szCs w:val="21"/>
        </w:rPr>
        <w:t xml:space="preserve">) as well as with </w:t>
      </w:r>
      <w:r w:rsidRPr="003F1D71">
        <w:rPr>
          <w:sz w:val="21"/>
          <w:szCs w:val="21"/>
        </w:rPr>
        <w:t>IEC SC65C, WG 15</w:t>
      </w:r>
      <w:r>
        <w:rPr>
          <w:sz w:val="21"/>
          <w:szCs w:val="21"/>
        </w:rPr>
        <w:t xml:space="preserve"> (</w:t>
      </w:r>
      <w:r w:rsidRPr="003F1D71">
        <w:rPr>
          <w:sz w:val="21"/>
          <w:szCs w:val="21"/>
        </w:rPr>
        <w:t>High Availability Networks</w:t>
      </w:r>
      <w:r>
        <w:rPr>
          <w:sz w:val="21"/>
          <w:szCs w:val="21"/>
        </w:rPr>
        <w:t>).</w:t>
      </w:r>
    </w:p>
    <w:p w14:paraId="7CC2D8D1" w14:textId="77777777" w:rsidR="00EA0466" w:rsidRPr="00EA0466" w:rsidRDefault="00EA0466" w:rsidP="00EA0466">
      <w:pPr>
        <w:spacing w:after="0" w:line="240" w:lineRule="auto"/>
        <w:rPr>
          <w:rFonts w:ascii="Times" w:eastAsia="Times New Roman" w:hAnsi="Times" w:cs="Times New Roman"/>
          <w:sz w:val="20"/>
          <w:szCs w:val="20"/>
        </w:rPr>
      </w:pPr>
    </w:p>
    <w:p w14:paraId="2FEF9A9E" w14:textId="77777777" w:rsidR="00EA0466" w:rsidRPr="00EA0466" w:rsidRDefault="00EA0466" w:rsidP="00EA0466">
      <w:bookmarkStart w:id="6" w:name="_GoBack"/>
      <w:bookmarkEnd w:id="6"/>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t xml:space="preserve">Explain relationships to time synchronization in 802.1AS </w:t>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Time synchronization</w:t>
      </w:r>
    </w:p>
    <w:p w14:paraId="61E500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9462F33"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048D7C9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The TSN standards assume usage of a time synchronization protocol that provides the same time to nodes in the TSN network, within a known </w:t>
      </w:r>
      <w:r w:rsidRPr="008403A3">
        <w:rPr>
          <w:rFonts w:ascii="Arial" w:eastAsia="+mn-ea" w:hAnsi="Arial" w:cs="+mn-cs"/>
          <w:color w:val="000000"/>
          <w:kern w:val="24"/>
          <w:sz w:val="26"/>
          <w:szCs w:val="26"/>
        </w:rPr>
        <w:lastRenderedPageBreak/>
        <w:t>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1.1.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profiles</w:t>
      </w:r>
    </w:p>
    <w:p w14:paraId="2D69BA4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C1BC53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06A2BF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For packet-switched networks, one of the most commonly used standards for time synchronization is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which specifies the Precision Time Protocol (PTP). The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document. In order to accommodate the requirements of different applications,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6424AFA4"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E73006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CE3DA8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As part of the family of TSN standards, the IEEE 802.1 Working Group has specified a PTP profile: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802.1AS. The PTP profile of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802.1AS applies to a LAN in which all nodes support the 802.1AS PTP profile with hardware-level timestamping. Although 802.1AS provides a high degree of accuracy and precision, its PTP profile does not necessarily fit all applications.</w:t>
      </w:r>
    </w:p>
    <w:p w14:paraId="5C43E00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2F6956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8CF86D6"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The family of TSN standards supports use of any standard for time synchronization, including any PTP profile. For example, the TSN standard for scheduled traffic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802.1Qbv-2015) depends on synchronized time, but any PTP profile can be used (802.1AS is not required).</w:t>
      </w:r>
    </w:p>
    <w:p w14:paraId="0C748C7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E3DB16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FCCC0F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Utility standardization organizations have specified PTP profiles for their applications, including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C37.238, and IEC 62439-3 (PRP-HSR). These PTP profiles provide an excellent fit for utility applications, and either PTP profile can be used with the TSN family of standards.</w:t>
      </w:r>
    </w:p>
    <w:p w14:paraId="7D14D02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2832A83"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D02A74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1.2 Usage of synchronized time</w:t>
      </w:r>
    </w:p>
    <w:p w14:paraId="09D71CE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C7D0E9B"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04A622B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The following lists provide example use cases for synchronized time. Each use case is an example only, and is not required in order to use TSN standards.</w:t>
      </w:r>
    </w:p>
    <w:p w14:paraId="748F324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488BF8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D28BA6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Application (i.e. in end nodes of network)</w:t>
      </w:r>
    </w:p>
    <w:p w14:paraId="1E8477EF"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AF9D660"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3DA216D0"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a. Timestamp of input: This refers to measuring physical input data along with a synchronized timestamp of the measurement, and encoding both data and timestamp in a message sent over the network, for correlation and/or analysis in the receiver. Today's </w:t>
      </w:r>
      <w:proofErr w:type="spellStart"/>
      <w:r w:rsidRPr="008403A3">
        <w:rPr>
          <w:rFonts w:ascii="Arial" w:eastAsia="+mn-ea" w:hAnsi="Arial" w:cs="+mn-cs"/>
          <w:color w:val="000000"/>
          <w:kern w:val="24"/>
          <w:sz w:val="26"/>
          <w:szCs w:val="26"/>
        </w:rPr>
        <w:t>synchrophasor</w:t>
      </w:r>
      <w:proofErr w:type="spellEnd"/>
      <w:r w:rsidRPr="008403A3">
        <w:rPr>
          <w:rFonts w:ascii="Arial" w:eastAsia="+mn-ea" w:hAnsi="Arial" w:cs="+mn-cs"/>
          <w:color w:val="000000"/>
          <w:kern w:val="24"/>
          <w:sz w:val="26"/>
          <w:szCs w:val="26"/>
        </w:rPr>
        <w:t xml:space="preserve"> measurements are one example. TSN standards are not necessarily applicable to this example.</w:t>
      </w:r>
    </w:p>
    <w:p w14:paraId="0E51FFA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AC99E8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3D495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b. Timestamp to apply output data: 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2D6D1A8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4DA0563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1B1817EE"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c. Timestamp to detect stale data: 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065AD5CA"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5C84F11"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08E313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lastRenderedPageBreak/>
        <w:t>d. Scheduling of application code: 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7A02F65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EB1BFB2"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64140A2C"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Interior network (i.e. bridges and routers)</w:t>
      </w:r>
    </w:p>
    <w:p w14:paraId="6FD7132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2906787D"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8492B99"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e. Scheduled traffic: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802.1Qci-2017) provides features to police the scheduled traffic to help detect faulty or malicious equipment.</w:t>
      </w:r>
    </w:p>
    <w:p w14:paraId="2A1A84C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56643A87"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p>
    <w:p w14:paraId="745228ED" w14:textId="77777777" w:rsid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f. Cyclic queuing and forwarding: IEEE </w:t>
      </w:r>
      <w:proofErr w:type="spellStart"/>
      <w:r w:rsidRPr="008403A3">
        <w:rPr>
          <w:rFonts w:ascii="Arial" w:eastAsia="+mn-ea" w:hAnsi="Arial" w:cs="+mn-cs"/>
          <w:color w:val="000000"/>
          <w:kern w:val="24"/>
          <w:sz w:val="26"/>
          <w:szCs w:val="26"/>
        </w:rPr>
        <w:t>Std</w:t>
      </w:r>
      <w:proofErr w:type="spellEnd"/>
      <w:r w:rsidRPr="008403A3">
        <w:rPr>
          <w:rFonts w:ascii="Arial" w:eastAsia="+mn-ea" w:hAnsi="Arial" w:cs="+mn-cs"/>
          <w:color w:val="000000"/>
          <w:kern w:val="24"/>
          <w:sz w:val="26"/>
          <w:szCs w:val="26"/>
        </w:rPr>
        <w:t xml:space="preserve"> 802.1Qch-2017 specifies use of synchronized time in bridges and routers to provide a cycle-per-hop bound for latency. The bounded latency is higher than scheduled traffic, but the standard is simple to configure and use.</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851879">
      <w:pPr>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17F6B2B3" w14:textId="351FC898" w:rsidR="0014006A" w:rsidRPr="0014006A" w:rsidRDefault="0014006A" w:rsidP="0014006A">
      <w:pPr>
        <w:ind w:left="720"/>
      </w:pPr>
      <w:r w:rsidRPr="0014006A">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14006A">
      <w:pPr>
        <w:ind w:left="720"/>
        <w:rPr>
          <w:b/>
        </w:rPr>
      </w:pPr>
      <w:r w:rsidRPr="0014006A">
        <w:rPr>
          <w:b/>
        </w:rPr>
        <w:t>Wired vs. Wireless</w:t>
      </w:r>
    </w:p>
    <w:p w14:paraId="17532CD7" w14:textId="77777777" w:rsidR="0014006A" w:rsidRPr="0014006A" w:rsidRDefault="0014006A" w:rsidP="0014006A">
      <w:pPr>
        <w:ind w:left="720"/>
      </w:pPr>
      <w:r w:rsidRPr="0014006A">
        <w:lastRenderedPageBreak/>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14006A">
      <w:pPr>
        <w:ind w:left="720"/>
        <w:rPr>
          <w:b/>
        </w:rPr>
      </w:pPr>
      <w:r w:rsidRPr="0014006A">
        <w:rPr>
          <w:b/>
        </w:rPr>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14006A">
      <w:pPr>
        <w:ind w:left="720"/>
        <w:rPr>
          <w:b/>
        </w:rPr>
      </w:pPr>
      <w:r w:rsidRPr="0014006A">
        <w:rPr>
          <w:b/>
        </w:rPr>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14006A">
      <w:pPr>
        <w:ind w:left="720"/>
        <w:rPr>
          <w:b/>
        </w:rPr>
      </w:pPr>
      <w:r w:rsidRPr="0014006A">
        <w:rPr>
          <w:b/>
        </w:rPr>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14006A">
      <w:pPr>
        <w:ind w:left="720"/>
        <w:rPr>
          <w:b/>
        </w:rPr>
      </w:pPr>
      <w:r w:rsidRPr="0014006A">
        <w:rPr>
          <w:b/>
        </w:rPr>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7" w:name="_Ref487438726"/>
      <w:r>
        <w:t>IEEE 802.1 AVB, 802.1 TSN, and 802.3 standards</w:t>
      </w:r>
      <w:bookmarkEnd w:id="7"/>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0"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1" w:history="1">
        <w:r w:rsidRPr="00555778">
          <w:rPr>
            <w:rStyle w:val="Hyperlink"/>
          </w:rPr>
          <w:t>IEEE web site</w:t>
        </w:r>
      </w:hyperlink>
      <w:r>
        <w:t xml:space="preserve"> for the first six months after publication, and are available free from the </w:t>
      </w:r>
      <w:hyperlink r:id="rId12"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3"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AF532C" w:rsidP="009517BA">
      <w:pPr>
        <w:pStyle w:val="ListParagraph"/>
        <w:numPr>
          <w:ilvl w:val="0"/>
          <w:numId w:val="11"/>
        </w:numPr>
        <w:spacing w:after="0" w:line="240" w:lineRule="auto"/>
      </w:pPr>
      <w:hyperlink r:id="rId1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AF532C"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6"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AF532C" w:rsidP="009517BA">
      <w:pPr>
        <w:pStyle w:val="ListParagraph"/>
        <w:numPr>
          <w:ilvl w:val="0"/>
          <w:numId w:val="11"/>
        </w:numPr>
        <w:spacing w:after="0" w:line="240" w:lineRule="auto"/>
      </w:pPr>
      <w:hyperlink r:id="rId17"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AF532C"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AF532C" w:rsidP="009517BA">
      <w:pPr>
        <w:pStyle w:val="ListParagraph"/>
        <w:numPr>
          <w:ilvl w:val="0"/>
          <w:numId w:val="11"/>
        </w:numPr>
        <w:spacing w:after="0" w:line="240" w:lineRule="auto"/>
      </w:pPr>
      <w:hyperlink r:id="rId19"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 xml:space="preserve">This is the basic technique used by both TSN and </w:t>
      </w:r>
      <w:proofErr w:type="spellStart"/>
      <w:r w:rsidRPr="00960CC6">
        <w:t>DetNet</w:t>
      </w:r>
      <w:proofErr w:type="spellEnd"/>
      <w:r w:rsidRPr="00960CC6">
        <w:t xml:space="preserve"> to overcome random packet errors and one or more equipment failures.  (complete)</w:t>
      </w:r>
    </w:p>
    <w:p w14:paraId="2C7B937E" w14:textId="77777777" w:rsidR="009517BA" w:rsidRPr="00960CC6" w:rsidRDefault="00AF532C" w:rsidP="009517BA">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77777777" w:rsidR="009517BA" w:rsidRPr="00960CC6" w:rsidRDefault="009517BA" w:rsidP="009517BA">
      <w:pPr>
        <w:pStyle w:val="ListParagraph"/>
        <w:numPr>
          <w:ilvl w:val="0"/>
          <w:numId w:val="11"/>
        </w:numPr>
        <w:spacing w:after="0" w:line="240" w:lineRule="auto"/>
      </w:pPr>
      <w:r w:rsidRPr="00960CC6">
        <w:t xml:space="preserve">IEEE </w:t>
      </w:r>
      <w:proofErr w:type="spellStart"/>
      <w:r w:rsidRPr="00960CC6">
        <w:t>Std</w:t>
      </w:r>
      <w:proofErr w:type="spellEnd"/>
      <w:r w:rsidRPr="00960CC6">
        <w:t xml:space="preserve"> 802.3br Interspersing Express Traffic</w:t>
      </w:r>
    </w:p>
    <w:p w14:paraId="7F5FA532" w14:textId="77777777" w:rsidR="009517BA" w:rsidRPr="00960CC6" w:rsidRDefault="009517BA" w:rsidP="009517BA">
      <w:pPr>
        <w:pStyle w:val="ListParagraph"/>
      </w:pPr>
      <w:r w:rsidRPr="00960CC6">
        <w:t xml:space="preserve">Provide for interrupting </w:t>
      </w:r>
      <w:proofErr w:type="gramStart"/>
      <w:r w:rsidRPr="00960CC6">
        <w:t>a packet one or more times</w:t>
      </w:r>
      <w:proofErr w:type="gramEnd"/>
      <w:r w:rsidRPr="00960CC6">
        <w:t>, after it has started transmission, in order to transmit packets with more immediate requirements for low latency.  Only one packet can be interrupted.</w:t>
      </w:r>
    </w:p>
    <w:p w14:paraId="13517CC8" w14:textId="77777777" w:rsidR="009517BA" w:rsidRPr="00960CC6" w:rsidRDefault="00AF532C" w:rsidP="009517BA">
      <w:pPr>
        <w:pStyle w:val="ListParagraph"/>
        <w:numPr>
          <w:ilvl w:val="0"/>
          <w:numId w:val="11"/>
        </w:numPr>
        <w:spacing w:after="0" w:line="240" w:lineRule="auto"/>
      </w:pPr>
      <w:hyperlink r:id="rId21"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AF532C" w:rsidP="009517BA">
      <w:pPr>
        <w:pStyle w:val="ListParagraph"/>
        <w:numPr>
          <w:ilvl w:val="0"/>
          <w:numId w:val="11"/>
        </w:numPr>
        <w:spacing w:after="0" w:line="240" w:lineRule="auto"/>
      </w:pPr>
      <w:hyperlink r:id="rId2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AF532C"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AF532C" w:rsidP="009517BA">
      <w:pPr>
        <w:pStyle w:val="ListParagraph"/>
        <w:numPr>
          <w:ilvl w:val="0"/>
          <w:numId w:val="11"/>
        </w:numPr>
        <w:spacing w:after="0" w:line="240" w:lineRule="auto"/>
      </w:pPr>
      <w:hyperlink r:id="rId24"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77777777" w:rsidR="009517BA" w:rsidRPr="00960CC6" w:rsidRDefault="00AF532C" w:rsidP="009517BA">
      <w:pPr>
        <w:pStyle w:val="ListParagraph"/>
        <w:numPr>
          <w:ilvl w:val="0"/>
          <w:numId w:val="11"/>
        </w:numPr>
        <w:spacing w:after="0" w:line="240" w:lineRule="auto"/>
      </w:pPr>
      <w:hyperlink r:id="rId25"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AF532C" w:rsidP="009517BA">
      <w:pPr>
        <w:pStyle w:val="ListParagraph"/>
        <w:numPr>
          <w:ilvl w:val="0"/>
          <w:numId w:val="11"/>
        </w:numPr>
        <w:spacing w:after="0" w:line="240" w:lineRule="auto"/>
      </w:pPr>
      <w:hyperlink r:id="rId26"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AF532C" w:rsidP="009517BA">
      <w:pPr>
        <w:pStyle w:val="ListParagraph"/>
        <w:numPr>
          <w:ilvl w:val="0"/>
          <w:numId w:val="11"/>
        </w:numPr>
        <w:spacing w:after="0" w:line="240" w:lineRule="auto"/>
      </w:pPr>
      <w:hyperlink r:id="rId27"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 xml:space="preserve">IETF </w:t>
      </w:r>
      <w:proofErr w:type="spellStart"/>
      <w:r>
        <w:t>DetNet</w:t>
      </w:r>
      <w:proofErr w:type="spellEnd"/>
      <w:r>
        <w:t xml:space="preserve"> drafts</w:t>
      </w:r>
    </w:p>
    <w:p w14:paraId="05F20875" w14:textId="77777777" w:rsidR="009517BA" w:rsidRDefault="009517BA" w:rsidP="009517BA"/>
    <w:p w14:paraId="313B28C7" w14:textId="77777777" w:rsidR="009517BA" w:rsidRDefault="009517BA" w:rsidP="009517BA">
      <w:proofErr w:type="gramStart"/>
      <w:r>
        <w:t>As yet</w:t>
      </w:r>
      <w:proofErr w:type="gramEnd"/>
      <w:r>
        <w:t>, there are no RFCs or Standards from the IETF Deterministic Networking (</w:t>
      </w:r>
      <w:proofErr w:type="spellStart"/>
      <w:r>
        <w:t>DetNet</w:t>
      </w:r>
      <w:proofErr w:type="spellEnd"/>
      <w:r>
        <w:t xml:space="preserve">) working group.  Internet drafts are works in progress, and quickly become out-of-date.  See the </w:t>
      </w:r>
      <w:hyperlink r:id="rId28" w:history="1">
        <w:proofErr w:type="spellStart"/>
        <w:r w:rsidRPr="00960CC6">
          <w:rPr>
            <w:rStyle w:val="Hyperlink"/>
          </w:rPr>
          <w:t>DetNet</w:t>
        </w:r>
        <w:proofErr w:type="spellEnd"/>
        <w:r w:rsidRPr="00960CC6">
          <w:rPr>
            <w:rStyle w:val="Hyperlink"/>
          </w:rPr>
          <w:t xml:space="preserve"> documents list</w:t>
        </w:r>
      </w:hyperlink>
      <w:r>
        <w:t xml:space="preserve"> for the most up-to-date list of </w:t>
      </w:r>
      <w:proofErr w:type="spellStart"/>
      <w:r>
        <w:t>DetNet</w:t>
      </w:r>
      <w:proofErr w:type="spellEnd"/>
      <w:r>
        <w:t xml:space="preserve">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lastRenderedPageBreak/>
        <w:t>Drafts whose names start with “draft-</w:t>
      </w:r>
      <w:proofErr w:type="spellStart"/>
      <w:r>
        <w:t>ietf</w:t>
      </w:r>
      <w:proofErr w:type="spellEnd"/>
      <w:r>
        <w:t xml:space="preserve">-” have been accepted as working documents by the </w:t>
      </w:r>
      <w:proofErr w:type="spellStart"/>
      <w:r>
        <w:t>DetNet</w:t>
      </w:r>
      <w:proofErr w:type="spellEnd"/>
      <w:r>
        <w:t xml:space="preserve">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AF532C" w:rsidP="009517BA">
      <w:pPr>
        <w:pStyle w:val="ListParagraph"/>
        <w:numPr>
          <w:ilvl w:val="0"/>
          <w:numId w:val="12"/>
        </w:numPr>
        <w:spacing w:after="0" w:line="240" w:lineRule="auto"/>
      </w:pPr>
      <w:hyperlink r:id="rId29"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 xml:space="preserve">A description of the problem that </w:t>
      </w:r>
      <w:proofErr w:type="spellStart"/>
      <w:r>
        <w:t>DetNet</w:t>
      </w:r>
      <w:proofErr w:type="spellEnd"/>
      <w:r>
        <w:t xml:space="preserve"> is trying to solve</w:t>
      </w:r>
    </w:p>
    <w:p w14:paraId="026C85A6" w14:textId="77777777" w:rsidR="009517BA" w:rsidRDefault="00AF532C" w:rsidP="009517BA">
      <w:pPr>
        <w:pStyle w:val="ListParagraph"/>
        <w:numPr>
          <w:ilvl w:val="0"/>
          <w:numId w:val="12"/>
        </w:numPr>
        <w:spacing w:after="0" w:line="240" w:lineRule="auto"/>
      </w:pPr>
      <w:hyperlink r:id="rId3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 xml:space="preserve">A list of descriptions of applications whose requirements can be filled by </w:t>
      </w:r>
      <w:proofErr w:type="spellStart"/>
      <w:r>
        <w:t>DetNet</w:t>
      </w:r>
      <w:proofErr w:type="spellEnd"/>
      <w:r>
        <w:t>.</w:t>
      </w:r>
    </w:p>
    <w:p w14:paraId="4914A058" w14:textId="77777777" w:rsidR="009517BA" w:rsidRDefault="00AF532C"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 xml:space="preserve">The overall architecture of </w:t>
      </w:r>
      <w:proofErr w:type="spellStart"/>
      <w:r>
        <w:t>DetNet</w:t>
      </w:r>
      <w:proofErr w:type="spellEnd"/>
      <w:r>
        <w:t>.  The best statement of the goals of the Working Group.</w:t>
      </w:r>
    </w:p>
    <w:p w14:paraId="4B5D067A" w14:textId="77777777" w:rsidR="009517BA" w:rsidRDefault="00AF532C" w:rsidP="009517BA">
      <w:pPr>
        <w:pStyle w:val="ListParagraph"/>
        <w:numPr>
          <w:ilvl w:val="0"/>
          <w:numId w:val="12"/>
        </w:numPr>
        <w:spacing w:after="0" w:line="240" w:lineRule="auto"/>
      </w:pPr>
      <w:hyperlink r:id="rId32"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w:t>
      </w:r>
      <w:proofErr w:type="spellStart"/>
      <w:r w:rsidR="009517BA">
        <w:t>DetNet</w:t>
      </w:r>
      <w:proofErr w:type="spellEnd"/>
      <w:r w:rsidR="009517BA">
        <w:t xml:space="preserve"> Data Plane Protocol and Solution Alternatives</w:t>
      </w:r>
    </w:p>
    <w:p w14:paraId="4ACE485E" w14:textId="77777777" w:rsidR="009517BA" w:rsidRDefault="009517BA" w:rsidP="009517BA">
      <w:pPr>
        <w:pStyle w:val="ListParagraph"/>
      </w:pPr>
      <w:r>
        <w:t xml:space="preserve">Discusses possibilities for the </w:t>
      </w:r>
      <w:proofErr w:type="spellStart"/>
      <w:r>
        <w:t>DetNet</w:t>
      </w:r>
      <w:proofErr w:type="spellEnd"/>
      <w:r>
        <w:t xml:space="preserve"> data plane, so that paths can be nailed down and sequence numbers attached to packets.</w:t>
      </w:r>
    </w:p>
    <w:p w14:paraId="66BB1404" w14:textId="77777777" w:rsidR="009517BA" w:rsidRDefault="00AF532C" w:rsidP="009517BA">
      <w:pPr>
        <w:pStyle w:val="ListParagraph"/>
        <w:numPr>
          <w:ilvl w:val="0"/>
          <w:numId w:val="12"/>
        </w:numPr>
        <w:spacing w:after="0" w:line="240" w:lineRule="auto"/>
      </w:pPr>
      <w:hyperlink r:id="rId33"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w:t>
      </w:r>
      <w:proofErr w:type="spellStart"/>
      <w:r w:rsidR="009517BA">
        <w:t>DetNet</w:t>
      </w:r>
      <w:proofErr w:type="spellEnd"/>
      <w:r w:rsidR="009517BA">
        <w:t xml:space="preserve">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AF532C"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w:t>
      </w:r>
      <w:proofErr w:type="spellStart"/>
      <w:r w:rsidR="009517BA">
        <w:t>DetNet</w:t>
      </w:r>
      <w:proofErr w:type="spellEnd"/>
      <w:r w:rsidR="009517BA">
        <w: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8" w:name="_Ref478841859"/>
      <w:r>
        <w:t>Other relevant standards</w:t>
      </w:r>
      <w:bookmarkEnd w:id="8"/>
    </w:p>
    <w:p w14:paraId="4EC0E782" w14:textId="77777777" w:rsidR="009517BA" w:rsidRDefault="009517BA" w:rsidP="009517BA"/>
    <w:p w14:paraId="597E3F2A" w14:textId="77777777" w:rsidR="009517BA" w:rsidRDefault="00AF532C" w:rsidP="009517BA">
      <w:pPr>
        <w:pStyle w:val="ListParagraph"/>
        <w:numPr>
          <w:ilvl w:val="0"/>
          <w:numId w:val="13"/>
        </w:numPr>
        <w:spacing w:after="0" w:line="240" w:lineRule="auto"/>
      </w:pPr>
      <w:hyperlink r:id="rId35"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AF532C" w:rsidP="009517BA">
      <w:pPr>
        <w:pStyle w:val="ListParagraph"/>
        <w:numPr>
          <w:ilvl w:val="0"/>
          <w:numId w:val="13"/>
        </w:numPr>
        <w:spacing w:after="0" w:line="240" w:lineRule="auto"/>
      </w:pPr>
      <w:hyperlink r:id="rId36"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34D2616C" w14:textId="77777777" w:rsidR="009517BA" w:rsidRDefault="009517BA"/>
    <w:sectPr w:rsidR="009517BA">
      <w:head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odfrey, Tim" w:date="2017-10-31T17:04:00Z" w:initials="GT">
    <w:p w14:paraId="2AA41DCF" w14:textId="0034019A" w:rsidR="00851879" w:rsidRDefault="00851879">
      <w:pPr>
        <w:pStyle w:val="CommentText"/>
      </w:pPr>
      <w:r>
        <w:rPr>
          <w:rStyle w:val="CommentReference"/>
        </w:rPr>
        <w:annotationRef/>
      </w:r>
      <w:r w:rsidR="00E330F8">
        <w:rPr>
          <w:rStyle w:val="CommentReference"/>
        </w:rPr>
        <w:t xml:space="preserve">Notes </w:t>
      </w:r>
      <w:r>
        <w:t>for this section</w:t>
      </w:r>
      <w:r w:rsidR="00E330F8">
        <w:t xml:space="preserve"> (removed from outline and changed to comment)</w:t>
      </w:r>
      <w:r>
        <w:t>:</w:t>
      </w:r>
    </w:p>
    <w:p w14:paraId="75185C59"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429BAD7B"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695B17EE"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66B1F3E7"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t>
      </w:r>
      <w:proofErr w:type="gramStart"/>
      <w:r w:rsidRPr="00690A22">
        <w:rPr>
          <w:rFonts w:ascii="Arial" w:eastAsia="+mn-ea" w:hAnsi="Arial" w:cs="+mn-cs"/>
          <w:color w:val="000000"/>
          <w:kern w:val="24"/>
          <w:sz w:val="26"/>
          <w:szCs w:val="26"/>
        </w:rPr>
        <w:t>worst case</w:t>
      </w:r>
      <w:proofErr w:type="gramEnd"/>
      <w:r w:rsidRPr="00690A22">
        <w:rPr>
          <w:rFonts w:ascii="Arial" w:eastAsia="+mn-ea" w:hAnsi="Arial" w:cs="+mn-cs"/>
          <w:color w:val="000000"/>
          <w:kern w:val="24"/>
          <w:sz w:val="26"/>
          <w:szCs w:val="26"/>
        </w:rPr>
        <w:t xml:space="preserve"> latency. That enables the application. </w:t>
      </w:r>
    </w:p>
    <w:p w14:paraId="53E6DB14"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5A6F7943" w14:textId="77777777"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Secondarily, ability to guard against equipment failure. </w:t>
      </w:r>
    </w:p>
    <w:p w14:paraId="018BE7DE" w14:textId="3FB7CCFF"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Informational material: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proofErr w:type="gramStart"/>
      <w:r w:rsidRPr="00690A22">
        <w:rPr>
          <w:rFonts w:ascii="Arial" w:eastAsia="+mn-ea" w:hAnsi="Arial" w:cs="+mn-cs"/>
          <w:color w:val="000000"/>
          <w:kern w:val="24"/>
          <w:sz w:val="26"/>
          <w:szCs w:val="26"/>
        </w:rPr>
        <w:t>AEcg</w:t>
      </w:r>
      <w:proofErr w:type="spellEnd"/>
      <w:r w:rsidR="00E330F8">
        <w:rPr>
          <w:rFonts w:ascii="Arial" w:eastAsia="+mn-ea" w:hAnsi="Arial" w:cs="+mn-cs"/>
          <w:color w:val="000000"/>
          <w:kern w:val="24"/>
          <w:sz w:val="26"/>
          <w:szCs w:val="26"/>
        </w:rPr>
        <w:t xml:space="preserve">  &lt;</w:t>
      </w:r>
      <w:proofErr w:type="gramEnd"/>
      <w:r w:rsidR="00E330F8">
        <w:rPr>
          <w:rFonts w:ascii="Arial" w:eastAsia="+mn-ea" w:hAnsi="Arial" w:cs="+mn-cs"/>
          <w:color w:val="000000"/>
          <w:kern w:val="24"/>
          <w:sz w:val="26"/>
          <w:szCs w:val="26"/>
        </w:rPr>
        <w:t>appendix A&gt;</w:t>
      </w:r>
    </w:p>
    <w:p w14:paraId="6F4AF208" w14:textId="23DAF47E" w:rsidR="00851879" w:rsidRPr="00690A22" w:rsidRDefault="00851879" w:rsidP="00851879">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r w:rsidR="00E330F8">
        <w:rPr>
          <w:rFonts w:ascii="Arial" w:eastAsia="+mn-ea" w:hAnsi="Arial" w:cs="+mn-cs"/>
          <w:color w:val="000000"/>
          <w:kern w:val="24"/>
          <w:sz w:val="26"/>
          <w:szCs w:val="26"/>
        </w:rPr>
        <w:t xml:space="preserve"> &lt;TBD&gt;</w:t>
      </w:r>
    </w:p>
    <w:p w14:paraId="73725A7D" w14:textId="31B5E878" w:rsidR="00851879" w:rsidRDefault="008518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25A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A101" w14:textId="77777777" w:rsidR="00AF532C" w:rsidRDefault="00AF532C" w:rsidP="00A619FD">
      <w:pPr>
        <w:spacing w:after="0" w:line="240" w:lineRule="auto"/>
      </w:pPr>
      <w:r>
        <w:separator/>
      </w:r>
    </w:p>
  </w:endnote>
  <w:endnote w:type="continuationSeparator" w:id="0">
    <w:p w14:paraId="16FA8C59" w14:textId="77777777" w:rsidR="00AF532C" w:rsidRDefault="00AF532C"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E531" w14:textId="77777777" w:rsidR="00AF532C" w:rsidRDefault="00AF532C" w:rsidP="00A619FD">
      <w:pPr>
        <w:spacing w:after="0" w:line="240" w:lineRule="auto"/>
      </w:pPr>
      <w:r>
        <w:separator/>
      </w:r>
    </w:p>
  </w:footnote>
  <w:footnote w:type="continuationSeparator" w:id="0">
    <w:p w14:paraId="7CAA573F" w14:textId="77777777" w:rsidR="00AF532C" w:rsidRDefault="00AF532C" w:rsidP="00A619FD">
      <w:pPr>
        <w:spacing w:after="0" w:line="240" w:lineRule="auto"/>
      </w:pPr>
      <w:r>
        <w:continuationSeparator/>
      </w:r>
    </w:p>
  </w:footnote>
  <w:footnote w:id="1">
    <w:p w14:paraId="0C202C23" w14:textId="77777777" w:rsidR="00851879" w:rsidRDefault="00851879"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8638DB" w:rsidRDefault="008638DB" w:rsidP="008638DB">
      <w:pPr>
        <w:pStyle w:val="FootnoteText"/>
      </w:pPr>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09BAC620" w:rsidR="005A5F01" w:rsidRDefault="0085187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November</w:t>
    </w:r>
    <w:r w:rsidR="005A5F01">
      <w:rPr>
        <w:b/>
        <w:sz w:val="28"/>
      </w:rPr>
      <w:t xml:space="preserve"> 201</w:t>
    </w:r>
    <w:r w:rsidR="00C07D5A">
      <w:rPr>
        <w:b/>
        <w:sz w:val="28"/>
      </w:rPr>
      <w:t>7</w:t>
    </w:r>
    <w:r w:rsidR="005A5F01">
      <w:rPr>
        <w:b/>
        <w:sz w:val="28"/>
      </w:rPr>
      <w:tab/>
    </w:r>
    <w:r w:rsidR="005A5F01">
      <w:rPr>
        <w:b/>
        <w:sz w:val="28"/>
      </w:rPr>
      <w:tab/>
      <w:t xml:space="preserve"> IEEE P802.</w:t>
    </w:r>
    <w:fldSimple w:instr=" DOCPROPERTY &quot;Category&quot;  \* MERGEFORMAT ">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w:t>
      </w:r>
      <w:r w:rsidR="008E5022">
        <w:rPr>
          <w:b/>
          <w:sz w:val="28"/>
        </w:rPr>
        <w:t>10</w:t>
      </w:r>
      <w:r w:rsidR="00C9404D" w:rsidRPr="009D6283">
        <w:rPr>
          <w:b/>
          <w:sz w:val="28"/>
        </w:rPr>
        <w:t>-SGTG</w:t>
      </w:r>
    </w:fldSimple>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2"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1"/>
  </w:num>
  <w:num w:numId="5">
    <w:abstractNumId w:val="8"/>
  </w:num>
  <w:num w:numId="6">
    <w:abstractNumId w:val="1"/>
  </w:num>
  <w:num w:numId="7">
    <w:abstractNumId w:val="9"/>
  </w:num>
  <w:num w:numId="8">
    <w:abstractNumId w:val="4"/>
  </w:num>
  <w:num w:numId="9">
    <w:abstractNumId w:val="12"/>
  </w:num>
  <w:num w:numId="10">
    <w:abstractNumId w:val="7"/>
  </w:num>
  <w:num w:numId="11">
    <w:abstractNumId w:val="2"/>
  </w:num>
  <w:num w:numId="12">
    <w:abstractNumId w:val="5"/>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1701"/>
    <w:rsid w:val="00013C00"/>
    <w:rsid w:val="00014FFD"/>
    <w:rsid w:val="00025485"/>
    <w:rsid w:val="00054946"/>
    <w:rsid w:val="000850CE"/>
    <w:rsid w:val="00091BE0"/>
    <w:rsid w:val="000A48AF"/>
    <w:rsid w:val="000A7DC2"/>
    <w:rsid w:val="000B5063"/>
    <w:rsid w:val="000D34A1"/>
    <w:rsid w:val="000E7A15"/>
    <w:rsid w:val="00121408"/>
    <w:rsid w:val="0014006A"/>
    <w:rsid w:val="00140388"/>
    <w:rsid w:val="001508C0"/>
    <w:rsid w:val="00167FCA"/>
    <w:rsid w:val="00170727"/>
    <w:rsid w:val="00176293"/>
    <w:rsid w:val="001767F6"/>
    <w:rsid w:val="00193045"/>
    <w:rsid w:val="001A44A7"/>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2E0AD4"/>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5F6D3E"/>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1816"/>
    <w:rsid w:val="00784CC8"/>
    <w:rsid w:val="00794C7C"/>
    <w:rsid w:val="007D207E"/>
    <w:rsid w:val="007D6E1C"/>
    <w:rsid w:val="007E3108"/>
    <w:rsid w:val="007F7EC1"/>
    <w:rsid w:val="00830335"/>
    <w:rsid w:val="00831308"/>
    <w:rsid w:val="0083343D"/>
    <w:rsid w:val="008403A3"/>
    <w:rsid w:val="00851879"/>
    <w:rsid w:val="0085208E"/>
    <w:rsid w:val="008578B8"/>
    <w:rsid w:val="008638DB"/>
    <w:rsid w:val="00873197"/>
    <w:rsid w:val="00894E6F"/>
    <w:rsid w:val="008B784B"/>
    <w:rsid w:val="008C416D"/>
    <w:rsid w:val="008D7130"/>
    <w:rsid w:val="008E007D"/>
    <w:rsid w:val="008E1945"/>
    <w:rsid w:val="008E5022"/>
    <w:rsid w:val="00904FC8"/>
    <w:rsid w:val="00916F29"/>
    <w:rsid w:val="009358CA"/>
    <w:rsid w:val="00940479"/>
    <w:rsid w:val="009440D1"/>
    <w:rsid w:val="0094511A"/>
    <w:rsid w:val="009517BA"/>
    <w:rsid w:val="00962D5D"/>
    <w:rsid w:val="009654B7"/>
    <w:rsid w:val="00976C6A"/>
    <w:rsid w:val="009909EC"/>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599A"/>
    <w:rsid w:val="00A96D16"/>
    <w:rsid w:val="00AD0A83"/>
    <w:rsid w:val="00AD287F"/>
    <w:rsid w:val="00AF532C"/>
    <w:rsid w:val="00B01853"/>
    <w:rsid w:val="00B02DE2"/>
    <w:rsid w:val="00B04DFA"/>
    <w:rsid w:val="00B15801"/>
    <w:rsid w:val="00B271FE"/>
    <w:rsid w:val="00B51FA5"/>
    <w:rsid w:val="00B74564"/>
    <w:rsid w:val="00B74BCA"/>
    <w:rsid w:val="00B75BFB"/>
    <w:rsid w:val="00B77815"/>
    <w:rsid w:val="00B8618A"/>
    <w:rsid w:val="00BA5491"/>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330F8"/>
    <w:rsid w:val="00E47879"/>
    <w:rsid w:val="00E83F45"/>
    <w:rsid w:val="00EA0466"/>
    <w:rsid w:val="00EA4E6A"/>
    <w:rsid w:val="00EB4589"/>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C4ECBDFD-9FEF-462D-A0B2-475FE32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eee802.org/1/files/private/" TargetMode="External"/><Relationship Id="rId18" Type="http://schemas.openxmlformats.org/officeDocument/2006/relationships/hyperlink" Target="http://www.ieee802.org/1/pages/802.1AS-rev.html" TargetMode="External"/><Relationship Id="rId26" Type="http://schemas.openxmlformats.org/officeDocument/2006/relationships/hyperlink" Target="http://www.ieee802.org/1/pages/802.1cm.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eee802.org/1/pages/802.1cc.html" TargetMode="External"/><Relationship Id="rId34" Type="http://schemas.openxmlformats.org/officeDocument/2006/relationships/hyperlink" Target="https://datatracker.ietf.org/doc/html/draft-sdt-detnet-security" TargetMode="External"/><Relationship Id="rId7" Type="http://schemas.openxmlformats.org/officeDocument/2006/relationships/endnotes" Target="endnotes.xml"/><Relationship Id="rId12" Type="http://schemas.openxmlformats.org/officeDocument/2006/relationships/hyperlink" Target="http://standards.ieee.org/about/get/" TargetMode="External"/><Relationship Id="rId17" Type="http://schemas.openxmlformats.org/officeDocument/2006/relationships/hyperlink" Target="http://standards.ieee.org/about/get/802/802.1.html" TargetMode="External"/><Relationship Id="rId25" Type="http://schemas.openxmlformats.org/officeDocument/2006/relationships/hyperlink" Target="http://www.ieee802.org/1/pages/802.1ci.html" TargetMode="External"/><Relationship Id="rId33" Type="http://schemas.openxmlformats.org/officeDocument/2006/relationships/hyperlink" Target="https://datatracker.ietf.org/doc/html/draft-dt-detnet-dp-s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about/get/802/802.1.html" TargetMode="External"/><Relationship Id="rId20" Type="http://schemas.openxmlformats.org/officeDocument/2006/relationships/hyperlink" Target="http://standards.ieee.org/about/get/802/802.1.html" TargetMode="External"/><Relationship Id="rId29" Type="http://schemas.openxmlformats.org/officeDocument/2006/relationships/hyperlink" Target="https://datatracker.ietf.org/doc/html/draft-ietf-detnet-problem-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findstds/" TargetMode="External"/><Relationship Id="rId24" Type="http://schemas.openxmlformats.org/officeDocument/2006/relationships/hyperlink" Target="http://www.ieee802.org/1/pages/802.1ch.html" TargetMode="External"/><Relationship Id="rId32" Type="http://schemas.openxmlformats.org/officeDocument/2006/relationships/hyperlink" Target="https://datatracker.ietf.org/doc/html/draft-ietf-detnet-dp-al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www.ieee802.org/1/pages/802.1ca.html" TargetMode="External"/><Relationship Id="rId28" Type="http://schemas.openxmlformats.org/officeDocument/2006/relationships/hyperlink" Target="https://datatracker.ietf.org/wg/detnet/documents/" TargetMode="External"/><Relationship Id="rId36" Type="http://schemas.openxmlformats.org/officeDocument/2006/relationships/hyperlink" Target="https://webstore.ansi.org/" TargetMode="External"/><Relationship Id="rId10" Type="http://schemas.openxmlformats.org/officeDocument/2006/relationships/hyperlink" Target="http://www.ieee802.org/1" TargetMode="External"/><Relationship Id="rId19" Type="http://schemas.openxmlformats.org/officeDocument/2006/relationships/hyperlink" Target="http://www.ieee802.org/1/pages/802.1cb.html" TargetMode="External"/><Relationship Id="rId31" Type="http://schemas.openxmlformats.org/officeDocument/2006/relationships/hyperlink" Target="https://datatracker.ietf.org/doc/html/draft-ietf-detnet-architectur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andards.ieee.org/about/get/802/802.1.html" TargetMode="External"/><Relationship Id="rId22" Type="http://schemas.openxmlformats.org/officeDocument/2006/relationships/hyperlink" Target="http://standards.ieee.org/about/get/802/802.1.html" TargetMode="External"/><Relationship Id="rId27" Type="http://schemas.openxmlformats.org/officeDocument/2006/relationships/hyperlink" Target="http://www.ieee802.org/1/pages/802.1cr.html" TargetMode="External"/><Relationship Id="rId30" Type="http://schemas.openxmlformats.org/officeDocument/2006/relationships/hyperlink" Target="https://datatracker.ietf.org/doc/html/draft-ietf-detnet-use-cases" TargetMode="External"/><Relationship Id="rId35" Type="http://schemas.openxmlformats.org/officeDocument/2006/relationships/hyperlink" Target="https://standards.ieee.org/findstds/standard/1588-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FDE4-458B-46F3-95A9-43A439EE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5145</Words>
  <Characters>29333</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3</cp:revision>
  <dcterms:created xsi:type="dcterms:W3CDTF">2017-11-07T22:26:00Z</dcterms:created>
  <dcterms:modified xsi:type="dcterms:W3CDTF">2017-11-07T22:28:00Z</dcterms:modified>
  <cp:category>24-15-0029-04-SGTG</cp:category>
</cp:coreProperties>
</file>