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8 September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8 September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for the weekly teleconference call on 8 September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for the weekly teleconference call on 8 September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These are minutes of the IEEE 802 RR-TAG teleconference on Thursday, 1 September 2022, 15:00 ET.</w:t>
        <w:br/>
      </w:r>
    </w:p>
    <w:p>
      <w:pPr>
        <w:pStyle w:val="Normal"/>
        <w:numPr>
          <w:ilvl w:val="0"/>
          <w:numId w:val="1"/>
        </w:numPr>
        <w:spacing w:before="0" w:after="0"/>
        <w:contextualSpacing/>
        <w:rPr/>
      </w:pPr>
      <w:r>
        <w:rPr>
          <w:sz w:val="24"/>
          <w:szCs w:val="24"/>
        </w:rPr>
        <w:t>Chair calls the meeting to order at 15:00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18/22-0109r1</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bCs/>
          <w:sz w:val="24"/>
          <w:szCs w:val="24"/>
        </w:rPr>
      </w:pPr>
      <w:r>
        <w:rPr>
          <w:bCs/>
          <w:sz w:val="24"/>
          <w:szCs w:val="24"/>
        </w:rPr>
        <w:t>Group officers and voting membership</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47 (8 on LMSC) </w:t>
      </w:r>
    </w:p>
    <w:p>
      <w:pPr>
        <w:pStyle w:val="Normal"/>
        <w:numPr>
          <w:ilvl w:val="2"/>
          <w:numId w:val="1"/>
        </w:numPr>
        <w:spacing w:before="0" w:after="0"/>
        <w:contextualSpacing/>
        <w:rPr>
          <w:sz w:val="24"/>
          <w:szCs w:val="24"/>
        </w:rPr>
      </w:pPr>
      <w:r>
        <w:rPr>
          <w:sz w:val="24"/>
          <w:szCs w:val="24"/>
        </w:rPr>
        <w:t xml:space="preserve">  </w:t>
      </w:r>
      <w:r>
        <w:rPr>
          <w:sz w:val="24"/>
          <w:szCs w:val="24"/>
        </w:rPr>
        <w:t>Nearly Voters: 0</w:t>
      </w:r>
    </w:p>
    <w:p>
      <w:pPr>
        <w:pStyle w:val="Normal"/>
        <w:numPr>
          <w:ilvl w:val="2"/>
          <w:numId w:val="1"/>
        </w:numPr>
        <w:spacing w:before="0" w:after="0"/>
        <w:contextualSpacing/>
        <w:rPr>
          <w:sz w:val="24"/>
          <w:szCs w:val="24"/>
        </w:rPr>
      </w:pPr>
      <w:r>
        <w:rPr>
          <w:sz w:val="24"/>
          <w:szCs w:val="24"/>
        </w:rPr>
        <w:t xml:space="preserve">  </w:t>
      </w:r>
      <w:r>
        <w:rPr>
          <w:sz w:val="24"/>
          <w:szCs w:val="24"/>
        </w:rPr>
        <w:t>Aspirant members:  9</w:t>
      </w:r>
    </w:p>
    <w:p>
      <w:pPr>
        <w:pStyle w:val="Normal"/>
        <w:numPr>
          <w:ilvl w:val="2"/>
          <w:numId w:val="1"/>
        </w:numPr>
        <w:spacing w:before="0" w:after="0"/>
        <w:contextualSpacing/>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sz w:val="24"/>
          <w:szCs w:val="24"/>
        </w:rPr>
      </w:pPr>
      <w:r>
        <w:rPr>
          <w:sz w:val="24"/>
          <w:szCs w:val="24"/>
        </w:rPr>
        <w:t>Chair presents the agenda (slide #9). No comments or questions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Stuart Kerry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Hassan Yaghoobi</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 xml:space="preserve">Chair presented draft meeting minutes from 1 September 2022 RR-TAG weekly teleconference. </w:t>
        <w:br/>
        <w:br/>
      </w:r>
      <w:r>
        <w:rPr>
          <w:sz w:val="24"/>
          <w:szCs w:val="24"/>
          <w:shd w:fill="FFFF00" w:val="clear"/>
        </w:rPr>
        <w:t>Action point:</w:t>
      </w:r>
      <w:r>
        <w:rPr>
          <w:sz w:val="24"/>
          <w:szCs w:val="24"/>
        </w:rPr>
        <w:t xml:space="preserve"> Outcome of the EC presentation on 6 September 2022 was, no clear conclusion. Remains to clarify why the statement position was there to begin with.</w:t>
        <w:br/>
        <w:br/>
        <w:t>No further comments.</w:t>
        <w:br/>
      </w:r>
      <w:r>
        <w:rPr>
          <w:b/>
          <w:bCs/>
          <w:sz w:val="24"/>
          <w:szCs w:val="24"/>
        </w:rPr>
        <w:br/>
        <w:t>Motion #2 (internal):</w:t>
      </w:r>
      <w:r>
        <w:rPr>
          <w:sz w:val="24"/>
          <w:szCs w:val="24"/>
        </w:rPr>
        <w:t xml:space="preserve"> To approve the weekly meeting minutes of the 1 September 2022 RR-TAG call as shown in the document </w:t>
      </w:r>
      <w:hyperlink r:id="rId8">
        <w:r>
          <w:rPr>
            <w:rStyle w:val="Internetlnk"/>
            <w:sz w:val="24"/>
            <w:szCs w:val="24"/>
          </w:rPr>
          <w:t>18-22/0108r0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Al Petrick</w:t>
      </w:r>
    </w:p>
    <w:p>
      <w:pPr>
        <w:pStyle w:val="Normal"/>
        <w:spacing w:before="0" w:after="0"/>
        <w:ind w:left="1440" w:hanging="0"/>
        <w:contextualSpacing/>
        <w:rPr/>
      </w:pPr>
      <w:r>
        <w:rPr>
          <w:sz w:val="24"/>
          <w:szCs w:val="24"/>
        </w:rPr>
        <w:t xml:space="preserve">Seconded by: </w:t>
        <w:tab/>
        <w:t>Andy Scott</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Status of ongoing consultations (</w:t>
      </w:r>
      <w:hyperlink r:id="rId9">
        <w:r>
          <w:rPr>
            <w:rStyle w:val="Internetlnk"/>
            <w:b/>
            <w:bCs/>
            <w:sz w:val="24"/>
            <w:szCs w:val="24"/>
          </w:rPr>
          <w:t>18-22/0035r33</w:t>
        </w:r>
      </w:hyperlink>
      <w:r>
        <w:rPr>
          <w:b/>
          <w:bCs/>
          <w:sz w:val="24"/>
          <w:szCs w:val="24"/>
        </w:rPr>
        <w:t>)</w:t>
      </w:r>
      <w:r>
        <w:rPr>
          <w:sz w:val="24"/>
          <w:szCs w:val="24"/>
        </w:rPr>
        <w:t xml:space="preserve"> contains the status of ongoing consultations along with internal deadlines for EC approval and external approval.</w:t>
      </w:r>
    </w:p>
    <w:p>
      <w:pPr>
        <w:pStyle w:val="ListParagraph"/>
        <w:numPr>
          <w:ilvl w:val="0"/>
          <w:numId w:val="1"/>
        </w:numPr>
        <w:spacing w:before="0" w:after="0"/>
        <w:contextualSpacing/>
        <w:rPr/>
      </w:pPr>
      <w:r>
        <w:rPr>
          <w:b/>
          <w:sz w:val="24"/>
          <w:szCs w:val="24"/>
        </w:rPr>
        <w:t xml:space="preserve">Proposed Response to France ARCEP on Preparing for the Future of Mobile Networks, </w:t>
      </w:r>
      <w:hyperlink r:id="rId10">
        <w:r>
          <w:rPr>
            <w:rStyle w:val="Internetlnk"/>
            <w:b/>
            <w:sz w:val="24"/>
            <w:szCs w:val="24"/>
          </w:rPr>
          <w:t>18-22-0111r0</w:t>
        </w:r>
      </w:hyperlink>
      <w:r>
        <w:rPr>
          <w:b/>
          <w:sz w:val="24"/>
          <w:szCs w:val="24"/>
        </w:rPr>
        <w:t>, Hassan Yaghoobi (Intel Corp.)</w:t>
        <w:br/>
        <w:br/>
      </w:r>
      <w:r>
        <w:rPr>
          <w:sz w:val="24"/>
          <w:szCs w:val="24"/>
        </w:rPr>
        <w:t>Presentation of the draft response.</w:t>
      </w:r>
      <w:r>
        <w:rPr>
          <w:b/>
          <w:sz w:val="24"/>
          <w:szCs w:val="24"/>
        </w:rPr>
        <w:br/>
        <w:br/>
        <w:t>Discussion:</w:t>
        <w:br/>
        <w:br/>
        <w:t xml:space="preserve">Q: </w:t>
      </w:r>
      <w:r>
        <w:rPr>
          <w:sz w:val="24"/>
          <w:szCs w:val="24"/>
        </w:rPr>
        <w:t>Is it ok for us to refer to WFA brands?</w:t>
        <w:br/>
      </w:r>
      <w:r>
        <w:rPr>
          <w:b/>
          <w:bCs/>
          <w:sz w:val="24"/>
          <w:szCs w:val="24"/>
        </w:rPr>
        <w:t>A</w:t>
      </w:r>
      <w:r>
        <w:rPr>
          <w:sz w:val="24"/>
          <w:szCs w:val="24"/>
        </w:rPr>
        <w:t>: Yes, their website says that it is OK.</w:t>
        <w:br/>
      </w:r>
      <w:r>
        <w:rPr>
          <w:b/>
          <w:bCs/>
          <w:sz w:val="24"/>
          <w:szCs w:val="24"/>
        </w:rPr>
        <w:t>Q:</w:t>
      </w:r>
      <w:r>
        <w:rPr>
          <w:sz w:val="24"/>
          <w:szCs w:val="24"/>
        </w:rPr>
        <w:t xml:space="preserve"> If the Wi-Fi 7 certification program is not up and running yet, does that impact our response?</w:t>
        <w:br/>
      </w:r>
      <w:r>
        <w:rPr>
          <w:b/>
          <w:bCs/>
          <w:sz w:val="24"/>
          <w:szCs w:val="24"/>
        </w:rPr>
        <w:t>A:</w:t>
      </w:r>
      <w:r>
        <w:rPr>
          <w:sz w:val="24"/>
          <w:szCs w:val="24"/>
        </w:rPr>
        <w:t xml:space="preserve"> They have themselves asked for Wi-Fi 7 </w:t>
        <w:br/>
      </w:r>
      <w:r>
        <w:rPr>
          <w:b/>
          <w:bCs/>
          <w:sz w:val="24"/>
          <w:szCs w:val="24"/>
        </w:rPr>
        <w:t xml:space="preserve">Q: </w:t>
      </w:r>
      <w:r>
        <w:rPr>
          <w:sz w:val="24"/>
          <w:szCs w:val="24"/>
        </w:rPr>
        <w:t>Do we know that not having the entire 6 GHz bands will compromise the ability to have multiple 320 MHz channels concurrently? If yes, we should mention.</w:t>
        <w:br/>
      </w:r>
      <w:r>
        <w:rPr>
          <w:b/>
          <w:bCs/>
          <w:sz w:val="24"/>
          <w:szCs w:val="24"/>
        </w:rPr>
        <w:t>A:</w:t>
      </w:r>
      <w:r>
        <w:rPr>
          <w:sz w:val="24"/>
          <w:szCs w:val="24"/>
        </w:rPr>
        <w:t xml:space="preserve"> Will add.</w:t>
        <w:br/>
      </w:r>
      <w:r>
        <w:rPr>
          <w:b/>
          <w:bCs/>
          <w:sz w:val="24"/>
          <w:szCs w:val="24"/>
        </w:rPr>
        <w:t>Q:</w:t>
      </w:r>
      <w:r>
        <w:rPr>
          <w:sz w:val="24"/>
          <w:szCs w:val="24"/>
        </w:rPr>
        <w:t xml:space="preserve"> I have a number of editorials?</w:t>
        <w:br/>
      </w:r>
      <w:r>
        <w:rPr>
          <w:b/>
          <w:bCs/>
          <w:sz w:val="24"/>
          <w:szCs w:val="24"/>
        </w:rPr>
        <w:t>A:</w:t>
      </w:r>
      <w:r>
        <w:rPr>
          <w:sz w:val="24"/>
          <w:szCs w:val="24"/>
        </w:rPr>
        <w:t xml:space="preserve"> We can deal with them before the motion is passed.</w:t>
        <w:br/>
      </w:r>
      <w:r>
        <w:rPr>
          <w:b/>
          <w:bCs/>
          <w:sz w:val="24"/>
          <w:szCs w:val="24"/>
        </w:rPr>
        <w:t>Chair:</w:t>
      </w:r>
      <w:r>
        <w:rPr>
          <w:sz w:val="24"/>
          <w:szCs w:val="24"/>
        </w:rPr>
        <w:t xml:space="preserve"> Does anyone have any technical considerations they would like to discuss at this point?</w:t>
        <w:br/>
        <w:br/>
        <w:t>No technical objections or considerations.</w:t>
        <w:br/>
        <w:br/>
      </w:r>
      <w:r>
        <w:rPr>
          <w:b/>
          <w:bCs/>
          <w:sz w:val="24"/>
          <w:szCs w:val="24"/>
        </w:rPr>
        <w:t>Motion #3 (External):</w:t>
      </w:r>
      <w:r>
        <w:rPr>
          <w:sz w:val="24"/>
          <w:szCs w:val="24"/>
        </w:rPr>
        <w:t xml:space="preserve"> Move to approve document </w:t>
      </w:r>
      <w:hyperlink r:id="rId11">
        <w:r>
          <w:rPr>
            <w:rStyle w:val="Internetlnk"/>
            <w:sz w:val="24"/>
            <w:szCs w:val="24"/>
          </w:rPr>
          <w:t>18-22/0111r1</w:t>
        </w:r>
      </w:hyperlink>
      <w:bookmarkStart w:id="0" w:name="_GoBack"/>
      <w:bookmarkEnd w:id="0"/>
      <w:r>
        <w:rPr>
          <w:sz w:val="24"/>
          <w:szCs w:val="24"/>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br/>
        <w:br/>
        <w:t>Moved: Stuart Kerry</w:t>
        <w:br/>
        <w:t>Seconded: Rich Kennedy</w:t>
        <w:br/>
        <w:t>Discussion? None</w:t>
        <w:br/>
        <w:t>Attendees: 22</w:t>
        <w:br/>
        <w:t>Voters (present): 19</w:t>
        <w:br/>
        <w:t>Result: 10 Yes / 0 No / 4 Abstain / 5 No vote</w:t>
        <w:br/>
        <w:t>Remarks: The chair did not vote.</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left="720" w:hanging="0"/>
        <w:contextualSpacing/>
        <w:rPr>
          <w:sz w:val="24"/>
          <w:szCs w:val="24"/>
        </w:rPr>
      </w:pPr>
      <w:r>
        <w:rPr>
          <w:sz w:val="24"/>
          <w:szCs w:val="24"/>
        </w:rP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hanging="0"/>
        <w:contextualSpacing/>
        <w:rPr>
          <w:color w:val="000000"/>
          <w:sz w:val="24"/>
          <w:szCs w:val="24"/>
        </w:rPr>
      </w:pPr>
      <w:r>
        <w:rPr>
          <w:color w:val="000000"/>
          <w:sz w:val="24"/>
          <w:szCs w:val="24"/>
        </w:rPr>
        <w:t>22 attendees, 19 voters</w:t>
      </w:r>
      <w:r>
        <w:rPr>
          <w:color w:val="000000"/>
          <w:sz w:val="24"/>
          <w:szCs w:val="24"/>
        </w:rPr>
        <w:t xml:space="preserve"> (including the chair) [Report by Stuart Kerry]. </w:t>
      </w:r>
    </w:p>
    <w:p>
      <w:pPr>
        <w:pStyle w:val="Normal"/>
        <w:numPr>
          <w:ilvl w:val="1"/>
          <w:numId w:val="1"/>
        </w:numPr>
        <w:spacing w:before="0" w:after="0"/>
        <w:contextualSpacing/>
        <w:rPr>
          <w:color w:val="000000"/>
          <w:sz w:val="24"/>
          <w:szCs w:val="24"/>
        </w:rPr>
      </w:pPr>
      <w:r>
        <w:rPr>
          <w:color w:val="000000"/>
          <w:sz w:val="24"/>
          <w:szCs w:val="24"/>
        </w:rPr>
        <w:t xml:space="preserve">Next weekly teleconference call scheduled for: </w:t>
      </w:r>
      <w:r>
        <w:rPr>
          <w:color w:val="000000"/>
          <w:sz w:val="24"/>
          <w:szCs w:val="24"/>
        </w:rPr>
        <w:t>22</w:t>
      </w:r>
      <w:r>
        <w:rPr>
          <w:color w:val="000000"/>
          <w:sz w:val="24"/>
          <w:szCs w:val="24"/>
        </w:rPr>
        <w:t xml:space="preserve"> September 2022, 15h00 ET.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https://mentor.ieee.org/802.18/dcn/16/18-16-0038-26-0000-teleconference-call-in-info.pptx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IEEE 802 Wireless interim is 12-16 September in Waikoloa.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26 January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2">
        <w:r>
          <w:rPr>
            <w:rStyle w:val="Internetlnk"/>
            <w:sz w:val="24"/>
            <w:szCs w:val="24"/>
          </w:rPr>
          <w:t>https://ieee802.org/16/cal-temp.html</w:t>
        </w:r>
      </w:hyperlink>
      <w:r>
        <w:rPr>
          <w:sz w:val="24"/>
          <w:szCs w:val="24"/>
        </w:rPr>
        <w:t xml:space="preserve"> or only 802.18:  </w:t>
      </w:r>
      <w:hyperlink r:id="rId13">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16:00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p>
      <w:pPr>
        <w:pStyle w:val="Normal"/>
        <w:rPr/>
      </w:pPr>
      <w:r>
        <w:rPr/>
      </w:r>
    </w:p>
    <w:tbl>
      <w:tblPr>
        <w:tblW w:w="9983" w:type="dxa"/>
        <w:jc w:val="left"/>
        <w:tblInd w:w="0" w:type="dxa"/>
        <w:tblLayout w:type="fixed"/>
        <w:tblCellMar>
          <w:top w:w="0" w:type="dxa"/>
          <w:left w:w="0" w:type="dxa"/>
          <w:bottom w:w="0" w:type="dxa"/>
          <w:right w:w="0" w:type="dxa"/>
        </w:tblCellMar>
      </w:tblPr>
      <w:tblGrid>
        <w:gridCol w:w="266"/>
        <w:gridCol w:w="1717"/>
        <w:gridCol w:w="2334"/>
        <w:gridCol w:w="4950"/>
        <w:gridCol w:w="716"/>
      </w:tblGrid>
      <w:tr>
        <w:trPr/>
        <w:tc>
          <w:tcPr>
            <w:tcW w:w="1983" w:type="dxa"/>
            <w:gridSpan w:val="2"/>
            <w:tcBorders/>
            <w:vAlign w:val="center"/>
          </w:tcPr>
          <w:p>
            <w:pPr>
              <w:pStyle w:val="Tabellinnehll"/>
              <w:spacing w:before="0" w:after="0"/>
              <w:rPr>
                <w:rFonts w:ascii="Arial;sans-serif" w:hAnsi="Arial;sans-serif"/>
                <w:b/>
                <w:sz w:val="20"/>
              </w:rPr>
            </w:pPr>
            <w:r>
              <w:rPr>
                <w:rFonts w:ascii="Arial;sans-serif" w:hAnsi="Arial;sans-serif"/>
                <w:b/>
                <w:sz w:val="20"/>
              </w:rPr>
              <w:t>Voting Attendees:</w:t>
            </w:r>
          </w:p>
        </w:tc>
        <w:tc>
          <w:tcPr>
            <w:tcW w:w="2334" w:type="dxa"/>
            <w:tcBorders/>
            <w:vAlign w:val="center"/>
          </w:tcPr>
          <w:p>
            <w:pPr>
              <w:pStyle w:val="Tabellinnehll"/>
              <w:rPr>
                <w:sz w:val="4"/>
                <w:szCs w:val="4"/>
              </w:rPr>
            </w:pPr>
            <w:r>
              <w:rPr>
                <w:sz w:val="4"/>
                <w:szCs w:val="4"/>
              </w:rPr>
            </w:r>
          </w:p>
        </w:tc>
        <w:tc>
          <w:tcPr>
            <w:tcW w:w="4950" w:type="dxa"/>
            <w:tcBorders/>
            <w:vAlign w:val="center"/>
          </w:tcPr>
          <w:p>
            <w:pPr>
              <w:pStyle w:val="Tabellinnehll"/>
              <w:rPr>
                <w:sz w:val="4"/>
                <w:szCs w:val="4"/>
              </w:rPr>
            </w:pPr>
            <w:r>
              <w:rPr>
                <w:sz w:val="4"/>
                <w:szCs w:val="4"/>
              </w:rPr>
            </w:r>
          </w:p>
        </w:tc>
        <w:tc>
          <w:tcPr>
            <w:tcW w:w="716" w:type="dxa"/>
            <w:tcBorders/>
            <w:vAlign w:val="center"/>
          </w:tcPr>
          <w:p>
            <w:pPr>
              <w:pStyle w:val="Tabellinnehll"/>
              <w:spacing w:before="0" w:after="0"/>
              <w:jc w:val="center"/>
              <w:rPr>
                <w:rFonts w:ascii="Arial;sans-serif" w:hAnsi="Arial;sans-serif"/>
                <w:b/>
                <w:sz w:val="20"/>
              </w:rPr>
            </w:pPr>
            <w:r>
              <w:rPr>
                <w:rFonts w:ascii="Arial;sans-serif" w:hAnsi="Arial;sans-serif"/>
                <w:b/>
                <w:sz w:val="20"/>
              </w:rPr>
              <w:t>8-Sep</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Andersdotter</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Amelia</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Comcast</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2</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Au</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Edward (Kwok Shum)</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Huawei Technologies Co., Ltd</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3</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Auluck</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Vijay</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Self</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4</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da Silva</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Claudio</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Meta Platforms, Inc.</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5</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Ecclesine</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Peter</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Cisco Systems, Inc.</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6</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Holcomb</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Jay</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Self</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7</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Jeffries</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Timothy</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FutureWei Technologies, Inc.</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8</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Kain</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Carl</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USDOT, Noblis, Inc.</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9</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Kennedy</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Richard</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Unlicensed Spectrum Advocates, LLC</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10</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Kenney</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John</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TOYOTA InfoTechnology Center U.S.A.</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11</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Kerry</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Stuart</w:t>
            </w:r>
          </w:p>
        </w:tc>
        <w:tc>
          <w:tcPr>
            <w:tcW w:w="4950" w:type="dxa"/>
            <w:tcBorders/>
            <w:vAlign w:val="center"/>
          </w:tcPr>
          <w:p>
            <w:pPr>
              <w:pStyle w:val="Tabellinnehll"/>
              <w:spacing w:before="0" w:after="0"/>
              <w:rPr/>
            </w:pPr>
            <w:r>
              <w:rPr>
                <w:rFonts w:ascii="Arial;sans-serif" w:hAnsi="Arial;sans-serif"/>
                <w:sz w:val="20"/>
              </w:rPr>
              <w:t>OK</w:t>
            </w:r>
            <w:r>
              <w:rPr/>
              <w:t>‐</w:t>
            </w:r>
            <w:r>
              <w:rPr>
                <w:rFonts w:ascii="Arial;sans-serif" w:hAnsi="Arial;sans-serif"/>
                <w:sz w:val="20"/>
              </w:rPr>
              <w:t>Brit, Self</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12</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Levy</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Joseph</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InterDigital, Inc.</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13</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Lynch</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Michael</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MJ Lynch &amp; Associates, LLC.</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14</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Nikolich</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Paul</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 xml:space="preserve">Self, HPE, Huawei, Wyebot, UNH BCoE, YAS BBV, Origin Wireless </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15</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Petrick</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Al</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Skyworks Solutions Inc.</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16</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Scott</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Andy</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NCTA – The Internet &amp; Television Association</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17</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Wang</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Lei</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FutureWei Technologies, Inc.</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18</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Ward</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Lisa</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Rohde &amp; Schwarz</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19</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Yaghoobi</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Hassan</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Intel Corporation</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rPr>
                <w:sz w:val="4"/>
                <w:szCs w:val="4"/>
              </w:rPr>
            </w:pPr>
            <w:r>
              <w:rPr>
                <w:sz w:val="4"/>
                <w:szCs w:val="4"/>
              </w:rPr>
            </w:r>
          </w:p>
        </w:tc>
        <w:tc>
          <w:tcPr>
            <w:tcW w:w="1717" w:type="dxa"/>
            <w:tcBorders/>
            <w:vAlign w:val="center"/>
          </w:tcPr>
          <w:p>
            <w:pPr>
              <w:pStyle w:val="Tabellinnehll"/>
              <w:rPr>
                <w:sz w:val="4"/>
                <w:szCs w:val="4"/>
              </w:rPr>
            </w:pPr>
            <w:r>
              <w:rPr>
                <w:sz w:val="4"/>
                <w:szCs w:val="4"/>
              </w:rPr>
            </w:r>
          </w:p>
        </w:tc>
        <w:tc>
          <w:tcPr>
            <w:tcW w:w="2334" w:type="dxa"/>
            <w:tcBorders/>
            <w:vAlign w:val="center"/>
          </w:tcPr>
          <w:p>
            <w:pPr>
              <w:pStyle w:val="Tabellinnehll"/>
              <w:rPr>
                <w:sz w:val="4"/>
                <w:szCs w:val="4"/>
              </w:rPr>
            </w:pPr>
            <w:r>
              <w:rPr>
                <w:sz w:val="4"/>
                <w:szCs w:val="4"/>
              </w:rPr>
            </w:r>
          </w:p>
        </w:tc>
        <w:tc>
          <w:tcPr>
            <w:tcW w:w="4950" w:type="dxa"/>
            <w:tcBorders/>
            <w:vAlign w:val="center"/>
          </w:tcPr>
          <w:p>
            <w:pPr>
              <w:pStyle w:val="Tabellinnehll"/>
              <w:rPr>
                <w:sz w:val="4"/>
                <w:szCs w:val="4"/>
              </w:rPr>
            </w:pPr>
            <w:r>
              <w:rPr>
                <w:sz w:val="4"/>
                <w:szCs w:val="4"/>
              </w:rPr>
            </w:r>
          </w:p>
        </w:tc>
        <w:tc>
          <w:tcPr>
            <w:tcW w:w="716" w:type="dxa"/>
            <w:tcBorders/>
            <w:vAlign w:val="center"/>
          </w:tcPr>
          <w:p>
            <w:pPr>
              <w:pStyle w:val="Tabellinnehll"/>
              <w:rPr>
                <w:sz w:val="4"/>
                <w:szCs w:val="4"/>
              </w:rPr>
            </w:pPr>
            <w:r>
              <w:rPr>
                <w:sz w:val="4"/>
                <w:szCs w:val="4"/>
              </w:rPr>
            </w:r>
          </w:p>
        </w:tc>
      </w:tr>
      <w:tr>
        <w:trPr/>
        <w:tc>
          <w:tcPr>
            <w:tcW w:w="4317" w:type="dxa"/>
            <w:gridSpan w:val="3"/>
            <w:tcBorders/>
            <w:vAlign w:val="center"/>
          </w:tcPr>
          <w:p>
            <w:pPr>
              <w:pStyle w:val="Tabellinnehll"/>
              <w:spacing w:before="0" w:after="0"/>
              <w:rPr>
                <w:rFonts w:ascii="Arial;sans-serif" w:hAnsi="Arial;sans-serif"/>
                <w:b/>
                <w:sz w:val="20"/>
              </w:rPr>
            </w:pPr>
            <w:r>
              <w:rPr>
                <w:rFonts w:ascii="Arial;sans-serif" w:hAnsi="Arial;sans-serif"/>
                <w:b/>
                <w:sz w:val="20"/>
              </w:rPr>
              <w:t>Non-Voting Attendees:</w:t>
            </w:r>
          </w:p>
        </w:tc>
        <w:tc>
          <w:tcPr>
            <w:tcW w:w="4950" w:type="dxa"/>
            <w:tcBorders/>
            <w:vAlign w:val="center"/>
          </w:tcPr>
          <w:p>
            <w:pPr>
              <w:pStyle w:val="Tabellinnehll"/>
              <w:rPr>
                <w:sz w:val="4"/>
                <w:szCs w:val="4"/>
              </w:rPr>
            </w:pPr>
            <w:r>
              <w:rPr>
                <w:sz w:val="4"/>
                <w:szCs w:val="4"/>
              </w:rPr>
            </w:r>
          </w:p>
        </w:tc>
        <w:tc>
          <w:tcPr>
            <w:tcW w:w="716" w:type="dxa"/>
            <w:tcBorders/>
            <w:vAlign w:val="center"/>
          </w:tcPr>
          <w:p>
            <w:pPr>
              <w:pStyle w:val="Tabellinnehll"/>
              <w:spacing w:before="0" w:after="0"/>
              <w:jc w:val="center"/>
              <w:rPr>
                <w:rFonts w:ascii="Arial;sans-serif" w:hAnsi="Arial;sans-serif"/>
                <w:b/>
                <w:sz w:val="20"/>
              </w:rPr>
            </w:pPr>
            <w:r>
              <w:rPr>
                <w:rFonts w:ascii="Arial;sans-serif" w:hAnsi="Arial;sans-serif"/>
                <w:b/>
                <w:sz w:val="20"/>
              </w:rPr>
              <w:t>8-Sep</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1</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Halasz</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Dave</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Morse Micro</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2</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Shen</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Andy</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Futurewei, U.S. Subsidiary of Huawei</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center"/>
              <w:rPr>
                <w:rFonts w:ascii="Arial;sans-serif" w:hAnsi="Arial;sans-serif"/>
                <w:sz w:val="20"/>
              </w:rPr>
            </w:pPr>
            <w:r>
              <w:rPr>
                <w:rFonts w:ascii="Arial;sans-serif" w:hAnsi="Arial;sans-serif"/>
                <w:sz w:val="20"/>
              </w:rPr>
              <w:t>3</w:t>
            </w:r>
          </w:p>
        </w:tc>
        <w:tc>
          <w:tcPr>
            <w:tcW w:w="1717" w:type="dxa"/>
            <w:tcBorders/>
            <w:vAlign w:val="center"/>
          </w:tcPr>
          <w:p>
            <w:pPr>
              <w:pStyle w:val="Tabellinnehll"/>
              <w:spacing w:before="0" w:after="0"/>
              <w:rPr>
                <w:rFonts w:ascii="Arial;sans-serif" w:hAnsi="Arial;sans-serif"/>
                <w:b/>
                <w:sz w:val="20"/>
              </w:rPr>
            </w:pPr>
            <w:r>
              <w:rPr>
                <w:rFonts w:ascii="Arial;sans-serif" w:hAnsi="Arial;sans-serif"/>
                <w:b/>
                <w:sz w:val="20"/>
              </w:rPr>
              <w:t>Sosack</w:t>
            </w:r>
          </w:p>
        </w:tc>
        <w:tc>
          <w:tcPr>
            <w:tcW w:w="2334" w:type="dxa"/>
            <w:tcBorders/>
            <w:vAlign w:val="center"/>
          </w:tcPr>
          <w:p>
            <w:pPr>
              <w:pStyle w:val="Tabellinnehll"/>
              <w:spacing w:before="0" w:after="0"/>
              <w:rPr>
                <w:rFonts w:ascii="Arial;sans-serif" w:hAnsi="Arial;sans-serif"/>
                <w:sz w:val="20"/>
              </w:rPr>
            </w:pPr>
            <w:r>
              <w:rPr>
                <w:rFonts w:ascii="Arial;sans-serif" w:hAnsi="Arial;sans-serif"/>
                <w:sz w:val="20"/>
              </w:rPr>
              <w:t>Robert</w:t>
            </w:r>
          </w:p>
        </w:tc>
        <w:tc>
          <w:tcPr>
            <w:tcW w:w="4950" w:type="dxa"/>
            <w:tcBorders/>
            <w:vAlign w:val="center"/>
          </w:tcPr>
          <w:p>
            <w:pPr>
              <w:pStyle w:val="Tabellinnehll"/>
              <w:spacing w:before="0" w:after="0"/>
              <w:rPr>
                <w:rFonts w:ascii="Arial;sans-serif" w:hAnsi="Arial;sans-serif"/>
                <w:sz w:val="20"/>
              </w:rPr>
            </w:pPr>
            <w:r>
              <w:rPr>
                <w:rFonts w:ascii="Arial;sans-serif" w:hAnsi="Arial;sans-serif"/>
                <w:sz w:val="20"/>
              </w:rPr>
              <w:t>Molex</w:t>
            </w:r>
          </w:p>
        </w:tc>
        <w:tc>
          <w:tcPr>
            <w:tcW w:w="716"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bl>
    <w:p>
      <w:pPr>
        <w:pStyle w:val="Normal"/>
        <w:rPr/>
      </w:pPr>
      <w:r>
        <w:rPr/>
      </w:r>
    </w:p>
    <w:sectPr>
      <w:headerReference w:type="default" r:id="rId14"/>
      <w:footerReference w:type="default" r:id="rId15"/>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2</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tabs>
        <w:tab w:val="clear" w:pos="6480"/>
        <w:tab w:val="center" w:pos="4680" w:leader="none"/>
        <w:tab w:val="right" w:pos="9990" w:leader="none"/>
        <w:tab w:val="right" w:pos="12960" w:leader="none"/>
      </w:tabs>
      <w:rPr/>
    </w:pPr>
    <w:r>
      <w:rPr/>
      <w:t>September 2022</w:t>
      <w:tab/>
      <w:tab/>
      <w:t>doc.: IEEE 802.18-22-0112r0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unhideWhenUsed/>
    <w:rsid w:val="00c16429"/>
    <w:rPr>
      <w:color w:val="0563C1" w:themeColor="hyperlink"/>
      <w:u w:val="single"/>
    </w:rPr>
  </w:style>
  <w:style w:type="character" w:styleId="AnvndInternetlnk" w:customStyle="1">
    <w:name w:val="Använd Internetlänk"/>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Brdtext"/>
    <w:qFormat/>
    <w:pPr>
      <w:widowControl w:val="false"/>
      <w:spacing w:before="0" w:after="0"/>
      <w:jc w:val="center"/>
    </w:pPr>
    <w:rPr>
      <w:b/>
      <w:sz w:val="20"/>
    </w:rPr>
  </w:style>
  <w:style w:type="paragraph" w:styleId="Fotnot">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09-01-0000-rr-tag-agenda-8-september-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108-00-0000-weekly-teleconference-minutes-1-september-2022.docx" TargetMode="External"/><Relationship Id="rId9" Type="http://schemas.openxmlformats.org/officeDocument/2006/relationships/hyperlink" Target="https://mentor.ieee.org/802.18/dcn/22/18-22-0035-33-0000-status-of-ongoing-consultations-and-tag-documents-for-approval.docx" TargetMode="External"/><Relationship Id="rId10" Type="http://schemas.openxmlformats.org/officeDocument/2006/relationships/hyperlink" Target="https://mentor.ieee.org/802.18/dcn/22/18-22-0111-00-0000-proposed-response-to-france-arcep-on-preparing-for-the-future-of-mobile-networks.docx" TargetMode="External"/><Relationship Id="rId11" Type="http://schemas.openxmlformats.org/officeDocument/2006/relationships/hyperlink" Target="https://mentor.ieee.org/802.18/dcn/22/18-22-0111-01-0000-proposed-response-to-france-arcep-on-preparing-for-the-future-of-mobile-networks.docx" TargetMode="External"/><Relationship Id="rId12" Type="http://schemas.openxmlformats.org/officeDocument/2006/relationships/hyperlink" Target="https://ieee802.org/16/cal-temp.html" TargetMode="External"/><Relationship Id="rId13" Type="http://schemas.openxmlformats.org/officeDocument/2006/relationships/hyperlink" Target="https://calendar.google.com/calendar/embed?src=c2gedttabtbj4bps23j4847004@group.calendar.google.com&amp;ctz=America%2FNew_Yor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Application>LibreOffice/7.3.5.2$Linux_X86_64 LibreOffice_project/30$Build-2</Application>
  <AppVersion>15.0000</AppVersion>
  <Pages>4</Pages>
  <Words>908</Words>
  <Characters>4882</Characters>
  <CharactersWithSpaces>5638</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2022-08-19T14:07:00Z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2022-09-12T04:09:54Z</dcterms:modified>
  <cp:revision>17</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