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11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15</w:t>
            </w:r>
            <w:r>
              <w:rPr>
                <w:b w:val="false"/>
                <w:sz w:val="20"/>
              </w:rPr>
              <w:t xml:space="preserve">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w:r>
      <w: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90285" cy="2852420"/>
                <wp:effectExtent l="0" t="0" r="0" b="0"/>
                <wp:wrapNone/>
                <wp:docPr id="1" name=""/>
                <a:graphic xmlns:a="http://schemas.openxmlformats.org/drawingml/2006/main">
                  <a:graphicData uri="http://schemas.microsoft.com/office/word/2010/wordprocessingShape">
                    <wps:wsp>
                      <wps:cNvSpPr txBox="1"/>
                      <wps:spPr>
                        <a:xfrm>
                          <a:off x="0" y="0"/>
                          <a:ext cx="6090285" cy="2852420"/>
                        </a:xfrm>
                        <a:prstGeom prst="rect"/>
                        <a:solidFill>
                          <a:srgbClr val="FFFFFF"/>
                        </a:solidFill>
                      </wps:spPr>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11 August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lIns="91440" tIns="45720" rIns="91440" bIns="45720">
                        <a:noAutofit/>
                      </wps:bodyPr>
                    </wps:wsp>
                  </a:graphicData>
                </a:graphic>
              </wp:anchor>
            </w:drawing>
          </mc:Choice>
          <mc:Fallback>
            <w:pict>
              <v:rect fillcolor="#FFFFFF" stroked="f" strokeweight="0pt" style="position:absolute;rotation:0;width:479.55pt;height:224.6pt;mso-wrap-distance-left:0pt;mso-wrap-distance-right:0pt;mso-wrap-distance-top:0pt;mso-wrap-distance-bottom:0pt;margin-top:2.15pt;mso-position-vertical-relative:text;margin-left:13.05pt;mso-position-horizontal-relative:tex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11 August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These are minutes of the IEEE 802 RR-TAG teleconference on Thursday, 11 August 2022, 15:00 ET.</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18/22-0092r0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47 (8 on LMSC) </w:t>
      </w:r>
    </w:p>
    <w:p>
      <w:pPr>
        <w:pStyle w:val="Normal"/>
        <w:numPr>
          <w:ilvl w:val="2"/>
          <w:numId w:val="1"/>
        </w:numPr>
        <w:spacing w:before="0" w:after="0"/>
        <w:contextualSpacing/>
        <w:rPr/>
      </w:pPr>
      <w:r>
        <w:rPr/>
        <w:t xml:space="preserve">  </w:t>
      </w:r>
      <w:r>
        <w:rPr/>
        <w:t>Nearly Voters: 0</w:t>
      </w:r>
    </w:p>
    <w:p>
      <w:pPr>
        <w:pStyle w:val="Normal"/>
        <w:numPr>
          <w:ilvl w:val="2"/>
          <w:numId w:val="1"/>
        </w:numPr>
        <w:spacing w:before="0" w:after="0"/>
        <w:contextualSpacing/>
        <w:rPr/>
      </w:pPr>
      <w:r>
        <w:rPr/>
        <w:t xml:space="preserve">  </w:t>
      </w:r>
      <w:r>
        <w:rPr/>
        <w:t>Aspirant members:  9</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Hassan Yaghoobi</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Al Petrick</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draft meeting minutes from 4 August 2022 RR-TAG weekly teleconference. No comments.</w:t>
        <w:br/>
      </w:r>
      <w:r>
        <w:rPr>
          <w:b/>
          <w:bCs/>
          <w:sz w:val="24"/>
          <w:szCs w:val="24"/>
        </w:rPr>
        <w:br/>
        <w:t>Motion #2 (internal):</w:t>
      </w:r>
      <w:r>
        <w:rPr>
          <w:sz w:val="24"/>
          <w:szCs w:val="24"/>
        </w:rPr>
        <w:t xml:space="preserve"> To approve the weekly meeting minutes of the 4 August 2022 RR-TAG call as shown in the document </w:t>
      </w:r>
      <w:hyperlink r:id="rId8">
        <w:r>
          <w:rPr>
            <w:rStyle w:val="Internetlnk"/>
            <w:sz w:val="24"/>
            <w:szCs w:val="24"/>
          </w:rPr>
          <w:t>18-22/0094r0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Stuart Kerry</w:t>
      </w:r>
    </w:p>
    <w:p>
      <w:pPr>
        <w:pStyle w:val="Normal"/>
        <w:spacing w:before="0" w:after="0"/>
        <w:ind w:left="1440" w:hanging="0"/>
        <w:contextualSpacing/>
        <w:rPr/>
      </w:pPr>
      <w:r>
        <w:rPr>
          <w:sz w:val="24"/>
          <w:szCs w:val="24"/>
        </w:rPr>
        <w:t xml:space="preserve">Seconded by: </w:t>
        <w:tab/>
        <w:t>Hassan Yaghoobi</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18-22/0035r29</w:t>
        </w:r>
      </w:hyperlink>
      <w:r>
        <w:rPr>
          <w:b/>
          <w:bCs/>
          <w:sz w:val="24"/>
          <w:szCs w:val="24"/>
        </w:rPr>
        <w:t>)</w:t>
      </w:r>
      <w:r>
        <w:rPr>
          <w:sz w:val="24"/>
          <w:szCs w:val="24"/>
        </w:rPr>
        <w:t xml:space="preserve"> contains the status of ongoing consultations along with internal deadlines for EC approval and external approval. </w:t>
        <w:br/>
        <w:br/>
        <w:t>No submissions for the France ARCEP consultation on a draft decision for 5 GHz bands or India DoT consultation on new telecommunications policy (internal deadline expired 11 August 2022).</w:t>
        <w:br/>
        <w:br/>
        <w:t>EC has approved for publications two submissions from 802.18 members recently.</w:t>
      </w:r>
    </w:p>
    <w:p>
      <w:pPr>
        <w:pStyle w:val="Normal"/>
        <w:spacing w:before="0" w:after="0"/>
        <w:contextualSpacing/>
        <w:rPr>
          <w:sz w:val="24"/>
          <w:szCs w:val="24"/>
        </w:rPr>
      </w:pPr>
      <w:r>
        <w:rPr>
          <w:sz w:val="24"/>
          <w:szCs w:val="24"/>
        </w:rPr>
      </w:r>
    </w:p>
    <w:p>
      <w:pPr>
        <w:pStyle w:val="ListParagraph"/>
        <w:numPr>
          <w:ilvl w:val="0"/>
          <w:numId w:val="1"/>
        </w:numPr>
        <w:spacing w:before="0" w:after="0"/>
        <w:contextualSpacing/>
        <w:rPr/>
      </w:pPr>
      <w:r>
        <w:rPr>
          <w:b/>
          <w:bCs/>
          <w:sz w:val="24"/>
          <w:szCs w:val="24"/>
        </w:rPr>
        <w:t xml:space="preserve">Presentation: 45 GHz Ad Hoc Proposal, </w:t>
      </w:r>
      <w:r>
        <w:rPr>
          <w:sz w:val="24"/>
          <w:szCs w:val="24"/>
        </w:rPr>
        <w:t>Rich Kennedy (Huawei Paris)</w:t>
      </w:r>
      <w:r>
        <w:rPr>
          <w:b/>
          <w:bCs/>
          <w:sz w:val="24"/>
          <w:szCs w:val="24"/>
        </w:rPr>
        <w:t>,</w:t>
      </w:r>
      <w:hyperlink r:id="rId10">
        <w:r>
          <w:rPr>
            <w:rStyle w:val="Internetlnk"/>
            <w:b/>
            <w:bCs/>
            <w:sz w:val="24"/>
            <w:szCs w:val="24"/>
          </w:rPr>
          <w:t xml:space="preserve"> 18-22-0089r2 </w:t>
        </w:r>
      </w:hyperlink>
      <w:r>
        <w:rPr>
          <w:b/>
          <w:bCs/>
          <w:sz w:val="24"/>
          <w:szCs w:val="24"/>
        </w:rPr>
        <w:br/>
      </w:r>
    </w:p>
    <w:p>
      <w:pPr>
        <w:pStyle w:val="ListParagraph"/>
        <w:spacing w:before="0" w:after="0"/>
        <w:ind w:left="360" w:hanging="0"/>
        <w:contextualSpacing/>
        <w:rPr/>
      </w:pPr>
      <w:r>
        <w:rPr>
          <w:color w:val="000000"/>
          <w:sz w:val="24"/>
          <w:szCs w:val="24"/>
        </w:rPr>
        <w:t xml:space="preserve">The IEEE is an international organisation. As efforts to develop Ultra-High Reliability services continue, new mmWave bands should be explored to support those services which are universally available. The 45 GHz (42.5-48.2 GHz) is such a band. </w:t>
      </w:r>
    </w:p>
    <w:p>
      <w:pPr>
        <w:pStyle w:val="ListParagraph"/>
        <w:spacing w:before="0" w:after="0"/>
        <w:ind w:left="360" w:hanging="0"/>
        <w:contextualSpacing/>
        <w:rPr/>
      </w:pPr>
      <w:r>
        <w:rPr>
          <w:color w:val="000000"/>
          <w:sz w:val="24"/>
          <w:szCs w:val="24"/>
        </w:rPr>
        <w:br/>
        <w:t xml:space="preserve">C: I want to reiterate from last week that we're putting ourselves on a strict timeline if we're targetting only the UHR SG in IEEE 802.11. </w:t>
        <w:br/>
        <w:t>Q: The UHR SG is just formed, and the 802.11 WNG discussion already mentioned some different bands that could be looked at. But I'm a bit concerned that if we focus on these 24+ GHz and 70- GHz it's a very broad set of bands - do you think we'll end up then saying that the PAR should cover all those bands? What's the relation with UHR?</w:t>
        <w:br/>
        <w:t>A: The goal is not to dictate anything for the UHR SG but to highlight some opportunities that they see in spectrum. The SG can choose to pick up on that or not, of course.</w:t>
        <w:br/>
        <w:t>C: In my view we don't need to restrict a study to 45 GHz and 60 GHz, we can study whatever we want. But I don't have strong opinions on this.</w:t>
        <w:br/>
        <w:t>C: As far as I understand the SG, which has not even met yet, has not decided on any particular bands that they want to go with. There are a number of documents that suggest various bands that could be used, but nothing is fixed. I'm further concerned that we're moving too quickly - as was already addressed, we don't know what the process is for interaction between .11 and .18 for providing this study to the UHR SG. Maybe we can postpone this motion until the September interim, so that we have more people participating?</w:t>
        <w:br/>
        <w:t xml:space="preserve">C: This is not the correct time to commit to a time-line, in my view. </w:t>
        <w:br/>
        <w:t>C: We can move on with the motion, I do think it's important to say that it's not tied to UHR SG though. But we have several proposals that reflect that.</w:t>
        <w:br/>
        <w:t xml:space="preserve">C: I would prefer to stay a bit focused on 45 GHz and 60 GHz considering that we already know sort of the main target audience of the report. </w:t>
        <w:br/>
        <w:br/>
      </w:r>
      <w:r>
        <w:rPr>
          <w:b/>
          <w:bCs/>
          <w:color w:val="000000"/>
          <w:sz w:val="24"/>
          <w:szCs w:val="24"/>
        </w:rPr>
        <w:t>Motion #3 (internal):</w:t>
      </w:r>
      <w:r>
        <w:rPr>
          <w:color w:val="000000"/>
          <w:sz w:val="24"/>
          <w:szCs w:val="24"/>
        </w:rPr>
        <w:t xml:space="preserve"> 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w:t>
        <w:br/>
        <w:br/>
        <w:tab/>
        <w:t>Moved: Rich Kennedy</w:t>
        <w:br/>
        <w:tab/>
        <w:t>Seconded: Joseph Levy</w:t>
        <w:br/>
        <w:tab/>
        <w:t>Discussion: None.</w:t>
        <w:br/>
        <w:tab/>
        <w:t>Attendees: 15</w:t>
        <w:br/>
        <w:tab/>
        <w:t>Voters: 14</w:t>
        <w:br/>
        <w:tab/>
        <w:t>Result: 9 Y / 0 N / 3 A / 2 no vote</w:t>
        <w:br/>
        <w:tab/>
        <w:t>Note: chair did not vote.</w:t>
        <w:br/>
        <w:br/>
        <w:t xml:space="preserve">Updated chair slide deck in </w:t>
      </w:r>
      <w:hyperlink r:id="rId11">
        <w:r>
          <w:rPr>
            <w:rStyle w:val="Internetlnk"/>
            <w:color w:val="000000"/>
            <w:sz w:val="24"/>
            <w:szCs w:val="24"/>
          </w:rPr>
          <w:t>18-22-0092r1</w:t>
        </w:r>
      </w:hyperlink>
      <w:r>
        <w:rPr>
          <w:color w:val="000000"/>
          <w:sz w:val="24"/>
          <w:szCs w:val="24"/>
        </w:rPr>
        <w:t xml:space="preserve"> with motion recorded.</w:t>
      </w:r>
      <w:r>
        <w:rPr>
          <w:sz w:val="24"/>
          <w:szCs w:val="24"/>
        </w:rPr>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highlight w:val="none"/>
          <w:shd w:fill="auto" w:val="clear"/>
        </w:rPr>
      </w:pPr>
      <w:r>
        <w:rPr>
          <w:b/>
          <w:sz w:val="24"/>
          <w:szCs w:val="24"/>
          <w:shd w:fill="auto" w:val="clear"/>
        </w:rPr>
        <w:t>Final administrative items</w:t>
      </w:r>
    </w:p>
    <w:p>
      <w:pPr>
        <w:pStyle w:val="Normal"/>
        <w:spacing w:before="0" w:after="0"/>
        <w:ind w:left="720" w:hanging="0"/>
        <w:contextualSpacing/>
        <w:rPr>
          <w:b w:val="false"/>
          <w:b w:val="false"/>
          <w:bCs w:val="false"/>
          <w:i w:val="false"/>
          <w:i w:val="false"/>
          <w:iCs w:val="false"/>
          <w:color w:val="000000"/>
          <w:highlight w:val="none"/>
          <w:shd w:fill="auto" w:val="clear"/>
        </w:rPr>
      </w:pPr>
      <w:r>
        <w:rPr>
          <w:b w:val="false"/>
          <w:bCs w:val="false"/>
          <w:i w:val="false"/>
          <w:iCs w:val="false"/>
          <w:color w:val="000000"/>
          <w:sz w:val="24"/>
          <w:szCs w:val="24"/>
          <w:shd w:fill="auto" w:val="clear"/>
        </w:rPr>
        <w:t xml:space="preserve">15 participants and 14 voters (including the chair) [Report by Stuart Kerry]. </w:t>
      </w:r>
    </w:p>
    <w:p>
      <w:pPr>
        <w:pStyle w:val="Normal"/>
        <w:numPr>
          <w:ilvl w:val="1"/>
          <w:numId w:val="1"/>
        </w:numPr>
        <w:spacing w:before="0" w:after="0"/>
        <w:contextualSpacing/>
        <w:rPr>
          <w:b w:val="false"/>
          <w:b w:val="false"/>
          <w:bCs w:val="false"/>
          <w:i w:val="false"/>
          <w:i w:val="false"/>
          <w:iCs w:val="false"/>
          <w:color w:val="000000"/>
          <w:highlight w:val="none"/>
          <w:shd w:fill="auto" w:val="clear"/>
        </w:rPr>
      </w:pPr>
      <w:r>
        <w:rPr>
          <w:b w:val="false"/>
          <w:bCs w:val="false"/>
          <w:i w:val="false"/>
          <w:iCs w:val="false"/>
          <w:color w:val="000000"/>
          <w:sz w:val="24"/>
          <w:szCs w:val="24"/>
          <w:shd w:fill="auto" w:val="clear"/>
        </w:rPr>
        <w:t xml:space="preserve">Next weekly teleconference call scheduled for: 18 August 2022, 15h00 ET. </w:t>
      </w:r>
    </w:p>
    <w:p>
      <w:pPr>
        <w:pStyle w:val="Normal"/>
        <w:numPr>
          <w:ilvl w:val="3"/>
          <w:numId w:val="1"/>
        </w:numPr>
        <w:spacing w:before="0" w:after="0"/>
        <w:contextualSpacing/>
        <w:rPr/>
      </w:pPr>
      <w:r>
        <w:rPr>
          <w:b w:val="false"/>
          <w:bCs w:val="false"/>
          <w:i w:val="false"/>
          <w:iCs w:val="false"/>
          <w:color w:val="000000"/>
          <w:sz w:val="24"/>
          <w:szCs w:val="24"/>
          <w:shd w:fill="auto" w:val="clear"/>
        </w:rPr>
        <w:t xml:space="preserve">Call in info: </w:t>
      </w:r>
      <w:hyperlink r:id="rId12">
        <w:r>
          <w:rPr>
            <w:rStyle w:val="Internetlnk"/>
            <w:b w:val="false"/>
            <w:bCs w:val="false"/>
            <w:i w:val="false"/>
            <w:iCs w:val="false"/>
            <w:color w:val="000000"/>
            <w:sz w:val="24"/>
            <w:szCs w:val="24"/>
            <w:shd w:fill="auto" w:val="clear"/>
          </w:rPr>
          <w:t>https://mentor.ieee.org/802.18/dcn/16/18-16-0038-24-0000-teleconference-call-in-info.pptx</w:t>
        </w:r>
      </w:hyperlink>
    </w:p>
    <w:p>
      <w:pPr>
        <w:pStyle w:val="Normal"/>
        <w:numPr>
          <w:ilvl w:val="3"/>
          <w:numId w:val="1"/>
        </w:numPr>
        <w:spacing w:before="0" w:after="0"/>
        <w:contextualSpacing/>
        <w:rPr>
          <w:b w:val="false"/>
          <w:b w:val="false"/>
          <w:bCs w:val="false"/>
          <w:i w:val="false"/>
          <w:i w:val="false"/>
          <w:iCs w:val="false"/>
          <w:color w:val="000000"/>
          <w:highlight w:val="none"/>
          <w:shd w:fill="auto" w:val="clear"/>
        </w:rPr>
      </w:pPr>
      <w:r>
        <w:rPr>
          <w:b w:val="false"/>
          <w:bCs w:val="false"/>
          <w:i w:val="false"/>
          <w:iCs w:val="false"/>
          <w:color w:val="000000"/>
          <w:sz w:val="24"/>
          <w:szCs w:val="24"/>
          <w:shd w:fill="auto" w:val="clear"/>
        </w:rPr>
        <w:t xml:space="preserve">IEEE 802 Wireless interim is 12-16 September in Waikoloa.  </w:t>
      </w:r>
    </w:p>
    <w:p>
      <w:pPr>
        <w:pStyle w:val="Normal"/>
        <w:numPr>
          <w:ilvl w:val="3"/>
          <w:numId w:val="1"/>
        </w:numPr>
        <w:spacing w:before="0" w:after="0"/>
        <w:contextualSpacing/>
        <w:rPr>
          <w:b w:val="false"/>
          <w:b w:val="false"/>
          <w:bCs w:val="false"/>
          <w:i w:val="false"/>
          <w:i w:val="false"/>
          <w:iCs w:val="false"/>
          <w:color w:val="000000"/>
          <w:highlight w:val="none"/>
          <w:shd w:fill="auto" w:val="clear"/>
        </w:rPr>
      </w:pPr>
      <w:r>
        <w:rPr>
          <w:b w:val="false"/>
          <w:bCs w:val="false"/>
          <w:i w:val="false"/>
          <w:iCs w:val="false"/>
          <w:color w:val="000000"/>
          <w:sz w:val="24"/>
          <w:szCs w:val="24"/>
          <w:shd w:fill="auto" w:val="clear"/>
        </w:rPr>
        <w:t xml:space="preserve">Currently, RR-TAG weekly teleconferences are scheduled until 26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15:56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highlight w:val="none"/>
          <w:shd w:fill="auto" w:val="clear"/>
        </w:rPr>
      </w:pPr>
      <w:r>
        <w:rPr>
          <w:b/>
          <w:sz w:val="24"/>
          <w:szCs w:val="24"/>
          <w:shd w:fill="auto" w:val="clear"/>
        </w:rPr>
        <w:t>ATTENDANCE (</w:t>
      </w:r>
      <w:r>
        <w:rPr>
          <w:rFonts w:eastAsia="Times New Roman"/>
          <w:b/>
          <w:bCs/>
          <w:sz w:val="24"/>
          <w:szCs w:val="24"/>
          <w:shd w:fill="auto" w:val="clear"/>
        </w:rPr>
        <w:t>Weekly Meeting Attendance Names and Affiliations):</w:t>
      </w:r>
      <w:r>
        <w:rPr>
          <w:rFonts w:eastAsia="Times New Roman" w:cs="Arial" w:ascii="Arial" w:hAnsi="Arial"/>
          <w:b/>
          <w:bCs/>
          <w:sz w:val="20"/>
          <w:szCs w:val="24"/>
          <w:shd w:fill="auto" w:val="clear"/>
        </w:rPr>
        <w:br/>
      </w:r>
    </w:p>
    <w:tbl>
      <w:tblPr>
        <w:tblW w:w="854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42"/>
        <w:gridCol w:w="1485"/>
        <w:gridCol w:w="2150"/>
        <w:gridCol w:w="3392"/>
        <w:gridCol w:w="1080"/>
      </w:tblGrid>
      <w:tr>
        <w:trPr>
          <w:trHeight w:val="435" w:hRule="atLeast"/>
        </w:trPr>
        <w:tc>
          <w:tcPr>
            <w:tcW w:w="1927" w:type="dxa"/>
            <w:gridSpan w:val="2"/>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Voting Attendees:</w:t>
            </w:r>
          </w:p>
        </w:tc>
        <w:tc>
          <w:tcPr>
            <w:tcW w:w="2150"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r>
          </w:p>
        </w:tc>
        <w:tc>
          <w:tcPr>
            <w:tcW w:w="3392" w:type="dxa"/>
            <w:tcBorders/>
            <w:vAlign w:val="center"/>
          </w:tcPr>
          <w:p>
            <w:pPr>
              <w:pStyle w:val="Normal"/>
              <w:widowControl w:val="false"/>
              <w:rPr>
                <w:rFonts w:eastAsia="Times New Roman"/>
                <w:sz w:val="20"/>
                <w:highlight w:val="none"/>
                <w:shd w:fill="auto" w:val="clear"/>
              </w:rPr>
            </w:pPr>
            <w:r>
              <w:rPr>
                <w:rFonts w:eastAsia="Times New Roman"/>
                <w:sz w:val="20"/>
                <w:shd w:fill="auto" w:val="clear"/>
              </w:rPr>
            </w:r>
          </w:p>
        </w:tc>
        <w:tc>
          <w:tcPr>
            <w:tcW w:w="1080" w:type="dxa"/>
            <w:tcBorders/>
            <w:vAlign w:val="center"/>
          </w:tcPr>
          <w:p>
            <w:pPr>
              <w:pStyle w:val="Normal"/>
              <w:widowControl w:val="false"/>
              <w:jc w:val="center"/>
              <w:rPr>
                <w:rFonts w:ascii="Arial" w:hAnsi="Arial" w:eastAsia="Times New Roman" w:cs="Arial"/>
                <w:b/>
                <w:b/>
                <w:bCs/>
                <w:sz w:val="20"/>
                <w:highlight w:val="none"/>
                <w:shd w:fill="auto" w:val="clear"/>
              </w:rPr>
            </w:pPr>
            <w:r>
              <w:rPr>
                <w:rFonts w:eastAsia="Times New Roman" w:cs="Arial" w:ascii="Arial" w:hAnsi="Arial"/>
                <w:b/>
                <w:bCs/>
                <w:sz w:val="20"/>
                <w:shd w:fill="auto" w:val="clear"/>
              </w:rPr>
              <w:t>11-Aug</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Andersdotter</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Amelia</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Comcast</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2</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Au</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Edward (Kwok Shum)</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Huawei Technologies Co., Ltd</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3</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Ecclesine</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Peter</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Cisco Systems, Inc.</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4</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Fang</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Yonggang</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MediaTek</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5</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Hiertz</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Guido</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Ericsson GmbH</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6</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Holcomb</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Jay</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Itron Inc.</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7</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Kennedy</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Richard</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Self; Huawei Paris</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8</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Kerry</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Stuart</w:t>
            </w:r>
          </w:p>
        </w:tc>
        <w:tc>
          <w:tcPr>
            <w:tcW w:w="3392" w:type="dxa"/>
            <w:tcBorders/>
            <w:vAlign w:val="center"/>
          </w:tcPr>
          <w:p>
            <w:pPr>
              <w:pStyle w:val="Normal"/>
              <w:widowControl w:val="false"/>
              <w:rPr>
                <w:rFonts w:eastAsia="Times New Roman"/>
                <w:highlight w:val="none"/>
                <w:shd w:fill="auto" w:val="clear"/>
              </w:rPr>
            </w:pPr>
            <w:r>
              <w:rPr>
                <w:rFonts w:eastAsia="Times New Roman" w:cs="Arial" w:ascii="Arial" w:hAnsi="Arial"/>
                <w:sz w:val="20"/>
                <w:shd w:fill="auto" w:val="clear"/>
              </w:rPr>
              <w:t>OK</w:t>
            </w:r>
            <w:r>
              <w:rPr>
                <w:rFonts w:eastAsia="Times New Roman" w:cs="Cambria Math" w:ascii="Cambria Math" w:hAnsi="Cambria Math"/>
                <w:sz w:val="20"/>
                <w:shd w:fill="auto" w:val="clear"/>
              </w:rPr>
              <w:t>‐</w:t>
            </w:r>
            <w:r>
              <w:rPr>
                <w:rFonts w:eastAsia="Times New Roman" w:cs="Arial" w:ascii="Arial" w:hAnsi="Arial"/>
                <w:sz w:val="20"/>
                <w:shd w:fill="auto" w:val="clear"/>
              </w:rPr>
              <w:t>Brit, Self</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9</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Levy</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Joseph</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InterDigital, Inc.</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510"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10</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Nikolich</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Paul</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Self, HPE, Huawei, Wyebot, UNH BCoE, YAS BBV, Origin Wireless</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11</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Petrick</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Al</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Skyworks Solutions Inc.</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12</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Wang</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Lei</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FutureWei Technologies, Inc.</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13</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Ward</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Lisa</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Rohde &amp; Schwarz</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14</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Yaghoobi</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Hassan</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Intel Corporation</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r>
        <w:trPr>
          <w:trHeight w:val="255" w:hRule="exact"/>
        </w:trPr>
        <w:tc>
          <w:tcPr>
            <w:tcW w:w="442" w:type="dxa"/>
            <w:tcBorders/>
            <w:vAlign w:val="center"/>
          </w:tcPr>
          <w:p>
            <w:pPr>
              <w:pStyle w:val="Normal"/>
              <w:widowControl w:val="false"/>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r>
          </w:p>
        </w:tc>
        <w:tc>
          <w:tcPr>
            <w:tcW w:w="1485" w:type="dxa"/>
            <w:tcBorders/>
            <w:vAlign w:val="center"/>
          </w:tcPr>
          <w:p>
            <w:pPr>
              <w:pStyle w:val="Normal"/>
              <w:widowControl w:val="false"/>
              <w:rPr>
                <w:rFonts w:eastAsia="Times New Roman"/>
                <w:sz w:val="20"/>
                <w:highlight w:val="none"/>
                <w:shd w:fill="auto" w:val="clear"/>
              </w:rPr>
            </w:pPr>
            <w:r>
              <w:rPr>
                <w:rFonts w:eastAsia="Times New Roman"/>
                <w:sz w:val="20"/>
                <w:shd w:fill="auto" w:val="clear"/>
              </w:rPr>
            </w:r>
          </w:p>
        </w:tc>
        <w:tc>
          <w:tcPr>
            <w:tcW w:w="2150" w:type="dxa"/>
            <w:tcBorders/>
            <w:vAlign w:val="center"/>
          </w:tcPr>
          <w:p>
            <w:pPr>
              <w:pStyle w:val="Normal"/>
              <w:widowControl w:val="false"/>
              <w:rPr>
                <w:rFonts w:eastAsia="Times New Roman"/>
                <w:sz w:val="20"/>
                <w:highlight w:val="none"/>
                <w:shd w:fill="auto" w:val="clear"/>
              </w:rPr>
            </w:pPr>
            <w:r>
              <w:rPr>
                <w:rFonts w:eastAsia="Times New Roman"/>
                <w:sz w:val="20"/>
                <w:shd w:fill="auto" w:val="clear"/>
              </w:rPr>
            </w:r>
          </w:p>
        </w:tc>
        <w:tc>
          <w:tcPr>
            <w:tcW w:w="3392" w:type="dxa"/>
            <w:tcBorders/>
            <w:vAlign w:val="center"/>
          </w:tcPr>
          <w:p>
            <w:pPr>
              <w:pStyle w:val="Normal"/>
              <w:widowControl w:val="false"/>
              <w:rPr>
                <w:rFonts w:eastAsia="Times New Roman"/>
                <w:sz w:val="20"/>
                <w:highlight w:val="none"/>
                <w:shd w:fill="auto" w:val="clear"/>
              </w:rPr>
            </w:pPr>
            <w:r>
              <w:rPr>
                <w:rFonts w:eastAsia="Times New Roman"/>
                <w:sz w:val="20"/>
                <w:shd w:fill="auto" w:val="clear"/>
              </w:rPr>
            </w:r>
          </w:p>
        </w:tc>
        <w:tc>
          <w:tcPr>
            <w:tcW w:w="1080" w:type="dxa"/>
            <w:tcBorders/>
            <w:vAlign w:val="center"/>
          </w:tcPr>
          <w:p>
            <w:pPr>
              <w:pStyle w:val="Normal"/>
              <w:widowControl w:val="false"/>
              <w:rPr>
                <w:rFonts w:eastAsia="Times New Roman"/>
                <w:sz w:val="20"/>
                <w:highlight w:val="none"/>
                <w:shd w:fill="auto" w:val="clear"/>
              </w:rPr>
            </w:pPr>
            <w:r>
              <w:rPr>
                <w:rFonts w:eastAsia="Times New Roman"/>
                <w:sz w:val="20"/>
                <w:shd w:fill="auto" w:val="clear"/>
              </w:rPr>
            </w:r>
          </w:p>
        </w:tc>
      </w:tr>
      <w:tr>
        <w:trPr>
          <w:trHeight w:val="435" w:hRule="atLeast"/>
        </w:trPr>
        <w:tc>
          <w:tcPr>
            <w:tcW w:w="4077" w:type="dxa"/>
            <w:gridSpan w:val="3"/>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Non-Voting Attendees:</w:t>
            </w:r>
          </w:p>
        </w:tc>
        <w:tc>
          <w:tcPr>
            <w:tcW w:w="3392"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r>
          </w:p>
        </w:tc>
        <w:tc>
          <w:tcPr>
            <w:tcW w:w="1080" w:type="dxa"/>
            <w:tcBorders/>
            <w:vAlign w:val="center"/>
          </w:tcPr>
          <w:p>
            <w:pPr>
              <w:pStyle w:val="Normal"/>
              <w:widowControl w:val="false"/>
              <w:jc w:val="center"/>
              <w:rPr>
                <w:rFonts w:ascii="Arial" w:hAnsi="Arial" w:eastAsia="Times New Roman" w:cs="Arial"/>
                <w:b/>
                <w:b/>
                <w:bCs/>
                <w:sz w:val="20"/>
                <w:highlight w:val="none"/>
                <w:shd w:fill="auto" w:val="clear"/>
              </w:rPr>
            </w:pPr>
            <w:r>
              <w:rPr>
                <w:rFonts w:eastAsia="Times New Roman" w:cs="Arial" w:ascii="Arial" w:hAnsi="Arial"/>
                <w:b/>
                <w:bCs/>
                <w:sz w:val="20"/>
                <w:shd w:fill="auto" w:val="clear"/>
              </w:rPr>
              <w:t>11-Aug</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highlight w:val="none"/>
                <w:shd w:fill="auto" w:val="clear"/>
              </w:rPr>
            </w:pPr>
            <w:r>
              <w:rPr>
                <w:rFonts w:eastAsia="Times New Roman" w:cs="Arial" w:ascii="Arial" w:hAnsi="Arial"/>
                <w:sz w:val="20"/>
                <w:shd w:fill="auto" w:val="clear"/>
              </w:rPr>
              <w:t>1</w:t>
            </w:r>
          </w:p>
        </w:tc>
        <w:tc>
          <w:tcPr>
            <w:tcW w:w="1485" w:type="dxa"/>
            <w:tcBorders/>
            <w:vAlign w:val="center"/>
          </w:tcPr>
          <w:p>
            <w:pPr>
              <w:pStyle w:val="Normal"/>
              <w:widowControl w:val="false"/>
              <w:rPr>
                <w:rFonts w:ascii="Arial" w:hAnsi="Arial" w:eastAsia="Times New Roman" w:cs="Arial"/>
                <w:b/>
                <w:b/>
                <w:bCs/>
                <w:sz w:val="20"/>
                <w:highlight w:val="none"/>
                <w:shd w:fill="auto" w:val="clear"/>
              </w:rPr>
            </w:pPr>
            <w:r>
              <w:rPr>
                <w:rFonts w:eastAsia="Times New Roman" w:cs="Arial" w:ascii="Arial" w:hAnsi="Arial"/>
                <w:b/>
                <w:bCs/>
                <w:sz w:val="20"/>
                <w:shd w:fill="auto" w:val="clear"/>
              </w:rPr>
              <w:t>Haasz</w:t>
            </w:r>
          </w:p>
        </w:tc>
        <w:tc>
          <w:tcPr>
            <w:tcW w:w="2150"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Jodi</w:t>
            </w:r>
          </w:p>
        </w:tc>
        <w:tc>
          <w:tcPr>
            <w:tcW w:w="3392" w:type="dxa"/>
            <w:tcBorders/>
            <w:vAlign w:val="center"/>
          </w:tcPr>
          <w:p>
            <w:pPr>
              <w:pStyle w:val="Normal"/>
              <w:widowControl w:val="false"/>
              <w:rPr>
                <w:rFonts w:ascii="Arial" w:hAnsi="Arial" w:eastAsia="Times New Roman" w:cs="Arial"/>
                <w:sz w:val="20"/>
                <w:highlight w:val="none"/>
                <w:shd w:fill="auto" w:val="clear"/>
              </w:rPr>
            </w:pPr>
            <w:r>
              <w:rPr>
                <w:rFonts w:eastAsia="Times New Roman" w:cs="Arial" w:ascii="Arial" w:hAnsi="Arial"/>
                <w:sz w:val="20"/>
                <w:shd w:fill="auto" w:val="clear"/>
              </w:rPr>
              <w:t>IEEE SA</w:t>
            </w:r>
          </w:p>
        </w:tc>
        <w:tc>
          <w:tcPr>
            <w:tcW w:w="1080" w:type="dxa"/>
            <w:tcBorders/>
            <w:vAlign w:val="center"/>
          </w:tcPr>
          <w:p>
            <w:pPr>
              <w:pStyle w:val="Normal"/>
              <w:widowControl w:val="false"/>
              <w:jc w:val="center"/>
              <w:rPr>
                <w:rFonts w:ascii="Arial" w:hAnsi="Arial" w:eastAsia="Times New Roman" w:cs="Arial"/>
                <w:b/>
                <w:b/>
                <w:bCs/>
                <w:sz w:val="18"/>
                <w:szCs w:val="18"/>
                <w:highlight w:val="none"/>
                <w:shd w:fill="auto" w:val="clear"/>
              </w:rPr>
            </w:pPr>
            <w:r>
              <w:rPr>
                <w:rFonts w:eastAsia="Times New Roman" w:cs="Arial" w:ascii="Arial" w:hAnsi="Arial"/>
                <w:b/>
                <w:bCs/>
                <w:sz w:val="18"/>
                <w:szCs w:val="18"/>
                <w:shd w:fill="auto" w:val="clear"/>
              </w:rPr>
              <w:t>x</w:t>
            </w:r>
          </w:p>
        </w:tc>
      </w:tr>
    </w:tbl>
    <w:p>
      <w:pPr>
        <w:pStyle w:val="ListParagraph"/>
        <w:widowControl/>
        <w:suppressAutoHyphens w:val="true"/>
        <w:bidi w:val="0"/>
        <w:spacing w:before="0" w:after="0"/>
        <w:ind w:left="0" w:hanging="0"/>
        <w:jc w:val="left"/>
        <w:rPr>
          <w:b/>
          <w:b/>
          <w:sz w:val="24"/>
          <w:szCs w:val="24"/>
        </w:rPr>
      </w:pPr>
      <w:r>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IEEE802.18-22-0097r0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92-00-0000-rr-tag-agenda-11-august-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94-00-0000-weekly-teleconference-minutes-4-august-2022.docx" TargetMode="External"/><Relationship Id="rId9" Type="http://schemas.openxmlformats.org/officeDocument/2006/relationships/hyperlink" Target="https://mentor.ieee.org/802.18/dcn/22/18-22-0035-29-0000-status-of-ongoing-consultations-and-tag-documents-for-approval.docx" TargetMode="External"/><Relationship Id="rId10" Type="http://schemas.openxmlformats.org/officeDocument/2006/relationships/hyperlink" Target="https://mentor.ieee.org/802.18/dcn/22/18-22-0089-02-0000-45-ghz-ad-hoc-proposal.pptx" TargetMode="External"/><Relationship Id="rId11" Type="http://schemas.openxmlformats.org/officeDocument/2006/relationships/hyperlink" Target="https://mentor.ieee.org/802.18/dcn/22/18-22-0092-01-0000-rr-tag-agenda-11-august-2022.pptx" TargetMode="External"/><Relationship Id="rId12" Type="http://schemas.openxmlformats.org/officeDocument/2006/relationships/hyperlink" Target="https://mentor.ieee.org/802.18/dcn/16/18-16-0038-24-0000-teleconference-call-in-info.pptx"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FFDB-AE89-4B80-BD55-9FBFF15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Application>LibreOffice/7.2.7.2$Linux_X86_64 LibreOffice_project/20$Build-2</Application>
  <AppVersion>15.0000</AppVersion>
  <Pages>4</Pages>
  <Words>1114</Words>
  <Characters>5698</Characters>
  <CharactersWithSpaces>6704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2022-08-12T17:54:00Z</dcterms:created>
  <dc:creator>author</dc:creator>
  <dc:description/>
  <cp:keywords>28 28 28 28 28 28 28 28 28 28 28 28 28 28 28 April 2022</cp:keywords>
  <dc:language>sv-SE</dc:language>
  <cp:lastModifiedBy>Amelia Andersdotter</cp:lastModifiedBy>
  <cp:lastPrinted>2012-05-15T22:13:00Z</cp:lastPrinted>
  <dcterms:modified xsi:type="dcterms:W3CDTF">2022-08-15T11:30:17Z</dcterms:modified>
  <cp:revision>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